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8D" w:rsidRPr="009075DC" w:rsidRDefault="00F8418D" w:rsidP="004F1C95">
      <w:pPr>
        <w:pStyle w:val="single"/>
        <w:widowControl w:val="0"/>
        <w:ind w:left="4320" w:firstLine="0"/>
        <w:rPr>
          <w:rStyle w:val="Strong"/>
        </w:rPr>
      </w:pPr>
      <w:bookmarkStart w:id="0" w:name="_GoBack"/>
      <w:bookmarkEnd w:id="0"/>
      <w:r w:rsidRPr="009075DC">
        <w:rPr>
          <w:rStyle w:val="Strong"/>
        </w:rPr>
        <w:t>EXHI</w:t>
      </w:r>
      <w:r w:rsidR="004F1C95">
        <w:rPr>
          <w:rStyle w:val="Strong"/>
        </w:rPr>
        <w:t>BIT NO.  ___(JAP-1T)</w:t>
      </w:r>
      <w:r w:rsidR="004F1C95">
        <w:rPr>
          <w:rStyle w:val="Strong"/>
        </w:rPr>
        <w:br/>
        <w:t xml:space="preserve">DOCKETS </w:t>
      </w:r>
      <w:r w:rsidRPr="009075DC">
        <w:rPr>
          <w:rStyle w:val="Strong"/>
        </w:rPr>
        <w:t>UE-1</w:t>
      </w:r>
      <w:r w:rsidR="00B01500">
        <w:rPr>
          <w:rStyle w:val="Strong"/>
        </w:rPr>
        <w:t>7</w:t>
      </w:r>
      <w:r w:rsidRPr="009075DC">
        <w:rPr>
          <w:rStyle w:val="Strong"/>
        </w:rPr>
        <w:t>___/UG-1</w:t>
      </w:r>
      <w:r w:rsidR="00B01500">
        <w:rPr>
          <w:rStyle w:val="Strong"/>
        </w:rPr>
        <w:t>7</w:t>
      </w:r>
      <w:r w:rsidRPr="009075DC">
        <w:rPr>
          <w:rStyle w:val="Strong"/>
        </w:rPr>
        <w:t>___</w:t>
      </w:r>
      <w:r w:rsidRPr="009075DC">
        <w:rPr>
          <w:rStyle w:val="Strong"/>
        </w:rPr>
        <w:br/>
        <w:t>201</w:t>
      </w:r>
      <w:r w:rsidR="00B01500">
        <w:rPr>
          <w:rStyle w:val="Strong"/>
        </w:rPr>
        <w:t>7</w:t>
      </w:r>
      <w:r w:rsidRPr="009075DC">
        <w:rPr>
          <w:rStyle w:val="Strong"/>
        </w:rPr>
        <w:t xml:space="preserve"> PSE GENERAL RATE CASE</w:t>
      </w:r>
      <w:r w:rsidRPr="009075DC">
        <w:rPr>
          <w:rStyle w:val="Strong"/>
        </w:rPr>
        <w:br/>
        <w:t>WITNESS:  </w:t>
      </w:r>
      <w:r w:rsidRPr="009075DC">
        <w:rPr>
          <w:b/>
        </w:rPr>
        <w:t>JON A. PILIARIS</w:t>
      </w: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r w:rsidRPr="009075DC">
        <w:rPr>
          <w:b/>
        </w:rPr>
        <w:t>BEFORE THE</w:t>
      </w:r>
    </w:p>
    <w:p w:rsidR="00F8418D" w:rsidRPr="009075DC" w:rsidRDefault="00F8418D" w:rsidP="000F4005">
      <w:pPr>
        <w:pStyle w:val="center"/>
        <w:keepLines w:val="0"/>
        <w:widowControl w:val="0"/>
        <w:spacing w:before="0" w:line="240" w:lineRule="auto"/>
        <w:rPr>
          <w:b/>
        </w:rPr>
      </w:pPr>
      <w:r w:rsidRPr="009075DC">
        <w:rPr>
          <w:b/>
        </w:rPr>
        <w:t>WASHINGTON UTILITIES AND TRANSPORTATION COMMISSION</w:t>
      </w: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firstRow="0" w:lastRow="0" w:firstColumn="0" w:lastColumn="0" w:noHBand="0" w:noVBand="0"/>
      </w:tblPr>
      <w:tblGrid>
        <w:gridCol w:w="4418"/>
        <w:gridCol w:w="360"/>
        <w:gridCol w:w="4423"/>
      </w:tblGrid>
      <w:tr w:rsidR="00F8418D" w:rsidRPr="009075DC" w:rsidTr="00760094">
        <w:trPr>
          <w:cantSplit/>
        </w:trPr>
        <w:tc>
          <w:tcPr>
            <w:tcW w:w="4418" w:type="dxa"/>
            <w:tcBorders>
              <w:bottom w:val="single" w:sz="4" w:space="0" w:color="auto"/>
              <w:right w:val="single" w:sz="4" w:space="0" w:color="auto"/>
            </w:tcBorders>
          </w:tcPr>
          <w:p w:rsidR="00F8418D" w:rsidRPr="009075DC" w:rsidRDefault="00F8418D" w:rsidP="000F4005">
            <w:pPr>
              <w:pStyle w:val="SingleSpacing"/>
              <w:widowControl w:val="0"/>
              <w:rPr>
                <w:b/>
                <w:sz w:val="24"/>
              </w:rPr>
            </w:pPr>
            <w:r w:rsidRPr="009075DC">
              <w:rPr>
                <w:b/>
                <w:sz w:val="24"/>
              </w:rPr>
              <w:t>WASHINGTON UTILITIES AND</w:t>
            </w:r>
          </w:p>
          <w:p w:rsidR="00F8418D" w:rsidRPr="009075DC" w:rsidRDefault="00F8418D" w:rsidP="000F4005">
            <w:pPr>
              <w:pStyle w:val="SingleSpacing"/>
              <w:widowControl w:val="0"/>
              <w:rPr>
                <w:b/>
                <w:sz w:val="24"/>
              </w:rPr>
            </w:pPr>
            <w:r w:rsidRPr="009075DC">
              <w:rPr>
                <w:b/>
                <w:sz w:val="24"/>
              </w:rPr>
              <w:t>TRANSPORTATION COMMISSION,</w:t>
            </w:r>
          </w:p>
          <w:p w:rsidR="00F8418D" w:rsidRPr="009075DC" w:rsidRDefault="00F8418D" w:rsidP="000F4005">
            <w:pPr>
              <w:pStyle w:val="SingleSpacing"/>
              <w:widowControl w:val="0"/>
              <w:rPr>
                <w:b/>
                <w:sz w:val="24"/>
              </w:rPr>
            </w:pPr>
          </w:p>
          <w:p w:rsidR="00F8418D" w:rsidRPr="009075DC" w:rsidRDefault="00F8418D" w:rsidP="000F4005">
            <w:pPr>
              <w:pStyle w:val="SingleSpacing"/>
              <w:widowControl w:val="0"/>
              <w:tabs>
                <w:tab w:val="left" w:pos="2168"/>
                <w:tab w:val="left" w:pos="4550"/>
              </w:tabs>
              <w:ind w:right="360"/>
              <w:jc w:val="right"/>
              <w:rPr>
                <w:b/>
                <w:sz w:val="24"/>
              </w:rPr>
            </w:pPr>
            <w:r w:rsidRPr="009075DC">
              <w:rPr>
                <w:b/>
                <w:sz w:val="24"/>
              </w:rPr>
              <w:t>Complainant,</w:t>
            </w:r>
          </w:p>
          <w:p w:rsidR="00F8418D" w:rsidRPr="009075DC" w:rsidRDefault="00F8418D" w:rsidP="000F4005">
            <w:pPr>
              <w:pStyle w:val="SingleSpacing"/>
              <w:widowControl w:val="0"/>
              <w:rPr>
                <w:b/>
                <w:sz w:val="24"/>
              </w:rPr>
            </w:pPr>
          </w:p>
          <w:p w:rsidR="00F8418D" w:rsidRPr="009075DC" w:rsidRDefault="00F8418D" w:rsidP="000F4005">
            <w:pPr>
              <w:pStyle w:val="SingleSpacing"/>
              <w:widowControl w:val="0"/>
              <w:rPr>
                <w:b/>
                <w:sz w:val="24"/>
              </w:rPr>
            </w:pPr>
            <w:r w:rsidRPr="009075DC">
              <w:rPr>
                <w:b/>
                <w:sz w:val="24"/>
              </w:rPr>
              <w:tab/>
              <w:t>v.</w:t>
            </w:r>
          </w:p>
          <w:p w:rsidR="00F8418D" w:rsidRPr="009075DC" w:rsidRDefault="00F8418D" w:rsidP="000F4005">
            <w:pPr>
              <w:pStyle w:val="SingleSpacing"/>
              <w:widowControl w:val="0"/>
              <w:rPr>
                <w:b/>
                <w:sz w:val="24"/>
              </w:rPr>
            </w:pPr>
          </w:p>
          <w:p w:rsidR="00F8418D" w:rsidRPr="009075DC" w:rsidRDefault="004F1C95" w:rsidP="000F4005">
            <w:pPr>
              <w:pStyle w:val="SingleSpacing"/>
              <w:widowControl w:val="0"/>
              <w:rPr>
                <w:b/>
                <w:sz w:val="24"/>
              </w:rPr>
            </w:pPr>
            <w:r>
              <w:rPr>
                <w:b/>
                <w:sz w:val="24"/>
              </w:rPr>
              <w:t>PUGET SOUND ENERGY,</w:t>
            </w:r>
          </w:p>
          <w:p w:rsidR="00F8418D" w:rsidRPr="009075DC" w:rsidRDefault="00F8418D" w:rsidP="000F4005">
            <w:pPr>
              <w:pStyle w:val="SingleSpacing"/>
              <w:widowControl w:val="0"/>
              <w:rPr>
                <w:b/>
                <w:sz w:val="24"/>
              </w:rPr>
            </w:pPr>
          </w:p>
          <w:p w:rsidR="00F8418D" w:rsidRPr="009075DC" w:rsidRDefault="00F8418D" w:rsidP="000F4005">
            <w:pPr>
              <w:pStyle w:val="SingleSpacing"/>
              <w:widowControl w:val="0"/>
              <w:tabs>
                <w:tab w:val="left" w:pos="2168"/>
              </w:tabs>
              <w:ind w:right="360"/>
              <w:jc w:val="right"/>
              <w:rPr>
                <w:b/>
                <w:sz w:val="24"/>
              </w:rPr>
            </w:pPr>
            <w:r w:rsidRPr="009075DC">
              <w:rPr>
                <w:b/>
                <w:sz w:val="24"/>
              </w:rPr>
              <w:t>Respondent.</w:t>
            </w:r>
          </w:p>
          <w:p w:rsidR="00F8418D" w:rsidRPr="009075DC" w:rsidRDefault="00F8418D" w:rsidP="000F4005">
            <w:pPr>
              <w:pStyle w:val="SingleSpacing"/>
              <w:widowControl w:val="0"/>
              <w:tabs>
                <w:tab w:val="left" w:pos="1440"/>
              </w:tabs>
              <w:rPr>
                <w:b/>
                <w:sz w:val="24"/>
              </w:rPr>
            </w:pPr>
          </w:p>
        </w:tc>
        <w:tc>
          <w:tcPr>
            <w:tcW w:w="360" w:type="dxa"/>
            <w:tcBorders>
              <w:left w:val="single" w:sz="4" w:space="0" w:color="auto"/>
            </w:tcBorders>
          </w:tcPr>
          <w:p w:rsidR="00F8418D" w:rsidRPr="009075DC" w:rsidRDefault="00F8418D" w:rsidP="000F4005">
            <w:pPr>
              <w:widowControl w:val="0"/>
              <w:rPr>
                <w:b/>
              </w:rPr>
            </w:pPr>
          </w:p>
        </w:tc>
        <w:tc>
          <w:tcPr>
            <w:tcW w:w="4423" w:type="dxa"/>
            <w:vAlign w:val="center"/>
          </w:tcPr>
          <w:p w:rsidR="00F8418D" w:rsidRPr="009075DC" w:rsidRDefault="004F1C95" w:rsidP="000F4005">
            <w:pPr>
              <w:pStyle w:val="SingleSpacing"/>
              <w:widowControl w:val="0"/>
              <w:ind w:left="198"/>
              <w:rPr>
                <w:b/>
                <w:sz w:val="24"/>
              </w:rPr>
            </w:pPr>
            <w:r>
              <w:rPr>
                <w:b/>
                <w:sz w:val="24"/>
              </w:rPr>
              <w:t xml:space="preserve">Docket </w:t>
            </w:r>
            <w:r w:rsidR="00F8418D" w:rsidRPr="009075DC">
              <w:rPr>
                <w:b/>
                <w:sz w:val="24"/>
              </w:rPr>
              <w:t>UE-1</w:t>
            </w:r>
            <w:r w:rsidR="00B01500">
              <w:rPr>
                <w:b/>
                <w:sz w:val="24"/>
              </w:rPr>
              <w:t>7</w:t>
            </w:r>
            <w:r w:rsidR="00F8418D" w:rsidRPr="009075DC">
              <w:rPr>
                <w:b/>
                <w:sz w:val="24"/>
              </w:rPr>
              <w:t>____</w:t>
            </w:r>
          </w:p>
          <w:p w:rsidR="00F8418D" w:rsidRPr="009075DC" w:rsidRDefault="004F1C95" w:rsidP="00B01500">
            <w:pPr>
              <w:pStyle w:val="SingleSpacing"/>
              <w:widowControl w:val="0"/>
              <w:ind w:left="198"/>
              <w:rPr>
                <w:b/>
                <w:sz w:val="24"/>
              </w:rPr>
            </w:pPr>
            <w:r>
              <w:rPr>
                <w:b/>
                <w:sz w:val="24"/>
              </w:rPr>
              <w:t xml:space="preserve">Docket </w:t>
            </w:r>
            <w:r w:rsidR="00F8418D" w:rsidRPr="009075DC">
              <w:rPr>
                <w:b/>
                <w:sz w:val="24"/>
              </w:rPr>
              <w:t>UG-1</w:t>
            </w:r>
            <w:r w:rsidR="00B01500">
              <w:rPr>
                <w:b/>
                <w:sz w:val="24"/>
              </w:rPr>
              <w:t>7</w:t>
            </w:r>
            <w:r w:rsidR="00F8418D" w:rsidRPr="009075DC">
              <w:rPr>
                <w:b/>
                <w:sz w:val="24"/>
              </w:rPr>
              <w:t>____</w:t>
            </w:r>
          </w:p>
        </w:tc>
      </w:tr>
    </w:tbl>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Default="00F8418D" w:rsidP="000F4005">
      <w:pPr>
        <w:pStyle w:val="center"/>
        <w:keepLines w:val="0"/>
        <w:widowControl w:val="0"/>
        <w:spacing w:before="0" w:line="240" w:lineRule="auto"/>
        <w:rPr>
          <w:b/>
        </w:rPr>
      </w:pPr>
      <w:r w:rsidRPr="009075DC">
        <w:rPr>
          <w:b/>
        </w:rPr>
        <w:t>PREFILED DIRECT TESTIMONY (NONCONFIDENTIAL) OF</w:t>
      </w:r>
    </w:p>
    <w:p w:rsidR="004F1C95" w:rsidRPr="009075DC" w:rsidRDefault="004F1C95" w:rsidP="000F4005">
      <w:pPr>
        <w:pStyle w:val="center"/>
        <w:keepLines w:val="0"/>
        <w:widowControl w:val="0"/>
        <w:spacing w:before="0" w:line="240" w:lineRule="auto"/>
        <w:rPr>
          <w:b/>
        </w:rPr>
      </w:pPr>
    </w:p>
    <w:p w:rsidR="004F1C95" w:rsidRDefault="00F8418D" w:rsidP="000F4005">
      <w:pPr>
        <w:pStyle w:val="center"/>
        <w:keepLines w:val="0"/>
        <w:widowControl w:val="0"/>
        <w:spacing w:before="0" w:line="240" w:lineRule="auto"/>
        <w:rPr>
          <w:b/>
        </w:rPr>
      </w:pPr>
      <w:r w:rsidRPr="009075DC">
        <w:rPr>
          <w:b/>
        </w:rPr>
        <w:t>JON A. PILIARIS</w:t>
      </w:r>
    </w:p>
    <w:p w:rsidR="004F1C95" w:rsidRPr="009075DC" w:rsidRDefault="00F8418D" w:rsidP="000F4005">
      <w:pPr>
        <w:pStyle w:val="center"/>
        <w:keepLines w:val="0"/>
        <w:widowControl w:val="0"/>
        <w:spacing w:before="0" w:line="240" w:lineRule="auto"/>
        <w:rPr>
          <w:b/>
        </w:rPr>
      </w:pPr>
      <w:r w:rsidRPr="009075DC">
        <w:rPr>
          <w:b/>
        </w:rPr>
        <w:br/>
        <w:t>O</w:t>
      </w:r>
      <w:r w:rsidR="004F1C95">
        <w:rPr>
          <w:b/>
        </w:rPr>
        <w:t>N BEHALF OF PUGET SOUND ENERGY</w:t>
      </w: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Default="00F8418D" w:rsidP="000F4005">
      <w:pPr>
        <w:pStyle w:val="center"/>
        <w:keepLines w:val="0"/>
        <w:widowControl w:val="0"/>
        <w:spacing w:before="0" w:line="240" w:lineRule="auto"/>
        <w:rPr>
          <w:b/>
        </w:rPr>
      </w:pPr>
    </w:p>
    <w:p w:rsidR="004F1C95" w:rsidRDefault="004F1C95" w:rsidP="000F4005">
      <w:pPr>
        <w:pStyle w:val="center"/>
        <w:keepLines w:val="0"/>
        <w:widowControl w:val="0"/>
        <w:spacing w:before="0" w:line="240" w:lineRule="auto"/>
        <w:rPr>
          <w:b/>
        </w:rPr>
      </w:pPr>
    </w:p>
    <w:p w:rsidR="004F1C95" w:rsidRPr="009075DC" w:rsidRDefault="004F1C95"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F8418D" w:rsidP="000F4005">
      <w:pPr>
        <w:pStyle w:val="center"/>
        <w:keepLines w:val="0"/>
        <w:widowControl w:val="0"/>
        <w:spacing w:before="0" w:line="240" w:lineRule="auto"/>
        <w:rPr>
          <w:b/>
        </w:rPr>
      </w:pPr>
    </w:p>
    <w:p w:rsidR="00F8418D" w:rsidRPr="009075DC" w:rsidRDefault="00B01500" w:rsidP="000F4005">
      <w:pPr>
        <w:widowControl w:val="0"/>
        <w:spacing w:line="240" w:lineRule="auto"/>
        <w:ind w:firstLine="0"/>
        <w:jc w:val="center"/>
        <w:rPr>
          <w:b/>
          <w:bCs/>
          <w:szCs w:val="24"/>
        </w:rPr>
      </w:pPr>
      <w:r>
        <w:rPr>
          <w:b/>
        </w:rPr>
        <w:t xml:space="preserve">JANUARY </w:t>
      </w:r>
      <w:r w:rsidR="00AD17A6">
        <w:rPr>
          <w:b/>
        </w:rPr>
        <w:t>13</w:t>
      </w:r>
      <w:r w:rsidR="00F8418D" w:rsidRPr="009075DC">
        <w:rPr>
          <w:b/>
        </w:rPr>
        <w:t>, 201</w:t>
      </w:r>
      <w:r>
        <w:rPr>
          <w:b/>
        </w:rPr>
        <w:t>7</w:t>
      </w:r>
    </w:p>
    <w:p w:rsidR="00F8418D" w:rsidRPr="009075DC" w:rsidRDefault="00F8418D" w:rsidP="000F4005">
      <w:pPr>
        <w:widowControl w:val="0"/>
        <w:spacing w:line="240" w:lineRule="auto"/>
        <w:ind w:firstLine="0"/>
        <w:jc w:val="center"/>
        <w:rPr>
          <w:b/>
          <w:bCs/>
          <w:szCs w:val="24"/>
        </w:rPr>
        <w:sectPr w:rsidR="00F8418D" w:rsidRPr="009075DC">
          <w:headerReference w:type="default" r:id="rId9"/>
          <w:footerReference w:type="default" r:id="rId10"/>
          <w:pgSz w:w="12240" w:h="15840" w:code="1"/>
          <w:pgMar w:top="1440" w:right="1440" w:bottom="1440" w:left="2160" w:header="720" w:footer="864" w:gutter="0"/>
          <w:pgNumType w:start="1"/>
          <w:cols w:space="720"/>
          <w:rtlGutter/>
        </w:sectPr>
      </w:pPr>
    </w:p>
    <w:p w:rsidR="00F8418D" w:rsidRPr="009075DC" w:rsidRDefault="00761068" w:rsidP="000F4005">
      <w:pPr>
        <w:widowControl w:val="0"/>
        <w:spacing w:before="240" w:after="240" w:line="240" w:lineRule="auto"/>
        <w:ind w:left="720" w:right="720" w:firstLine="0"/>
        <w:jc w:val="center"/>
        <w:rPr>
          <w:b/>
          <w:bCs/>
          <w:szCs w:val="24"/>
        </w:rPr>
      </w:pPr>
      <w:r>
        <w:rPr>
          <w:b/>
          <w:bCs/>
          <w:szCs w:val="24"/>
        </w:rPr>
        <w:lastRenderedPageBreak/>
        <w:t>PUGET SOUND ENERGY</w:t>
      </w:r>
    </w:p>
    <w:p w:rsidR="00F8418D" w:rsidRPr="009075DC" w:rsidRDefault="00F8418D" w:rsidP="000F4005">
      <w:pPr>
        <w:widowControl w:val="0"/>
        <w:spacing w:before="240" w:after="240" w:line="240" w:lineRule="auto"/>
        <w:ind w:left="540" w:right="540" w:firstLine="0"/>
        <w:jc w:val="center"/>
        <w:rPr>
          <w:b/>
          <w:bCs/>
          <w:szCs w:val="24"/>
        </w:rPr>
      </w:pPr>
      <w:r w:rsidRPr="009075DC">
        <w:rPr>
          <w:b/>
          <w:bCs/>
          <w:szCs w:val="24"/>
        </w:rPr>
        <w:t>PREFILED DIRECT TESTIMONY (NONCONFIDENTIAL) OF</w:t>
      </w:r>
      <w:r w:rsidRPr="009075DC">
        <w:rPr>
          <w:b/>
          <w:bCs/>
          <w:szCs w:val="24"/>
        </w:rPr>
        <w:br/>
        <w:t>JON A. PILIARIS</w:t>
      </w:r>
    </w:p>
    <w:p w:rsidR="00F8418D" w:rsidRPr="009075DC" w:rsidRDefault="00F8418D" w:rsidP="000F4005">
      <w:pPr>
        <w:pStyle w:val="TOC1"/>
        <w:keepLines w:val="0"/>
        <w:widowControl w:val="0"/>
        <w:ind w:firstLine="0"/>
        <w:jc w:val="center"/>
        <w:rPr>
          <w:b/>
          <w:bCs/>
          <w:color w:val="auto"/>
        </w:rPr>
      </w:pPr>
      <w:bookmarkStart w:id="1" w:name="TOCTitle"/>
      <w:r w:rsidRPr="009075DC">
        <w:rPr>
          <w:b/>
          <w:bCs/>
          <w:color w:val="auto"/>
        </w:rPr>
        <w:t>CONTENTS</w:t>
      </w:r>
      <w:bookmarkEnd w:id="1"/>
    </w:p>
    <w:p w:rsidR="00F8418D" w:rsidRPr="008C20FF" w:rsidRDefault="00F8418D" w:rsidP="000F4005">
      <w:pPr>
        <w:pStyle w:val="TOC1"/>
        <w:keepLines w:val="0"/>
        <w:widowControl w:val="0"/>
        <w:ind w:firstLine="0"/>
        <w:jc w:val="center"/>
        <w:rPr>
          <w:b/>
          <w:bCs/>
          <w:color w:val="auto"/>
        </w:rPr>
      </w:pPr>
    </w:p>
    <w:p w:rsidR="00904733" w:rsidRPr="00904733" w:rsidRDefault="00F8418D">
      <w:pPr>
        <w:pStyle w:val="TOC1"/>
        <w:rPr>
          <w:rFonts w:asciiTheme="minorHAnsi" w:eastAsiaTheme="minorEastAsia" w:hAnsiTheme="minorHAnsi" w:cstheme="minorBidi"/>
          <w:color w:val="auto"/>
          <w:sz w:val="22"/>
          <w:szCs w:val="22"/>
          <w:lang w:eastAsia="en-US"/>
        </w:rPr>
      </w:pPr>
      <w:r w:rsidRPr="00904733">
        <w:rPr>
          <w:bCs/>
          <w:color w:val="auto"/>
        </w:rPr>
        <w:fldChar w:fldCharType="begin"/>
      </w:r>
      <w:r w:rsidRPr="00904733">
        <w:rPr>
          <w:bCs/>
          <w:color w:val="auto"/>
        </w:rPr>
        <w:instrText xml:space="preserve"> TOC \o "1-5" \h \z \u </w:instrText>
      </w:r>
      <w:r w:rsidRPr="00904733">
        <w:rPr>
          <w:bCs/>
          <w:color w:val="auto"/>
        </w:rPr>
        <w:fldChar w:fldCharType="separate"/>
      </w:r>
      <w:hyperlink w:anchor="_Toc471912923" w:history="1">
        <w:r w:rsidR="00904733" w:rsidRPr="00904733">
          <w:rPr>
            <w:rStyle w:val="Hyperlink"/>
            <w:color w:val="auto"/>
          </w:rPr>
          <w:t>I.</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INTRODUCTION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_Toc471912923 \h </w:instrText>
        </w:r>
        <w:r w:rsidR="00904733" w:rsidRPr="00904733">
          <w:rPr>
            <w:webHidden/>
            <w:color w:val="auto"/>
          </w:rPr>
        </w:r>
        <w:r w:rsidR="00904733" w:rsidRPr="00904733">
          <w:rPr>
            <w:webHidden/>
            <w:color w:val="auto"/>
          </w:rPr>
          <w:fldChar w:fldCharType="separate"/>
        </w:r>
        <w:r w:rsidR="00904733" w:rsidRPr="00904733">
          <w:rPr>
            <w:webHidden/>
            <w:color w:val="auto"/>
          </w:rPr>
          <w:t>1</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24" w:history="1">
        <w:r w:rsidR="00904733" w:rsidRPr="00904733">
          <w:rPr>
            <w:rStyle w:val="Hyperlink"/>
            <w:color w:val="auto"/>
          </w:rPr>
          <w:t>II.</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PRO FORMA REVENUE FROM ELECTRIC AND NATURAL GAS OPERATIONS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_Toc471912924 \h </w:instrText>
        </w:r>
        <w:r w:rsidR="00904733" w:rsidRPr="00904733">
          <w:rPr>
            <w:webHidden/>
            <w:color w:val="auto"/>
          </w:rPr>
        </w:r>
        <w:r w:rsidR="00904733" w:rsidRPr="00904733">
          <w:rPr>
            <w:webHidden/>
            <w:color w:val="auto"/>
          </w:rPr>
          <w:fldChar w:fldCharType="separate"/>
        </w:r>
        <w:r w:rsidR="00904733" w:rsidRPr="00904733">
          <w:rPr>
            <w:webHidden/>
            <w:color w:val="auto"/>
          </w:rPr>
          <w:t>10</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25" w:history="1">
        <w:r w:rsidR="00904733" w:rsidRPr="00904733">
          <w:rPr>
            <w:rStyle w:val="Hyperlink"/>
            <w:color w:val="auto"/>
          </w:rPr>
          <w:t>A.</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Pro Forma Revenue Electric Operations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_Toc471912925 \h </w:instrText>
        </w:r>
        <w:r w:rsidR="00904733" w:rsidRPr="00904733">
          <w:rPr>
            <w:webHidden/>
            <w:color w:val="auto"/>
          </w:rPr>
        </w:r>
        <w:r w:rsidR="00904733" w:rsidRPr="00904733">
          <w:rPr>
            <w:webHidden/>
            <w:color w:val="auto"/>
          </w:rPr>
          <w:fldChar w:fldCharType="separate"/>
        </w:r>
        <w:r w:rsidR="00904733" w:rsidRPr="00904733">
          <w:rPr>
            <w:webHidden/>
            <w:color w:val="auto"/>
          </w:rPr>
          <w:t>10</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26" w:history="1">
        <w:r w:rsidR="00904733" w:rsidRPr="00904733">
          <w:rPr>
            <w:rStyle w:val="Hyperlink"/>
            <w:color w:val="auto"/>
          </w:rPr>
          <w:t>B.</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Pro Forma Revenue from Natural Gas Operations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_Toc471912926 \h </w:instrText>
        </w:r>
        <w:r w:rsidR="00904733" w:rsidRPr="00904733">
          <w:rPr>
            <w:webHidden/>
            <w:color w:val="auto"/>
          </w:rPr>
        </w:r>
        <w:r w:rsidR="00904733" w:rsidRPr="00904733">
          <w:rPr>
            <w:webHidden/>
            <w:color w:val="auto"/>
          </w:rPr>
          <w:fldChar w:fldCharType="separate"/>
        </w:r>
        <w:r w:rsidR="00904733" w:rsidRPr="00904733">
          <w:rPr>
            <w:webHidden/>
            <w:color w:val="auto"/>
          </w:rPr>
          <w:t>14</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27" w:history="1">
        <w:r w:rsidR="00904733" w:rsidRPr="00904733">
          <w:rPr>
            <w:rStyle w:val="Hyperlink"/>
            <w:color w:val="auto"/>
          </w:rPr>
          <w:t>III.</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COST OF SERVICE OVERVIEW</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_Toc471912927 \h </w:instrText>
        </w:r>
        <w:r w:rsidR="00904733" w:rsidRPr="00904733">
          <w:rPr>
            <w:webHidden/>
            <w:color w:val="auto"/>
          </w:rPr>
        </w:r>
        <w:r w:rsidR="00904733" w:rsidRPr="00904733">
          <w:rPr>
            <w:webHidden/>
            <w:color w:val="auto"/>
          </w:rPr>
          <w:fldChar w:fldCharType="separate"/>
        </w:r>
        <w:r w:rsidR="00904733" w:rsidRPr="00904733">
          <w:rPr>
            <w:webHidden/>
            <w:color w:val="auto"/>
          </w:rPr>
          <w:t>18</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28" w:history="1">
        <w:r w:rsidR="00904733" w:rsidRPr="00904733">
          <w:rPr>
            <w:rStyle w:val="Hyperlink"/>
            <w:color w:val="auto"/>
          </w:rPr>
          <w:t>IV.</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ELECTRIC COST OF SERVICE</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_Toc471912928 \h </w:instrText>
        </w:r>
        <w:r w:rsidR="00904733" w:rsidRPr="00904733">
          <w:rPr>
            <w:webHidden/>
            <w:color w:val="auto"/>
          </w:rPr>
        </w:r>
        <w:r w:rsidR="00904733" w:rsidRPr="00904733">
          <w:rPr>
            <w:webHidden/>
            <w:color w:val="auto"/>
          </w:rPr>
          <w:fldChar w:fldCharType="separate"/>
        </w:r>
        <w:r w:rsidR="00904733" w:rsidRPr="00904733">
          <w:rPr>
            <w:webHidden/>
            <w:color w:val="auto"/>
          </w:rPr>
          <w:t>23</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29" w:history="1">
        <w:r w:rsidR="00904733" w:rsidRPr="00904733">
          <w:rPr>
            <w:rStyle w:val="Hyperlink"/>
            <w:color w:val="auto"/>
          </w:rPr>
          <w:t>A.</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Previous Cost of Service Studies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_Toc471912929 \h </w:instrText>
        </w:r>
        <w:r w:rsidR="00904733" w:rsidRPr="00904733">
          <w:rPr>
            <w:webHidden/>
            <w:color w:val="auto"/>
          </w:rPr>
        </w:r>
        <w:r w:rsidR="00904733" w:rsidRPr="00904733">
          <w:rPr>
            <w:webHidden/>
            <w:color w:val="auto"/>
          </w:rPr>
          <w:fldChar w:fldCharType="separate"/>
        </w:r>
        <w:r w:rsidR="00904733" w:rsidRPr="00904733">
          <w:rPr>
            <w:webHidden/>
            <w:color w:val="auto"/>
          </w:rPr>
          <w:t>23</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30" w:history="1">
        <w:r w:rsidR="00904733" w:rsidRPr="00904733">
          <w:rPr>
            <w:rStyle w:val="Hyperlink"/>
            <w:color w:val="auto"/>
          </w:rPr>
          <w:t>B.</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Overview of PSE’s Electric Cost of Service Study</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_Toc471912930 \h </w:instrText>
        </w:r>
        <w:r w:rsidR="00904733" w:rsidRPr="00904733">
          <w:rPr>
            <w:webHidden/>
            <w:color w:val="auto"/>
          </w:rPr>
        </w:r>
        <w:r w:rsidR="00904733" w:rsidRPr="00904733">
          <w:rPr>
            <w:webHidden/>
            <w:color w:val="auto"/>
          </w:rPr>
          <w:fldChar w:fldCharType="separate"/>
        </w:r>
        <w:r w:rsidR="00904733" w:rsidRPr="00904733">
          <w:rPr>
            <w:webHidden/>
            <w:color w:val="auto"/>
          </w:rPr>
          <w:t>24</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31" w:history="1">
        <w:r w:rsidR="00904733" w:rsidRPr="00904733">
          <w:rPr>
            <w:rStyle w:val="Hyperlink"/>
            <w:color w:val="auto"/>
          </w:rPr>
          <w:t>C.</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Classification of Production Costs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_Toc471912931 \h </w:instrText>
        </w:r>
        <w:r w:rsidR="00904733" w:rsidRPr="00904733">
          <w:rPr>
            <w:webHidden/>
            <w:color w:val="auto"/>
          </w:rPr>
        </w:r>
        <w:r w:rsidR="00904733" w:rsidRPr="00904733">
          <w:rPr>
            <w:webHidden/>
            <w:color w:val="auto"/>
          </w:rPr>
          <w:fldChar w:fldCharType="separate"/>
        </w:r>
        <w:r w:rsidR="00904733" w:rsidRPr="00904733">
          <w:rPr>
            <w:webHidden/>
            <w:color w:val="auto"/>
          </w:rPr>
          <w:t>26</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32" w:history="1">
        <w:r w:rsidR="00904733" w:rsidRPr="00904733">
          <w:rPr>
            <w:rStyle w:val="Hyperlink"/>
            <w:color w:val="auto"/>
          </w:rPr>
          <w:t>D.</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Classification of Transmission Costs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_Toc471912932 \h </w:instrText>
        </w:r>
        <w:r w:rsidR="00904733" w:rsidRPr="00904733">
          <w:rPr>
            <w:webHidden/>
            <w:color w:val="auto"/>
          </w:rPr>
        </w:r>
        <w:r w:rsidR="00904733" w:rsidRPr="00904733">
          <w:rPr>
            <w:webHidden/>
            <w:color w:val="auto"/>
          </w:rPr>
          <w:fldChar w:fldCharType="separate"/>
        </w:r>
        <w:r w:rsidR="00904733" w:rsidRPr="00904733">
          <w:rPr>
            <w:webHidden/>
            <w:color w:val="auto"/>
          </w:rPr>
          <w:t>29</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33" w:history="1">
        <w:r w:rsidR="00904733" w:rsidRPr="00904733">
          <w:rPr>
            <w:rStyle w:val="Hyperlink"/>
            <w:color w:val="auto"/>
          </w:rPr>
          <w:t>E.</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Classification of Distribution Costs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_Toc471912933 \h </w:instrText>
        </w:r>
        <w:r w:rsidR="00904733" w:rsidRPr="00904733">
          <w:rPr>
            <w:webHidden/>
            <w:color w:val="auto"/>
          </w:rPr>
        </w:r>
        <w:r w:rsidR="00904733" w:rsidRPr="00904733">
          <w:rPr>
            <w:webHidden/>
            <w:color w:val="auto"/>
          </w:rPr>
          <w:fldChar w:fldCharType="separate"/>
        </w:r>
        <w:r w:rsidR="00904733" w:rsidRPr="00904733">
          <w:rPr>
            <w:webHidden/>
            <w:color w:val="auto"/>
          </w:rPr>
          <w:t>30</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34" w:history="1">
        <w:r w:rsidR="00904733" w:rsidRPr="00904733">
          <w:rPr>
            <w:rStyle w:val="Hyperlink"/>
            <w:color w:val="auto"/>
          </w:rPr>
          <w:t>F.</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Allocation of Production and Transmission Demand Costs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_Toc471912934 \h </w:instrText>
        </w:r>
        <w:r w:rsidR="00904733" w:rsidRPr="00904733">
          <w:rPr>
            <w:webHidden/>
            <w:color w:val="auto"/>
          </w:rPr>
        </w:r>
        <w:r w:rsidR="00904733" w:rsidRPr="00904733">
          <w:rPr>
            <w:webHidden/>
            <w:color w:val="auto"/>
          </w:rPr>
          <w:fldChar w:fldCharType="separate"/>
        </w:r>
        <w:r w:rsidR="00904733" w:rsidRPr="00904733">
          <w:rPr>
            <w:webHidden/>
            <w:color w:val="auto"/>
          </w:rPr>
          <w:t>30</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35" w:history="1">
        <w:r w:rsidR="00904733" w:rsidRPr="00904733">
          <w:rPr>
            <w:rStyle w:val="Hyperlink"/>
            <w:color w:val="auto"/>
          </w:rPr>
          <w:t>G.</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Allocation of Distribution Costs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_Toc471912935 \h </w:instrText>
        </w:r>
        <w:r w:rsidR="00904733" w:rsidRPr="00904733">
          <w:rPr>
            <w:webHidden/>
            <w:color w:val="auto"/>
          </w:rPr>
        </w:r>
        <w:r w:rsidR="00904733" w:rsidRPr="00904733">
          <w:rPr>
            <w:webHidden/>
            <w:color w:val="auto"/>
          </w:rPr>
          <w:fldChar w:fldCharType="separate"/>
        </w:r>
        <w:r w:rsidR="00904733" w:rsidRPr="00904733">
          <w:rPr>
            <w:webHidden/>
            <w:color w:val="auto"/>
          </w:rPr>
          <w:t>31</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36" w:history="1">
        <w:r w:rsidR="00904733" w:rsidRPr="00904733">
          <w:rPr>
            <w:rStyle w:val="Hyperlink"/>
            <w:color w:val="auto"/>
          </w:rPr>
          <w:t>1.</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Distribution Substations and Feeder Costs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_Toc471912936 \h </w:instrText>
        </w:r>
        <w:r w:rsidR="00904733" w:rsidRPr="00904733">
          <w:rPr>
            <w:webHidden/>
            <w:color w:val="auto"/>
          </w:rPr>
        </w:r>
        <w:r w:rsidR="00904733" w:rsidRPr="00904733">
          <w:rPr>
            <w:webHidden/>
            <w:color w:val="auto"/>
          </w:rPr>
          <w:fldChar w:fldCharType="separate"/>
        </w:r>
        <w:r w:rsidR="00904733" w:rsidRPr="00904733">
          <w:rPr>
            <w:webHidden/>
            <w:color w:val="auto"/>
          </w:rPr>
          <w:t>31</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37" w:history="1">
        <w:r w:rsidR="00904733" w:rsidRPr="00904733">
          <w:rPr>
            <w:rStyle w:val="Hyperlink"/>
            <w:color w:val="auto"/>
          </w:rPr>
          <w:t>2.</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Distribution Line Transformer Costs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_Toc471912937 \h </w:instrText>
        </w:r>
        <w:r w:rsidR="00904733" w:rsidRPr="00904733">
          <w:rPr>
            <w:webHidden/>
            <w:color w:val="auto"/>
          </w:rPr>
        </w:r>
        <w:r w:rsidR="00904733" w:rsidRPr="00904733">
          <w:rPr>
            <w:webHidden/>
            <w:color w:val="auto"/>
          </w:rPr>
          <w:fldChar w:fldCharType="separate"/>
        </w:r>
        <w:r w:rsidR="00904733" w:rsidRPr="00904733">
          <w:rPr>
            <w:webHidden/>
            <w:color w:val="auto"/>
          </w:rPr>
          <w:t>32</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38" w:history="1">
        <w:r w:rsidR="00904733" w:rsidRPr="00904733">
          <w:rPr>
            <w:rStyle w:val="Hyperlink"/>
            <w:color w:val="auto"/>
          </w:rPr>
          <w:t>3.</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Service Line and Meter Costs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_Toc471912938 \h </w:instrText>
        </w:r>
        <w:r w:rsidR="00904733" w:rsidRPr="00904733">
          <w:rPr>
            <w:webHidden/>
            <w:color w:val="auto"/>
          </w:rPr>
        </w:r>
        <w:r w:rsidR="00904733" w:rsidRPr="00904733">
          <w:rPr>
            <w:webHidden/>
            <w:color w:val="auto"/>
          </w:rPr>
          <w:fldChar w:fldCharType="separate"/>
        </w:r>
        <w:r w:rsidR="00904733" w:rsidRPr="00904733">
          <w:rPr>
            <w:webHidden/>
            <w:color w:val="auto"/>
          </w:rPr>
          <w:t>34</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39" w:history="1">
        <w:r w:rsidR="00904733" w:rsidRPr="00904733">
          <w:rPr>
            <w:rStyle w:val="Hyperlink"/>
            <w:color w:val="auto"/>
          </w:rPr>
          <w:t>H.</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Administrative, General and Other Cost Allocation Factors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_Toc471912939 \h </w:instrText>
        </w:r>
        <w:r w:rsidR="00904733" w:rsidRPr="00904733">
          <w:rPr>
            <w:webHidden/>
            <w:color w:val="auto"/>
          </w:rPr>
        </w:r>
        <w:r w:rsidR="00904733" w:rsidRPr="00904733">
          <w:rPr>
            <w:webHidden/>
            <w:color w:val="auto"/>
          </w:rPr>
          <w:fldChar w:fldCharType="separate"/>
        </w:r>
        <w:r w:rsidR="00904733" w:rsidRPr="00904733">
          <w:rPr>
            <w:webHidden/>
            <w:color w:val="auto"/>
          </w:rPr>
          <w:t>34</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40" w:history="1">
        <w:r w:rsidR="00904733" w:rsidRPr="00904733">
          <w:rPr>
            <w:rStyle w:val="Hyperlink"/>
            <w:color w:val="auto"/>
          </w:rPr>
          <w:t>V.</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PSE’S NATURAL GAS COST OF SERVICE STUDY</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_Toc471912940 \h </w:instrText>
        </w:r>
        <w:r w:rsidR="00904733" w:rsidRPr="00904733">
          <w:rPr>
            <w:webHidden/>
            <w:color w:val="auto"/>
          </w:rPr>
        </w:r>
        <w:r w:rsidR="00904733" w:rsidRPr="00904733">
          <w:rPr>
            <w:webHidden/>
            <w:color w:val="auto"/>
          </w:rPr>
          <w:fldChar w:fldCharType="separate"/>
        </w:r>
        <w:r w:rsidR="00904733" w:rsidRPr="00904733">
          <w:rPr>
            <w:webHidden/>
            <w:color w:val="auto"/>
          </w:rPr>
          <w:t>35</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41" w:history="1">
        <w:r w:rsidR="00904733" w:rsidRPr="00904733">
          <w:rPr>
            <w:rStyle w:val="Hyperlink"/>
            <w:color w:val="auto"/>
          </w:rPr>
          <w:t>A.</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Previous Cost of Service Studies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_Toc471912941 \h </w:instrText>
        </w:r>
        <w:r w:rsidR="00904733" w:rsidRPr="00904733">
          <w:rPr>
            <w:webHidden/>
            <w:color w:val="auto"/>
          </w:rPr>
        </w:r>
        <w:r w:rsidR="00904733" w:rsidRPr="00904733">
          <w:rPr>
            <w:webHidden/>
            <w:color w:val="auto"/>
          </w:rPr>
          <w:fldChar w:fldCharType="separate"/>
        </w:r>
        <w:r w:rsidR="00904733" w:rsidRPr="00904733">
          <w:rPr>
            <w:webHidden/>
            <w:color w:val="auto"/>
          </w:rPr>
          <w:t>35</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42" w:history="1">
        <w:r w:rsidR="00904733" w:rsidRPr="00904733">
          <w:rPr>
            <w:rStyle w:val="Hyperlink"/>
            <w:color w:val="auto"/>
          </w:rPr>
          <w:t>B.</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Overview of PSE’s Proposed Gas Cost of Service Study</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_Toc471912942 \h </w:instrText>
        </w:r>
        <w:r w:rsidR="00904733" w:rsidRPr="00904733">
          <w:rPr>
            <w:webHidden/>
            <w:color w:val="auto"/>
          </w:rPr>
        </w:r>
        <w:r w:rsidR="00904733" w:rsidRPr="00904733">
          <w:rPr>
            <w:webHidden/>
            <w:color w:val="auto"/>
          </w:rPr>
          <w:fldChar w:fldCharType="separate"/>
        </w:r>
        <w:r w:rsidR="00904733" w:rsidRPr="00904733">
          <w:rPr>
            <w:webHidden/>
            <w:color w:val="auto"/>
          </w:rPr>
          <w:t>35</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43" w:history="1">
        <w:r w:rsidR="00904733" w:rsidRPr="00904733">
          <w:rPr>
            <w:rStyle w:val="Hyperlink"/>
            <w:color w:val="auto"/>
          </w:rPr>
          <w:t>C.</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Peak and Energy Gas Allocation Factors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_Toc471912943 \h </w:instrText>
        </w:r>
        <w:r w:rsidR="00904733" w:rsidRPr="00904733">
          <w:rPr>
            <w:webHidden/>
            <w:color w:val="auto"/>
          </w:rPr>
        </w:r>
        <w:r w:rsidR="00904733" w:rsidRPr="00904733">
          <w:rPr>
            <w:webHidden/>
            <w:color w:val="auto"/>
          </w:rPr>
          <w:fldChar w:fldCharType="separate"/>
        </w:r>
        <w:r w:rsidR="00904733" w:rsidRPr="00904733">
          <w:rPr>
            <w:webHidden/>
            <w:color w:val="auto"/>
          </w:rPr>
          <w:t>37</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44" w:history="1">
        <w:r w:rsidR="00904733" w:rsidRPr="00904733">
          <w:rPr>
            <w:rStyle w:val="Hyperlink"/>
            <w:color w:val="auto"/>
          </w:rPr>
          <w:t>D.</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Allocation of Gas Plant Costs and Operating Expenses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_Toc471912944 \h </w:instrText>
        </w:r>
        <w:r w:rsidR="00904733" w:rsidRPr="00904733">
          <w:rPr>
            <w:webHidden/>
            <w:color w:val="auto"/>
          </w:rPr>
        </w:r>
        <w:r w:rsidR="00904733" w:rsidRPr="00904733">
          <w:rPr>
            <w:webHidden/>
            <w:color w:val="auto"/>
          </w:rPr>
          <w:fldChar w:fldCharType="separate"/>
        </w:r>
        <w:r w:rsidR="00904733" w:rsidRPr="00904733">
          <w:rPr>
            <w:webHidden/>
            <w:color w:val="auto"/>
          </w:rPr>
          <w:t>41</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45" w:history="1">
        <w:r w:rsidR="00904733" w:rsidRPr="00904733">
          <w:rPr>
            <w:rStyle w:val="Hyperlink"/>
            <w:color w:val="auto"/>
          </w:rPr>
          <w:t>E.</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Classification and Allocation of Distribution Main Costs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_Toc471912945 \h </w:instrText>
        </w:r>
        <w:r w:rsidR="00904733" w:rsidRPr="00904733">
          <w:rPr>
            <w:webHidden/>
            <w:color w:val="auto"/>
          </w:rPr>
        </w:r>
        <w:r w:rsidR="00904733" w:rsidRPr="00904733">
          <w:rPr>
            <w:webHidden/>
            <w:color w:val="auto"/>
          </w:rPr>
          <w:fldChar w:fldCharType="separate"/>
        </w:r>
        <w:r w:rsidR="00904733" w:rsidRPr="00904733">
          <w:rPr>
            <w:webHidden/>
            <w:color w:val="auto"/>
          </w:rPr>
          <w:t>43</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46" w:history="1">
        <w:r w:rsidR="00904733" w:rsidRPr="00904733">
          <w:rPr>
            <w:rStyle w:val="Hyperlink"/>
            <w:color w:val="auto"/>
          </w:rPr>
          <w:t>F.</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Results of the Distribution Cost of Service Study</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_Toc471912946 \h </w:instrText>
        </w:r>
        <w:r w:rsidR="00904733" w:rsidRPr="00904733">
          <w:rPr>
            <w:webHidden/>
            <w:color w:val="auto"/>
          </w:rPr>
        </w:r>
        <w:r w:rsidR="00904733" w:rsidRPr="00904733">
          <w:rPr>
            <w:webHidden/>
            <w:color w:val="auto"/>
          </w:rPr>
          <w:fldChar w:fldCharType="separate"/>
        </w:r>
        <w:r w:rsidR="00904733" w:rsidRPr="00904733">
          <w:rPr>
            <w:webHidden/>
            <w:color w:val="auto"/>
          </w:rPr>
          <w:t>48</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47" w:history="1">
        <w:r w:rsidR="00904733" w:rsidRPr="00904733">
          <w:rPr>
            <w:rStyle w:val="Hyperlink"/>
            <w:color w:val="auto"/>
          </w:rPr>
          <w:t>G.</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Classification and Allocation of Purchased Gas Related Costs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_Toc471912947 \h </w:instrText>
        </w:r>
        <w:r w:rsidR="00904733" w:rsidRPr="00904733">
          <w:rPr>
            <w:webHidden/>
            <w:color w:val="auto"/>
          </w:rPr>
        </w:r>
        <w:r w:rsidR="00904733" w:rsidRPr="00904733">
          <w:rPr>
            <w:webHidden/>
            <w:color w:val="auto"/>
          </w:rPr>
          <w:fldChar w:fldCharType="separate"/>
        </w:r>
        <w:r w:rsidR="00904733" w:rsidRPr="00904733">
          <w:rPr>
            <w:webHidden/>
            <w:color w:val="auto"/>
          </w:rPr>
          <w:t>49</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48" w:history="1">
        <w:r w:rsidR="00904733" w:rsidRPr="00904733">
          <w:rPr>
            <w:rStyle w:val="Hyperlink"/>
            <w:color w:val="auto"/>
          </w:rPr>
          <w:t>VI.</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ELECTRIC RATE SPREAD AND RATE DESIGN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_Toc471912948 \h </w:instrText>
        </w:r>
        <w:r w:rsidR="00904733" w:rsidRPr="00904733">
          <w:rPr>
            <w:webHidden/>
            <w:color w:val="auto"/>
          </w:rPr>
        </w:r>
        <w:r w:rsidR="00904733" w:rsidRPr="00904733">
          <w:rPr>
            <w:webHidden/>
            <w:color w:val="auto"/>
          </w:rPr>
          <w:fldChar w:fldCharType="separate"/>
        </w:r>
        <w:r w:rsidR="00904733" w:rsidRPr="00904733">
          <w:rPr>
            <w:webHidden/>
            <w:color w:val="auto"/>
          </w:rPr>
          <w:t>52</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49" w:history="1">
        <w:r w:rsidR="00904733" w:rsidRPr="00904733">
          <w:rPr>
            <w:rStyle w:val="Hyperlink"/>
            <w:color w:val="auto"/>
          </w:rPr>
          <w:t>A.</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Proposed Rate Spread</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_Toc471912949 \h </w:instrText>
        </w:r>
        <w:r w:rsidR="00904733" w:rsidRPr="00904733">
          <w:rPr>
            <w:webHidden/>
            <w:color w:val="auto"/>
          </w:rPr>
        </w:r>
        <w:r w:rsidR="00904733" w:rsidRPr="00904733">
          <w:rPr>
            <w:webHidden/>
            <w:color w:val="auto"/>
          </w:rPr>
          <w:fldChar w:fldCharType="separate"/>
        </w:r>
        <w:r w:rsidR="00904733" w:rsidRPr="00904733">
          <w:rPr>
            <w:webHidden/>
            <w:color w:val="auto"/>
          </w:rPr>
          <w:t>52</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50" w:history="1">
        <w:r w:rsidR="00904733" w:rsidRPr="00904733">
          <w:rPr>
            <w:rStyle w:val="Hyperlink"/>
            <w:color w:val="auto"/>
          </w:rPr>
          <w:t>B.</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Electric Rate Design Guidelines and Overview</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_Toc471912950 \h </w:instrText>
        </w:r>
        <w:r w:rsidR="00904733" w:rsidRPr="00904733">
          <w:rPr>
            <w:webHidden/>
            <w:color w:val="auto"/>
          </w:rPr>
        </w:r>
        <w:r w:rsidR="00904733" w:rsidRPr="00904733">
          <w:rPr>
            <w:webHidden/>
            <w:color w:val="auto"/>
          </w:rPr>
          <w:fldChar w:fldCharType="separate"/>
        </w:r>
        <w:r w:rsidR="00904733" w:rsidRPr="00904733">
          <w:rPr>
            <w:webHidden/>
            <w:color w:val="auto"/>
          </w:rPr>
          <w:t>55</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51" w:history="1">
        <w:r w:rsidR="00904733" w:rsidRPr="00904733">
          <w:rPr>
            <w:rStyle w:val="Hyperlink"/>
            <w:color w:val="auto"/>
          </w:rPr>
          <w:t>C.</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Proposed Residential Electric Rate Design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_Toc471912951 \h </w:instrText>
        </w:r>
        <w:r w:rsidR="00904733" w:rsidRPr="00904733">
          <w:rPr>
            <w:webHidden/>
            <w:color w:val="auto"/>
          </w:rPr>
        </w:r>
        <w:r w:rsidR="00904733" w:rsidRPr="00904733">
          <w:rPr>
            <w:webHidden/>
            <w:color w:val="auto"/>
          </w:rPr>
          <w:fldChar w:fldCharType="separate"/>
        </w:r>
        <w:r w:rsidR="00904733" w:rsidRPr="00904733">
          <w:rPr>
            <w:webHidden/>
            <w:color w:val="auto"/>
          </w:rPr>
          <w:t>57</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52" w:history="1">
        <w:r w:rsidR="00904733" w:rsidRPr="00904733">
          <w:rPr>
            <w:rStyle w:val="Hyperlink"/>
            <w:color w:val="auto"/>
          </w:rPr>
          <w:t>D.</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Proposed General Service Rate Design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_Toc471912952 \h </w:instrText>
        </w:r>
        <w:r w:rsidR="00904733" w:rsidRPr="00904733">
          <w:rPr>
            <w:webHidden/>
            <w:color w:val="auto"/>
          </w:rPr>
        </w:r>
        <w:r w:rsidR="00904733" w:rsidRPr="00904733">
          <w:rPr>
            <w:webHidden/>
            <w:color w:val="auto"/>
          </w:rPr>
          <w:fldChar w:fldCharType="separate"/>
        </w:r>
        <w:r w:rsidR="00904733" w:rsidRPr="00904733">
          <w:rPr>
            <w:webHidden/>
            <w:color w:val="auto"/>
          </w:rPr>
          <w:t>67</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53" w:history="1">
        <w:r w:rsidR="00904733" w:rsidRPr="00904733">
          <w:rPr>
            <w:rStyle w:val="Hyperlink"/>
            <w:color w:val="auto"/>
          </w:rPr>
          <w:t>E.</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Proposed Campus Rate Design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_Toc471912953 \h </w:instrText>
        </w:r>
        <w:r w:rsidR="00904733" w:rsidRPr="00904733">
          <w:rPr>
            <w:webHidden/>
            <w:color w:val="auto"/>
          </w:rPr>
        </w:r>
        <w:r w:rsidR="00904733" w:rsidRPr="00904733">
          <w:rPr>
            <w:webHidden/>
            <w:color w:val="auto"/>
          </w:rPr>
          <w:fldChar w:fldCharType="separate"/>
        </w:r>
        <w:r w:rsidR="00904733" w:rsidRPr="00904733">
          <w:rPr>
            <w:webHidden/>
            <w:color w:val="auto"/>
          </w:rPr>
          <w:t>69</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54" w:history="1">
        <w:r w:rsidR="00904733" w:rsidRPr="00904733">
          <w:rPr>
            <w:rStyle w:val="Hyperlink"/>
            <w:color w:val="auto"/>
          </w:rPr>
          <w:t>F.</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Proposed High Voltage Rate Design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_Toc471912954 \h </w:instrText>
        </w:r>
        <w:r w:rsidR="00904733" w:rsidRPr="00904733">
          <w:rPr>
            <w:webHidden/>
            <w:color w:val="auto"/>
          </w:rPr>
        </w:r>
        <w:r w:rsidR="00904733" w:rsidRPr="00904733">
          <w:rPr>
            <w:webHidden/>
            <w:color w:val="auto"/>
          </w:rPr>
          <w:fldChar w:fldCharType="separate"/>
        </w:r>
        <w:r w:rsidR="00904733" w:rsidRPr="00904733">
          <w:rPr>
            <w:webHidden/>
            <w:color w:val="auto"/>
          </w:rPr>
          <w:t>73</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55" w:history="1">
        <w:r w:rsidR="00904733" w:rsidRPr="00904733">
          <w:rPr>
            <w:rStyle w:val="Hyperlink"/>
            <w:color w:val="auto"/>
          </w:rPr>
          <w:t>G.</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Retail Wheeling Rate Design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_Toc471912955 \h </w:instrText>
        </w:r>
        <w:r w:rsidR="00904733" w:rsidRPr="00904733">
          <w:rPr>
            <w:webHidden/>
            <w:color w:val="auto"/>
          </w:rPr>
        </w:r>
        <w:r w:rsidR="00904733" w:rsidRPr="00904733">
          <w:rPr>
            <w:webHidden/>
            <w:color w:val="auto"/>
          </w:rPr>
          <w:fldChar w:fldCharType="separate"/>
        </w:r>
        <w:r w:rsidR="00904733" w:rsidRPr="00904733">
          <w:rPr>
            <w:webHidden/>
            <w:color w:val="auto"/>
          </w:rPr>
          <w:t>74</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56" w:history="1">
        <w:r w:rsidR="00904733" w:rsidRPr="00904733">
          <w:rPr>
            <w:rStyle w:val="Hyperlink"/>
            <w:color w:val="auto"/>
          </w:rPr>
          <w:t>H.</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Summary of Proposed Rate Impacts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_Toc471912956 \h </w:instrText>
        </w:r>
        <w:r w:rsidR="00904733" w:rsidRPr="00904733">
          <w:rPr>
            <w:webHidden/>
            <w:color w:val="auto"/>
          </w:rPr>
        </w:r>
        <w:r w:rsidR="00904733" w:rsidRPr="00904733">
          <w:rPr>
            <w:webHidden/>
            <w:color w:val="auto"/>
          </w:rPr>
          <w:fldChar w:fldCharType="separate"/>
        </w:r>
        <w:r w:rsidR="00904733" w:rsidRPr="00904733">
          <w:rPr>
            <w:webHidden/>
            <w:color w:val="auto"/>
          </w:rPr>
          <w:t>75</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57" w:history="1">
        <w:r w:rsidR="00904733" w:rsidRPr="00904733">
          <w:rPr>
            <w:rStyle w:val="Hyperlink"/>
            <w:color w:val="auto"/>
          </w:rPr>
          <w:t>VII.</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ELECTRIC LIGHTING RATE DESIGN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_Toc471912957 \h </w:instrText>
        </w:r>
        <w:r w:rsidR="00904733" w:rsidRPr="00904733">
          <w:rPr>
            <w:webHidden/>
            <w:color w:val="auto"/>
          </w:rPr>
        </w:r>
        <w:r w:rsidR="00904733" w:rsidRPr="00904733">
          <w:rPr>
            <w:webHidden/>
            <w:color w:val="auto"/>
          </w:rPr>
          <w:fldChar w:fldCharType="separate"/>
        </w:r>
        <w:r w:rsidR="00904733" w:rsidRPr="00904733">
          <w:rPr>
            <w:webHidden/>
            <w:color w:val="auto"/>
          </w:rPr>
          <w:t>78</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58" w:history="1">
        <w:r w:rsidR="00904733" w:rsidRPr="00904733">
          <w:rPr>
            <w:rStyle w:val="Hyperlink"/>
            <w:color w:val="auto"/>
          </w:rPr>
          <w:t>A.</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Expanded LED Wattage Ranges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_Toc471912958 \h </w:instrText>
        </w:r>
        <w:r w:rsidR="00904733" w:rsidRPr="00904733">
          <w:rPr>
            <w:webHidden/>
            <w:color w:val="auto"/>
          </w:rPr>
        </w:r>
        <w:r w:rsidR="00904733" w:rsidRPr="00904733">
          <w:rPr>
            <w:webHidden/>
            <w:color w:val="auto"/>
          </w:rPr>
          <w:fldChar w:fldCharType="separate"/>
        </w:r>
        <w:r w:rsidR="00904733" w:rsidRPr="00904733">
          <w:rPr>
            <w:webHidden/>
            <w:color w:val="auto"/>
          </w:rPr>
          <w:t>78</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59" w:history="1">
        <w:r w:rsidR="00904733" w:rsidRPr="00904733">
          <w:rPr>
            <w:rStyle w:val="Hyperlink"/>
            <w:color w:val="auto"/>
          </w:rPr>
          <w:t>B.</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Lighting Study</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_Toc471912959 \h </w:instrText>
        </w:r>
        <w:r w:rsidR="00904733" w:rsidRPr="00904733">
          <w:rPr>
            <w:webHidden/>
            <w:color w:val="auto"/>
          </w:rPr>
        </w:r>
        <w:r w:rsidR="00904733" w:rsidRPr="00904733">
          <w:rPr>
            <w:webHidden/>
            <w:color w:val="auto"/>
          </w:rPr>
          <w:fldChar w:fldCharType="separate"/>
        </w:r>
        <w:r w:rsidR="00904733" w:rsidRPr="00904733">
          <w:rPr>
            <w:webHidden/>
            <w:color w:val="auto"/>
          </w:rPr>
          <w:t>81</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60" w:history="1">
        <w:r w:rsidR="00904733" w:rsidRPr="00904733">
          <w:rPr>
            <w:rStyle w:val="Hyperlink"/>
            <w:color w:val="auto"/>
          </w:rPr>
          <w:t>C.</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Other Administrative Changes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_Toc471912960 \h </w:instrText>
        </w:r>
        <w:r w:rsidR="00904733" w:rsidRPr="00904733">
          <w:rPr>
            <w:webHidden/>
            <w:color w:val="auto"/>
          </w:rPr>
        </w:r>
        <w:r w:rsidR="00904733" w:rsidRPr="00904733">
          <w:rPr>
            <w:webHidden/>
            <w:color w:val="auto"/>
          </w:rPr>
          <w:fldChar w:fldCharType="separate"/>
        </w:r>
        <w:r w:rsidR="00904733" w:rsidRPr="00904733">
          <w:rPr>
            <w:webHidden/>
            <w:color w:val="auto"/>
          </w:rPr>
          <w:t>88</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61" w:history="1">
        <w:r w:rsidR="00904733" w:rsidRPr="00904733">
          <w:rPr>
            <w:rStyle w:val="Hyperlink"/>
            <w:color w:val="auto"/>
          </w:rPr>
          <w:t>VIII.</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GAS RATE SPREAD AND RATE DESIGN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_Toc471912961 \h </w:instrText>
        </w:r>
        <w:r w:rsidR="00904733" w:rsidRPr="00904733">
          <w:rPr>
            <w:webHidden/>
            <w:color w:val="auto"/>
          </w:rPr>
        </w:r>
        <w:r w:rsidR="00904733" w:rsidRPr="00904733">
          <w:rPr>
            <w:webHidden/>
            <w:color w:val="auto"/>
          </w:rPr>
          <w:fldChar w:fldCharType="separate"/>
        </w:r>
        <w:r w:rsidR="00904733" w:rsidRPr="00904733">
          <w:rPr>
            <w:webHidden/>
            <w:color w:val="auto"/>
          </w:rPr>
          <w:t>88</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62" w:history="1">
        <w:r w:rsidR="00904733" w:rsidRPr="00904733">
          <w:rPr>
            <w:rStyle w:val="Hyperlink"/>
            <w:color w:val="auto"/>
          </w:rPr>
          <w:t>A.</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Rate Spread</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_Toc471912962 \h </w:instrText>
        </w:r>
        <w:r w:rsidR="00904733" w:rsidRPr="00904733">
          <w:rPr>
            <w:webHidden/>
            <w:color w:val="auto"/>
          </w:rPr>
        </w:r>
        <w:r w:rsidR="00904733" w:rsidRPr="00904733">
          <w:rPr>
            <w:webHidden/>
            <w:color w:val="auto"/>
          </w:rPr>
          <w:fldChar w:fldCharType="separate"/>
        </w:r>
        <w:r w:rsidR="00904733" w:rsidRPr="00904733">
          <w:rPr>
            <w:webHidden/>
            <w:color w:val="auto"/>
          </w:rPr>
          <w:t>88</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63" w:history="1">
        <w:r w:rsidR="00904733" w:rsidRPr="00904733">
          <w:rPr>
            <w:rStyle w:val="Hyperlink"/>
            <w:color w:val="auto"/>
          </w:rPr>
          <w:t>B.</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Rate Design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_Toc471912963 \h </w:instrText>
        </w:r>
        <w:r w:rsidR="00904733" w:rsidRPr="00904733">
          <w:rPr>
            <w:webHidden/>
            <w:color w:val="auto"/>
          </w:rPr>
        </w:r>
        <w:r w:rsidR="00904733" w:rsidRPr="00904733">
          <w:rPr>
            <w:webHidden/>
            <w:color w:val="auto"/>
          </w:rPr>
          <w:fldChar w:fldCharType="separate"/>
        </w:r>
        <w:r w:rsidR="00904733" w:rsidRPr="00904733">
          <w:rPr>
            <w:webHidden/>
            <w:color w:val="auto"/>
          </w:rPr>
          <w:t>89</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64" w:history="1">
        <w:r w:rsidR="00904733" w:rsidRPr="00904733">
          <w:rPr>
            <w:rStyle w:val="Hyperlink"/>
            <w:color w:val="auto"/>
          </w:rPr>
          <w:t>1.</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Residential Gas Rate Design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_Toc471912964 \h </w:instrText>
        </w:r>
        <w:r w:rsidR="00904733" w:rsidRPr="00904733">
          <w:rPr>
            <w:webHidden/>
            <w:color w:val="auto"/>
          </w:rPr>
        </w:r>
        <w:r w:rsidR="00904733" w:rsidRPr="00904733">
          <w:rPr>
            <w:webHidden/>
            <w:color w:val="auto"/>
          </w:rPr>
          <w:fldChar w:fldCharType="separate"/>
        </w:r>
        <w:r w:rsidR="00904733" w:rsidRPr="00904733">
          <w:rPr>
            <w:webHidden/>
            <w:color w:val="auto"/>
          </w:rPr>
          <w:t>91</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65" w:history="1">
        <w:r w:rsidR="00904733" w:rsidRPr="00904733">
          <w:rPr>
            <w:rStyle w:val="Hyperlink"/>
            <w:color w:val="auto"/>
          </w:rPr>
          <w:t>2.</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Non-Residential Gas Rate Design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_Toc471912965 \h </w:instrText>
        </w:r>
        <w:r w:rsidR="00904733" w:rsidRPr="00904733">
          <w:rPr>
            <w:webHidden/>
            <w:color w:val="auto"/>
          </w:rPr>
        </w:r>
        <w:r w:rsidR="00904733" w:rsidRPr="00904733">
          <w:rPr>
            <w:webHidden/>
            <w:color w:val="auto"/>
          </w:rPr>
          <w:fldChar w:fldCharType="separate"/>
        </w:r>
        <w:r w:rsidR="00904733" w:rsidRPr="00904733">
          <w:rPr>
            <w:webHidden/>
            <w:color w:val="auto"/>
          </w:rPr>
          <w:t>94</w:t>
        </w:r>
        <w:r w:rsidR="00904733" w:rsidRPr="00904733">
          <w:rPr>
            <w:webHidden/>
            <w:color w:val="auto"/>
          </w:rPr>
          <w:fldChar w:fldCharType="end"/>
        </w:r>
      </w:hyperlink>
    </w:p>
    <w:p w:rsidR="00904733" w:rsidRPr="00904733" w:rsidRDefault="00F46FCF">
      <w:pPr>
        <w:pStyle w:val="TOC4"/>
        <w:rPr>
          <w:rFonts w:asciiTheme="minorHAnsi" w:eastAsiaTheme="minorEastAsia" w:hAnsiTheme="minorHAnsi" w:cstheme="minorBidi"/>
          <w:color w:val="auto"/>
          <w:sz w:val="22"/>
          <w:szCs w:val="22"/>
          <w:lang w:eastAsia="en-US"/>
        </w:rPr>
      </w:pPr>
      <w:hyperlink w:anchor="_Toc471912966" w:history="1">
        <w:r w:rsidR="00904733" w:rsidRPr="00904733">
          <w:rPr>
            <w:rStyle w:val="Hyperlink"/>
            <w:color w:val="auto"/>
          </w:rPr>
          <w:t>i.</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Non-Residential Gas Demand Charges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_Toc471912966 \h </w:instrText>
        </w:r>
        <w:r w:rsidR="00904733" w:rsidRPr="00904733">
          <w:rPr>
            <w:webHidden/>
            <w:color w:val="auto"/>
          </w:rPr>
        </w:r>
        <w:r w:rsidR="00904733" w:rsidRPr="00904733">
          <w:rPr>
            <w:webHidden/>
            <w:color w:val="auto"/>
          </w:rPr>
          <w:fldChar w:fldCharType="separate"/>
        </w:r>
        <w:r w:rsidR="00904733" w:rsidRPr="00904733">
          <w:rPr>
            <w:webHidden/>
            <w:color w:val="auto"/>
          </w:rPr>
          <w:t>94</w:t>
        </w:r>
        <w:r w:rsidR="00904733" w:rsidRPr="00904733">
          <w:rPr>
            <w:webHidden/>
            <w:color w:val="auto"/>
          </w:rPr>
          <w:fldChar w:fldCharType="end"/>
        </w:r>
      </w:hyperlink>
    </w:p>
    <w:p w:rsidR="00904733" w:rsidRPr="00904733" w:rsidRDefault="00F46FCF">
      <w:pPr>
        <w:pStyle w:val="TOC4"/>
        <w:rPr>
          <w:rFonts w:asciiTheme="minorHAnsi" w:eastAsiaTheme="minorEastAsia" w:hAnsiTheme="minorHAnsi" w:cstheme="minorBidi"/>
          <w:color w:val="auto"/>
          <w:sz w:val="22"/>
          <w:szCs w:val="22"/>
          <w:lang w:eastAsia="en-US"/>
        </w:rPr>
      </w:pPr>
      <w:hyperlink w:anchor="_Toc471912967" w:history="1">
        <w:r w:rsidR="00904733" w:rsidRPr="00904733">
          <w:rPr>
            <w:rStyle w:val="Hyperlink"/>
            <w:color w:val="auto"/>
          </w:rPr>
          <w:t>ii.</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Non-Residential Firm Sales Procurement Charge</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_Toc471912967 \h </w:instrText>
        </w:r>
        <w:r w:rsidR="00904733" w:rsidRPr="00904733">
          <w:rPr>
            <w:webHidden/>
            <w:color w:val="auto"/>
          </w:rPr>
        </w:r>
        <w:r w:rsidR="00904733" w:rsidRPr="00904733">
          <w:rPr>
            <w:webHidden/>
            <w:color w:val="auto"/>
          </w:rPr>
          <w:fldChar w:fldCharType="separate"/>
        </w:r>
        <w:r w:rsidR="00904733" w:rsidRPr="00904733">
          <w:rPr>
            <w:webHidden/>
            <w:color w:val="auto"/>
          </w:rPr>
          <w:t>96</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68" w:history="1">
        <w:r w:rsidR="00904733" w:rsidRPr="00904733">
          <w:rPr>
            <w:rStyle w:val="Hyperlink"/>
            <w:color w:val="auto"/>
          </w:rPr>
          <w:t>C.</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Bill Impacts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_Toc471912968 \h </w:instrText>
        </w:r>
        <w:r w:rsidR="00904733" w:rsidRPr="00904733">
          <w:rPr>
            <w:webHidden/>
            <w:color w:val="auto"/>
          </w:rPr>
        </w:r>
        <w:r w:rsidR="00904733" w:rsidRPr="00904733">
          <w:rPr>
            <w:webHidden/>
            <w:color w:val="auto"/>
          </w:rPr>
          <w:fldChar w:fldCharType="separate"/>
        </w:r>
        <w:r w:rsidR="00904733" w:rsidRPr="00904733">
          <w:rPr>
            <w:webHidden/>
            <w:color w:val="auto"/>
          </w:rPr>
          <w:t>98</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69" w:history="1">
        <w:r w:rsidR="00904733" w:rsidRPr="00904733">
          <w:rPr>
            <w:rStyle w:val="Hyperlink"/>
            <w:color w:val="auto"/>
          </w:rPr>
          <w:t>D.</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Other Tariff Changes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_Toc471912969 \h </w:instrText>
        </w:r>
        <w:r w:rsidR="00904733" w:rsidRPr="00904733">
          <w:rPr>
            <w:webHidden/>
            <w:color w:val="auto"/>
          </w:rPr>
        </w:r>
        <w:r w:rsidR="00904733" w:rsidRPr="00904733">
          <w:rPr>
            <w:webHidden/>
            <w:color w:val="auto"/>
          </w:rPr>
          <w:fldChar w:fldCharType="separate"/>
        </w:r>
        <w:r w:rsidR="00904733" w:rsidRPr="00904733">
          <w:rPr>
            <w:webHidden/>
            <w:color w:val="auto"/>
          </w:rPr>
          <w:t>100</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70" w:history="1">
        <w:r w:rsidR="00904733" w:rsidRPr="00904733">
          <w:rPr>
            <w:rStyle w:val="Hyperlink"/>
            <w:color w:val="auto"/>
          </w:rPr>
          <w:t>1.</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Schedule 41 and 41T Maximum Volumes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_Toc471912970 \h </w:instrText>
        </w:r>
        <w:r w:rsidR="00904733" w:rsidRPr="00904733">
          <w:rPr>
            <w:webHidden/>
            <w:color w:val="auto"/>
          </w:rPr>
        </w:r>
        <w:r w:rsidR="00904733" w:rsidRPr="00904733">
          <w:rPr>
            <w:webHidden/>
            <w:color w:val="auto"/>
          </w:rPr>
          <w:fldChar w:fldCharType="separate"/>
        </w:r>
        <w:r w:rsidR="00904733" w:rsidRPr="00904733">
          <w:rPr>
            <w:webHidden/>
            <w:color w:val="auto"/>
          </w:rPr>
          <w:t>101</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71" w:history="1">
        <w:r w:rsidR="00904733" w:rsidRPr="00904733">
          <w:rPr>
            <w:rStyle w:val="Hyperlink"/>
            <w:color w:val="auto"/>
          </w:rPr>
          <w:t>2.</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Schedule 85 and 85T Annual Minimum Load Charge</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_Toc471912971 \h </w:instrText>
        </w:r>
        <w:r w:rsidR="00904733" w:rsidRPr="00904733">
          <w:rPr>
            <w:webHidden/>
            <w:color w:val="auto"/>
          </w:rPr>
        </w:r>
        <w:r w:rsidR="00904733" w:rsidRPr="00904733">
          <w:rPr>
            <w:webHidden/>
            <w:color w:val="auto"/>
          </w:rPr>
          <w:fldChar w:fldCharType="separate"/>
        </w:r>
        <w:r w:rsidR="00904733" w:rsidRPr="00904733">
          <w:rPr>
            <w:webHidden/>
            <w:color w:val="auto"/>
          </w:rPr>
          <w:t>104</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72" w:history="1">
        <w:r w:rsidR="00904733" w:rsidRPr="00904733">
          <w:rPr>
            <w:rStyle w:val="Hyperlink"/>
            <w:color w:val="auto"/>
          </w:rPr>
          <w:t>3.</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Schedule 85 and 85T Demand Charge for Firm Service</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_Toc471912972 \h </w:instrText>
        </w:r>
        <w:r w:rsidR="00904733" w:rsidRPr="00904733">
          <w:rPr>
            <w:webHidden/>
            <w:color w:val="auto"/>
          </w:rPr>
        </w:r>
        <w:r w:rsidR="00904733" w:rsidRPr="00904733">
          <w:rPr>
            <w:webHidden/>
            <w:color w:val="auto"/>
          </w:rPr>
          <w:fldChar w:fldCharType="separate"/>
        </w:r>
        <w:r w:rsidR="00904733" w:rsidRPr="00904733">
          <w:rPr>
            <w:webHidden/>
            <w:color w:val="auto"/>
          </w:rPr>
          <w:t>105</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73" w:history="1">
        <w:r w:rsidR="00904733" w:rsidRPr="00904733">
          <w:rPr>
            <w:rStyle w:val="Hyperlink"/>
            <w:color w:val="auto"/>
          </w:rPr>
          <w:t>IX.</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REVIEW OF AND PROPOSED CHANGES TO PSE’S ELECTRIC AND GAS DECOUPLING MECHANISMS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_Toc471912973 \h </w:instrText>
        </w:r>
        <w:r w:rsidR="00904733" w:rsidRPr="00904733">
          <w:rPr>
            <w:webHidden/>
            <w:color w:val="auto"/>
          </w:rPr>
        </w:r>
        <w:r w:rsidR="00904733" w:rsidRPr="00904733">
          <w:rPr>
            <w:webHidden/>
            <w:color w:val="auto"/>
          </w:rPr>
          <w:fldChar w:fldCharType="separate"/>
        </w:r>
        <w:r w:rsidR="00904733" w:rsidRPr="00904733">
          <w:rPr>
            <w:webHidden/>
            <w:color w:val="auto"/>
          </w:rPr>
          <w:t>106</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74" w:history="1">
        <w:r w:rsidR="00904733" w:rsidRPr="00904733">
          <w:rPr>
            <w:rStyle w:val="Hyperlink"/>
            <w:color w:val="auto"/>
          </w:rPr>
          <w:t>A.</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Overview of Existing Mechanisms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_Toc471912974 \h </w:instrText>
        </w:r>
        <w:r w:rsidR="00904733" w:rsidRPr="00904733">
          <w:rPr>
            <w:webHidden/>
            <w:color w:val="auto"/>
          </w:rPr>
        </w:r>
        <w:r w:rsidR="00904733" w:rsidRPr="00904733">
          <w:rPr>
            <w:webHidden/>
            <w:color w:val="auto"/>
          </w:rPr>
          <w:fldChar w:fldCharType="separate"/>
        </w:r>
        <w:r w:rsidR="00904733" w:rsidRPr="00904733">
          <w:rPr>
            <w:webHidden/>
            <w:color w:val="auto"/>
          </w:rPr>
          <w:t>106</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75" w:history="1">
        <w:r w:rsidR="00904733" w:rsidRPr="00904733">
          <w:rPr>
            <w:rStyle w:val="Hyperlink"/>
            <w:color w:val="auto"/>
          </w:rPr>
          <w:t>B.</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Review of Operation of the Decoupling Mechanisms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_Toc471912975 \h </w:instrText>
        </w:r>
        <w:r w:rsidR="00904733" w:rsidRPr="00904733">
          <w:rPr>
            <w:webHidden/>
            <w:color w:val="auto"/>
          </w:rPr>
        </w:r>
        <w:r w:rsidR="00904733" w:rsidRPr="00904733">
          <w:rPr>
            <w:webHidden/>
            <w:color w:val="auto"/>
          </w:rPr>
          <w:fldChar w:fldCharType="separate"/>
        </w:r>
        <w:r w:rsidR="00904733" w:rsidRPr="00904733">
          <w:rPr>
            <w:webHidden/>
            <w:color w:val="auto"/>
          </w:rPr>
          <w:t>114</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76" w:history="1">
        <w:r w:rsidR="00904733" w:rsidRPr="00904733">
          <w:rPr>
            <w:rStyle w:val="Hyperlink"/>
            <w:color w:val="auto"/>
          </w:rPr>
          <w:t>1.</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Rate Test Challenges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_Toc471912976 \h </w:instrText>
        </w:r>
        <w:r w:rsidR="00904733" w:rsidRPr="00904733">
          <w:rPr>
            <w:webHidden/>
            <w:color w:val="auto"/>
          </w:rPr>
        </w:r>
        <w:r w:rsidR="00904733" w:rsidRPr="00904733">
          <w:rPr>
            <w:webHidden/>
            <w:color w:val="auto"/>
          </w:rPr>
          <w:fldChar w:fldCharType="separate"/>
        </w:r>
        <w:r w:rsidR="00904733" w:rsidRPr="00904733">
          <w:rPr>
            <w:webHidden/>
            <w:color w:val="auto"/>
          </w:rPr>
          <w:t>115</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77" w:history="1">
        <w:r w:rsidR="00904733" w:rsidRPr="00904733">
          <w:rPr>
            <w:rStyle w:val="Hyperlink"/>
            <w:color w:val="auto"/>
          </w:rPr>
          <w:t>2.</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Earnings Test Challenges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_Toc471912977 \h </w:instrText>
        </w:r>
        <w:r w:rsidR="00904733" w:rsidRPr="00904733">
          <w:rPr>
            <w:webHidden/>
            <w:color w:val="auto"/>
          </w:rPr>
        </w:r>
        <w:r w:rsidR="00904733" w:rsidRPr="00904733">
          <w:rPr>
            <w:webHidden/>
            <w:color w:val="auto"/>
          </w:rPr>
          <w:fldChar w:fldCharType="separate"/>
        </w:r>
        <w:r w:rsidR="00904733" w:rsidRPr="00904733">
          <w:rPr>
            <w:webHidden/>
            <w:color w:val="auto"/>
          </w:rPr>
          <w:t>116</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78" w:history="1">
        <w:r w:rsidR="00904733" w:rsidRPr="00904733">
          <w:rPr>
            <w:rStyle w:val="Hyperlink"/>
            <w:color w:val="auto"/>
          </w:rPr>
          <w:t>3.</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Opportunities to Improve Rate Groupings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_Toc471912978 \h </w:instrText>
        </w:r>
        <w:r w:rsidR="00904733" w:rsidRPr="00904733">
          <w:rPr>
            <w:webHidden/>
            <w:color w:val="auto"/>
          </w:rPr>
        </w:r>
        <w:r w:rsidR="00904733" w:rsidRPr="00904733">
          <w:rPr>
            <w:webHidden/>
            <w:color w:val="auto"/>
          </w:rPr>
          <w:fldChar w:fldCharType="separate"/>
        </w:r>
        <w:r w:rsidR="00904733" w:rsidRPr="00904733">
          <w:rPr>
            <w:webHidden/>
            <w:color w:val="auto"/>
          </w:rPr>
          <w:t>117</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79" w:history="1">
        <w:r w:rsidR="00904733" w:rsidRPr="00904733">
          <w:rPr>
            <w:rStyle w:val="Hyperlink"/>
            <w:color w:val="auto"/>
          </w:rPr>
          <w:t>4.</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Third Party Review of Decoupling Mechanisms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_Toc471912979 \h </w:instrText>
        </w:r>
        <w:r w:rsidR="00904733" w:rsidRPr="00904733">
          <w:rPr>
            <w:webHidden/>
            <w:color w:val="auto"/>
          </w:rPr>
        </w:r>
        <w:r w:rsidR="00904733" w:rsidRPr="00904733">
          <w:rPr>
            <w:webHidden/>
            <w:color w:val="auto"/>
          </w:rPr>
          <w:fldChar w:fldCharType="separate"/>
        </w:r>
        <w:r w:rsidR="00904733" w:rsidRPr="00904733">
          <w:rPr>
            <w:webHidden/>
            <w:color w:val="auto"/>
          </w:rPr>
          <w:t>121</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80" w:history="1">
        <w:r w:rsidR="00904733" w:rsidRPr="00904733">
          <w:rPr>
            <w:rStyle w:val="Hyperlink"/>
            <w:color w:val="auto"/>
          </w:rPr>
          <w:t>5.</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Other Lessons Learned About Existing Decoupling Mechanisms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_Toc471912980 \h </w:instrText>
        </w:r>
        <w:r w:rsidR="00904733" w:rsidRPr="00904733">
          <w:rPr>
            <w:webHidden/>
            <w:color w:val="auto"/>
          </w:rPr>
        </w:r>
        <w:r w:rsidR="00904733" w:rsidRPr="00904733">
          <w:rPr>
            <w:webHidden/>
            <w:color w:val="auto"/>
          </w:rPr>
          <w:fldChar w:fldCharType="separate"/>
        </w:r>
        <w:r w:rsidR="00904733" w:rsidRPr="00904733">
          <w:rPr>
            <w:webHidden/>
            <w:color w:val="auto"/>
          </w:rPr>
          <w:t>125</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81" w:history="1">
        <w:r w:rsidR="00904733" w:rsidRPr="00904733">
          <w:rPr>
            <w:rStyle w:val="Hyperlink"/>
            <w:color w:val="auto"/>
          </w:rPr>
          <w:t>C.</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Proposed Changes to Mechanisms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_Toc471912981 \h </w:instrText>
        </w:r>
        <w:r w:rsidR="00904733" w:rsidRPr="00904733">
          <w:rPr>
            <w:webHidden/>
            <w:color w:val="auto"/>
          </w:rPr>
        </w:r>
        <w:r w:rsidR="00904733" w:rsidRPr="00904733">
          <w:rPr>
            <w:webHidden/>
            <w:color w:val="auto"/>
          </w:rPr>
          <w:fldChar w:fldCharType="separate"/>
        </w:r>
        <w:r w:rsidR="00904733" w:rsidRPr="00904733">
          <w:rPr>
            <w:webHidden/>
            <w:color w:val="auto"/>
          </w:rPr>
          <w:t>125</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82" w:history="1">
        <w:r w:rsidR="00904733" w:rsidRPr="00904733">
          <w:rPr>
            <w:rStyle w:val="Hyperlink"/>
            <w:color w:val="auto"/>
          </w:rPr>
          <w:t>1.</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Move Fixed Power Costs into the Electric Decoupling Mechanism</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_Toc471912982 \h </w:instrText>
        </w:r>
        <w:r w:rsidR="00904733" w:rsidRPr="00904733">
          <w:rPr>
            <w:webHidden/>
            <w:color w:val="auto"/>
          </w:rPr>
        </w:r>
        <w:r w:rsidR="00904733" w:rsidRPr="00904733">
          <w:rPr>
            <w:webHidden/>
            <w:color w:val="auto"/>
          </w:rPr>
          <w:fldChar w:fldCharType="separate"/>
        </w:r>
        <w:r w:rsidR="00904733" w:rsidRPr="00904733">
          <w:rPr>
            <w:webHidden/>
            <w:color w:val="auto"/>
          </w:rPr>
          <w:t>127</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83" w:history="1">
        <w:r w:rsidR="00904733" w:rsidRPr="00904733">
          <w:rPr>
            <w:rStyle w:val="Hyperlink"/>
            <w:color w:val="auto"/>
          </w:rPr>
          <w:t>2.</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Reorganize Non-Residential Decoupling Rate Groups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_Toc471912983 \h </w:instrText>
        </w:r>
        <w:r w:rsidR="00904733" w:rsidRPr="00904733">
          <w:rPr>
            <w:webHidden/>
            <w:color w:val="auto"/>
          </w:rPr>
        </w:r>
        <w:r w:rsidR="00904733" w:rsidRPr="00904733">
          <w:rPr>
            <w:webHidden/>
            <w:color w:val="auto"/>
          </w:rPr>
          <w:fldChar w:fldCharType="separate"/>
        </w:r>
        <w:r w:rsidR="00904733" w:rsidRPr="00904733">
          <w:rPr>
            <w:webHidden/>
            <w:color w:val="auto"/>
          </w:rPr>
          <w:t>129</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84" w:history="1">
        <w:r w:rsidR="00904733" w:rsidRPr="00904733">
          <w:rPr>
            <w:rStyle w:val="Hyperlink"/>
            <w:color w:val="auto"/>
          </w:rPr>
          <w:t>3.</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Modify the Calculation of the Decoupling Rate Tests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_Toc471912984 \h </w:instrText>
        </w:r>
        <w:r w:rsidR="00904733" w:rsidRPr="00904733">
          <w:rPr>
            <w:webHidden/>
            <w:color w:val="auto"/>
          </w:rPr>
        </w:r>
        <w:r w:rsidR="00904733" w:rsidRPr="00904733">
          <w:rPr>
            <w:webHidden/>
            <w:color w:val="auto"/>
          </w:rPr>
          <w:fldChar w:fldCharType="separate"/>
        </w:r>
        <w:r w:rsidR="00904733" w:rsidRPr="00904733">
          <w:rPr>
            <w:webHidden/>
            <w:color w:val="auto"/>
          </w:rPr>
          <w:t>133</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85" w:history="1">
        <w:r w:rsidR="00904733" w:rsidRPr="00904733">
          <w:rPr>
            <w:rStyle w:val="Hyperlink"/>
            <w:color w:val="auto"/>
          </w:rPr>
          <w:t>4.</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Modify the Calculation of the Decoupling Earnings Tests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_Toc471912985 \h </w:instrText>
        </w:r>
        <w:r w:rsidR="00904733" w:rsidRPr="00904733">
          <w:rPr>
            <w:webHidden/>
            <w:color w:val="auto"/>
          </w:rPr>
        </w:r>
        <w:r w:rsidR="00904733" w:rsidRPr="00904733">
          <w:rPr>
            <w:webHidden/>
            <w:color w:val="auto"/>
          </w:rPr>
          <w:fldChar w:fldCharType="separate"/>
        </w:r>
        <w:r w:rsidR="00904733" w:rsidRPr="00904733">
          <w:rPr>
            <w:webHidden/>
            <w:color w:val="auto"/>
          </w:rPr>
          <w:t>138</w:t>
        </w:r>
        <w:r w:rsidR="00904733" w:rsidRPr="00904733">
          <w:rPr>
            <w:webHidden/>
            <w:color w:val="auto"/>
          </w:rPr>
          <w:fldChar w:fldCharType="end"/>
        </w:r>
      </w:hyperlink>
    </w:p>
    <w:p w:rsidR="00904733" w:rsidRPr="00904733" w:rsidRDefault="00F46FCF">
      <w:pPr>
        <w:pStyle w:val="TOC3"/>
        <w:rPr>
          <w:rFonts w:asciiTheme="minorHAnsi" w:eastAsiaTheme="minorEastAsia" w:hAnsiTheme="minorHAnsi" w:cstheme="minorBidi"/>
          <w:color w:val="auto"/>
          <w:sz w:val="22"/>
          <w:szCs w:val="22"/>
          <w:lang w:eastAsia="en-US"/>
        </w:rPr>
      </w:pPr>
      <w:hyperlink w:anchor="_Toc471912986" w:history="1">
        <w:r w:rsidR="00904733" w:rsidRPr="00904733">
          <w:rPr>
            <w:rStyle w:val="Hyperlink"/>
            <w:color w:val="auto"/>
          </w:rPr>
          <w:t>5.</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Other Proposed Changes to the Decoupling Calculations</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_Toc471912986 \h </w:instrText>
        </w:r>
        <w:r w:rsidR="00904733" w:rsidRPr="00904733">
          <w:rPr>
            <w:webHidden/>
            <w:color w:val="auto"/>
          </w:rPr>
        </w:r>
        <w:r w:rsidR="00904733" w:rsidRPr="00904733">
          <w:rPr>
            <w:webHidden/>
            <w:color w:val="auto"/>
          </w:rPr>
          <w:fldChar w:fldCharType="separate"/>
        </w:r>
        <w:r w:rsidR="00904733" w:rsidRPr="00904733">
          <w:rPr>
            <w:webHidden/>
            <w:color w:val="auto"/>
          </w:rPr>
          <w:t>139</w:t>
        </w:r>
        <w:r w:rsidR="00904733" w:rsidRPr="00904733">
          <w:rPr>
            <w:webHidden/>
            <w:color w:val="auto"/>
          </w:rPr>
          <w:fldChar w:fldCharType="end"/>
        </w:r>
      </w:hyperlink>
    </w:p>
    <w:p w:rsidR="00904733" w:rsidRPr="00904733" w:rsidRDefault="00F46FCF">
      <w:pPr>
        <w:pStyle w:val="TOC2"/>
        <w:rPr>
          <w:rFonts w:asciiTheme="minorHAnsi" w:eastAsiaTheme="minorEastAsia" w:hAnsiTheme="minorHAnsi" w:cstheme="minorBidi"/>
          <w:color w:val="auto"/>
          <w:sz w:val="22"/>
          <w:szCs w:val="22"/>
          <w:lang w:eastAsia="en-US"/>
        </w:rPr>
      </w:pPr>
      <w:hyperlink w:anchor="_Toc471912987" w:history="1">
        <w:r w:rsidR="00904733" w:rsidRPr="00904733">
          <w:rPr>
            <w:rStyle w:val="Hyperlink"/>
            <w:color w:val="auto"/>
          </w:rPr>
          <w:t>D.</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Approval of the Modified Decoupling Mechanisms is in the Public Interest</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_Toc471912987 \h </w:instrText>
        </w:r>
        <w:r w:rsidR="00904733" w:rsidRPr="00904733">
          <w:rPr>
            <w:webHidden/>
            <w:color w:val="auto"/>
          </w:rPr>
        </w:r>
        <w:r w:rsidR="00904733" w:rsidRPr="00904733">
          <w:rPr>
            <w:webHidden/>
            <w:color w:val="auto"/>
          </w:rPr>
          <w:fldChar w:fldCharType="separate"/>
        </w:r>
        <w:r w:rsidR="00904733" w:rsidRPr="00904733">
          <w:rPr>
            <w:webHidden/>
            <w:color w:val="auto"/>
          </w:rPr>
          <w:t>140</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88" w:history="1">
        <w:r w:rsidR="00904733" w:rsidRPr="00904733">
          <w:rPr>
            <w:rStyle w:val="Hyperlink"/>
            <w:color w:val="auto"/>
          </w:rPr>
          <w:t>X.</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ELECTRIC COST RECOVERY MECHANISM</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_Toc471912988 \h </w:instrText>
        </w:r>
        <w:r w:rsidR="00904733" w:rsidRPr="00904733">
          <w:rPr>
            <w:webHidden/>
            <w:color w:val="auto"/>
          </w:rPr>
        </w:r>
        <w:r w:rsidR="00904733" w:rsidRPr="00904733">
          <w:rPr>
            <w:webHidden/>
            <w:color w:val="auto"/>
          </w:rPr>
          <w:fldChar w:fldCharType="separate"/>
        </w:r>
        <w:r w:rsidR="00904733" w:rsidRPr="00904733">
          <w:rPr>
            <w:webHidden/>
            <w:color w:val="auto"/>
          </w:rPr>
          <w:t>147</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89" w:history="1">
        <w:r w:rsidR="00904733" w:rsidRPr="00904733">
          <w:rPr>
            <w:rStyle w:val="Hyperlink"/>
            <w:color w:val="auto"/>
          </w:rPr>
          <w:t>XI.</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SCHEDULE 451</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_Toc471912989 \h </w:instrText>
        </w:r>
        <w:r w:rsidR="00904733" w:rsidRPr="00904733">
          <w:rPr>
            <w:webHidden/>
            <w:color w:val="auto"/>
          </w:rPr>
        </w:r>
        <w:r w:rsidR="00904733" w:rsidRPr="00904733">
          <w:rPr>
            <w:webHidden/>
            <w:color w:val="auto"/>
          </w:rPr>
          <w:fldChar w:fldCharType="separate"/>
        </w:r>
        <w:r w:rsidR="00904733" w:rsidRPr="00904733">
          <w:rPr>
            <w:webHidden/>
            <w:color w:val="auto"/>
          </w:rPr>
          <w:t>151</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90" w:history="1">
        <w:r w:rsidR="00904733" w:rsidRPr="00904733">
          <w:rPr>
            <w:rStyle w:val="Hyperlink"/>
            <w:color w:val="auto"/>
          </w:rPr>
          <w:t>XII.</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COMPLIANCE FILING</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_Toc471912990 \h </w:instrText>
        </w:r>
        <w:r w:rsidR="00904733" w:rsidRPr="00904733">
          <w:rPr>
            <w:webHidden/>
            <w:color w:val="auto"/>
          </w:rPr>
        </w:r>
        <w:r w:rsidR="00904733" w:rsidRPr="00904733">
          <w:rPr>
            <w:webHidden/>
            <w:color w:val="auto"/>
          </w:rPr>
          <w:fldChar w:fldCharType="separate"/>
        </w:r>
        <w:r w:rsidR="00904733" w:rsidRPr="00904733">
          <w:rPr>
            <w:webHidden/>
            <w:color w:val="auto"/>
          </w:rPr>
          <w:t>156</w:t>
        </w:r>
        <w:r w:rsidR="00904733" w:rsidRPr="00904733">
          <w:rPr>
            <w:webHidden/>
            <w:color w:val="auto"/>
          </w:rPr>
          <w:fldChar w:fldCharType="end"/>
        </w:r>
      </w:hyperlink>
    </w:p>
    <w:p w:rsidR="00904733" w:rsidRPr="00904733" w:rsidRDefault="00F46FCF">
      <w:pPr>
        <w:pStyle w:val="TOC1"/>
        <w:rPr>
          <w:rFonts w:asciiTheme="minorHAnsi" w:eastAsiaTheme="minorEastAsia" w:hAnsiTheme="minorHAnsi" w:cstheme="minorBidi"/>
          <w:color w:val="auto"/>
          <w:sz w:val="22"/>
          <w:szCs w:val="22"/>
          <w:lang w:eastAsia="en-US"/>
        </w:rPr>
      </w:pPr>
      <w:hyperlink w:anchor="_Toc471912991" w:history="1">
        <w:r w:rsidR="00904733" w:rsidRPr="00904733">
          <w:rPr>
            <w:rStyle w:val="Hyperlink"/>
            <w:color w:val="auto"/>
          </w:rPr>
          <w:t>XIII.</w:t>
        </w:r>
        <w:r w:rsidR="00904733" w:rsidRPr="00904733">
          <w:rPr>
            <w:rFonts w:asciiTheme="minorHAnsi" w:eastAsiaTheme="minorEastAsia" w:hAnsiTheme="minorHAnsi" w:cstheme="minorBidi"/>
            <w:color w:val="auto"/>
            <w:sz w:val="22"/>
            <w:szCs w:val="22"/>
            <w:lang w:eastAsia="en-US"/>
          </w:rPr>
          <w:tab/>
        </w:r>
        <w:r w:rsidR="00904733" w:rsidRPr="00904733">
          <w:rPr>
            <w:rStyle w:val="Hyperlink"/>
            <w:color w:val="auto"/>
          </w:rPr>
          <w:t>CONCLUSION</w:t>
        </w:r>
        <w:r w:rsidR="00904733" w:rsidRPr="00904733">
          <w:rPr>
            <w:webHidden/>
            <w:color w:val="auto"/>
          </w:rPr>
          <w:tab/>
        </w:r>
        <w:r w:rsidR="00904733" w:rsidRPr="00904733">
          <w:rPr>
            <w:webHidden/>
            <w:color w:val="auto"/>
          </w:rPr>
          <w:fldChar w:fldCharType="begin"/>
        </w:r>
        <w:r w:rsidR="00904733" w:rsidRPr="00904733">
          <w:rPr>
            <w:webHidden/>
            <w:color w:val="auto"/>
          </w:rPr>
          <w:instrText xml:space="preserve"> PAGEREF _Toc471912991 \h </w:instrText>
        </w:r>
        <w:r w:rsidR="00904733" w:rsidRPr="00904733">
          <w:rPr>
            <w:webHidden/>
            <w:color w:val="auto"/>
          </w:rPr>
        </w:r>
        <w:r w:rsidR="00904733" w:rsidRPr="00904733">
          <w:rPr>
            <w:webHidden/>
            <w:color w:val="auto"/>
          </w:rPr>
          <w:fldChar w:fldCharType="separate"/>
        </w:r>
        <w:r w:rsidR="00904733" w:rsidRPr="00904733">
          <w:rPr>
            <w:webHidden/>
            <w:color w:val="auto"/>
          </w:rPr>
          <w:t>159</w:t>
        </w:r>
        <w:r w:rsidR="00904733" w:rsidRPr="00904733">
          <w:rPr>
            <w:webHidden/>
            <w:color w:val="auto"/>
          </w:rPr>
          <w:fldChar w:fldCharType="end"/>
        </w:r>
      </w:hyperlink>
    </w:p>
    <w:p w:rsidR="009D1F78" w:rsidRPr="00904733" w:rsidRDefault="00F8418D" w:rsidP="00566656">
      <w:pPr>
        <w:pStyle w:val="TOC1"/>
        <w:rPr>
          <w:color w:val="auto"/>
        </w:rPr>
      </w:pPr>
      <w:r w:rsidRPr="00904733">
        <w:rPr>
          <w:bCs/>
          <w:color w:val="auto"/>
        </w:rPr>
        <w:fldChar w:fldCharType="end"/>
      </w:r>
      <w:r w:rsidR="009D1F78" w:rsidRPr="00904733">
        <w:rPr>
          <w:color w:val="auto"/>
        </w:rPr>
        <w:br w:type="page"/>
      </w:r>
    </w:p>
    <w:p w:rsidR="009D1F78" w:rsidRDefault="009D1F78" w:rsidP="009D1F78">
      <w:pPr>
        <w:widowControl w:val="0"/>
        <w:spacing w:before="240" w:after="240" w:line="480" w:lineRule="auto"/>
        <w:ind w:right="720" w:firstLine="0"/>
        <w:jc w:val="center"/>
        <w:rPr>
          <w:b/>
          <w:bCs/>
        </w:rPr>
      </w:pPr>
      <w:r w:rsidRPr="009D1F78">
        <w:rPr>
          <w:b/>
          <w:bCs/>
        </w:rPr>
        <w:lastRenderedPageBreak/>
        <w:t>EXHIBIT LIST</w:t>
      </w:r>
    </w:p>
    <w:p w:rsidR="009D1F78" w:rsidRPr="009D1F78" w:rsidRDefault="009D1F78" w:rsidP="00756AAC">
      <w:pPr>
        <w:pStyle w:val="ListParagraph"/>
        <w:widowControl w:val="0"/>
        <w:numPr>
          <w:ilvl w:val="0"/>
          <w:numId w:val="29"/>
        </w:numPr>
        <w:spacing w:before="240" w:after="240" w:line="480" w:lineRule="auto"/>
        <w:ind w:right="720"/>
        <w:rPr>
          <w:b/>
          <w:bCs/>
          <w:szCs w:val="24"/>
        </w:rPr>
      </w:pPr>
      <w:r w:rsidRPr="009D1F78">
        <w:rPr>
          <w:b/>
          <w:bCs/>
          <w:szCs w:val="24"/>
        </w:rPr>
        <w:t>Prefiled Direct Testimony (Nonconfidential) of Jon A. Piliaris</w:t>
      </w:r>
    </w:p>
    <w:p w:rsidR="009D1F78" w:rsidRDefault="009D1F78" w:rsidP="00756AAC">
      <w:pPr>
        <w:pStyle w:val="ListParagraph"/>
        <w:widowControl w:val="0"/>
        <w:numPr>
          <w:ilvl w:val="0"/>
          <w:numId w:val="29"/>
        </w:numPr>
        <w:spacing w:before="240" w:after="240" w:line="480" w:lineRule="auto"/>
        <w:ind w:right="720"/>
        <w:rPr>
          <w:b/>
          <w:bCs/>
          <w:szCs w:val="24"/>
        </w:rPr>
      </w:pPr>
      <w:bookmarkStart w:id="2" w:name="_Ref441672420"/>
      <w:r w:rsidRPr="009D1F78">
        <w:rPr>
          <w:b/>
          <w:bCs/>
          <w:szCs w:val="24"/>
        </w:rPr>
        <w:t>Professional Qualifications of Jon A. Piliaris</w:t>
      </w:r>
      <w:bookmarkEnd w:id="2"/>
    </w:p>
    <w:p w:rsidR="009D1F78" w:rsidRDefault="00255B54" w:rsidP="00756AAC">
      <w:pPr>
        <w:pStyle w:val="ListParagraph"/>
        <w:widowControl w:val="0"/>
        <w:numPr>
          <w:ilvl w:val="0"/>
          <w:numId w:val="29"/>
        </w:numPr>
        <w:spacing w:before="240" w:after="240" w:line="480" w:lineRule="auto"/>
        <w:ind w:right="720"/>
        <w:rPr>
          <w:b/>
          <w:bCs/>
          <w:szCs w:val="24"/>
        </w:rPr>
      </w:pPr>
      <w:bookmarkStart w:id="3" w:name="_Ref441672438"/>
      <w:r>
        <w:rPr>
          <w:b/>
          <w:bCs/>
          <w:szCs w:val="24"/>
        </w:rPr>
        <w:t>Pro forma</w:t>
      </w:r>
      <w:r w:rsidR="009D1F78">
        <w:rPr>
          <w:b/>
          <w:bCs/>
          <w:szCs w:val="24"/>
        </w:rPr>
        <w:t xml:space="preserve"> Revenue from Electric Operations</w:t>
      </w:r>
      <w:bookmarkEnd w:id="3"/>
    </w:p>
    <w:p w:rsidR="009D1F78" w:rsidRDefault="00255B54" w:rsidP="00756AAC">
      <w:pPr>
        <w:pStyle w:val="ListParagraph"/>
        <w:widowControl w:val="0"/>
        <w:numPr>
          <w:ilvl w:val="0"/>
          <w:numId w:val="29"/>
        </w:numPr>
        <w:spacing w:before="240" w:after="240" w:line="480" w:lineRule="auto"/>
        <w:ind w:right="720"/>
        <w:rPr>
          <w:b/>
          <w:bCs/>
          <w:szCs w:val="24"/>
        </w:rPr>
      </w:pPr>
      <w:bookmarkStart w:id="4" w:name="_Ref441672453"/>
      <w:r>
        <w:rPr>
          <w:b/>
          <w:bCs/>
          <w:szCs w:val="24"/>
        </w:rPr>
        <w:t>Pro forma</w:t>
      </w:r>
      <w:r w:rsidR="009D1F78">
        <w:rPr>
          <w:b/>
          <w:bCs/>
          <w:szCs w:val="24"/>
        </w:rPr>
        <w:t xml:space="preserve"> Revenue from Natural Gas Operations</w:t>
      </w:r>
      <w:bookmarkEnd w:id="4"/>
    </w:p>
    <w:p w:rsidR="009D1F78" w:rsidRDefault="009D172E" w:rsidP="00756AAC">
      <w:pPr>
        <w:pStyle w:val="ListParagraph"/>
        <w:widowControl w:val="0"/>
        <w:numPr>
          <w:ilvl w:val="0"/>
          <w:numId w:val="29"/>
        </w:numPr>
        <w:spacing w:before="240" w:after="240" w:line="480" w:lineRule="auto"/>
        <w:ind w:right="720"/>
        <w:rPr>
          <w:b/>
          <w:bCs/>
          <w:szCs w:val="24"/>
        </w:rPr>
      </w:pPr>
      <w:bookmarkStart w:id="5" w:name="_Ref441672534"/>
      <w:r>
        <w:rPr>
          <w:b/>
          <w:bCs/>
          <w:szCs w:val="24"/>
        </w:rPr>
        <w:t>Exhibit No.___(JAP-04)</w:t>
      </w:r>
      <w:r w:rsidR="00761068">
        <w:rPr>
          <w:b/>
          <w:bCs/>
          <w:szCs w:val="24"/>
        </w:rPr>
        <w:t xml:space="preserve"> in Docket </w:t>
      </w:r>
      <w:r w:rsidR="009D1F78">
        <w:rPr>
          <w:b/>
          <w:bCs/>
          <w:szCs w:val="24"/>
        </w:rPr>
        <w:t>UE-141368</w:t>
      </w:r>
      <w:bookmarkEnd w:id="5"/>
    </w:p>
    <w:p w:rsidR="009D1F78" w:rsidRDefault="003B5556" w:rsidP="00756AAC">
      <w:pPr>
        <w:pStyle w:val="ListParagraph"/>
        <w:widowControl w:val="0"/>
        <w:numPr>
          <w:ilvl w:val="0"/>
          <w:numId w:val="29"/>
        </w:numPr>
        <w:spacing w:before="240" w:after="240" w:line="480" w:lineRule="auto"/>
        <w:ind w:right="720"/>
        <w:rPr>
          <w:b/>
          <w:bCs/>
          <w:szCs w:val="24"/>
        </w:rPr>
      </w:pPr>
      <w:bookmarkStart w:id="6" w:name="_Ref441672605"/>
      <w:r>
        <w:rPr>
          <w:b/>
          <w:bCs/>
          <w:szCs w:val="24"/>
        </w:rPr>
        <w:t>Updated Results of Peak Credit Methodology</w:t>
      </w:r>
      <w:bookmarkEnd w:id="6"/>
    </w:p>
    <w:p w:rsidR="003B5556" w:rsidRDefault="003B5556" w:rsidP="00756AAC">
      <w:pPr>
        <w:pStyle w:val="ListParagraph"/>
        <w:widowControl w:val="0"/>
        <w:numPr>
          <w:ilvl w:val="0"/>
          <w:numId w:val="29"/>
        </w:numPr>
        <w:spacing w:before="240" w:after="240" w:line="480" w:lineRule="auto"/>
        <w:ind w:right="720"/>
        <w:rPr>
          <w:b/>
          <w:bCs/>
          <w:szCs w:val="24"/>
        </w:rPr>
      </w:pPr>
      <w:bookmarkStart w:id="7" w:name="_Ref441672633"/>
      <w:r>
        <w:rPr>
          <w:b/>
          <w:bCs/>
          <w:szCs w:val="24"/>
        </w:rPr>
        <w:t>Summary of Electric Cost of Service Results</w:t>
      </w:r>
      <w:bookmarkEnd w:id="7"/>
    </w:p>
    <w:p w:rsidR="003B5556" w:rsidRDefault="003B5556" w:rsidP="00756AAC">
      <w:pPr>
        <w:pStyle w:val="ListParagraph"/>
        <w:widowControl w:val="0"/>
        <w:numPr>
          <w:ilvl w:val="0"/>
          <w:numId w:val="29"/>
        </w:numPr>
        <w:spacing w:before="240" w:after="240" w:line="480" w:lineRule="auto"/>
        <w:ind w:right="720"/>
        <w:rPr>
          <w:b/>
          <w:bCs/>
          <w:szCs w:val="24"/>
        </w:rPr>
      </w:pPr>
      <w:bookmarkStart w:id="8" w:name="_Ref441672650"/>
      <w:r>
        <w:rPr>
          <w:b/>
          <w:bCs/>
          <w:szCs w:val="24"/>
        </w:rPr>
        <w:t>Summary of Gas Cost of Service Results Excluding Gas Costs</w:t>
      </w:r>
      <w:bookmarkEnd w:id="8"/>
    </w:p>
    <w:p w:rsidR="003B5556" w:rsidRDefault="003B5556" w:rsidP="00756AAC">
      <w:pPr>
        <w:pStyle w:val="ListParagraph"/>
        <w:widowControl w:val="0"/>
        <w:numPr>
          <w:ilvl w:val="0"/>
          <w:numId w:val="29"/>
        </w:numPr>
        <w:spacing w:before="240" w:after="240" w:line="480" w:lineRule="auto"/>
        <w:ind w:right="720"/>
        <w:rPr>
          <w:b/>
          <w:bCs/>
          <w:szCs w:val="24"/>
        </w:rPr>
      </w:pPr>
      <w:bookmarkStart w:id="9" w:name="_Ref441672660"/>
      <w:r>
        <w:rPr>
          <w:b/>
          <w:bCs/>
          <w:szCs w:val="24"/>
        </w:rPr>
        <w:t>Summary of Gas Cost of Service Results Including Gas Costs</w:t>
      </w:r>
      <w:bookmarkEnd w:id="9"/>
    </w:p>
    <w:p w:rsidR="003B5556" w:rsidRDefault="003B5556" w:rsidP="00756AAC">
      <w:pPr>
        <w:pStyle w:val="ListParagraph"/>
        <w:widowControl w:val="0"/>
        <w:numPr>
          <w:ilvl w:val="0"/>
          <w:numId w:val="29"/>
        </w:numPr>
        <w:spacing w:before="240" w:after="240" w:line="480" w:lineRule="auto"/>
        <w:ind w:right="720"/>
        <w:rPr>
          <w:b/>
          <w:bCs/>
          <w:szCs w:val="24"/>
        </w:rPr>
      </w:pPr>
      <w:bookmarkStart w:id="10" w:name="_Ref441672669"/>
      <w:r>
        <w:rPr>
          <w:b/>
          <w:bCs/>
          <w:szCs w:val="24"/>
        </w:rPr>
        <w:t>Su</w:t>
      </w:r>
      <w:r w:rsidR="00CD5217">
        <w:rPr>
          <w:b/>
          <w:bCs/>
          <w:szCs w:val="24"/>
        </w:rPr>
        <w:t xml:space="preserve">mmary of Gas </w:t>
      </w:r>
      <w:r>
        <w:rPr>
          <w:b/>
          <w:bCs/>
          <w:szCs w:val="24"/>
        </w:rPr>
        <w:t xml:space="preserve">COS </w:t>
      </w:r>
      <w:r w:rsidR="00CD5217">
        <w:rPr>
          <w:b/>
          <w:bCs/>
          <w:szCs w:val="24"/>
        </w:rPr>
        <w:t>Class Allocated Costs</w:t>
      </w:r>
      <w:bookmarkEnd w:id="10"/>
    </w:p>
    <w:p w:rsidR="003B5556" w:rsidRDefault="003B5556" w:rsidP="00756AAC">
      <w:pPr>
        <w:pStyle w:val="ListParagraph"/>
        <w:widowControl w:val="0"/>
        <w:numPr>
          <w:ilvl w:val="0"/>
          <w:numId w:val="29"/>
        </w:numPr>
        <w:spacing w:before="240" w:after="240" w:line="480" w:lineRule="auto"/>
        <w:ind w:right="720"/>
        <w:rPr>
          <w:b/>
          <w:bCs/>
          <w:szCs w:val="24"/>
        </w:rPr>
      </w:pPr>
      <w:bookmarkStart w:id="11" w:name="_Ref441672678"/>
      <w:r>
        <w:rPr>
          <w:b/>
          <w:bCs/>
          <w:szCs w:val="24"/>
        </w:rPr>
        <w:t>Su</w:t>
      </w:r>
      <w:r w:rsidR="00CD5217">
        <w:rPr>
          <w:b/>
          <w:bCs/>
          <w:szCs w:val="24"/>
        </w:rPr>
        <w:t>mmary of G</w:t>
      </w:r>
      <w:r>
        <w:rPr>
          <w:b/>
          <w:bCs/>
          <w:szCs w:val="24"/>
        </w:rPr>
        <w:t xml:space="preserve">as COS </w:t>
      </w:r>
      <w:r w:rsidR="00CD5217">
        <w:rPr>
          <w:b/>
          <w:bCs/>
          <w:szCs w:val="24"/>
        </w:rPr>
        <w:t>Classifications</w:t>
      </w:r>
      <w:bookmarkEnd w:id="11"/>
    </w:p>
    <w:p w:rsidR="003B5556" w:rsidRDefault="003B5556" w:rsidP="00756AAC">
      <w:pPr>
        <w:pStyle w:val="ListParagraph"/>
        <w:widowControl w:val="0"/>
        <w:numPr>
          <w:ilvl w:val="0"/>
          <w:numId w:val="29"/>
        </w:numPr>
        <w:spacing w:before="240" w:after="240" w:line="480" w:lineRule="auto"/>
        <w:ind w:right="720"/>
        <w:rPr>
          <w:b/>
          <w:bCs/>
          <w:szCs w:val="24"/>
        </w:rPr>
      </w:pPr>
      <w:bookmarkStart w:id="12" w:name="_Ref441672685"/>
      <w:r>
        <w:rPr>
          <w:b/>
          <w:bCs/>
          <w:szCs w:val="24"/>
        </w:rPr>
        <w:t>Su</w:t>
      </w:r>
      <w:r w:rsidR="00CD5217">
        <w:rPr>
          <w:b/>
          <w:bCs/>
          <w:szCs w:val="24"/>
        </w:rPr>
        <w:t>mmary of G</w:t>
      </w:r>
      <w:r>
        <w:rPr>
          <w:b/>
          <w:bCs/>
          <w:szCs w:val="24"/>
        </w:rPr>
        <w:t xml:space="preserve">as COS </w:t>
      </w:r>
      <w:r w:rsidR="00CD5217">
        <w:rPr>
          <w:b/>
          <w:bCs/>
          <w:szCs w:val="24"/>
        </w:rPr>
        <w:t>Allocation Factors</w:t>
      </w:r>
      <w:bookmarkEnd w:id="12"/>
    </w:p>
    <w:p w:rsidR="003B5556" w:rsidRDefault="003B5556" w:rsidP="00756AAC">
      <w:pPr>
        <w:pStyle w:val="ListParagraph"/>
        <w:widowControl w:val="0"/>
        <w:numPr>
          <w:ilvl w:val="0"/>
          <w:numId w:val="29"/>
        </w:numPr>
        <w:spacing w:before="240" w:after="240" w:line="480" w:lineRule="auto"/>
        <w:ind w:right="720"/>
        <w:rPr>
          <w:b/>
          <w:bCs/>
          <w:szCs w:val="24"/>
        </w:rPr>
      </w:pPr>
      <w:bookmarkStart w:id="13" w:name="_Ref441672715"/>
      <w:r>
        <w:rPr>
          <w:b/>
          <w:bCs/>
          <w:szCs w:val="24"/>
        </w:rPr>
        <w:t>Diagram of Peak and Average Method Used to Allocate Gas Mains</w:t>
      </w:r>
      <w:bookmarkEnd w:id="13"/>
    </w:p>
    <w:p w:rsidR="00CD5217" w:rsidRDefault="00CD5217" w:rsidP="00756AAC">
      <w:pPr>
        <w:pStyle w:val="ListParagraph"/>
        <w:widowControl w:val="0"/>
        <w:numPr>
          <w:ilvl w:val="0"/>
          <w:numId w:val="29"/>
        </w:numPr>
        <w:spacing w:before="240" w:after="240" w:line="480" w:lineRule="auto"/>
        <w:ind w:right="720"/>
        <w:rPr>
          <w:b/>
          <w:bCs/>
          <w:szCs w:val="24"/>
        </w:rPr>
      </w:pPr>
      <w:bookmarkStart w:id="14" w:name="_Ref470164075"/>
      <w:r>
        <w:rPr>
          <w:b/>
          <w:bCs/>
          <w:szCs w:val="24"/>
        </w:rPr>
        <w:t>PGA Gas Cost Allocation</w:t>
      </w:r>
      <w:bookmarkEnd w:id="14"/>
    </w:p>
    <w:p w:rsidR="003B5556" w:rsidRDefault="003B5556" w:rsidP="00756AAC">
      <w:pPr>
        <w:pStyle w:val="ListParagraph"/>
        <w:widowControl w:val="0"/>
        <w:numPr>
          <w:ilvl w:val="0"/>
          <w:numId w:val="29"/>
        </w:numPr>
        <w:spacing w:before="240" w:after="240" w:line="480" w:lineRule="auto"/>
        <w:ind w:right="720"/>
        <w:rPr>
          <w:b/>
          <w:bCs/>
          <w:szCs w:val="24"/>
        </w:rPr>
      </w:pPr>
      <w:bookmarkStart w:id="15" w:name="_Ref441672773"/>
      <w:r>
        <w:rPr>
          <w:b/>
          <w:bCs/>
          <w:szCs w:val="24"/>
        </w:rPr>
        <w:t xml:space="preserve">Electric Rate Spread </w:t>
      </w:r>
      <w:r w:rsidR="009D172E">
        <w:rPr>
          <w:b/>
          <w:bCs/>
          <w:szCs w:val="24"/>
        </w:rPr>
        <w:t xml:space="preserve">and Rate Design </w:t>
      </w:r>
      <w:r>
        <w:rPr>
          <w:b/>
          <w:bCs/>
          <w:szCs w:val="24"/>
        </w:rPr>
        <w:t>Proposal</w:t>
      </w:r>
      <w:bookmarkEnd w:id="15"/>
    </w:p>
    <w:p w:rsidR="003B5556" w:rsidRDefault="003B5556" w:rsidP="00756AAC">
      <w:pPr>
        <w:pStyle w:val="ListParagraph"/>
        <w:widowControl w:val="0"/>
        <w:numPr>
          <w:ilvl w:val="0"/>
          <w:numId w:val="29"/>
        </w:numPr>
        <w:spacing w:before="240" w:after="240" w:line="480" w:lineRule="auto"/>
        <w:ind w:right="720"/>
        <w:rPr>
          <w:b/>
          <w:bCs/>
          <w:szCs w:val="24"/>
        </w:rPr>
      </w:pPr>
      <w:bookmarkStart w:id="16" w:name="_Ref441672816"/>
      <w:r>
        <w:rPr>
          <w:b/>
          <w:bCs/>
          <w:szCs w:val="24"/>
        </w:rPr>
        <w:t>Proposed Electric Tariff Schedule Revisions</w:t>
      </w:r>
      <w:bookmarkEnd w:id="16"/>
    </w:p>
    <w:p w:rsidR="003B5556" w:rsidRDefault="003B5556" w:rsidP="00756AAC">
      <w:pPr>
        <w:pStyle w:val="ListParagraph"/>
        <w:widowControl w:val="0"/>
        <w:numPr>
          <w:ilvl w:val="0"/>
          <w:numId w:val="29"/>
        </w:numPr>
        <w:spacing w:before="240" w:after="240" w:line="480" w:lineRule="auto"/>
        <w:ind w:right="720"/>
        <w:rPr>
          <w:b/>
          <w:bCs/>
          <w:szCs w:val="24"/>
        </w:rPr>
      </w:pPr>
      <w:bookmarkStart w:id="17" w:name="_Ref441672878"/>
      <w:r>
        <w:rPr>
          <w:b/>
          <w:bCs/>
          <w:szCs w:val="24"/>
        </w:rPr>
        <w:t>Residential Electric Basic Charge Survey</w:t>
      </w:r>
      <w:bookmarkEnd w:id="17"/>
    </w:p>
    <w:p w:rsidR="002D693E" w:rsidRDefault="002D693E" w:rsidP="00756AAC">
      <w:pPr>
        <w:pStyle w:val="ListParagraph"/>
        <w:widowControl w:val="0"/>
        <w:numPr>
          <w:ilvl w:val="0"/>
          <w:numId w:val="29"/>
        </w:numPr>
        <w:spacing w:before="240" w:after="240" w:line="480" w:lineRule="auto"/>
        <w:ind w:right="720"/>
        <w:rPr>
          <w:b/>
          <w:bCs/>
          <w:szCs w:val="24"/>
        </w:rPr>
      </w:pPr>
      <w:bookmarkStart w:id="18" w:name="_Ref442786675"/>
      <w:r>
        <w:rPr>
          <w:b/>
          <w:bCs/>
          <w:szCs w:val="24"/>
        </w:rPr>
        <w:t>Schedule 40 Coincidence Factors</w:t>
      </w:r>
      <w:bookmarkEnd w:id="18"/>
    </w:p>
    <w:p w:rsidR="003B5556" w:rsidRDefault="003B5556" w:rsidP="00756AAC">
      <w:pPr>
        <w:pStyle w:val="ListParagraph"/>
        <w:widowControl w:val="0"/>
        <w:numPr>
          <w:ilvl w:val="0"/>
          <w:numId w:val="29"/>
        </w:numPr>
        <w:spacing w:before="240" w:after="240" w:line="480" w:lineRule="auto"/>
        <w:ind w:right="720"/>
        <w:rPr>
          <w:b/>
          <w:bCs/>
          <w:szCs w:val="24"/>
        </w:rPr>
      </w:pPr>
      <w:bookmarkStart w:id="19" w:name="_Ref441673065"/>
      <w:r>
        <w:rPr>
          <w:b/>
          <w:bCs/>
          <w:szCs w:val="24"/>
        </w:rPr>
        <w:t>Estimated Electric Bill Impacts from Proposed Base and Rider Rates</w:t>
      </w:r>
      <w:bookmarkEnd w:id="19"/>
    </w:p>
    <w:p w:rsidR="005C51E1" w:rsidRDefault="005C51E1" w:rsidP="00756AAC">
      <w:pPr>
        <w:pStyle w:val="ListParagraph"/>
        <w:widowControl w:val="0"/>
        <w:numPr>
          <w:ilvl w:val="0"/>
          <w:numId w:val="29"/>
        </w:numPr>
        <w:spacing w:before="240" w:after="240" w:line="480" w:lineRule="auto"/>
        <w:ind w:right="720"/>
        <w:rPr>
          <w:b/>
          <w:bCs/>
          <w:szCs w:val="24"/>
        </w:rPr>
      </w:pPr>
      <w:bookmarkStart w:id="20" w:name="_Ref470974834"/>
      <w:bookmarkStart w:id="21" w:name="_Ref441673082"/>
      <w:bookmarkStart w:id="22" w:name="_Ref444620578"/>
      <w:r>
        <w:rPr>
          <w:b/>
          <w:bCs/>
          <w:szCs w:val="24"/>
        </w:rPr>
        <w:t>Classification of Electric Lighting Costs</w:t>
      </w:r>
      <w:bookmarkEnd w:id="20"/>
    </w:p>
    <w:p w:rsidR="003B5556" w:rsidRDefault="00404CFE" w:rsidP="00756AAC">
      <w:pPr>
        <w:pStyle w:val="ListParagraph"/>
        <w:widowControl w:val="0"/>
        <w:numPr>
          <w:ilvl w:val="0"/>
          <w:numId w:val="29"/>
        </w:numPr>
        <w:spacing w:before="240" w:after="240" w:line="480" w:lineRule="auto"/>
        <w:ind w:right="720"/>
        <w:rPr>
          <w:b/>
          <w:bCs/>
          <w:szCs w:val="24"/>
        </w:rPr>
      </w:pPr>
      <w:bookmarkStart w:id="23" w:name="_Ref470974869"/>
      <w:r>
        <w:rPr>
          <w:b/>
          <w:bCs/>
          <w:szCs w:val="24"/>
        </w:rPr>
        <w:t>Development of Electric Lighting Allocation Factors</w:t>
      </w:r>
      <w:bookmarkEnd w:id="23"/>
      <w:r>
        <w:rPr>
          <w:b/>
          <w:bCs/>
          <w:szCs w:val="24"/>
        </w:rPr>
        <w:t xml:space="preserve"> </w:t>
      </w:r>
      <w:bookmarkEnd w:id="21"/>
      <w:bookmarkEnd w:id="22"/>
    </w:p>
    <w:p w:rsidR="0034545B" w:rsidRDefault="0034545B" w:rsidP="00756AAC">
      <w:pPr>
        <w:pStyle w:val="ListParagraph"/>
        <w:widowControl w:val="0"/>
        <w:numPr>
          <w:ilvl w:val="0"/>
          <w:numId w:val="29"/>
        </w:numPr>
        <w:spacing w:before="240" w:after="240" w:line="480" w:lineRule="auto"/>
        <w:ind w:right="720"/>
        <w:rPr>
          <w:b/>
          <w:bCs/>
          <w:szCs w:val="24"/>
        </w:rPr>
      </w:pPr>
      <w:bookmarkStart w:id="24" w:name="_Ref444621923"/>
      <w:r>
        <w:rPr>
          <w:b/>
          <w:bCs/>
          <w:szCs w:val="24"/>
        </w:rPr>
        <w:lastRenderedPageBreak/>
        <w:t>Development of Electric Lighting Rates</w:t>
      </w:r>
      <w:bookmarkEnd w:id="24"/>
    </w:p>
    <w:p w:rsidR="0034545B" w:rsidRDefault="00404CFE" w:rsidP="00756AAC">
      <w:pPr>
        <w:pStyle w:val="ListParagraph"/>
        <w:widowControl w:val="0"/>
        <w:numPr>
          <w:ilvl w:val="0"/>
          <w:numId w:val="29"/>
        </w:numPr>
        <w:spacing w:before="240" w:after="240" w:line="480" w:lineRule="auto"/>
        <w:ind w:right="720"/>
        <w:rPr>
          <w:b/>
          <w:bCs/>
          <w:szCs w:val="24"/>
        </w:rPr>
      </w:pPr>
      <w:bookmarkStart w:id="25" w:name="_Ref444622011"/>
      <w:r>
        <w:rPr>
          <w:b/>
          <w:bCs/>
          <w:szCs w:val="24"/>
        </w:rPr>
        <w:t>Electric Lighting Results</w:t>
      </w:r>
      <w:bookmarkEnd w:id="25"/>
    </w:p>
    <w:p w:rsidR="003B5556" w:rsidRDefault="003B5556" w:rsidP="00756AAC">
      <w:pPr>
        <w:pStyle w:val="ListParagraph"/>
        <w:widowControl w:val="0"/>
        <w:numPr>
          <w:ilvl w:val="0"/>
          <w:numId w:val="29"/>
        </w:numPr>
        <w:spacing w:before="240" w:after="240" w:line="480" w:lineRule="auto"/>
        <w:ind w:right="720"/>
        <w:rPr>
          <w:b/>
          <w:bCs/>
          <w:szCs w:val="24"/>
        </w:rPr>
      </w:pPr>
      <w:bookmarkStart w:id="26" w:name="_Ref441673102"/>
      <w:r>
        <w:rPr>
          <w:b/>
          <w:bCs/>
          <w:szCs w:val="24"/>
        </w:rPr>
        <w:t xml:space="preserve">Gas Rate Spread </w:t>
      </w:r>
      <w:r w:rsidR="00E22C54">
        <w:rPr>
          <w:b/>
          <w:bCs/>
          <w:szCs w:val="24"/>
        </w:rPr>
        <w:t>and Proposed Gas Rates</w:t>
      </w:r>
      <w:bookmarkEnd w:id="26"/>
    </w:p>
    <w:p w:rsidR="003B5556" w:rsidRDefault="003B5556" w:rsidP="00756AAC">
      <w:pPr>
        <w:pStyle w:val="ListParagraph"/>
        <w:widowControl w:val="0"/>
        <w:numPr>
          <w:ilvl w:val="0"/>
          <w:numId w:val="29"/>
        </w:numPr>
        <w:spacing w:before="240" w:after="240" w:line="480" w:lineRule="auto"/>
        <w:ind w:right="720"/>
        <w:rPr>
          <w:b/>
          <w:bCs/>
          <w:szCs w:val="24"/>
        </w:rPr>
      </w:pPr>
      <w:bookmarkStart w:id="27" w:name="_Ref441673197"/>
      <w:r>
        <w:rPr>
          <w:b/>
          <w:bCs/>
          <w:szCs w:val="24"/>
        </w:rPr>
        <w:t>Proposed Gas Tariff Schedule Revisions</w:t>
      </w:r>
      <w:bookmarkEnd w:id="27"/>
    </w:p>
    <w:p w:rsidR="003B5556" w:rsidRDefault="003B5556" w:rsidP="00756AAC">
      <w:pPr>
        <w:pStyle w:val="ListParagraph"/>
        <w:widowControl w:val="0"/>
        <w:numPr>
          <w:ilvl w:val="0"/>
          <w:numId w:val="29"/>
        </w:numPr>
        <w:spacing w:before="240" w:after="240" w:line="480" w:lineRule="auto"/>
        <w:ind w:right="720"/>
        <w:rPr>
          <w:b/>
          <w:bCs/>
          <w:szCs w:val="24"/>
        </w:rPr>
      </w:pPr>
      <w:bookmarkStart w:id="28" w:name="_Ref441673127"/>
      <w:r>
        <w:rPr>
          <w:b/>
          <w:bCs/>
          <w:szCs w:val="24"/>
        </w:rPr>
        <w:t>Residential Gas Basic Charge Survey</w:t>
      </w:r>
      <w:bookmarkEnd w:id="28"/>
    </w:p>
    <w:p w:rsidR="00525D2A" w:rsidRDefault="00525D2A" w:rsidP="00756AAC">
      <w:pPr>
        <w:pStyle w:val="ListParagraph"/>
        <w:widowControl w:val="0"/>
        <w:numPr>
          <w:ilvl w:val="0"/>
          <w:numId w:val="29"/>
        </w:numPr>
        <w:spacing w:before="240" w:after="240" w:line="480" w:lineRule="auto"/>
        <w:ind w:right="720"/>
        <w:rPr>
          <w:b/>
          <w:bCs/>
          <w:szCs w:val="24"/>
        </w:rPr>
      </w:pPr>
      <w:bookmarkStart w:id="29" w:name="_Ref441837380"/>
      <w:r>
        <w:rPr>
          <w:b/>
          <w:bCs/>
          <w:szCs w:val="24"/>
        </w:rPr>
        <w:t xml:space="preserve">Development of Gas </w:t>
      </w:r>
      <w:r w:rsidR="003E05B7">
        <w:rPr>
          <w:b/>
          <w:bCs/>
          <w:szCs w:val="24"/>
        </w:rPr>
        <w:t xml:space="preserve">Procurement </w:t>
      </w:r>
      <w:r>
        <w:rPr>
          <w:b/>
          <w:bCs/>
          <w:szCs w:val="24"/>
        </w:rPr>
        <w:t>Charge</w:t>
      </w:r>
      <w:bookmarkEnd w:id="29"/>
    </w:p>
    <w:p w:rsidR="00C004F0" w:rsidRDefault="00C004F0" w:rsidP="00756AAC">
      <w:pPr>
        <w:pStyle w:val="ListParagraph"/>
        <w:widowControl w:val="0"/>
        <w:numPr>
          <w:ilvl w:val="0"/>
          <w:numId w:val="29"/>
        </w:numPr>
        <w:spacing w:before="240" w:after="240" w:line="480" w:lineRule="auto"/>
        <w:ind w:right="720"/>
        <w:rPr>
          <w:b/>
          <w:bCs/>
          <w:szCs w:val="24"/>
        </w:rPr>
      </w:pPr>
      <w:bookmarkStart w:id="30" w:name="_Ref441674600"/>
      <w:r>
        <w:rPr>
          <w:b/>
          <w:bCs/>
          <w:szCs w:val="24"/>
        </w:rPr>
        <w:t>Estimated Gas Bill Impacts from Proposed Base and Rider Rates</w:t>
      </w:r>
      <w:bookmarkEnd w:id="30"/>
    </w:p>
    <w:p w:rsidR="00D82F5E" w:rsidRDefault="00D82F5E" w:rsidP="00756AAC">
      <w:pPr>
        <w:pStyle w:val="ListParagraph"/>
        <w:widowControl w:val="0"/>
        <w:numPr>
          <w:ilvl w:val="0"/>
          <w:numId w:val="29"/>
        </w:numPr>
        <w:spacing w:before="240" w:after="240" w:line="480" w:lineRule="auto"/>
        <w:ind w:right="720"/>
        <w:rPr>
          <w:b/>
          <w:bCs/>
          <w:szCs w:val="24"/>
        </w:rPr>
      </w:pPr>
      <w:bookmarkStart w:id="31" w:name="_Ref441848050"/>
      <w:r>
        <w:rPr>
          <w:b/>
          <w:bCs/>
          <w:szCs w:val="24"/>
        </w:rPr>
        <w:t>3</w:t>
      </w:r>
      <w:r w:rsidRPr="00D82F5E">
        <w:rPr>
          <w:b/>
          <w:bCs/>
          <w:szCs w:val="24"/>
          <w:vertAlign w:val="superscript"/>
        </w:rPr>
        <w:t>rd</w:t>
      </w:r>
      <w:r>
        <w:rPr>
          <w:b/>
          <w:bCs/>
          <w:szCs w:val="24"/>
        </w:rPr>
        <w:t xml:space="preserve"> Party Review of PSE’s Electric and Gas Decoupling Mechanisms</w:t>
      </w:r>
      <w:bookmarkEnd w:id="31"/>
    </w:p>
    <w:p w:rsidR="009D172E" w:rsidRDefault="009D172E" w:rsidP="00756AAC">
      <w:pPr>
        <w:pStyle w:val="ListParagraph"/>
        <w:widowControl w:val="0"/>
        <w:numPr>
          <w:ilvl w:val="0"/>
          <w:numId w:val="29"/>
        </w:numPr>
        <w:spacing w:before="240" w:after="240" w:line="480" w:lineRule="auto"/>
        <w:ind w:right="720"/>
        <w:rPr>
          <w:b/>
          <w:bCs/>
          <w:szCs w:val="24"/>
        </w:rPr>
      </w:pPr>
      <w:bookmarkStart w:id="32" w:name="_Ref442873130"/>
      <w:r>
        <w:rPr>
          <w:b/>
          <w:bCs/>
          <w:szCs w:val="24"/>
        </w:rPr>
        <w:t>Electric Decoupling Mechanism Calculations</w:t>
      </w:r>
      <w:bookmarkEnd w:id="32"/>
    </w:p>
    <w:p w:rsidR="009D172E" w:rsidRDefault="009D172E" w:rsidP="00756AAC">
      <w:pPr>
        <w:pStyle w:val="ListParagraph"/>
        <w:widowControl w:val="0"/>
        <w:numPr>
          <w:ilvl w:val="0"/>
          <w:numId w:val="29"/>
        </w:numPr>
        <w:spacing w:before="240" w:after="240" w:line="480" w:lineRule="auto"/>
        <w:ind w:right="720"/>
        <w:rPr>
          <w:b/>
          <w:bCs/>
          <w:szCs w:val="24"/>
        </w:rPr>
      </w:pPr>
      <w:bookmarkStart w:id="33" w:name="_Ref442873137"/>
      <w:r>
        <w:rPr>
          <w:b/>
          <w:bCs/>
          <w:szCs w:val="24"/>
        </w:rPr>
        <w:t>Gas Decoupling Mechanism Calculations</w:t>
      </w:r>
      <w:bookmarkEnd w:id="33"/>
    </w:p>
    <w:p w:rsidR="00D00D4C" w:rsidRDefault="00D00D4C" w:rsidP="00756AAC">
      <w:pPr>
        <w:pStyle w:val="ListParagraph"/>
        <w:widowControl w:val="0"/>
        <w:numPr>
          <w:ilvl w:val="0"/>
          <w:numId w:val="29"/>
        </w:numPr>
        <w:spacing w:before="240" w:after="240" w:line="480" w:lineRule="auto"/>
        <w:ind w:right="720"/>
        <w:rPr>
          <w:b/>
          <w:bCs/>
          <w:szCs w:val="24"/>
        </w:rPr>
      </w:pPr>
      <w:bookmarkStart w:id="34" w:name="_Ref471025666"/>
      <w:r>
        <w:rPr>
          <w:b/>
          <w:bCs/>
          <w:szCs w:val="24"/>
        </w:rPr>
        <w:t>Development of Electric CRM Rates</w:t>
      </w:r>
      <w:bookmarkEnd w:id="34"/>
    </w:p>
    <w:p w:rsidR="002555BD" w:rsidRPr="009D172E" w:rsidRDefault="002555BD" w:rsidP="00756AAC">
      <w:pPr>
        <w:pStyle w:val="ListParagraph"/>
        <w:widowControl w:val="0"/>
        <w:numPr>
          <w:ilvl w:val="0"/>
          <w:numId w:val="29"/>
        </w:numPr>
        <w:spacing w:before="240" w:after="240" w:line="480" w:lineRule="auto"/>
        <w:ind w:right="720"/>
        <w:rPr>
          <w:b/>
          <w:bCs/>
          <w:szCs w:val="24"/>
        </w:rPr>
      </w:pPr>
      <w:bookmarkStart w:id="35" w:name="_Ref471033491"/>
      <w:r>
        <w:rPr>
          <w:b/>
          <w:bCs/>
          <w:szCs w:val="24"/>
        </w:rPr>
        <w:t>Electric Decoupling Allowed Revenue Per Customer Without Microsoft Schedule 40 Load</w:t>
      </w:r>
      <w:bookmarkEnd w:id="35"/>
    </w:p>
    <w:p w:rsidR="009D1F78" w:rsidRPr="009D1F78" w:rsidRDefault="009D1F78" w:rsidP="009D1F78">
      <w:pPr>
        <w:widowControl w:val="0"/>
        <w:spacing w:before="240" w:after="240" w:line="480" w:lineRule="auto"/>
        <w:ind w:right="720" w:firstLine="0"/>
        <w:rPr>
          <w:b/>
          <w:bCs/>
          <w:szCs w:val="24"/>
        </w:rPr>
      </w:pPr>
    </w:p>
    <w:p w:rsidR="009D1F78" w:rsidRDefault="009D1F78" w:rsidP="009D1F78">
      <w:pPr>
        <w:widowControl w:val="0"/>
        <w:spacing w:before="240" w:after="240" w:line="480" w:lineRule="auto"/>
        <w:ind w:right="720"/>
        <w:rPr>
          <w:b/>
          <w:bCs/>
          <w:szCs w:val="24"/>
        </w:rPr>
      </w:pPr>
    </w:p>
    <w:p w:rsidR="009D1F78" w:rsidRPr="009D1F78" w:rsidRDefault="009D1F78" w:rsidP="009D1F78">
      <w:pPr>
        <w:widowControl w:val="0"/>
        <w:spacing w:before="240" w:after="240" w:line="480" w:lineRule="auto"/>
        <w:ind w:right="720"/>
        <w:rPr>
          <w:b/>
          <w:bCs/>
          <w:szCs w:val="24"/>
        </w:rPr>
        <w:sectPr w:rsidR="009D1F78" w:rsidRPr="009D1F78">
          <w:headerReference w:type="default" r:id="rId11"/>
          <w:footerReference w:type="default" r:id="rId12"/>
          <w:pgSz w:w="12240" w:h="15840" w:code="1"/>
          <w:pgMar w:top="1440" w:right="1440" w:bottom="1440" w:left="2160" w:header="864" w:footer="576" w:gutter="0"/>
          <w:pgNumType w:fmt="lowerRoman" w:start="1"/>
          <w:cols w:space="720"/>
        </w:sectPr>
      </w:pPr>
    </w:p>
    <w:p w:rsidR="00F8418D" w:rsidRPr="009075DC" w:rsidRDefault="00F8418D" w:rsidP="000F4005">
      <w:pPr>
        <w:widowControl w:val="0"/>
        <w:spacing w:before="240" w:after="240" w:line="480" w:lineRule="auto"/>
        <w:ind w:left="540" w:right="540" w:firstLine="0"/>
        <w:jc w:val="center"/>
        <w:rPr>
          <w:b/>
          <w:bCs/>
          <w:szCs w:val="24"/>
        </w:rPr>
      </w:pPr>
      <w:r w:rsidRPr="009075DC">
        <w:rPr>
          <w:b/>
          <w:bCs/>
          <w:szCs w:val="24"/>
        </w:rPr>
        <w:lastRenderedPageBreak/>
        <w:t>PUGET SOUND ENERGY</w:t>
      </w:r>
    </w:p>
    <w:p w:rsidR="00F8418D" w:rsidRPr="009075DC" w:rsidRDefault="00F8418D" w:rsidP="000F4005">
      <w:pPr>
        <w:widowControl w:val="0"/>
        <w:spacing w:before="240" w:after="480" w:line="240" w:lineRule="auto"/>
        <w:ind w:left="547" w:right="547" w:firstLine="0"/>
        <w:jc w:val="center"/>
        <w:rPr>
          <w:b/>
          <w:bCs/>
          <w:szCs w:val="24"/>
        </w:rPr>
      </w:pPr>
      <w:r w:rsidRPr="009075DC">
        <w:rPr>
          <w:b/>
          <w:bCs/>
          <w:szCs w:val="24"/>
        </w:rPr>
        <w:t>PREFILED DIRECT TESTIMONY (NONCONFIDENTIAL) OF</w:t>
      </w:r>
      <w:r w:rsidRPr="009075DC">
        <w:rPr>
          <w:b/>
          <w:bCs/>
          <w:szCs w:val="24"/>
        </w:rPr>
        <w:br/>
        <w:t>JON A. PILIARIS</w:t>
      </w:r>
    </w:p>
    <w:p w:rsidR="00F8418D" w:rsidRPr="009075DC" w:rsidRDefault="00F8418D" w:rsidP="000F4005">
      <w:pPr>
        <w:pStyle w:val="Heading1"/>
        <w:keepNext w:val="0"/>
        <w:keepLines w:val="0"/>
        <w:widowControl w:val="0"/>
        <w:rPr>
          <w:rFonts w:eastAsia="SimSun"/>
        </w:rPr>
      </w:pPr>
      <w:bookmarkStart w:id="36" w:name="_Toc125167531"/>
      <w:bookmarkStart w:id="37" w:name="_Toc127023381"/>
      <w:bookmarkStart w:id="38" w:name="_Toc471912923"/>
      <w:r w:rsidRPr="009075DC">
        <w:rPr>
          <w:rFonts w:eastAsia="SimSun"/>
        </w:rPr>
        <w:t>I.</w:t>
      </w:r>
      <w:r w:rsidRPr="009075DC">
        <w:rPr>
          <w:rFonts w:eastAsia="SimSun"/>
        </w:rPr>
        <w:tab/>
        <w:t>INTRODUCTION</w:t>
      </w:r>
      <w:bookmarkEnd w:id="36"/>
      <w:bookmarkEnd w:id="37"/>
      <w:bookmarkEnd w:id="38"/>
    </w:p>
    <w:p w:rsidR="00F8418D" w:rsidRPr="009075DC" w:rsidRDefault="00F8418D" w:rsidP="000F4005">
      <w:pPr>
        <w:pStyle w:val="question"/>
        <w:widowControl w:val="0"/>
      </w:pPr>
      <w:r w:rsidRPr="009075DC">
        <w:rPr>
          <w:rFonts w:eastAsia="SimSun"/>
        </w:rPr>
        <w:t>Q.</w:t>
      </w:r>
      <w:r w:rsidRPr="009075DC">
        <w:rPr>
          <w:rFonts w:eastAsia="SimSun"/>
        </w:rPr>
        <w:tab/>
        <w:t>Please state your name and business address.</w:t>
      </w:r>
    </w:p>
    <w:p w:rsidR="00F8418D" w:rsidRPr="009075DC" w:rsidRDefault="00F8418D" w:rsidP="000F4005">
      <w:pPr>
        <w:pStyle w:val="answer"/>
        <w:widowControl w:val="0"/>
        <w:rPr>
          <w:rFonts w:eastAsia="SimSun"/>
        </w:rPr>
      </w:pPr>
      <w:r w:rsidRPr="009075DC">
        <w:rPr>
          <w:rFonts w:eastAsia="SimSun"/>
        </w:rPr>
        <w:t>A.</w:t>
      </w:r>
      <w:r w:rsidRPr="009075DC">
        <w:rPr>
          <w:rFonts w:eastAsia="SimSun"/>
        </w:rPr>
        <w:tab/>
        <w:t>My name is Jon A. Piliaris.  I am employed as Manager of Pricing and Cost of Service with Puget Sound Energy ("PSE"</w:t>
      </w:r>
      <w:r>
        <w:rPr>
          <w:rFonts w:eastAsia="SimSun"/>
        </w:rPr>
        <w:t xml:space="preserve"> or the "Company"</w:t>
      </w:r>
      <w:r w:rsidRPr="009075DC">
        <w:rPr>
          <w:rFonts w:eastAsia="SimSun"/>
        </w:rPr>
        <w:t>).  My business address is 10885 NE Fourth Street, Bellevue, WA 98009-9734.</w:t>
      </w:r>
    </w:p>
    <w:p w:rsidR="00F8418D" w:rsidRPr="009075DC" w:rsidRDefault="00F8418D" w:rsidP="000F4005">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F8418D" w:rsidRPr="009075DC" w:rsidRDefault="00F8418D" w:rsidP="000F4005">
      <w:pPr>
        <w:pStyle w:val="answer"/>
        <w:widowControl w:val="0"/>
        <w:rPr>
          <w:rFonts w:eastAsia="SimSun"/>
        </w:rPr>
      </w:pPr>
      <w:r w:rsidRPr="009075DC">
        <w:rPr>
          <w:rFonts w:eastAsia="SimSun"/>
        </w:rPr>
        <w:t>A.</w:t>
      </w:r>
      <w:r w:rsidRPr="009075DC">
        <w:rPr>
          <w:rFonts w:eastAsia="SimSun"/>
        </w:rPr>
        <w:tab/>
        <w:t>Yes, I have.  It is Exhibit No. ___(JAP-</w:t>
      </w:r>
      <w:r w:rsidR="003B5556">
        <w:rPr>
          <w:rFonts w:eastAsia="SimSun"/>
        </w:rPr>
        <w:fldChar w:fldCharType="begin"/>
      </w:r>
      <w:r w:rsidR="003B5556">
        <w:rPr>
          <w:rFonts w:eastAsia="SimSun"/>
        </w:rPr>
        <w:instrText xml:space="preserve"> REF _Ref441672420 \r \h </w:instrText>
      </w:r>
      <w:r w:rsidR="003B5556">
        <w:rPr>
          <w:rFonts w:eastAsia="SimSun"/>
        </w:rPr>
      </w:r>
      <w:r w:rsidR="003B5556">
        <w:rPr>
          <w:rFonts w:eastAsia="SimSun"/>
        </w:rPr>
        <w:fldChar w:fldCharType="separate"/>
      </w:r>
      <w:r w:rsidR="0035666C">
        <w:rPr>
          <w:rFonts w:eastAsia="SimSun"/>
        </w:rPr>
        <w:t>2</w:t>
      </w:r>
      <w:r w:rsidR="003B5556">
        <w:rPr>
          <w:rFonts w:eastAsia="SimSun"/>
        </w:rPr>
        <w:fldChar w:fldCharType="end"/>
      </w:r>
      <w:r w:rsidRPr="009075DC">
        <w:rPr>
          <w:rFonts w:eastAsia="SimSun"/>
        </w:rPr>
        <w:t>).</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t>What is the purpose of your testimony?</w:t>
      </w:r>
    </w:p>
    <w:p w:rsidR="003B184A" w:rsidRDefault="00F8418D" w:rsidP="00F01467">
      <w:pPr>
        <w:pStyle w:val="answer"/>
        <w:widowControl w:val="0"/>
        <w:rPr>
          <w:rFonts w:eastAsia="SimSun"/>
        </w:rPr>
      </w:pPr>
      <w:r w:rsidRPr="009075DC">
        <w:rPr>
          <w:rFonts w:eastAsia="SimSun"/>
        </w:rPr>
        <w:t>A.</w:t>
      </w:r>
      <w:r w:rsidRPr="009075DC">
        <w:rPr>
          <w:rFonts w:eastAsia="SimSun"/>
        </w:rPr>
        <w:tab/>
        <w:t xml:space="preserve">My testimony presents </w:t>
      </w:r>
      <w:r w:rsidR="003B184A">
        <w:rPr>
          <w:rFonts w:eastAsia="SimSun"/>
        </w:rPr>
        <w:t>the following:</w:t>
      </w:r>
    </w:p>
    <w:p w:rsidR="007816E1" w:rsidRDefault="007816E1" w:rsidP="00756AAC">
      <w:pPr>
        <w:pStyle w:val="answer"/>
        <w:widowControl w:val="0"/>
        <w:numPr>
          <w:ilvl w:val="0"/>
          <w:numId w:val="25"/>
        </w:numPr>
        <w:rPr>
          <w:rFonts w:eastAsia="SimSun"/>
        </w:rPr>
      </w:pPr>
      <w:r>
        <w:rPr>
          <w:rFonts w:eastAsia="SimSun"/>
        </w:rPr>
        <w:t xml:space="preserve">PSE’s pro forma revenue from electric and natural gas operations, </w:t>
      </w:r>
    </w:p>
    <w:p w:rsidR="003B184A" w:rsidRDefault="00F8418D" w:rsidP="00756AAC">
      <w:pPr>
        <w:pStyle w:val="answer"/>
        <w:widowControl w:val="0"/>
        <w:numPr>
          <w:ilvl w:val="0"/>
          <w:numId w:val="25"/>
        </w:numPr>
        <w:rPr>
          <w:rFonts w:eastAsia="SimSun"/>
        </w:rPr>
      </w:pPr>
      <w:r w:rsidRPr="009075DC">
        <w:rPr>
          <w:rFonts w:eastAsia="SimSun"/>
        </w:rPr>
        <w:t>PSE’s electric cost of service study and PSE’s proposed rate spread and rate design for electric service</w:t>
      </w:r>
      <w:r w:rsidR="003B184A">
        <w:rPr>
          <w:rFonts w:eastAsia="SimSun"/>
        </w:rPr>
        <w:t>,</w:t>
      </w:r>
    </w:p>
    <w:p w:rsidR="00C15F53" w:rsidRDefault="00C15F53" w:rsidP="00756AAC">
      <w:pPr>
        <w:pStyle w:val="answer"/>
        <w:widowControl w:val="0"/>
        <w:numPr>
          <w:ilvl w:val="0"/>
          <w:numId w:val="25"/>
        </w:numPr>
        <w:rPr>
          <w:rFonts w:eastAsia="SimSun"/>
        </w:rPr>
      </w:pPr>
      <w:r>
        <w:rPr>
          <w:rFonts w:eastAsia="SimSun"/>
        </w:rPr>
        <w:t xml:space="preserve">A rate design study specific to PSE’s electric lighting </w:t>
      </w:r>
      <w:r w:rsidR="008232C8">
        <w:rPr>
          <w:rFonts w:eastAsia="SimSun"/>
        </w:rPr>
        <w:t>schedules</w:t>
      </w:r>
      <w:r>
        <w:rPr>
          <w:rFonts w:eastAsia="SimSun"/>
        </w:rPr>
        <w:t>,</w:t>
      </w:r>
    </w:p>
    <w:p w:rsidR="003B184A" w:rsidRDefault="003B184A" w:rsidP="00756AAC">
      <w:pPr>
        <w:pStyle w:val="answer"/>
        <w:widowControl w:val="0"/>
        <w:numPr>
          <w:ilvl w:val="0"/>
          <w:numId w:val="25"/>
        </w:numPr>
        <w:rPr>
          <w:rFonts w:eastAsia="SimSun"/>
        </w:rPr>
      </w:pPr>
      <w:r w:rsidRPr="009075DC">
        <w:rPr>
          <w:rFonts w:eastAsia="SimSun"/>
        </w:rPr>
        <w:t xml:space="preserve">PSE’s </w:t>
      </w:r>
      <w:r>
        <w:rPr>
          <w:rFonts w:eastAsia="SimSun"/>
        </w:rPr>
        <w:t xml:space="preserve">gas </w:t>
      </w:r>
      <w:r w:rsidRPr="009075DC">
        <w:rPr>
          <w:rFonts w:eastAsia="SimSun"/>
        </w:rPr>
        <w:t xml:space="preserve">cost of service study and PSE’s proposed rate spread and rate design for </w:t>
      </w:r>
      <w:r>
        <w:rPr>
          <w:rFonts w:eastAsia="SimSun"/>
        </w:rPr>
        <w:t xml:space="preserve">gas </w:t>
      </w:r>
      <w:r w:rsidRPr="009075DC">
        <w:rPr>
          <w:rFonts w:eastAsia="SimSun"/>
        </w:rPr>
        <w:t>service</w:t>
      </w:r>
      <w:r>
        <w:rPr>
          <w:rFonts w:eastAsia="SimSun"/>
        </w:rPr>
        <w:t>,</w:t>
      </w:r>
    </w:p>
    <w:p w:rsidR="003B184A" w:rsidRDefault="003B184A" w:rsidP="00756AAC">
      <w:pPr>
        <w:pStyle w:val="answer"/>
        <w:widowControl w:val="0"/>
        <w:numPr>
          <w:ilvl w:val="0"/>
          <w:numId w:val="25"/>
        </w:numPr>
        <w:rPr>
          <w:rFonts w:eastAsia="SimSun"/>
        </w:rPr>
      </w:pPr>
      <w:r>
        <w:rPr>
          <w:rFonts w:eastAsia="SimSun"/>
        </w:rPr>
        <w:t xml:space="preserve">The evaluation of PSE’s electric and gas decoupling mechanisms, along with </w:t>
      </w:r>
      <w:r>
        <w:rPr>
          <w:rFonts w:eastAsia="SimSun"/>
        </w:rPr>
        <w:lastRenderedPageBreak/>
        <w:t xml:space="preserve">proposed changes to these mechanisms, </w:t>
      </w:r>
    </w:p>
    <w:p w:rsidR="000D0F91" w:rsidRDefault="000D0F91" w:rsidP="00756AAC">
      <w:pPr>
        <w:pStyle w:val="answer"/>
        <w:widowControl w:val="0"/>
        <w:numPr>
          <w:ilvl w:val="0"/>
          <w:numId w:val="25"/>
        </w:numPr>
        <w:rPr>
          <w:rFonts w:eastAsia="SimSun"/>
        </w:rPr>
      </w:pPr>
      <w:r>
        <w:rPr>
          <w:rFonts w:eastAsia="SimSun"/>
        </w:rPr>
        <w:t>The p</w:t>
      </w:r>
      <w:r w:rsidR="00C15F53">
        <w:rPr>
          <w:rFonts w:eastAsia="SimSun"/>
        </w:rPr>
        <w:t xml:space="preserve">roposed </w:t>
      </w:r>
      <w:r w:rsidR="008232C8">
        <w:rPr>
          <w:rFonts w:eastAsia="SimSun"/>
        </w:rPr>
        <w:t xml:space="preserve">cost </w:t>
      </w:r>
      <w:r>
        <w:rPr>
          <w:rFonts w:eastAsia="SimSun"/>
        </w:rPr>
        <w:t xml:space="preserve">allocation </w:t>
      </w:r>
      <w:r w:rsidR="008232C8">
        <w:rPr>
          <w:rFonts w:eastAsia="SimSun"/>
        </w:rPr>
        <w:t xml:space="preserve">and rate design for </w:t>
      </w:r>
      <w:r>
        <w:rPr>
          <w:rFonts w:eastAsia="SimSun"/>
        </w:rPr>
        <w:t>PSE’s Electric Cost Recovery Mechanism (“ECRM”),</w:t>
      </w:r>
    </w:p>
    <w:p w:rsidR="000D0F91" w:rsidRDefault="000D0F91" w:rsidP="00756AAC">
      <w:pPr>
        <w:pStyle w:val="answer"/>
        <w:widowControl w:val="0"/>
        <w:numPr>
          <w:ilvl w:val="0"/>
          <w:numId w:val="25"/>
        </w:numPr>
        <w:rPr>
          <w:rFonts w:eastAsia="SimSun"/>
        </w:rPr>
      </w:pPr>
      <w:r>
        <w:rPr>
          <w:rFonts w:eastAsia="SimSun"/>
        </w:rPr>
        <w:t>Issues that must be addressed in this filing related to PSE’s proposed Schedule 451 that is concurrently being litigated in Docket UE-161123, and</w:t>
      </w:r>
    </w:p>
    <w:p w:rsidR="00C15F53" w:rsidRDefault="008F2DD6" w:rsidP="00756AAC">
      <w:pPr>
        <w:pStyle w:val="answer"/>
        <w:widowControl w:val="0"/>
        <w:numPr>
          <w:ilvl w:val="0"/>
          <w:numId w:val="25"/>
        </w:numPr>
        <w:rPr>
          <w:rFonts w:eastAsia="SimSun"/>
        </w:rPr>
      </w:pPr>
      <w:r>
        <w:rPr>
          <w:rFonts w:eastAsia="SimSun"/>
        </w:rPr>
        <w:t xml:space="preserve">A summary of </w:t>
      </w:r>
      <w:r w:rsidR="000D0F91">
        <w:rPr>
          <w:rFonts w:eastAsia="SimSun"/>
        </w:rPr>
        <w:t>the list of tariff sheets that will potentially be filed as part of the compliance for this case and their overall rate impacts</w:t>
      </w:r>
      <w:r w:rsidR="00C15F53">
        <w:rPr>
          <w:rFonts w:eastAsia="SimSun"/>
        </w:rPr>
        <w:t>.</w:t>
      </w:r>
    </w:p>
    <w:p w:rsidR="00F8418D" w:rsidRPr="009075DC" w:rsidRDefault="00F8418D" w:rsidP="00F01467">
      <w:pPr>
        <w:pStyle w:val="question"/>
        <w:rPr>
          <w:rFonts w:eastAsia="SimSun"/>
        </w:rPr>
      </w:pPr>
      <w:r w:rsidRPr="009075DC">
        <w:rPr>
          <w:rFonts w:eastAsia="SimSun"/>
        </w:rPr>
        <w:t>Q.</w:t>
      </w:r>
      <w:r w:rsidRPr="009075DC">
        <w:rPr>
          <w:rFonts w:eastAsia="SimSun"/>
        </w:rPr>
        <w:tab/>
        <w:t>Please summarize your testimony.</w:t>
      </w:r>
    </w:p>
    <w:p w:rsidR="00F8418D" w:rsidRDefault="00F8418D" w:rsidP="003B184A">
      <w:pPr>
        <w:pStyle w:val="answer"/>
        <w:widowControl w:val="0"/>
        <w:rPr>
          <w:rFonts w:eastAsia="SimSun"/>
        </w:rPr>
      </w:pPr>
      <w:r w:rsidRPr="009075DC">
        <w:rPr>
          <w:rFonts w:eastAsia="SimSun"/>
        </w:rPr>
        <w:t>A.</w:t>
      </w:r>
      <w:r w:rsidRPr="009075DC">
        <w:rPr>
          <w:rFonts w:eastAsia="SimSun"/>
        </w:rPr>
        <w:tab/>
      </w:r>
      <w:bookmarkStart w:id="39" w:name="_Toc68357344"/>
      <w:bookmarkStart w:id="40" w:name="_Toc68715198"/>
      <w:bookmarkStart w:id="41" w:name="_Toc126675047"/>
      <w:bookmarkStart w:id="42" w:name="_Toc127023382"/>
      <w:r w:rsidR="000D0F91">
        <w:rPr>
          <w:rFonts w:eastAsia="SimSun"/>
        </w:rPr>
        <w:t>I would summarize my testimony as follows:</w:t>
      </w:r>
    </w:p>
    <w:p w:rsidR="000D0F91" w:rsidRPr="000D0F91" w:rsidRDefault="000D0F91" w:rsidP="003B184A">
      <w:pPr>
        <w:pStyle w:val="answer"/>
        <w:widowControl w:val="0"/>
        <w:rPr>
          <w:rFonts w:eastAsia="SimSun"/>
          <w:i/>
          <w:u w:val="single"/>
        </w:rPr>
      </w:pPr>
      <w:r>
        <w:rPr>
          <w:rFonts w:eastAsia="SimSun"/>
        </w:rPr>
        <w:tab/>
      </w:r>
      <w:r w:rsidRPr="000D0F91">
        <w:rPr>
          <w:rFonts w:eastAsia="SimSun"/>
          <w:i/>
          <w:u w:val="single"/>
        </w:rPr>
        <w:t>Pro</w:t>
      </w:r>
      <w:r w:rsidR="00AD17A6">
        <w:rPr>
          <w:rFonts w:eastAsia="SimSun"/>
          <w:i/>
          <w:u w:val="single"/>
        </w:rPr>
        <w:t xml:space="preserve"> </w:t>
      </w:r>
      <w:r w:rsidRPr="000D0F91">
        <w:rPr>
          <w:rFonts w:eastAsia="SimSun"/>
          <w:i/>
          <w:u w:val="single"/>
        </w:rPr>
        <w:t>forma Revenue</w:t>
      </w:r>
    </w:p>
    <w:p w:rsidR="000D0F91" w:rsidRPr="000D0F91" w:rsidRDefault="000D0F91" w:rsidP="00756AAC">
      <w:pPr>
        <w:pStyle w:val="answer"/>
        <w:widowControl w:val="0"/>
        <w:numPr>
          <w:ilvl w:val="0"/>
          <w:numId w:val="33"/>
        </w:numPr>
        <w:rPr>
          <w:rFonts w:eastAsia="SimSun"/>
        </w:rPr>
      </w:pPr>
      <w:r w:rsidRPr="00935C3E">
        <w:t xml:space="preserve">The total pro forma </w:t>
      </w:r>
      <w:r>
        <w:t xml:space="preserve">electric </w:t>
      </w:r>
      <w:r w:rsidRPr="00935C3E">
        <w:t>revenue</w:t>
      </w:r>
      <w:r>
        <w:t xml:space="preserve"> at current base rates</w:t>
      </w:r>
      <w:r w:rsidRPr="00935C3E">
        <w:t xml:space="preserve"> is </w:t>
      </w:r>
      <w:r>
        <w:t xml:space="preserve">estimated to be </w:t>
      </w:r>
      <w:r w:rsidRPr="00935C3E">
        <w:t xml:space="preserve">$1.964 billion </w:t>
      </w:r>
      <w:r>
        <w:t xml:space="preserve">based on </w:t>
      </w:r>
      <w:r w:rsidRPr="00935C3E">
        <w:t>22.82 billion kWh</w:t>
      </w:r>
      <w:r>
        <w:t xml:space="preserve"> in </w:t>
      </w:r>
      <w:r w:rsidR="002E459E">
        <w:t xml:space="preserve">electric </w:t>
      </w:r>
      <w:r>
        <w:t>sales.</w:t>
      </w:r>
    </w:p>
    <w:p w:rsidR="000D0F91" w:rsidRPr="002E459E" w:rsidRDefault="000D0F91" w:rsidP="00756AAC">
      <w:pPr>
        <w:pStyle w:val="answer"/>
        <w:widowControl w:val="0"/>
        <w:numPr>
          <w:ilvl w:val="0"/>
          <w:numId w:val="33"/>
        </w:numPr>
        <w:rPr>
          <w:rFonts w:eastAsia="SimSun"/>
        </w:rPr>
      </w:pPr>
      <w:r>
        <w:t xml:space="preserve"> </w:t>
      </w:r>
      <w:r w:rsidR="002E459E" w:rsidRPr="003B5206">
        <w:t xml:space="preserve">The total pro forma </w:t>
      </w:r>
      <w:r w:rsidR="002E459E">
        <w:t>natural gas revenue at current margin rates is estimated to be $</w:t>
      </w:r>
      <w:r w:rsidR="008232C8">
        <w:t>4</w:t>
      </w:r>
      <w:r w:rsidR="004441C3">
        <w:t>41</w:t>
      </w:r>
      <w:r w:rsidR="008232C8">
        <w:t>.5</w:t>
      </w:r>
      <w:r w:rsidR="002E459E">
        <w:t xml:space="preserve"> million based on</w:t>
      </w:r>
      <w:r w:rsidR="002E459E" w:rsidRPr="003B5206">
        <w:t xml:space="preserve"> </w:t>
      </w:r>
      <w:r w:rsidR="002E459E">
        <w:t>1.14</w:t>
      </w:r>
      <w:r w:rsidR="002E459E" w:rsidRPr="003B5206">
        <w:t xml:space="preserve"> </w:t>
      </w:r>
      <w:r w:rsidR="002E459E">
        <w:t xml:space="preserve">billion </w:t>
      </w:r>
      <w:r w:rsidR="002E459E" w:rsidRPr="003B5206">
        <w:t>therms</w:t>
      </w:r>
      <w:r w:rsidR="002E459E">
        <w:t xml:space="preserve"> in gas sales</w:t>
      </w:r>
      <w:r w:rsidR="002E459E" w:rsidRPr="003B5206">
        <w:t xml:space="preserve">.  The total pro forma </w:t>
      </w:r>
      <w:r w:rsidR="002E459E">
        <w:t xml:space="preserve">base revenue, including gas costs, </w:t>
      </w:r>
      <w:r w:rsidR="002E459E" w:rsidRPr="003B5206">
        <w:t>is</w:t>
      </w:r>
      <w:r w:rsidR="002E459E">
        <w:t xml:space="preserve"> estimated to be</w:t>
      </w:r>
      <w:r w:rsidR="002E459E" w:rsidRPr="003B5206">
        <w:t xml:space="preserve"> </w:t>
      </w:r>
      <w:r w:rsidR="002E459E">
        <w:t>$8</w:t>
      </w:r>
      <w:r w:rsidR="007917E4">
        <w:t>15.8</w:t>
      </w:r>
      <w:r w:rsidR="002E459E">
        <w:t xml:space="preserve"> million.</w:t>
      </w:r>
    </w:p>
    <w:p w:rsidR="002E459E" w:rsidRPr="00863A3D" w:rsidRDefault="002E459E" w:rsidP="002E459E">
      <w:pPr>
        <w:pStyle w:val="answer"/>
        <w:widowControl w:val="0"/>
        <w:ind w:left="1440"/>
        <w:rPr>
          <w:i/>
          <w:u w:val="single"/>
        </w:rPr>
      </w:pPr>
      <w:r w:rsidRPr="00863A3D">
        <w:rPr>
          <w:i/>
          <w:u w:val="single"/>
        </w:rPr>
        <w:t>Electric Cost of Service</w:t>
      </w:r>
      <w:r w:rsidR="00801927">
        <w:rPr>
          <w:i/>
          <w:u w:val="single"/>
        </w:rPr>
        <w:t>,</w:t>
      </w:r>
      <w:r w:rsidRPr="00863A3D">
        <w:rPr>
          <w:i/>
          <w:u w:val="single"/>
        </w:rPr>
        <w:t xml:space="preserve"> Rate Spread</w:t>
      </w:r>
      <w:r w:rsidR="00801927">
        <w:rPr>
          <w:i/>
          <w:u w:val="single"/>
        </w:rPr>
        <w:t xml:space="preserve"> and Rate Design</w:t>
      </w:r>
    </w:p>
    <w:p w:rsidR="002F706F" w:rsidRDefault="002F706F" w:rsidP="00756AAC">
      <w:pPr>
        <w:pStyle w:val="answer"/>
        <w:widowControl w:val="0"/>
        <w:numPr>
          <w:ilvl w:val="0"/>
          <w:numId w:val="33"/>
        </w:numPr>
        <w:rPr>
          <w:rFonts w:eastAsia="SimSun"/>
        </w:rPr>
      </w:pPr>
      <w:r>
        <w:rPr>
          <w:rFonts w:eastAsia="SimSun"/>
        </w:rPr>
        <w:t>The electric cost of service results</w:t>
      </w:r>
      <w:r w:rsidR="0030575E">
        <w:rPr>
          <w:rFonts w:eastAsia="SimSun"/>
        </w:rPr>
        <w:t xml:space="preserve"> show a needed increase of 7.57 percent</w:t>
      </w:r>
      <w:r>
        <w:rPr>
          <w:rFonts w:eastAsia="SimSun"/>
        </w:rPr>
        <w:t xml:space="preserve"> to </w:t>
      </w:r>
      <w:r w:rsidR="00D1284F">
        <w:rPr>
          <w:rFonts w:eastAsia="SimSun"/>
        </w:rPr>
        <w:t xml:space="preserve">the </w:t>
      </w:r>
      <w:r>
        <w:rPr>
          <w:rFonts w:eastAsia="SimSun"/>
        </w:rPr>
        <w:t>existing base rates</w:t>
      </w:r>
      <w:r w:rsidR="00877BC0">
        <w:rPr>
          <w:rFonts w:eastAsia="SimSun"/>
        </w:rPr>
        <w:t xml:space="preserve"> of state-jurisdictional customers</w:t>
      </w:r>
      <w:r>
        <w:rPr>
          <w:rFonts w:eastAsia="SimSun"/>
        </w:rPr>
        <w:t>, or approximately $14</w:t>
      </w:r>
      <w:r w:rsidR="00877BC0">
        <w:rPr>
          <w:rFonts w:eastAsia="SimSun"/>
        </w:rPr>
        <w:t>8.7</w:t>
      </w:r>
      <w:r>
        <w:rPr>
          <w:rFonts w:eastAsia="SimSun"/>
        </w:rPr>
        <w:t xml:space="preserve"> million.</w:t>
      </w:r>
    </w:p>
    <w:p w:rsidR="005D1EA0" w:rsidRDefault="005D1EA0" w:rsidP="00756AAC">
      <w:pPr>
        <w:pStyle w:val="answer"/>
        <w:widowControl w:val="0"/>
        <w:numPr>
          <w:ilvl w:val="0"/>
          <w:numId w:val="33"/>
        </w:numPr>
        <w:rPr>
          <w:rFonts w:eastAsia="SimSun"/>
        </w:rPr>
      </w:pPr>
      <w:r>
        <w:rPr>
          <w:rFonts w:eastAsia="SimSun"/>
        </w:rPr>
        <w:t xml:space="preserve">The estimated parity ratios and proposed rate increases to base rates </w:t>
      </w:r>
      <w:r>
        <w:rPr>
          <w:rFonts w:eastAsia="SimSun"/>
        </w:rPr>
        <w:lastRenderedPageBreak/>
        <w:t>resulting from the electric cost of service study are as follows:</w:t>
      </w:r>
    </w:p>
    <w:p w:rsidR="005D1EA0" w:rsidRPr="005D1EA0" w:rsidRDefault="005D1EA0" w:rsidP="005D1EA0">
      <w:pPr>
        <w:pStyle w:val="Caption"/>
        <w:keepNext/>
        <w:jc w:val="center"/>
        <w:rPr>
          <w:sz w:val="24"/>
          <w:szCs w:val="24"/>
        </w:rPr>
      </w:pPr>
      <w:r w:rsidRPr="005D1EA0">
        <w:rPr>
          <w:sz w:val="24"/>
          <w:szCs w:val="24"/>
        </w:rPr>
        <w:t xml:space="preserve">Table </w:t>
      </w:r>
      <w:r w:rsidRPr="005D1EA0">
        <w:rPr>
          <w:sz w:val="24"/>
          <w:szCs w:val="24"/>
        </w:rPr>
        <w:fldChar w:fldCharType="begin"/>
      </w:r>
      <w:r w:rsidRPr="005D1EA0">
        <w:rPr>
          <w:sz w:val="24"/>
          <w:szCs w:val="24"/>
        </w:rPr>
        <w:instrText xml:space="preserve"> SEQ Table \* ARABIC </w:instrText>
      </w:r>
      <w:r w:rsidRPr="005D1EA0">
        <w:rPr>
          <w:sz w:val="24"/>
          <w:szCs w:val="24"/>
        </w:rPr>
        <w:fldChar w:fldCharType="separate"/>
      </w:r>
      <w:r w:rsidR="0035666C">
        <w:rPr>
          <w:noProof/>
          <w:sz w:val="24"/>
          <w:szCs w:val="24"/>
        </w:rPr>
        <w:t>1</w:t>
      </w:r>
      <w:r w:rsidRPr="005D1EA0">
        <w:rPr>
          <w:sz w:val="24"/>
          <w:szCs w:val="24"/>
        </w:rPr>
        <w:fldChar w:fldCharType="end"/>
      </w:r>
      <w:r w:rsidRPr="005D1EA0">
        <w:rPr>
          <w:sz w:val="24"/>
          <w:szCs w:val="24"/>
        </w:rPr>
        <w:t xml:space="preserve">- Proposed Electric Base </w:t>
      </w:r>
      <w:r w:rsidR="00201995">
        <w:rPr>
          <w:sz w:val="24"/>
          <w:szCs w:val="24"/>
        </w:rPr>
        <w:t>Parity Percentages</w:t>
      </w:r>
      <w:r w:rsidRPr="005D1EA0">
        <w:rPr>
          <w:sz w:val="24"/>
          <w:szCs w:val="24"/>
        </w:rPr>
        <w:t xml:space="preserve"> and </w:t>
      </w:r>
      <w:r w:rsidR="00201995">
        <w:rPr>
          <w:sz w:val="24"/>
          <w:szCs w:val="24"/>
        </w:rPr>
        <w:t>Rate Changes</w:t>
      </w:r>
    </w:p>
    <w:tbl>
      <w:tblPr>
        <w:tblpPr w:leftFromText="180" w:rightFromText="180" w:vertAnchor="text" w:horzAnchor="margin" w:tblpXSpec="center" w:tblpY="314"/>
        <w:tblW w:w="0" w:type="auto"/>
        <w:tblLayout w:type="fixed"/>
        <w:tblLook w:val="0000" w:firstRow="0" w:lastRow="0" w:firstColumn="0" w:lastColumn="0" w:noHBand="0" w:noVBand="0"/>
      </w:tblPr>
      <w:tblGrid>
        <w:gridCol w:w="3168"/>
        <w:gridCol w:w="1440"/>
        <w:gridCol w:w="1350"/>
        <w:gridCol w:w="1440"/>
      </w:tblGrid>
      <w:tr w:rsidR="005D1EA0" w:rsidRPr="009075DC" w:rsidTr="007E36BD">
        <w:trPr>
          <w:cantSplit/>
          <w:trHeight w:val="769"/>
        </w:trPr>
        <w:tc>
          <w:tcPr>
            <w:tcW w:w="3168" w:type="dxa"/>
            <w:tcBorders>
              <w:top w:val="single" w:sz="4" w:space="0" w:color="auto"/>
              <w:bottom w:val="single" w:sz="4" w:space="0" w:color="auto"/>
            </w:tcBorders>
            <w:vAlign w:val="center"/>
          </w:tcPr>
          <w:p w:rsidR="005D1EA0" w:rsidRPr="009075DC" w:rsidRDefault="005D1EA0" w:rsidP="007E36BD">
            <w:pPr>
              <w:widowControl w:val="0"/>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1440" w:type="dxa"/>
            <w:tcBorders>
              <w:top w:val="single" w:sz="4" w:space="0" w:color="auto"/>
              <w:bottom w:val="single" w:sz="4" w:space="0" w:color="auto"/>
            </w:tcBorders>
            <w:vAlign w:val="center"/>
          </w:tcPr>
          <w:p w:rsidR="005D1EA0" w:rsidRPr="009075DC" w:rsidRDefault="005D1EA0" w:rsidP="007E36BD">
            <w:pPr>
              <w:widowControl w:val="0"/>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350" w:type="dxa"/>
            <w:tcBorders>
              <w:top w:val="single" w:sz="4" w:space="0" w:color="auto"/>
              <w:bottom w:val="single" w:sz="4" w:space="0" w:color="auto"/>
            </w:tcBorders>
            <w:vAlign w:val="center"/>
          </w:tcPr>
          <w:p w:rsidR="005D1EA0" w:rsidRPr="009075DC" w:rsidRDefault="005D1EA0" w:rsidP="007E36BD">
            <w:pPr>
              <w:widowControl w:val="0"/>
              <w:spacing w:beforeLines="20" w:before="48" w:afterLines="20" w:after="48" w:line="240" w:lineRule="auto"/>
              <w:ind w:firstLine="0"/>
              <w:jc w:val="center"/>
              <w:rPr>
                <w:rFonts w:eastAsia="SimSun"/>
                <w:b/>
                <w:bCs/>
                <w:szCs w:val="24"/>
              </w:rPr>
            </w:pPr>
            <w:r w:rsidRPr="009075DC">
              <w:rPr>
                <w:rFonts w:eastAsia="SimSun"/>
                <w:b/>
                <w:bCs/>
                <w:szCs w:val="24"/>
              </w:rPr>
              <w:t>Parity Percentage</w:t>
            </w:r>
          </w:p>
        </w:tc>
        <w:tc>
          <w:tcPr>
            <w:tcW w:w="1440" w:type="dxa"/>
            <w:tcBorders>
              <w:top w:val="single" w:sz="4" w:space="0" w:color="auto"/>
              <w:bottom w:val="single" w:sz="4" w:space="0" w:color="auto"/>
            </w:tcBorders>
            <w:vAlign w:val="center"/>
          </w:tcPr>
          <w:p w:rsidR="005D1EA0" w:rsidRPr="009075DC" w:rsidRDefault="005D1EA0" w:rsidP="007E36BD">
            <w:pPr>
              <w:widowControl w:val="0"/>
              <w:spacing w:beforeLines="20" w:before="48" w:afterLines="20" w:after="48" w:line="240" w:lineRule="auto"/>
              <w:ind w:firstLine="0"/>
              <w:jc w:val="center"/>
              <w:rPr>
                <w:rFonts w:eastAsia="SimSun"/>
                <w:b/>
                <w:bCs/>
                <w:szCs w:val="24"/>
              </w:rPr>
            </w:pPr>
            <w:r w:rsidRPr="009075DC">
              <w:rPr>
                <w:rFonts w:eastAsia="SimSun"/>
                <w:b/>
                <w:bCs/>
                <w:szCs w:val="24"/>
              </w:rPr>
              <w:t>Proposed</w:t>
            </w:r>
            <w:r w:rsidRPr="009075DC">
              <w:rPr>
                <w:rFonts w:eastAsia="SimSun"/>
                <w:b/>
                <w:bCs/>
                <w:szCs w:val="24"/>
              </w:rPr>
              <w:br/>
            </w:r>
            <w:r>
              <w:rPr>
                <w:rFonts w:eastAsia="SimSun"/>
                <w:b/>
                <w:bCs/>
                <w:szCs w:val="24"/>
              </w:rPr>
              <w:t xml:space="preserve">Base </w:t>
            </w:r>
            <w:r w:rsidRPr="009075DC">
              <w:rPr>
                <w:rFonts w:eastAsia="SimSun"/>
                <w:b/>
                <w:bCs/>
                <w:szCs w:val="24"/>
              </w:rPr>
              <w:t>Rate Increase</w:t>
            </w:r>
          </w:p>
        </w:tc>
      </w:tr>
      <w:tr w:rsidR="005D1EA0" w:rsidRPr="001D2B74" w:rsidTr="007E36BD">
        <w:trPr>
          <w:cantSplit/>
          <w:trHeight w:val="324"/>
        </w:trPr>
        <w:tc>
          <w:tcPr>
            <w:tcW w:w="3168" w:type="dxa"/>
            <w:tcBorders>
              <w:top w:val="single" w:sz="4" w:space="0" w:color="auto"/>
            </w:tcBorders>
          </w:tcPr>
          <w:p w:rsidR="005D1EA0" w:rsidRPr="009075DC" w:rsidRDefault="005D1EA0" w:rsidP="007E36BD">
            <w:pPr>
              <w:widowControl w:val="0"/>
              <w:spacing w:beforeLines="20" w:before="48" w:afterLines="20" w:after="48" w:line="240" w:lineRule="auto"/>
              <w:ind w:firstLine="0"/>
              <w:rPr>
                <w:rFonts w:eastAsia="SimSun"/>
                <w:szCs w:val="24"/>
              </w:rPr>
            </w:pPr>
            <w:r w:rsidRPr="009075DC">
              <w:rPr>
                <w:rFonts w:eastAsia="SimSun"/>
                <w:szCs w:val="24"/>
              </w:rPr>
              <w:t>Residential</w:t>
            </w:r>
          </w:p>
        </w:tc>
        <w:tc>
          <w:tcPr>
            <w:tcW w:w="1440" w:type="dxa"/>
            <w:tcBorders>
              <w:top w:val="single" w:sz="4" w:space="0" w:color="auto"/>
            </w:tcBorders>
          </w:tcPr>
          <w:p w:rsidR="005D1EA0" w:rsidRPr="009075DC" w:rsidRDefault="005D1EA0" w:rsidP="007E36B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7</w:t>
            </w:r>
          </w:p>
        </w:tc>
        <w:tc>
          <w:tcPr>
            <w:tcW w:w="1350" w:type="dxa"/>
            <w:tcBorders>
              <w:top w:val="single" w:sz="4" w:space="0" w:color="auto"/>
            </w:tcBorders>
          </w:tcPr>
          <w:p w:rsidR="005D1EA0" w:rsidRPr="00896CD7" w:rsidRDefault="00F20204" w:rsidP="00F20204">
            <w:pPr>
              <w:widowControl w:val="0"/>
              <w:tabs>
                <w:tab w:val="decimal" w:pos="792"/>
              </w:tabs>
              <w:spacing w:before="60" w:after="60" w:line="240" w:lineRule="auto"/>
              <w:ind w:firstLine="0"/>
              <w:jc w:val="center"/>
              <w:rPr>
                <w:rFonts w:eastAsia="SimSun"/>
                <w:szCs w:val="24"/>
              </w:rPr>
            </w:pPr>
            <w:r>
              <w:rPr>
                <w:rFonts w:eastAsia="SimSun"/>
                <w:szCs w:val="24"/>
              </w:rPr>
              <w:t>95</w:t>
            </w:r>
            <w:r w:rsidRPr="00896CD7">
              <w:rPr>
                <w:rFonts w:eastAsia="SimSun"/>
                <w:szCs w:val="24"/>
              </w:rPr>
              <w:t xml:space="preserve"> </w:t>
            </w:r>
            <w:r w:rsidR="005D1EA0" w:rsidRPr="00896CD7">
              <w:rPr>
                <w:rFonts w:eastAsia="SimSun"/>
                <w:szCs w:val="24"/>
              </w:rPr>
              <w:t>%</w:t>
            </w:r>
          </w:p>
        </w:tc>
        <w:tc>
          <w:tcPr>
            <w:tcW w:w="1440" w:type="dxa"/>
            <w:tcBorders>
              <w:top w:val="single" w:sz="4" w:space="0" w:color="auto"/>
            </w:tcBorders>
          </w:tcPr>
          <w:p w:rsidR="005D1EA0" w:rsidRPr="00B373B1" w:rsidRDefault="005D1EA0"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8.32</w:t>
            </w:r>
            <w:r w:rsidRPr="00B373B1">
              <w:rPr>
                <w:rFonts w:eastAsia="SimSun"/>
                <w:szCs w:val="24"/>
              </w:rPr>
              <w:t xml:space="preserve"> %</w:t>
            </w:r>
          </w:p>
        </w:tc>
      </w:tr>
      <w:tr w:rsidR="005D1EA0" w:rsidRPr="001D2B74" w:rsidTr="007E36BD">
        <w:trPr>
          <w:cantSplit/>
          <w:trHeight w:val="312"/>
        </w:trPr>
        <w:tc>
          <w:tcPr>
            <w:tcW w:w="3168" w:type="dxa"/>
          </w:tcPr>
          <w:p w:rsidR="005D1EA0" w:rsidRPr="009075DC" w:rsidRDefault="005D1EA0" w:rsidP="007E36BD">
            <w:pPr>
              <w:widowControl w:val="0"/>
              <w:spacing w:beforeLines="20" w:before="48" w:afterLines="20" w:after="48" w:line="240" w:lineRule="auto"/>
              <w:ind w:firstLine="0"/>
              <w:rPr>
                <w:rFonts w:eastAsia="SimSun"/>
                <w:szCs w:val="24"/>
              </w:rPr>
            </w:pPr>
            <w:r w:rsidRPr="009075DC">
              <w:rPr>
                <w:rFonts w:eastAsia="SimSun"/>
                <w:szCs w:val="24"/>
              </w:rPr>
              <w:t>General Service, &lt; 51 kW</w:t>
            </w:r>
          </w:p>
        </w:tc>
        <w:tc>
          <w:tcPr>
            <w:tcW w:w="1440" w:type="dxa"/>
          </w:tcPr>
          <w:p w:rsidR="005D1EA0" w:rsidRPr="009075DC" w:rsidRDefault="005D1EA0" w:rsidP="007E36B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8/</w:t>
            </w:r>
            <w:r w:rsidRPr="009075DC">
              <w:rPr>
                <w:rFonts w:eastAsia="SimSun"/>
                <w:szCs w:val="24"/>
              </w:rPr>
              <w:t>24</w:t>
            </w:r>
          </w:p>
        </w:tc>
        <w:tc>
          <w:tcPr>
            <w:tcW w:w="1350" w:type="dxa"/>
          </w:tcPr>
          <w:p w:rsidR="005D1EA0" w:rsidRPr="00896CD7" w:rsidRDefault="005D1EA0" w:rsidP="007E36BD">
            <w:pPr>
              <w:widowControl w:val="0"/>
              <w:tabs>
                <w:tab w:val="decimal" w:pos="792"/>
              </w:tabs>
              <w:spacing w:before="60" w:after="60" w:line="240" w:lineRule="auto"/>
              <w:ind w:firstLine="0"/>
              <w:jc w:val="center"/>
              <w:rPr>
                <w:rFonts w:eastAsia="SimSun"/>
                <w:szCs w:val="24"/>
              </w:rPr>
            </w:pPr>
            <w:r>
              <w:rPr>
                <w:rFonts w:eastAsia="SimSun"/>
                <w:szCs w:val="24"/>
              </w:rPr>
              <w:t>109</w:t>
            </w:r>
            <w:r w:rsidRPr="00896CD7">
              <w:rPr>
                <w:rFonts w:eastAsia="SimSun"/>
                <w:szCs w:val="24"/>
              </w:rPr>
              <w:t xml:space="preserve"> %</w:t>
            </w:r>
          </w:p>
        </w:tc>
        <w:tc>
          <w:tcPr>
            <w:tcW w:w="1440" w:type="dxa"/>
          </w:tcPr>
          <w:p w:rsidR="005D1EA0" w:rsidRPr="00B373B1" w:rsidRDefault="005D1EA0"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6.24</w:t>
            </w:r>
            <w:r w:rsidRPr="00B373B1">
              <w:rPr>
                <w:rFonts w:eastAsia="SimSun"/>
                <w:szCs w:val="24"/>
              </w:rPr>
              <w:t xml:space="preserve"> %</w:t>
            </w:r>
          </w:p>
        </w:tc>
      </w:tr>
      <w:tr w:rsidR="005D1EA0" w:rsidRPr="001D2B74" w:rsidTr="007E36BD">
        <w:trPr>
          <w:cantSplit/>
          <w:trHeight w:val="337"/>
        </w:trPr>
        <w:tc>
          <w:tcPr>
            <w:tcW w:w="3168" w:type="dxa"/>
          </w:tcPr>
          <w:p w:rsidR="005D1EA0" w:rsidRPr="009075DC" w:rsidRDefault="005D1EA0" w:rsidP="007E36BD">
            <w:pPr>
              <w:widowControl w:val="0"/>
              <w:spacing w:beforeLines="20" w:before="48" w:afterLines="20" w:after="48" w:line="240" w:lineRule="auto"/>
              <w:ind w:firstLine="0"/>
              <w:rPr>
                <w:rFonts w:eastAsia="SimSun"/>
                <w:szCs w:val="24"/>
              </w:rPr>
            </w:pPr>
            <w:r w:rsidRPr="009075DC">
              <w:rPr>
                <w:rFonts w:eastAsia="SimSun"/>
                <w:szCs w:val="24"/>
              </w:rPr>
              <w:t>General Service, 51 - 350 kW</w:t>
            </w:r>
          </w:p>
        </w:tc>
        <w:tc>
          <w:tcPr>
            <w:tcW w:w="1440" w:type="dxa"/>
          </w:tcPr>
          <w:p w:rsidR="005D1EA0" w:rsidRPr="009075DC" w:rsidRDefault="005D1EA0" w:rsidP="007E36B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11/</w:t>
            </w:r>
            <w:r w:rsidRPr="009075DC">
              <w:rPr>
                <w:rFonts w:eastAsia="SimSun"/>
                <w:szCs w:val="24"/>
              </w:rPr>
              <w:t>25</w:t>
            </w:r>
            <w:r>
              <w:rPr>
                <w:rFonts w:eastAsia="SimSun"/>
                <w:szCs w:val="24"/>
              </w:rPr>
              <w:t>/7A/29</w:t>
            </w:r>
          </w:p>
        </w:tc>
        <w:tc>
          <w:tcPr>
            <w:tcW w:w="1350" w:type="dxa"/>
          </w:tcPr>
          <w:p w:rsidR="005D1EA0" w:rsidRPr="00896CD7" w:rsidRDefault="005D1EA0" w:rsidP="007E36BD">
            <w:pPr>
              <w:widowControl w:val="0"/>
              <w:tabs>
                <w:tab w:val="decimal" w:pos="792"/>
              </w:tabs>
              <w:spacing w:before="60" w:after="60" w:line="240" w:lineRule="auto"/>
              <w:ind w:firstLine="0"/>
              <w:jc w:val="center"/>
              <w:rPr>
                <w:rFonts w:eastAsia="SimSun"/>
                <w:szCs w:val="24"/>
              </w:rPr>
            </w:pPr>
            <w:r>
              <w:rPr>
                <w:rFonts w:eastAsia="SimSun"/>
                <w:szCs w:val="24"/>
              </w:rPr>
              <w:t>108</w:t>
            </w:r>
            <w:r w:rsidRPr="00896CD7">
              <w:rPr>
                <w:rFonts w:eastAsia="SimSun"/>
                <w:szCs w:val="24"/>
              </w:rPr>
              <w:t xml:space="preserve"> %</w:t>
            </w:r>
          </w:p>
        </w:tc>
        <w:tc>
          <w:tcPr>
            <w:tcW w:w="1440" w:type="dxa"/>
          </w:tcPr>
          <w:p w:rsidR="005D1EA0" w:rsidRPr="00B373B1" w:rsidRDefault="005D1EA0"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6.24</w:t>
            </w:r>
            <w:r w:rsidRPr="00B373B1">
              <w:rPr>
                <w:rFonts w:eastAsia="SimSun"/>
                <w:szCs w:val="24"/>
              </w:rPr>
              <w:t xml:space="preserve"> %</w:t>
            </w:r>
          </w:p>
        </w:tc>
      </w:tr>
      <w:tr w:rsidR="005D1EA0" w:rsidRPr="001D2B74" w:rsidTr="007E36BD">
        <w:trPr>
          <w:cantSplit/>
          <w:trHeight w:val="312"/>
        </w:trPr>
        <w:tc>
          <w:tcPr>
            <w:tcW w:w="3168" w:type="dxa"/>
          </w:tcPr>
          <w:p w:rsidR="005D1EA0" w:rsidRPr="009075DC" w:rsidRDefault="005D1EA0" w:rsidP="007E36BD">
            <w:pPr>
              <w:widowControl w:val="0"/>
              <w:spacing w:beforeLines="20" w:before="48" w:afterLines="20" w:after="48" w:line="240" w:lineRule="auto"/>
              <w:ind w:firstLine="0"/>
              <w:rPr>
                <w:rFonts w:eastAsia="SimSun"/>
                <w:szCs w:val="24"/>
              </w:rPr>
            </w:pPr>
            <w:r w:rsidRPr="009075DC">
              <w:rPr>
                <w:rFonts w:eastAsia="SimSun"/>
                <w:szCs w:val="24"/>
              </w:rPr>
              <w:t>General Service, &gt;350 kW</w:t>
            </w:r>
          </w:p>
        </w:tc>
        <w:tc>
          <w:tcPr>
            <w:tcW w:w="1440" w:type="dxa"/>
          </w:tcPr>
          <w:p w:rsidR="005D1EA0" w:rsidRPr="009075DC" w:rsidRDefault="005D1EA0" w:rsidP="007E36B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12/</w:t>
            </w:r>
            <w:r w:rsidRPr="009075DC">
              <w:rPr>
                <w:rFonts w:eastAsia="SimSun"/>
                <w:szCs w:val="24"/>
              </w:rPr>
              <w:t>26</w:t>
            </w:r>
          </w:p>
        </w:tc>
        <w:tc>
          <w:tcPr>
            <w:tcW w:w="1350" w:type="dxa"/>
          </w:tcPr>
          <w:p w:rsidR="005D1EA0" w:rsidRPr="00896CD7" w:rsidRDefault="005D1EA0" w:rsidP="007E36BD">
            <w:pPr>
              <w:widowControl w:val="0"/>
              <w:tabs>
                <w:tab w:val="decimal" w:pos="792"/>
              </w:tabs>
              <w:spacing w:before="60" w:after="60" w:line="240" w:lineRule="auto"/>
              <w:ind w:firstLine="0"/>
              <w:jc w:val="center"/>
              <w:rPr>
                <w:rFonts w:eastAsia="SimSun"/>
                <w:szCs w:val="24"/>
              </w:rPr>
            </w:pPr>
            <w:r>
              <w:rPr>
                <w:rFonts w:eastAsia="SimSun"/>
                <w:szCs w:val="24"/>
              </w:rPr>
              <w:t>108</w:t>
            </w:r>
            <w:r w:rsidRPr="00896CD7">
              <w:rPr>
                <w:rFonts w:eastAsia="SimSun"/>
                <w:szCs w:val="24"/>
              </w:rPr>
              <w:t xml:space="preserve"> %</w:t>
            </w:r>
          </w:p>
        </w:tc>
        <w:tc>
          <w:tcPr>
            <w:tcW w:w="1440" w:type="dxa"/>
          </w:tcPr>
          <w:p w:rsidR="005D1EA0" w:rsidRPr="00B373B1" w:rsidRDefault="005D1EA0"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6.24</w:t>
            </w:r>
            <w:r w:rsidRPr="00B373B1">
              <w:rPr>
                <w:rFonts w:eastAsia="SimSun"/>
                <w:szCs w:val="24"/>
              </w:rPr>
              <w:t xml:space="preserve"> %</w:t>
            </w:r>
          </w:p>
        </w:tc>
      </w:tr>
      <w:tr w:rsidR="005D1EA0" w:rsidRPr="001D2B74" w:rsidTr="007E36BD">
        <w:trPr>
          <w:cantSplit/>
          <w:trHeight w:val="324"/>
        </w:trPr>
        <w:tc>
          <w:tcPr>
            <w:tcW w:w="3168" w:type="dxa"/>
          </w:tcPr>
          <w:p w:rsidR="005D1EA0" w:rsidRPr="009075DC" w:rsidRDefault="005D1EA0" w:rsidP="007E36BD">
            <w:pPr>
              <w:widowControl w:val="0"/>
              <w:spacing w:beforeLines="20" w:before="48" w:afterLines="20" w:after="48" w:line="240" w:lineRule="auto"/>
              <w:ind w:firstLine="0"/>
              <w:rPr>
                <w:rFonts w:eastAsia="SimSun"/>
                <w:szCs w:val="24"/>
              </w:rPr>
            </w:pPr>
            <w:r w:rsidRPr="009075DC">
              <w:rPr>
                <w:rFonts w:eastAsia="SimSun"/>
                <w:szCs w:val="24"/>
              </w:rPr>
              <w:t>Primary Service</w:t>
            </w:r>
            <w:r>
              <w:rPr>
                <w:rFonts w:eastAsia="SimSun"/>
                <w:szCs w:val="24"/>
              </w:rPr>
              <w:t>, Gen &amp; Irr.</w:t>
            </w:r>
          </w:p>
        </w:tc>
        <w:tc>
          <w:tcPr>
            <w:tcW w:w="1440" w:type="dxa"/>
          </w:tcPr>
          <w:p w:rsidR="005D1EA0" w:rsidRPr="009075DC" w:rsidRDefault="005D1EA0" w:rsidP="007E36B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10/</w:t>
            </w:r>
            <w:r w:rsidRPr="009075DC">
              <w:rPr>
                <w:rFonts w:eastAsia="SimSun"/>
                <w:szCs w:val="24"/>
              </w:rPr>
              <w:t>31/35</w:t>
            </w:r>
          </w:p>
        </w:tc>
        <w:tc>
          <w:tcPr>
            <w:tcW w:w="1350" w:type="dxa"/>
          </w:tcPr>
          <w:p w:rsidR="005D1EA0" w:rsidRPr="00896CD7" w:rsidRDefault="00F20204" w:rsidP="00F20204">
            <w:pPr>
              <w:widowControl w:val="0"/>
              <w:tabs>
                <w:tab w:val="decimal" w:pos="792"/>
              </w:tabs>
              <w:spacing w:before="60" w:after="60" w:line="240" w:lineRule="auto"/>
              <w:ind w:firstLine="0"/>
              <w:jc w:val="center"/>
              <w:rPr>
                <w:rFonts w:eastAsia="SimSun"/>
                <w:szCs w:val="24"/>
              </w:rPr>
            </w:pPr>
            <w:r>
              <w:rPr>
                <w:rFonts w:eastAsia="SimSun"/>
                <w:szCs w:val="24"/>
              </w:rPr>
              <w:t>109</w:t>
            </w:r>
            <w:r w:rsidRPr="00896CD7">
              <w:rPr>
                <w:rFonts w:eastAsia="SimSun"/>
                <w:szCs w:val="24"/>
              </w:rPr>
              <w:t xml:space="preserve"> </w:t>
            </w:r>
            <w:r w:rsidR="005D1EA0" w:rsidRPr="00896CD7">
              <w:rPr>
                <w:rFonts w:eastAsia="SimSun"/>
                <w:szCs w:val="24"/>
              </w:rPr>
              <w:t>%</w:t>
            </w:r>
          </w:p>
        </w:tc>
        <w:tc>
          <w:tcPr>
            <w:tcW w:w="1440" w:type="dxa"/>
          </w:tcPr>
          <w:p w:rsidR="005D1EA0" w:rsidRPr="00B373B1" w:rsidRDefault="005D1EA0"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6.24</w:t>
            </w:r>
            <w:r w:rsidRPr="00B373B1">
              <w:rPr>
                <w:rFonts w:eastAsia="SimSun"/>
                <w:szCs w:val="24"/>
              </w:rPr>
              <w:t xml:space="preserve"> %</w:t>
            </w:r>
          </w:p>
        </w:tc>
      </w:tr>
      <w:tr w:rsidR="005D1EA0" w:rsidRPr="001D2B74" w:rsidTr="007E36BD">
        <w:trPr>
          <w:cantSplit/>
          <w:trHeight w:val="324"/>
        </w:trPr>
        <w:tc>
          <w:tcPr>
            <w:tcW w:w="3168" w:type="dxa"/>
          </w:tcPr>
          <w:p w:rsidR="005D1EA0" w:rsidRPr="009075DC" w:rsidRDefault="005D1EA0" w:rsidP="007E36BD">
            <w:pPr>
              <w:widowControl w:val="0"/>
              <w:spacing w:beforeLines="20" w:before="48" w:afterLines="20" w:after="48" w:line="240" w:lineRule="auto"/>
              <w:ind w:firstLine="0"/>
              <w:rPr>
                <w:rFonts w:eastAsia="SimSun"/>
                <w:szCs w:val="24"/>
              </w:rPr>
            </w:pPr>
            <w:r>
              <w:rPr>
                <w:rFonts w:eastAsia="SimSun"/>
                <w:szCs w:val="24"/>
              </w:rPr>
              <w:t>Primary Service, Schools</w:t>
            </w:r>
          </w:p>
        </w:tc>
        <w:tc>
          <w:tcPr>
            <w:tcW w:w="1440" w:type="dxa"/>
          </w:tcPr>
          <w:p w:rsidR="005D1EA0" w:rsidRPr="009075DC" w:rsidRDefault="005D1EA0" w:rsidP="007E36B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43</w:t>
            </w:r>
          </w:p>
        </w:tc>
        <w:tc>
          <w:tcPr>
            <w:tcW w:w="1350" w:type="dxa"/>
          </w:tcPr>
          <w:p w:rsidR="005D1EA0" w:rsidRDefault="00F20204" w:rsidP="00F20204">
            <w:pPr>
              <w:widowControl w:val="0"/>
              <w:tabs>
                <w:tab w:val="decimal" w:pos="792"/>
              </w:tabs>
              <w:spacing w:before="60" w:after="60" w:line="240" w:lineRule="auto"/>
              <w:ind w:firstLine="0"/>
              <w:jc w:val="center"/>
              <w:rPr>
                <w:rFonts w:eastAsia="SimSun"/>
                <w:szCs w:val="24"/>
              </w:rPr>
            </w:pPr>
            <w:r>
              <w:rPr>
                <w:rFonts w:eastAsia="SimSun"/>
                <w:szCs w:val="24"/>
              </w:rPr>
              <w:t xml:space="preserve">104 </w:t>
            </w:r>
            <w:r w:rsidR="005D1EA0">
              <w:rPr>
                <w:rFonts w:eastAsia="SimSun"/>
                <w:szCs w:val="24"/>
              </w:rPr>
              <w:t>%</w:t>
            </w:r>
          </w:p>
        </w:tc>
        <w:tc>
          <w:tcPr>
            <w:tcW w:w="1440" w:type="dxa"/>
          </w:tcPr>
          <w:p w:rsidR="005D1EA0" w:rsidRDefault="005D1EA0"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8.32 %</w:t>
            </w:r>
          </w:p>
        </w:tc>
      </w:tr>
      <w:tr w:rsidR="005D1EA0" w:rsidRPr="001D2B74" w:rsidTr="007E36BD">
        <w:trPr>
          <w:cantSplit/>
          <w:trHeight w:val="324"/>
        </w:trPr>
        <w:tc>
          <w:tcPr>
            <w:tcW w:w="3168" w:type="dxa"/>
          </w:tcPr>
          <w:p w:rsidR="005D1EA0" w:rsidRPr="009075DC" w:rsidRDefault="005D1EA0" w:rsidP="007E36BD">
            <w:pPr>
              <w:widowControl w:val="0"/>
              <w:spacing w:beforeLines="20" w:before="48" w:afterLines="20" w:after="48" w:line="240" w:lineRule="auto"/>
              <w:ind w:firstLine="0"/>
              <w:rPr>
                <w:rFonts w:eastAsia="SimSun"/>
                <w:szCs w:val="24"/>
              </w:rPr>
            </w:pPr>
            <w:r w:rsidRPr="009075DC">
              <w:rPr>
                <w:rFonts w:eastAsia="SimSun"/>
                <w:szCs w:val="24"/>
              </w:rPr>
              <w:t>Campus Rate*</w:t>
            </w:r>
          </w:p>
        </w:tc>
        <w:tc>
          <w:tcPr>
            <w:tcW w:w="1440" w:type="dxa"/>
          </w:tcPr>
          <w:p w:rsidR="005D1EA0" w:rsidRPr="009075DC" w:rsidRDefault="005D1EA0" w:rsidP="007E36B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40</w:t>
            </w:r>
          </w:p>
        </w:tc>
        <w:tc>
          <w:tcPr>
            <w:tcW w:w="1350" w:type="dxa"/>
          </w:tcPr>
          <w:p w:rsidR="005D1EA0" w:rsidRPr="00896CD7" w:rsidRDefault="005D1EA0" w:rsidP="007E36BD">
            <w:pPr>
              <w:widowControl w:val="0"/>
              <w:tabs>
                <w:tab w:val="decimal" w:pos="792"/>
              </w:tabs>
              <w:spacing w:before="60" w:after="60" w:line="240" w:lineRule="auto"/>
              <w:ind w:firstLine="0"/>
              <w:jc w:val="center"/>
              <w:rPr>
                <w:rFonts w:eastAsia="SimSun"/>
                <w:szCs w:val="24"/>
              </w:rPr>
            </w:pPr>
            <w:r>
              <w:rPr>
                <w:rFonts w:eastAsia="SimSun"/>
                <w:szCs w:val="24"/>
              </w:rPr>
              <w:t>95</w:t>
            </w:r>
            <w:r w:rsidRPr="00896CD7">
              <w:rPr>
                <w:rFonts w:eastAsia="SimSun"/>
                <w:szCs w:val="24"/>
              </w:rPr>
              <w:t xml:space="preserve"> %</w:t>
            </w:r>
          </w:p>
        </w:tc>
        <w:tc>
          <w:tcPr>
            <w:tcW w:w="1440" w:type="dxa"/>
          </w:tcPr>
          <w:p w:rsidR="005D1EA0" w:rsidRPr="00B373B1" w:rsidRDefault="005D1EA0"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13.28</w:t>
            </w:r>
            <w:r w:rsidRPr="00B373B1">
              <w:rPr>
                <w:rFonts w:eastAsia="SimSun"/>
                <w:szCs w:val="24"/>
              </w:rPr>
              <w:t xml:space="preserve"> %</w:t>
            </w:r>
          </w:p>
        </w:tc>
      </w:tr>
      <w:tr w:rsidR="005D1EA0" w:rsidRPr="001D2B74" w:rsidTr="007E36BD">
        <w:trPr>
          <w:cantSplit/>
          <w:trHeight w:val="477"/>
        </w:trPr>
        <w:tc>
          <w:tcPr>
            <w:tcW w:w="3168" w:type="dxa"/>
          </w:tcPr>
          <w:p w:rsidR="005D1EA0" w:rsidRPr="009075DC" w:rsidRDefault="005D1EA0" w:rsidP="007E36BD">
            <w:pPr>
              <w:widowControl w:val="0"/>
              <w:spacing w:beforeLines="20" w:before="48" w:afterLines="20" w:after="48" w:line="240" w:lineRule="auto"/>
              <w:ind w:firstLine="0"/>
              <w:rPr>
                <w:rFonts w:eastAsia="SimSun"/>
                <w:szCs w:val="24"/>
              </w:rPr>
            </w:pPr>
            <w:r w:rsidRPr="009075DC">
              <w:rPr>
                <w:rFonts w:eastAsia="SimSun"/>
                <w:szCs w:val="24"/>
              </w:rPr>
              <w:t xml:space="preserve">High Voltage </w:t>
            </w:r>
          </w:p>
        </w:tc>
        <w:tc>
          <w:tcPr>
            <w:tcW w:w="1440" w:type="dxa"/>
          </w:tcPr>
          <w:p w:rsidR="005D1EA0" w:rsidRPr="009075DC" w:rsidRDefault="005D1EA0" w:rsidP="007E36B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46/49</w:t>
            </w:r>
          </w:p>
        </w:tc>
        <w:tc>
          <w:tcPr>
            <w:tcW w:w="1350" w:type="dxa"/>
          </w:tcPr>
          <w:p w:rsidR="005D1EA0" w:rsidRPr="00896CD7" w:rsidRDefault="005D1EA0" w:rsidP="007E36BD">
            <w:pPr>
              <w:widowControl w:val="0"/>
              <w:tabs>
                <w:tab w:val="decimal" w:pos="792"/>
              </w:tabs>
              <w:spacing w:before="60" w:after="60" w:line="240" w:lineRule="auto"/>
              <w:ind w:firstLine="0"/>
              <w:jc w:val="center"/>
              <w:rPr>
                <w:rFonts w:eastAsia="SimSun"/>
                <w:szCs w:val="24"/>
              </w:rPr>
            </w:pPr>
            <w:r>
              <w:rPr>
                <w:rFonts w:eastAsia="SimSun"/>
                <w:szCs w:val="24"/>
              </w:rPr>
              <w:t>109</w:t>
            </w:r>
            <w:r w:rsidRPr="00896CD7">
              <w:rPr>
                <w:rFonts w:eastAsia="SimSun"/>
                <w:szCs w:val="24"/>
              </w:rPr>
              <w:t xml:space="preserve"> %</w:t>
            </w:r>
          </w:p>
        </w:tc>
        <w:tc>
          <w:tcPr>
            <w:tcW w:w="1440" w:type="dxa"/>
          </w:tcPr>
          <w:p w:rsidR="005D1EA0" w:rsidRPr="00B373B1" w:rsidRDefault="005D1EA0"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6.24</w:t>
            </w:r>
            <w:r w:rsidRPr="00B373B1">
              <w:rPr>
                <w:rFonts w:eastAsia="SimSun"/>
                <w:szCs w:val="24"/>
              </w:rPr>
              <w:t xml:space="preserve"> %</w:t>
            </w:r>
          </w:p>
        </w:tc>
      </w:tr>
      <w:tr w:rsidR="005D1EA0" w:rsidRPr="001D2B74" w:rsidTr="007E36BD">
        <w:trPr>
          <w:cantSplit/>
          <w:trHeight w:val="324"/>
        </w:trPr>
        <w:tc>
          <w:tcPr>
            <w:tcW w:w="3168" w:type="dxa"/>
          </w:tcPr>
          <w:p w:rsidR="005D1EA0" w:rsidRPr="009075DC" w:rsidRDefault="005D1EA0" w:rsidP="007E36BD">
            <w:pPr>
              <w:widowControl w:val="0"/>
              <w:spacing w:beforeLines="20" w:before="48" w:afterLines="20" w:after="48" w:line="240" w:lineRule="auto"/>
              <w:ind w:firstLine="0"/>
              <w:rPr>
                <w:rFonts w:eastAsia="SimSun"/>
                <w:szCs w:val="24"/>
              </w:rPr>
            </w:pPr>
            <w:r w:rsidRPr="009075DC">
              <w:rPr>
                <w:rFonts w:eastAsia="SimSun"/>
                <w:szCs w:val="24"/>
              </w:rPr>
              <w:t>Lighting Service</w:t>
            </w:r>
          </w:p>
        </w:tc>
        <w:tc>
          <w:tcPr>
            <w:tcW w:w="1440" w:type="dxa"/>
          </w:tcPr>
          <w:p w:rsidR="005D1EA0" w:rsidRPr="009075DC" w:rsidRDefault="00F20204" w:rsidP="00F20204">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5</w:t>
            </w:r>
            <w:r>
              <w:rPr>
                <w:rFonts w:eastAsia="SimSun"/>
                <w:szCs w:val="24"/>
              </w:rPr>
              <w:t>0</w:t>
            </w:r>
            <w:r w:rsidRPr="009075DC">
              <w:rPr>
                <w:rFonts w:eastAsia="SimSun"/>
                <w:szCs w:val="24"/>
              </w:rPr>
              <w:t xml:space="preserve"> </w:t>
            </w:r>
            <w:r w:rsidR="005D1EA0">
              <w:rPr>
                <w:rFonts w:eastAsia="SimSun"/>
                <w:szCs w:val="24"/>
              </w:rPr>
              <w:t>–</w:t>
            </w:r>
            <w:r w:rsidR="005D1EA0" w:rsidRPr="009075DC">
              <w:rPr>
                <w:rFonts w:eastAsia="SimSun"/>
                <w:szCs w:val="24"/>
              </w:rPr>
              <w:t xml:space="preserve"> 59</w:t>
            </w:r>
          </w:p>
        </w:tc>
        <w:tc>
          <w:tcPr>
            <w:tcW w:w="1350" w:type="dxa"/>
          </w:tcPr>
          <w:p w:rsidR="005D1EA0" w:rsidRPr="00896CD7" w:rsidRDefault="005D1EA0" w:rsidP="007E36BD">
            <w:pPr>
              <w:widowControl w:val="0"/>
              <w:tabs>
                <w:tab w:val="decimal" w:pos="792"/>
              </w:tabs>
              <w:spacing w:before="60" w:after="60" w:line="240" w:lineRule="auto"/>
              <w:ind w:firstLine="0"/>
              <w:jc w:val="center"/>
              <w:rPr>
                <w:rFonts w:eastAsia="SimSun"/>
                <w:szCs w:val="24"/>
              </w:rPr>
            </w:pPr>
            <w:r>
              <w:rPr>
                <w:rFonts w:eastAsia="SimSun"/>
                <w:szCs w:val="24"/>
              </w:rPr>
              <w:t>97</w:t>
            </w:r>
            <w:r w:rsidRPr="00896CD7">
              <w:rPr>
                <w:rFonts w:eastAsia="SimSun"/>
                <w:szCs w:val="24"/>
              </w:rPr>
              <w:t xml:space="preserve"> %</w:t>
            </w:r>
          </w:p>
        </w:tc>
        <w:tc>
          <w:tcPr>
            <w:tcW w:w="1440" w:type="dxa"/>
          </w:tcPr>
          <w:p w:rsidR="005D1EA0" w:rsidRPr="00B373B1" w:rsidRDefault="005D1EA0" w:rsidP="007E36BD">
            <w:pPr>
              <w:widowControl w:val="0"/>
              <w:tabs>
                <w:tab w:val="decimal" w:pos="252"/>
              </w:tabs>
              <w:spacing w:beforeLines="20" w:before="48" w:afterLines="20" w:after="48" w:line="240" w:lineRule="auto"/>
              <w:ind w:firstLine="0"/>
              <w:jc w:val="center"/>
              <w:rPr>
                <w:rFonts w:eastAsia="SimSun"/>
              </w:rPr>
            </w:pPr>
            <w:r>
              <w:rPr>
                <w:rFonts w:eastAsia="SimSun"/>
                <w:szCs w:val="24"/>
              </w:rPr>
              <w:t>8.32</w:t>
            </w:r>
            <w:r w:rsidRPr="00B373B1">
              <w:rPr>
                <w:rFonts w:eastAsia="SimSun"/>
                <w:szCs w:val="24"/>
              </w:rPr>
              <w:t xml:space="preserve"> %</w:t>
            </w:r>
          </w:p>
        </w:tc>
      </w:tr>
      <w:tr w:rsidR="005D1EA0" w:rsidRPr="001D2B74" w:rsidTr="007E36BD">
        <w:trPr>
          <w:cantSplit/>
          <w:trHeight w:val="324"/>
        </w:trPr>
        <w:tc>
          <w:tcPr>
            <w:tcW w:w="3168" w:type="dxa"/>
            <w:tcBorders>
              <w:bottom w:val="single" w:sz="4" w:space="0" w:color="auto"/>
            </w:tcBorders>
          </w:tcPr>
          <w:p w:rsidR="005D1EA0" w:rsidRPr="009075DC" w:rsidRDefault="005D1EA0" w:rsidP="007E36BD">
            <w:pPr>
              <w:widowControl w:val="0"/>
              <w:spacing w:beforeLines="20" w:before="48" w:afterLines="20" w:after="48" w:line="240" w:lineRule="auto"/>
              <w:ind w:firstLine="0"/>
              <w:rPr>
                <w:rFonts w:eastAsia="SimSun"/>
              </w:rPr>
            </w:pPr>
            <w:r w:rsidRPr="009075DC">
              <w:rPr>
                <w:rFonts w:eastAsia="SimSun"/>
                <w:szCs w:val="24"/>
              </w:rPr>
              <w:t>Choice/Retail Wheeling</w:t>
            </w:r>
          </w:p>
        </w:tc>
        <w:tc>
          <w:tcPr>
            <w:tcW w:w="1440" w:type="dxa"/>
            <w:tcBorders>
              <w:bottom w:val="single" w:sz="4" w:space="0" w:color="auto"/>
            </w:tcBorders>
          </w:tcPr>
          <w:p w:rsidR="005D1EA0" w:rsidRPr="009075DC" w:rsidRDefault="005D1EA0" w:rsidP="007E36BD">
            <w:pPr>
              <w:widowControl w:val="0"/>
              <w:tabs>
                <w:tab w:val="decimal" w:pos="342"/>
              </w:tabs>
              <w:spacing w:beforeLines="20" w:before="48" w:afterLines="20" w:after="48" w:line="240" w:lineRule="auto"/>
              <w:ind w:firstLine="0"/>
              <w:jc w:val="center"/>
              <w:rPr>
                <w:rFonts w:eastAsia="SimSun"/>
              </w:rPr>
            </w:pPr>
            <w:r w:rsidRPr="009075DC">
              <w:rPr>
                <w:rFonts w:eastAsia="SimSun"/>
                <w:szCs w:val="24"/>
              </w:rPr>
              <w:t>448/449</w:t>
            </w:r>
          </w:p>
        </w:tc>
        <w:tc>
          <w:tcPr>
            <w:tcW w:w="1350" w:type="dxa"/>
            <w:tcBorders>
              <w:bottom w:val="single" w:sz="4" w:space="0" w:color="auto"/>
            </w:tcBorders>
          </w:tcPr>
          <w:p w:rsidR="005D1EA0" w:rsidRPr="00896CD7" w:rsidRDefault="005D1EA0" w:rsidP="007E36BD">
            <w:pPr>
              <w:widowControl w:val="0"/>
              <w:tabs>
                <w:tab w:val="decimal" w:pos="792"/>
              </w:tabs>
              <w:spacing w:before="60" w:after="60" w:line="240" w:lineRule="auto"/>
              <w:ind w:firstLine="0"/>
              <w:jc w:val="center"/>
              <w:rPr>
                <w:rFonts w:eastAsia="SimSun"/>
                <w:szCs w:val="24"/>
              </w:rPr>
            </w:pPr>
            <w:r>
              <w:rPr>
                <w:rFonts w:eastAsia="SimSun"/>
                <w:szCs w:val="24"/>
              </w:rPr>
              <w:t>65</w:t>
            </w:r>
            <w:r w:rsidRPr="00896CD7">
              <w:rPr>
                <w:rFonts w:eastAsia="SimSun"/>
                <w:szCs w:val="24"/>
              </w:rPr>
              <w:t xml:space="preserve"> %</w:t>
            </w:r>
          </w:p>
        </w:tc>
        <w:tc>
          <w:tcPr>
            <w:tcW w:w="1440" w:type="dxa"/>
            <w:tcBorders>
              <w:bottom w:val="single" w:sz="4" w:space="0" w:color="auto"/>
            </w:tcBorders>
          </w:tcPr>
          <w:p w:rsidR="005D1EA0" w:rsidRPr="00B373B1" w:rsidRDefault="005D1EA0"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6.07</w:t>
            </w:r>
            <w:r w:rsidRPr="00B373B1">
              <w:rPr>
                <w:rFonts w:eastAsia="SimSun"/>
                <w:szCs w:val="24"/>
              </w:rPr>
              <w:t xml:space="preserve"> %</w:t>
            </w:r>
          </w:p>
        </w:tc>
      </w:tr>
      <w:tr w:rsidR="005D1EA0" w:rsidRPr="009075DC" w:rsidTr="007E36BD">
        <w:trPr>
          <w:cantSplit/>
          <w:trHeight w:val="692"/>
        </w:trPr>
        <w:tc>
          <w:tcPr>
            <w:tcW w:w="3168" w:type="dxa"/>
            <w:tcBorders>
              <w:top w:val="single" w:sz="4" w:space="0" w:color="auto"/>
              <w:bottom w:val="single" w:sz="4" w:space="0" w:color="auto"/>
            </w:tcBorders>
          </w:tcPr>
          <w:p w:rsidR="005D1EA0" w:rsidRPr="009075DC" w:rsidRDefault="005D1EA0" w:rsidP="007E36BD">
            <w:pPr>
              <w:widowControl w:val="0"/>
              <w:spacing w:beforeLines="20" w:before="48" w:afterLines="20" w:after="48" w:line="240" w:lineRule="auto"/>
              <w:ind w:firstLine="0"/>
              <w:jc w:val="center"/>
              <w:rPr>
                <w:rFonts w:eastAsia="SimSun"/>
                <w:b/>
                <w:szCs w:val="24"/>
              </w:rPr>
            </w:pPr>
            <w:r w:rsidRPr="009075DC">
              <w:rPr>
                <w:rFonts w:eastAsia="SimSun"/>
                <w:b/>
                <w:szCs w:val="24"/>
              </w:rPr>
              <w:t>Total Jurisdictional Retail Sales</w:t>
            </w:r>
          </w:p>
        </w:tc>
        <w:tc>
          <w:tcPr>
            <w:tcW w:w="1440" w:type="dxa"/>
            <w:tcBorders>
              <w:top w:val="single" w:sz="4" w:space="0" w:color="auto"/>
              <w:bottom w:val="single" w:sz="4" w:space="0" w:color="auto"/>
            </w:tcBorders>
          </w:tcPr>
          <w:p w:rsidR="005D1EA0" w:rsidRPr="009075DC" w:rsidRDefault="005D1EA0" w:rsidP="007E36BD">
            <w:pPr>
              <w:widowControl w:val="0"/>
              <w:tabs>
                <w:tab w:val="decimal" w:pos="792"/>
              </w:tabs>
              <w:spacing w:beforeLines="20" w:before="48" w:afterLines="20" w:after="48" w:line="240" w:lineRule="auto"/>
              <w:ind w:firstLine="0"/>
              <w:rPr>
                <w:rFonts w:eastAsia="SimSun"/>
                <w:b/>
                <w:szCs w:val="24"/>
              </w:rPr>
            </w:pPr>
            <w:r w:rsidRPr="009075DC">
              <w:rPr>
                <w:rFonts w:eastAsia="SimSun"/>
                <w:b/>
                <w:szCs w:val="24"/>
              </w:rPr>
              <w:t>n/a</w:t>
            </w:r>
          </w:p>
        </w:tc>
        <w:tc>
          <w:tcPr>
            <w:tcW w:w="1350" w:type="dxa"/>
            <w:tcBorders>
              <w:top w:val="single" w:sz="4" w:space="0" w:color="auto"/>
              <w:bottom w:val="single" w:sz="4" w:space="0" w:color="auto"/>
            </w:tcBorders>
          </w:tcPr>
          <w:p w:rsidR="005D1EA0" w:rsidRPr="009075DC" w:rsidRDefault="005D1EA0" w:rsidP="007E36B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n/a</w:t>
            </w:r>
          </w:p>
        </w:tc>
        <w:tc>
          <w:tcPr>
            <w:tcW w:w="1440" w:type="dxa"/>
            <w:tcBorders>
              <w:top w:val="single" w:sz="4" w:space="0" w:color="auto"/>
              <w:bottom w:val="single" w:sz="4" w:space="0" w:color="auto"/>
            </w:tcBorders>
          </w:tcPr>
          <w:p w:rsidR="005D1EA0" w:rsidRPr="00B373B1" w:rsidRDefault="005D1EA0"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7.57</w:t>
            </w:r>
            <w:r w:rsidRPr="00B373B1">
              <w:rPr>
                <w:rFonts w:eastAsia="SimSun"/>
                <w:szCs w:val="24"/>
              </w:rPr>
              <w:t xml:space="preserve"> %</w:t>
            </w:r>
          </w:p>
        </w:tc>
      </w:tr>
      <w:tr w:rsidR="005D1EA0" w:rsidRPr="009075DC" w:rsidTr="007E36BD">
        <w:trPr>
          <w:cantSplit/>
          <w:trHeight w:val="378"/>
        </w:trPr>
        <w:tc>
          <w:tcPr>
            <w:tcW w:w="3168" w:type="dxa"/>
            <w:tcBorders>
              <w:top w:val="single" w:sz="4" w:space="0" w:color="auto"/>
              <w:bottom w:val="single" w:sz="4" w:space="0" w:color="auto"/>
            </w:tcBorders>
          </w:tcPr>
          <w:p w:rsidR="005D1EA0" w:rsidRPr="009075DC" w:rsidRDefault="005D1EA0" w:rsidP="007E36BD">
            <w:pPr>
              <w:widowControl w:val="0"/>
              <w:spacing w:beforeLines="20" w:before="48" w:afterLines="20" w:after="48" w:line="240" w:lineRule="auto"/>
              <w:ind w:firstLine="0"/>
              <w:rPr>
                <w:rFonts w:eastAsia="SimSun"/>
                <w:szCs w:val="24"/>
              </w:rPr>
            </w:pPr>
            <w:r w:rsidRPr="009075DC">
              <w:rPr>
                <w:rFonts w:eastAsia="SimSun"/>
                <w:szCs w:val="24"/>
              </w:rPr>
              <w:t>Firm Resale</w:t>
            </w:r>
          </w:p>
        </w:tc>
        <w:tc>
          <w:tcPr>
            <w:tcW w:w="1440" w:type="dxa"/>
            <w:tcBorders>
              <w:top w:val="single" w:sz="4" w:space="0" w:color="auto"/>
              <w:bottom w:val="single" w:sz="4" w:space="0" w:color="auto"/>
            </w:tcBorders>
          </w:tcPr>
          <w:p w:rsidR="005D1EA0" w:rsidRPr="009075DC" w:rsidRDefault="005D1EA0" w:rsidP="007E36BD">
            <w:pPr>
              <w:widowControl w:val="0"/>
              <w:tabs>
                <w:tab w:val="decimal" w:pos="792"/>
              </w:tabs>
              <w:spacing w:beforeLines="20" w:before="48" w:afterLines="20" w:after="48" w:line="240" w:lineRule="auto"/>
              <w:ind w:firstLine="0"/>
              <w:rPr>
                <w:rFonts w:eastAsia="SimSun"/>
                <w:szCs w:val="24"/>
              </w:rPr>
            </w:pPr>
            <w:r w:rsidRPr="009075DC">
              <w:rPr>
                <w:rFonts w:eastAsia="SimSun"/>
                <w:szCs w:val="24"/>
              </w:rPr>
              <w:t>5</w:t>
            </w:r>
          </w:p>
        </w:tc>
        <w:tc>
          <w:tcPr>
            <w:tcW w:w="1350" w:type="dxa"/>
            <w:tcBorders>
              <w:top w:val="single" w:sz="4" w:space="0" w:color="auto"/>
              <w:bottom w:val="single" w:sz="4" w:space="0" w:color="auto"/>
            </w:tcBorders>
          </w:tcPr>
          <w:p w:rsidR="005D1EA0" w:rsidRPr="009075DC" w:rsidRDefault="005D1EA0" w:rsidP="007E36BD">
            <w:pPr>
              <w:widowControl w:val="0"/>
              <w:tabs>
                <w:tab w:val="decimal" w:pos="702"/>
              </w:tabs>
              <w:spacing w:beforeLines="20" w:before="48" w:afterLines="20" w:after="48" w:line="240" w:lineRule="auto"/>
              <w:ind w:firstLine="0"/>
              <w:jc w:val="center"/>
              <w:rPr>
                <w:rFonts w:eastAsia="SimSun"/>
                <w:szCs w:val="24"/>
              </w:rPr>
            </w:pPr>
            <w:r>
              <w:rPr>
                <w:rFonts w:eastAsia="SimSun"/>
                <w:szCs w:val="24"/>
              </w:rPr>
              <w:t>47</w:t>
            </w:r>
            <w:r w:rsidRPr="009075DC">
              <w:rPr>
                <w:rFonts w:eastAsia="SimSun"/>
                <w:szCs w:val="24"/>
              </w:rPr>
              <w:t xml:space="preserve"> %</w:t>
            </w:r>
          </w:p>
        </w:tc>
        <w:tc>
          <w:tcPr>
            <w:tcW w:w="1440" w:type="dxa"/>
            <w:tcBorders>
              <w:top w:val="single" w:sz="4" w:space="0" w:color="auto"/>
              <w:bottom w:val="single" w:sz="4" w:space="0" w:color="auto"/>
            </w:tcBorders>
          </w:tcPr>
          <w:p w:rsidR="005D1EA0" w:rsidRPr="009075DC" w:rsidRDefault="005D1EA0" w:rsidP="007E36BD">
            <w:pPr>
              <w:widowControl w:val="0"/>
              <w:tabs>
                <w:tab w:val="decimal" w:pos="162"/>
              </w:tabs>
              <w:spacing w:beforeLines="20" w:before="48" w:afterLines="20" w:after="48" w:line="240" w:lineRule="auto"/>
              <w:ind w:firstLine="0"/>
              <w:jc w:val="center"/>
              <w:rPr>
                <w:rFonts w:eastAsia="SimSun"/>
                <w:szCs w:val="24"/>
              </w:rPr>
            </w:pPr>
            <w:r>
              <w:rPr>
                <w:rFonts w:eastAsia="SimSun"/>
                <w:szCs w:val="24"/>
              </w:rPr>
              <w:t xml:space="preserve">128.35 </w:t>
            </w:r>
            <w:r w:rsidRPr="009075DC">
              <w:rPr>
                <w:rFonts w:eastAsia="SimSun"/>
                <w:szCs w:val="24"/>
              </w:rPr>
              <w:t>%**</w:t>
            </w:r>
          </w:p>
        </w:tc>
      </w:tr>
      <w:tr w:rsidR="005D1EA0" w:rsidRPr="009075DC" w:rsidTr="007E36BD">
        <w:trPr>
          <w:cantSplit/>
          <w:trHeight w:val="575"/>
        </w:trPr>
        <w:tc>
          <w:tcPr>
            <w:tcW w:w="3168" w:type="dxa"/>
            <w:tcBorders>
              <w:top w:val="single" w:sz="4" w:space="0" w:color="auto"/>
            </w:tcBorders>
          </w:tcPr>
          <w:p w:rsidR="005D1EA0" w:rsidRPr="009075DC" w:rsidRDefault="005D1EA0" w:rsidP="007E36BD">
            <w:pPr>
              <w:widowControl w:val="0"/>
              <w:spacing w:beforeLines="20" w:before="48" w:afterLines="20" w:after="48" w:line="240" w:lineRule="auto"/>
              <w:ind w:firstLine="0"/>
              <w:jc w:val="center"/>
              <w:rPr>
                <w:rFonts w:eastAsia="SimSun"/>
                <w:b/>
                <w:szCs w:val="24"/>
              </w:rPr>
            </w:pPr>
            <w:r w:rsidRPr="009075DC">
              <w:rPr>
                <w:rFonts w:eastAsia="SimSun"/>
                <w:b/>
                <w:szCs w:val="24"/>
              </w:rPr>
              <w:t>System Total/Average</w:t>
            </w:r>
          </w:p>
        </w:tc>
        <w:tc>
          <w:tcPr>
            <w:tcW w:w="1440" w:type="dxa"/>
            <w:tcBorders>
              <w:top w:val="single" w:sz="4" w:space="0" w:color="auto"/>
            </w:tcBorders>
          </w:tcPr>
          <w:p w:rsidR="005D1EA0" w:rsidRPr="009075DC" w:rsidRDefault="005D1EA0" w:rsidP="007E36BD">
            <w:pPr>
              <w:widowControl w:val="0"/>
              <w:tabs>
                <w:tab w:val="decimal" w:pos="792"/>
              </w:tabs>
              <w:spacing w:beforeLines="20" w:before="48" w:afterLines="20" w:after="48" w:line="240" w:lineRule="auto"/>
              <w:ind w:firstLine="0"/>
              <w:rPr>
                <w:rFonts w:eastAsia="SimSun"/>
                <w:b/>
                <w:szCs w:val="24"/>
              </w:rPr>
            </w:pPr>
          </w:p>
        </w:tc>
        <w:tc>
          <w:tcPr>
            <w:tcW w:w="1350" w:type="dxa"/>
            <w:tcBorders>
              <w:top w:val="single" w:sz="4" w:space="0" w:color="auto"/>
            </w:tcBorders>
          </w:tcPr>
          <w:p w:rsidR="005D1EA0" w:rsidRPr="009075DC" w:rsidRDefault="005D1EA0" w:rsidP="007E36BD">
            <w:pPr>
              <w:widowControl w:val="0"/>
              <w:tabs>
                <w:tab w:val="decimal" w:pos="702"/>
              </w:tabs>
              <w:spacing w:beforeLines="20" w:before="48" w:afterLines="20" w:after="48" w:line="240" w:lineRule="auto"/>
              <w:ind w:firstLine="0"/>
              <w:jc w:val="center"/>
              <w:rPr>
                <w:rFonts w:eastAsia="SimSun"/>
                <w:szCs w:val="24"/>
              </w:rPr>
            </w:pPr>
            <w:r w:rsidRPr="009075DC">
              <w:rPr>
                <w:rFonts w:eastAsia="SimSun"/>
                <w:szCs w:val="24"/>
              </w:rPr>
              <w:t>100%</w:t>
            </w:r>
          </w:p>
        </w:tc>
        <w:tc>
          <w:tcPr>
            <w:tcW w:w="1440" w:type="dxa"/>
            <w:tcBorders>
              <w:top w:val="single" w:sz="4" w:space="0" w:color="auto"/>
            </w:tcBorders>
          </w:tcPr>
          <w:p w:rsidR="005D1EA0" w:rsidRPr="009075DC" w:rsidRDefault="005D1EA0" w:rsidP="007E36B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7.59</w:t>
            </w:r>
            <w:r w:rsidRPr="009075DC">
              <w:rPr>
                <w:rFonts w:eastAsia="SimSun"/>
                <w:szCs w:val="24"/>
              </w:rPr>
              <w:t xml:space="preserve"> %</w:t>
            </w:r>
          </w:p>
        </w:tc>
      </w:tr>
      <w:tr w:rsidR="005D1EA0" w:rsidRPr="009075DC" w:rsidTr="007E36BD">
        <w:trPr>
          <w:cantSplit/>
          <w:trHeight w:val="185"/>
        </w:trPr>
        <w:tc>
          <w:tcPr>
            <w:tcW w:w="7398" w:type="dxa"/>
            <w:gridSpan w:val="4"/>
          </w:tcPr>
          <w:p w:rsidR="005D1EA0" w:rsidRPr="009075DC" w:rsidRDefault="005D1EA0" w:rsidP="007E36BD">
            <w:pPr>
              <w:widowControl w:val="0"/>
              <w:tabs>
                <w:tab w:val="decimal" w:pos="792"/>
              </w:tabs>
              <w:spacing w:beforeLines="20" w:before="48" w:afterLines="20" w:after="48" w:line="240" w:lineRule="auto"/>
              <w:ind w:firstLine="0"/>
              <w:rPr>
                <w:rFonts w:eastAsia="SimSun"/>
                <w:sz w:val="20"/>
              </w:rPr>
            </w:pPr>
            <w:r w:rsidRPr="009075DC">
              <w:rPr>
                <w:rFonts w:eastAsia="SimSun"/>
                <w:sz w:val="20"/>
              </w:rPr>
              <w:t>*Campus Rate increase proposal reflects customer-specific distribution rates according to agreement.</w:t>
            </w:r>
          </w:p>
          <w:p w:rsidR="005D1EA0" w:rsidRPr="009075DC" w:rsidRDefault="005D1EA0" w:rsidP="007E36BD">
            <w:pPr>
              <w:widowControl w:val="0"/>
              <w:tabs>
                <w:tab w:val="decimal" w:pos="0"/>
              </w:tabs>
              <w:spacing w:beforeLines="20" w:before="48" w:afterLines="20" w:after="48" w:line="240" w:lineRule="auto"/>
              <w:ind w:firstLine="0"/>
              <w:rPr>
                <w:rFonts w:eastAsia="SimSun"/>
                <w:szCs w:val="24"/>
                <w:highlight w:val="yellow"/>
              </w:rPr>
            </w:pPr>
            <w:r w:rsidRPr="009075DC">
              <w:rPr>
                <w:rFonts w:eastAsia="SimSun"/>
                <w:sz w:val="20"/>
              </w:rPr>
              <w:t>**Reflects the rate increase necessary to move non-jurisdictional rates to parity.</w:t>
            </w:r>
          </w:p>
        </w:tc>
      </w:tr>
    </w:tbl>
    <w:p w:rsidR="005D1EA0" w:rsidRDefault="005D1EA0" w:rsidP="005D1EA0">
      <w:pPr>
        <w:pStyle w:val="answer"/>
        <w:widowControl w:val="0"/>
        <w:ind w:left="1440" w:firstLine="0"/>
        <w:rPr>
          <w:rFonts w:eastAsia="SimSun"/>
        </w:rPr>
      </w:pPr>
    </w:p>
    <w:p w:rsidR="00863A3D" w:rsidRPr="00863A3D" w:rsidRDefault="00863A3D" w:rsidP="00863A3D">
      <w:pPr>
        <w:pStyle w:val="answer"/>
        <w:widowControl w:val="0"/>
        <w:ind w:left="1440"/>
        <w:rPr>
          <w:i/>
          <w:u w:val="single"/>
        </w:rPr>
      </w:pPr>
      <w:r>
        <w:rPr>
          <w:rFonts w:eastAsia="SimSun"/>
        </w:rPr>
        <w:t xml:space="preserve"> </w:t>
      </w:r>
      <w:r w:rsidR="002F706F">
        <w:rPr>
          <w:rFonts w:eastAsia="SimSun"/>
        </w:rPr>
        <w:t xml:space="preserve"> </w:t>
      </w:r>
      <w:r w:rsidRPr="00863A3D">
        <w:rPr>
          <w:i/>
          <w:u w:val="single"/>
        </w:rPr>
        <w:t xml:space="preserve">Electric </w:t>
      </w:r>
      <w:r>
        <w:rPr>
          <w:i/>
          <w:u w:val="single"/>
        </w:rPr>
        <w:t>Lighting Study</w:t>
      </w:r>
    </w:p>
    <w:p w:rsidR="00C8021D" w:rsidRDefault="00C8021D" w:rsidP="00756AAC">
      <w:pPr>
        <w:pStyle w:val="answer"/>
        <w:widowControl w:val="0"/>
        <w:numPr>
          <w:ilvl w:val="0"/>
          <w:numId w:val="33"/>
        </w:numPr>
        <w:rPr>
          <w:rFonts w:eastAsia="SimSun"/>
        </w:rPr>
      </w:pPr>
      <w:r>
        <w:rPr>
          <w:rFonts w:eastAsia="SimSun"/>
        </w:rPr>
        <w:t xml:space="preserve">PSE performed its first full cost of service study specific for lighting service in </w:t>
      </w:r>
      <w:r w:rsidR="00D1284F">
        <w:rPr>
          <w:rFonts w:eastAsia="SimSun"/>
        </w:rPr>
        <w:t>at least 16 years</w:t>
      </w:r>
      <w:r>
        <w:rPr>
          <w:rFonts w:eastAsia="SimSun"/>
        </w:rPr>
        <w:t>.</w:t>
      </w:r>
    </w:p>
    <w:p w:rsidR="00863A3D" w:rsidRDefault="00AD72F4" w:rsidP="00756AAC">
      <w:pPr>
        <w:pStyle w:val="answer"/>
        <w:widowControl w:val="0"/>
        <w:numPr>
          <w:ilvl w:val="0"/>
          <w:numId w:val="33"/>
        </w:numPr>
        <w:rPr>
          <w:rFonts w:eastAsia="SimSun"/>
        </w:rPr>
      </w:pPr>
      <w:r w:rsidRPr="00E96200">
        <w:t xml:space="preserve">Between individual </w:t>
      </w:r>
      <w:r>
        <w:t xml:space="preserve">lighting </w:t>
      </w:r>
      <w:r w:rsidRPr="00E96200">
        <w:t>schedules</w:t>
      </w:r>
      <w:r w:rsidR="00D1284F">
        <w:t>,</w:t>
      </w:r>
      <w:r w:rsidRPr="00E96200">
        <w:t xml:space="preserve"> the </w:t>
      </w:r>
      <w:r w:rsidR="00D1284F">
        <w:t xml:space="preserve">proposed </w:t>
      </w:r>
      <w:r w:rsidRPr="00E96200">
        <w:t xml:space="preserve">change in </w:t>
      </w:r>
      <w:r w:rsidR="00D1284F">
        <w:t>base rates</w:t>
      </w:r>
      <w:r w:rsidRPr="00E96200">
        <w:t xml:space="preserve"> varied greatly.</w:t>
      </w:r>
      <w:r>
        <w:t xml:space="preserve"> </w:t>
      </w:r>
      <w:r w:rsidRPr="00E96200">
        <w:t xml:space="preserve"> The</w:t>
      </w:r>
      <w:r>
        <w:t>se</w:t>
      </w:r>
      <w:r w:rsidRPr="00E96200">
        <w:t xml:space="preserve"> variations </w:t>
      </w:r>
      <w:r>
        <w:t>are primarily the result of a more refined cost allocation</w:t>
      </w:r>
      <w:r w:rsidRPr="00E96200">
        <w:t xml:space="preserve"> methodology</w:t>
      </w:r>
      <w:r w:rsidR="00D1284F">
        <w:t xml:space="preserve">, where less of the costs are allocated simply on </w:t>
      </w:r>
      <w:r w:rsidR="00D1284F">
        <w:lastRenderedPageBreak/>
        <w:t>estimated energy usage.  Instead, more of the costs were allocated on contributions to capital costs, operating and maintenance costs, and contributions to peak demand</w:t>
      </w:r>
      <w:r>
        <w:t>.</w:t>
      </w:r>
    </w:p>
    <w:p w:rsidR="00863A3D" w:rsidRPr="00863A3D" w:rsidRDefault="00863A3D" w:rsidP="00863A3D">
      <w:pPr>
        <w:pStyle w:val="answer"/>
        <w:widowControl w:val="0"/>
        <w:ind w:left="1440"/>
        <w:rPr>
          <w:rFonts w:eastAsia="SimSun"/>
          <w:i/>
          <w:u w:val="single"/>
        </w:rPr>
      </w:pPr>
      <w:r w:rsidRPr="00863A3D">
        <w:rPr>
          <w:rFonts w:eastAsia="SimSun"/>
          <w:i/>
          <w:u w:val="single"/>
        </w:rPr>
        <w:t>Gas Cost of Service</w:t>
      </w:r>
      <w:r w:rsidR="00801927">
        <w:rPr>
          <w:rFonts w:eastAsia="SimSun"/>
          <w:i/>
          <w:u w:val="single"/>
        </w:rPr>
        <w:t>,</w:t>
      </w:r>
      <w:r w:rsidRPr="00863A3D">
        <w:rPr>
          <w:rFonts w:eastAsia="SimSun"/>
          <w:i/>
          <w:u w:val="single"/>
        </w:rPr>
        <w:t xml:space="preserve"> Rate Spread</w:t>
      </w:r>
      <w:r w:rsidR="00801927">
        <w:rPr>
          <w:rFonts w:eastAsia="SimSun"/>
          <w:i/>
          <w:u w:val="single"/>
        </w:rPr>
        <w:t xml:space="preserve"> and Rate Design</w:t>
      </w:r>
    </w:p>
    <w:p w:rsidR="00322508" w:rsidRPr="00F41B35" w:rsidRDefault="00863A3D" w:rsidP="00863A3D">
      <w:pPr>
        <w:pStyle w:val="answer"/>
        <w:widowControl w:val="0"/>
        <w:numPr>
          <w:ilvl w:val="0"/>
          <w:numId w:val="33"/>
        </w:numPr>
        <w:rPr>
          <w:rFonts w:eastAsia="SimSun"/>
          <w:i/>
          <w:u w:val="single"/>
        </w:rPr>
      </w:pPr>
      <w:r w:rsidRPr="00F41B35">
        <w:rPr>
          <w:rFonts w:eastAsia="SimSun"/>
        </w:rPr>
        <w:t xml:space="preserve">The gas cost of service results show a needed increase of </w:t>
      </w:r>
      <w:r w:rsidR="00772CF4" w:rsidRPr="00F41B35">
        <w:rPr>
          <w:rFonts w:eastAsia="SimSun"/>
        </w:rPr>
        <w:t>5.3</w:t>
      </w:r>
      <w:r w:rsidR="00D1284F">
        <w:rPr>
          <w:rFonts w:eastAsia="SimSun"/>
        </w:rPr>
        <w:t xml:space="preserve"> percent</w:t>
      </w:r>
      <w:r w:rsidRPr="00F41B35">
        <w:rPr>
          <w:rFonts w:eastAsia="SimSun"/>
        </w:rPr>
        <w:t xml:space="preserve"> to existing base margin rates, or approximately $</w:t>
      </w:r>
      <w:r w:rsidR="00926838" w:rsidRPr="00F41B35">
        <w:rPr>
          <w:rFonts w:eastAsia="SimSun"/>
        </w:rPr>
        <w:t xml:space="preserve">23.0 </w:t>
      </w:r>
      <w:r w:rsidRPr="00F41B35">
        <w:rPr>
          <w:rFonts w:eastAsia="SimSun"/>
        </w:rPr>
        <w:t>million.</w:t>
      </w:r>
    </w:p>
    <w:p w:rsidR="00F41B35" w:rsidRDefault="00F41B35" w:rsidP="00F41B35">
      <w:pPr>
        <w:pStyle w:val="answer"/>
        <w:widowControl w:val="0"/>
        <w:numPr>
          <w:ilvl w:val="0"/>
          <w:numId w:val="33"/>
        </w:numPr>
        <w:rPr>
          <w:rFonts w:eastAsia="SimSun"/>
        </w:rPr>
      </w:pPr>
      <w:r>
        <w:rPr>
          <w:rFonts w:eastAsia="SimSun"/>
        </w:rPr>
        <w:t xml:space="preserve">The estimated parity ratios and proposed rate increases to base rates, with and without gas costs, </w:t>
      </w:r>
      <w:r w:rsidR="00363E4F">
        <w:rPr>
          <w:rFonts w:eastAsia="SimSun"/>
        </w:rPr>
        <w:t>based on</w:t>
      </w:r>
      <w:r>
        <w:rPr>
          <w:rFonts w:eastAsia="SimSun"/>
        </w:rPr>
        <w:t xml:space="preserve"> the gas cost of service study are </w:t>
      </w:r>
      <w:r w:rsidR="00C64106">
        <w:rPr>
          <w:rFonts w:eastAsia="SimSun"/>
        </w:rPr>
        <w:t>below</w:t>
      </w:r>
      <w:r>
        <w:rPr>
          <w:rFonts w:eastAsia="SimSun"/>
        </w:rPr>
        <w:t>:</w:t>
      </w:r>
    </w:p>
    <w:p w:rsidR="00201995" w:rsidRPr="00201995" w:rsidRDefault="00201995" w:rsidP="00201995">
      <w:pPr>
        <w:pStyle w:val="Caption"/>
        <w:keepNext/>
        <w:jc w:val="center"/>
        <w:rPr>
          <w:sz w:val="24"/>
          <w:szCs w:val="24"/>
        </w:rPr>
      </w:pPr>
      <w:r w:rsidRPr="00201995">
        <w:rPr>
          <w:sz w:val="24"/>
          <w:szCs w:val="24"/>
        </w:rPr>
        <w:t xml:space="preserve">Table </w:t>
      </w:r>
      <w:r w:rsidRPr="00201995">
        <w:rPr>
          <w:sz w:val="24"/>
          <w:szCs w:val="24"/>
        </w:rPr>
        <w:fldChar w:fldCharType="begin"/>
      </w:r>
      <w:r w:rsidRPr="00201995">
        <w:rPr>
          <w:sz w:val="24"/>
          <w:szCs w:val="24"/>
        </w:rPr>
        <w:instrText xml:space="preserve"> SEQ Table \* ARABIC </w:instrText>
      </w:r>
      <w:r w:rsidRPr="00201995">
        <w:rPr>
          <w:sz w:val="24"/>
          <w:szCs w:val="24"/>
        </w:rPr>
        <w:fldChar w:fldCharType="separate"/>
      </w:r>
      <w:r w:rsidR="0035666C">
        <w:rPr>
          <w:noProof/>
          <w:sz w:val="24"/>
          <w:szCs w:val="24"/>
        </w:rPr>
        <w:t>2</w:t>
      </w:r>
      <w:r w:rsidRPr="00201995">
        <w:rPr>
          <w:sz w:val="24"/>
          <w:szCs w:val="24"/>
        </w:rPr>
        <w:fldChar w:fldCharType="end"/>
      </w:r>
      <w:r w:rsidRPr="00201995">
        <w:rPr>
          <w:sz w:val="24"/>
          <w:szCs w:val="24"/>
        </w:rPr>
        <w:t xml:space="preserve"> - Proposed Gas Base Parity Percentages and </w:t>
      </w:r>
      <w:r>
        <w:rPr>
          <w:sz w:val="24"/>
          <w:szCs w:val="24"/>
        </w:rPr>
        <w:t>Rate Changes</w:t>
      </w:r>
    </w:p>
    <w:tbl>
      <w:tblPr>
        <w:tblpPr w:leftFromText="180" w:rightFromText="180" w:vertAnchor="text" w:horzAnchor="margin" w:tblpXSpec="center" w:tblpY="314"/>
        <w:tblW w:w="8226" w:type="dxa"/>
        <w:tblLayout w:type="fixed"/>
        <w:tblLook w:val="0000" w:firstRow="0" w:lastRow="0" w:firstColumn="0" w:lastColumn="0" w:noHBand="0" w:noVBand="0"/>
      </w:tblPr>
      <w:tblGrid>
        <w:gridCol w:w="2034"/>
        <w:gridCol w:w="1764"/>
        <w:gridCol w:w="1530"/>
        <w:gridCol w:w="1530"/>
        <w:gridCol w:w="1368"/>
      </w:tblGrid>
      <w:tr w:rsidR="00F41B35" w:rsidRPr="009075DC" w:rsidTr="00F41B35">
        <w:trPr>
          <w:cantSplit/>
          <w:trHeight w:val="769"/>
        </w:trPr>
        <w:tc>
          <w:tcPr>
            <w:tcW w:w="2034" w:type="dxa"/>
            <w:tcBorders>
              <w:top w:val="single" w:sz="4" w:space="0" w:color="auto"/>
              <w:bottom w:val="single" w:sz="4" w:space="0" w:color="auto"/>
            </w:tcBorders>
            <w:vAlign w:val="center"/>
          </w:tcPr>
          <w:p w:rsidR="00F41B35" w:rsidRPr="009075DC" w:rsidRDefault="00F41B35" w:rsidP="007E36BD">
            <w:pPr>
              <w:widowControl w:val="0"/>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1764" w:type="dxa"/>
            <w:tcBorders>
              <w:top w:val="single" w:sz="4" w:space="0" w:color="auto"/>
              <w:bottom w:val="single" w:sz="4" w:space="0" w:color="auto"/>
            </w:tcBorders>
            <w:vAlign w:val="center"/>
          </w:tcPr>
          <w:p w:rsidR="00F41B35" w:rsidRPr="009075DC" w:rsidRDefault="00F41B35" w:rsidP="007E36BD">
            <w:pPr>
              <w:widowControl w:val="0"/>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530" w:type="dxa"/>
            <w:tcBorders>
              <w:top w:val="single" w:sz="4" w:space="0" w:color="auto"/>
              <w:bottom w:val="single" w:sz="4" w:space="0" w:color="auto"/>
            </w:tcBorders>
            <w:vAlign w:val="center"/>
          </w:tcPr>
          <w:p w:rsidR="00F41B35" w:rsidRDefault="00F41B35" w:rsidP="00F41B35">
            <w:pPr>
              <w:widowControl w:val="0"/>
              <w:spacing w:beforeLines="20" w:before="48" w:afterLines="20" w:after="48" w:line="240" w:lineRule="auto"/>
              <w:ind w:firstLine="0"/>
              <w:jc w:val="center"/>
              <w:rPr>
                <w:rFonts w:eastAsia="SimSun"/>
                <w:b/>
                <w:bCs/>
                <w:szCs w:val="24"/>
              </w:rPr>
            </w:pPr>
            <w:r>
              <w:rPr>
                <w:rFonts w:eastAsia="SimSun"/>
                <w:b/>
                <w:bCs/>
                <w:szCs w:val="24"/>
              </w:rPr>
              <w:t>Parity Percentage</w:t>
            </w:r>
          </w:p>
        </w:tc>
        <w:tc>
          <w:tcPr>
            <w:tcW w:w="1530" w:type="dxa"/>
            <w:tcBorders>
              <w:top w:val="single" w:sz="4" w:space="0" w:color="auto"/>
              <w:bottom w:val="single" w:sz="4" w:space="0" w:color="auto"/>
            </w:tcBorders>
            <w:vAlign w:val="center"/>
          </w:tcPr>
          <w:p w:rsidR="00F41B35" w:rsidRPr="009075DC" w:rsidRDefault="00F41B35" w:rsidP="007E36BD">
            <w:pPr>
              <w:widowControl w:val="0"/>
              <w:spacing w:beforeLines="20" w:before="48" w:afterLines="20" w:after="48" w:line="240" w:lineRule="auto"/>
              <w:ind w:firstLine="0"/>
              <w:jc w:val="center"/>
              <w:rPr>
                <w:rFonts w:eastAsia="SimSun"/>
                <w:b/>
                <w:bCs/>
                <w:szCs w:val="24"/>
              </w:rPr>
            </w:pPr>
            <w:r>
              <w:rPr>
                <w:rFonts w:eastAsia="SimSun"/>
                <w:b/>
                <w:bCs/>
                <w:szCs w:val="24"/>
              </w:rPr>
              <w:t>Proposed Base Rate Increase*</w:t>
            </w:r>
          </w:p>
        </w:tc>
        <w:tc>
          <w:tcPr>
            <w:tcW w:w="1368" w:type="dxa"/>
            <w:tcBorders>
              <w:top w:val="single" w:sz="4" w:space="0" w:color="auto"/>
              <w:bottom w:val="single" w:sz="4" w:space="0" w:color="auto"/>
            </w:tcBorders>
            <w:vAlign w:val="center"/>
          </w:tcPr>
          <w:p w:rsidR="00F41B35" w:rsidRPr="009075DC" w:rsidRDefault="00F41B35" w:rsidP="007E36BD">
            <w:pPr>
              <w:widowControl w:val="0"/>
              <w:spacing w:beforeLines="20" w:before="48" w:afterLines="20" w:after="48" w:line="240" w:lineRule="auto"/>
              <w:ind w:firstLine="0"/>
              <w:jc w:val="center"/>
              <w:rPr>
                <w:rFonts w:eastAsia="SimSun"/>
                <w:b/>
                <w:bCs/>
                <w:szCs w:val="24"/>
              </w:rPr>
            </w:pPr>
            <w:r>
              <w:rPr>
                <w:rFonts w:eastAsia="SimSun"/>
                <w:b/>
                <w:bCs/>
                <w:szCs w:val="24"/>
              </w:rPr>
              <w:t>Proposed Margin Increase</w:t>
            </w:r>
          </w:p>
        </w:tc>
      </w:tr>
      <w:tr w:rsidR="00CF74F3" w:rsidRPr="001D2B74" w:rsidTr="00F41B35">
        <w:trPr>
          <w:cantSplit/>
          <w:trHeight w:val="312"/>
        </w:trPr>
        <w:tc>
          <w:tcPr>
            <w:tcW w:w="2034" w:type="dxa"/>
            <w:vAlign w:val="bottom"/>
          </w:tcPr>
          <w:p w:rsidR="00CF74F3" w:rsidRPr="003B5206" w:rsidRDefault="00CF74F3" w:rsidP="00CF74F3">
            <w:pPr>
              <w:pStyle w:val="answer"/>
              <w:keepNext/>
              <w:spacing w:before="60" w:after="60" w:line="240" w:lineRule="auto"/>
              <w:ind w:left="0" w:firstLine="0"/>
            </w:pPr>
            <w:r w:rsidRPr="003B5206">
              <w:t>Re</w:t>
            </w:r>
            <w:r>
              <w:t>sidential</w:t>
            </w:r>
          </w:p>
        </w:tc>
        <w:tc>
          <w:tcPr>
            <w:tcW w:w="1764" w:type="dxa"/>
          </w:tcPr>
          <w:p w:rsidR="00CF74F3" w:rsidRPr="00683198" w:rsidRDefault="00CF74F3" w:rsidP="00CF74F3">
            <w:pPr>
              <w:pStyle w:val="answer"/>
              <w:keepNext/>
              <w:spacing w:before="60" w:after="60" w:line="240" w:lineRule="auto"/>
              <w:ind w:left="0" w:firstLine="0"/>
              <w:jc w:val="center"/>
            </w:pPr>
            <w:r w:rsidRPr="00683198">
              <w:t>16/23/53</w:t>
            </w:r>
          </w:p>
        </w:tc>
        <w:tc>
          <w:tcPr>
            <w:tcW w:w="1530" w:type="dxa"/>
            <w:vAlign w:val="bottom"/>
          </w:tcPr>
          <w:p w:rsidR="00CF74F3" w:rsidRPr="002A5324" w:rsidRDefault="00CF74F3" w:rsidP="00CF74F3">
            <w:pPr>
              <w:pStyle w:val="answer"/>
              <w:keepNext/>
              <w:spacing w:before="60" w:after="60" w:line="240" w:lineRule="auto"/>
              <w:ind w:left="0" w:firstLine="0"/>
              <w:jc w:val="center"/>
            </w:pPr>
            <w:r>
              <w:t>108</w:t>
            </w:r>
            <w:r w:rsidRPr="002A5324">
              <w:t>%</w:t>
            </w:r>
          </w:p>
        </w:tc>
        <w:tc>
          <w:tcPr>
            <w:tcW w:w="1530" w:type="dxa"/>
            <w:vAlign w:val="bottom"/>
          </w:tcPr>
          <w:p w:rsidR="00CF74F3" w:rsidRPr="00E8781B" w:rsidRDefault="00CF74F3" w:rsidP="00CF74F3">
            <w:pPr>
              <w:pStyle w:val="answer"/>
              <w:keepNext/>
              <w:spacing w:before="60" w:after="60" w:line="240" w:lineRule="auto"/>
              <w:ind w:left="0" w:firstLine="0"/>
              <w:jc w:val="center"/>
            </w:pPr>
            <w:r>
              <w:t>2.7</w:t>
            </w:r>
            <w:r w:rsidRPr="00E8781B">
              <w:t>%</w:t>
            </w:r>
          </w:p>
        </w:tc>
        <w:tc>
          <w:tcPr>
            <w:tcW w:w="1368" w:type="dxa"/>
            <w:vAlign w:val="bottom"/>
          </w:tcPr>
          <w:p w:rsidR="00CF74F3" w:rsidRPr="00E8781B" w:rsidRDefault="00CF74F3" w:rsidP="00CF74F3">
            <w:pPr>
              <w:pStyle w:val="answer"/>
              <w:keepNext/>
              <w:spacing w:before="60" w:after="60" w:line="240" w:lineRule="auto"/>
              <w:ind w:left="0" w:firstLine="0"/>
              <w:jc w:val="center"/>
            </w:pPr>
            <w:r>
              <w:t>4.8</w:t>
            </w:r>
            <w:r w:rsidRPr="00E8781B">
              <w:t>%</w:t>
            </w:r>
          </w:p>
        </w:tc>
      </w:tr>
      <w:tr w:rsidR="00CF74F3" w:rsidRPr="001D2B74" w:rsidTr="00F41B35">
        <w:trPr>
          <w:cantSplit/>
          <w:trHeight w:val="337"/>
        </w:trPr>
        <w:tc>
          <w:tcPr>
            <w:tcW w:w="2034" w:type="dxa"/>
            <w:vAlign w:val="bottom"/>
          </w:tcPr>
          <w:p w:rsidR="00CF74F3" w:rsidRPr="003B5206" w:rsidRDefault="00CF74F3" w:rsidP="00CF74F3">
            <w:pPr>
              <w:pStyle w:val="answer"/>
              <w:keepNext/>
              <w:spacing w:before="60" w:after="60" w:line="240" w:lineRule="auto"/>
              <w:ind w:left="0" w:firstLine="0"/>
            </w:pPr>
            <w:r w:rsidRPr="003B5206">
              <w:t>Commercial &amp; In</w:t>
            </w:r>
            <w:r>
              <w:t>dustrial</w:t>
            </w:r>
          </w:p>
        </w:tc>
        <w:tc>
          <w:tcPr>
            <w:tcW w:w="1764" w:type="dxa"/>
          </w:tcPr>
          <w:p w:rsidR="00CF74F3" w:rsidRPr="00683198" w:rsidRDefault="00CF74F3" w:rsidP="00CF74F3">
            <w:pPr>
              <w:pStyle w:val="answer"/>
              <w:keepNext/>
              <w:spacing w:before="60" w:after="60" w:line="240" w:lineRule="auto"/>
              <w:ind w:left="0" w:firstLine="0"/>
              <w:jc w:val="center"/>
            </w:pPr>
            <w:r w:rsidRPr="00683198">
              <w:t>31/31T/61</w:t>
            </w:r>
          </w:p>
        </w:tc>
        <w:tc>
          <w:tcPr>
            <w:tcW w:w="1530" w:type="dxa"/>
            <w:vAlign w:val="bottom"/>
          </w:tcPr>
          <w:p w:rsidR="00CF74F3" w:rsidRPr="002A5324" w:rsidRDefault="00CF74F3" w:rsidP="00CF74F3">
            <w:pPr>
              <w:pStyle w:val="answer"/>
              <w:keepNext/>
              <w:spacing w:before="60" w:after="60" w:line="240" w:lineRule="auto"/>
              <w:ind w:left="0" w:firstLine="0"/>
              <w:jc w:val="center"/>
            </w:pPr>
            <w:r>
              <w:t>79</w:t>
            </w:r>
            <w:r w:rsidRPr="002A5324">
              <w:t>%</w:t>
            </w:r>
          </w:p>
        </w:tc>
        <w:tc>
          <w:tcPr>
            <w:tcW w:w="1530" w:type="dxa"/>
            <w:vAlign w:val="bottom"/>
          </w:tcPr>
          <w:p w:rsidR="00CF74F3" w:rsidRPr="00E8781B" w:rsidRDefault="00CF74F3" w:rsidP="00CF74F3">
            <w:pPr>
              <w:pStyle w:val="answer"/>
              <w:keepNext/>
              <w:spacing w:before="60" w:after="60" w:line="240" w:lineRule="auto"/>
              <w:ind w:left="0" w:firstLine="0"/>
              <w:jc w:val="center"/>
            </w:pPr>
            <w:r>
              <w:t>3.5</w:t>
            </w:r>
            <w:r w:rsidRPr="00E8781B">
              <w:t>%</w:t>
            </w:r>
          </w:p>
        </w:tc>
        <w:tc>
          <w:tcPr>
            <w:tcW w:w="1368" w:type="dxa"/>
            <w:vAlign w:val="bottom"/>
          </w:tcPr>
          <w:p w:rsidR="00CF74F3" w:rsidRPr="00E8781B" w:rsidRDefault="00CF74F3" w:rsidP="00CF74F3">
            <w:pPr>
              <w:pStyle w:val="answer"/>
              <w:keepNext/>
              <w:spacing w:before="60" w:after="60" w:line="240" w:lineRule="auto"/>
              <w:ind w:left="0" w:firstLine="0"/>
              <w:jc w:val="center"/>
            </w:pPr>
            <w:r>
              <w:t>7.3</w:t>
            </w:r>
            <w:r w:rsidRPr="00E8781B">
              <w:t>%</w:t>
            </w:r>
          </w:p>
        </w:tc>
      </w:tr>
      <w:tr w:rsidR="00CF74F3" w:rsidRPr="001D2B74" w:rsidTr="00F41B35">
        <w:trPr>
          <w:cantSplit/>
          <w:trHeight w:val="312"/>
        </w:trPr>
        <w:tc>
          <w:tcPr>
            <w:tcW w:w="2034" w:type="dxa"/>
            <w:vAlign w:val="bottom"/>
          </w:tcPr>
          <w:p w:rsidR="00CF74F3" w:rsidRPr="003B5206" w:rsidRDefault="00CF74F3" w:rsidP="00CF74F3">
            <w:pPr>
              <w:pStyle w:val="answer"/>
              <w:keepNext/>
              <w:spacing w:before="60" w:after="60" w:line="240" w:lineRule="auto"/>
              <w:ind w:left="0" w:firstLine="0"/>
            </w:pPr>
            <w:r>
              <w:t>Large Volume</w:t>
            </w:r>
          </w:p>
        </w:tc>
        <w:tc>
          <w:tcPr>
            <w:tcW w:w="1764" w:type="dxa"/>
          </w:tcPr>
          <w:p w:rsidR="00CF74F3" w:rsidRPr="00683198" w:rsidRDefault="00CF74F3" w:rsidP="00CF74F3">
            <w:pPr>
              <w:pStyle w:val="answer"/>
              <w:keepNext/>
              <w:spacing w:before="60" w:after="60" w:line="240" w:lineRule="auto"/>
              <w:ind w:left="0" w:firstLine="0"/>
              <w:jc w:val="center"/>
            </w:pPr>
            <w:r w:rsidRPr="00683198">
              <w:t>41/41T</w:t>
            </w:r>
          </w:p>
        </w:tc>
        <w:tc>
          <w:tcPr>
            <w:tcW w:w="1530" w:type="dxa"/>
            <w:vAlign w:val="bottom"/>
          </w:tcPr>
          <w:p w:rsidR="00CF74F3" w:rsidRPr="002A5324" w:rsidRDefault="00CF74F3" w:rsidP="00CF74F3">
            <w:pPr>
              <w:pStyle w:val="answer"/>
              <w:keepNext/>
              <w:spacing w:before="60" w:after="60" w:line="240" w:lineRule="auto"/>
              <w:ind w:left="0" w:firstLine="0"/>
              <w:jc w:val="center"/>
            </w:pPr>
            <w:r>
              <w:t>95</w:t>
            </w:r>
            <w:r w:rsidRPr="002A5324">
              <w:t>%</w:t>
            </w:r>
          </w:p>
        </w:tc>
        <w:tc>
          <w:tcPr>
            <w:tcW w:w="1530" w:type="dxa"/>
            <w:vAlign w:val="bottom"/>
          </w:tcPr>
          <w:p w:rsidR="00CF74F3" w:rsidRPr="00E8781B" w:rsidRDefault="00CF74F3" w:rsidP="00CF74F3">
            <w:pPr>
              <w:pStyle w:val="answer"/>
              <w:keepNext/>
              <w:spacing w:before="60" w:after="60" w:line="240" w:lineRule="auto"/>
              <w:ind w:left="0" w:firstLine="0"/>
              <w:jc w:val="center"/>
            </w:pPr>
            <w:r>
              <w:t>1.8</w:t>
            </w:r>
            <w:r w:rsidRPr="00E8781B">
              <w:t>%</w:t>
            </w:r>
          </w:p>
        </w:tc>
        <w:tc>
          <w:tcPr>
            <w:tcW w:w="1368" w:type="dxa"/>
            <w:vAlign w:val="bottom"/>
          </w:tcPr>
          <w:p w:rsidR="00CF74F3" w:rsidRPr="00E8781B" w:rsidRDefault="00CF74F3" w:rsidP="00CF74F3">
            <w:pPr>
              <w:pStyle w:val="answer"/>
              <w:keepNext/>
              <w:spacing w:before="60" w:after="60" w:line="240" w:lineRule="auto"/>
              <w:ind w:left="0" w:firstLine="0"/>
              <w:jc w:val="center"/>
            </w:pPr>
            <w:r w:rsidRPr="00E8781B">
              <w:t>4.</w:t>
            </w:r>
            <w:r>
              <w:t>8</w:t>
            </w:r>
            <w:r w:rsidRPr="00E8781B">
              <w:t>%</w:t>
            </w:r>
          </w:p>
        </w:tc>
      </w:tr>
      <w:tr w:rsidR="00CF74F3" w:rsidRPr="001D2B74" w:rsidTr="00F41B35">
        <w:trPr>
          <w:cantSplit/>
          <w:trHeight w:val="324"/>
        </w:trPr>
        <w:tc>
          <w:tcPr>
            <w:tcW w:w="2034" w:type="dxa"/>
            <w:vAlign w:val="bottom"/>
          </w:tcPr>
          <w:p w:rsidR="00CF74F3" w:rsidRPr="003B5206" w:rsidRDefault="00CF74F3" w:rsidP="00CF74F3">
            <w:pPr>
              <w:pStyle w:val="answer"/>
              <w:keepNext/>
              <w:spacing w:before="60" w:after="60" w:line="240" w:lineRule="auto"/>
              <w:ind w:left="0" w:firstLine="0"/>
            </w:pPr>
            <w:r>
              <w:t>Interruptible</w:t>
            </w:r>
          </w:p>
        </w:tc>
        <w:tc>
          <w:tcPr>
            <w:tcW w:w="1764" w:type="dxa"/>
          </w:tcPr>
          <w:p w:rsidR="00CF74F3" w:rsidRPr="00683198" w:rsidRDefault="00CF74F3" w:rsidP="00CF74F3">
            <w:pPr>
              <w:pStyle w:val="answer"/>
              <w:keepNext/>
              <w:spacing w:before="60" w:after="60" w:line="240" w:lineRule="auto"/>
              <w:ind w:left="0" w:firstLine="0"/>
              <w:jc w:val="center"/>
            </w:pPr>
            <w:r w:rsidRPr="00683198">
              <w:t>85/85T</w:t>
            </w:r>
          </w:p>
        </w:tc>
        <w:tc>
          <w:tcPr>
            <w:tcW w:w="1530" w:type="dxa"/>
            <w:vAlign w:val="bottom"/>
          </w:tcPr>
          <w:p w:rsidR="00CF74F3" w:rsidRPr="002A5324" w:rsidRDefault="00CF74F3" w:rsidP="00CF74F3">
            <w:pPr>
              <w:pStyle w:val="answer"/>
              <w:keepNext/>
              <w:spacing w:before="60" w:after="60" w:line="240" w:lineRule="auto"/>
              <w:ind w:left="0" w:firstLine="0"/>
              <w:jc w:val="center"/>
            </w:pPr>
            <w:r w:rsidRPr="002A5324">
              <w:t>1</w:t>
            </w:r>
            <w:r>
              <w:t>02</w:t>
            </w:r>
            <w:r w:rsidRPr="002A5324">
              <w:t>%</w:t>
            </w:r>
          </w:p>
        </w:tc>
        <w:tc>
          <w:tcPr>
            <w:tcW w:w="1530" w:type="dxa"/>
            <w:vAlign w:val="bottom"/>
          </w:tcPr>
          <w:p w:rsidR="00CF74F3" w:rsidRPr="00E8781B" w:rsidRDefault="00CF74F3" w:rsidP="00CF74F3">
            <w:pPr>
              <w:pStyle w:val="answer"/>
              <w:keepNext/>
              <w:spacing w:before="60" w:after="60" w:line="240" w:lineRule="auto"/>
              <w:ind w:left="0" w:firstLine="0"/>
              <w:jc w:val="center"/>
            </w:pPr>
            <w:r>
              <w:t>2.3</w:t>
            </w:r>
            <w:r w:rsidRPr="00E8781B">
              <w:t>%</w:t>
            </w:r>
          </w:p>
        </w:tc>
        <w:tc>
          <w:tcPr>
            <w:tcW w:w="1368" w:type="dxa"/>
            <w:vAlign w:val="bottom"/>
          </w:tcPr>
          <w:p w:rsidR="00CF74F3" w:rsidRPr="00E8781B" w:rsidRDefault="00CF74F3" w:rsidP="00CF74F3">
            <w:pPr>
              <w:pStyle w:val="answer"/>
              <w:keepNext/>
              <w:spacing w:before="60" w:after="60" w:line="240" w:lineRule="auto"/>
              <w:ind w:left="0" w:firstLine="0"/>
              <w:jc w:val="center"/>
            </w:pPr>
            <w:r>
              <w:t>4.8</w:t>
            </w:r>
            <w:r w:rsidRPr="00E8781B">
              <w:t>%</w:t>
            </w:r>
          </w:p>
        </w:tc>
      </w:tr>
      <w:tr w:rsidR="00CF74F3" w:rsidRPr="001D2B74" w:rsidTr="00F41B35">
        <w:trPr>
          <w:cantSplit/>
          <w:trHeight w:val="324"/>
        </w:trPr>
        <w:tc>
          <w:tcPr>
            <w:tcW w:w="2034" w:type="dxa"/>
            <w:vAlign w:val="bottom"/>
          </w:tcPr>
          <w:p w:rsidR="00CF74F3" w:rsidRPr="003B5206" w:rsidRDefault="00CF74F3" w:rsidP="00CF74F3">
            <w:pPr>
              <w:pStyle w:val="answer"/>
              <w:keepNext/>
              <w:spacing w:before="60" w:after="60" w:line="240" w:lineRule="auto"/>
              <w:ind w:left="0" w:firstLine="0"/>
            </w:pPr>
            <w:r w:rsidRPr="003B5206">
              <w:t xml:space="preserve">Limited </w:t>
            </w:r>
            <w:r>
              <w:t>Interruptible</w:t>
            </w:r>
          </w:p>
        </w:tc>
        <w:tc>
          <w:tcPr>
            <w:tcW w:w="1764" w:type="dxa"/>
          </w:tcPr>
          <w:p w:rsidR="00CF74F3" w:rsidRPr="00683198" w:rsidRDefault="00CF74F3" w:rsidP="00CF74F3">
            <w:pPr>
              <w:pStyle w:val="answer"/>
              <w:keepNext/>
              <w:spacing w:before="60" w:after="60" w:line="240" w:lineRule="auto"/>
              <w:ind w:left="0" w:firstLine="0"/>
              <w:jc w:val="center"/>
            </w:pPr>
            <w:r w:rsidRPr="00683198">
              <w:t>86/86T</w:t>
            </w:r>
          </w:p>
        </w:tc>
        <w:tc>
          <w:tcPr>
            <w:tcW w:w="1530" w:type="dxa"/>
            <w:vAlign w:val="bottom"/>
          </w:tcPr>
          <w:p w:rsidR="00CF74F3" w:rsidRPr="002A5324" w:rsidRDefault="00CF74F3" w:rsidP="00CF74F3">
            <w:pPr>
              <w:pStyle w:val="answer"/>
              <w:keepNext/>
              <w:spacing w:before="60" w:after="60" w:line="240" w:lineRule="auto"/>
              <w:ind w:left="0" w:firstLine="0"/>
              <w:jc w:val="center"/>
            </w:pPr>
            <w:r w:rsidRPr="002A5324">
              <w:t>1</w:t>
            </w:r>
            <w:r>
              <w:t>21</w:t>
            </w:r>
            <w:r w:rsidRPr="002A5324">
              <w:t>%</w:t>
            </w:r>
          </w:p>
        </w:tc>
        <w:tc>
          <w:tcPr>
            <w:tcW w:w="1530" w:type="dxa"/>
            <w:vAlign w:val="bottom"/>
          </w:tcPr>
          <w:p w:rsidR="00CF74F3" w:rsidRPr="00E8781B" w:rsidRDefault="00CF74F3" w:rsidP="00CF74F3">
            <w:pPr>
              <w:pStyle w:val="answer"/>
              <w:keepNext/>
              <w:spacing w:before="60" w:after="60" w:line="240" w:lineRule="auto"/>
              <w:ind w:left="0" w:firstLine="0"/>
              <w:jc w:val="center"/>
            </w:pPr>
            <w:r w:rsidRPr="00E8781B">
              <w:t>0.</w:t>
            </w:r>
            <w:r>
              <w:t>9</w:t>
            </w:r>
            <w:r w:rsidRPr="00E8781B">
              <w:t>%</w:t>
            </w:r>
          </w:p>
        </w:tc>
        <w:tc>
          <w:tcPr>
            <w:tcW w:w="1368" w:type="dxa"/>
            <w:vAlign w:val="bottom"/>
          </w:tcPr>
          <w:p w:rsidR="00CF74F3" w:rsidRPr="00E8781B" w:rsidRDefault="00CF74F3" w:rsidP="00CF74F3">
            <w:pPr>
              <w:pStyle w:val="answer"/>
              <w:keepNext/>
              <w:spacing w:before="60" w:after="60" w:line="240" w:lineRule="auto"/>
              <w:ind w:left="0" w:firstLine="0"/>
              <w:jc w:val="center"/>
            </w:pPr>
            <w:r>
              <w:t>2.4</w:t>
            </w:r>
            <w:r w:rsidRPr="00E8781B">
              <w:t>%</w:t>
            </w:r>
          </w:p>
        </w:tc>
      </w:tr>
      <w:tr w:rsidR="00CF74F3" w:rsidRPr="001D2B74" w:rsidTr="00F41B35">
        <w:trPr>
          <w:cantSplit/>
          <w:trHeight w:val="300"/>
        </w:trPr>
        <w:tc>
          <w:tcPr>
            <w:tcW w:w="2034" w:type="dxa"/>
            <w:vAlign w:val="bottom"/>
          </w:tcPr>
          <w:p w:rsidR="00CF74F3" w:rsidRPr="003B5206" w:rsidRDefault="00CF74F3" w:rsidP="00CF74F3">
            <w:pPr>
              <w:pStyle w:val="answer"/>
              <w:keepNext/>
              <w:spacing w:before="60" w:after="60" w:line="240" w:lineRule="auto"/>
              <w:ind w:left="0" w:firstLine="0"/>
            </w:pPr>
            <w:r w:rsidRPr="003B5206">
              <w:t>Non-exclusive I</w:t>
            </w:r>
            <w:r>
              <w:t>nterruptible</w:t>
            </w:r>
          </w:p>
        </w:tc>
        <w:tc>
          <w:tcPr>
            <w:tcW w:w="1764" w:type="dxa"/>
          </w:tcPr>
          <w:p w:rsidR="00CF74F3" w:rsidRPr="00683198" w:rsidRDefault="00CF74F3" w:rsidP="00CF74F3">
            <w:pPr>
              <w:pStyle w:val="answer"/>
              <w:keepNext/>
              <w:spacing w:before="60" w:after="60" w:line="240" w:lineRule="auto"/>
              <w:ind w:left="0" w:firstLine="0"/>
              <w:jc w:val="center"/>
            </w:pPr>
            <w:r w:rsidRPr="00683198">
              <w:t>87/87T</w:t>
            </w:r>
          </w:p>
        </w:tc>
        <w:tc>
          <w:tcPr>
            <w:tcW w:w="1530" w:type="dxa"/>
            <w:vAlign w:val="bottom"/>
          </w:tcPr>
          <w:p w:rsidR="00CF74F3" w:rsidRPr="002A5324" w:rsidRDefault="00CF74F3" w:rsidP="00CF74F3">
            <w:pPr>
              <w:pStyle w:val="answer"/>
              <w:keepNext/>
              <w:spacing w:before="60" w:after="60" w:line="240" w:lineRule="auto"/>
              <w:ind w:left="0" w:firstLine="0"/>
              <w:jc w:val="center"/>
            </w:pPr>
            <w:r w:rsidRPr="002A5324">
              <w:t>7</w:t>
            </w:r>
            <w:r>
              <w:t>6</w:t>
            </w:r>
            <w:r w:rsidRPr="002A5324">
              <w:t>%</w:t>
            </w:r>
          </w:p>
        </w:tc>
        <w:tc>
          <w:tcPr>
            <w:tcW w:w="1530" w:type="dxa"/>
            <w:vAlign w:val="bottom"/>
          </w:tcPr>
          <w:p w:rsidR="00CF74F3" w:rsidRPr="00E8781B" w:rsidRDefault="00CF74F3" w:rsidP="00CF74F3">
            <w:pPr>
              <w:pStyle w:val="answer"/>
              <w:keepNext/>
              <w:spacing w:before="60" w:after="60" w:line="240" w:lineRule="auto"/>
              <w:ind w:left="0" w:firstLine="0"/>
              <w:jc w:val="center"/>
            </w:pPr>
            <w:r>
              <w:t>2.5</w:t>
            </w:r>
            <w:r w:rsidRPr="00E8781B">
              <w:t>%</w:t>
            </w:r>
          </w:p>
        </w:tc>
        <w:tc>
          <w:tcPr>
            <w:tcW w:w="1368" w:type="dxa"/>
            <w:vAlign w:val="bottom"/>
          </w:tcPr>
          <w:p w:rsidR="00CF74F3" w:rsidRPr="00E8781B" w:rsidRDefault="00CF74F3" w:rsidP="00CF74F3">
            <w:pPr>
              <w:pStyle w:val="answer"/>
              <w:keepNext/>
              <w:spacing w:before="60" w:after="60" w:line="240" w:lineRule="auto"/>
              <w:ind w:left="0" w:firstLine="0"/>
              <w:jc w:val="center"/>
            </w:pPr>
            <w:r>
              <w:t>7.3</w:t>
            </w:r>
            <w:r w:rsidRPr="00E8781B">
              <w:t>%</w:t>
            </w:r>
          </w:p>
        </w:tc>
      </w:tr>
      <w:tr w:rsidR="00CF74F3" w:rsidRPr="001D2B74" w:rsidTr="00F41B35">
        <w:trPr>
          <w:cantSplit/>
          <w:trHeight w:val="324"/>
        </w:trPr>
        <w:tc>
          <w:tcPr>
            <w:tcW w:w="2034" w:type="dxa"/>
            <w:vAlign w:val="bottom"/>
          </w:tcPr>
          <w:p w:rsidR="00CF74F3" w:rsidRPr="003B5206" w:rsidRDefault="00CF74F3" w:rsidP="00CF74F3">
            <w:pPr>
              <w:pStyle w:val="answer"/>
              <w:keepNext/>
              <w:spacing w:before="60" w:after="60" w:line="240" w:lineRule="auto"/>
              <w:ind w:left="0" w:firstLine="0"/>
            </w:pPr>
            <w:r w:rsidRPr="003B5206">
              <w:t xml:space="preserve">Special Contracts </w:t>
            </w:r>
          </w:p>
        </w:tc>
        <w:tc>
          <w:tcPr>
            <w:tcW w:w="1764" w:type="dxa"/>
          </w:tcPr>
          <w:p w:rsidR="00CF74F3" w:rsidRPr="00683198" w:rsidRDefault="00CF74F3" w:rsidP="00CF74F3">
            <w:pPr>
              <w:pStyle w:val="answer"/>
              <w:keepNext/>
              <w:spacing w:before="60" w:after="60" w:line="240" w:lineRule="auto"/>
              <w:ind w:left="0" w:firstLine="0"/>
              <w:jc w:val="center"/>
            </w:pPr>
          </w:p>
        </w:tc>
        <w:tc>
          <w:tcPr>
            <w:tcW w:w="1530" w:type="dxa"/>
            <w:vAlign w:val="bottom"/>
          </w:tcPr>
          <w:p w:rsidR="00CF74F3" w:rsidRPr="002A5324" w:rsidRDefault="00CF74F3" w:rsidP="00CF74F3">
            <w:pPr>
              <w:pStyle w:val="answer"/>
              <w:keepNext/>
              <w:spacing w:before="60" w:after="60" w:line="240" w:lineRule="auto"/>
              <w:ind w:left="0" w:firstLine="0"/>
              <w:jc w:val="center"/>
            </w:pPr>
            <w:r>
              <w:t>59</w:t>
            </w:r>
            <w:r w:rsidRPr="002A5324">
              <w:t>%</w:t>
            </w:r>
          </w:p>
        </w:tc>
        <w:tc>
          <w:tcPr>
            <w:tcW w:w="1530" w:type="dxa"/>
            <w:vAlign w:val="bottom"/>
          </w:tcPr>
          <w:p w:rsidR="00CF74F3" w:rsidRPr="00E8781B" w:rsidRDefault="00CF74F3" w:rsidP="00CF74F3">
            <w:pPr>
              <w:pStyle w:val="answer"/>
              <w:keepNext/>
              <w:spacing w:before="60" w:after="60" w:line="240" w:lineRule="auto"/>
              <w:ind w:left="0" w:firstLine="0"/>
              <w:jc w:val="center"/>
            </w:pPr>
            <w:r>
              <w:t>5.9</w:t>
            </w:r>
            <w:r w:rsidRPr="00E8781B">
              <w:t>%</w:t>
            </w:r>
          </w:p>
        </w:tc>
        <w:tc>
          <w:tcPr>
            <w:tcW w:w="1368" w:type="dxa"/>
            <w:vAlign w:val="bottom"/>
          </w:tcPr>
          <w:p w:rsidR="00CF74F3" w:rsidRPr="00E8781B" w:rsidRDefault="00CF74F3" w:rsidP="00CF74F3">
            <w:pPr>
              <w:pStyle w:val="answer"/>
              <w:keepNext/>
              <w:spacing w:before="60" w:after="60" w:line="240" w:lineRule="auto"/>
              <w:ind w:left="0" w:firstLine="0"/>
              <w:jc w:val="center"/>
            </w:pPr>
            <w:r w:rsidRPr="00E8781B">
              <w:t>6</w:t>
            </w:r>
            <w:r>
              <w:t>.3</w:t>
            </w:r>
            <w:r w:rsidRPr="00E8781B">
              <w:t>%</w:t>
            </w:r>
          </w:p>
        </w:tc>
      </w:tr>
      <w:tr w:rsidR="00CF74F3" w:rsidRPr="001D2B74" w:rsidTr="00F41B35">
        <w:trPr>
          <w:cantSplit/>
          <w:trHeight w:val="324"/>
        </w:trPr>
        <w:tc>
          <w:tcPr>
            <w:tcW w:w="2034" w:type="dxa"/>
            <w:tcBorders>
              <w:bottom w:val="single" w:sz="4" w:space="0" w:color="auto"/>
            </w:tcBorders>
            <w:vAlign w:val="bottom"/>
          </w:tcPr>
          <w:p w:rsidR="00CF74F3" w:rsidRPr="003B5206" w:rsidRDefault="00CF74F3" w:rsidP="00CF74F3">
            <w:pPr>
              <w:pStyle w:val="answer"/>
              <w:spacing w:before="60" w:after="60" w:line="240" w:lineRule="auto"/>
              <w:ind w:left="0" w:firstLine="0"/>
            </w:pPr>
            <w:r w:rsidRPr="003B5206">
              <w:t>Rentals</w:t>
            </w:r>
          </w:p>
        </w:tc>
        <w:tc>
          <w:tcPr>
            <w:tcW w:w="1764" w:type="dxa"/>
            <w:tcBorders>
              <w:bottom w:val="single" w:sz="4" w:space="0" w:color="auto"/>
            </w:tcBorders>
          </w:tcPr>
          <w:p w:rsidR="00CF74F3" w:rsidRPr="00683198" w:rsidRDefault="00CF74F3" w:rsidP="00CF74F3">
            <w:pPr>
              <w:pStyle w:val="answer"/>
              <w:spacing w:before="60" w:after="60" w:line="240" w:lineRule="auto"/>
              <w:ind w:left="0" w:firstLine="0"/>
              <w:jc w:val="center"/>
            </w:pPr>
            <w:r w:rsidRPr="00683198">
              <w:t>71/72/74</w:t>
            </w:r>
          </w:p>
        </w:tc>
        <w:tc>
          <w:tcPr>
            <w:tcW w:w="1530" w:type="dxa"/>
            <w:tcBorders>
              <w:bottom w:val="single" w:sz="4" w:space="0" w:color="auto"/>
            </w:tcBorders>
            <w:vAlign w:val="bottom"/>
          </w:tcPr>
          <w:p w:rsidR="00CF74F3" w:rsidRPr="002A5324" w:rsidRDefault="00CF74F3" w:rsidP="00CF74F3">
            <w:pPr>
              <w:pStyle w:val="answer"/>
              <w:spacing w:before="60" w:after="60" w:line="240" w:lineRule="auto"/>
              <w:ind w:left="0" w:firstLine="0"/>
              <w:jc w:val="center"/>
            </w:pPr>
            <w:r>
              <w:t>186</w:t>
            </w:r>
            <w:r w:rsidRPr="002A5324">
              <w:t>%</w:t>
            </w:r>
          </w:p>
        </w:tc>
        <w:tc>
          <w:tcPr>
            <w:tcW w:w="1530" w:type="dxa"/>
            <w:tcBorders>
              <w:bottom w:val="single" w:sz="4" w:space="0" w:color="auto"/>
            </w:tcBorders>
            <w:vAlign w:val="bottom"/>
          </w:tcPr>
          <w:p w:rsidR="00CF74F3" w:rsidRPr="00E8781B" w:rsidRDefault="00CF74F3" w:rsidP="00CF74F3">
            <w:pPr>
              <w:pStyle w:val="answer"/>
              <w:spacing w:before="60" w:after="60" w:line="240" w:lineRule="auto"/>
              <w:ind w:left="0" w:firstLine="0"/>
              <w:jc w:val="center"/>
            </w:pPr>
            <w:r w:rsidRPr="00E8781B">
              <w:t>0.0%</w:t>
            </w:r>
          </w:p>
        </w:tc>
        <w:tc>
          <w:tcPr>
            <w:tcW w:w="1368" w:type="dxa"/>
            <w:tcBorders>
              <w:bottom w:val="single" w:sz="4" w:space="0" w:color="auto"/>
            </w:tcBorders>
            <w:vAlign w:val="bottom"/>
          </w:tcPr>
          <w:p w:rsidR="00CF74F3" w:rsidRPr="00E8781B" w:rsidRDefault="00CF74F3" w:rsidP="00CF74F3">
            <w:pPr>
              <w:pStyle w:val="answer"/>
              <w:spacing w:before="60" w:after="60" w:line="240" w:lineRule="auto"/>
              <w:ind w:left="0" w:firstLine="0"/>
              <w:jc w:val="center"/>
            </w:pPr>
            <w:r w:rsidRPr="00E8781B">
              <w:t>0.0%</w:t>
            </w:r>
          </w:p>
        </w:tc>
      </w:tr>
      <w:tr w:rsidR="00CF74F3" w:rsidRPr="009075DC" w:rsidTr="00F41B35">
        <w:trPr>
          <w:cantSplit/>
          <w:trHeight w:val="425"/>
        </w:trPr>
        <w:tc>
          <w:tcPr>
            <w:tcW w:w="2034" w:type="dxa"/>
            <w:tcBorders>
              <w:top w:val="single" w:sz="4" w:space="0" w:color="auto"/>
              <w:bottom w:val="single" w:sz="4" w:space="0" w:color="auto"/>
            </w:tcBorders>
            <w:vAlign w:val="bottom"/>
          </w:tcPr>
          <w:p w:rsidR="00CF74F3" w:rsidRPr="00683198" w:rsidRDefault="00CF74F3" w:rsidP="00CF74F3">
            <w:pPr>
              <w:pStyle w:val="answer"/>
              <w:spacing w:before="60" w:after="60" w:line="240" w:lineRule="auto"/>
              <w:ind w:left="0" w:firstLine="0"/>
              <w:rPr>
                <w:b/>
              </w:rPr>
            </w:pPr>
            <w:r w:rsidRPr="00683198">
              <w:rPr>
                <w:b/>
              </w:rPr>
              <w:t>Total/System Average</w:t>
            </w:r>
          </w:p>
        </w:tc>
        <w:tc>
          <w:tcPr>
            <w:tcW w:w="1764" w:type="dxa"/>
            <w:tcBorders>
              <w:top w:val="single" w:sz="4" w:space="0" w:color="auto"/>
              <w:bottom w:val="single" w:sz="4" w:space="0" w:color="auto"/>
            </w:tcBorders>
          </w:tcPr>
          <w:p w:rsidR="00CF74F3" w:rsidRPr="00683198" w:rsidRDefault="00CF74F3" w:rsidP="00CF74F3">
            <w:pPr>
              <w:pStyle w:val="answer"/>
              <w:spacing w:before="60" w:after="60" w:line="240" w:lineRule="auto"/>
              <w:ind w:left="0" w:firstLine="0"/>
              <w:jc w:val="center"/>
              <w:rPr>
                <w:b/>
                <w:highlight w:val="yellow"/>
              </w:rPr>
            </w:pPr>
          </w:p>
        </w:tc>
        <w:tc>
          <w:tcPr>
            <w:tcW w:w="1530" w:type="dxa"/>
            <w:tcBorders>
              <w:top w:val="single" w:sz="4" w:space="0" w:color="auto"/>
              <w:bottom w:val="single" w:sz="4" w:space="0" w:color="auto"/>
            </w:tcBorders>
            <w:vAlign w:val="bottom"/>
          </w:tcPr>
          <w:p w:rsidR="00CF74F3" w:rsidRPr="002A5324" w:rsidRDefault="00CF74F3" w:rsidP="00CF74F3">
            <w:pPr>
              <w:pStyle w:val="answer"/>
              <w:spacing w:before="60" w:after="60" w:line="240" w:lineRule="auto"/>
              <w:ind w:left="0" w:firstLine="0"/>
              <w:jc w:val="center"/>
              <w:rPr>
                <w:b/>
              </w:rPr>
            </w:pPr>
            <w:r w:rsidRPr="002A5324">
              <w:rPr>
                <w:b/>
              </w:rPr>
              <w:t>100%</w:t>
            </w:r>
          </w:p>
        </w:tc>
        <w:tc>
          <w:tcPr>
            <w:tcW w:w="1530" w:type="dxa"/>
            <w:tcBorders>
              <w:top w:val="single" w:sz="4" w:space="0" w:color="auto"/>
              <w:bottom w:val="single" w:sz="4" w:space="0" w:color="auto"/>
            </w:tcBorders>
            <w:vAlign w:val="bottom"/>
          </w:tcPr>
          <w:p w:rsidR="00CF74F3" w:rsidRPr="00E8781B" w:rsidRDefault="00CF74F3" w:rsidP="00CF74F3">
            <w:pPr>
              <w:pStyle w:val="answer"/>
              <w:spacing w:before="60" w:after="60" w:line="240" w:lineRule="auto"/>
              <w:ind w:left="0" w:firstLine="0"/>
              <w:jc w:val="center"/>
              <w:rPr>
                <w:b/>
              </w:rPr>
            </w:pPr>
            <w:r w:rsidRPr="00E8781B">
              <w:rPr>
                <w:b/>
              </w:rPr>
              <w:t>2.</w:t>
            </w:r>
            <w:r>
              <w:rPr>
                <w:b/>
              </w:rPr>
              <w:t>8</w:t>
            </w:r>
            <w:r w:rsidRPr="00E8781B">
              <w:rPr>
                <w:b/>
              </w:rPr>
              <w:t>%</w:t>
            </w:r>
          </w:p>
        </w:tc>
        <w:tc>
          <w:tcPr>
            <w:tcW w:w="1368" w:type="dxa"/>
            <w:tcBorders>
              <w:top w:val="single" w:sz="4" w:space="0" w:color="auto"/>
              <w:bottom w:val="single" w:sz="4" w:space="0" w:color="auto"/>
            </w:tcBorders>
            <w:vAlign w:val="bottom"/>
          </w:tcPr>
          <w:p w:rsidR="00CF74F3" w:rsidRPr="00E8781B" w:rsidRDefault="00CF74F3" w:rsidP="00CF74F3">
            <w:pPr>
              <w:pStyle w:val="answer"/>
              <w:spacing w:before="60" w:after="60" w:line="240" w:lineRule="auto"/>
              <w:ind w:left="0" w:firstLine="0"/>
              <w:jc w:val="center"/>
              <w:rPr>
                <w:b/>
              </w:rPr>
            </w:pPr>
            <w:r>
              <w:rPr>
                <w:b/>
              </w:rPr>
              <w:t>5.3</w:t>
            </w:r>
            <w:r w:rsidRPr="00E8781B">
              <w:rPr>
                <w:b/>
              </w:rPr>
              <w:t>%</w:t>
            </w:r>
          </w:p>
        </w:tc>
      </w:tr>
      <w:tr w:rsidR="00CF74F3" w:rsidRPr="009075DC" w:rsidTr="00F41B35">
        <w:trPr>
          <w:cantSplit/>
          <w:trHeight w:val="425"/>
        </w:trPr>
        <w:tc>
          <w:tcPr>
            <w:tcW w:w="2034" w:type="dxa"/>
            <w:tcBorders>
              <w:top w:val="single" w:sz="4" w:space="0" w:color="auto"/>
            </w:tcBorders>
            <w:vAlign w:val="bottom"/>
          </w:tcPr>
          <w:p w:rsidR="00CF74F3" w:rsidRPr="00995BC5" w:rsidRDefault="00CF74F3" w:rsidP="00CF74F3">
            <w:pPr>
              <w:pStyle w:val="answer"/>
              <w:spacing w:before="60" w:after="60" w:line="240" w:lineRule="auto"/>
              <w:ind w:left="0" w:firstLine="0"/>
            </w:pPr>
            <w:r w:rsidRPr="00995BC5">
              <w:t>* Includes gas costs</w:t>
            </w:r>
          </w:p>
        </w:tc>
        <w:tc>
          <w:tcPr>
            <w:tcW w:w="1764" w:type="dxa"/>
            <w:tcBorders>
              <w:top w:val="single" w:sz="4" w:space="0" w:color="auto"/>
            </w:tcBorders>
          </w:tcPr>
          <w:p w:rsidR="00CF74F3" w:rsidRPr="00683198" w:rsidRDefault="00CF74F3" w:rsidP="00CF74F3">
            <w:pPr>
              <w:pStyle w:val="answer"/>
              <w:spacing w:before="60" w:after="60" w:line="240" w:lineRule="auto"/>
              <w:ind w:left="0" w:firstLine="0"/>
              <w:jc w:val="center"/>
              <w:rPr>
                <w:b/>
                <w:highlight w:val="yellow"/>
              </w:rPr>
            </w:pPr>
          </w:p>
        </w:tc>
        <w:tc>
          <w:tcPr>
            <w:tcW w:w="1530" w:type="dxa"/>
            <w:tcBorders>
              <w:top w:val="single" w:sz="4" w:space="0" w:color="auto"/>
            </w:tcBorders>
          </w:tcPr>
          <w:p w:rsidR="00CF74F3" w:rsidRPr="00683198" w:rsidRDefault="00CF74F3" w:rsidP="00CF74F3">
            <w:pPr>
              <w:pStyle w:val="answer"/>
              <w:spacing w:before="60" w:after="60" w:line="240" w:lineRule="auto"/>
              <w:ind w:left="0" w:firstLine="0"/>
              <w:jc w:val="center"/>
              <w:rPr>
                <w:b/>
                <w:highlight w:val="yellow"/>
              </w:rPr>
            </w:pPr>
          </w:p>
        </w:tc>
        <w:tc>
          <w:tcPr>
            <w:tcW w:w="1530" w:type="dxa"/>
            <w:tcBorders>
              <w:top w:val="single" w:sz="4" w:space="0" w:color="auto"/>
            </w:tcBorders>
            <w:vAlign w:val="bottom"/>
          </w:tcPr>
          <w:p w:rsidR="00CF74F3" w:rsidRPr="00683198" w:rsidRDefault="00CF74F3" w:rsidP="00CF74F3">
            <w:pPr>
              <w:pStyle w:val="answer"/>
              <w:spacing w:before="60" w:after="60" w:line="240" w:lineRule="auto"/>
              <w:ind w:left="0" w:firstLine="0"/>
              <w:jc w:val="center"/>
              <w:rPr>
                <w:b/>
                <w:highlight w:val="yellow"/>
              </w:rPr>
            </w:pPr>
          </w:p>
        </w:tc>
        <w:tc>
          <w:tcPr>
            <w:tcW w:w="1368" w:type="dxa"/>
            <w:tcBorders>
              <w:top w:val="single" w:sz="4" w:space="0" w:color="auto"/>
            </w:tcBorders>
            <w:vAlign w:val="bottom"/>
          </w:tcPr>
          <w:p w:rsidR="00CF74F3" w:rsidRPr="00683198" w:rsidRDefault="00CF74F3" w:rsidP="00CF74F3">
            <w:pPr>
              <w:pStyle w:val="answer"/>
              <w:spacing w:before="60" w:after="60" w:line="240" w:lineRule="auto"/>
              <w:ind w:left="0" w:firstLine="0"/>
              <w:jc w:val="center"/>
              <w:rPr>
                <w:b/>
                <w:highlight w:val="yellow"/>
              </w:rPr>
            </w:pPr>
          </w:p>
        </w:tc>
      </w:tr>
    </w:tbl>
    <w:p w:rsidR="00F41B35" w:rsidRPr="00F41B35" w:rsidRDefault="00F41B35" w:rsidP="00F41B35">
      <w:pPr>
        <w:pStyle w:val="answer"/>
        <w:widowControl w:val="0"/>
        <w:ind w:left="1440" w:firstLine="0"/>
        <w:rPr>
          <w:rFonts w:eastAsia="SimSun"/>
        </w:rPr>
      </w:pPr>
      <w:r w:rsidRPr="00F41B35">
        <w:rPr>
          <w:rFonts w:eastAsia="SimSun"/>
        </w:rPr>
        <w:lastRenderedPageBreak/>
        <w:t xml:space="preserve"> </w:t>
      </w:r>
    </w:p>
    <w:p w:rsidR="00863A3D" w:rsidRPr="0022574D" w:rsidRDefault="00863A3D" w:rsidP="00863A3D">
      <w:pPr>
        <w:pStyle w:val="answer"/>
        <w:widowControl w:val="0"/>
        <w:ind w:left="1440"/>
        <w:rPr>
          <w:rFonts w:eastAsia="SimSun"/>
          <w:i/>
          <w:u w:val="single"/>
        </w:rPr>
      </w:pPr>
      <w:r w:rsidRPr="0022574D">
        <w:rPr>
          <w:rFonts w:eastAsia="SimSun"/>
          <w:i/>
          <w:u w:val="single"/>
        </w:rPr>
        <w:t>Electric and Gas Decoupling Mechanisms</w:t>
      </w:r>
    </w:p>
    <w:p w:rsidR="00863A3D" w:rsidRDefault="00863A3D" w:rsidP="00756AAC">
      <w:pPr>
        <w:pStyle w:val="answer"/>
        <w:widowControl w:val="0"/>
        <w:numPr>
          <w:ilvl w:val="0"/>
          <w:numId w:val="33"/>
        </w:numPr>
        <w:rPr>
          <w:rFonts w:eastAsia="SimSun"/>
        </w:rPr>
      </w:pPr>
      <w:r>
        <w:rPr>
          <w:rFonts w:eastAsia="SimSun"/>
        </w:rPr>
        <w:t xml:space="preserve">Overall, </w:t>
      </w:r>
      <w:r w:rsidR="0022574D">
        <w:rPr>
          <w:rFonts w:eastAsia="SimSun"/>
        </w:rPr>
        <w:t xml:space="preserve">the </w:t>
      </w:r>
      <w:r>
        <w:rPr>
          <w:rFonts w:eastAsia="SimSun"/>
        </w:rPr>
        <w:t>mechanisms performed well over their first three years, producing modest rate impacts and removing PSE’s throughput incentive associated with the recovery of its delivery system costs.</w:t>
      </w:r>
      <w:r w:rsidR="0022574D">
        <w:rPr>
          <w:rFonts w:eastAsia="SimSun"/>
        </w:rPr>
        <w:t xml:space="preserve">  </w:t>
      </w:r>
    </w:p>
    <w:p w:rsidR="0022574D" w:rsidRDefault="003D094A" w:rsidP="00756AAC">
      <w:pPr>
        <w:pStyle w:val="answer"/>
        <w:widowControl w:val="0"/>
        <w:numPr>
          <w:ilvl w:val="0"/>
          <w:numId w:val="33"/>
        </w:numPr>
        <w:rPr>
          <w:rFonts w:eastAsia="SimSun"/>
        </w:rPr>
      </w:pPr>
      <w:r>
        <w:rPr>
          <w:rFonts w:eastAsia="SimSun"/>
        </w:rPr>
        <w:t xml:space="preserve">Incorporating the </w:t>
      </w:r>
      <w:r w:rsidR="00F41B35">
        <w:rPr>
          <w:rFonts w:eastAsia="SimSun"/>
        </w:rPr>
        <w:t>lessons learned over the first three years of the mechanisms</w:t>
      </w:r>
      <w:r w:rsidR="002D7655">
        <w:rPr>
          <w:rFonts w:eastAsia="SimSun"/>
        </w:rPr>
        <w:t xml:space="preserve"> implementation, </w:t>
      </w:r>
      <w:r w:rsidR="0022574D">
        <w:rPr>
          <w:rFonts w:eastAsia="SimSun"/>
        </w:rPr>
        <w:t>PSE proposes to make the following changes to its current decoupling mechanisms:</w:t>
      </w:r>
      <w:r w:rsidR="00637DBB">
        <w:rPr>
          <w:rStyle w:val="FootnoteReference"/>
          <w:rFonts w:eastAsia="SimSun"/>
        </w:rPr>
        <w:footnoteReference w:id="1"/>
      </w:r>
    </w:p>
    <w:p w:rsidR="0022574D" w:rsidRDefault="0022574D" w:rsidP="00756AAC">
      <w:pPr>
        <w:pStyle w:val="answer"/>
        <w:widowControl w:val="0"/>
        <w:numPr>
          <w:ilvl w:val="1"/>
          <w:numId w:val="33"/>
        </w:numPr>
        <w:rPr>
          <w:rFonts w:eastAsia="SimSun"/>
        </w:rPr>
      </w:pPr>
      <w:r>
        <w:rPr>
          <w:rFonts w:eastAsia="SimSun"/>
        </w:rPr>
        <w:t xml:space="preserve">Increase the trigger for </w:t>
      </w:r>
      <w:r w:rsidR="00877BC0">
        <w:rPr>
          <w:rFonts w:eastAsia="SimSun"/>
        </w:rPr>
        <w:t xml:space="preserve">the </w:t>
      </w:r>
      <w:r>
        <w:rPr>
          <w:rFonts w:eastAsia="SimSun"/>
        </w:rPr>
        <w:t>Rate Test as it is applied to natural gas residential customers</w:t>
      </w:r>
      <w:r w:rsidR="00B105AD">
        <w:rPr>
          <w:rFonts w:eastAsia="SimSun"/>
        </w:rPr>
        <w:t xml:space="preserve"> and all electric customers in the decoupling mechanism</w:t>
      </w:r>
      <w:r>
        <w:rPr>
          <w:rFonts w:eastAsia="SimSun"/>
        </w:rPr>
        <w:t xml:space="preserve"> from three percent to five percent,</w:t>
      </w:r>
    </w:p>
    <w:p w:rsidR="0022574D" w:rsidRDefault="0022574D" w:rsidP="00756AAC">
      <w:pPr>
        <w:pStyle w:val="answer"/>
        <w:widowControl w:val="0"/>
        <w:numPr>
          <w:ilvl w:val="1"/>
          <w:numId w:val="33"/>
        </w:numPr>
        <w:rPr>
          <w:rFonts w:eastAsia="SimSun"/>
        </w:rPr>
      </w:pPr>
      <w:r>
        <w:rPr>
          <w:rFonts w:eastAsia="SimSun"/>
        </w:rPr>
        <w:t xml:space="preserve">Modify the Earnings Test so </w:t>
      </w:r>
      <w:r w:rsidRPr="0022574D">
        <w:rPr>
          <w:rFonts w:eastAsia="SimSun"/>
        </w:rPr>
        <w:t xml:space="preserve">that, for revenue sharing purposes, all normalizing adjustments to actual results </w:t>
      </w:r>
      <w:r w:rsidR="00637DBB">
        <w:rPr>
          <w:rFonts w:eastAsia="SimSun"/>
        </w:rPr>
        <w:t xml:space="preserve">are </w:t>
      </w:r>
      <w:r w:rsidRPr="0022574D">
        <w:rPr>
          <w:rFonts w:eastAsia="SimSun"/>
        </w:rPr>
        <w:t xml:space="preserve">excluded and all conforming adjustments </w:t>
      </w:r>
      <w:r w:rsidR="00637DBB">
        <w:rPr>
          <w:rFonts w:eastAsia="SimSun"/>
        </w:rPr>
        <w:t xml:space="preserve">are </w:t>
      </w:r>
      <w:r w:rsidRPr="0022574D">
        <w:rPr>
          <w:rFonts w:eastAsia="SimSun"/>
        </w:rPr>
        <w:t>retained for calculating operating income</w:t>
      </w:r>
      <w:r>
        <w:rPr>
          <w:rFonts w:eastAsia="SimSun"/>
        </w:rPr>
        <w:t>.</w:t>
      </w:r>
    </w:p>
    <w:p w:rsidR="0022574D" w:rsidRDefault="0022574D" w:rsidP="00756AAC">
      <w:pPr>
        <w:pStyle w:val="answer"/>
        <w:widowControl w:val="0"/>
        <w:numPr>
          <w:ilvl w:val="1"/>
          <w:numId w:val="33"/>
        </w:numPr>
        <w:rPr>
          <w:rFonts w:eastAsia="SimSun"/>
        </w:rPr>
      </w:pPr>
      <w:r>
        <w:rPr>
          <w:rFonts w:eastAsia="SimSun"/>
        </w:rPr>
        <w:t xml:space="preserve">Per a previously approved settlement, move fixed </w:t>
      </w:r>
      <w:r w:rsidR="00AB6B68">
        <w:rPr>
          <w:rFonts w:eastAsia="SimSun"/>
        </w:rPr>
        <w:t xml:space="preserve">power </w:t>
      </w:r>
      <w:r>
        <w:rPr>
          <w:rFonts w:eastAsia="SimSun"/>
        </w:rPr>
        <w:t>costs into the electric decoupling mechanism.</w:t>
      </w:r>
    </w:p>
    <w:p w:rsidR="0022574D" w:rsidRDefault="0022574D" w:rsidP="00756AAC">
      <w:pPr>
        <w:pStyle w:val="answer"/>
        <w:widowControl w:val="0"/>
        <w:numPr>
          <w:ilvl w:val="1"/>
          <w:numId w:val="33"/>
        </w:numPr>
        <w:rPr>
          <w:rFonts w:eastAsia="SimSun"/>
        </w:rPr>
      </w:pPr>
      <w:r>
        <w:rPr>
          <w:rFonts w:eastAsia="SimSun"/>
        </w:rPr>
        <w:t xml:space="preserve">Disaggregate the non-residential rate groups in these mechanisms to </w:t>
      </w:r>
      <w:r>
        <w:rPr>
          <w:rFonts w:eastAsia="SimSun"/>
        </w:rPr>
        <w:lastRenderedPageBreak/>
        <w:t xml:space="preserve">create more homogeneity, with smaller customers separated from larger ones. </w:t>
      </w:r>
    </w:p>
    <w:p w:rsidR="0022574D" w:rsidRPr="00C8021D" w:rsidRDefault="0022574D" w:rsidP="0022574D">
      <w:pPr>
        <w:pStyle w:val="answer"/>
        <w:widowControl w:val="0"/>
        <w:ind w:left="1440"/>
        <w:rPr>
          <w:rFonts w:eastAsia="SimSun"/>
          <w:i/>
          <w:u w:val="single"/>
        </w:rPr>
      </w:pPr>
      <w:r w:rsidRPr="00C8021D">
        <w:rPr>
          <w:rFonts w:eastAsia="SimSun"/>
          <w:i/>
          <w:u w:val="single"/>
        </w:rPr>
        <w:t>Electric Cost Recovery Mechanism</w:t>
      </w:r>
    </w:p>
    <w:p w:rsidR="0022574D" w:rsidRDefault="00C8021D" w:rsidP="00756AAC">
      <w:pPr>
        <w:pStyle w:val="answer"/>
        <w:widowControl w:val="0"/>
        <w:numPr>
          <w:ilvl w:val="0"/>
          <w:numId w:val="34"/>
        </w:numPr>
        <w:rPr>
          <w:rFonts w:eastAsia="SimSun"/>
        </w:rPr>
      </w:pPr>
      <w:r>
        <w:rPr>
          <w:rFonts w:eastAsia="SimSun"/>
        </w:rPr>
        <w:t xml:space="preserve">PSE proposes to allocate the revenue requirement associated with its proposed ECRM </w:t>
      </w:r>
      <w:r w:rsidR="00C2328D">
        <w:rPr>
          <w:rFonts w:eastAsia="SimSun"/>
        </w:rPr>
        <w:t>in a manner that is consistent with the way like facilities are allocated in PSE’s overall electric cost of service study</w:t>
      </w:r>
      <w:r w:rsidR="00F358B9">
        <w:rPr>
          <w:rFonts w:eastAsia="SimSun"/>
        </w:rPr>
        <w:t xml:space="preserve">, where costs are allocated to the customer classes in proportion to their loads on the replaced facilities. </w:t>
      </w:r>
      <w:r w:rsidR="00C2328D">
        <w:rPr>
          <w:rFonts w:eastAsia="SimSun"/>
        </w:rPr>
        <w:t xml:space="preserve"> </w:t>
      </w:r>
    </w:p>
    <w:p w:rsidR="00C8021D" w:rsidRDefault="00C8021D" w:rsidP="00756AAC">
      <w:pPr>
        <w:pStyle w:val="answer"/>
        <w:widowControl w:val="0"/>
        <w:numPr>
          <w:ilvl w:val="0"/>
          <w:numId w:val="34"/>
        </w:numPr>
        <w:rPr>
          <w:rFonts w:eastAsia="SimSun"/>
        </w:rPr>
      </w:pPr>
      <w:r>
        <w:rPr>
          <w:rFonts w:eastAsia="SimSun"/>
        </w:rPr>
        <w:t>The estimated first-year rate impact on PSE’s electric customers is expected to</w:t>
      </w:r>
      <w:r w:rsidR="00F358B9">
        <w:rPr>
          <w:rFonts w:eastAsia="SimSun"/>
        </w:rPr>
        <w:t xml:space="preserve"> be 0.</w:t>
      </w:r>
      <w:r w:rsidR="003D094A">
        <w:rPr>
          <w:rFonts w:eastAsia="SimSun"/>
        </w:rPr>
        <w:t>5</w:t>
      </w:r>
      <w:r w:rsidR="00CB0501">
        <w:rPr>
          <w:rFonts w:eastAsia="SimSun"/>
        </w:rPr>
        <w:t>0</w:t>
      </w:r>
      <w:r w:rsidR="00D1284F">
        <w:rPr>
          <w:rFonts w:eastAsia="SimSun"/>
        </w:rPr>
        <w:t xml:space="preserve"> percent</w:t>
      </w:r>
      <w:r w:rsidR="00F358B9">
        <w:rPr>
          <w:rFonts w:eastAsia="SimSun"/>
        </w:rPr>
        <w:t xml:space="preserve"> overall, ranging from </w:t>
      </w:r>
      <w:r w:rsidR="003D094A">
        <w:rPr>
          <w:rFonts w:eastAsia="SimSun"/>
        </w:rPr>
        <w:t>1.</w:t>
      </w:r>
      <w:r w:rsidR="00CB0501">
        <w:rPr>
          <w:rFonts w:eastAsia="SimSun"/>
        </w:rPr>
        <w:t>06</w:t>
      </w:r>
      <w:r w:rsidR="00D1284F">
        <w:rPr>
          <w:rFonts w:eastAsia="SimSun"/>
        </w:rPr>
        <w:t xml:space="preserve"> percent</w:t>
      </w:r>
      <w:r w:rsidR="00F358B9">
        <w:rPr>
          <w:rFonts w:eastAsia="SimSun"/>
        </w:rPr>
        <w:t xml:space="preserve"> f</w:t>
      </w:r>
      <w:r w:rsidR="007234D6">
        <w:rPr>
          <w:rFonts w:eastAsia="SimSun"/>
        </w:rPr>
        <w:t>or Schedule 43 (Electric School</w:t>
      </w:r>
      <w:r w:rsidR="00F358B9">
        <w:rPr>
          <w:rFonts w:eastAsia="SimSun"/>
        </w:rPr>
        <w:t>s) to 0.0</w:t>
      </w:r>
      <w:r w:rsidR="00CB0501">
        <w:rPr>
          <w:rFonts w:eastAsia="SimSun"/>
        </w:rPr>
        <w:t>7</w:t>
      </w:r>
      <w:r w:rsidR="00D1284F">
        <w:rPr>
          <w:rFonts w:eastAsia="SimSun"/>
        </w:rPr>
        <w:t xml:space="preserve"> percent</w:t>
      </w:r>
      <w:r w:rsidR="007234D6">
        <w:rPr>
          <w:rFonts w:eastAsia="SimSun"/>
        </w:rPr>
        <w:t xml:space="preserve"> for Schedule 31 (Primary General Service).  The residential impact is projected to be 0.</w:t>
      </w:r>
      <w:r w:rsidR="003D094A">
        <w:rPr>
          <w:rFonts w:eastAsia="SimSun"/>
        </w:rPr>
        <w:t>7</w:t>
      </w:r>
      <w:r w:rsidR="00CB0501">
        <w:rPr>
          <w:rFonts w:eastAsia="SimSun"/>
        </w:rPr>
        <w:t>5</w:t>
      </w:r>
      <w:r w:rsidR="00D1284F">
        <w:rPr>
          <w:rFonts w:eastAsia="SimSun"/>
        </w:rPr>
        <w:t xml:space="preserve"> percent</w:t>
      </w:r>
      <w:r w:rsidR="007234D6">
        <w:rPr>
          <w:rFonts w:eastAsia="SimSun"/>
        </w:rPr>
        <w:t>, or approximately $0.</w:t>
      </w:r>
      <w:r w:rsidR="003D094A">
        <w:rPr>
          <w:rFonts w:eastAsia="SimSun"/>
        </w:rPr>
        <w:t>72</w:t>
      </w:r>
      <w:r w:rsidR="007234D6">
        <w:rPr>
          <w:rFonts w:eastAsia="SimSun"/>
        </w:rPr>
        <w:t xml:space="preserve"> per month for a typical customer using 900 kWh.</w:t>
      </w:r>
    </w:p>
    <w:p w:rsidR="00863A3D" w:rsidRPr="00C8021D" w:rsidRDefault="00C8021D" w:rsidP="00863A3D">
      <w:pPr>
        <w:pStyle w:val="answer"/>
        <w:widowControl w:val="0"/>
        <w:ind w:left="1440"/>
        <w:rPr>
          <w:rFonts w:eastAsia="SimSun"/>
          <w:i/>
          <w:u w:val="single"/>
        </w:rPr>
      </w:pPr>
      <w:r w:rsidRPr="00C8021D">
        <w:rPr>
          <w:rFonts w:eastAsia="SimSun"/>
          <w:i/>
          <w:u w:val="single"/>
        </w:rPr>
        <w:t>Schedule 451 Proposal</w:t>
      </w:r>
    </w:p>
    <w:p w:rsidR="00C8021D" w:rsidRDefault="00C8021D" w:rsidP="00756AAC">
      <w:pPr>
        <w:pStyle w:val="answer"/>
        <w:widowControl w:val="0"/>
        <w:numPr>
          <w:ilvl w:val="0"/>
          <w:numId w:val="34"/>
        </w:numPr>
        <w:rPr>
          <w:rFonts w:eastAsia="SimSun"/>
        </w:rPr>
      </w:pPr>
      <w:r>
        <w:rPr>
          <w:rFonts w:eastAsia="SimSun"/>
        </w:rPr>
        <w:t xml:space="preserve">Service taken under PSE’s proposed Schedule 451 will have an impact on </w:t>
      </w:r>
      <w:r w:rsidR="00C16C86">
        <w:rPr>
          <w:rFonts w:eastAsia="SimSun"/>
        </w:rPr>
        <w:t>PSE’s</w:t>
      </w:r>
      <w:r>
        <w:rPr>
          <w:rFonts w:eastAsia="SimSun"/>
        </w:rPr>
        <w:t xml:space="preserve"> ability to recover its power costs.</w:t>
      </w:r>
    </w:p>
    <w:p w:rsidR="00C8021D" w:rsidRDefault="00C8021D" w:rsidP="00756AAC">
      <w:pPr>
        <w:pStyle w:val="answer"/>
        <w:widowControl w:val="0"/>
        <w:numPr>
          <w:ilvl w:val="0"/>
          <w:numId w:val="34"/>
        </w:numPr>
        <w:rPr>
          <w:rFonts w:eastAsia="SimSun"/>
        </w:rPr>
      </w:pPr>
      <w:r>
        <w:rPr>
          <w:rFonts w:eastAsia="SimSun"/>
        </w:rPr>
        <w:t xml:space="preserve">PSE proposes alternative allowed fixed </w:t>
      </w:r>
      <w:r w:rsidR="00AB6B68">
        <w:rPr>
          <w:rFonts w:eastAsia="SimSun"/>
        </w:rPr>
        <w:t xml:space="preserve">power </w:t>
      </w:r>
      <w:r>
        <w:rPr>
          <w:rFonts w:eastAsia="SimSun"/>
        </w:rPr>
        <w:t xml:space="preserve">costs per customers and Power Cost Adjustment (“PCA”) </w:t>
      </w:r>
      <w:r w:rsidR="00C16C86">
        <w:rPr>
          <w:rFonts w:eastAsia="SimSun"/>
        </w:rPr>
        <w:t>b</w:t>
      </w:r>
      <w:r>
        <w:rPr>
          <w:rFonts w:eastAsia="SimSun"/>
        </w:rPr>
        <w:t>aseline rates to address its ability to recover production-related expenses if and when customers begin to t</w:t>
      </w:r>
      <w:r w:rsidR="002D7655">
        <w:rPr>
          <w:rFonts w:eastAsia="SimSun"/>
        </w:rPr>
        <w:t>ake service under the proposed S</w:t>
      </w:r>
      <w:r>
        <w:rPr>
          <w:rFonts w:eastAsia="SimSun"/>
        </w:rPr>
        <w:t>chedule</w:t>
      </w:r>
      <w:r w:rsidR="002D7655">
        <w:rPr>
          <w:rFonts w:eastAsia="SimSun"/>
        </w:rPr>
        <w:t xml:space="preserve"> 451</w:t>
      </w:r>
      <w:r>
        <w:rPr>
          <w:rFonts w:eastAsia="SimSun"/>
        </w:rPr>
        <w:t>.</w:t>
      </w:r>
    </w:p>
    <w:p w:rsidR="00D1798E" w:rsidRDefault="00D1798E" w:rsidP="00C8021D">
      <w:pPr>
        <w:pStyle w:val="answer"/>
        <w:widowControl w:val="0"/>
        <w:ind w:firstLine="0"/>
        <w:rPr>
          <w:rFonts w:eastAsia="SimSun"/>
          <w:i/>
          <w:u w:val="single"/>
        </w:rPr>
      </w:pPr>
    </w:p>
    <w:p w:rsidR="00C8021D" w:rsidRPr="00637DBB" w:rsidRDefault="00C8021D" w:rsidP="00C8021D">
      <w:pPr>
        <w:pStyle w:val="answer"/>
        <w:widowControl w:val="0"/>
        <w:ind w:firstLine="0"/>
        <w:rPr>
          <w:rFonts w:eastAsia="SimSun"/>
          <w:i/>
          <w:u w:val="single"/>
        </w:rPr>
      </w:pPr>
      <w:r w:rsidRPr="00637DBB">
        <w:rPr>
          <w:rFonts w:eastAsia="SimSun"/>
          <w:i/>
          <w:u w:val="single"/>
        </w:rPr>
        <w:lastRenderedPageBreak/>
        <w:t>Compliance Filing and Overall Rate Impacts</w:t>
      </w:r>
    </w:p>
    <w:p w:rsidR="00C8021D" w:rsidRDefault="00E46085" w:rsidP="00756AAC">
      <w:pPr>
        <w:pStyle w:val="answer"/>
        <w:widowControl w:val="0"/>
        <w:numPr>
          <w:ilvl w:val="0"/>
          <w:numId w:val="35"/>
        </w:numPr>
        <w:rPr>
          <w:rFonts w:eastAsia="SimSun"/>
        </w:rPr>
      </w:pPr>
      <w:r>
        <w:rPr>
          <w:rFonts w:eastAsia="SimSun"/>
        </w:rPr>
        <w:t xml:space="preserve">The rates in a number of PSE’s adjusting price schedules will need to be reset simultaneously with the proposed changes to base rates in this general rate case.  While </w:t>
      </w:r>
      <w:r w:rsidR="00B5579B">
        <w:rPr>
          <w:rFonts w:eastAsia="SimSun"/>
        </w:rPr>
        <w:t>electric and gas Schedule 14</w:t>
      </w:r>
      <w:r w:rsidR="005D391D">
        <w:rPr>
          <w:rFonts w:eastAsia="SimSun"/>
        </w:rPr>
        <w:t>2</w:t>
      </w:r>
      <w:r w:rsidR="00B5579B">
        <w:rPr>
          <w:rFonts w:eastAsia="SimSun"/>
        </w:rPr>
        <w:t xml:space="preserve"> and gas Schedule 149 will </w:t>
      </w:r>
      <w:r>
        <w:rPr>
          <w:rFonts w:eastAsia="SimSun"/>
        </w:rPr>
        <w:t xml:space="preserve">not </w:t>
      </w:r>
      <w:r w:rsidR="00B5579B">
        <w:rPr>
          <w:rFonts w:eastAsia="SimSun"/>
        </w:rPr>
        <w:t xml:space="preserve">be </w:t>
      </w:r>
      <w:r>
        <w:rPr>
          <w:rFonts w:eastAsia="SimSun"/>
        </w:rPr>
        <w:t>filed as part of this case,</w:t>
      </w:r>
      <w:r>
        <w:rPr>
          <w:rStyle w:val="FootnoteReference"/>
          <w:rFonts w:eastAsia="SimSun"/>
        </w:rPr>
        <w:footnoteReference w:id="2"/>
      </w:r>
      <w:r>
        <w:rPr>
          <w:rFonts w:eastAsia="SimSun"/>
        </w:rPr>
        <w:t xml:space="preserve"> they will be included among the tariff sheets filed as part of the final compliance filing.  </w:t>
      </w:r>
      <w:r w:rsidR="00C8021D">
        <w:rPr>
          <w:rFonts w:eastAsia="SimSun"/>
        </w:rPr>
        <w:t xml:space="preserve">The </w:t>
      </w:r>
      <w:r w:rsidR="00B5579B">
        <w:rPr>
          <w:rFonts w:eastAsia="SimSun"/>
        </w:rPr>
        <w:t xml:space="preserve">full list of </w:t>
      </w:r>
      <w:r w:rsidR="00C8021D">
        <w:rPr>
          <w:rFonts w:eastAsia="SimSun"/>
        </w:rPr>
        <w:t xml:space="preserve">adjusting price schedules </w:t>
      </w:r>
      <w:r>
        <w:rPr>
          <w:rFonts w:eastAsia="SimSun"/>
        </w:rPr>
        <w:t xml:space="preserve">that </w:t>
      </w:r>
      <w:r w:rsidR="00C8021D">
        <w:rPr>
          <w:rFonts w:eastAsia="SimSun"/>
        </w:rPr>
        <w:t xml:space="preserve">will be </w:t>
      </w:r>
      <w:r w:rsidR="00B51D81">
        <w:rPr>
          <w:rFonts w:eastAsia="SimSun"/>
        </w:rPr>
        <w:t xml:space="preserve">included in </w:t>
      </w:r>
      <w:r w:rsidR="00C8021D">
        <w:rPr>
          <w:rFonts w:eastAsia="SimSun"/>
        </w:rPr>
        <w:t xml:space="preserve">the </w:t>
      </w:r>
      <w:r w:rsidR="00B51D81">
        <w:rPr>
          <w:rFonts w:eastAsia="SimSun"/>
        </w:rPr>
        <w:t xml:space="preserve">final </w:t>
      </w:r>
      <w:r w:rsidR="00C8021D">
        <w:rPr>
          <w:rFonts w:eastAsia="SimSun"/>
        </w:rPr>
        <w:t xml:space="preserve">compliance filing </w:t>
      </w:r>
      <w:r w:rsidR="00A031E6">
        <w:rPr>
          <w:rFonts w:eastAsia="SimSun"/>
        </w:rPr>
        <w:t>are as follows</w:t>
      </w:r>
      <w:r w:rsidR="00C8021D">
        <w:rPr>
          <w:rFonts w:eastAsia="SimSun"/>
        </w:rPr>
        <w:t>:</w:t>
      </w:r>
      <w:r w:rsidR="00637DBB">
        <w:rPr>
          <w:rStyle w:val="FootnoteReference"/>
          <w:rFonts w:eastAsia="SimSun"/>
        </w:rPr>
        <w:footnoteReference w:id="3"/>
      </w:r>
    </w:p>
    <w:p w:rsidR="00C8021D" w:rsidRDefault="00C8021D" w:rsidP="00756AAC">
      <w:pPr>
        <w:pStyle w:val="answer"/>
        <w:widowControl w:val="0"/>
        <w:numPr>
          <w:ilvl w:val="1"/>
          <w:numId w:val="35"/>
        </w:numPr>
        <w:rPr>
          <w:rFonts w:eastAsia="SimSun"/>
        </w:rPr>
      </w:pPr>
      <w:r>
        <w:rPr>
          <w:rFonts w:eastAsia="SimSun"/>
        </w:rPr>
        <w:t>Electric Schedule 95 (</w:t>
      </w:r>
      <w:r w:rsidR="00637DBB">
        <w:rPr>
          <w:rFonts w:eastAsia="SimSun"/>
        </w:rPr>
        <w:t>Power Cost Adjustment Clause)</w:t>
      </w:r>
    </w:p>
    <w:p w:rsidR="00637DBB" w:rsidRDefault="00637DBB" w:rsidP="00756AAC">
      <w:pPr>
        <w:pStyle w:val="answer"/>
        <w:widowControl w:val="0"/>
        <w:numPr>
          <w:ilvl w:val="1"/>
          <w:numId w:val="35"/>
        </w:numPr>
        <w:rPr>
          <w:rFonts w:eastAsia="SimSun"/>
        </w:rPr>
      </w:pPr>
      <w:r>
        <w:rPr>
          <w:rFonts w:eastAsia="SimSun"/>
        </w:rPr>
        <w:t>Electric Schedule 141 (Expedited Rate Filing Rate Adjustment)</w:t>
      </w:r>
    </w:p>
    <w:p w:rsidR="00637DBB" w:rsidRDefault="00637DBB" w:rsidP="00756AAC">
      <w:pPr>
        <w:pStyle w:val="answer"/>
        <w:widowControl w:val="0"/>
        <w:numPr>
          <w:ilvl w:val="1"/>
          <w:numId w:val="35"/>
        </w:numPr>
        <w:rPr>
          <w:rFonts w:eastAsia="SimSun"/>
        </w:rPr>
      </w:pPr>
      <w:r>
        <w:rPr>
          <w:rFonts w:eastAsia="SimSun"/>
        </w:rPr>
        <w:t>Electric Schedule 142 (Revenue Decoupling Adjustment Mechanism)</w:t>
      </w:r>
    </w:p>
    <w:p w:rsidR="00637DBB" w:rsidRDefault="00637DBB" w:rsidP="00756AAC">
      <w:pPr>
        <w:pStyle w:val="answer"/>
        <w:widowControl w:val="0"/>
        <w:numPr>
          <w:ilvl w:val="1"/>
          <w:numId w:val="35"/>
        </w:numPr>
        <w:rPr>
          <w:rFonts w:eastAsia="SimSun"/>
        </w:rPr>
      </w:pPr>
      <w:r>
        <w:rPr>
          <w:rFonts w:eastAsia="SimSun"/>
        </w:rPr>
        <w:t>Electric Schedule 149 (Electric Cost Recovery Mechanism)</w:t>
      </w:r>
    </w:p>
    <w:p w:rsidR="00637DBB" w:rsidRDefault="00637DBB" w:rsidP="00756AAC">
      <w:pPr>
        <w:pStyle w:val="answer"/>
        <w:widowControl w:val="0"/>
        <w:numPr>
          <w:ilvl w:val="1"/>
          <w:numId w:val="35"/>
        </w:numPr>
        <w:rPr>
          <w:rFonts w:eastAsia="SimSun"/>
        </w:rPr>
      </w:pPr>
      <w:r>
        <w:rPr>
          <w:rFonts w:eastAsia="SimSun"/>
        </w:rPr>
        <w:t>Gas Schedule 141 (Expedited Rate Filing Rate Adjustment)</w:t>
      </w:r>
    </w:p>
    <w:p w:rsidR="00637DBB" w:rsidRDefault="00637DBB" w:rsidP="00756AAC">
      <w:pPr>
        <w:pStyle w:val="answer"/>
        <w:widowControl w:val="0"/>
        <w:numPr>
          <w:ilvl w:val="1"/>
          <w:numId w:val="35"/>
        </w:numPr>
        <w:rPr>
          <w:rFonts w:eastAsia="SimSun"/>
        </w:rPr>
      </w:pPr>
      <w:r>
        <w:rPr>
          <w:rFonts w:eastAsia="SimSun"/>
        </w:rPr>
        <w:t>Gas Schedule 142 (Revenue Decoupling Adjustment Mechanism)</w:t>
      </w:r>
    </w:p>
    <w:p w:rsidR="00637DBB" w:rsidRDefault="00637DBB" w:rsidP="00756AAC">
      <w:pPr>
        <w:pStyle w:val="answer"/>
        <w:widowControl w:val="0"/>
        <w:numPr>
          <w:ilvl w:val="1"/>
          <w:numId w:val="35"/>
        </w:numPr>
        <w:rPr>
          <w:rFonts w:eastAsia="SimSun"/>
        </w:rPr>
      </w:pPr>
      <w:r>
        <w:rPr>
          <w:rFonts w:eastAsia="SimSun"/>
        </w:rPr>
        <w:t>Gas Schedule 149 (Cost Recovery Mechanism for Pipeline Replacement)</w:t>
      </w:r>
    </w:p>
    <w:p w:rsidR="00637DBB" w:rsidRDefault="00637DBB" w:rsidP="00756AAC">
      <w:pPr>
        <w:pStyle w:val="answer"/>
        <w:widowControl w:val="0"/>
        <w:numPr>
          <w:ilvl w:val="0"/>
          <w:numId w:val="35"/>
        </w:numPr>
        <w:rPr>
          <w:rFonts w:eastAsia="SimSun"/>
        </w:rPr>
      </w:pPr>
      <w:r>
        <w:rPr>
          <w:rFonts w:eastAsia="SimSun"/>
        </w:rPr>
        <w:lastRenderedPageBreak/>
        <w:t>The net impact on PSE’s electric customer rates associated with these rate updates, plus the proposed changes to base rates, is an overall increase of 4.1</w:t>
      </w:r>
      <w:r w:rsidR="00D1284F">
        <w:rPr>
          <w:rFonts w:eastAsia="SimSun"/>
        </w:rPr>
        <w:t xml:space="preserve"> percent</w:t>
      </w:r>
      <w:r>
        <w:rPr>
          <w:rFonts w:eastAsia="SimSun"/>
        </w:rPr>
        <w:t xml:space="preserve"> for </w:t>
      </w:r>
      <w:r w:rsidR="00877BC0">
        <w:rPr>
          <w:rFonts w:eastAsia="SimSun"/>
        </w:rPr>
        <w:t>state-</w:t>
      </w:r>
      <w:r>
        <w:rPr>
          <w:rFonts w:eastAsia="SimSun"/>
        </w:rPr>
        <w:t>jurisdictional customers, or approximately $86.</w:t>
      </w:r>
      <w:r w:rsidR="003D094A">
        <w:rPr>
          <w:rFonts w:eastAsia="SimSun"/>
        </w:rPr>
        <w:t>7</w:t>
      </w:r>
      <w:r>
        <w:rPr>
          <w:rFonts w:eastAsia="SimSun"/>
        </w:rPr>
        <w:t xml:space="preserve"> million.</w:t>
      </w:r>
      <w:r w:rsidR="00D8483D">
        <w:rPr>
          <w:rFonts w:eastAsia="SimSun"/>
        </w:rPr>
        <w:t xml:space="preserve">  The impact on the monthly bill of PSE’s typical residential electric customer using 900 kWh is</w:t>
      </w:r>
      <w:r w:rsidR="00552EF6">
        <w:rPr>
          <w:rFonts w:eastAsia="SimSun"/>
        </w:rPr>
        <w:t xml:space="preserve"> an increase of</w:t>
      </w:r>
      <w:r w:rsidR="00D8483D">
        <w:rPr>
          <w:rFonts w:eastAsia="SimSun"/>
        </w:rPr>
        <w:t xml:space="preserve"> </w:t>
      </w:r>
      <w:r w:rsidR="00552EF6">
        <w:rPr>
          <w:rFonts w:eastAsia="SimSun"/>
        </w:rPr>
        <w:t>$</w:t>
      </w:r>
      <w:r w:rsidR="003D094A">
        <w:rPr>
          <w:rFonts w:eastAsia="SimSun"/>
        </w:rPr>
        <w:t>3.73</w:t>
      </w:r>
      <w:r w:rsidR="00552EF6">
        <w:rPr>
          <w:rFonts w:eastAsia="SimSun"/>
        </w:rPr>
        <w:t xml:space="preserve">, or </w:t>
      </w:r>
      <w:r w:rsidR="003D094A">
        <w:rPr>
          <w:rFonts w:eastAsia="SimSun"/>
        </w:rPr>
        <w:t>3.9</w:t>
      </w:r>
      <w:r w:rsidR="00D1284F">
        <w:rPr>
          <w:rFonts w:eastAsia="SimSun"/>
        </w:rPr>
        <w:t xml:space="preserve"> percent</w:t>
      </w:r>
      <w:r w:rsidR="00552EF6">
        <w:rPr>
          <w:rFonts w:eastAsia="SimSun"/>
        </w:rPr>
        <w:t xml:space="preserve"> over current levels.</w:t>
      </w:r>
    </w:p>
    <w:p w:rsidR="005D1EA0" w:rsidRDefault="005D1EA0" w:rsidP="005D1EA0">
      <w:pPr>
        <w:pStyle w:val="answer"/>
        <w:widowControl w:val="0"/>
        <w:numPr>
          <w:ilvl w:val="0"/>
          <w:numId w:val="35"/>
        </w:numPr>
        <w:rPr>
          <w:rFonts w:eastAsia="SimSun"/>
        </w:rPr>
      </w:pPr>
      <w:r>
        <w:rPr>
          <w:rFonts w:eastAsia="SimSun"/>
        </w:rPr>
        <w:t>Including the overall impacts by customer class of the proposed changes to base rates, Schedule 95 (Power Cost Adjustment Clause), Schedule 141 (Expedited Rate Filing Rate Adjustment), Schedule 142 (Revenue Decoupling Adjustment Mechanism) and proposed Schedule 149 (Electric Cost Recovery Mechanism) are shown below.</w:t>
      </w:r>
      <w:r w:rsidRPr="0030575E">
        <w:rPr>
          <w:rFonts w:eastAsia="SimSun"/>
        </w:rPr>
        <w:t xml:space="preserve"> </w:t>
      </w:r>
    </w:p>
    <w:p w:rsidR="00040032" w:rsidRPr="00801927" w:rsidRDefault="00040032" w:rsidP="00040032">
      <w:pPr>
        <w:pStyle w:val="Caption"/>
        <w:keepNext/>
        <w:ind w:left="1440"/>
        <w:rPr>
          <w:sz w:val="24"/>
          <w:szCs w:val="24"/>
        </w:rPr>
      </w:pPr>
      <w:r w:rsidRPr="00801927">
        <w:rPr>
          <w:sz w:val="24"/>
          <w:szCs w:val="24"/>
        </w:rPr>
        <w:t xml:space="preserve">Table </w:t>
      </w:r>
      <w:r w:rsidRPr="00801927">
        <w:rPr>
          <w:sz w:val="24"/>
          <w:szCs w:val="24"/>
        </w:rPr>
        <w:fldChar w:fldCharType="begin"/>
      </w:r>
      <w:r w:rsidRPr="00801927">
        <w:rPr>
          <w:sz w:val="24"/>
          <w:szCs w:val="24"/>
        </w:rPr>
        <w:instrText xml:space="preserve"> SEQ Table \* ARABIC </w:instrText>
      </w:r>
      <w:r w:rsidRPr="00801927">
        <w:rPr>
          <w:sz w:val="24"/>
          <w:szCs w:val="24"/>
        </w:rPr>
        <w:fldChar w:fldCharType="separate"/>
      </w:r>
      <w:r w:rsidR="0035666C">
        <w:rPr>
          <w:noProof/>
          <w:sz w:val="24"/>
          <w:szCs w:val="24"/>
        </w:rPr>
        <w:t>3</w:t>
      </w:r>
      <w:r w:rsidRPr="00801927">
        <w:rPr>
          <w:sz w:val="24"/>
          <w:szCs w:val="24"/>
        </w:rPr>
        <w:fldChar w:fldCharType="end"/>
      </w:r>
      <w:r w:rsidRPr="00801927">
        <w:rPr>
          <w:sz w:val="24"/>
          <w:szCs w:val="24"/>
        </w:rPr>
        <w:t xml:space="preserve"> - Estimated Overall Impacts of Proposed Electric Rates</w:t>
      </w:r>
    </w:p>
    <w:tbl>
      <w:tblPr>
        <w:tblpPr w:leftFromText="180" w:rightFromText="180" w:vertAnchor="text" w:horzAnchor="margin" w:tblpXSpec="center" w:tblpY="314"/>
        <w:tblW w:w="7038" w:type="dxa"/>
        <w:tblLayout w:type="fixed"/>
        <w:tblLook w:val="0000" w:firstRow="0" w:lastRow="0" w:firstColumn="0" w:lastColumn="0" w:noHBand="0" w:noVBand="0"/>
      </w:tblPr>
      <w:tblGrid>
        <w:gridCol w:w="4230"/>
        <w:gridCol w:w="1440"/>
        <w:gridCol w:w="1368"/>
      </w:tblGrid>
      <w:tr w:rsidR="00040032" w:rsidRPr="009075DC" w:rsidTr="005D391D">
        <w:trPr>
          <w:cantSplit/>
          <w:trHeight w:val="769"/>
        </w:trPr>
        <w:tc>
          <w:tcPr>
            <w:tcW w:w="4230" w:type="dxa"/>
            <w:tcBorders>
              <w:top w:val="single" w:sz="4" w:space="0" w:color="auto"/>
              <w:bottom w:val="single" w:sz="4" w:space="0" w:color="auto"/>
            </w:tcBorders>
            <w:vAlign w:val="center"/>
          </w:tcPr>
          <w:p w:rsidR="00040032" w:rsidRPr="009075DC" w:rsidRDefault="00040032" w:rsidP="005D391D">
            <w:pPr>
              <w:widowControl w:val="0"/>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1440" w:type="dxa"/>
            <w:tcBorders>
              <w:top w:val="single" w:sz="4" w:space="0" w:color="auto"/>
              <w:bottom w:val="single" w:sz="4" w:space="0" w:color="auto"/>
            </w:tcBorders>
            <w:vAlign w:val="center"/>
          </w:tcPr>
          <w:p w:rsidR="00040032" w:rsidRPr="009075DC" w:rsidRDefault="00040032" w:rsidP="005D391D">
            <w:pPr>
              <w:widowControl w:val="0"/>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368" w:type="dxa"/>
            <w:tcBorders>
              <w:top w:val="single" w:sz="4" w:space="0" w:color="auto"/>
              <w:bottom w:val="single" w:sz="4" w:space="0" w:color="auto"/>
            </w:tcBorders>
            <w:vAlign w:val="center"/>
          </w:tcPr>
          <w:p w:rsidR="00040032" w:rsidRPr="009075DC" w:rsidRDefault="00040032" w:rsidP="005D391D">
            <w:pPr>
              <w:widowControl w:val="0"/>
              <w:spacing w:beforeLines="20" w:before="48" w:afterLines="20" w:after="48" w:line="240" w:lineRule="auto"/>
              <w:ind w:firstLine="0"/>
              <w:jc w:val="center"/>
              <w:rPr>
                <w:rFonts w:eastAsia="SimSun"/>
                <w:b/>
                <w:bCs/>
                <w:szCs w:val="24"/>
              </w:rPr>
            </w:pPr>
            <w:r>
              <w:rPr>
                <w:rFonts w:eastAsia="SimSun"/>
                <w:b/>
                <w:bCs/>
                <w:szCs w:val="24"/>
              </w:rPr>
              <w:t>Overall Impact*</w:t>
            </w:r>
          </w:p>
        </w:tc>
      </w:tr>
      <w:tr w:rsidR="00040032" w:rsidRPr="00DB6710" w:rsidTr="005D391D">
        <w:trPr>
          <w:cantSplit/>
          <w:trHeight w:val="324"/>
        </w:trPr>
        <w:tc>
          <w:tcPr>
            <w:tcW w:w="4230" w:type="dxa"/>
            <w:tcBorders>
              <w:top w:val="single" w:sz="4" w:space="0" w:color="auto"/>
            </w:tcBorders>
          </w:tcPr>
          <w:p w:rsidR="00040032" w:rsidRPr="009075DC" w:rsidRDefault="00040032" w:rsidP="005D391D">
            <w:pPr>
              <w:widowControl w:val="0"/>
              <w:spacing w:beforeLines="20" w:before="48" w:afterLines="20" w:after="48" w:line="240" w:lineRule="auto"/>
              <w:ind w:firstLine="0"/>
              <w:rPr>
                <w:rFonts w:eastAsia="SimSun"/>
                <w:szCs w:val="24"/>
              </w:rPr>
            </w:pPr>
            <w:r w:rsidRPr="009075DC">
              <w:rPr>
                <w:rFonts w:eastAsia="SimSun"/>
                <w:szCs w:val="24"/>
              </w:rPr>
              <w:t>Residential</w:t>
            </w:r>
          </w:p>
        </w:tc>
        <w:tc>
          <w:tcPr>
            <w:tcW w:w="1440" w:type="dxa"/>
            <w:tcBorders>
              <w:top w:val="single" w:sz="4" w:space="0" w:color="auto"/>
            </w:tcBorders>
          </w:tcPr>
          <w:p w:rsidR="00040032" w:rsidRPr="009075DC" w:rsidRDefault="00040032" w:rsidP="005D391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7</w:t>
            </w:r>
          </w:p>
        </w:tc>
        <w:tc>
          <w:tcPr>
            <w:tcW w:w="1368" w:type="dxa"/>
            <w:tcBorders>
              <w:top w:val="single" w:sz="4" w:space="0" w:color="auto"/>
            </w:tcBorders>
          </w:tcPr>
          <w:p w:rsidR="00040032" w:rsidRPr="00DB6710" w:rsidRDefault="00040032" w:rsidP="005D391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4.0</w:t>
            </w:r>
            <w:r w:rsidRPr="00DB6710">
              <w:rPr>
                <w:rFonts w:eastAsia="SimSun"/>
                <w:szCs w:val="24"/>
              </w:rPr>
              <w:t xml:space="preserve"> %</w:t>
            </w:r>
          </w:p>
        </w:tc>
      </w:tr>
      <w:tr w:rsidR="00040032" w:rsidRPr="00DB6710" w:rsidTr="005D391D">
        <w:trPr>
          <w:cantSplit/>
          <w:trHeight w:val="312"/>
        </w:trPr>
        <w:tc>
          <w:tcPr>
            <w:tcW w:w="4230" w:type="dxa"/>
          </w:tcPr>
          <w:p w:rsidR="00040032" w:rsidRPr="009075DC" w:rsidRDefault="00040032" w:rsidP="005D391D">
            <w:pPr>
              <w:widowControl w:val="0"/>
              <w:spacing w:beforeLines="20" w:before="48" w:afterLines="20" w:after="48" w:line="240" w:lineRule="auto"/>
              <w:ind w:firstLine="0"/>
              <w:rPr>
                <w:rFonts w:eastAsia="SimSun"/>
                <w:szCs w:val="24"/>
              </w:rPr>
            </w:pPr>
            <w:r w:rsidRPr="009075DC">
              <w:rPr>
                <w:rFonts w:eastAsia="SimSun"/>
                <w:szCs w:val="24"/>
              </w:rPr>
              <w:t>General Service, &lt; 51 kW</w:t>
            </w:r>
          </w:p>
        </w:tc>
        <w:tc>
          <w:tcPr>
            <w:tcW w:w="1440" w:type="dxa"/>
          </w:tcPr>
          <w:p w:rsidR="00040032" w:rsidRPr="009075DC" w:rsidRDefault="00040032" w:rsidP="005D391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8/</w:t>
            </w:r>
            <w:r w:rsidRPr="009075DC">
              <w:rPr>
                <w:rFonts w:eastAsia="SimSun"/>
                <w:szCs w:val="24"/>
              </w:rPr>
              <w:t>24</w:t>
            </w:r>
          </w:p>
        </w:tc>
        <w:tc>
          <w:tcPr>
            <w:tcW w:w="1368" w:type="dxa"/>
          </w:tcPr>
          <w:p w:rsidR="00040032" w:rsidRPr="00DB6710" w:rsidRDefault="00040032" w:rsidP="005D391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2.8</w:t>
            </w:r>
            <w:r w:rsidRPr="00DB6710">
              <w:rPr>
                <w:rFonts w:eastAsia="SimSun"/>
                <w:szCs w:val="24"/>
              </w:rPr>
              <w:t xml:space="preserve"> %</w:t>
            </w:r>
          </w:p>
        </w:tc>
      </w:tr>
      <w:tr w:rsidR="00040032" w:rsidRPr="00DB6710" w:rsidTr="005D391D">
        <w:trPr>
          <w:cantSplit/>
          <w:trHeight w:val="337"/>
        </w:trPr>
        <w:tc>
          <w:tcPr>
            <w:tcW w:w="4230" w:type="dxa"/>
          </w:tcPr>
          <w:p w:rsidR="00040032" w:rsidRPr="009075DC" w:rsidRDefault="00040032" w:rsidP="005D391D">
            <w:pPr>
              <w:widowControl w:val="0"/>
              <w:spacing w:beforeLines="20" w:before="48" w:afterLines="20" w:after="48" w:line="240" w:lineRule="auto"/>
              <w:ind w:firstLine="0"/>
              <w:rPr>
                <w:rFonts w:eastAsia="SimSun"/>
                <w:szCs w:val="24"/>
              </w:rPr>
            </w:pPr>
            <w:r w:rsidRPr="009075DC">
              <w:rPr>
                <w:rFonts w:eastAsia="SimSun"/>
                <w:szCs w:val="24"/>
              </w:rPr>
              <w:t>General Service, 51 - 350 kW</w:t>
            </w:r>
          </w:p>
        </w:tc>
        <w:tc>
          <w:tcPr>
            <w:tcW w:w="1440" w:type="dxa"/>
          </w:tcPr>
          <w:p w:rsidR="00040032" w:rsidRPr="009075DC" w:rsidRDefault="00040032" w:rsidP="005D391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11/</w:t>
            </w:r>
            <w:r w:rsidRPr="009075DC">
              <w:rPr>
                <w:rFonts w:eastAsia="SimSun"/>
                <w:szCs w:val="24"/>
              </w:rPr>
              <w:t>25</w:t>
            </w:r>
            <w:r>
              <w:rPr>
                <w:rFonts w:eastAsia="SimSun"/>
                <w:szCs w:val="24"/>
              </w:rPr>
              <w:t>/29</w:t>
            </w:r>
          </w:p>
        </w:tc>
        <w:tc>
          <w:tcPr>
            <w:tcW w:w="1368" w:type="dxa"/>
          </w:tcPr>
          <w:p w:rsidR="00040032" w:rsidRPr="00DB6710" w:rsidRDefault="00040032" w:rsidP="005D391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4.8</w:t>
            </w:r>
            <w:r w:rsidRPr="00DB6710">
              <w:rPr>
                <w:rFonts w:eastAsia="SimSun"/>
                <w:szCs w:val="24"/>
              </w:rPr>
              <w:t xml:space="preserve"> %</w:t>
            </w:r>
          </w:p>
        </w:tc>
      </w:tr>
      <w:tr w:rsidR="00040032" w:rsidRPr="00DB6710" w:rsidTr="005D391D">
        <w:trPr>
          <w:cantSplit/>
          <w:trHeight w:val="312"/>
        </w:trPr>
        <w:tc>
          <w:tcPr>
            <w:tcW w:w="4230" w:type="dxa"/>
          </w:tcPr>
          <w:p w:rsidR="00040032" w:rsidRPr="009075DC" w:rsidRDefault="00040032" w:rsidP="005D391D">
            <w:pPr>
              <w:widowControl w:val="0"/>
              <w:spacing w:beforeLines="20" w:before="48" w:afterLines="20" w:after="48" w:line="240" w:lineRule="auto"/>
              <w:ind w:firstLine="0"/>
              <w:rPr>
                <w:rFonts w:eastAsia="SimSun"/>
                <w:szCs w:val="24"/>
              </w:rPr>
            </w:pPr>
            <w:r w:rsidRPr="009075DC">
              <w:rPr>
                <w:rFonts w:eastAsia="SimSun"/>
                <w:szCs w:val="24"/>
              </w:rPr>
              <w:t>General Service, &gt;350 kW</w:t>
            </w:r>
          </w:p>
        </w:tc>
        <w:tc>
          <w:tcPr>
            <w:tcW w:w="1440" w:type="dxa"/>
          </w:tcPr>
          <w:p w:rsidR="00040032" w:rsidRPr="009075DC" w:rsidRDefault="00040032" w:rsidP="005D391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12/</w:t>
            </w:r>
            <w:r w:rsidRPr="009075DC">
              <w:rPr>
                <w:rFonts w:eastAsia="SimSun"/>
                <w:szCs w:val="24"/>
              </w:rPr>
              <w:t>26</w:t>
            </w:r>
          </w:p>
        </w:tc>
        <w:tc>
          <w:tcPr>
            <w:tcW w:w="1368" w:type="dxa"/>
          </w:tcPr>
          <w:p w:rsidR="00040032" w:rsidRPr="00DB6710" w:rsidRDefault="00040032" w:rsidP="005D391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4.3</w:t>
            </w:r>
            <w:r w:rsidRPr="00DB6710">
              <w:rPr>
                <w:rFonts w:eastAsia="SimSun"/>
                <w:szCs w:val="24"/>
              </w:rPr>
              <w:t xml:space="preserve"> %</w:t>
            </w:r>
          </w:p>
        </w:tc>
      </w:tr>
      <w:tr w:rsidR="00040032" w:rsidRPr="00DB6710" w:rsidTr="005D391D">
        <w:trPr>
          <w:cantSplit/>
          <w:trHeight w:val="324"/>
        </w:trPr>
        <w:tc>
          <w:tcPr>
            <w:tcW w:w="4230" w:type="dxa"/>
          </w:tcPr>
          <w:p w:rsidR="00040032" w:rsidRPr="009075DC" w:rsidRDefault="00040032" w:rsidP="005D391D">
            <w:pPr>
              <w:widowControl w:val="0"/>
              <w:spacing w:beforeLines="20" w:before="48" w:afterLines="20" w:after="48" w:line="240" w:lineRule="auto"/>
              <w:ind w:firstLine="0"/>
              <w:rPr>
                <w:rFonts w:eastAsia="SimSun"/>
                <w:szCs w:val="24"/>
              </w:rPr>
            </w:pPr>
            <w:r w:rsidRPr="009075DC">
              <w:rPr>
                <w:rFonts w:eastAsia="SimSun"/>
                <w:szCs w:val="24"/>
              </w:rPr>
              <w:t>Primary Service</w:t>
            </w:r>
            <w:r>
              <w:rPr>
                <w:rFonts w:eastAsia="SimSun"/>
                <w:szCs w:val="24"/>
              </w:rPr>
              <w:t>, Gen &amp; Irr.</w:t>
            </w:r>
          </w:p>
        </w:tc>
        <w:tc>
          <w:tcPr>
            <w:tcW w:w="1440" w:type="dxa"/>
          </w:tcPr>
          <w:p w:rsidR="00040032" w:rsidRPr="009075DC" w:rsidRDefault="00040032" w:rsidP="005D391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10/</w:t>
            </w:r>
            <w:r w:rsidRPr="009075DC">
              <w:rPr>
                <w:rFonts w:eastAsia="SimSun"/>
                <w:szCs w:val="24"/>
              </w:rPr>
              <w:t>31/35</w:t>
            </w:r>
          </w:p>
        </w:tc>
        <w:tc>
          <w:tcPr>
            <w:tcW w:w="1368" w:type="dxa"/>
          </w:tcPr>
          <w:p w:rsidR="00040032" w:rsidRPr="00DB6710" w:rsidRDefault="00040032" w:rsidP="005D391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4.2</w:t>
            </w:r>
            <w:r w:rsidRPr="00DB6710">
              <w:rPr>
                <w:rFonts w:eastAsia="SimSun"/>
                <w:szCs w:val="24"/>
              </w:rPr>
              <w:t xml:space="preserve"> %</w:t>
            </w:r>
          </w:p>
        </w:tc>
      </w:tr>
      <w:tr w:rsidR="00040032" w:rsidTr="005D391D">
        <w:trPr>
          <w:cantSplit/>
          <w:trHeight w:val="324"/>
        </w:trPr>
        <w:tc>
          <w:tcPr>
            <w:tcW w:w="4230" w:type="dxa"/>
          </w:tcPr>
          <w:p w:rsidR="00040032" w:rsidRPr="009075DC" w:rsidRDefault="00040032" w:rsidP="005D391D">
            <w:pPr>
              <w:widowControl w:val="0"/>
              <w:spacing w:beforeLines="20" w:before="48" w:afterLines="20" w:after="48" w:line="240" w:lineRule="auto"/>
              <w:ind w:firstLine="0"/>
              <w:rPr>
                <w:rFonts w:eastAsia="SimSun"/>
                <w:szCs w:val="24"/>
              </w:rPr>
            </w:pPr>
            <w:r>
              <w:rPr>
                <w:rFonts w:eastAsia="SimSun"/>
                <w:szCs w:val="24"/>
              </w:rPr>
              <w:t>Primary Service, Schools</w:t>
            </w:r>
          </w:p>
        </w:tc>
        <w:tc>
          <w:tcPr>
            <w:tcW w:w="1440" w:type="dxa"/>
          </w:tcPr>
          <w:p w:rsidR="00040032" w:rsidRPr="009075DC" w:rsidRDefault="00040032" w:rsidP="005D391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43</w:t>
            </w:r>
          </w:p>
        </w:tc>
        <w:tc>
          <w:tcPr>
            <w:tcW w:w="1368" w:type="dxa"/>
          </w:tcPr>
          <w:p w:rsidR="00040032" w:rsidRDefault="00040032" w:rsidP="005D391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6.7 %</w:t>
            </w:r>
          </w:p>
        </w:tc>
      </w:tr>
      <w:tr w:rsidR="00040032" w:rsidRPr="00DB6710" w:rsidTr="005D391D">
        <w:trPr>
          <w:cantSplit/>
          <w:trHeight w:val="324"/>
        </w:trPr>
        <w:tc>
          <w:tcPr>
            <w:tcW w:w="4230" w:type="dxa"/>
          </w:tcPr>
          <w:p w:rsidR="00040032" w:rsidRPr="009075DC" w:rsidRDefault="00040032" w:rsidP="005D391D">
            <w:pPr>
              <w:widowControl w:val="0"/>
              <w:spacing w:beforeLines="20" w:before="48" w:afterLines="20" w:after="48" w:line="240" w:lineRule="auto"/>
              <w:ind w:firstLine="0"/>
              <w:rPr>
                <w:rFonts w:eastAsia="SimSun"/>
                <w:szCs w:val="24"/>
              </w:rPr>
            </w:pPr>
            <w:r w:rsidRPr="009075DC">
              <w:rPr>
                <w:rFonts w:eastAsia="SimSun"/>
                <w:szCs w:val="24"/>
              </w:rPr>
              <w:t>Campus Rate</w:t>
            </w:r>
          </w:p>
        </w:tc>
        <w:tc>
          <w:tcPr>
            <w:tcW w:w="1440" w:type="dxa"/>
          </w:tcPr>
          <w:p w:rsidR="00040032" w:rsidRPr="009075DC" w:rsidRDefault="00040032" w:rsidP="005D391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40</w:t>
            </w:r>
          </w:p>
        </w:tc>
        <w:tc>
          <w:tcPr>
            <w:tcW w:w="1368" w:type="dxa"/>
          </w:tcPr>
          <w:p w:rsidR="00040032" w:rsidRPr="00DB6710" w:rsidRDefault="00040032" w:rsidP="005D391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12.1</w:t>
            </w:r>
            <w:r w:rsidRPr="00DB6710">
              <w:rPr>
                <w:rFonts w:eastAsia="SimSun"/>
                <w:szCs w:val="24"/>
              </w:rPr>
              <w:t xml:space="preserve"> %</w:t>
            </w:r>
          </w:p>
        </w:tc>
      </w:tr>
      <w:tr w:rsidR="00040032" w:rsidRPr="00DB6710" w:rsidTr="005D391D">
        <w:trPr>
          <w:cantSplit/>
          <w:trHeight w:val="300"/>
        </w:trPr>
        <w:tc>
          <w:tcPr>
            <w:tcW w:w="4230" w:type="dxa"/>
          </w:tcPr>
          <w:p w:rsidR="00040032" w:rsidRPr="009075DC" w:rsidRDefault="00040032" w:rsidP="005D391D">
            <w:pPr>
              <w:widowControl w:val="0"/>
              <w:spacing w:beforeLines="20" w:before="48" w:afterLines="20" w:after="48" w:line="240" w:lineRule="auto"/>
              <w:ind w:firstLine="0"/>
              <w:rPr>
                <w:rFonts w:eastAsia="SimSun"/>
                <w:szCs w:val="24"/>
              </w:rPr>
            </w:pPr>
            <w:r w:rsidRPr="009075DC">
              <w:rPr>
                <w:rFonts w:eastAsia="SimSun"/>
                <w:szCs w:val="24"/>
              </w:rPr>
              <w:t xml:space="preserve">High Voltage </w:t>
            </w:r>
          </w:p>
        </w:tc>
        <w:tc>
          <w:tcPr>
            <w:tcW w:w="1440" w:type="dxa"/>
          </w:tcPr>
          <w:p w:rsidR="00040032" w:rsidRPr="009075DC" w:rsidRDefault="00040032" w:rsidP="005D391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46/49</w:t>
            </w:r>
          </w:p>
        </w:tc>
        <w:tc>
          <w:tcPr>
            <w:tcW w:w="1368" w:type="dxa"/>
          </w:tcPr>
          <w:p w:rsidR="00040032" w:rsidRPr="00DB6710" w:rsidRDefault="00040032" w:rsidP="005D391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4.6</w:t>
            </w:r>
            <w:r w:rsidRPr="00DB6710">
              <w:rPr>
                <w:rFonts w:eastAsia="SimSun"/>
                <w:szCs w:val="24"/>
              </w:rPr>
              <w:t xml:space="preserve"> %</w:t>
            </w:r>
          </w:p>
        </w:tc>
      </w:tr>
      <w:tr w:rsidR="00040032" w:rsidRPr="00DB6710" w:rsidTr="005D391D">
        <w:trPr>
          <w:cantSplit/>
          <w:trHeight w:val="324"/>
        </w:trPr>
        <w:tc>
          <w:tcPr>
            <w:tcW w:w="4230" w:type="dxa"/>
          </w:tcPr>
          <w:p w:rsidR="00040032" w:rsidRPr="009075DC" w:rsidRDefault="00040032" w:rsidP="005D391D">
            <w:pPr>
              <w:widowControl w:val="0"/>
              <w:spacing w:beforeLines="20" w:before="48" w:afterLines="20" w:after="48" w:line="240" w:lineRule="auto"/>
              <w:ind w:firstLine="0"/>
              <w:rPr>
                <w:rFonts w:eastAsia="SimSun"/>
                <w:szCs w:val="24"/>
              </w:rPr>
            </w:pPr>
            <w:r w:rsidRPr="009075DC">
              <w:rPr>
                <w:rFonts w:eastAsia="SimSun"/>
                <w:szCs w:val="24"/>
              </w:rPr>
              <w:t>Lighting Service</w:t>
            </w:r>
          </w:p>
        </w:tc>
        <w:tc>
          <w:tcPr>
            <w:tcW w:w="1440" w:type="dxa"/>
          </w:tcPr>
          <w:p w:rsidR="00040032" w:rsidRPr="009075DC" w:rsidRDefault="00040032" w:rsidP="005D391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5</w:t>
            </w:r>
            <w:r>
              <w:rPr>
                <w:rFonts w:eastAsia="SimSun"/>
                <w:szCs w:val="24"/>
              </w:rPr>
              <w:t>0</w:t>
            </w:r>
            <w:r w:rsidRPr="009075DC">
              <w:rPr>
                <w:rFonts w:eastAsia="SimSun"/>
                <w:szCs w:val="24"/>
              </w:rPr>
              <w:t xml:space="preserve"> - 59</w:t>
            </w:r>
          </w:p>
        </w:tc>
        <w:tc>
          <w:tcPr>
            <w:tcW w:w="1368" w:type="dxa"/>
          </w:tcPr>
          <w:p w:rsidR="00040032" w:rsidRPr="00DB6710" w:rsidRDefault="00040032" w:rsidP="005D391D">
            <w:pPr>
              <w:widowControl w:val="0"/>
              <w:tabs>
                <w:tab w:val="decimal" w:pos="252"/>
              </w:tabs>
              <w:spacing w:beforeLines="20" w:before="48" w:afterLines="20" w:after="48" w:line="240" w:lineRule="auto"/>
              <w:ind w:firstLine="0"/>
              <w:jc w:val="center"/>
              <w:rPr>
                <w:rFonts w:eastAsia="SimSun"/>
              </w:rPr>
            </w:pPr>
            <w:r>
              <w:rPr>
                <w:rFonts w:eastAsia="SimSun"/>
                <w:szCs w:val="24"/>
              </w:rPr>
              <w:t>(3.4)</w:t>
            </w:r>
            <w:r w:rsidRPr="00DB6710">
              <w:rPr>
                <w:rFonts w:eastAsia="SimSun"/>
                <w:szCs w:val="24"/>
              </w:rPr>
              <w:t xml:space="preserve"> %</w:t>
            </w:r>
          </w:p>
        </w:tc>
      </w:tr>
      <w:tr w:rsidR="00040032" w:rsidRPr="00DB6710" w:rsidTr="005D391D">
        <w:trPr>
          <w:cantSplit/>
          <w:trHeight w:val="324"/>
        </w:trPr>
        <w:tc>
          <w:tcPr>
            <w:tcW w:w="4230" w:type="dxa"/>
            <w:tcBorders>
              <w:bottom w:val="single" w:sz="4" w:space="0" w:color="auto"/>
            </w:tcBorders>
          </w:tcPr>
          <w:p w:rsidR="00040032" w:rsidRPr="009075DC" w:rsidRDefault="00040032" w:rsidP="005D391D">
            <w:pPr>
              <w:widowControl w:val="0"/>
              <w:spacing w:beforeLines="20" w:before="48" w:afterLines="20" w:after="48" w:line="240" w:lineRule="auto"/>
              <w:ind w:firstLine="0"/>
              <w:rPr>
                <w:rFonts w:eastAsia="SimSun"/>
              </w:rPr>
            </w:pPr>
            <w:r w:rsidRPr="009075DC">
              <w:rPr>
                <w:rFonts w:eastAsia="SimSun"/>
                <w:szCs w:val="24"/>
              </w:rPr>
              <w:t>Choice/Retail Wheeling</w:t>
            </w:r>
          </w:p>
        </w:tc>
        <w:tc>
          <w:tcPr>
            <w:tcW w:w="1440" w:type="dxa"/>
            <w:tcBorders>
              <w:bottom w:val="single" w:sz="4" w:space="0" w:color="auto"/>
            </w:tcBorders>
          </w:tcPr>
          <w:p w:rsidR="00040032" w:rsidRPr="009075DC" w:rsidRDefault="00040032" w:rsidP="005D391D">
            <w:pPr>
              <w:widowControl w:val="0"/>
              <w:tabs>
                <w:tab w:val="decimal" w:pos="342"/>
              </w:tabs>
              <w:spacing w:beforeLines="20" w:before="48" w:afterLines="20" w:after="48" w:line="240" w:lineRule="auto"/>
              <w:ind w:firstLine="0"/>
              <w:jc w:val="center"/>
              <w:rPr>
                <w:rFonts w:eastAsia="SimSun"/>
              </w:rPr>
            </w:pPr>
            <w:r w:rsidRPr="009075DC">
              <w:rPr>
                <w:rFonts w:eastAsia="SimSun"/>
                <w:szCs w:val="24"/>
              </w:rPr>
              <w:t>448/449</w:t>
            </w:r>
          </w:p>
        </w:tc>
        <w:tc>
          <w:tcPr>
            <w:tcW w:w="1368" w:type="dxa"/>
            <w:tcBorders>
              <w:bottom w:val="single" w:sz="4" w:space="0" w:color="auto"/>
            </w:tcBorders>
          </w:tcPr>
          <w:p w:rsidR="00040032" w:rsidRPr="00DB6710" w:rsidRDefault="00040032" w:rsidP="005D391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0.6</w:t>
            </w:r>
            <w:r w:rsidRPr="00DB6710">
              <w:rPr>
                <w:rFonts w:eastAsia="SimSun"/>
                <w:szCs w:val="24"/>
              </w:rPr>
              <w:t xml:space="preserve"> %</w:t>
            </w:r>
          </w:p>
        </w:tc>
      </w:tr>
      <w:tr w:rsidR="00040032" w:rsidRPr="00DB6710" w:rsidTr="005D391D">
        <w:trPr>
          <w:cantSplit/>
          <w:trHeight w:val="425"/>
        </w:trPr>
        <w:tc>
          <w:tcPr>
            <w:tcW w:w="4230" w:type="dxa"/>
            <w:tcBorders>
              <w:top w:val="single" w:sz="4" w:space="0" w:color="auto"/>
              <w:bottom w:val="single" w:sz="4" w:space="0" w:color="auto"/>
            </w:tcBorders>
          </w:tcPr>
          <w:p w:rsidR="00040032" w:rsidRPr="009075DC" w:rsidRDefault="00040032" w:rsidP="005D391D">
            <w:pPr>
              <w:widowControl w:val="0"/>
              <w:spacing w:beforeLines="20" w:before="48" w:afterLines="20" w:after="48" w:line="240" w:lineRule="auto"/>
              <w:ind w:firstLine="0"/>
              <w:jc w:val="center"/>
              <w:rPr>
                <w:rFonts w:eastAsia="SimSun"/>
                <w:b/>
                <w:szCs w:val="24"/>
              </w:rPr>
            </w:pPr>
            <w:r w:rsidRPr="009075DC">
              <w:rPr>
                <w:rFonts w:eastAsia="SimSun"/>
                <w:b/>
                <w:szCs w:val="24"/>
              </w:rPr>
              <w:t>Total Jurisdictional Retail Sales</w:t>
            </w:r>
          </w:p>
        </w:tc>
        <w:tc>
          <w:tcPr>
            <w:tcW w:w="1440" w:type="dxa"/>
            <w:tcBorders>
              <w:top w:val="single" w:sz="4" w:space="0" w:color="auto"/>
              <w:bottom w:val="single" w:sz="4" w:space="0" w:color="auto"/>
            </w:tcBorders>
          </w:tcPr>
          <w:p w:rsidR="00040032" w:rsidRPr="009075DC" w:rsidRDefault="00040032" w:rsidP="005D391D">
            <w:pPr>
              <w:widowControl w:val="0"/>
              <w:tabs>
                <w:tab w:val="decimal" w:pos="792"/>
              </w:tabs>
              <w:spacing w:beforeLines="20" w:before="48" w:afterLines="20" w:after="48" w:line="240" w:lineRule="auto"/>
              <w:ind w:firstLine="0"/>
              <w:rPr>
                <w:rFonts w:eastAsia="SimSun"/>
                <w:b/>
                <w:szCs w:val="24"/>
              </w:rPr>
            </w:pPr>
            <w:r w:rsidRPr="009075DC">
              <w:rPr>
                <w:rFonts w:eastAsia="SimSun"/>
                <w:b/>
                <w:szCs w:val="24"/>
              </w:rPr>
              <w:t>n/a</w:t>
            </w:r>
          </w:p>
        </w:tc>
        <w:tc>
          <w:tcPr>
            <w:tcW w:w="1368" w:type="dxa"/>
            <w:tcBorders>
              <w:top w:val="single" w:sz="4" w:space="0" w:color="auto"/>
              <w:bottom w:val="single" w:sz="4" w:space="0" w:color="auto"/>
            </w:tcBorders>
          </w:tcPr>
          <w:p w:rsidR="00040032" w:rsidRPr="00DB6710" w:rsidRDefault="00040032" w:rsidP="005D391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4.1</w:t>
            </w:r>
            <w:r w:rsidRPr="00DB6710">
              <w:rPr>
                <w:rFonts w:eastAsia="SimSun"/>
                <w:szCs w:val="24"/>
              </w:rPr>
              <w:t xml:space="preserve"> %</w:t>
            </w:r>
          </w:p>
        </w:tc>
      </w:tr>
      <w:tr w:rsidR="00040032" w:rsidRPr="001A4255" w:rsidTr="005D391D">
        <w:trPr>
          <w:cantSplit/>
          <w:trHeight w:val="425"/>
        </w:trPr>
        <w:tc>
          <w:tcPr>
            <w:tcW w:w="7038" w:type="dxa"/>
            <w:gridSpan w:val="3"/>
            <w:tcBorders>
              <w:top w:val="single" w:sz="4" w:space="0" w:color="auto"/>
            </w:tcBorders>
          </w:tcPr>
          <w:p w:rsidR="00040032" w:rsidRPr="001A4255" w:rsidRDefault="00040032" w:rsidP="005D391D">
            <w:pPr>
              <w:widowControl w:val="0"/>
              <w:tabs>
                <w:tab w:val="decimal" w:pos="252"/>
              </w:tabs>
              <w:spacing w:beforeLines="20" w:before="48" w:afterLines="20" w:after="48" w:line="240" w:lineRule="auto"/>
              <w:ind w:firstLine="0"/>
              <w:rPr>
                <w:rFonts w:eastAsia="SimSun"/>
                <w:sz w:val="20"/>
              </w:rPr>
            </w:pPr>
            <w:r w:rsidRPr="001A4255">
              <w:rPr>
                <w:rFonts w:eastAsia="SimSun"/>
                <w:sz w:val="20"/>
              </w:rPr>
              <w:t>* Includes base rates, as well as Schedules 95, 141, 142 and 149.</w:t>
            </w:r>
          </w:p>
        </w:tc>
      </w:tr>
    </w:tbl>
    <w:p w:rsidR="005D1EA0" w:rsidRDefault="005D1EA0" w:rsidP="00040032">
      <w:pPr>
        <w:pStyle w:val="answer"/>
        <w:widowControl w:val="0"/>
        <w:ind w:left="1440" w:firstLine="0"/>
        <w:rPr>
          <w:rFonts w:eastAsia="SimSun"/>
        </w:rPr>
      </w:pPr>
    </w:p>
    <w:p w:rsidR="00863A3D" w:rsidRDefault="00637DBB" w:rsidP="00756AAC">
      <w:pPr>
        <w:pStyle w:val="answer"/>
        <w:widowControl w:val="0"/>
        <w:numPr>
          <w:ilvl w:val="0"/>
          <w:numId w:val="35"/>
        </w:numPr>
        <w:rPr>
          <w:rFonts w:eastAsia="SimSun"/>
        </w:rPr>
      </w:pPr>
      <w:r w:rsidRPr="00637DBB">
        <w:rPr>
          <w:rFonts w:eastAsia="SimSun"/>
        </w:rPr>
        <w:lastRenderedPageBreak/>
        <w:t xml:space="preserve">The net impact on PSE’s gas customer rates associated with these rate updates, plus the proposed changes to base margin rates, is an overall </w:t>
      </w:r>
      <w:r w:rsidR="00926838">
        <w:rPr>
          <w:rFonts w:eastAsia="SimSun"/>
        </w:rPr>
        <w:t>de</w:t>
      </w:r>
      <w:r w:rsidRPr="00637DBB">
        <w:rPr>
          <w:rFonts w:eastAsia="SimSun"/>
        </w:rPr>
        <w:t xml:space="preserve">crease of </w:t>
      </w:r>
      <w:r w:rsidR="00926838">
        <w:rPr>
          <w:rFonts w:eastAsia="SimSun"/>
        </w:rPr>
        <w:t>2.4</w:t>
      </w:r>
      <w:r w:rsidR="00D1284F">
        <w:rPr>
          <w:rFonts w:eastAsia="SimSun"/>
        </w:rPr>
        <w:t xml:space="preserve"> percent</w:t>
      </w:r>
      <w:r w:rsidRPr="00637DBB">
        <w:rPr>
          <w:rFonts w:eastAsia="SimSun"/>
        </w:rPr>
        <w:t>, or approximately $</w:t>
      </w:r>
      <w:r w:rsidR="00926838">
        <w:rPr>
          <w:rFonts w:eastAsia="SimSun"/>
        </w:rPr>
        <w:t>22.3</w:t>
      </w:r>
      <w:r w:rsidRPr="00637DBB">
        <w:rPr>
          <w:rFonts w:eastAsia="SimSun"/>
        </w:rPr>
        <w:t xml:space="preserve"> million.</w:t>
      </w:r>
      <w:r w:rsidR="00552EF6">
        <w:rPr>
          <w:rFonts w:eastAsia="SimSun"/>
        </w:rPr>
        <w:t xml:space="preserve"> The impact on the monthly bill of PSE’s typical residential gas customer using 64 therms is a </w:t>
      </w:r>
      <w:r w:rsidR="00926838">
        <w:rPr>
          <w:rFonts w:eastAsia="SimSun"/>
        </w:rPr>
        <w:t>de</w:t>
      </w:r>
      <w:r w:rsidR="00552EF6">
        <w:rPr>
          <w:rFonts w:eastAsia="SimSun"/>
        </w:rPr>
        <w:t>crease of $</w:t>
      </w:r>
      <w:r w:rsidR="00926838">
        <w:rPr>
          <w:rFonts w:eastAsia="SimSun"/>
        </w:rPr>
        <w:t>2.01</w:t>
      </w:r>
      <w:r w:rsidR="00552EF6">
        <w:rPr>
          <w:rFonts w:eastAsia="SimSun"/>
        </w:rPr>
        <w:t xml:space="preserve">, or </w:t>
      </w:r>
      <w:r w:rsidR="00926838">
        <w:rPr>
          <w:rFonts w:eastAsia="SimSun"/>
        </w:rPr>
        <w:t>2.9</w:t>
      </w:r>
      <w:r w:rsidR="00D1284F">
        <w:rPr>
          <w:rFonts w:eastAsia="SimSun"/>
        </w:rPr>
        <w:t xml:space="preserve"> percent</w:t>
      </w:r>
      <w:r w:rsidR="00552EF6">
        <w:rPr>
          <w:rFonts w:eastAsia="SimSun"/>
        </w:rPr>
        <w:t xml:space="preserve"> over current levels.</w:t>
      </w:r>
    </w:p>
    <w:p w:rsidR="005D1EA0" w:rsidRDefault="005D1EA0" w:rsidP="005D1EA0">
      <w:pPr>
        <w:pStyle w:val="answer"/>
        <w:widowControl w:val="0"/>
        <w:numPr>
          <w:ilvl w:val="0"/>
          <w:numId w:val="35"/>
        </w:numPr>
        <w:rPr>
          <w:rFonts w:eastAsia="SimSun"/>
        </w:rPr>
      </w:pPr>
      <w:r>
        <w:rPr>
          <w:rFonts w:eastAsia="SimSun"/>
        </w:rPr>
        <w:t>Based on the parity ratios resulting from the gas cost of service study, the proposed increases to base rates, including gas costs,  and proposed changes to gas Schedule 141 (Expedited Rate Filing Rate Adjustment), Schedule 142 (Revenue Decoupling Adjustment Mechanism) and Schedule 149 (Cost Recovery Mechanism for Pipeline Replacement), the estimated overall impacts by customer class are as follows:</w:t>
      </w:r>
    </w:p>
    <w:p w:rsidR="00040032" w:rsidRPr="00C2328D" w:rsidRDefault="00040032" w:rsidP="00040032">
      <w:pPr>
        <w:pStyle w:val="Caption"/>
        <w:keepNext/>
        <w:jc w:val="center"/>
        <w:rPr>
          <w:sz w:val="24"/>
          <w:szCs w:val="24"/>
        </w:rPr>
      </w:pPr>
      <w:r w:rsidRPr="00C2328D">
        <w:rPr>
          <w:sz w:val="24"/>
          <w:szCs w:val="24"/>
        </w:rPr>
        <w:t xml:space="preserve">Table </w:t>
      </w:r>
      <w:r w:rsidRPr="00C2328D">
        <w:rPr>
          <w:sz w:val="24"/>
          <w:szCs w:val="24"/>
        </w:rPr>
        <w:fldChar w:fldCharType="begin"/>
      </w:r>
      <w:r w:rsidRPr="00C2328D">
        <w:rPr>
          <w:sz w:val="24"/>
          <w:szCs w:val="24"/>
        </w:rPr>
        <w:instrText xml:space="preserve"> SEQ Table \* ARABIC </w:instrText>
      </w:r>
      <w:r w:rsidRPr="00C2328D">
        <w:rPr>
          <w:sz w:val="24"/>
          <w:szCs w:val="24"/>
        </w:rPr>
        <w:fldChar w:fldCharType="separate"/>
      </w:r>
      <w:r w:rsidR="0035666C">
        <w:rPr>
          <w:noProof/>
          <w:sz w:val="24"/>
          <w:szCs w:val="24"/>
        </w:rPr>
        <w:t>4</w:t>
      </w:r>
      <w:r w:rsidRPr="00C2328D">
        <w:rPr>
          <w:sz w:val="24"/>
          <w:szCs w:val="24"/>
        </w:rPr>
        <w:fldChar w:fldCharType="end"/>
      </w:r>
      <w:r w:rsidRPr="00C2328D">
        <w:rPr>
          <w:sz w:val="24"/>
          <w:szCs w:val="24"/>
        </w:rPr>
        <w:t xml:space="preserve"> - </w:t>
      </w:r>
      <w:r w:rsidRPr="00801927">
        <w:rPr>
          <w:sz w:val="24"/>
          <w:szCs w:val="24"/>
        </w:rPr>
        <w:t xml:space="preserve">Estimated Overall Impacts of Proposed </w:t>
      </w:r>
      <w:r>
        <w:rPr>
          <w:sz w:val="24"/>
          <w:szCs w:val="24"/>
        </w:rPr>
        <w:t>Gas</w:t>
      </w:r>
      <w:r w:rsidRPr="00801927">
        <w:rPr>
          <w:sz w:val="24"/>
          <w:szCs w:val="24"/>
        </w:rPr>
        <w:t xml:space="preserve"> Rates</w:t>
      </w:r>
    </w:p>
    <w:tbl>
      <w:tblPr>
        <w:tblpPr w:leftFromText="180" w:rightFromText="180" w:vertAnchor="text" w:horzAnchor="margin" w:tblpXSpec="center" w:tblpY="314"/>
        <w:tblW w:w="6768" w:type="dxa"/>
        <w:tblLayout w:type="fixed"/>
        <w:tblLook w:val="0000" w:firstRow="0" w:lastRow="0" w:firstColumn="0" w:lastColumn="0" w:noHBand="0" w:noVBand="0"/>
      </w:tblPr>
      <w:tblGrid>
        <w:gridCol w:w="3168"/>
        <w:gridCol w:w="2070"/>
        <w:gridCol w:w="1530"/>
      </w:tblGrid>
      <w:tr w:rsidR="00040032" w:rsidRPr="009075DC" w:rsidTr="005D391D">
        <w:trPr>
          <w:cantSplit/>
          <w:trHeight w:val="769"/>
        </w:trPr>
        <w:tc>
          <w:tcPr>
            <w:tcW w:w="3168" w:type="dxa"/>
            <w:tcBorders>
              <w:top w:val="single" w:sz="4" w:space="0" w:color="auto"/>
              <w:bottom w:val="single" w:sz="4" w:space="0" w:color="auto"/>
            </w:tcBorders>
            <w:vAlign w:val="center"/>
          </w:tcPr>
          <w:p w:rsidR="00040032" w:rsidRPr="009075DC" w:rsidRDefault="00040032" w:rsidP="005D391D">
            <w:pPr>
              <w:widowControl w:val="0"/>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2070" w:type="dxa"/>
            <w:tcBorders>
              <w:top w:val="single" w:sz="4" w:space="0" w:color="auto"/>
              <w:bottom w:val="single" w:sz="4" w:space="0" w:color="auto"/>
            </w:tcBorders>
            <w:vAlign w:val="center"/>
          </w:tcPr>
          <w:p w:rsidR="00040032" w:rsidRPr="009075DC" w:rsidRDefault="00040032" w:rsidP="005D391D">
            <w:pPr>
              <w:widowControl w:val="0"/>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530" w:type="dxa"/>
            <w:tcBorders>
              <w:top w:val="single" w:sz="4" w:space="0" w:color="auto"/>
              <w:bottom w:val="single" w:sz="4" w:space="0" w:color="auto"/>
            </w:tcBorders>
            <w:vAlign w:val="center"/>
          </w:tcPr>
          <w:p w:rsidR="00040032" w:rsidRPr="009075DC" w:rsidRDefault="00040032" w:rsidP="005D391D">
            <w:pPr>
              <w:widowControl w:val="0"/>
              <w:spacing w:beforeLines="20" w:before="48" w:afterLines="20" w:after="48" w:line="240" w:lineRule="auto"/>
              <w:ind w:firstLine="0"/>
              <w:jc w:val="center"/>
              <w:rPr>
                <w:rFonts w:eastAsia="SimSun"/>
                <w:b/>
                <w:bCs/>
                <w:szCs w:val="24"/>
              </w:rPr>
            </w:pPr>
            <w:r>
              <w:rPr>
                <w:rFonts w:eastAsia="SimSun"/>
                <w:b/>
                <w:bCs/>
                <w:szCs w:val="24"/>
              </w:rPr>
              <w:t>Overall Impact*</w:t>
            </w:r>
          </w:p>
        </w:tc>
      </w:tr>
      <w:tr w:rsidR="00040032" w:rsidRPr="001D2B74" w:rsidTr="005D391D">
        <w:trPr>
          <w:cantSplit/>
          <w:trHeight w:val="312"/>
        </w:trPr>
        <w:tc>
          <w:tcPr>
            <w:tcW w:w="3168" w:type="dxa"/>
            <w:vAlign w:val="bottom"/>
          </w:tcPr>
          <w:p w:rsidR="00040032" w:rsidRPr="003B5206" w:rsidRDefault="00040032" w:rsidP="005D391D">
            <w:pPr>
              <w:pStyle w:val="answer"/>
              <w:keepNext/>
              <w:spacing w:before="60" w:after="60" w:line="240" w:lineRule="auto"/>
              <w:ind w:left="0" w:firstLine="0"/>
            </w:pPr>
            <w:r w:rsidRPr="003B5206">
              <w:t>Re</w:t>
            </w:r>
            <w:r>
              <w:t>sidential</w:t>
            </w:r>
          </w:p>
        </w:tc>
        <w:tc>
          <w:tcPr>
            <w:tcW w:w="2070" w:type="dxa"/>
          </w:tcPr>
          <w:p w:rsidR="00040032" w:rsidRPr="00683198" w:rsidRDefault="00040032" w:rsidP="005D391D">
            <w:pPr>
              <w:pStyle w:val="answer"/>
              <w:keepNext/>
              <w:spacing w:before="60" w:after="60" w:line="240" w:lineRule="auto"/>
              <w:ind w:left="0" w:firstLine="0"/>
              <w:jc w:val="center"/>
            </w:pPr>
            <w:r w:rsidRPr="00683198">
              <w:t>16/23/53</w:t>
            </w:r>
          </w:p>
        </w:tc>
        <w:tc>
          <w:tcPr>
            <w:tcW w:w="1530" w:type="dxa"/>
            <w:vAlign w:val="bottom"/>
          </w:tcPr>
          <w:p w:rsidR="00040032" w:rsidRPr="00B46243" w:rsidRDefault="00040032" w:rsidP="005D391D">
            <w:pPr>
              <w:pStyle w:val="answer"/>
              <w:keepNext/>
              <w:spacing w:before="60" w:after="60" w:line="240" w:lineRule="auto"/>
              <w:ind w:left="0" w:firstLine="0"/>
              <w:jc w:val="center"/>
            </w:pPr>
            <w:r>
              <w:t>-2.9</w:t>
            </w:r>
            <w:r w:rsidRPr="00B46243">
              <w:t>%</w:t>
            </w:r>
          </w:p>
        </w:tc>
      </w:tr>
      <w:tr w:rsidR="00040032" w:rsidRPr="001D2B74" w:rsidTr="005D391D">
        <w:trPr>
          <w:cantSplit/>
          <w:trHeight w:val="337"/>
        </w:trPr>
        <w:tc>
          <w:tcPr>
            <w:tcW w:w="3168" w:type="dxa"/>
            <w:vAlign w:val="bottom"/>
          </w:tcPr>
          <w:p w:rsidR="00040032" w:rsidRPr="003B5206" w:rsidRDefault="00040032" w:rsidP="005D391D">
            <w:pPr>
              <w:pStyle w:val="answer"/>
              <w:keepNext/>
              <w:spacing w:before="60" w:after="60" w:line="240" w:lineRule="auto"/>
              <w:ind w:left="0" w:firstLine="0"/>
            </w:pPr>
            <w:r w:rsidRPr="003B5206">
              <w:t>Commercial &amp; In</w:t>
            </w:r>
            <w:r>
              <w:t>dustrial</w:t>
            </w:r>
          </w:p>
        </w:tc>
        <w:tc>
          <w:tcPr>
            <w:tcW w:w="2070" w:type="dxa"/>
          </w:tcPr>
          <w:p w:rsidR="00040032" w:rsidRPr="00683198" w:rsidRDefault="00040032" w:rsidP="005D391D">
            <w:pPr>
              <w:pStyle w:val="answer"/>
              <w:keepNext/>
              <w:spacing w:before="60" w:after="60" w:line="240" w:lineRule="auto"/>
              <w:ind w:left="0" w:firstLine="0"/>
              <w:jc w:val="center"/>
            </w:pPr>
            <w:r w:rsidRPr="00683198">
              <w:t>31/31T/61</w:t>
            </w:r>
          </w:p>
        </w:tc>
        <w:tc>
          <w:tcPr>
            <w:tcW w:w="1530" w:type="dxa"/>
            <w:vAlign w:val="bottom"/>
          </w:tcPr>
          <w:p w:rsidR="00040032" w:rsidRPr="00B46243" w:rsidRDefault="00040032" w:rsidP="005D391D">
            <w:pPr>
              <w:pStyle w:val="answer"/>
              <w:keepNext/>
              <w:spacing w:before="60" w:after="60" w:line="240" w:lineRule="auto"/>
              <w:ind w:left="0" w:firstLine="0"/>
              <w:jc w:val="center"/>
            </w:pPr>
            <w:r>
              <w:t>-1.0</w:t>
            </w:r>
            <w:r w:rsidRPr="00B46243">
              <w:t>%</w:t>
            </w:r>
          </w:p>
        </w:tc>
      </w:tr>
      <w:tr w:rsidR="00040032" w:rsidRPr="001D2B74" w:rsidTr="005D391D">
        <w:trPr>
          <w:cantSplit/>
          <w:trHeight w:val="312"/>
        </w:trPr>
        <w:tc>
          <w:tcPr>
            <w:tcW w:w="3168" w:type="dxa"/>
            <w:vAlign w:val="bottom"/>
          </w:tcPr>
          <w:p w:rsidR="00040032" w:rsidRPr="003B5206" w:rsidRDefault="00040032" w:rsidP="005D391D">
            <w:pPr>
              <w:pStyle w:val="answer"/>
              <w:keepNext/>
              <w:spacing w:before="60" w:after="60" w:line="240" w:lineRule="auto"/>
              <w:ind w:left="0" w:firstLine="0"/>
            </w:pPr>
            <w:r>
              <w:t>Large Volume</w:t>
            </w:r>
          </w:p>
        </w:tc>
        <w:tc>
          <w:tcPr>
            <w:tcW w:w="2070" w:type="dxa"/>
          </w:tcPr>
          <w:p w:rsidR="00040032" w:rsidRPr="00683198" w:rsidRDefault="00040032" w:rsidP="005D391D">
            <w:pPr>
              <w:pStyle w:val="answer"/>
              <w:keepNext/>
              <w:spacing w:before="60" w:after="60" w:line="240" w:lineRule="auto"/>
              <w:ind w:left="0" w:firstLine="0"/>
              <w:jc w:val="center"/>
            </w:pPr>
            <w:r w:rsidRPr="00683198">
              <w:t>41/41T</w:t>
            </w:r>
          </w:p>
        </w:tc>
        <w:tc>
          <w:tcPr>
            <w:tcW w:w="1530" w:type="dxa"/>
            <w:vAlign w:val="bottom"/>
          </w:tcPr>
          <w:p w:rsidR="00040032" w:rsidRPr="00B46243" w:rsidRDefault="00040032" w:rsidP="005D391D">
            <w:pPr>
              <w:pStyle w:val="answer"/>
              <w:keepNext/>
              <w:spacing w:before="60" w:after="60" w:line="240" w:lineRule="auto"/>
              <w:ind w:left="0" w:firstLine="0"/>
              <w:jc w:val="center"/>
            </w:pPr>
            <w:r w:rsidRPr="00B46243">
              <w:t>-0.</w:t>
            </w:r>
            <w:r>
              <w:t>9</w:t>
            </w:r>
            <w:r w:rsidRPr="00B46243">
              <w:t>%</w:t>
            </w:r>
          </w:p>
        </w:tc>
      </w:tr>
      <w:tr w:rsidR="00040032" w:rsidRPr="001D2B74" w:rsidTr="005D391D">
        <w:trPr>
          <w:cantSplit/>
          <w:trHeight w:val="324"/>
        </w:trPr>
        <w:tc>
          <w:tcPr>
            <w:tcW w:w="3168" w:type="dxa"/>
            <w:vAlign w:val="bottom"/>
          </w:tcPr>
          <w:p w:rsidR="00040032" w:rsidRPr="003B5206" w:rsidRDefault="00040032" w:rsidP="005D391D">
            <w:pPr>
              <w:pStyle w:val="answer"/>
              <w:keepNext/>
              <w:spacing w:before="60" w:after="60" w:line="240" w:lineRule="auto"/>
              <w:ind w:left="0" w:firstLine="0"/>
            </w:pPr>
            <w:r>
              <w:t>Interruptible</w:t>
            </w:r>
          </w:p>
        </w:tc>
        <w:tc>
          <w:tcPr>
            <w:tcW w:w="2070" w:type="dxa"/>
          </w:tcPr>
          <w:p w:rsidR="00040032" w:rsidRPr="00683198" w:rsidRDefault="00040032" w:rsidP="005D391D">
            <w:pPr>
              <w:pStyle w:val="answer"/>
              <w:keepNext/>
              <w:spacing w:before="60" w:after="60" w:line="240" w:lineRule="auto"/>
              <w:ind w:left="0" w:firstLine="0"/>
              <w:jc w:val="center"/>
            </w:pPr>
            <w:r w:rsidRPr="00683198">
              <w:t>85/85T</w:t>
            </w:r>
          </w:p>
        </w:tc>
        <w:tc>
          <w:tcPr>
            <w:tcW w:w="1530" w:type="dxa"/>
            <w:vAlign w:val="bottom"/>
          </w:tcPr>
          <w:p w:rsidR="00040032" w:rsidRPr="00B46243" w:rsidRDefault="00040032" w:rsidP="005D391D">
            <w:pPr>
              <w:pStyle w:val="answer"/>
              <w:keepNext/>
              <w:spacing w:before="60" w:after="60" w:line="240" w:lineRule="auto"/>
              <w:ind w:left="0" w:firstLine="0"/>
              <w:jc w:val="center"/>
            </w:pPr>
            <w:r w:rsidRPr="00B46243">
              <w:t>-</w:t>
            </w:r>
            <w:r>
              <w:t>2.7</w:t>
            </w:r>
            <w:r w:rsidRPr="00B46243">
              <w:t>%</w:t>
            </w:r>
          </w:p>
        </w:tc>
      </w:tr>
      <w:tr w:rsidR="00040032" w:rsidRPr="001D2B74" w:rsidTr="005D391D">
        <w:trPr>
          <w:cantSplit/>
          <w:trHeight w:val="324"/>
        </w:trPr>
        <w:tc>
          <w:tcPr>
            <w:tcW w:w="3168" w:type="dxa"/>
            <w:vAlign w:val="bottom"/>
          </w:tcPr>
          <w:p w:rsidR="00040032" w:rsidRPr="003B5206" w:rsidRDefault="00040032" w:rsidP="005D391D">
            <w:pPr>
              <w:pStyle w:val="answer"/>
              <w:keepNext/>
              <w:spacing w:before="60" w:after="60" w:line="240" w:lineRule="auto"/>
              <w:ind w:left="0" w:firstLine="0"/>
            </w:pPr>
            <w:r w:rsidRPr="003B5206">
              <w:t xml:space="preserve">Limited </w:t>
            </w:r>
            <w:r>
              <w:t>Interruptible</w:t>
            </w:r>
          </w:p>
        </w:tc>
        <w:tc>
          <w:tcPr>
            <w:tcW w:w="2070" w:type="dxa"/>
          </w:tcPr>
          <w:p w:rsidR="00040032" w:rsidRPr="00683198" w:rsidRDefault="00040032" w:rsidP="005D391D">
            <w:pPr>
              <w:pStyle w:val="answer"/>
              <w:keepNext/>
              <w:spacing w:before="60" w:after="60" w:line="240" w:lineRule="auto"/>
              <w:ind w:left="0" w:firstLine="0"/>
              <w:jc w:val="center"/>
            </w:pPr>
            <w:r w:rsidRPr="00683198">
              <w:t>86/86T</w:t>
            </w:r>
          </w:p>
        </w:tc>
        <w:tc>
          <w:tcPr>
            <w:tcW w:w="1530" w:type="dxa"/>
            <w:vAlign w:val="bottom"/>
          </w:tcPr>
          <w:p w:rsidR="00040032" w:rsidRPr="00B46243" w:rsidRDefault="00040032" w:rsidP="005D391D">
            <w:pPr>
              <w:pStyle w:val="answer"/>
              <w:keepNext/>
              <w:spacing w:before="60" w:after="60" w:line="240" w:lineRule="auto"/>
              <w:ind w:left="0" w:firstLine="0"/>
              <w:jc w:val="center"/>
            </w:pPr>
            <w:r w:rsidRPr="00B46243">
              <w:t>-</w:t>
            </w:r>
            <w:r>
              <w:t>1.5</w:t>
            </w:r>
            <w:r w:rsidRPr="00B46243">
              <w:t>%</w:t>
            </w:r>
          </w:p>
        </w:tc>
      </w:tr>
      <w:tr w:rsidR="00040032" w:rsidRPr="001D2B74" w:rsidTr="005D391D">
        <w:trPr>
          <w:cantSplit/>
          <w:trHeight w:val="300"/>
        </w:trPr>
        <w:tc>
          <w:tcPr>
            <w:tcW w:w="3168" w:type="dxa"/>
            <w:vAlign w:val="bottom"/>
          </w:tcPr>
          <w:p w:rsidR="00040032" w:rsidRPr="003B5206" w:rsidRDefault="00040032" w:rsidP="005D391D">
            <w:pPr>
              <w:pStyle w:val="answer"/>
              <w:keepNext/>
              <w:spacing w:before="60" w:after="60" w:line="240" w:lineRule="auto"/>
              <w:ind w:left="0" w:firstLine="0"/>
            </w:pPr>
            <w:r w:rsidRPr="003B5206">
              <w:t>Non-exclusive I</w:t>
            </w:r>
            <w:r>
              <w:t>nterruptible</w:t>
            </w:r>
          </w:p>
        </w:tc>
        <w:tc>
          <w:tcPr>
            <w:tcW w:w="2070" w:type="dxa"/>
          </w:tcPr>
          <w:p w:rsidR="00040032" w:rsidRPr="00683198" w:rsidRDefault="00040032" w:rsidP="005D391D">
            <w:pPr>
              <w:pStyle w:val="answer"/>
              <w:keepNext/>
              <w:spacing w:before="60" w:after="60" w:line="240" w:lineRule="auto"/>
              <w:ind w:left="0" w:firstLine="0"/>
              <w:jc w:val="center"/>
            </w:pPr>
            <w:r w:rsidRPr="00683198">
              <w:t>87/87T</w:t>
            </w:r>
          </w:p>
        </w:tc>
        <w:tc>
          <w:tcPr>
            <w:tcW w:w="1530" w:type="dxa"/>
            <w:vAlign w:val="bottom"/>
          </w:tcPr>
          <w:p w:rsidR="00040032" w:rsidRPr="00B46243" w:rsidRDefault="00040032" w:rsidP="005D391D">
            <w:pPr>
              <w:pStyle w:val="answer"/>
              <w:keepNext/>
              <w:spacing w:before="60" w:after="60" w:line="240" w:lineRule="auto"/>
              <w:ind w:left="0" w:firstLine="0"/>
              <w:jc w:val="center"/>
            </w:pPr>
            <w:r>
              <w:t>-2.3</w:t>
            </w:r>
            <w:r w:rsidRPr="00B46243">
              <w:t>%</w:t>
            </w:r>
          </w:p>
        </w:tc>
      </w:tr>
      <w:tr w:rsidR="00040032" w:rsidRPr="001D2B74" w:rsidTr="005D391D">
        <w:trPr>
          <w:cantSplit/>
          <w:trHeight w:val="324"/>
        </w:trPr>
        <w:tc>
          <w:tcPr>
            <w:tcW w:w="3168" w:type="dxa"/>
            <w:vAlign w:val="bottom"/>
          </w:tcPr>
          <w:p w:rsidR="00040032" w:rsidRPr="003B5206" w:rsidRDefault="00040032" w:rsidP="005D391D">
            <w:pPr>
              <w:pStyle w:val="answer"/>
              <w:keepNext/>
              <w:spacing w:before="60" w:after="60" w:line="240" w:lineRule="auto"/>
              <w:ind w:left="0" w:firstLine="0"/>
            </w:pPr>
            <w:r w:rsidRPr="003B5206">
              <w:t xml:space="preserve">Special Contracts </w:t>
            </w:r>
          </w:p>
        </w:tc>
        <w:tc>
          <w:tcPr>
            <w:tcW w:w="2070" w:type="dxa"/>
          </w:tcPr>
          <w:p w:rsidR="00040032" w:rsidRPr="00683198" w:rsidRDefault="00040032" w:rsidP="005D391D">
            <w:pPr>
              <w:pStyle w:val="answer"/>
              <w:keepNext/>
              <w:spacing w:before="60" w:after="60" w:line="240" w:lineRule="auto"/>
              <w:ind w:left="0" w:firstLine="0"/>
              <w:jc w:val="center"/>
            </w:pPr>
          </w:p>
        </w:tc>
        <w:tc>
          <w:tcPr>
            <w:tcW w:w="1530" w:type="dxa"/>
            <w:vAlign w:val="bottom"/>
          </w:tcPr>
          <w:p w:rsidR="00040032" w:rsidRPr="00B46243" w:rsidRDefault="00040032" w:rsidP="005D391D">
            <w:pPr>
              <w:pStyle w:val="answer"/>
              <w:keepNext/>
              <w:spacing w:before="60" w:after="60" w:line="240" w:lineRule="auto"/>
              <w:ind w:left="0" w:firstLine="0"/>
              <w:jc w:val="center"/>
            </w:pPr>
            <w:r>
              <w:t>0.7</w:t>
            </w:r>
            <w:r w:rsidRPr="00B46243">
              <w:t>%</w:t>
            </w:r>
          </w:p>
        </w:tc>
      </w:tr>
      <w:tr w:rsidR="00040032" w:rsidRPr="001D2B74" w:rsidTr="005D391D">
        <w:trPr>
          <w:cantSplit/>
          <w:trHeight w:val="324"/>
        </w:trPr>
        <w:tc>
          <w:tcPr>
            <w:tcW w:w="3168" w:type="dxa"/>
            <w:tcBorders>
              <w:bottom w:val="single" w:sz="4" w:space="0" w:color="auto"/>
            </w:tcBorders>
            <w:vAlign w:val="bottom"/>
          </w:tcPr>
          <w:p w:rsidR="00040032" w:rsidRPr="003B5206" w:rsidRDefault="00040032" w:rsidP="005D391D">
            <w:pPr>
              <w:pStyle w:val="answer"/>
              <w:spacing w:before="60" w:after="60" w:line="240" w:lineRule="auto"/>
              <w:ind w:left="0" w:firstLine="0"/>
            </w:pPr>
            <w:r w:rsidRPr="003B5206">
              <w:t>Rentals</w:t>
            </w:r>
          </w:p>
        </w:tc>
        <w:tc>
          <w:tcPr>
            <w:tcW w:w="2070" w:type="dxa"/>
            <w:tcBorders>
              <w:bottom w:val="single" w:sz="4" w:space="0" w:color="auto"/>
            </w:tcBorders>
          </w:tcPr>
          <w:p w:rsidR="00040032" w:rsidRPr="00683198" w:rsidRDefault="00040032" w:rsidP="005D391D">
            <w:pPr>
              <w:pStyle w:val="answer"/>
              <w:spacing w:before="60" w:after="60" w:line="240" w:lineRule="auto"/>
              <w:ind w:left="0" w:firstLine="0"/>
              <w:jc w:val="center"/>
            </w:pPr>
            <w:r w:rsidRPr="00683198">
              <w:t>71/72/74</w:t>
            </w:r>
          </w:p>
        </w:tc>
        <w:tc>
          <w:tcPr>
            <w:tcW w:w="1530" w:type="dxa"/>
            <w:tcBorders>
              <w:bottom w:val="single" w:sz="4" w:space="0" w:color="auto"/>
            </w:tcBorders>
            <w:vAlign w:val="bottom"/>
          </w:tcPr>
          <w:p w:rsidR="00040032" w:rsidRPr="00B46243" w:rsidRDefault="00040032" w:rsidP="005D391D">
            <w:pPr>
              <w:pStyle w:val="answer"/>
              <w:spacing w:before="60" w:after="60" w:line="240" w:lineRule="auto"/>
              <w:ind w:left="0" w:firstLine="0"/>
              <w:jc w:val="center"/>
            </w:pPr>
            <w:r w:rsidRPr="00B46243">
              <w:t>-</w:t>
            </w:r>
            <w:r>
              <w:t>9.6</w:t>
            </w:r>
            <w:r w:rsidRPr="00B46243">
              <w:t>%</w:t>
            </w:r>
          </w:p>
        </w:tc>
      </w:tr>
      <w:tr w:rsidR="00040032" w:rsidRPr="009075DC" w:rsidTr="005D391D">
        <w:trPr>
          <w:cantSplit/>
          <w:trHeight w:val="425"/>
        </w:trPr>
        <w:tc>
          <w:tcPr>
            <w:tcW w:w="3168" w:type="dxa"/>
            <w:tcBorders>
              <w:top w:val="single" w:sz="4" w:space="0" w:color="auto"/>
              <w:bottom w:val="single" w:sz="4" w:space="0" w:color="auto"/>
            </w:tcBorders>
            <w:vAlign w:val="bottom"/>
          </w:tcPr>
          <w:p w:rsidR="00040032" w:rsidRPr="00683198" w:rsidRDefault="00040032" w:rsidP="005D391D">
            <w:pPr>
              <w:pStyle w:val="answer"/>
              <w:spacing w:before="60" w:after="60" w:line="240" w:lineRule="auto"/>
              <w:ind w:left="0" w:firstLine="0"/>
              <w:rPr>
                <w:b/>
              </w:rPr>
            </w:pPr>
            <w:r w:rsidRPr="00683198">
              <w:rPr>
                <w:b/>
              </w:rPr>
              <w:t>Total/System Average</w:t>
            </w:r>
          </w:p>
        </w:tc>
        <w:tc>
          <w:tcPr>
            <w:tcW w:w="2070" w:type="dxa"/>
            <w:tcBorders>
              <w:top w:val="single" w:sz="4" w:space="0" w:color="auto"/>
              <w:bottom w:val="single" w:sz="4" w:space="0" w:color="auto"/>
            </w:tcBorders>
          </w:tcPr>
          <w:p w:rsidR="00040032" w:rsidRPr="00683198" w:rsidRDefault="00040032" w:rsidP="005D391D">
            <w:pPr>
              <w:pStyle w:val="answer"/>
              <w:spacing w:before="60" w:after="60" w:line="240" w:lineRule="auto"/>
              <w:ind w:left="0" w:firstLine="0"/>
              <w:jc w:val="center"/>
              <w:rPr>
                <w:b/>
                <w:highlight w:val="yellow"/>
              </w:rPr>
            </w:pPr>
          </w:p>
        </w:tc>
        <w:tc>
          <w:tcPr>
            <w:tcW w:w="1530" w:type="dxa"/>
            <w:tcBorders>
              <w:top w:val="single" w:sz="4" w:space="0" w:color="auto"/>
              <w:bottom w:val="single" w:sz="4" w:space="0" w:color="auto"/>
            </w:tcBorders>
            <w:vAlign w:val="bottom"/>
          </w:tcPr>
          <w:p w:rsidR="00040032" w:rsidRPr="00B46243" w:rsidRDefault="00040032" w:rsidP="005D391D">
            <w:pPr>
              <w:pStyle w:val="answer"/>
              <w:spacing w:before="60" w:after="60" w:line="240" w:lineRule="auto"/>
              <w:ind w:left="0" w:firstLine="0"/>
              <w:jc w:val="center"/>
              <w:rPr>
                <w:b/>
              </w:rPr>
            </w:pPr>
            <w:r>
              <w:rPr>
                <w:b/>
              </w:rPr>
              <w:t>-2.4</w:t>
            </w:r>
            <w:r w:rsidRPr="00B46243">
              <w:rPr>
                <w:b/>
              </w:rPr>
              <w:t>%</w:t>
            </w:r>
          </w:p>
        </w:tc>
      </w:tr>
      <w:tr w:rsidR="00040032" w:rsidRPr="009075DC" w:rsidTr="005D391D">
        <w:trPr>
          <w:cantSplit/>
          <w:trHeight w:val="425"/>
        </w:trPr>
        <w:tc>
          <w:tcPr>
            <w:tcW w:w="6768" w:type="dxa"/>
            <w:gridSpan w:val="3"/>
            <w:tcBorders>
              <w:top w:val="single" w:sz="4" w:space="0" w:color="auto"/>
            </w:tcBorders>
            <w:vAlign w:val="bottom"/>
          </w:tcPr>
          <w:p w:rsidR="00040032" w:rsidRPr="00801927" w:rsidRDefault="00040032" w:rsidP="005D391D">
            <w:pPr>
              <w:pStyle w:val="answer"/>
              <w:spacing w:before="60" w:after="60" w:line="240" w:lineRule="auto"/>
              <w:ind w:left="0" w:firstLine="0"/>
              <w:rPr>
                <w:b/>
                <w:sz w:val="20"/>
                <w:highlight w:val="yellow"/>
              </w:rPr>
            </w:pPr>
            <w:r w:rsidRPr="00801927">
              <w:rPr>
                <w:sz w:val="20"/>
              </w:rPr>
              <w:t>* Includes base schedules, as well as Schedule 101, 141, 142 and 149.</w:t>
            </w:r>
          </w:p>
        </w:tc>
      </w:tr>
    </w:tbl>
    <w:p w:rsidR="005D1EA0" w:rsidRDefault="005D1EA0" w:rsidP="005D1EA0">
      <w:pPr>
        <w:pStyle w:val="answer"/>
        <w:widowControl w:val="0"/>
        <w:ind w:left="1440"/>
        <w:rPr>
          <w:rFonts w:eastAsia="SimSun"/>
          <w:i/>
          <w:u w:val="single"/>
        </w:rPr>
      </w:pPr>
    </w:p>
    <w:p w:rsidR="005D1EA0" w:rsidRDefault="005D1EA0" w:rsidP="005D1EA0">
      <w:pPr>
        <w:pStyle w:val="answer"/>
        <w:widowControl w:val="0"/>
        <w:ind w:left="0" w:firstLine="0"/>
        <w:rPr>
          <w:rFonts w:eastAsia="SimSun"/>
          <w:i/>
          <w:u w:val="single"/>
        </w:rPr>
      </w:pPr>
    </w:p>
    <w:p w:rsidR="005D1EA0" w:rsidRDefault="005D1EA0" w:rsidP="005D1EA0">
      <w:pPr>
        <w:pStyle w:val="answer"/>
        <w:widowControl w:val="0"/>
        <w:ind w:left="1440" w:firstLine="0"/>
        <w:rPr>
          <w:rFonts w:eastAsia="SimSun"/>
        </w:rPr>
      </w:pPr>
    </w:p>
    <w:p w:rsidR="00011F34" w:rsidRDefault="00011F34" w:rsidP="005D1EA0">
      <w:pPr>
        <w:pStyle w:val="answer"/>
        <w:widowControl w:val="0"/>
        <w:ind w:left="1440" w:firstLine="0"/>
        <w:rPr>
          <w:rFonts w:eastAsia="SimSun"/>
        </w:rPr>
      </w:pPr>
    </w:p>
    <w:p w:rsidR="00011F34" w:rsidRDefault="00011F34" w:rsidP="005D1EA0">
      <w:pPr>
        <w:pStyle w:val="answer"/>
        <w:widowControl w:val="0"/>
        <w:ind w:left="1440" w:firstLine="0"/>
        <w:rPr>
          <w:rFonts w:eastAsia="SimSun"/>
        </w:rPr>
      </w:pPr>
    </w:p>
    <w:p w:rsidR="00011F34" w:rsidRDefault="00011F34" w:rsidP="005D1EA0">
      <w:pPr>
        <w:pStyle w:val="answer"/>
        <w:widowControl w:val="0"/>
        <w:ind w:left="1440" w:firstLine="0"/>
        <w:rPr>
          <w:rFonts w:eastAsia="SimSun"/>
        </w:rPr>
      </w:pPr>
    </w:p>
    <w:p w:rsidR="00011F34" w:rsidRDefault="00011F34" w:rsidP="005D1EA0">
      <w:pPr>
        <w:pStyle w:val="answer"/>
        <w:widowControl w:val="0"/>
        <w:ind w:left="1440" w:firstLine="0"/>
        <w:rPr>
          <w:rFonts w:eastAsia="SimSun"/>
        </w:rPr>
      </w:pPr>
    </w:p>
    <w:p w:rsidR="007816E1" w:rsidRPr="003B5206" w:rsidRDefault="007816E1" w:rsidP="007816E1">
      <w:pPr>
        <w:pStyle w:val="Heading1"/>
        <w:spacing w:line="240" w:lineRule="auto"/>
      </w:pPr>
      <w:bookmarkStart w:id="43" w:name="_Toc471912924"/>
      <w:r>
        <w:lastRenderedPageBreak/>
        <w:t>II</w:t>
      </w:r>
      <w:r w:rsidRPr="003B5206">
        <w:t>.</w:t>
      </w:r>
      <w:r w:rsidRPr="003B5206">
        <w:tab/>
        <w:t>PRO FORMA REVENUE FROM</w:t>
      </w:r>
      <w:r w:rsidRPr="003B5206">
        <w:br/>
      </w:r>
      <w:r>
        <w:t xml:space="preserve">ELECTRIC AND </w:t>
      </w:r>
      <w:r w:rsidRPr="003B5206">
        <w:t>NATURAL GAS OPERATIONS</w:t>
      </w:r>
      <w:bookmarkEnd w:id="43"/>
      <w:r w:rsidRPr="003B5206">
        <w:t xml:space="preserve"> </w:t>
      </w:r>
    </w:p>
    <w:p w:rsidR="007816E1" w:rsidRPr="003B5206" w:rsidRDefault="007816E1" w:rsidP="007816E1">
      <w:pPr>
        <w:pStyle w:val="Heading2"/>
        <w:spacing w:before="240" w:after="320"/>
      </w:pPr>
      <w:bookmarkStart w:id="44" w:name="_Toc471912925"/>
      <w:r w:rsidRPr="003B5206">
        <w:rPr>
          <w:u w:val="none"/>
        </w:rPr>
        <w:t>A.</w:t>
      </w:r>
      <w:r w:rsidRPr="003B5206">
        <w:rPr>
          <w:u w:val="none"/>
        </w:rPr>
        <w:tab/>
      </w:r>
      <w:r>
        <w:t xml:space="preserve">Pro Forma Revenue </w:t>
      </w:r>
      <w:r w:rsidR="0026017D">
        <w:t>Electric Operations</w:t>
      </w:r>
      <w:bookmarkEnd w:id="44"/>
    </w:p>
    <w:p w:rsidR="0026017D" w:rsidRPr="003B5206" w:rsidRDefault="0026017D" w:rsidP="0026017D">
      <w:pPr>
        <w:pStyle w:val="question"/>
        <w:keepLines/>
        <w:widowControl w:val="0"/>
        <w:spacing w:before="120"/>
      </w:pPr>
      <w:r w:rsidRPr="003B5206">
        <w:t>Q.</w:t>
      </w:r>
      <w:r w:rsidRPr="003B5206">
        <w:tab/>
        <w:t>What is pro forma revenue?</w:t>
      </w:r>
    </w:p>
    <w:p w:rsidR="0026017D" w:rsidRPr="003B5206" w:rsidRDefault="0026017D" w:rsidP="0026017D">
      <w:pPr>
        <w:pStyle w:val="answer"/>
        <w:widowControl w:val="0"/>
      </w:pPr>
      <w:r w:rsidRPr="003B5206">
        <w:t>A.</w:t>
      </w:r>
      <w:r w:rsidRPr="003B5206">
        <w:tab/>
        <w:t>Pro forma revenue is an estimate of test year revenue based on test year billing determinants (</w:t>
      </w:r>
      <w:r w:rsidRPr="003B5206">
        <w:rPr>
          <w:i/>
        </w:rPr>
        <w:t>e.g.,</w:t>
      </w:r>
      <w:r w:rsidRPr="003B5206">
        <w:t xml:space="preserve"> </w:t>
      </w:r>
      <w:r>
        <w:t>energy sales</w:t>
      </w:r>
      <w:r w:rsidRPr="003B5206">
        <w:t xml:space="preserve">, </w:t>
      </w:r>
      <w:r>
        <w:t xml:space="preserve">billed </w:t>
      </w:r>
      <w:r w:rsidRPr="003B5206">
        <w:t>demand, number of bills) and the rates that are in place at the time of filing for a rate change.  It is developed to ensure that the test year revenue used in calculating the revenue deficiency</w:t>
      </w:r>
      <w:r>
        <w:t>:</w:t>
      </w:r>
      <w:r w:rsidRPr="003B5206">
        <w:t xml:space="preserve"> (1) reflects only those rate schedules that are being considered in the present case, (2) encompasses any rate changes that have taken place during or since the test year, and (3) is consistent with the normalized test year revenue requirement and loads.  The billing determinants used to produce pro forma revenue are also used to estimate the revenue from proposed rates.</w:t>
      </w:r>
    </w:p>
    <w:p w:rsidR="0026017D" w:rsidRPr="003B5206" w:rsidRDefault="0026017D" w:rsidP="0026017D">
      <w:pPr>
        <w:pStyle w:val="question"/>
        <w:keepLines/>
        <w:widowControl w:val="0"/>
        <w:spacing w:before="120"/>
      </w:pPr>
      <w:r w:rsidRPr="003B5206">
        <w:t>Q.</w:t>
      </w:r>
      <w:r w:rsidRPr="003B5206">
        <w:tab/>
        <w:t>Have you prepared an exhibit that demonstrates PSE’s development of its pro forma revenue</w:t>
      </w:r>
      <w:r>
        <w:t xml:space="preserve"> from electric operations</w:t>
      </w:r>
      <w:r w:rsidRPr="003B5206">
        <w:t>?</w:t>
      </w:r>
    </w:p>
    <w:p w:rsidR="0026017D" w:rsidRPr="003B5206" w:rsidRDefault="0026017D" w:rsidP="0026017D">
      <w:pPr>
        <w:pStyle w:val="answer"/>
      </w:pPr>
      <w:r w:rsidRPr="003B5206">
        <w:t>A.</w:t>
      </w:r>
      <w:r w:rsidRPr="003B5206">
        <w:tab/>
        <w:t xml:space="preserve">Yes, I have.  It is the </w:t>
      </w:r>
      <w:r>
        <w:t xml:space="preserve">Second </w:t>
      </w:r>
      <w:r w:rsidRPr="003B5206">
        <w:t>Exhibit to my Prefiled Direct Testimony, Exhibit No. ___(</w:t>
      </w:r>
      <w:r>
        <w:t>JA</w:t>
      </w:r>
      <w:r w:rsidRPr="003B5206">
        <w:t>P-</w:t>
      </w:r>
      <w:r w:rsidR="003B5556">
        <w:fldChar w:fldCharType="begin"/>
      </w:r>
      <w:r w:rsidR="003B5556">
        <w:instrText xml:space="preserve"> REF _Ref441672438 \r \h </w:instrText>
      </w:r>
      <w:r w:rsidR="003B5556">
        <w:fldChar w:fldCharType="separate"/>
      </w:r>
      <w:r w:rsidR="0035666C">
        <w:t>3</w:t>
      </w:r>
      <w:r w:rsidR="003B5556">
        <w:fldChar w:fldCharType="end"/>
      </w:r>
      <w:r w:rsidRPr="003B5206">
        <w:t>).</w:t>
      </w:r>
    </w:p>
    <w:p w:rsidR="007816E1" w:rsidRPr="009075DC" w:rsidRDefault="007816E1" w:rsidP="007816E1">
      <w:pPr>
        <w:pStyle w:val="question"/>
        <w:widowControl w:val="0"/>
        <w:rPr>
          <w:rFonts w:eastAsia="SimSun"/>
        </w:rPr>
      </w:pPr>
      <w:r w:rsidRPr="009075DC">
        <w:rPr>
          <w:rFonts w:eastAsia="SimSun"/>
        </w:rPr>
        <w:t>Q.</w:t>
      </w:r>
      <w:r w:rsidRPr="009075DC">
        <w:rPr>
          <w:rFonts w:eastAsia="SimSun"/>
        </w:rPr>
        <w:tab/>
      </w:r>
      <w:r w:rsidR="005E446E">
        <w:rPr>
          <w:rFonts w:eastAsia="SimSun"/>
        </w:rPr>
        <w:t>Please explain page one of Exhibit No.___(JAP-</w:t>
      </w:r>
      <w:r w:rsidR="005E446E">
        <w:rPr>
          <w:rFonts w:eastAsia="SimSun"/>
        </w:rPr>
        <w:fldChar w:fldCharType="begin"/>
      </w:r>
      <w:r w:rsidR="005E446E">
        <w:rPr>
          <w:rFonts w:eastAsia="SimSun"/>
        </w:rPr>
        <w:instrText xml:space="preserve"> REF _Ref441672438 \r \h </w:instrText>
      </w:r>
      <w:r w:rsidR="005E446E">
        <w:rPr>
          <w:rFonts w:eastAsia="SimSun"/>
        </w:rPr>
      </w:r>
      <w:r w:rsidR="005E446E">
        <w:rPr>
          <w:rFonts w:eastAsia="SimSun"/>
        </w:rPr>
        <w:fldChar w:fldCharType="separate"/>
      </w:r>
      <w:r w:rsidR="0035666C">
        <w:rPr>
          <w:rFonts w:eastAsia="SimSun"/>
        </w:rPr>
        <w:t>3</w:t>
      </w:r>
      <w:r w:rsidR="005E446E">
        <w:rPr>
          <w:rFonts w:eastAsia="SimSun"/>
        </w:rPr>
        <w:fldChar w:fldCharType="end"/>
      </w:r>
      <w:r w:rsidR="005E446E">
        <w:rPr>
          <w:rFonts w:eastAsia="SimSun"/>
        </w:rPr>
        <w:t xml:space="preserve">), </w:t>
      </w:r>
      <w:r w:rsidR="00255B54">
        <w:rPr>
          <w:rFonts w:eastAsia="SimSun"/>
        </w:rPr>
        <w:t>Pro Forma</w:t>
      </w:r>
      <w:r w:rsidR="005E446E">
        <w:rPr>
          <w:rFonts w:eastAsia="SimSun"/>
        </w:rPr>
        <w:t xml:space="preserve"> Delivered Sales</w:t>
      </w:r>
      <w:r w:rsidR="00B86876">
        <w:rPr>
          <w:rFonts w:eastAsia="SimSun"/>
        </w:rPr>
        <w:t>.</w:t>
      </w:r>
    </w:p>
    <w:p w:rsidR="004C69B5" w:rsidRDefault="007816E1" w:rsidP="005E446E">
      <w:pPr>
        <w:pStyle w:val="answer"/>
        <w:widowControl w:val="0"/>
      </w:pPr>
      <w:r w:rsidRPr="009075DC">
        <w:rPr>
          <w:rFonts w:eastAsia="SimSun"/>
        </w:rPr>
        <w:t>A.</w:t>
      </w:r>
      <w:r w:rsidRPr="009075DC">
        <w:rPr>
          <w:rFonts w:eastAsia="SimSun"/>
        </w:rPr>
        <w:tab/>
      </w:r>
      <w:r w:rsidR="005E446E">
        <w:t>P</w:t>
      </w:r>
      <w:r w:rsidR="005E446E" w:rsidRPr="003B5206">
        <w:t xml:space="preserve">ro forma revenue is based on test year billing determinants, which </w:t>
      </w:r>
      <w:r w:rsidR="00255B54">
        <w:t xml:space="preserve">is </w:t>
      </w:r>
      <w:r w:rsidR="00541AB6">
        <w:t xml:space="preserve">primarily based on </w:t>
      </w:r>
      <w:r w:rsidR="005E446E">
        <w:t>energy sales</w:t>
      </w:r>
      <w:r w:rsidR="005E446E" w:rsidRPr="003B5206">
        <w:t xml:space="preserve">.  </w:t>
      </w:r>
      <w:r w:rsidR="0045217A">
        <w:t>Therefore, a</w:t>
      </w:r>
      <w:r w:rsidR="00541AB6">
        <w:t xml:space="preserve"> key step in d</w:t>
      </w:r>
      <w:r w:rsidR="005E446E" w:rsidRPr="003B5206">
        <w:t xml:space="preserve">eveloping pro forma revenue involves making </w:t>
      </w:r>
      <w:r w:rsidR="0045217A">
        <w:t xml:space="preserve">normalizing </w:t>
      </w:r>
      <w:r w:rsidR="005E446E" w:rsidRPr="003B5206">
        <w:t xml:space="preserve">adjustments to test year </w:t>
      </w:r>
      <w:r w:rsidR="005E446E">
        <w:t>energy sales</w:t>
      </w:r>
      <w:r w:rsidR="005E446E" w:rsidRPr="003B5206">
        <w:t xml:space="preserve">.  PSE’s </w:t>
      </w:r>
      <w:r w:rsidR="005E446E" w:rsidRPr="003B5206">
        <w:lastRenderedPageBreak/>
        <w:t xml:space="preserve">adjustments to test year </w:t>
      </w:r>
      <w:r w:rsidR="005E446E">
        <w:t>electricity sales</w:t>
      </w:r>
      <w:r w:rsidR="005E446E" w:rsidRPr="003B5206">
        <w:t xml:space="preserve"> for this case are summarized on page one of Exhibit No. </w:t>
      </w:r>
      <w:r w:rsidR="005E446E" w:rsidRPr="003B5206">
        <w:rPr>
          <w:rStyle w:val="Strong"/>
          <w:b w:val="0"/>
        </w:rPr>
        <w:t>___(</w:t>
      </w:r>
      <w:r w:rsidR="005E446E" w:rsidRPr="003B5206">
        <w:t>J</w:t>
      </w:r>
      <w:r w:rsidR="005E446E">
        <w:t>A</w:t>
      </w:r>
      <w:r w:rsidR="005E446E" w:rsidRPr="003B5206">
        <w:t>P-</w:t>
      </w:r>
      <w:r w:rsidR="005E446E">
        <w:fldChar w:fldCharType="begin"/>
      </w:r>
      <w:r w:rsidR="005E446E">
        <w:instrText xml:space="preserve"> REF _Ref441672438 \r \h </w:instrText>
      </w:r>
      <w:r w:rsidR="005E446E">
        <w:fldChar w:fldCharType="separate"/>
      </w:r>
      <w:r w:rsidR="0035666C">
        <w:t>3</w:t>
      </w:r>
      <w:r w:rsidR="005E446E">
        <w:fldChar w:fldCharType="end"/>
      </w:r>
      <w:r w:rsidR="005E446E" w:rsidRPr="003B5206">
        <w:t xml:space="preserve">).  </w:t>
      </w:r>
    </w:p>
    <w:p w:rsidR="004C69B5" w:rsidRDefault="005E446E" w:rsidP="004C69B5">
      <w:pPr>
        <w:pStyle w:val="answer"/>
        <w:widowControl w:val="0"/>
        <w:ind w:firstLine="0"/>
      </w:pPr>
      <w:r w:rsidRPr="003B5206">
        <w:t xml:space="preserve">Column </w:t>
      </w:r>
      <w:r w:rsidR="008E1824">
        <w:t>d</w:t>
      </w:r>
      <w:r w:rsidRPr="003B5206">
        <w:t xml:space="preserve"> of page one shows the </w:t>
      </w:r>
      <w:r>
        <w:t xml:space="preserve">billed electricity </w:t>
      </w:r>
      <w:r w:rsidRPr="003B5206">
        <w:t xml:space="preserve">sales for the test year in this proceeding, which is </w:t>
      </w:r>
      <w:r>
        <w:t>the twelve months ending September 201</w:t>
      </w:r>
      <w:r w:rsidR="00B01500">
        <w:t>6</w:t>
      </w:r>
      <w:r w:rsidRPr="003B5206">
        <w:t>.</w:t>
      </w:r>
      <w:r>
        <w:t xml:space="preserve"> </w:t>
      </w:r>
    </w:p>
    <w:p w:rsidR="005E446E" w:rsidRPr="003B5206" w:rsidRDefault="005E446E" w:rsidP="004C69B5">
      <w:pPr>
        <w:pStyle w:val="answer"/>
        <w:widowControl w:val="0"/>
        <w:ind w:firstLine="0"/>
      </w:pPr>
      <w:r>
        <w:t>C</w:t>
      </w:r>
      <w:r w:rsidRPr="003B5206">
        <w:t xml:space="preserve">olumn </w:t>
      </w:r>
      <w:r w:rsidR="008E1824">
        <w:t>e</w:t>
      </w:r>
      <w:r w:rsidRPr="003B5206">
        <w:t xml:space="preserve"> include</w:t>
      </w:r>
      <w:r>
        <w:t>s</w:t>
      </w:r>
      <w:r w:rsidRPr="003B5206">
        <w:t xml:space="preserve"> an </w:t>
      </w:r>
      <w:r w:rsidR="003B67E4">
        <w:t xml:space="preserve">adjustment for </w:t>
      </w:r>
      <w:r w:rsidRPr="003B5206">
        <w:t xml:space="preserve">unbilled </w:t>
      </w:r>
      <w:r>
        <w:t>electricity sales</w:t>
      </w:r>
      <w:r w:rsidRPr="003B5206">
        <w:t>.  Th</w:t>
      </w:r>
      <w:r w:rsidR="003B67E4">
        <w:t>is column</w:t>
      </w:r>
      <w:r w:rsidRPr="003B5206">
        <w:t xml:space="preserve"> adjusts for the fact that customers’ bills are issued throughout the month and do not correspond to calendar months.  The </w:t>
      </w:r>
      <w:r w:rsidR="003B67E4">
        <w:t>unbilled sales</w:t>
      </w:r>
      <w:r w:rsidRPr="003B5206">
        <w:t xml:space="preserve"> in column </w:t>
      </w:r>
      <w:r w:rsidR="008E1824">
        <w:t>e</w:t>
      </w:r>
      <w:r w:rsidRPr="003B5206">
        <w:t>, which underlies PSE’s income statement</w:t>
      </w:r>
      <w:r w:rsidR="0045217A">
        <w:t>,</w:t>
      </w:r>
      <w:r w:rsidRPr="003B5206">
        <w:t xml:space="preserve"> removes the portion of </w:t>
      </w:r>
      <w:r w:rsidR="00541AB6">
        <w:t>sales</w:t>
      </w:r>
      <w:r w:rsidRPr="003B5206">
        <w:t xml:space="preserve"> that was consumed in the previous month, and adds an estimate of sales that occurred during the calendar month but were not yet billed. </w:t>
      </w:r>
    </w:p>
    <w:p w:rsidR="004C69B5" w:rsidRDefault="005E446E" w:rsidP="005E446E">
      <w:pPr>
        <w:pStyle w:val="answer"/>
        <w:widowControl w:val="0"/>
        <w:ind w:firstLine="0"/>
      </w:pPr>
      <w:r w:rsidRPr="003B5206">
        <w:t>The Schedule 4</w:t>
      </w:r>
      <w:r w:rsidR="00541AB6">
        <w:t>0</w:t>
      </w:r>
      <w:r w:rsidRPr="003B5206">
        <w:t xml:space="preserve"> migration adjustment in column </w:t>
      </w:r>
      <w:r w:rsidR="008E1824">
        <w:t>f</w:t>
      </w:r>
      <w:r w:rsidRPr="003B5206">
        <w:t xml:space="preserve"> reflects estimated movement </w:t>
      </w:r>
      <w:r w:rsidR="00255B54">
        <w:t xml:space="preserve">of customers and sales </w:t>
      </w:r>
      <w:r w:rsidR="00FA7797">
        <w:t xml:space="preserve">between </w:t>
      </w:r>
      <w:r w:rsidRPr="003B5206">
        <w:t>Schedule</w:t>
      </w:r>
      <w:r w:rsidR="00541AB6">
        <w:t>s</w:t>
      </w:r>
      <w:r w:rsidRPr="003B5206">
        <w:t xml:space="preserve"> </w:t>
      </w:r>
      <w:r w:rsidR="00541AB6">
        <w:t xml:space="preserve">24, 25, 26 and 31 </w:t>
      </w:r>
      <w:r w:rsidR="00FA7797">
        <w:t>and</w:t>
      </w:r>
      <w:r w:rsidR="004C69B5">
        <w:t xml:space="preserve"> Schedule 40 for two new “campus” locations</w:t>
      </w:r>
      <w:r w:rsidR="00FA7797">
        <w:t xml:space="preserve"> and one existing location that will be removed from Schedule 40</w:t>
      </w:r>
      <w:r w:rsidRPr="003B5206">
        <w:t xml:space="preserve">. </w:t>
      </w:r>
      <w:r w:rsidR="0045217A">
        <w:t xml:space="preserve"> These customer migrations are discussed further in the context of Schedule 40 rate design later in this testimony.</w:t>
      </w:r>
    </w:p>
    <w:p w:rsidR="00040E73" w:rsidRDefault="00040E73" w:rsidP="005E446E">
      <w:pPr>
        <w:pStyle w:val="answer"/>
        <w:widowControl w:val="0"/>
        <w:ind w:firstLine="0"/>
      </w:pPr>
      <w:r>
        <w:t xml:space="preserve">The Schedule 46 adjustment in column </w:t>
      </w:r>
      <w:r w:rsidR="008E1824">
        <w:t>g</w:t>
      </w:r>
      <w:r>
        <w:t xml:space="preserve"> reflects the correction for a </w:t>
      </w:r>
      <w:r w:rsidR="00935C3E">
        <w:t xml:space="preserve">multi-year </w:t>
      </w:r>
      <w:r>
        <w:t xml:space="preserve">metering error that was discovered late in the test year in this case.  The </w:t>
      </w:r>
      <w:r w:rsidR="00935C3E">
        <w:t xml:space="preserve">related </w:t>
      </w:r>
      <w:r>
        <w:t xml:space="preserve">revenue </w:t>
      </w:r>
      <w:r w:rsidR="00935C3E">
        <w:t xml:space="preserve">corrections </w:t>
      </w:r>
      <w:r>
        <w:t>were pro</w:t>
      </w:r>
      <w:r w:rsidR="00FB1985">
        <w:t xml:space="preserve"> </w:t>
      </w:r>
      <w:r>
        <w:t xml:space="preserve">formed into the months in which the use would have occurred.  </w:t>
      </w:r>
    </w:p>
    <w:p w:rsidR="005E446E" w:rsidRPr="003B5206" w:rsidRDefault="005E446E" w:rsidP="005E446E">
      <w:pPr>
        <w:pStyle w:val="answer"/>
        <w:widowControl w:val="0"/>
        <w:ind w:firstLine="0"/>
      </w:pPr>
      <w:r w:rsidRPr="003B5206">
        <w:t xml:space="preserve">The </w:t>
      </w:r>
      <w:r w:rsidR="004C69B5">
        <w:t>temperature</w:t>
      </w:r>
      <w:r w:rsidRPr="003B5206">
        <w:t xml:space="preserve"> adjustment to </w:t>
      </w:r>
      <w:r w:rsidR="004C69B5">
        <w:t>electricity sales</w:t>
      </w:r>
      <w:r w:rsidRPr="003B5206">
        <w:t xml:space="preserve"> presented in column </w:t>
      </w:r>
      <w:r w:rsidR="008E1824">
        <w:t>h</w:t>
      </w:r>
      <w:r w:rsidRPr="003B5206">
        <w:t xml:space="preserve"> </w:t>
      </w:r>
      <w:r w:rsidR="00F20204">
        <w:t xml:space="preserve">adjusts for </w:t>
      </w:r>
      <w:r w:rsidRPr="003B5206">
        <w:t xml:space="preserve">the effect of non-normal temperatures from test year loads, so that test year loads </w:t>
      </w:r>
      <w:r w:rsidRPr="003B5206">
        <w:lastRenderedPageBreak/>
        <w:t>and revenues are more reflective of normal operating conditions.  This adjustment is described in the Prefiled Direct Testimony of Dr. Chun K. Chang, Exhibit No.___(CKC-1T).</w:t>
      </w:r>
    </w:p>
    <w:p w:rsidR="005E446E" w:rsidRPr="003B5206" w:rsidRDefault="00255B54" w:rsidP="005E446E">
      <w:pPr>
        <w:pStyle w:val="answer"/>
        <w:widowControl w:val="0"/>
        <w:ind w:firstLine="0"/>
      </w:pPr>
      <w:r>
        <w:t>Pro forma</w:t>
      </w:r>
      <w:r w:rsidR="005E446E" w:rsidRPr="003B5206">
        <w:t xml:space="preserve"> </w:t>
      </w:r>
      <w:r w:rsidR="004C69B5">
        <w:t>electricity sales</w:t>
      </w:r>
      <w:r w:rsidR="005E446E" w:rsidRPr="003B5206">
        <w:t xml:space="preserve"> that reflects all of these adjustments</w:t>
      </w:r>
      <w:r>
        <w:t xml:space="preserve"> is</w:t>
      </w:r>
      <w:r w:rsidR="005E446E">
        <w:t xml:space="preserve"> totaled in column </w:t>
      </w:r>
      <w:r w:rsidR="008E1824">
        <w:t>c</w:t>
      </w:r>
      <w:r>
        <w:t xml:space="preserve">.  Total pro forma electricity sales </w:t>
      </w:r>
      <w:r w:rsidR="0045217A">
        <w:t xml:space="preserve">are </w:t>
      </w:r>
      <w:r w:rsidR="005E446E" w:rsidRPr="003B5206">
        <w:t xml:space="preserve">used for calculating </w:t>
      </w:r>
      <w:r w:rsidR="0045217A">
        <w:t xml:space="preserve">the </w:t>
      </w:r>
      <w:r w:rsidR="005E446E" w:rsidRPr="003B5206">
        <w:t xml:space="preserve">pro forma revenue </w:t>
      </w:r>
      <w:r w:rsidR="0045217A">
        <w:t xml:space="preserve">that </w:t>
      </w:r>
      <w:r w:rsidR="005E446E" w:rsidRPr="003B5206">
        <w:t xml:space="preserve">is presented in column </w:t>
      </w:r>
      <w:r w:rsidR="008E1824">
        <w:t>i</w:t>
      </w:r>
      <w:r w:rsidR="005E446E" w:rsidRPr="003B5206">
        <w:t xml:space="preserve"> on page one of Exhibit No. </w:t>
      </w:r>
      <w:r w:rsidR="005E446E" w:rsidRPr="003B5206">
        <w:rPr>
          <w:rStyle w:val="Strong"/>
          <w:b w:val="0"/>
        </w:rPr>
        <w:t>___(</w:t>
      </w:r>
      <w:r w:rsidR="005E446E" w:rsidRPr="003B5206">
        <w:t>J</w:t>
      </w:r>
      <w:r w:rsidR="005E446E">
        <w:t>A</w:t>
      </w:r>
      <w:r w:rsidR="005E446E" w:rsidRPr="003B5206">
        <w:t>P-</w:t>
      </w:r>
      <w:r w:rsidR="00CD3F12">
        <w:fldChar w:fldCharType="begin"/>
      </w:r>
      <w:r w:rsidR="00CD3F12">
        <w:instrText xml:space="preserve"> REF _Ref441672438 \r \h </w:instrText>
      </w:r>
      <w:r w:rsidR="00CD3F12">
        <w:fldChar w:fldCharType="separate"/>
      </w:r>
      <w:r w:rsidR="0035666C">
        <w:t>3</w:t>
      </w:r>
      <w:r w:rsidR="00CD3F12">
        <w:fldChar w:fldCharType="end"/>
      </w:r>
      <w:r w:rsidR="005E446E" w:rsidRPr="003B5206">
        <w:t>).</w:t>
      </w:r>
    </w:p>
    <w:p w:rsidR="00CD3F12" w:rsidRPr="003B5206" w:rsidRDefault="00CD3F12" w:rsidP="00CD3F12">
      <w:pPr>
        <w:pStyle w:val="question"/>
        <w:keepLines/>
        <w:widowControl w:val="0"/>
        <w:spacing w:before="120"/>
      </w:pPr>
      <w:r w:rsidRPr="003B5206">
        <w:t>Q.</w:t>
      </w:r>
      <w:r w:rsidRPr="003B5206">
        <w:tab/>
        <w:t>Please explain page two of Exhibit No. </w:t>
      </w:r>
      <w:r w:rsidRPr="003B5206">
        <w:rPr>
          <w:rStyle w:val="Strong"/>
          <w:b/>
        </w:rPr>
        <w:t>___(</w:t>
      </w:r>
      <w:r w:rsidRPr="003B5206">
        <w:t>J</w:t>
      </w:r>
      <w:r>
        <w:t>A</w:t>
      </w:r>
      <w:r w:rsidRPr="003B5206">
        <w:t>P-</w:t>
      </w:r>
      <w:r>
        <w:fldChar w:fldCharType="begin"/>
      </w:r>
      <w:r>
        <w:instrText xml:space="preserve"> REF _Ref441672438 \r \h </w:instrText>
      </w:r>
      <w:r>
        <w:fldChar w:fldCharType="separate"/>
      </w:r>
      <w:r w:rsidR="0035666C">
        <w:t>3</w:t>
      </w:r>
      <w:r>
        <w:fldChar w:fldCharType="end"/>
      </w:r>
      <w:r w:rsidRPr="003B5206">
        <w:t xml:space="preserve">), </w:t>
      </w:r>
      <w:r>
        <w:t>Pro Forma Revenue Summary</w:t>
      </w:r>
      <w:r w:rsidRPr="003B5206">
        <w:t>.</w:t>
      </w:r>
    </w:p>
    <w:p w:rsidR="00CD3F12" w:rsidRPr="003B5206" w:rsidRDefault="00CD3F12" w:rsidP="00CD3F12">
      <w:pPr>
        <w:pStyle w:val="answer"/>
        <w:widowControl w:val="0"/>
      </w:pPr>
      <w:r w:rsidRPr="003B5206">
        <w:t>A.</w:t>
      </w:r>
      <w:r w:rsidRPr="003B5206">
        <w:tab/>
        <w:t>Page two of Exhibit No. </w:t>
      </w:r>
      <w:r w:rsidRPr="003B5206">
        <w:rPr>
          <w:rStyle w:val="Strong"/>
          <w:b w:val="0"/>
        </w:rPr>
        <w:t>___(</w:t>
      </w:r>
      <w:r w:rsidRPr="003B5206">
        <w:t>J</w:t>
      </w:r>
      <w:r>
        <w:t>A</w:t>
      </w:r>
      <w:r w:rsidRPr="003B5206">
        <w:t>P-</w:t>
      </w:r>
      <w:r>
        <w:fldChar w:fldCharType="begin"/>
      </w:r>
      <w:r>
        <w:instrText xml:space="preserve"> REF _Ref441672438 \r \h </w:instrText>
      </w:r>
      <w:r>
        <w:fldChar w:fldCharType="separate"/>
      </w:r>
      <w:r w:rsidR="0035666C">
        <w:t>3</w:t>
      </w:r>
      <w:r>
        <w:fldChar w:fldCharType="end"/>
      </w:r>
      <w:r w:rsidRPr="003B5206">
        <w:t xml:space="preserve">) presents explanations of the differences between test year revenue, as presented in PSE’s income statement, and pro forma revenue, as calculated based on billing determinants and rates.  The revenue included in the test year income statement is presented in </w:t>
      </w:r>
      <w:r w:rsidR="00C736E6">
        <w:t>row 1</w:t>
      </w:r>
      <w:r w:rsidRPr="003B5206">
        <w:t xml:space="preserve"> of page two, and pro forma revenue based on billing determinants and current rates is in </w:t>
      </w:r>
      <w:r w:rsidR="00FA7797">
        <w:t>row</w:t>
      </w:r>
      <w:r w:rsidRPr="003B5206">
        <w:t xml:space="preserve"> </w:t>
      </w:r>
      <w:r w:rsidR="00C736E6">
        <w:t>32</w:t>
      </w:r>
      <w:r w:rsidRPr="003B5206">
        <w:t xml:space="preserve">.  The items presented in </w:t>
      </w:r>
      <w:r w:rsidR="00C736E6">
        <w:t xml:space="preserve">rows 4 </w:t>
      </w:r>
      <w:r w:rsidRPr="003B5206">
        <w:t xml:space="preserve">through </w:t>
      </w:r>
      <w:r w:rsidR="00C736E6">
        <w:t>30</w:t>
      </w:r>
      <w:r w:rsidRPr="003B5206">
        <w:t xml:space="preserve"> are explanations of the differences between the income statement and pro forma revenue.  These items are related to:</w:t>
      </w:r>
    </w:p>
    <w:p w:rsidR="00CD3F12" w:rsidRPr="003B5206" w:rsidRDefault="00CD3F12" w:rsidP="00756AAC">
      <w:pPr>
        <w:pStyle w:val="answer"/>
        <w:widowControl w:val="0"/>
        <w:numPr>
          <w:ilvl w:val="0"/>
          <w:numId w:val="26"/>
        </w:numPr>
        <w:tabs>
          <w:tab w:val="clear" w:pos="1800"/>
          <w:tab w:val="num" w:pos="2160"/>
        </w:tabs>
        <w:spacing w:line="240" w:lineRule="auto"/>
        <w:ind w:left="2160" w:right="720" w:hanging="720"/>
        <w:rPr>
          <w:szCs w:val="24"/>
        </w:rPr>
      </w:pPr>
      <w:r w:rsidRPr="003B5206">
        <w:t xml:space="preserve">removal of revenue from </w:t>
      </w:r>
      <w:r>
        <w:t xml:space="preserve">municipal taxes and </w:t>
      </w:r>
      <w:r w:rsidRPr="003B5206">
        <w:t>adjusting price schedules</w:t>
      </w:r>
      <w:r>
        <w:t xml:space="preserve"> </w:t>
      </w:r>
      <w:r w:rsidRPr="003B5206">
        <w:t>(</w:t>
      </w:r>
      <w:r w:rsidR="00C736E6">
        <w:t>rows 4-16</w:t>
      </w:r>
      <w:r w:rsidRPr="003B5206">
        <w:t>);</w:t>
      </w:r>
    </w:p>
    <w:p w:rsidR="00CD3F12" w:rsidRPr="003B5206" w:rsidRDefault="00CD3F12" w:rsidP="00756AAC">
      <w:pPr>
        <w:pStyle w:val="answer"/>
        <w:widowControl w:val="0"/>
        <w:numPr>
          <w:ilvl w:val="0"/>
          <w:numId w:val="26"/>
        </w:numPr>
        <w:tabs>
          <w:tab w:val="clear" w:pos="1800"/>
          <w:tab w:val="num" w:pos="2160"/>
        </w:tabs>
        <w:spacing w:line="240" w:lineRule="auto"/>
        <w:ind w:left="2160" w:right="720" w:hanging="720"/>
        <w:rPr>
          <w:szCs w:val="24"/>
        </w:rPr>
      </w:pPr>
      <w:r w:rsidRPr="003B5206">
        <w:rPr>
          <w:szCs w:val="24"/>
        </w:rPr>
        <w:t xml:space="preserve">the previously-discussed restating </w:t>
      </w:r>
      <w:r w:rsidR="00C736E6">
        <w:rPr>
          <w:szCs w:val="24"/>
        </w:rPr>
        <w:t xml:space="preserve">adjustment </w:t>
      </w:r>
      <w:r w:rsidRPr="003B5206">
        <w:rPr>
          <w:szCs w:val="24"/>
        </w:rPr>
        <w:t>change</w:t>
      </w:r>
      <w:r w:rsidR="00C736E6">
        <w:rPr>
          <w:szCs w:val="24"/>
        </w:rPr>
        <w:t>s</w:t>
      </w:r>
      <w:r w:rsidRPr="003B5206">
        <w:rPr>
          <w:szCs w:val="24"/>
        </w:rPr>
        <w:t xml:space="preserve"> in unbilled revenue adjustment (</w:t>
      </w:r>
      <w:r w:rsidR="00C736E6">
        <w:rPr>
          <w:szCs w:val="24"/>
        </w:rPr>
        <w:t>row 24</w:t>
      </w:r>
      <w:r w:rsidRPr="003B5206">
        <w:rPr>
          <w:szCs w:val="24"/>
        </w:rPr>
        <w:t>);</w:t>
      </w:r>
    </w:p>
    <w:p w:rsidR="0045217A" w:rsidRDefault="00CD3F12" w:rsidP="00756AAC">
      <w:pPr>
        <w:pStyle w:val="answer"/>
        <w:widowControl w:val="0"/>
        <w:numPr>
          <w:ilvl w:val="0"/>
          <w:numId w:val="26"/>
        </w:numPr>
        <w:tabs>
          <w:tab w:val="clear" w:pos="1800"/>
          <w:tab w:val="num" w:pos="2160"/>
        </w:tabs>
        <w:spacing w:line="240" w:lineRule="auto"/>
        <w:ind w:left="2160" w:right="720" w:hanging="720"/>
      </w:pPr>
      <w:r w:rsidRPr="003B5206">
        <w:t xml:space="preserve">a schedule migration adjustment that reflects customer movement </w:t>
      </w:r>
      <w:r>
        <w:t xml:space="preserve">from Schedules </w:t>
      </w:r>
      <w:r w:rsidR="00C736E6">
        <w:t xml:space="preserve">24, 25, 26 </w:t>
      </w:r>
      <w:r>
        <w:t xml:space="preserve">and </w:t>
      </w:r>
      <w:r w:rsidR="00C736E6">
        <w:t>31</w:t>
      </w:r>
      <w:r w:rsidRPr="003B5206">
        <w:t xml:space="preserve"> </w:t>
      </w:r>
      <w:r>
        <w:t>to Schedule</w:t>
      </w:r>
      <w:r w:rsidR="00C736E6">
        <w:t xml:space="preserve"> 40</w:t>
      </w:r>
      <w:r w:rsidRPr="003B5206">
        <w:t xml:space="preserve"> (</w:t>
      </w:r>
      <w:r w:rsidR="00C736E6">
        <w:t>row 2</w:t>
      </w:r>
      <w:r w:rsidR="0045217A">
        <w:t>6</w:t>
      </w:r>
      <w:r w:rsidRPr="003B5206">
        <w:t xml:space="preserve">); </w:t>
      </w:r>
    </w:p>
    <w:p w:rsidR="00CD3F12" w:rsidRPr="003B5206" w:rsidRDefault="0045217A" w:rsidP="00756AAC">
      <w:pPr>
        <w:pStyle w:val="answer"/>
        <w:widowControl w:val="0"/>
        <w:numPr>
          <w:ilvl w:val="0"/>
          <w:numId w:val="26"/>
        </w:numPr>
        <w:tabs>
          <w:tab w:val="clear" w:pos="1800"/>
          <w:tab w:val="num" w:pos="2160"/>
        </w:tabs>
        <w:spacing w:line="240" w:lineRule="auto"/>
        <w:ind w:left="2160" w:right="720" w:hanging="720"/>
      </w:pPr>
      <w:r>
        <w:t xml:space="preserve">adjustments for </w:t>
      </w:r>
      <w:r w:rsidR="00FA7797">
        <w:t>out of period</w:t>
      </w:r>
      <w:r>
        <w:t xml:space="preserve"> billing adjustments</w:t>
      </w:r>
      <w:r w:rsidR="00040E73">
        <w:t xml:space="preserve"> and the billing correction for Schedule 46 noted above (row 27)</w:t>
      </w:r>
      <w:r>
        <w:t xml:space="preserve">, </w:t>
      </w:r>
      <w:r w:rsidR="00CD3F12">
        <w:t>and</w:t>
      </w:r>
    </w:p>
    <w:p w:rsidR="00CD3F12" w:rsidRPr="003B5206" w:rsidRDefault="00CD3F12" w:rsidP="00756AAC">
      <w:pPr>
        <w:pStyle w:val="answer"/>
        <w:widowControl w:val="0"/>
        <w:numPr>
          <w:ilvl w:val="0"/>
          <w:numId w:val="26"/>
        </w:numPr>
        <w:tabs>
          <w:tab w:val="clear" w:pos="1800"/>
          <w:tab w:val="num" w:pos="2160"/>
        </w:tabs>
        <w:spacing w:line="240" w:lineRule="auto"/>
        <w:ind w:left="2160" w:right="720" w:hanging="720"/>
      </w:pPr>
      <w:r>
        <w:t>an</w:t>
      </w:r>
      <w:r w:rsidRPr="003B5206">
        <w:t xml:space="preserve"> adjustment to revenue to reflect the </w:t>
      </w:r>
      <w:r w:rsidR="00C736E6">
        <w:t xml:space="preserve">temperature </w:t>
      </w:r>
      <w:r w:rsidR="00C736E6">
        <w:lastRenderedPageBreak/>
        <w:t>normalization</w:t>
      </w:r>
      <w:r w:rsidRPr="003B5206">
        <w:t xml:space="preserve"> adjustment to </w:t>
      </w:r>
      <w:r w:rsidR="00C736E6">
        <w:t>electricity sales</w:t>
      </w:r>
      <w:r w:rsidRPr="003B5206">
        <w:t xml:space="preserve"> (</w:t>
      </w:r>
      <w:r w:rsidR="00C736E6">
        <w:t>row 30</w:t>
      </w:r>
      <w:r w:rsidRPr="003B5206">
        <w:t>)</w:t>
      </w:r>
      <w:r>
        <w:t>.</w:t>
      </w:r>
    </w:p>
    <w:p w:rsidR="003F15E1" w:rsidRPr="009075DC" w:rsidRDefault="003F15E1" w:rsidP="003F15E1">
      <w:pPr>
        <w:pStyle w:val="question"/>
        <w:widowControl w:val="0"/>
        <w:rPr>
          <w:rFonts w:eastAsia="SimSun"/>
        </w:rPr>
      </w:pPr>
      <w:r w:rsidRPr="009075DC">
        <w:rPr>
          <w:rFonts w:eastAsia="SimSun"/>
        </w:rPr>
        <w:t>Q.</w:t>
      </w:r>
      <w:r w:rsidRPr="009075DC">
        <w:rPr>
          <w:rFonts w:eastAsia="SimSun"/>
        </w:rPr>
        <w:tab/>
      </w:r>
      <w:r>
        <w:rPr>
          <w:rFonts w:eastAsia="SimSun"/>
        </w:rPr>
        <w:t>Will rates in any of the adjusting electricity price schedules in rows 4 through 16 change as a result of this filing?</w:t>
      </w:r>
    </w:p>
    <w:p w:rsidR="003F15E1" w:rsidRDefault="003F15E1" w:rsidP="003F15E1">
      <w:pPr>
        <w:pStyle w:val="answer"/>
        <w:widowControl w:val="0"/>
        <w:rPr>
          <w:rFonts w:eastAsia="SimSun"/>
        </w:rPr>
      </w:pPr>
      <w:r w:rsidRPr="009075DC">
        <w:rPr>
          <w:rFonts w:eastAsia="SimSun"/>
        </w:rPr>
        <w:t>A.</w:t>
      </w:r>
      <w:r w:rsidRPr="009075DC">
        <w:rPr>
          <w:rFonts w:eastAsia="SimSun"/>
        </w:rPr>
        <w:tab/>
      </w:r>
      <w:r>
        <w:rPr>
          <w:rFonts w:eastAsia="SimSun"/>
        </w:rPr>
        <w:t>Yes.  Certain adjusting electricity price schedules will be reset contemporaneously with the approval of new base rates in this proceeding.</w:t>
      </w:r>
    </w:p>
    <w:p w:rsidR="003F15E1" w:rsidRDefault="003F15E1" w:rsidP="003F15E1">
      <w:pPr>
        <w:pStyle w:val="answer"/>
        <w:widowControl w:val="0"/>
        <w:ind w:firstLine="0"/>
        <w:rPr>
          <w:rFonts w:eastAsia="SimSun"/>
        </w:rPr>
      </w:pPr>
      <w:r>
        <w:rPr>
          <w:rFonts w:eastAsia="SimSun"/>
        </w:rPr>
        <w:t>First, as has commonly been required in past rate cases, rates within Schedule 95 (Power Cost Adjustment Clause) will be set to zero</w:t>
      </w:r>
      <w:r w:rsidR="00182C81">
        <w:rPr>
          <w:rFonts w:eastAsia="SimSun"/>
        </w:rPr>
        <w:t>,</w:t>
      </w:r>
      <w:r>
        <w:rPr>
          <w:rFonts w:eastAsia="SimSun"/>
        </w:rPr>
        <w:t xml:space="preserve"> as power costs will be fully recovered through the base rates approved in this case.</w:t>
      </w:r>
    </w:p>
    <w:p w:rsidR="003F15E1" w:rsidRDefault="003F15E1" w:rsidP="003F15E1">
      <w:pPr>
        <w:pStyle w:val="answer"/>
        <w:widowControl w:val="0"/>
        <w:ind w:firstLine="0"/>
        <w:rPr>
          <w:rFonts w:eastAsia="SimSun"/>
        </w:rPr>
      </w:pPr>
      <w:r>
        <w:rPr>
          <w:rFonts w:eastAsia="SimSun"/>
        </w:rPr>
        <w:t xml:space="preserve">Next, </w:t>
      </w:r>
      <w:r w:rsidR="00182C81">
        <w:rPr>
          <w:rFonts w:eastAsia="SimSun"/>
        </w:rPr>
        <w:t xml:space="preserve">electric </w:t>
      </w:r>
      <w:r>
        <w:rPr>
          <w:rFonts w:eastAsia="SimSun"/>
        </w:rPr>
        <w:t>Schedule 141, Expedited Rate Filing Rate Adjustment (“ERF”),</w:t>
      </w:r>
      <w:r>
        <w:rPr>
          <w:rStyle w:val="FootnoteReference"/>
          <w:rFonts w:eastAsia="SimSun"/>
        </w:rPr>
        <w:footnoteReference w:id="4"/>
      </w:r>
      <w:r>
        <w:rPr>
          <w:rFonts w:eastAsia="SimSun"/>
        </w:rPr>
        <w:t xml:space="preserve"> was intended as a one-time increase to base rates set in PSE’s 2011 general rate case (“GRC”).</w:t>
      </w:r>
      <w:r>
        <w:rPr>
          <w:rStyle w:val="FootnoteReference"/>
          <w:rFonts w:eastAsia="SimSun"/>
        </w:rPr>
        <w:footnoteReference w:id="5"/>
      </w:r>
      <w:r>
        <w:rPr>
          <w:rFonts w:eastAsia="SimSun"/>
        </w:rPr>
        <w:t xml:space="preserve">  As these revenue</w:t>
      </w:r>
      <w:r w:rsidR="00FA7797">
        <w:rPr>
          <w:rFonts w:eastAsia="SimSun"/>
        </w:rPr>
        <w:t>s</w:t>
      </w:r>
      <w:r>
        <w:rPr>
          <w:rFonts w:eastAsia="SimSun"/>
        </w:rPr>
        <w:t xml:space="preserve"> will now be collected through the base rates </w:t>
      </w:r>
      <w:r w:rsidR="0045217A">
        <w:rPr>
          <w:rFonts w:eastAsia="SimSun"/>
        </w:rPr>
        <w:t xml:space="preserve">approved </w:t>
      </w:r>
      <w:r>
        <w:rPr>
          <w:rFonts w:eastAsia="SimSun"/>
        </w:rPr>
        <w:t>in this case, the rates in this schedule will be set to zero</w:t>
      </w:r>
      <w:r w:rsidRPr="009075DC">
        <w:rPr>
          <w:rFonts w:eastAsia="SimSun"/>
        </w:rPr>
        <w:t>.</w:t>
      </w:r>
      <w:r>
        <w:rPr>
          <w:rFonts w:eastAsia="SimSun"/>
        </w:rPr>
        <w:t xml:space="preserve">  </w:t>
      </w:r>
    </w:p>
    <w:p w:rsidR="003F15E1" w:rsidRDefault="003F15E1" w:rsidP="003F15E1">
      <w:pPr>
        <w:pStyle w:val="answer"/>
        <w:widowControl w:val="0"/>
        <w:ind w:firstLine="0"/>
        <w:rPr>
          <w:rFonts w:eastAsia="SimSun"/>
        </w:rPr>
      </w:pPr>
      <w:r>
        <w:rPr>
          <w:rFonts w:eastAsia="SimSun"/>
        </w:rPr>
        <w:t xml:space="preserve">Finally, and as discussed more fully in Section IX  later in my testimony, rates and allowed revenue per customer within </w:t>
      </w:r>
      <w:r w:rsidR="00182C81">
        <w:rPr>
          <w:rFonts w:eastAsia="SimSun"/>
        </w:rPr>
        <w:t xml:space="preserve">electric </w:t>
      </w:r>
      <w:r>
        <w:rPr>
          <w:rFonts w:eastAsia="SimSun"/>
        </w:rPr>
        <w:t>Schedule 142, Revenue Decoupling Adjustment Mechanism, will be reset to align with the new base rates approved in this case.</w:t>
      </w:r>
    </w:p>
    <w:p w:rsidR="003F15E1" w:rsidRPr="003B5206" w:rsidRDefault="003F15E1" w:rsidP="003F15E1">
      <w:pPr>
        <w:pStyle w:val="question"/>
      </w:pPr>
      <w:r w:rsidRPr="003B5206">
        <w:t>Q.</w:t>
      </w:r>
      <w:r w:rsidRPr="003B5206">
        <w:tab/>
        <w:t xml:space="preserve">What are PSE’s resulting pro forma </w:t>
      </w:r>
      <w:r>
        <w:t>electricity sales</w:t>
      </w:r>
      <w:r w:rsidRPr="003B5206">
        <w:t xml:space="preserve"> and revenue?</w:t>
      </w:r>
    </w:p>
    <w:p w:rsidR="003F15E1" w:rsidRPr="003B5206" w:rsidRDefault="003F15E1" w:rsidP="003F15E1">
      <w:pPr>
        <w:pStyle w:val="answer"/>
        <w:widowControl w:val="0"/>
        <w:rPr>
          <w:szCs w:val="24"/>
        </w:rPr>
      </w:pPr>
      <w:r w:rsidRPr="003B5206">
        <w:t>A.</w:t>
      </w:r>
      <w:r w:rsidRPr="003B5206">
        <w:tab/>
        <w:t xml:space="preserve">The total pro forma </w:t>
      </w:r>
      <w:r>
        <w:t>electricity sales</w:t>
      </w:r>
      <w:r w:rsidRPr="003B5206">
        <w:t xml:space="preserve"> for the test </w:t>
      </w:r>
      <w:r w:rsidRPr="00935C3E">
        <w:t>year is 22</w:t>
      </w:r>
      <w:r w:rsidR="00182C81" w:rsidRPr="00935C3E">
        <w:t>.</w:t>
      </w:r>
      <w:r w:rsidR="0002256A" w:rsidRPr="00935C3E">
        <w:t>82</w:t>
      </w:r>
      <w:r w:rsidR="00182C81" w:rsidRPr="00935C3E">
        <w:t xml:space="preserve"> billion</w:t>
      </w:r>
      <w:r w:rsidRPr="00935C3E">
        <w:t xml:space="preserve"> kWh, and is </w:t>
      </w:r>
      <w:r w:rsidRPr="00935C3E">
        <w:lastRenderedPageBreak/>
        <w:t xml:space="preserve">presented in column </w:t>
      </w:r>
      <w:r w:rsidR="00363E4F">
        <w:t>c</w:t>
      </w:r>
      <w:r w:rsidRPr="00935C3E">
        <w:t xml:space="preserve"> of page one of Exhibit No. </w:t>
      </w:r>
      <w:r w:rsidRPr="00935C3E">
        <w:rPr>
          <w:rStyle w:val="Strong"/>
          <w:b w:val="0"/>
        </w:rPr>
        <w:t>___(</w:t>
      </w:r>
      <w:r w:rsidRPr="00935C3E">
        <w:t>JAP-</w:t>
      </w:r>
      <w:r w:rsidRPr="00935C3E">
        <w:fldChar w:fldCharType="begin"/>
      </w:r>
      <w:r w:rsidRPr="00935C3E">
        <w:instrText xml:space="preserve"> REF _Ref441672438 \r \h </w:instrText>
      </w:r>
      <w:r w:rsidR="00935C3E">
        <w:instrText xml:space="preserve"> \* MERGEFORMAT </w:instrText>
      </w:r>
      <w:r w:rsidRPr="00935C3E">
        <w:fldChar w:fldCharType="separate"/>
      </w:r>
      <w:r w:rsidR="0035666C">
        <w:t>3</w:t>
      </w:r>
      <w:r w:rsidRPr="00935C3E">
        <w:fldChar w:fldCharType="end"/>
      </w:r>
      <w:r w:rsidRPr="00935C3E">
        <w:t>).  The total pro forma revenue is $1.96</w:t>
      </w:r>
      <w:r w:rsidR="0002256A" w:rsidRPr="00935C3E">
        <w:t>4</w:t>
      </w:r>
      <w:r w:rsidRPr="00935C3E">
        <w:t xml:space="preserve"> billion and is presented in</w:t>
      </w:r>
      <w:r w:rsidRPr="003B5206">
        <w:t xml:space="preserve"> column </w:t>
      </w:r>
      <w:r w:rsidR="00363E4F">
        <w:t>b</w:t>
      </w:r>
      <w:r w:rsidRPr="003B5206">
        <w:t xml:space="preserve"> of page two.  </w:t>
      </w:r>
    </w:p>
    <w:p w:rsidR="007816E1" w:rsidRPr="003B5206" w:rsidRDefault="007816E1" w:rsidP="007816E1">
      <w:pPr>
        <w:pStyle w:val="Heading2"/>
        <w:spacing w:before="240" w:after="320"/>
      </w:pPr>
      <w:bookmarkStart w:id="45" w:name="_Toc471912926"/>
      <w:r>
        <w:rPr>
          <w:u w:val="none"/>
        </w:rPr>
        <w:t>B</w:t>
      </w:r>
      <w:r w:rsidRPr="003B5206">
        <w:rPr>
          <w:u w:val="none"/>
        </w:rPr>
        <w:t>.</w:t>
      </w:r>
      <w:r w:rsidRPr="003B5206">
        <w:rPr>
          <w:u w:val="none"/>
        </w:rPr>
        <w:tab/>
      </w:r>
      <w:r>
        <w:t xml:space="preserve">Pro Forma Revenue </w:t>
      </w:r>
      <w:r w:rsidR="0026017D">
        <w:t>from Natural Gas Operations</w:t>
      </w:r>
      <w:bookmarkEnd w:id="45"/>
    </w:p>
    <w:p w:rsidR="0026017D" w:rsidRPr="003B5206" w:rsidRDefault="0026017D" w:rsidP="0026017D">
      <w:pPr>
        <w:pStyle w:val="question"/>
        <w:keepLines/>
        <w:widowControl w:val="0"/>
        <w:spacing w:before="120"/>
      </w:pPr>
      <w:r w:rsidRPr="003B5206">
        <w:t>Q.</w:t>
      </w:r>
      <w:r w:rsidRPr="003B5206">
        <w:tab/>
        <w:t>Have you prepared an exhibit that demonstrates PSE’s development of its pro forma revenue</w:t>
      </w:r>
      <w:r>
        <w:t xml:space="preserve"> from natural gas operations</w:t>
      </w:r>
      <w:r w:rsidRPr="003B5206">
        <w:t>?</w:t>
      </w:r>
    </w:p>
    <w:p w:rsidR="0026017D" w:rsidRPr="003B5206" w:rsidRDefault="0026017D" w:rsidP="0026017D">
      <w:pPr>
        <w:pStyle w:val="answer"/>
      </w:pPr>
      <w:r w:rsidRPr="003B5206">
        <w:t>A.</w:t>
      </w:r>
      <w:r w:rsidRPr="003B5206">
        <w:tab/>
        <w:t xml:space="preserve">Yes, I have.  It is the </w:t>
      </w:r>
      <w:r>
        <w:t>Third</w:t>
      </w:r>
      <w:r w:rsidRPr="003B5206">
        <w:t xml:space="preserve"> Exhibit to my Prefiled Direct Testimony, Exhibit No. ___(</w:t>
      </w:r>
      <w:r>
        <w:t>JA</w:t>
      </w:r>
      <w:r w:rsidRPr="003B5206">
        <w:t>P-</w:t>
      </w:r>
      <w:r w:rsidR="003B5556">
        <w:fldChar w:fldCharType="begin"/>
      </w:r>
      <w:r w:rsidR="003B5556">
        <w:instrText xml:space="preserve"> REF _Ref441672453 \r \h </w:instrText>
      </w:r>
      <w:r w:rsidR="003B5556">
        <w:fldChar w:fldCharType="separate"/>
      </w:r>
      <w:r w:rsidR="0035666C">
        <w:t>4</w:t>
      </w:r>
      <w:r w:rsidR="003B5556">
        <w:fldChar w:fldCharType="end"/>
      </w:r>
      <w:r w:rsidRPr="003B5206">
        <w:t>).</w:t>
      </w:r>
    </w:p>
    <w:p w:rsidR="0026017D" w:rsidRPr="003B5206" w:rsidRDefault="0026017D" w:rsidP="0026017D">
      <w:pPr>
        <w:pStyle w:val="question"/>
        <w:keepLines/>
        <w:widowControl w:val="0"/>
        <w:spacing w:before="120"/>
      </w:pPr>
      <w:r w:rsidRPr="003B5206">
        <w:t>Q.</w:t>
      </w:r>
      <w:r w:rsidRPr="003B5206">
        <w:tab/>
        <w:t>Please explain page one of Exhibit No. </w:t>
      </w:r>
      <w:r w:rsidRPr="003B5206">
        <w:rPr>
          <w:rStyle w:val="Strong"/>
          <w:b/>
        </w:rPr>
        <w:t>___(</w:t>
      </w:r>
      <w:r w:rsidRPr="003B5206">
        <w:t>J</w:t>
      </w:r>
      <w:r>
        <w:t>A</w:t>
      </w:r>
      <w:r w:rsidRPr="003B5206">
        <w:t>P-</w:t>
      </w:r>
      <w:r>
        <w:t>4</w:t>
      </w:r>
      <w:r w:rsidRPr="003B5206">
        <w:t>), Adjustments to Volume (Therms) by Rate Schedule.</w:t>
      </w:r>
    </w:p>
    <w:p w:rsidR="0026017D" w:rsidRPr="003B5206" w:rsidRDefault="0026017D" w:rsidP="0026017D">
      <w:pPr>
        <w:pStyle w:val="answer"/>
        <w:widowControl w:val="0"/>
      </w:pPr>
      <w:r w:rsidRPr="003B5206">
        <w:t>A.</w:t>
      </w:r>
      <w:r w:rsidRPr="003B5206">
        <w:tab/>
        <w:t xml:space="preserve">As mentioned above, pro forma revenue is based on test year billing determinants, which </w:t>
      </w:r>
      <w:r w:rsidR="0045217A">
        <w:t xml:space="preserve">is </w:t>
      </w:r>
      <w:r w:rsidR="00541AB6">
        <w:t xml:space="preserve">largely based on </w:t>
      </w:r>
      <w:r w:rsidR="00CD3F12">
        <w:t xml:space="preserve">normalized </w:t>
      </w:r>
      <w:r w:rsidR="00A2288B">
        <w:t>energy sales</w:t>
      </w:r>
      <w:r w:rsidRPr="003B5206">
        <w:t>.  PSE’s adjustments to test year natural gas throughput for this case are summarized on page one of Exhibit No. </w:t>
      </w:r>
      <w:r w:rsidRPr="003B5206">
        <w:rPr>
          <w:rStyle w:val="Strong"/>
          <w:b w:val="0"/>
        </w:rPr>
        <w:t>___(</w:t>
      </w:r>
      <w:r w:rsidRPr="003B5206">
        <w:t>J</w:t>
      </w:r>
      <w:r w:rsidR="00A2288B">
        <w:t>A</w:t>
      </w:r>
      <w:r w:rsidRPr="003B5206">
        <w:t>P-</w:t>
      </w:r>
      <w:r w:rsidR="003B5556">
        <w:fldChar w:fldCharType="begin"/>
      </w:r>
      <w:r w:rsidR="003B5556">
        <w:instrText xml:space="preserve"> REF _Ref441672453 \r \h </w:instrText>
      </w:r>
      <w:r w:rsidR="003B5556">
        <w:fldChar w:fldCharType="separate"/>
      </w:r>
      <w:r w:rsidR="0035666C">
        <w:t>4</w:t>
      </w:r>
      <w:r w:rsidR="003B5556">
        <w:fldChar w:fldCharType="end"/>
      </w:r>
      <w:r w:rsidRPr="003B5206">
        <w:t xml:space="preserve">).  </w:t>
      </w:r>
      <w:r w:rsidR="0045217A">
        <w:t xml:space="preserve">This begins with </w:t>
      </w:r>
      <w:r w:rsidR="008E1824">
        <w:t>c</w:t>
      </w:r>
      <w:r w:rsidRPr="003B5206">
        <w:t>olumn B of page one</w:t>
      </w:r>
      <w:r w:rsidR="0045217A">
        <w:t>, which</w:t>
      </w:r>
      <w:r w:rsidRPr="003B5206">
        <w:t xml:space="preserve"> shows the volume of sales and transportation for the </w:t>
      </w:r>
      <w:r w:rsidR="00A2288B">
        <w:t>twelve months ending September 201</w:t>
      </w:r>
      <w:r w:rsidR="005315E5">
        <w:t>6</w:t>
      </w:r>
      <w:r w:rsidRPr="003B5206">
        <w:t>.</w:t>
      </w:r>
    </w:p>
    <w:p w:rsidR="0026017D" w:rsidRDefault="0026017D" w:rsidP="0026017D">
      <w:pPr>
        <w:pStyle w:val="answer"/>
        <w:widowControl w:val="0"/>
        <w:ind w:firstLine="0"/>
      </w:pPr>
      <w:r w:rsidRPr="003B5206">
        <w:t xml:space="preserve">The restating adjustments in </w:t>
      </w:r>
      <w:r w:rsidR="008E1824">
        <w:t>c</w:t>
      </w:r>
      <w:r w:rsidRPr="003B5206">
        <w:t xml:space="preserve">olumn C include an out-of-period adjustment and an unbilled volume adjustment.  The out-of-period adjustment corrects usage associated with billing corrections by moving the consumption from the period in which it was corrected into the period in which it should have been billed.  </w:t>
      </w:r>
      <w:r w:rsidR="00CD3F12">
        <w:t>As discussed earlier, t</w:t>
      </w:r>
      <w:r w:rsidRPr="003B5206">
        <w:t xml:space="preserve">he unbilled volume adjustment adjusts for the fact that customers’ bills are issued throughout the month and do not correspond to calendar months.  </w:t>
      </w:r>
      <w:r w:rsidR="00CD3F12">
        <w:t>As with the sales of electricity, t</w:t>
      </w:r>
      <w:r w:rsidRPr="003B5206">
        <w:t>he</w:t>
      </w:r>
      <w:r w:rsidR="00CD3F12">
        <w:t xml:space="preserve"> gas</w:t>
      </w:r>
      <w:r w:rsidRPr="003B5206">
        <w:t xml:space="preserve"> volume in column </w:t>
      </w:r>
      <w:r w:rsidR="00363E4F">
        <w:t>B</w:t>
      </w:r>
      <w:r w:rsidRPr="003B5206">
        <w:t xml:space="preserve"> </w:t>
      </w:r>
      <w:r w:rsidRPr="003B5206">
        <w:lastRenderedPageBreak/>
        <w:t xml:space="preserve">removes the portion of that volume that was consumed in the previous month, and adds an estimate of sales that occurred during the calendar month but were not yet billed.  In the adjustment to unbilled volume included in column </w:t>
      </w:r>
      <w:r w:rsidR="00363E4F">
        <w:t>C</w:t>
      </w:r>
      <w:r w:rsidRPr="003B5206">
        <w:t xml:space="preserve">, this estimate of the unbilled portion of sales was updated to reflect sales that actually took place during each calendar month, by rate schedule, after the whole month’s consumption was actually billed. </w:t>
      </w:r>
    </w:p>
    <w:p w:rsidR="005315E5" w:rsidRPr="003B5206" w:rsidRDefault="005315E5" w:rsidP="0026017D">
      <w:pPr>
        <w:pStyle w:val="answer"/>
        <w:widowControl w:val="0"/>
        <w:ind w:firstLine="0"/>
      </w:pPr>
      <w:r>
        <w:t xml:space="preserve">The Schedule 41 migration adjustment in column </w:t>
      </w:r>
      <w:r w:rsidR="008E1824">
        <w:t>D</w:t>
      </w:r>
      <w:r>
        <w:t xml:space="preserve"> moves a portion of the load that was served in the test year within Schedule 41 and Schedule 41T to Schedule 85 and Schedule 85T, respectively.  The movement of load between these schedules is related to the proposal discussed later in this testimony to set a maximum usage threshold for service under Schedule 41 and Schedule 41T whereby load that exceeds this threshold would be placed onto Schedule 85 or Schedule 85T, respectively.  The adjustments in column D reflect the load served under Schedule 41 or Schedule 41T in the test year that exceeded the proposed maximum usage threshold.  This load was moved to the corresponding Schedule 85 or Schedule 85T.</w:t>
      </w:r>
    </w:p>
    <w:p w:rsidR="0026017D" w:rsidRPr="003B5206" w:rsidRDefault="0026017D" w:rsidP="0026017D">
      <w:pPr>
        <w:pStyle w:val="answer"/>
        <w:widowControl w:val="0"/>
        <w:ind w:firstLine="0"/>
      </w:pPr>
      <w:r w:rsidRPr="003B5206">
        <w:t xml:space="preserve">The weather normalization adjustment to </w:t>
      </w:r>
      <w:r w:rsidR="00CD3F12">
        <w:t xml:space="preserve">gas </w:t>
      </w:r>
      <w:r w:rsidRPr="003B5206">
        <w:t xml:space="preserve">volume presented in column </w:t>
      </w:r>
      <w:r w:rsidR="005315E5">
        <w:t>E</w:t>
      </w:r>
      <w:r w:rsidRPr="003B5206">
        <w:t xml:space="preserve"> removes the effect of non-normal temperatures from test year loads, so that test year loads and revenues are more reflective of normal operating conditions.  This adjustment is described in the Prefiled Direct Testimony of Dr. Chun K. Chang, Exhibit No.___(CKC-1T).</w:t>
      </w:r>
    </w:p>
    <w:p w:rsidR="0026017D" w:rsidRPr="003B5206" w:rsidRDefault="0026017D" w:rsidP="0026017D">
      <w:pPr>
        <w:pStyle w:val="answer"/>
        <w:widowControl w:val="0"/>
        <w:ind w:firstLine="0"/>
      </w:pPr>
      <w:r w:rsidRPr="003B5206">
        <w:t>Pro forma volume that reflects all of these adjustments</w:t>
      </w:r>
      <w:r w:rsidR="00CD3F12">
        <w:t xml:space="preserve"> is</w:t>
      </w:r>
      <w:r w:rsidR="00A339F5">
        <w:t xml:space="preserve"> totaled in column </w:t>
      </w:r>
      <w:r w:rsidR="005315E5">
        <w:t>F</w:t>
      </w:r>
      <w:r w:rsidRPr="003B5206">
        <w:t xml:space="preserve"> and </w:t>
      </w:r>
      <w:r w:rsidRPr="003B5206">
        <w:lastRenderedPageBreak/>
        <w:t xml:space="preserve">is used for calculating pro forma revenue </w:t>
      </w:r>
      <w:r w:rsidR="0091508E">
        <w:t>a</w:t>
      </w:r>
      <w:r w:rsidRPr="003B5206">
        <w:t xml:space="preserve">s presented in column </w:t>
      </w:r>
      <w:r w:rsidR="005315E5">
        <w:t>G</w:t>
      </w:r>
      <w:r w:rsidRPr="003B5206">
        <w:t xml:space="preserve"> on page one of Exhibit No. </w:t>
      </w:r>
      <w:r w:rsidRPr="003B5206">
        <w:rPr>
          <w:rStyle w:val="Strong"/>
          <w:b w:val="0"/>
        </w:rPr>
        <w:t>___(</w:t>
      </w:r>
      <w:r w:rsidRPr="003B5206">
        <w:t>J</w:t>
      </w:r>
      <w:r w:rsidR="00A339F5">
        <w:t>A</w:t>
      </w:r>
      <w:r w:rsidRPr="003B5206">
        <w:t>P-</w:t>
      </w:r>
      <w:r w:rsidR="00A339F5">
        <w:t>4</w:t>
      </w:r>
      <w:r w:rsidRPr="003B5206">
        <w:t>).</w:t>
      </w:r>
    </w:p>
    <w:p w:rsidR="0026017D" w:rsidRPr="003B5206" w:rsidRDefault="0026017D" w:rsidP="0026017D">
      <w:pPr>
        <w:pStyle w:val="question"/>
        <w:keepLines/>
        <w:widowControl w:val="0"/>
        <w:spacing w:before="120"/>
      </w:pPr>
      <w:r w:rsidRPr="003B5206">
        <w:t>Q.</w:t>
      </w:r>
      <w:r w:rsidRPr="003B5206">
        <w:tab/>
        <w:t>Please explain page two of Exhibit No. </w:t>
      </w:r>
      <w:r w:rsidRPr="003B5206">
        <w:rPr>
          <w:rStyle w:val="Strong"/>
          <w:b/>
        </w:rPr>
        <w:t>___(</w:t>
      </w:r>
      <w:r w:rsidRPr="003B5206">
        <w:t>J</w:t>
      </w:r>
      <w:r w:rsidR="00A339F5">
        <w:t>A</w:t>
      </w:r>
      <w:r w:rsidRPr="003B5206">
        <w:t>P-</w:t>
      </w:r>
      <w:r w:rsidR="00A339F5">
        <w:t>4</w:t>
      </w:r>
      <w:r w:rsidRPr="003B5206">
        <w:t>), Reconciliation of Revenue by Rate Schedule.</w:t>
      </w:r>
    </w:p>
    <w:p w:rsidR="0026017D" w:rsidRPr="003B5206" w:rsidRDefault="0026017D" w:rsidP="0026017D">
      <w:pPr>
        <w:pStyle w:val="answer"/>
        <w:widowControl w:val="0"/>
      </w:pPr>
      <w:r w:rsidRPr="003B5206">
        <w:t>A.</w:t>
      </w:r>
      <w:r w:rsidRPr="003B5206">
        <w:tab/>
        <w:t>Page two of Exhibit No. </w:t>
      </w:r>
      <w:r w:rsidRPr="003B5206">
        <w:rPr>
          <w:rStyle w:val="Strong"/>
          <w:b w:val="0"/>
        </w:rPr>
        <w:t>___(</w:t>
      </w:r>
      <w:r w:rsidRPr="003B5206">
        <w:t>J</w:t>
      </w:r>
      <w:r w:rsidR="00A339F5">
        <w:t>A</w:t>
      </w:r>
      <w:r w:rsidRPr="003B5206">
        <w:t>P-</w:t>
      </w:r>
      <w:r w:rsidR="00A339F5">
        <w:t>4</w:t>
      </w:r>
      <w:r w:rsidRPr="003B5206">
        <w:t xml:space="preserve">) presents explanations of the differences between test year revenue, as presented in PSE’s income statement, and pro forma revenue, as calculated based on billing determinants and rates.  The revenue included in the test year income statement is presented in column B of page two, and pro forma revenue based on billing determinants and current rates is in column </w:t>
      </w:r>
      <w:r w:rsidR="00FC172E">
        <w:t>O</w:t>
      </w:r>
      <w:r w:rsidRPr="003B5206">
        <w:t xml:space="preserve">.  The items presented in columns C through </w:t>
      </w:r>
      <w:r w:rsidR="00FC172E">
        <w:t>N</w:t>
      </w:r>
      <w:r w:rsidRPr="003B5206">
        <w:t xml:space="preserve"> are explanations of the differences between the income statement and pro forma revenue.  These items are related to:</w:t>
      </w:r>
    </w:p>
    <w:p w:rsidR="0026017D" w:rsidRPr="003B5206" w:rsidRDefault="00040032" w:rsidP="00D1798E">
      <w:pPr>
        <w:pStyle w:val="answer"/>
        <w:widowControl w:val="0"/>
        <w:numPr>
          <w:ilvl w:val="0"/>
          <w:numId w:val="41"/>
        </w:numPr>
        <w:spacing w:line="240" w:lineRule="auto"/>
        <w:ind w:right="720"/>
        <w:rPr>
          <w:szCs w:val="24"/>
        </w:rPr>
      </w:pPr>
      <w:r>
        <w:tab/>
      </w:r>
      <w:r w:rsidR="0026017D" w:rsidRPr="003B5206">
        <w:t xml:space="preserve">removal of revenue from </w:t>
      </w:r>
      <w:r w:rsidR="00A339F5">
        <w:t xml:space="preserve">municipal taxes and </w:t>
      </w:r>
      <w:r w:rsidR="0026017D" w:rsidRPr="003B5206">
        <w:t xml:space="preserve">adjusting </w:t>
      </w:r>
      <w:r>
        <w:tab/>
      </w:r>
      <w:r w:rsidR="0026017D" w:rsidRPr="003B5206">
        <w:t>price schedules</w:t>
      </w:r>
      <w:r w:rsidR="00A339F5">
        <w:t xml:space="preserve"> </w:t>
      </w:r>
      <w:r w:rsidR="0026017D" w:rsidRPr="003B5206">
        <w:t>(columns C-</w:t>
      </w:r>
      <w:r w:rsidR="00FC172E">
        <w:t>H</w:t>
      </w:r>
      <w:r w:rsidR="0026017D" w:rsidRPr="003B5206">
        <w:t>);</w:t>
      </w:r>
    </w:p>
    <w:p w:rsidR="00A339F5" w:rsidRPr="003B5206" w:rsidRDefault="00040032" w:rsidP="00D1798E">
      <w:pPr>
        <w:pStyle w:val="answer"/>
        <w:widowControl w:val="0"/>
        <w:numPr>
          <w:ilvl w:val="0"/>
          <w:numId w:val="41"/>
        </w:numPr>
        <w:spacing w:line="240" w:lineRule="auto"/>
        <w:ind w:left="2160" w:right="720" w:hanging="720"/>
        <w:rPr>
          <w:szCs w:val="24"/>
        </w:rPr>
      </w:pPr>
      <w:r>
        <w:rPr>
          <w:szCs w:val="24"/>
        </w:rPr>
        <w:tab/>
      </w:r>
      <w:r w:rsidR="00A339F5" w:rsidRPr="003B5206">
        <w:rPr>
          <w:szCs w:val="24"/>
        </w:rPr>
        <w:t>other restating adjustments that correspond to the previously-</w:t>
      </w:r>
      <w:r w:rsidR="00D1798E">
        <w:rPr>
          <w:szCs w:val="24"/>
        </w:rPr>
        <w:t>d</w:t>
      </w:r>
      <w:r w:rsidR="00A339F5" w:rsidRPr="003B5206">
        <w:rPr>
          <w:szCs w:val="24"/>
        </w:rPr>
        <w:t xml:space="preserve">iscussed restating volume adjustments, specifically the billing corrections and the change in unbilled revenue adjustment (column </w:t>
      </w:r>
      <w:r w:rsidR="00FC172E">
        <w:rPr>
          <w:szCs w:val="24"/>
        </w:rPr>
        <w:t>I</w:t>
      </w:r>
      <w:r w:rsidR="00A339F5" w:rsidRPr="003B5206">
        <w:rPr>
          <w:szCs w:val="24"/>
        </w:rPr>
        <w:t>);</w:t>
      </w:r>
    </w:p>
    <w:p w:rsidR="00FC172E" w:rsidRPr="003B5206" w:rsidRDefault="00040032" w:rsidP="00D1798E">
      <w:pPr>
        <w:pStyle w:val="answer"/>
        <w:widowControl w:val="0"/>
        <w:numPr>
          <w:ilvl w:val="0"/>
          <w:numId w:val="41"/>
        </w:numPr>
        <w:spacing w:line="240" w:lineRule="auto"/>
        <w:ind w:left="2160" w:right="720" w:hanging="720"/>
        <w:rPr>
          <w:szCs w:val="24"/>
        </w:rPr>
      </w:pPr>
      <w:r>
        <w:rPr>
          <w:szCs w:val="24"/>
        </w:rPr>
        <w:tab/>
      </w:r>
      <w:r w:rsidR="00FC172E" w:rsidRPr="003B5206">
        <w:rPr>
          <w:szCs w:val="24"/>
        </w:rPr>
        <w:t>adjusting for price changes that took place during or after the test year, specifically the 201</w:t>
      </w:r>
      <w:r w:rsidR="00FC172E">
        <w:rPr>
          <w:szCs w:val="24"/>
        </w:rPr>
        <w:t>5</w:t>
      </w:r>
      <w:r w:rsidR="00FC172E" w:rsidRPr="003B5206">
        <w:rPr>
          <w:szCs w:val="24"/>
        </w:rPr>
        <w:t xml:space="preserve"> </w:t>
      </w:r>
      <w:r w:rsidR="00B5579B">
        <w:rPr>
          <w:szCs w:val="24"/>
        </w:rPr>
        <w:t xml:space="preserve">and 2016 </w:t>
      </w:r>
      <w:r w:rsidR="00FC172E" w:rsidRPr="003B5206">
        <w:rPr>
          <w:szCs w:val="24"/>
        </w:rPr>
        <w:t>purchased gas adjustment ("PGA") (column</w:t>
      </w:r>
      <w:r w:rsidR="00FC172E">
        <w:rPr>
          <w:szCs w:val="24"/>
        </w:rPr>
        <w:t xml:space="preserve"> J</w:t>
      </w:r>
      <w:r w:rsidR="00FC172E" w:rsidRPr="003B5206">
        <w:rPr>
          <w:szCs w:val="24"/>
        </w:rPr>
        <w:t>);</w:t>
      </w:r>
    </w:p>
    <w:p w:rsidR="0026017D" w:rsidRPr="003B5206" w:rsidRDefault="00040032" w:rsidP="00D1798E">
      <w:pPr>
        <w:pStyle w:val="answer"/>
        <w:widowControl w:val="0"/>
        <w:numPr>
          <w:ilvl w:val="0"/>
          <w:numId w:val="41"/>
        </w:numPr>
        <w:spacing w:line="240" w:lineRule="auto"/>
        <w:ind w:left="2160" w:right="720" w:hanging="720"/>
      </w:pPr>
      <w:r>
        <w:tab/>
      </w:r>
      <w:r w:rsidR="0026017D" w:rsidRPr="003B5206">
        <w:t>a schedule migration adjustment</w:t>
      </w:r>
      <w:r w:rsidR="00FA4134">
        <w:t xml:space="preserve"> discussed earlier</w:t>
      </w:r>
      <w:r w:rsidR="0026017D" w:rsidRPr="003B5206">
        <w:t xml:space="preserve"> that reflects customer movement </w:t>
      </w:r>
      <w:r w:rsidR="001A7397">
        <w:t xml:space="preserve">from Schedules 41 and </w:t>
      </w:r>
      <w:r w:rsidR="0026017D" w:rsidRPr="003B5206">
        <w:t xml:space="preserve">41T </w:t>
      </w:r>
      <w:r w:rsidR="001A7397">
        <w:t>to Schedules 85 and 85</w:t>
      </w:r>
      <w:r w:rsidR="0026017D" w:rsidRPr="003B5206">
        <w:t xml:space="preserve">T (column </w:t>
      </w:r>
      <w:r w:rsidR="00FC172E">
        <w:t>K</w:t>
      </w:r>
      <w:r w:rsidR="0026017D" w:rsidRPr="003B5206">
        <w:t xml:space="preserve">); </w:t>
      </w:r>
    </w:p>
    <w:p w:rsidR="00FC172E" w:rsidRPr="003B5206" w:rsidRDefault="00040032" w:rsidP="00D1798E">
      <w:pPr>
        <w:pStyle w:val="answer"/>
        <w:widowControl w:val="0"/>
        <w:numPr>
          <w:ilvl w:val="0"/>
          <w:numId w:val="41"/>
        </w:numPr>
        <w:spacing w:line="240" w:lineRule="auto"/>
        <w:ind w:left="2160" w:right="720" w:hanging="720"/>
      </w:pPr>
      <w:r>
        <w:tab/>
      </w:r>
      <w:r w:rsidR="00FC172E">
        <w:t>an</w:t>
      </w:r>
      <w:r w:rsidR="00FC172E" w:rsidRPr="003B5206">
        <w:t xml:space="preserve"> adjustment to revenue to reflect the weather adjustment to volume (column </w:t>
      </w:r>
      <w:r w:rsidR="00FC172E">
        <w:t>L</w:t>
      </w:r>
      <w:r w:rsidR="00FC172E" w:rsidRPr="003B5206">
        <w:t>)</w:t>
      </w:r>
      <w:r w:rsidR="00FC172E">
        <w:t>; and</w:t>
      </w:r>
    </w:p>
    <w:p w:rsidR="0026017D" w:rsidRPr="003B5206" w:rsidRDefault="00040032" w:rsidP="00D1798E">
      <w:pPr>
        <w:pStyle w:val="answer"/>
        <w:widowControl w:val="0"/>
        <w:numPr>
          <w:ilvl w:val="0"/>
          <w:numId w:val="41"/>
        </w:numPr>
        <w:spacing w:line="240" w:lineRule="auto"/>
        <w:ind w:left="2160" w:right="720" w:hanging="720"/>
      </w:pPr>
      <w:r>
        <w:tab/>
      </w:r>
      <w:r w:rsidR="001A7397">
        <w:t>an</w:t>
      </w:r>
      <w:r w:rsidR="00FC172E">
        <w:t xml:space="preserve"> adjustment to revenue to reflect an updated rate for PSE’s revenue adjustment factor</w:t>
      </w:r>
      <w:r w:rsidR="0026017D" w:rsidRPr="003B5206">
        <w:t xml:space="preserve"> (column </w:t>
      </w:r>
      <w:r w:rsidR="00FC172E">
        <w:t>M</w:t>
      </w:r>
      <w:r w:rsidR="0026017D" w:rsidRPr="003B5206">
        <w:t>)</w:t>
      </w:r>
      <w:r w:rsidR="001A7397">
        <w:t>.</w:t>
      </w:r>
    </w:p>
    <w:p w:rsidR="00FC172E" w:rsidRDefault="00FC172E" w:rsidP="001A7397">
      <w:pPr>
        <w:pStyle w:val="question"/>
        <w:widowControl w:val="0"/>
        <w:rPr>
          <w:rFonts w:eastAsia="SimSun"/>
        </w:rPr>
      </w:pPr>
      <w:r>
        <w:rPr>
          <w:rFonts w:eastAsia="SimSun"/>
        </w:rPr>
        <w:lastRenderedPageBreak/>
        <w:t>Q.</w:t>
      </w:r>
      <w:r>
        <w:rPr>
          <w:rFonts w:eastAsia="SimSun"/>
        </w:rPr>
        <w:tab/>
        <w:t xml:space="preserve">Please explain </w:t>
      </w:r>
      <w:r w:rsidR="00FA4134">
        <w:rPr>
          <w:rFonts w:eastAsia="SimSun"/>
        </w:rPr>
        <w:t xml:space="preserve">further </w:t>
      </w:r>
      <w:r>
        <w:rPr>
          <w:rFonts w:eastAsia="SimSun"/>
        </w:rPr>
        <w:t>the schedule migration adjustment.</w:t>
      </w:r>
    </w:p>
    <w:p w:rsidR="00FC172E" w:rsidRPr="00FC172E" w:rsidRDefault="00FC172E" w:rsidP="00FC172E">
      <w:pPr>
        <w:pStyle w:val="answer"/>
        <w:widowControl w:val="0"/>
      </w:pPr>
      <w:r w:rsidRPr="00FC172E">
        <w:rPr>
          <w:rFonts w:eastAsia="SimSun"/>
        </w:rPr>
        <w:t>A.</w:t>
      </w:r>
      <w:r w:rsidRPr="00FC172E">
        <w:rPr>
          <w:rFonts w:eastAsia="SimSun"/>
        </w:rPr>
        <w:tab/>
      </w:r>
      <w:r w:rsidRPr="00FC172E">
        <w:t xml:space="preserve">The Schedule 41/41T migration adjustment reflects estimated movement away from Schedule 41, Large Volume High Load Factor Gas Service, and Schedule 41T, Distribution System Transportation Service (Firm-Large Volume High Load Factor).  As described later in my testimony, PSE proposes to require customers with volume requirement of </w:t>
      </w:r>
      <w:r w:rsidRPr="00FA7797">
        <w:t xml:space="preserve">150,000 therms </w:t>
      </w:r>
      <w:r w:rsidR="00B5579B">
        <w:t xml:space="preserve">or more </w:t>
      </w:r>
      <w:r w:rsidRPr="00FA7797">
        <w:t xml:space="preserve">per year to migrate from Schedules 41 and 41T to Schedules 85 and 85T as part of proposed changes to the latter schedules in this proceeding.  This will require that </w:t>
      </w:r>
      <w:r w:rsidR="00B5579B">
        <w:t>92</w:t>
      </w:r>
      <w:r w:rsidRPr="00FA7797">
        <w:t xml:space="preserve"> customers on Schedule 41 and 41T to move to Schedules 85</w:t>
      </w:r>
      <w:r w:rsidRPr="00FC172E">
        <w:t xml:space="preserve"> or 85T when the volume requirement is implemented, and the </w:t>
      </w:r>
      <w:r>
        <w:t xml:space="preserve">migration </w:t>
      </w:r>
      <w:r w:rsidRPr="00FC172E">
        <w:t xml:space="preserve">adjustment is the test year </w:t>
      </w:r>
      <w:r>
        <w:t>adjustment to revenue that results from this migration</w:t>
      </w:r>
      <w:r w:rsidRPr="00FC172E">
        <w:t>.</w:t>
      </w:r>
    </w:p>
    <w:p w:rsidR="001A7397" w:rsidRPr="009075DC" w:rsidRDefault="001A7397" w:rsidP="001A7397">
      <w:pPr>
        <w:pStyle w:val="question"/>
        <w:widowControl w:val="0"/>
        <w:rPr>
          <w:rFonts w:eastAsia="SimSun"/>
        </w:rPr>
      </w:pPr>
      <w:r w:rsidRPr="009075DC">
        <w:rPr>
          <w:rFonts w:eastAsia="SimSun"/>
        </w:rPr>
        <w:t>Q.</w:t>
      </w:r>
      <w:r w:rsidRPr="009075DC">
        <w:rPr>
          <w:rFonts w:eastAsia="SimSun"/>
        </w:rPr>
        <w:tab/>
      </w:r>
      <w:r>
        <w:rPr>
          <w:rFonts w:eastAsia="SimSun"/>
        </w:rPr>
        <w:t xml:space="preserve">Will rates in any of the adjusting </w:t>
      </w:r>
      <w:r w:rsidR="00BF65D6">
        <w:rPr>
          <w:rFonts w:eastAsia="SimSun"/>
        </w:rPr>
        <w:t xml:space="preserve">gas </w:t>
      </w:r>
      <w:r>
        <w:rPr>
          <w:rFonts w:eastAsia="SimSun"/>
        </w:rPr>
        <w:t xml:space="preserve">price schedules in Columns D through </w:t>
      </w:r>
      <w:r w:rsidR="00FA4134">
        <w:rPr>
          <w:rFonts w:eastAsia="SimSun"/>
        </w:rPr>
        <w:t>H</w:t>
      </w:r>
      <w:r>
        <w:rPr>
          <w:rFonts w:eastAsia="SimSun"/>
        </w:rPr>
        <w:t xml:space="preserve"> </w:t>
      </w:r>
      <w:r w:rsidR="00FA4134">
        <w:rPr>
          <w:rFonts w:eastAsia="SimSun"/>
        </w:rPr>
        <w:t xml:space="preserve">on page 2 of Exhibit No.___(JAP-4) change </w:t>
      </w:r>
      <w:r>
        <w:rPr>
          <w:rFonts w:eastAsia="SimSun"/>
        </w:rPr>
        <w:t>as a result of this filing?</w:t>
      </w:r>
    </w:p>
    <w:p w:rsidR="001A7397" w:rsidRDefault="001A7397" w:rsidP="00182C81">
      <w:pPr>
        <w:pStyle w:val="answer"/>
        <w:widowControl w:val="0"/>
        <w:rPr>
          <w:rFonts w:eastAsia="SimSun"/>
        </w:rPr>
      </w:pPr>
      <w:r w:rsidRPr="009075DC">
        <w:rPr>
          <w:rFonts w:eastAsia="SimSun"/>
        </w:rPr>
        <w:t>A.</w:t>
      </w:r>
      <w:r w:rsidRPr="009075DC">
        <w:rPr>
          <w:rFonts w:eastAsia="SimSun"/>
        </w:rPr>
        <w:tab/>
      </w:r>
      <w:r>
        <w:rPr>
          <w:rFonts w:eastAsia="SimSun"/>
        </w:rPr>
        <w:t xml:space="preserve">Yes. </w:t>
      </w:r>
      <w:r w:rsidR="000D515D">
        <w:rPr>
          <w:rFonts w:eastAsia="SimSun"/>
        </w:rPr>
        <w:t xml:space="preserve"> As with the electric schedules, certain adjusting gas price schedules will be reset contemporaneously with the approval of new base rates in this proceeding.</w:t>
      </w:r>
      <w:r w:rsidR="00182C81">
        <w:rPr>
          <w:rFonts w:eastAsia="SimSun"/>
        </w:rPr>
        <w:t xml:space="preserve">  </w:t>
      </w:r>
      <w:r w:rsidR="000D515D">
        <w:rPr>
          <w:rFonts w:eastAsia="SimSun"/>
        </w:rPr>
        <w:t>First,</w:t>
      </w:r>
      <w:r>
        <w:rPr>
          <w:rFonts w:eastAsia="SimSun"/>
        </w:rPr>
        <w:t xml:space="preserve"> </w:t>
      </w:r>
      <w:r w:rsidR="00182C81">
        <w:rPr>
          <w:rFonts w:eastAsia="SimSun"/>
        </w:rPr>
        <w:t xml:space="preserve">rates within gas </w:t>
      </w:r>
      <w:r>
        <w:rPr>
          <w:rFonts w:eastAsia="SimSun"/>
        </w:rPr>
        <w:t>Schedule 141</w:t>
      </w:r>
      <w:r w:rsidR="00182C81">
        <w:rPr>
          <w:rFonts w:eastAsia="SimSun"/>
        </w:rPr>
        <w:t xml:space="preserve"> will be set to zero, since </w:t>
      </w:r>
      <w:r>
        <w:rPr>
          <w:rFonts w:eastAsia="SimSun"/>
        </w:rPr>
        <w:t>th</w:t>
      </w:r>
      <w:r w:rsidR="00FC172E">
        <w:rPr>
          <w:rFonts w:eastAsia="SimSun"/>
        </w:rPr>
        <w:t>is</w:t>
      </w:r>
      <w:r>
        <w:rPr>
          <w:rFonts w:eastAsia="SimSun"/>
        </w:rPr>
        <w:t xml:space="preserve"> revenue will now be collected through the base rates </w:t>
      </w:r>
      <w:r w:rsidR="00FC172E">
        <w:rPr>
          <w:rFonts w:eastAsia="SimSun"/>
        </w:rPr>
        <w:t xml:space="preserve">approved </w:t>
      </w:r>
      <w:r>
        <w:rPr>
          <w:rFonts w:eastAsia="SimSun"/>
        </w:rPr>
        <w:t>in this case</w:t>
      </w:r>
      <w:r w:rsidRPr="009075DC">
        <w:rPr>
          <w:rFonts w:eastAsia="SimSun"/>
        </w:rPr>
        <w:t>.</w:t>
      </w:r>
      <w:r w:rsidR="00182C81">
        <w:rPr>
          <w:rFonts w:eastAsia="SimSun"/>
        </w:rPr>
        <w:t xml:space="preserve">  </w:t>
      </w:r>
      <w:r w:rsidR="000D515D">
        <w:rPr>
          <w:rFonts w:eastAsia="SimSun"/>
        </w:rPr>
        <w:t>Next</w:t>
      </w:r>
      <w:r>
        <w:rPr>
          <w:rFonts w:eastAsia="SimSun"/>
        </w:rPr>
        <w:t xml:space="preserve">, and as discussed more fully in </w:t>
      </w:r>
      <w:r w:rsidR="008578AC">
        <w:rPr>
          <w:rFonts w:eastAsia="SimSun"/>
        </w:rPr>
        <w:t xml:space="preserve">Section </w:t>
      </w:r>
      <w:r w:rsidR="00E60934">
        <w:rPr>
          <w:rFonts w:eastAsia="SimSun"/>
        </w:rPr>
        <w:t>IX</w:t>
      </w:r>
      <w:r>
        <w:rPr>
          <w:rFonts w:eastAsia="SimSun"/>
        </w:rPr>
        <w:t xml:space="preserve"> later in my testimony, </w:t>
      </w:r>
      <w:r w:rsidR="00E60934">
        <w:rPr>
          <w:rFonts w:eastAsia="SimSun"/>
        </w:rPr>
        <w:t xml:space="preserve">rates and allowed revenue per customer within </w:t>
      </w:r>
      <w:r w:rsidR="00182C81">
        <w:rPr>
          <w:rFonts w:eastAsia="SimSun"/>
        </w:rPr>
        <w:t xml:space="preserve">gas </w:t>
      </w:r>
      <w:r>
        <w:rPr>
          <w:rFonts w:eastAsia="SimSun"/>
        </w:rPr>
        <w:t xml:space="preserve">Schedule 142 </w:t>
      </w:r>
      <w:r w:rsidR="00E60934">
        <w:rPr>
          <w:rFonts w:eastAsia="SimSun"/>
        </w:rPr>
        <w:t xml:space="preserve">will be reset to </w:t>
      </w:r>
      <w:r w:rsidR="000D515D">
        <w:rPr>
          <w:rFonts w:eastAsia="SimSun"/>
        </w:rPr>
        <w:t>align with</w:t>
      </w:r>
      <w:r w:rsidR="00E60934">
        <w:rPr>
          <w:rFonts w:eastAsia="SimSun"/>
        </w:rPr>
        <w:t xml:space="preserve"> the new base rates approved in this case.</w:t>
      </w:r>
      <w:r w:rsidR="00182C81">
        <w:rPr>
          <w:rFonts w:eastAsia="SimSun"/>
        </w:rPr>
        <w:t xml:space="preserve"> </w:t>
      </w:r>
      <w:r w:rsidR="00E60934">
        <w:rPr>
          <w:rFonts w:eastAsia="SimSun"/>
        </w:rPr>
        <w:t>Fin</w:t>
      </w:r>
      <w:r w:rsidR="007917E4">
        <w:rPr>
          <w:rFonts w:eastAsia="SimSun"/>
        </w:rPr>
        <w:t>ally, rates within Schedule 149 (</w:t>
      </w:r>
      <w:r w:rsidR="00E60934">
        <w:rPr>
          <w:rFonts w:eastAsia="SimSun"/>
        </w:rPr>
        <w:t xml:space="preserve">Cost Recovery Mechanism for Pipeline Replacement </w:t>
      </w:r>
      <w:r w:rsidR="007917E4">
        <w:rPr>
          <w:rFonts w:eastAsia="SimSun"/>
        </w:rPr>
        <w:t xml:space="preserve">or </w:t>
      </w:r>
      <w:r w:rsidR="00182C81">
        <w:rPr>
          <w:rFonts w:eastAsia="SimSun"/>
        </w:rPr>
        <w:t>“</w:t>
      </w:r>
      <w:r w:rsidR="007917E4">
        <w:rPr>
          <w:rFonts w:eastAsia="SimSun"/>
        </w:rPr>
        <w:t xml:space="preserve">Gas </w:t>
      </w:r>
      <w:r w:rsidR="00E60934">
        <w:rPr>
          <w:rFonts w:eastAsia="SimSun"/>
        </w:rPr>
        <w:t>CRM</w:t>
      </w:r>
      <w:r w:rsidR="00182C81">
        <w:rPr>
          <w:rFonts w:eastAsia="SimSun"/>
        </w:rPr>
        <w:t>”</w:t>
      </w:r>
      <w:r w:rsidR="00E60934">
        <w:rPr>
          <w:rFonts w:eastAsia="SimSun"/>
        </w:rPr>
        <w:t xml:space="preserve">), will be reset to reflect the transfer </w:t>
      </w:r>
      <w:r w:rsidR="00CC2B6B">
        <w:rPr>
          <w:rFonts w:eastAsia="SimSun"/>
        </w:rPr>
        <w:t>of</w:t>
      </w:r>
      <w:r w:rsidR="007917E4">
        <w:rPr>
          <w:rFonts w:eastAsia="SimSun"/>
        </w:rPr>
        <w:t xml:space="preserve"> Gas</w:t>
      </w:r>
      <w:r w:rsidR="00CC2B6B">
        <w:rPr>
          <w:rFonts w:eastAsia="SimSun"/>
        </w:rPr>
        <w:t xml:space="preserve"> CRM program </w:t>
      </w:r>
      <w:r w:rsidR="00FA7797">
        <w:rPr>
          <w:rFonts w:eastAsia="SimSun"/>
        </w:rPr>
        <w:t xml:space="preserve">revenue from </w:t>
      </w:r>
      <w:r w:rsidR="00A10F73">
        <w:rPr>
          <w:rFonts w:eastAsia="SimSun"/>
        </w:rPr>
        <w:t>gas Schedule 149</w:t>
      </w:r>
      <w:r w:rsidR="00FA7797">
        <w:rPr>
          <w:rFonts w:eastAsia="SimSun"/>
        </w:rPr>
        <w:t xml:space="preserve"> </w:t>
      </w:r>
      <w:r w:rsidR="00E60934">
        <w:rPr>
          <w:rFonts w:eastAsia="SimSun"/>
        </w:rPr>
        <w:t xml:space="preserve">to base </w:t>
      </w:r>
      <w:r w:rsidR="00E60934">
        <w:rPr>
          <w:rFonts w:eastAsia="SimSun"/>
        </w:rPr>
        <w:lastRenderedPageBreak/>
        <w:t>natural gas rates</w:t>
      </w:r>
      <w:r w:rsidR="00A10F73">
        <w:rPr>
          <w:rFonts w:eastAsia="SimSun"/>
        </w:rPr>
        <w:t>, as discussed in the Prefiled Direct Testimony of Susan E. Free, Exhibit No.___(SEF-1T)</w:t>
      </w:r>
      <w:r w:rsidR="00CC2B6B">
        <w:rPr>
          <w:rFonts w:eastAsia="SimSun"/>
        </w:rPr>
        <w:t>.</w:t>
      </w:r>
      <w:r w:rsidR="00E60934">
        <w:rPr>
          <w:rFonts w:eastAsia="SimSun"/>
        </w:rPr>
        <w:t xml:space="preserve">    </w:t>
      </w:r>
      <w:r>
        <w:rPr>
          <w:rFonts w:eastAsia="SimSun"/>
        </w:rPr>
        <w:t xml:space="preserve"> </w:t>
      </w:r>
    </w:p>
    <w:p w:rsidR="0026017D" w:rsidRPr="003B5206" w:rsidRDefault="0026017D" w:rsidP="0026017D">
      <w:pPr>
        <w:pStyle w:val="question"/>
      </w:pPr>
      <w:r w:rsidRPr="003B5206">
        <w:t>Q.</w:t>
      </w:r>
      <w:r w:rsidRPr="003B5206">
        <w:tab/>
        <w:t xml:space="preserve">What are PSE’s resulting pro forma </w:t>
      </w:r>
      <w:r w:rsidR="00CC2B6B">
        <w:t xml:space="preserve">natural gas </w:t>
      </w:r>
      <w:r w:rsidRPr="003B5206">
        <w:t>volume and revenue?</w:t>
      </w:r>
    </w:p>
    <w:p w:rsidR="0026017D" w:rsidRPr="003B5206" w:rsidRDefault="0026017D" w:rsidP="0026017D">
      <w:pPr>
        <w:pStyle w:val="answer"/>
        <w:widowControl w:val="0"/>
        <w:rPr>
          <w:szCs w:val="24"/>
        </w:rPr>
      </w:pPr>
      <w:r w:rsidRPr="003B5206">
        <w:t>A.</w:t>
      </w:r>
      <w:r w:rsidRPr="003B5206">
        <w:tab/>
        <w:t xml:space="preserve">The total pro forma </w:t>
      </w:r>
      <w:r w:rsidR="00CC2B6B">
        <w:t xml:space="preserve">natural gas </w:t>
      </w:r>
      <w:r w:rsidRPr="003B5206">
        <w:t xml:space="preserve">volume for the test year is </w:t>
      </w:r>
      <w:r w:rsidR="00FA7797">
        <w:t>1.1</w:t>
      </w:r>
      <w:r w:rsidR="00FA4134">
        <w:t>4</w:t>
      </w:r>
      <w:r w:rsidRPr="003B5206">
        <w:t xml:space="preserve"> </w:t>
      </w:r>
      <w:r w:rsidR="00182C81">
        <w:t xml:space="preserve">billion </w:t>
      </w:r>
      <w:r w:rsidRPr="003B5206">
        <w:t xml:space="preserve">therms, and is presented in column </w:t>
      </w:r>
      <w:r w:rsidR="00CC2B6B">
        <w:t>G</w:t>
      </w:r>
      <w:r w:rsidRPr="003B5206">
        <w:t xml:space="preserve"> of page one of Exhibit No. </w:t>
      </w:r>
      <w:r w:rsidRPr="003B5206">
        <w:rPr>
          <w:rStyle w:val="Strong"/>
          <w:b w:val="0"/>
        </w:rPr>
        <w:t>___(</w:t>
      </w:r>
      <w:r w:rsidRPr="003B5206">
        <w:t>J</w:t>
      </w:r>
      <w:r w:rsidR="00CC2B6B">
        <w:t>A</w:t>
      </w:r>
      <w:r w:rsidRPr="003B5206">
        <w:t>P-</w:t>
      </w:r>
      <w:r w:rsidR="00CC2B6B">
        <w:t>4</w:t>
      </w:r>
      <w:r w:rsidRPr="003B5206">
        <w:t xml:space="preserve">).  The total pro forma revenue is </w:t>
      </w:r>
      <w:r w:rsidR="00FA7797">
        <w:t>$8</w:t>
      </w:r>
      <w:r w:rsidR="007917E4">
        <w:t>15.8</w:t>
      </w:r>
      <w:r w:rsidR="00182C81">
        <w:t xml:space="preserve"> million</w:t>
      </w:r>
      <w:r w:rsidR="00A00A07">
        <w:t xml:space="preserve"> </w:t>
      </w:r>
      <w:r w:rsidRPr="003B5206">
        <w:t xml:space="preserve">and is presented in </w:t>
      </w:r>
      <w:r w:rsidR="00367F8F">
        <w:t xml:space="preserve">row 19 of </w:t>
      </w:r>
      <w:r w:rsidRPr="003B5206">
        <w:t>column </w:t>
      </w:r>
      <w:r w:rsidR="000251EE">
        <w:t>O</w:t>
      </w:r>
      <w:r w:rsidRPr="003B5206">
        <w:t xml:space="preserve"> </w:t>
      </w:r>
      <w:r w:rsidR="00367F8F" w:rsidRPr="003B5206">
        <w:t>o</w:t>
      </w:r>
      <w:r w:rsidR="00367F8F">
        <w:t>n</w:t>
      </w:r>
      <w:r w:rsidR="00367F8F" w:rsidRPr="003B5206">
        <w:t xml:space="preserve"> </w:t>
      </w:r>
      <w:r w:rsidRPr="003B5206">
        <w:t xml:space="preserve">page two.  The </w:t>
      </w:r>
      <w:r w:rsidR="00E82136">
        <w:t xml:space="preserve">revenue associated with </w:t>
      </w:r>
      <w:r w:rsidRPr="003B5206">
        <w:t xml:space="preserve">gas cost </w:t>
      </w:r>
      <w:r w:rsidR="00E82136">
        <w:t>included in this amount</w:t>
      </w:r>
      <w:r w:rsidRPr="003B5206">
        <w:t xml:space="preserve"> is </w:t>
      </w:r>
      <w:r w:rsidR="00FA7797">
        <w:t>$</w:t>
      </w:r>
      <w:r w:rsidR="000251EE">
        <w:t>3</w:t>
      </w:r>
      <w:r w:rsidR="004441C3">
        <w:t>74</w:t>
      </w:r>
      <w:r w:rsidR="000251EE">
        <w:t>.2</w:t>
      </w:r>
      <w:r w:rsidR="00182C81">
        <w:t xml:space="preserve"> million</w:t>
      </w:r>
      <w:r w:rsidRPr="003B5206">
        <w:t xml:space="preserve">, and is presented in </w:t>
      </w:r>
      <w:r w:rsidR="00367F8F">
        <w:t xml:space="preserve">line 20 of </w:t>
      </w:r>
      <w:r w:rsidRPr="003B5206">
        <w:t xml:space="preserve">column </w:t>
      </w:r>
      <w:r w:rsidR="00367F8F">
        <w:t>O</w:t>
      </w:r>
      <w:r w:rsidR="00367F8F" w:rsidRPr="003B5206">
        <w:t xml:space="preserve"> o</w:t>
      </w:r>
      <w:r w:rsidR="00367F8F">
        <w:t>n</w:t>
      </w:r>
      <w:r w:rsidR="00367F8F" w:rsidRPr="003B5206">
        <w:t xml:space="preserve"> </w:t>
      </w:r>
      <w:r w:rsidRPr="003B5206">
        <w:t>page two.</w:t>
      </w:r>
    </w:p>
    <w:p w:rsidR="00FC5841" w:rsidRPr="009075DC" w:rsidRDefault="00FC5841" w:rsidP="00FC5841">
      <w:pPr>
        <w:pStyle w:val="Heading1"/>
        <w:rPr>
          <w:rFonts w:eastAsia="SimSun"/>
        </w:rPr>
      </w:pPr>
      <w:bookmarkStart w:id="46" w:name="_Toc471912927"/>
      <w:r w:rsidRPr="009075DC">
        <w:rPr>
          <w:rFonts w:eastAsia="SimSun"/>
        </w:rPr>
        <w:t>I</w:t>
      </w:r>
      <w:r w:rsidR="007816E1">
        <w:rPr>
          <w:rFonts w:eastAsia="SimSun"/>
        </w:rPr>
        <w:t>I</w:t>
      </w:r>
      <w:r w:rsidRPr="009075DC">
        <w:rPr>
          <w:rFonts w:eastAsia="SimSun"/>
        </w:rPr>
        <w:t>I.</w:t>
      </w:r>
      <w:r w:rsidRPr="009075DC">
        <w:rPr>
          <w:rFonts w:eastAsia="SimSun"/>
        </w:rPr>
        <w:tab/>
        <w:t>COST OF SERVICE</w:t>
      </w:r>
      <w:r>
        <w:rPr>
          <w:rFonts w:eastAsia="SimSun"/>
        </w:rPr>
        <w:t xml:space="preserve"> </w:t>
      </w:r>
      <w:r w:rsidR="0007391C">
        <w:rPr>
          <w:rFonts w:eastAsia="SimSun"/>
        </w:rPr>
        <w:t>OVERVIEW</w:t>
      </w:r>
      <w:bookmarkEnd w:id="46"/>
      <w:r w:rsidRPr="009075DC">
        <w:rPr>
          <w:rFonts w:eastAsia="SimSun"/>
        </w:rPr>
        <w:t xml:space="preserve"> </w:t>
      </w:r>
    </w:p>
    <w:p w:rsidR="0007391C" w:rsidRPr="009075DC" w:rsidRDefault="0007391C" w:rsidP="0007391C">
      <w:pPr>
        <w:pStyle w:val="question"/>
        <w:widowControl w:val="0"/>
        <w:rPr>
          <w:rFonts w:eastAsia="SimSun"/>
        </w:rPr>
      </w:pPr>
      <w:r w:rsidRPr="009075DC">
        <w:rPr>
          <w:rFonts w:eastAsia="SimSun"/>
        </w:rPr>
        <w:t>Q.</w:t>
      </w:r>
      <w:r w:rsidRPr="009075DC">
        <w:rPr>
          <w:rFonts w:eastAsia="SimSun"/>
        </w:rPr>
        <w:tab/>
        <w:t xml:space="preserve">Please summarize the purpose of a cost of service study.  </w:t>
      </w:r>
    </w:p>
    <w:p w:rsidR="00CE54C8" w:rsidRDefault="00CE54C8" w:rsidP="00CE54C8">
      <w:pPr>
        <w:pStyle w:val="answer"/>
      </w:pPr>
      <w:r>
        <w:t>A.</w:t>
      </w:r>
      <w:r>
        <w:tab/>
        <w:t>A cost of service study identifies the costs that are incurred to serve a particular customer class.  Identifying the cost responsibility of each class requires an analysis of PSE’s costs and then an allocation of those costs to each customer class.  This allocation is accomplished by first directly assigning to a customer class any costs determined to be caused by that class alone.  Joint costs that are shared by multiple customer classes are then allocated to those classes on a pro rata basis, based on factors appropriate to the costs being allocated.</w:t>
      </w:r>
    </w:p>
    <w:p w:rsidR="00CE54C8" w:rsidRDefault="00CE54C8" w:rsidP="00CE54C8">
      <w:pPr>
        <w:pStyle w:val="answer"/>
        <w:ind w:firstLine="0"/>
      </w:pPr>
      <w:r>
        <w:t>The ultimate objective of the cost allocation process is to create a just, fair, reasonable and sufficient allocation of costs to different customer classes.  This cost of service information is then used to allocate the revenue requirement to the different customer classes.</w:t>
      </w:r>
    </w:p>
    <w:p w:rsidR="00CE54C8" w:rsidRDefault="00CE54C8" w:rsidP="00CE54C8">
      <w:pPr>
        <w:pStyle w:val="question"/>
        <w:keepNext/>
        <w:spacing w:before="120"/>
      </w:pPr>
      <w:r>
        <w:lastRenderedPageBreak/>
        <w:t>Q.</w:t>
      </w:r>
      <w:r>
        <w:tab/>
        <w:t>How are cost of service study results generally used for ratemaking purposes?</w:t>
      </w:r>
    </w:p>
    <w:p w:rsidR="008520E5" w:rsidRPr="003B5206" w:rsidRDefault="00CE54C8" w:rsidP="00CE54C8">
      <w:pPr>
        <w:pStyle w:val="answer"/>
        <w:widowControl w:val="0"/>
        <w:rPr>
          <w:szCs w:val="24"/>
        </w:rPr>
      </w:pPr>
      <w:r>
        <w:t>A.</w:t>
      </w:r>
      <w:r>
        <w:tab/>
        <w:t xml:space="preserve">Historically, the Commission has treated cost of service studies as a guidepost for the allocation of the revenue requirement and has eschewed a mechanical application of these studies, particularly given the widely varying perspectives among rate case participants as to the “true” cost of providing service to any given class of customers.  Therefore, while such studies may be representative of the overall level of costs that should be recovered from any particular class, the Commission routinely exercises its broad discretion in how strictly to apply the results of such analyses.  </w:t>
      </w:r>
    </w:p>
    <w:p w:rsidR="00CE54C8" w:rsidRPr="009075DC" w:rsidRDefault="00CE54C8" w:rsidP="00CE54C8">
      <w:pPr>
        <w:pStyle w:val="question"/>
        <w:widowControl w:val="0"/>
        <w:rPr>
          <w:rFonts w:eastAsia="SimSun"/>
        </w:rPr>
      </w:pPr>
      <w:r w:rsidRPr="009075DC">
        <w:rPr>
          <w:rFonts w:eastAsia="SimSun"/>
        </w:rPr>
        <w:t>Q.</w:t>
      </w:r>
      <w:r w:rsidRPr="009075DC">
        <w:rPr>
          <w:rFonts w:eastAsia="SimSun"/>
        </w:rPr>
        <w:tab/>
        <w:t>Please summarize the process for preparing the cost of service study.</w:t>
      </w:r>
    </w:p>
    <w:p w:rsidR="00CE54C8" w:rsidRPr="009075DC" w:rsidRDefault="00CE54C8" w:rsidP="00CE54C8">
      <w:pPr>
        <w:pStyle w:val="answer"/>
        <w:widowControl w:val="0"/>
        <w:rPr>
          <w:rFonts w:eastAsia="SimSun"/>
        </w:rPr>
      </w:pPr>
      <w:r w:rsidRPr="009075DC">
        <w:rPr>
          <w:rFonts w:eastAsia="SimSun"/>
        </w:rPr>
        <w:t>A.</w:t>
      </w:r>
      <w:r w:rsidRPr="009075DC">
        <w:rPr>
          <w:rFonts w:eastAsia="SimSun"/>
        </w:rPr>
        <w:tab/>
      </w:r>
      <w:r>
        <w:rPr>
          <w:rFonts w:eastAsia="SimSun"/>
        </w:rPr>
        <w:t xml:space="preserve">A cost of service study starts with the revenue requirement.  </w:t>
      </w:r>
      <w:r w:rsidRPr="009075DC">
        <w:rPr>
          <w:rFonts w:eastAsia="SimSun"/>
        </w:rPr>
        <w:t>The electric cost of service study</w:t>
      </w:r>
      <w:r w:rsidR="006E3F70">
        <w:rPr>
          <w:rFonts w:eastAsia="SimSun"/>
        </w:rPr>
        <w:t xml:space="preserve"> in this case</w:t>
      </w:r>
      <w:r w:rsidRPr="009075DC">
        <w:rPr>
          <w:rFonts w:eastAsia="SimSun"/>
        </w:rPr>
        <w:t xml:space="preserve"> starts with the electric revenue requirement that is set forth in the Prefiled Direct Testimony of </w:t>
      </w:r>
      <w:r>
        <w:rPr>
          <w:rFonts w:eastAsia="SimSun"/>
        </w:rPr>
        <w:t>Katherine J. Barnard</w:t>
      </w:r>
      <w:r w:rsidRPr="009075DC">
        <w:rPr>
          <w:rFonts w:eastAsia="SimSun"/>
        </w:rPr>
        <w:t>, Exhibit No. ___(</w:t>
      </w:r>
      <w:r>
        <w:rPr>
          <w:rFonts w:eastAsia="SimSun"/>
        </w:rPr>
        <w:t>KJB</w:t>
      </w:r>
      <w:r w:rsidRPr="009075DC">
        <w:rPr>
          <w:rFonts w:eastAsia="SimSun"/>
        </w:rPr>
        <w:t>-1T) and associated exhibits, which represents PSE’s costs to provide service to its electric customers.</w:t>
      </w:r>
      <w:r>
        <w:rPr>
          <w:rFonts w:eastAsia="SimSun"/>
        </w:rPr>
        <w:t xml:space="preserve">  The associated natural gas revenue requirement </w:t>
      </w:r>
      <w:r w:rsidR="006E3F70">
        <w:rPr>
          <w:rFonts w:eastAsia="SimSun"/>
        </w:rPr>
        <w:t xml:space="preserve">in this case </w:t>
      </w:r>
      <w:r>
        <w:rPr>
          <w:rFonts w:eastAsia="SimSun"/>
        </w:rPr>
        <w:t>is s</w:t>
      </w:r>
      <w:r w:rsidRPr="009075DC">
        <w:rPr>
          <w:rFonts w:eastAsia="SimSun"/>
        </w:rPr>
        <w:t xml:space="preserve">et forth in the Prefiled Direct Testimony of </w:t>
      </w:r>
      <w:r w:rsidR="001E13D8">
        <w:rPr>
          <w:rFonts w:eastAsia="SimSun"/>
        </w:rPr>
        <w:t>Susan E. Free</w:t>
      </w:r>
      <w:r w:rsidRPr="009075DC">
        <w:rPr>
          <w:rFonts w:eastAsia="SimSun"/>
        </w:rPr>
        <w:t>, Exhibit No. ___(</w:t>
      </w:r>
      <w:r w:rsidR="001E13D8">
        <w:rPr>
          <w:rFonts w:eastAsia="SimSun"/>
        </w:rPr>
        <w:t>SEF</w:t>
      </w:r>
      <w:r w:rsidRPr="009075DC">
        <w:rPr>
          <w:rFonts w:eastAsia="SimSun"/>
        </w:rPr>
        <w:t>-1T) and associated exhibits</w:t>
      </w:r>
      <w:r>
        <w:rPr>
          <w:rFonts w:eastAsia="SimSun"/>
        </w:rPr>
        <w:t>.</w:t>
      </w:r>
    </w:p>
    <w:p w:rsidR="00CE54C8" w:rsidRPr="009075DC" w:rsidRDefault="00CE54C8" w:rsidP="00CE54C8">
      <w:pPr>
        <w:pStyle w:val="answer"/>
        <w:widowControl w:val="0"/>
        <w:ind w:firstLine="0"/>
        <w:rPr>
          <w:rFonts w:eastAsia="SimSun"/>
        </w:rPr>
      </w:pPr>
      <w:r w:rsidRPr="009075DC">
        <w:rPr>
          <w:rFonts w:eastAsia="SimSun"/>
        </w:rPr>
        <w:t xml:space="preserve">The first step of this study is to separate these </w:t>
      </w:r>
      <w:r w:rsidR="006E3F70">
        <w:rPr>
          <w:rFonts w:eastAsia="SimSun"/>
        </w:rPr>
        <w:t xml:space="preserve">revenue requirements </w:t>
      </w:r>
      <w:r w:rsidRPr="009075DC">
        <w:rPr>
          <w:rFonts w:eastAsia="SimSun"/>
        </w:rPr>
        <w:t>into the major utility functions</w:t>
      </w:r>
      <w:r>
        <w:rPr>
          <w:rFonts w:eastAsia="SimSun"/>
        </w:rPr>
        <w:t xml:space="preserve">.  </w:t>
      </w:r>
      <w:r w:rsidR="006E3F70" w:rsidRPr="009075DC">
        <w:rPr>
          <w:rFonts w:eastAsia="SimSun"/>
        </w:rPr>
        <w:t xml:space="preserve">This process is referred to as the </w:t>
      </w:r>
      <w:r w:rsidR="006E3F70">
        <w:rPr>
          <w:rFonts w:eastAsia="SimSun"/>
        </w:rPr>
        <w:t xml:space="preserve">functionalization </w:t>
      </w:r>
      <w:r w:rsidR="006E3F70" w:rsidRPr="009075DC">
        <w:rPr>
          <w:rFonts w:eastAsia="SimSun"/>
        </w:rPr>
        <w:t>of costs</w:t>
      </w:r>
      <w:r w:rsidR="006E3F70">
        <w:rPr>
          <w:rFonts w:eastAsia="SimSun"/>
        </w:rPr>
        <w:t>.</w:t>
      </w:r>
    </w:p>
    <w:p w:rsidR="00CE54C8" w:rsidRPr="009075DC" w:rsidRDefault="00CE54C8" w:rsidP="00CE54C8">
      <w:pPr>
        <w:pStyle w:val="answer"/>
        <w:widowControl w:val="0"/>
        <w:ind w:firstLine="0"/>
        <w:rPr>
          <w:rFonts w:eastAsia="SimSun"/>
        </w:rPr>
      </w:pPr>
      <w:r w:rsidRPr="009075DC">
        <w:rPr>
          <w:rFonts w:eastAsia="SimSun"/>
        </w:rPr>
        <w:t xml:space="preserve">The second step is to further divide the costs associated with each of the major </w:t>
      </w:r>
      <w:r w:rsidRPr="009075DC">
        <w:rPr>
          <w:rFonts w:eastAsia="SimSun"/>
        </w:rPr>
        <w:lastRenderedPageBreak/>
        <w:t>functions into customer, demand and energy components (which are explained below).  This process is referred to as the classification of costs.</w:t>
      </w:r>
    </w:p>
    <w:p w:rsidR="00CE54C8" w:rsidRPr="009075DC" w:rsidRDefault="00CE54C8" w:rsidP="00CE54C8">
      <w:pPr>
        <w:pStyle w:val="answer"/>
        <w:widowControl w:val="0"/>
        <w:ind w:firstLine="0"/>
        <w:rPr>
          <w:rFonts w:eastAsia="SimSun"/>
        </w:rPr>
      </w:pPr>
      <w:r w:rsidRPr="009075DC">
        <w:rPr>
          <w:rFonts w:eastAsia="SimSun"/>
        </w:rPr>
        <w:t>The third step is to allocate each of the cost components to the individual customer classes.</w:t>
      </w:r>
    </w:p>
    <w:p w:rsidR="008520E5" w:rsidRPr="003B5206" w:rsidRDefault="008520E5" w:rsidP="008520E5">
      <w:pPr>
        <w:pStyle w:val="question"/>
        <w:keepLines/>
        <w:widowControl w:val="0"/>
        <w:spacing w:before="120"/>
      </w:pPr>
      <w:r w:rsidRPr="003B5206">
        <w:t>Q.</w:t>
      </w:r>
      <w:r w:rsidRPr="003B5206">
        <w:tab/>
        <w:t>Please describe the first step in a cost of service study, functionalization.</w:t>
      </w:r>
    </w:p>
    <w:p w:rsidR="008520E5" w:rsidRPr="003B5206" w:rsidRDefault="008520E5" w:rsidP="008520E5">
      <w:pPr>
        <w:pStyle w:val="answer"/>
        <w:widowControl w:val="0"/>
        <w:rPr>
          <w:szCs w:val="24"/>
        </w:rPr>
      </w:pPr>
      <w:r w:rsidRPr="003B5206">
        <w:t>A.</w:t>
      </w:r>
      <w:r w:rsidRPr="003B5206">
        <w:tab/>
      </w:r>
      <w:r w:rsidR="00CE54C8">
        <w:t xml:space="preserve">Functionalization separates plant and expenses into categories based on the major functions of the utility.  </w:t>
      </w:r>
      <w:r w:rsidR="00CE54C8">
        <w:rPr>
          <w:rFonts w:eastAsia="SimSun"/>
        </w:rPr>
        <w:t>For PSE’s electric service, these functions include</w:t>
      </w:r>
      <w:r w:rsidR="00CE54C8" w:rsidRPr="009075DC">
        <w:rPr>
          <w:rFonts w:eastAsia="SimSun"/>
        </w:rPr>
        <w:t xml:space="preserve"> generation, transmission, and distribution.  </w:t>
      </w:r>
      <w:r w:rsidR="00CE54C8">
        <w:t>For PSE’s natural gas service, these functions have traditionally been the production, storage and distribution of natural gas.</w:t>
      </w:r>
    </w:p>
    <w:p w:rsidR="008520E5" w:rsidRPr="003B5206" w:rsidRDefault="008520E5" w:rsidP="008520E5">
      <w:pPr>
        <w:pStyle w:val="question"/>
        <w:keepLines/>
        <w:widowControl w:val="0"/>
        <w:spacing w:before="120"/>
      </w:pPr>
      <w:r w:rsidRPr="003B5206">
        <w:t>Q.</w:t>
      </w:r>
      <w:r w:rsidRPr="003B5206">
        <w:tab/>
        <w:t>Please describe the second step in a cost of service study, classification.</w:t>
      </w:r>
    </w:p>
    <w:p w:rsidR="008520E5" w:rsidRPr="003B5206" w:rsidRDefault="008520E5" w:rsidP="008520E5">
      <w:pPr>
        <w:pStyle w:val="answer"/>
        <w:widowControl w:val="0"/>
        <w:rPr>
          <w:szCs w:val="24"/>
        </w:rPr>
      </w:pPr>
      <w:r w:rsidRPr="003B5206">
        <w:t>A.</w:t>
      </w:r>
      <w:r w:rsidRPr="003B5206">
        <w:tab/>
        <w:t xml:space="preserve">Classification further separates costs into categories based on the utility operation for which the plant is constructed and expenses are incurred.  PSE’s </w:t>
      </w:r>
      <w:r w:rsidR="006E3F70">
        <w:t xml:space="preserve">utility </w:t>
      </w:r>
      <w:r w:rsidRPr="003B5206">
        <w:t>system</w:t>
      </w:r>
      <w:r w:rsidR="006E3F70">
        <w:t xml:space="preserve">s are </w:t>
      </w:r>
      <w:r w:rsidRPr="003B5206">
        <w:t xml:space="preserve">designed to perform the following three primary tasks:  (1) </w:t>
      </w:r>
      <w:r w:rsidR="006E3F70">
        <w:t xml:space="preserve">stand ready </w:t>
      </w:r>
      <w:r w:rsidRPr="003B5206">
        <w:t>to provide services to</w:t>
      </w:r>
      <w:r w:rsidRPr="003B5206">
        <w:rPr>
          <w:i/>
        </w:rPr>
        <w:t xml:space="preserve"> customers</w:t>
      </w:r>
      <w:r w:rsidRPr="003B5206">
        <w:t xml:space="preserve"> served by the system; (2) to serve peak </w:t>
      </w:r>
      <w:r w:rsidRPr="003B5206">
        <w:rPr>
          <w:i/>
        </w:rPr>
        <w:t>demands</w:t>
      </w:r>
      <w:r w:rsidRPr="003B5206">
        <w:t xml:space="preserve"> of all customers; and (3) to </w:t>
      </w:r>
      <w:r w:rsidR="006E3F70">
        <w:t xml:space="preserve">supply or </w:t>
      </w:r>
      <w:r w:rsidRPr="003B5206">
        <w:t xml:space="preserve">deliver the </w:t>
      </w:r>
      <w:r w:rsidR="006E3F70" w:rsidRPr="0016430B">
        <w:rPr>
          <w:i/>
        </w:rPr>
        <w:t>energy</w:t>
      </w:r>
      <w:r w:rsidR="006E3F70">
        <w:t xml:space="preserve"> </w:t>
      </w:r>
      <w:r w:rsidRPr="003B5206">
        <w:t xml:space="preserve">sold to or transported for its customers.  There are costs associated with each of these services and the cost of service study </w:t>
      </w:r>
      <w:r w:rsidR="006E3F70">
        <w:t>categorizes them</w:t>
      </w:r>
      <w:r w:rsidRPr="003B5206">
        <w:t xml:space="preserve"> according to customer, demand, or commodity.</w:t>
      </w:r>
    </w:p>
    <w:p w:rsidR="008520E5" w:rsidRPr="003B5206" w:rsidRDefault="008520E5" w:rsidP="008520E5">
      <w:pPr>
        <w:pStyle w:val="answer"/>
        <w:ind w:firstLine="0"/>
        <w:rPr>
          <w:szCs w:val="24"/>
        </w:rPr>
      </w:pPr>
      <w:r w:rsidRPr="003B5206">
        <w:t xml:space="preserve">Given these three primary functions of </w:t>
      </w:r>
      <w:r w:rsidR="006E3F70">
        <w:t xml:space="preserve">PSE’s utility </w:t>
      </w:r>
      <w:r w:rsidRPr="003B5206">
        <w:t>system</w:t>
      </w:r>
      <w:r w:rsidR="006E3F70">
        <w:t>s</w:t>
      </w:r>
      <w:r w:rsidRPr="003B5206">
        <w:t xml:space="preserve">, classification answers the question:  "Why was the cost incurred – to serve the customer, to </w:t>
      </w:r>
      <w:r w:rsidRPr="003B5206">
        <w:lastRenderedPageBreak/>
        <w:t xml:space="preserve">meet peak demand, or to provide the </w:t>
      </w:r>
      <w:r w:rsidR="006E3F70">
        <w:t>energy</w:t>
      </w:r>
      <w:r w:rsidRPr="003B5206">
        <w:t xml:space="preserve">?"  Another way to ask this is, "Does the cost vary with the number of customers, the peak demand for which the system was designed, or the </w:t>
      </w:r>
      <w:r w:rsidR="006E3F70">
        <w:t xml:space="preserve">amount of energy </w:t>
      </w:r>
      <w:r w:rsidRPr="003B5206">
        <w:t>sold or transported over the system?"</w:t>
      </w:r>
    </w:p>
    <w:p w:rsidR="008520E5" w:rsidRPr="003B5206" w:rsidRDefault="008520E5" w:rsidP="008520E5">
      <w:pPr>
        <w:pStyle w:val="question"/>
      </w:pPr>
      <w:r w:rsidRPr="003B5206">
        <w:t>Q.</w:t>
      </w:r>
      <w:r w:rsidRPr="003B5206">
        <w:tab/>
        <w:t>Please describe customer-related costs.</w:t>
      </w:r>
    </w:p>
    <w:p w:rsidR="008520E5" w:rsidRPr="003B5206" w:rsidRDefault="008520E5" w:rsidP="008520E5">
      <w:pPr>
        <w:pStyle w:val="answer"/>
        <w:widowControl w:val="0"/>
      </w:pPr>
      <w:r w:rsidRPr="003B5206">
        <w:t>A.</w:t>
      </w:r>
      <w:r w:rsidRPr="003B5206">
        <w:tab/>
        <w:t xml:space="preserve">Customer-related costs are those costs that would be needed to serve customers </w:t>
      </w:r>
      <w:r w:rsidR="006E3F70">
        <w:t>regardless of their level of energy usage</w:t>
      </w:r>
      <w:r w:rsidRPr="003B5206">
        <w:t xml:space="preserve">.  These costs include, at a minimum, the costs of the service line and meter, meter reading and billing, and maintaining the customer accounting system.  </w:t>
      </w:r>
      <w:r w:rsidR="006E3F70">
        <w:t>In the case of PSE’s electric system, t</w:t>
      </w:r>
      <w:r w:rsidRPr="003B5206">
        <w:t xml:space="preserve">hey may also include costs associated with </w:t>
      </w:r>
      <w:r w:rsidR="006E3F70">
        <w:t>line transformers</w:t>
      </w:r>
      <w:r w:rsidRPr="003B5206">
        <w:t xml:space="preserve">.  Customer costs vary with the number of customers on the </w:t>
      </w:r>
      <w:r w:rsidR="006E3F70">
        <w:t xml:space="preserve">utility </w:t>
      </w:r>
      <w:r w:rsidRPr="003B5206">
        <w:t xml:space="preserve">system, regardless of how much </w:t>
      </w:r>
      <w:r w:rsidR="006E3F70">
        <w:t xml:space="preserve">energy </w:t>
      </w:r>
      <w:r w:rsidRPr="003B5206">
        <w:t>those customers consume.</w:t>
      </w:r>
    </w:p>
    <w:p w:rsidR="008520E5" w:rsidRPr="003B5206" w:rsidRDefault="008520E5" w:rsidP="008520E5">
      <w:pPr>
        <w:pStyle w:val="question"/>
        <w:rPr>
          <w:szCs w:val="24"/>
        </w:rPr>
      </w:pPr>
      <w:r w:rsidRPr="003B5206">
        <w:t>Q.</w:t>
      </w:r>
      <w:r w:rsidRPr="003B5206">
        <w:tab/>
        <w:t>Please describe demand-related costs.</w:t>
      </w:r>
    </w:p>
    <w:p w:rsidR="008520E5" w:rsidRPr="003B5206" w:rsidRDefault="008520E5" w:rsidP="008520E5">
      <w:pPr>
        <w:pStyle w:val="answer"/>
        <w:widowControl w:val="0"/>
      </w:pPr>
      <w:r w:rsidRPr="003B5206">
        <w:t>A.</w:t>
      </w:r>
      <w:r w:rsidRPr="003B5206">
        <w:tab/>
        <w:t xml:space="preserve">Demand, or capacity, costs are those costs associated with designing, installing, and operating the system to meet </w:t>
      </w:r>
      <w:r w:rsidR="0016430B">
        <w:t>peak demands</w:t>
      </w:r>
      <w:r w:rsidRPr="003B5206">
        <w:t xml:space="preserve">.  The system must be sized to meet peak requirements, even though average loads are below peak levels; otherwise the system would not </w:t>
      </w:r>
      <w:r w:rsidR="0016430B">
        <w:t xml:space="preserve">have </w:t>
      </w:r>
      <w:r w:rsidRPr="003B5206">
        <w:t xml:space="preserve">adequate </w:t>
      </w:r>
      <w:r w:rsidR="0016430B">
        <w:t xml:space="preserve">capacity </w:t>
      </w:r>
      <w:r w:rsidRPr="003B5206">
        <w:t xml:space="preserve">to serve customers’ demand </w:t>
      </w:r>
      <w:r w:rsidR="0016430B">
        <w:t>during the times of greatest energy consumption</w:t>
      </w:r>
      <w:r w:rsidRPr="003B5206">
        <w:t>.  Demand costs vary with the size of the peak demand for which the system was designed.  Demand costs are incurred whether all the capacity is used or not.</w:t>
      </w:r>
    </w:p>
    <w:p w:rsidR="007608D1" w:rsidRDefault="007608D1" w:rsidP="008520E5">
      <w:pPr>
        <w:pStyle w:val="question"/>
        <w:keepLines/>
        <w:widowControl w:val="0"/>
        <w:spacing w:before="120"/>
      </w:pPr>
    </w:p>
    <w:p w:rsidR="008520E5" w:rsidRPr="003B5206" w:rsidRDefault="008520E5" w:rsidP="008520E5">
      <w:pPr>
        <w:pStyle w:val="question"/>
        <w:keepLines/>
        <w:widowControl w:val="0"/>
        <w:spacing w:before="120"/>
      </w:pPr>
      <w:r w:rsidRPr="003B5206">
        <w:lastRenderedPageBreak/>
        <w:t>Q.</w:t>
      </w:r>
      <w:r w:rsidRPr="003B5206">
        <w:tab/>
        <w:t xml:space="preserve">Please describe </w:t>
      </w:r>
      <w:r w:rsidR="0016430B">
        <w:t xml:space="preserve">energy </w:t>
      </w:r>
      <w:r w:rsidRPr="003B5206">
        <w:t>costs.</w:t>
      </w:r>
    </w:p>
    <w:p w:rsidR="008520E5" w:rsidRPr="003B5206" w:rsidRDefault="008520E5" w:rsidP="008520E5">
      <w:pPr>
        <w:pStyle w:val="answer"/>
        <w:widowControl w:val="0"/>
      </w:pPr>
      <w:r w:rsidRPr="003B5206">
        <w:t>A.</w:t>
      </w:r>
      <w:r w:rsidRPr="003B5206">
        <w:tab/>
      </w:r>
      <w:r w:rsidR="0016430B">
        <w:t xml:space="preserve">Energy </w:t>
      </w:r>
      <w:r w:rsidRPr="003B5206">
        <w:t xml:space="preserve">costs vary with the amount of </w:t>
      </w:r>
      <w:r w:rsidR="0016430B">
        <w:t xml:space="preserve">energy supplied or delivered </w:t>
      </w:r>
      <w:r w:rsidRPr="003B5206">
        <w:t>over PSE’s system</w:t>
      </w:r>
      <w:r w:rsidR="0016430B">
        <w:t>.  This includes both</w:t>
      </w:r>
      <w:r w:rsidRPr="003B5206">
        <w:t xml:space="preserve"> the </w:t>
      </w:r>
      <w:r w:rsidR="0016430B">
        <w:t xml:space="preserve">energy </w:t>
      </w:r>
      <w:r w:rsidRPr="003B5206">
        <w:t xml:space="preserve">sold to customers </w:t>
      </w:r>
      <w:r w:rsidR="0016430B">
        <w:t>and the energy</w:t>
      </w:r>
      <w:r w:rsidRPr="003B5206">
        <w:t xml:space="preserve"> transported for customers who purchase </w:t>
      </w:r>
      <w:r w:rsidR="0016430B">
        <w:t xml:space="preserve">their energy supply </w:t>
      </w:r>
      <w:r w:rsidRPr="003B5206">
        <w:t xml:space="preserve">from providers other than PSE.  Over a one-year period, the average </w:t>
      </w:r>
      <w:r w:rsidR="0016430B">
        <w:t>energy</w:t>
      </w:r>
      <w:r w:rsidRPr="003B5206">
        <w:t xml:space="preserve"> </w:t>
      </w:r>
      <w:r w:rsidR="0016430B">
        <w:t xml:space="preserve">delivered </w:t>
      </w:r>
      <w:r w:rsidRPr="003B5206">
        <w:t xml:space="preserve">through </w:t>
      </w:r>
      <w:r w:rsidR="0016430B">
        <w:t xml:space="preserve">PSE’s utility </w:t>
      </w:r>
      <w:r w:rsidRPr="003B5206">
        <w:t>system</w:t>
      </w:r>
      <w:r w:rsidR="0016430B">
        <w:t xml:space="preserve">s is considerably less than that delivered </w:t>
      </w:r>
      <w:r w:rsidRPr="003B5206">
        <w:t xml:space="preserve">on a peak day.  </w:t>
      </w:r>
      <w:r w:rsidR="0016430B">
        <w:t>Generally speaking, energy-related costs are more associated with the supply of energy rather than its delivery</w:t>
      </w:r>
      <w:r w:rsidRPr="003B5206">
        <w:t>.</w:t>
      </w:r>
    </w:p>
    <w:p w:rsidR="001B7283" w:rsidRPr="009075DC" w:rsidRDefault="001B7283" w:rsidP="001B7283">
      <w:pPr>
        <w:pStyle w:val="question"/>
        <w:widowControl w:val="0"/>
        <w:rPr>
          <w:rFonts w:eastAsia="SimSun"/>
        </w:rPr>
      </w:pPr>
      <w:bookmarkStart w:id="47" w:name="OLE_LINK3"/>
      <w:r w:rsidRPr="009075DC">
        <w:rPr>
          <w:rFonts w:eastAsia="SimSun"/>
        </w:rPr>
        <w:t>Q.</w:t>
      </w:r>
      <w:r w:rsidRPr="009075DC">
        <w:rPr>
          <w:rFonts w:eastAsia="SimSun"/>
        </w:rPr>
        <w:tab/>
      </w:r>
      <w:r>
        <w:rPr>
          <w:rFonts w:eastAsia="SimSun"/>
        </w:rPr>
        <w:t xml:space="preserve">Is it always clear whether costs are demand, energy </w:t>
      </w:r>
      <w:r w:rsidR="00CE2DE2">
        <w:rPr>
          <w:rFonts w:eastAsia="SimSun"/>
        </w:rPr>
        <w:t xml:space="preserve">or </w:t>
      </w:r>
      <w:r>
        <w:rPr>
          <w:rFonts w:eastAsia="SimSun"/>
        </w:rPr>
        <w:t>customer related</w:t>
      </w:r>
      <w:r w:rsidRPr="009075DC">
        <w:rPr>
          <w:rFonts w:eastAsia="SimSun"/>
        </w:rPr>
        <w:t>?</w:t>
      </w:r>
    </w:p>
    <w:p w:rsidR="001B7283" w:rsidRPr="009075DC" w:rsidRDefault="001B7283" w:rsidP="001B7283">
      <w:pPr>
        <w:pStyle w:val="answer"/>
        <w:rPr>
          <w:rFonts w:eastAsia="SimSun"/>
        </w:rPr>
      </w:pPr>
      <w:r w:rsidRPr="009075DC">
        <w:rPr>
          <w:rFonts w:eastAsia="SimSun"/>
        </w:rPr>
        <w:t>A.</w:t>
      </w:r>
      <w:r w:rsidRPr="009075DC">
        <w:rPr>
          <w:rFonts w:eastAsia="SimSun"/>
        </w:rPr>
        <w:tab/>
      </w:r>
      <w:r>
        <w:rPr>
          <w:rFonts w:eastAsia="SimSun"/>
        </w:rPr>
        <w:t xml:space="preserve">No. </w:t>
      </w:r>
      <w:r w:rsidRPr="009075DC">
        <w:rPr>
          <w:rFonts w:eastAsia="SimSun"/>
        </w:rPr>
        <w:t xml:space="preserve">One of the challenges of classifying costs </w:t>
      </w:r>
      <w:r>
        <w:rPr>
          <w:rFonts w:eastAsia="SimSun"/>
        </w:rPr>
        <w:t xml:space="preserve">between </w:t>
      </w:r>
      <w:r w:rsidRPr="009075DC">
        <w:rPr>
          <w:rFonts w:eastAsia="SimSun"/>
        </w:rPr>
        <w:t xml:space="preserve">demand, energy, and customer </w:t>
      </w:r>
      <w:r>
        <w:rPr>
          <w:rFonts w:eastAsia="SimSun"/>
        </w:rPr>
        <w:t xml:space="preserve">categories </w:t>
      </w:r>
      <w:r w:rsidRPr="009075DC">
        <w:rPr>
          <w:rFonts w:eastAsia="SimSun"/>
        </w:rPr>
        <w:t>is that some utility equipment is commonly considered to serve multiple functions.  For example,</w:t>
      </w:r>
      <w:r>
        <w:rPr>
          <w:rFonts w:eastAsia="SimSun"/>
        </w:rPr>
        <w:t xml:space="preserve"> electric</w:t>
      </w:r>
      <w:r w:rsidRPr="009075DC">
        <w:rPr>
          <w:rFonts w:eastAsia="SimSun"/>
        </w:rPr>
        <w:t xml:space="preserve"> generation equipment is widely recognized </w:t>
      </w:r>
      <w:r>
        <w:rPr>
          <w:rFonts w:eastAsia="SimSun"/>
        </w:rPr>
        <w:t>as jointly providing capacity (</w:t>
      </w:r>
      <w:r w:rsidRPr="009075DC">
        <w:rPr>
          <w:rFonts w:eastAsia="SimSun"/>
        </w:rPr>
        <w:t>demand</w:t>
      </w:r>
      <w:r>
        <w:rPr>
          <w:rFonts w:eastAsia="SimSun"/>
        </w:rPr>
        <w:t>)</w:t>
      </w:r>
      <w:r w:rsidRPr="009075DC">
        <w:rPr>
          <w:rFonts w:eastAsia="SimSun"/>
        </w:rPr>
        <w:t xml:space="preserve"> and energy.</w:t>
      </w:r>
      <w:r>
        <w:rPr>
          <w:rFonts w:eastAsia="SimSun"/>
        </w:rPr>
        <w:t xml:space="preserve">  While there are a number of generally accepted methods for apportioning these joint costs</w:t>
      </w:r>
      <w:r w:rsidR="00F66F62">
        <w:rPr>
          <w:rFonts w:eastAsia="SimSun"/>
        </w:rPr>
        <w:t xml:space="preserve"> between demand and energy, even these methods</w:t>
      </w:r>
      <w:r>
        <w:rPr>
          <w:rFonts w:eastAsia="SimSun"/>
        </w:rPr>
        <w:t xml:space="preserve"> are the subject of considerable debate. </w:t>
      </w:r>
    </w:p>
    <w:p w:rsidR="008520E5" w:rsidRPr="003B5206" w:rsidRDefault="008520E5" w:rsidP="008520E5">
      <w:pPr>
        <w:pStyle w:val="question"/>
      </w:pPr>
      <w:r w:rsidRPr="003B5206">
        <w:t>Q.</w:t>
      </w:r>
      <w:r w:rsidRPr="003B5206">
        <w:tab/>
        <w:t>Please describe the third step in a cost of service study, allocation.</w:t>
      </w:r>
    </w:p>
    <w:p w:rsidR="008520E5" w:rsidRPr="003B5206" w:rsidRDefault="008520E5" w:rsidP="008520E5">
      <w:pPr>
        <w:pStyle w:val="answer"/>
        <w:widowControl w:val="0"/>
        <w:rPr>
          <w:szCs w:val="24"/>
        </w:rPr>
      </w:pPr>
      <w:r w:rsidRPr="003B5206">
        <w:t>A.</w:t>
      </w:r>
      <w:r w:rsidRPr="003B5206">
        <w:tab/>
        <w:t>Allocation is the final step in the assignment of costs to customer classes.  Unless a cost is unique to a specific customer class and can be directly assigned to that customer class, it is allocated based on an allocation factor that is related to that type of cost.  In general, (1) customer-related costs are allocated b</w:t>
      </w:r>
      <w:r w:rsidR="00CE2DE2">
        <w:t>ased on the number of customers,</w:t>
      </w:r>
      <w:r w:rsidRPr="003B5206">
        <w:t xml:space="preserve"> (2) demand-related costs are </w:t>
      </w:r>
      <w:r w:rsidR="00CE2DE2">
        <w:t xml:space="preserve">allocated based on peak </w:t>
      </w:r>
      <w:r w:rsidR="00CE2DE2">
        <w:lastRenderedPageBreak/>
        <w:t>demand,</w:t>
      </w:r>
      <w:r w:rsidRPr="003B5206">
        <w:t xml:space="preserve"> and (3) </w:t>
      </w:r>
      <w:r w:rsidR="0016430B">
        <w:t>energy</w:t>
      </w:r>
      <w:r w:rsidRPr="003B5206">
        <w:t xml:space="preserve">-related costs are allocated to customer classes based on </w:t>
      </w:r>
      <w:r w:rsidR="0016430B">
        <w:t>energy sales</w:t>
      </w:r>
      <w:r w:rsidRPr="003B5206">
        <w:t>.  There are many variations of these allocation factors based on the specific costs and plant items being allocated, and some costs may be allocated based on a combination of allocation factors.</w:t>
      </w:r>
    </w:p>
    <w:p w:rsidR="00F8418D" w:rsidRPr="009075DC" w:rsidRDefault="00FC5841" w:rsidP="00F01467">
      <w:pPr>
        <w:pStyle w:val="Heading1"/>
        <w:rPr>
          <w:rFonts w:eastAsia="SimSun"/>
        </w:rPr>
      </w:pPr>
      <w:bookmarkStart w:id="48" w:name="_Toc229277841"/>
      <w:bookmarkStart w:id="49" w:name="_Toc471912928"/>
      <w:bookmarkEnd w:id="47"/>
      <w:r>
        <w:rPr>
          <w:rFonts w:eastAsia="SimSun"/>
        </w:rPr>
        <w:t>I</w:t>
      </w:r>
      <w:r w:rsidR="007816E1">
        <w:rPr>
          <w:rFonts w:eastAsia="SimSun"/>
        </w:rPr>
        <w:t>V</w:t>
      </w:r>
      <w:r w:rsidR="00F8418D" w:rsidRPr="009075DC">
        <w:rPr>
          <w:rFonts w:eastAsia="SimSun"/>
        </w:rPr>
        <w:t>.</w:t>
      </w:r>
      <w:r w:rsidR="00F8418D" w:rsidRPr="009075DC">
        <w:rPr>
          <w:rFonts w:eastAsia="SimSun"/>
        </w:rPr>
        <w:tab/>
      </w:r>
      <w:r w:rsidR="00533EF1">
        <w:rPr>
          <w:rFonts w:eastAsia="SimSun"/>
        </w:rPr>
        <w:t xml:space="preserve">ELECTRIC </w:t>
      </w:r>
      <w:r w:rsidR="00F8418D" w:rsidRPr="009075DC">
        <w:rPr>
          <w:rFonts w:eastAsia="SimSun"/>
        </w:rPr>
        <w:t>COST OF SERVICE</w:t>
      </w:r>
      <w:bookmarkEnd w:id="39"/>
      <w:bookmarkEnd w:id="40"/>
      <w:bookmarkEnd w:id="41"/>
      <w:bookmarkEnd w:id="42"/>
      <w:bookmarkEnd w:id="48"/>
      <w:bookmarkEnd w:id="49"/>
    </w:p>
    <w:p w:rsidR="00FC5841" w:rsidRPr="003B5206" w:rsidRDefault="00FC5841" w:rsidP="00FC5841">
      <w:pPr>
        <w:pStyle w:val="Heading2"/>
        <w:spacing w:before="240" w:after="320"/>
      </w:pPr>
      <w:bookmarkStart w:id="50" w:name="_Toc471912929"/>
      <w:bookmarkStart w:id="51" w:name="_Toc127023384"/>
      <w:bookmarkStart w:id="52" w:name="_Toc229277843"/>
      <w:r w:rsidRPr="003B5206">
        <w:rPr>
          <w:u w:val="none"/>
        </w:rPr>
        <w:t>A.</w:t>
      </w:r>
      <w:r w:rsidRPr="003B5206">
        <w:rPr>
          <w:u w:val="none"/>
        </w:rPr>
        <w:tab/>
      </w:r>
      <w:r w:rsidRPr="003B5206">
        <w:t>Previous Cost of Service Studies</w:t>
      </w:r>
      <w:bookmarkEnd w:id="50"/>
    </w:p>
    <w:p w:rsidR="008D712B" w:rsidRPr="009075DC" w:rsidRDefault="008D712B" w:rsidP="008D712B">
      <w:pPr>
        <w:pStyle w:val="question"/>
        <w:rPr>
          <w:rFonts w:eastAsia="SimSun"/>
        </w:rPr>
      </w:pPr>
      <w:r w:rsidRPr="009075DC">
        <w:rPr>
          <w:rFonts w:eastAsia="SimSun"/>
        </w:rPr>
        <w:t>Q.</w:t>
      </w:r>
      <w:r w:rsidRPr="009075DC">
        <w:rPr>
          <w:rFonts w:eastAsia="SimSun"/>
        </w:rPr>
        <w:tab/>
        <w:t>Please identify all electric cost of service studies conducted by PSE in the last five years.</w:t>
      </w:r>
    </w:p>
    <w:p w:rsidR="008D712B" w:rsidRPr="009075DC" w:rsidRDefault="008D712B" w:rsidP="008D712B">
      <w:pPr>
        <w:pStyle w:val="answer"/>
        <w:widowControl w:val="0"/>
        <w:rPr>
          <w:rFonts w:eastAsia="SimSun"/>
        </w:rPr>
      </w:pPr>
      <w:r w:rsidRPr="009075DC">
        <w:rPr>
          <w:rFonts w:eastAsia="SimSun"/>
        </w:rPr>
        <w:t>A.</w:t>
      </w:r>
      <w:r w:rsidRPr="009075DC">
        <w:rPr>
          <w:rFonts w:eastAsia="SimSun"/>
        </w:rPr>
        <w:tab/>
      </w:r>
      <w:r>
        <w:rPr>
          <w:rFonts w:eastAsia="SimSun"/>
        </w:rPr>
        <w:t xml:space="preserve">Prior </w:t>
      </w:r>
      <w:r w:rsidRPr="009075DC">
        <w:rPr>
          <w:rFonts w:eastAsia="SimSun"/>
        </w:rPr>
        <w:t xml:space="preserve">to the electric cost of service study conducted in this case, PSE </w:t>
      </w:r>
      <w:r>
        <w:rPr>
          <w:rFonts w:eastAsia="SimSun"/>
        </w:rPr>
        <w:t xml:space="preserve">last </w:t>
      </w:r>
      <w:r w:rsidRPr="009075DC">
        <w:rPr>
          <w:rFonts w:eastAsia="SimSun"/>
        </w:rPr>
        <w:t>conducted</w:t>
      </w:r>
      <w:r>
        <w:rPr>
          <w:rFonts w:eastAsia="SimSun"/>
        </w:rPr>
        <w:t xml:space="preserve"> a</w:t>
      </w:r>
      <w:r w:rsidRPr="009075DC">
        <w:rPr>
          <w:rFonts w:eastAsia="SimSun"/>
        </w:rPr>
        <w:t xml:space="preserve"> fully allocated embedded cost of service stud</w:t>
      </w:r>
      <w:r>
        <w:rPr>
          <w:rFonts w:eastAsia="SimSun"/>
        </w:rPr>
        <w:t xml:space="preserve">y </w:t>
      </w:r>
      <w:r w:rsidRPr="009075DC">
        <w:rPr>
          <w:rFonts w:eastAsia="SimSun"/>
        </w:rPr>
        <w:t xml:space="preserve">to support </w:t>
      </w:r>
      <w:r>
        <w:rPr>
          <w:rFonts w:eastAsia="SimSun"/>
        </w:rPr>
        <w:t>its</w:t>
      </w:r>
      <w:r w:rsidRPr="009075DC">
        <w:rPr>
          <w:rFonts w:eastAsia="SimSun"/>
        </w:rPr>
        <w:t xml:space="preserve"> </w:t>
      </w:r>
      <w:r w:rsidR="0010641D">
        <w:rPr>
          <w:rFonts w:eastAsia="SimSun"/>
        </w:rPr>
        <w:t xml:space="preserve">2011 </w:t>
      </w:r>
      <w:r>
        <w:rPr>
          <w:rFonts w:eastAsia="SimSun"/>
        </w:rPr>
        <w:t>GRC</w:t>
      </w:r>
      <w:r w:rsidRPr="009075DC">
        <w:rPr>
          <w:rFonts w:eastAsia="SimSun"/>
        </w:rPr>
        <w:t xml:space="preserve">.  </w:t>
      </w:r>
    </w:p>
    <w:p w:rsidR="008D712B" w:rsidRPr="009075DC" w:rsidRDefault="008D712B" w:rsidP="008D712B">
      <w:pPr>
        <w:pStyle w:val="question"/>
        <w:widowControl w:val="0"/>
        <w:rPr>
          <w:rFonts w:eastAsia="SimSun"/>
        </w:rPr>
      </w:pPr>
      <w:r w:rsidRPr="009075DC">
        <w:rPr>
          <w:rFonts w:eastAsia="SimSun"/>
        </w:rPr>
        <w:t>Q.</w:t>
      </w:r>
      <w:r w:rsidRPr="009075DC">
        <w:rPr>
          <w:rFonts w:eastAsia="SimSun"/>
        </w:rPr>
        <w:tab/>
        <w:t>Please describe the methodology used in th</w:t>
      </w:r>
      <w:r w:rsidR="003360EB">
        <w:rPr>
          <w:rFonts w:eastAsia="SimSun"/>
        </w:rPr>
        <w:t>e 2011 study</w:t>
      </w:r>
      <w:r w:rsidRPr="009075DC">
        <w:rPr>
          <w:rFonts w:eastAsia="SimSun"/>
        </w:rPr>
        <w:t>.</w:t>
      </w:r>
    </w:p>
    <w:p w:rsidR="008D712B" w:rsidRPr="009075DC" w:rsidRDefault="008D712B" w:rsidP="008D712B">
      <w:pPr>
        <w:pStyle w:val="answer"/>
        <w:widowControl w:val="0"/>
        <w:rPr>
          <w:rFonts w:eastAsia="SimSun"/>
        </w:rPr>
      </w:pPr>
      <w:r w:rsidRPr="009075DC">
        <w:rPr>
          <w:rFonts w:eastAsia="SimSun"/>
        </w:rPr>
        <w:t>A.</w:t>
      </w:r>
      <w:r w:rsidRPr="009075DC">
        <w:rPr>
          <w:rFonts w:eastAsia="SimSun"/>
        </w:rPr>
        <w:tab/>
      </w:r>
      <w:r w:rsidR="003360EB">
        <w:rPr>
          <w:rFonts w:eastAsia="SimSun"/>
        </w:rPr>
        <w:t>The 2011 electric cost of service study used the same basic approach to functionalizing, classifying and allocating costs as is presented in the study supporting this 201</w:t>
      </w:r>
      <w:r w:rsidR="001E13D8">
        <w:rPr>
          <w:rFonts w:eastAsia="SimSun"/>
        </w:rPr>
        <w:t>7</w:t>
      </w:r>
      <w:r w:rsidR="003360EB">
        <w:rPr>
          <w:rFonts w:eastAsia="SimSun"/>
        </w:rPr>
        <w:t xml:space="preserve"> filing with a few minor differences.  </w:t>
      </w:r>
    </w:p>
    <w:p w:rsidR="008D712B" w:rsidRPr="009075DC" w:rsidRDefault="008D712B" w:rsidP="003360EB">
      <w:pPr>
        <w:pStyle w:val="question"/>
        <w:widowControl w:val="0"/>
        <w:rPr>
          <w:rFonts w:eastAsia="SimSun"/>
        </w:rPr>
      </w:pPr>
      <w:r w:rsidRPr="009075DC">
        <w:rPr>
          <w:rFonts w:eastAsia="SimSun"/>
        </w:rPr>
        <w:t>Q.</w:t>
      </w:r>
      <w:r w:rsidRPr="009075DC">
        <w:rPr>
          <w:rFonts w:eastAsia="SimSun"/>
        </w:rPr>
        <w:tab/>
      </w:r>
      <w:r w:rsidR="003360EB">
        <w:rPr>
          <w:rFonts w:eastAsia="SimSun"/>
        </w:rPr>
        <w:t>Please explain these differences.</w:t>
      </w:r>
    </w:p>
    <w:p w:rsidR="008D712B" w:rsidRPr="009075DC" w:rsidRDefault="008D712B" w:rsidP="003360EB">
      <w:pPr>
        <w:pStyle w:val="answer"/>
        <w:widowControl w:val="0"/>
        <w:rPr>
          <w:rFonts w:eastAsia="SimSun"/>
        </w:rPr>
      </w:pPr>
      <w:r w:rsidRPr="009075DC">
        <w:rPr>
          <w:rFonts w:eastAsia="SimSun"/>
        </w:rPr>
        <w:t xml:space="preserve">A.  </w:t>
      </w:r>
      <w:r w:rsidRPr="009075DC">
        <w:rPr>
          <w:rFonts w:eastAsia="SimSun"/>
        </w:rPr>
        <w:tab/>
      </w:r>
      <w:r w:rsidR="003360EB">
        <w:rPr>
          <w:rFonts w:eastAsia="SimSun"/>
        </w:rPr>
        <w:t xml:space="preserve">The first difference relates to the functionalization of certain facilities.  </w:t>
      </w:r>
      <w:r w:rsidR="00B223B9">
        <w:rPr>
          <w:rFonts w:eastAsia="SimSun"/>
        </w:rPr>
        <w:t xml:space="preserve">In PSE’s 2011 GRC, </w:t>
      </w:r>
      <w:r w:rsidR="00B223B9" w:rsidRPr="00B223B9">
        <w:rPr>
          <w:rFonts w:eastAsia="SimSun"/>
        </w:rPr>
        <w:t xml:space="preserve">its 55 kV-115 kV </w:t>
      </w:r>
      <w:r w:rsidR="00B223B9">
        <w:rPr>
          <w:rFonts w:eastAsia="SimSun"/>
        </w:rPr>
        <w:t xml:space="preserve">electric </w:t>
      </w:r>
      <w:r w:rsidR="00B223B9" w:rsidRPr="00B223B9">
        <w:rPr>
          <w:rFonts w:eastAsia="SimSun"/>
        </w:rPr>
        <w:t xml:space="preserve">facilities </w:t>
      </w:r>
      <w:r w:rsidR="00B223B9">
        <w:rPr>
          <w:rFonts w:eastAsia="SimSun"/>
        </w:rPr>
        <w:t xml:space="preserve">were considered to be distribution-related.  </w:t>
      </w:r>
      <w:r w:rsidR="003360EB" w:rsidRPr="00B223B9">
        <w:rPr>
          <w:rFonts w:eastAsia="SimSun"/>
        </w:rPr>
        <w:t>On September 16, 2011, PSE filed with the Washington Utilities and Transportation Commission (</w:t>
      </w:r>
      <w:r w:rsidR="00B223B9">
        <w:rPr>
          <w:rFonts w:eastAsia="SimSun"/>
        </w:rPr>
        <w:t>“</w:t>
      </w:r>
      <w:r w:rsidR="003360EB" w:rsidRPr="00B223B9">
        <w:rPr>
          <w:rFonts w:eastAsia="SimSun"/>
        </w:rPr>
        <w:t>Commission</w:t>
      </w:r>
      <w:r w:rsidR="00B223B9">
        <w:rPr>
          <w:rFonts w:eastAsia="SimSun"/>
        </w:rPr>
        <w:t>”</w:t>
      </w:r>
      <w:r w:rsidR="003360EB" w:rsidRPr="00B223B9">
        <w:rPr>
          <w:rFonts w:eastAsia="SimSun"/>
        </w:rPr>
        <w:t xml:space="preserve">) a </w:t>
      </w:r>
      <w:r w:rsidR="00B223B9">
        <w:rPr>
          <w:rFonts w:eastAsia="SimSun"/>
        </w:rPr>
        <w:t>p</w:t>
      </w:r>
      <w:r w:rsidR="003360EB" w:rsidRPr="00B223B9">
        <w:rPr>
          <w:rFonts w:eastAsia="SimSun"/>
        </w:rPr>
        <w:t xml:space="preserve">etition for a </w:t>
      </w:r>
      <w:r w:rsidR="00B223B9">
        <w:rPr>
          <w:rFonts w:eastAsia="SimSun"/>
        </w:rPr>
        <w:t>d</w:t>
      </w:r>
      <w:r w:rsidR="003360EB" w:rsidRPr="00B223B9">
        <w:rPr>
          <w:rFonts w:eastAsia="SimSun"/>
        </w:rPr>
        <w:t xml:space="preserve">eclaratory </w:t>
      </w:r>
      <w:r w:rsidR="00B223B9">
        <w:rPr>
          <w:rFonts w:eastAsia="SimSun"/>
        </w:rPr>
        <w:t>o</w:t>
      </w:r>
      <w:r w:rsidR="003360EB" w:rsidRPr="00B223B9">
        <w:rPr>
          <w:rFonts w:eastAsia="SimSun"/>
        </w:rPr>
        <w:t xml:space="preserve">rder and </w:t>
      </w:r>
      <w:r w:rsidR="00B223B9">
        <w:rPr>
          <w:rFonts w:eastAsia="SimSun"/>
        </w:rPr>
        <w:lastRenderedPageBreak/>
        <w:t>f</w:t>
      </w:r>
      <w:r w:rsidR="003360EB" w:rsidRPr="00B223B9">
        <w:rPr>
          <w:rFonts w:eastAsia="SimSun"/>
        </w:rPr>
        <w:t xml:space="preserve">or </w:t>
      </w:r>
      <w:r w:rsidR="00B223B9">
        <w:rPr>
          <w:rFonts w:eastAsia="SimSun"/>
        </w:rPr>
        <w:t>an a</w:t>
      </w:r>
      <w:r w:rsidR="003360EB" w:rsidRPr="00B223B9">
        <w:rPr>
          <w:rFonts w:eastAsia="SimSun"/>
        </w:rPr>
        <w:t xml:space="preserve">ccounting </w:t>
      </w:r>
      <w:r w:rsidR="00B223B9">
        <w:rPr>
          <w:rFonts w:eastAsia="SimSun"/>
        </w:rPr>
        <w:t>o</w:t>
      </w:r>
      <w:r w:rsidR="003360EB" w:rsidRPr="00B223B9">
        <w:rPr>
          <w:rFonts w:eastAsia="SimSun"/>
        </w:rPr>
        <w:t>rder approving PSE’s proposed reclassification of its 55 kV-115 kV distribution facilities as transmission facilities and authorizing the Company to apply such reclassification in PSE’s accounts and reports to the Commission.</w:t>
      </w:r>
      <w:r w:rsidR="00CE4780">
        <w:rPr>
          <w:rStyle w:val="FootnoteReference"/>
          <w:rFonts w:eastAsia="SimSun"/>
        </w:rPr>
        <w:footnoteReference w:id="6"/>
      </w:r>
      <w:r w:rsidR="003360EB" w:rsidRPr="00B223B9">
        <w:rPr>
          <w:rFonts w:eastAsia="SimSun"/>
        </w:rPr>
        <w:t xml:space="preserve"> </w:t>
      </w:r>
      <w:r w:rsidR="00B223B9">
        <w:rPr>
          <w:rFonts w:eastAsia="SimSun"/>
        </w:rPr>
        <w:t>PSE received approval for this reclassification on December 14, 2011.</w:t>
      </w:r>
      <w:r w:rsidR="00CE4780">
        <w:rPr>
          <w:rStyle w:val="FootnoteReference"/>
          <w:rFonts w:eastAsia="SimSun"/>
        </w:rPr>
        <w:footnoteReference w:id="7"/>
      </w:r>
      <w:r w:rsidR="00B223B9">
        <w:rPr>
          <w:rFonts w:eastAsia="SimSun"/>
        </w:rPr>
        <w:t xml:space="preserve">  While the functionalization of these facilities changed</w:t>
      </w:r>
      <w:r w:rsidR="00806549">
        <w:rPr>
          <w:rFonts w:eastAsia="SimSun"/>
        </w:rPr>
        <w:t xml:space="preserve"> during the course of the 2011 GRC</w:t>
      </w:r>
      <w:r w:rsidR="00B223B9">
        <w:rPr>
          <w:rFonts w:eastAsia="SimSun"/>
        </w:rPr>
        <w:t xml:space="preserve">, there was no change to </w:t>
      </w:r>
      <w:r w:rsidR="00F26518">
        <w:rPr>
          <w:rFonts w:eastAsia="SimSun"/>
        </w:rPr>
        <w:t xml:space="preserve">the </w:t>
      </w:r>
      <w:r w:rsidR="00B223B9">
        <w:rPr>
          <w:rFonts w:eastAsia="SimSun"/>
        </w:rPr>
        <w:t>method used to classify</w:t>
      </w:r>
      <w:r w:rsidR="00F26518">
        <w:rPr>
          <w:rFonts w:eastAsia="SimSun"/>
        </w:rPr>
        <w:t xml:space="preserve"> or allocate</w:t>
      </w:r>
      <w:r w:rsidR="00B223B9">
        <w:rPr>
          <w:rFonts w:eastAsia="SimSun"/>
        </w:rPr>
        <w:t xml:space="preserve"> the cost of these facilities</w:t>
      </w:r>
      <w:r w:rsidR="00CE4780">
        <w:rPr>
          <w:rFonts w:eastAsia="SimSun"/>
        </w:rPr>
        <w:t>.</w:t>
      </w:r>
      <w:r w:rsidR="00F26518">
        <w:rPr>
          <w:rFonts w:eastAsia="SimSun"/>
        </w:rPr>
        <w:t xml:space="preserve">  These costs</w:t>
      </w:r>
      <w:r w:rsidR="00B223B9">
        <w:rPr>
          <w:rFonts w:eastAsia="SimSun"/>
        </w:rPr>
        <w:t xml:space="preserve"> were already </w:t>
      </w:r>
      <w:r w:rsidR="00F26518">
        <w:rPr>
          <w:rFonts w:eastAsia="SimSun"/>
        </w:rPr>
        <w:t>classified and allocated</w:t>
      </w:r>
      <w:r w:rsidR="00B223B9">
        <w:rPr>
          <w:rFonts w:eastAsia="SimSun"/>
        </w:rPr>
        <w:t xml:space="preserve"> using the Company’s peak credit methodology explained later in this testimony.</w:t>
      </w:r>
    </w:p>
    <w:p w:rsidR="008D712B" w:rsidRPr="009075DC" w:rsidRDefault="008D712B" w:rsidP="008D712B">
      <w:pPr>
        <w:pStyle w:val="question"/>
        <w:widowControl w:val="0"/>
        <w:rPr>
          <w:rFonts w:eastAsia="SimSun"/>
        </w:rPr>
      </w:pPr>
      <w:r w:rsidRPr="009075DC">
        <w:rPr>
          <w:rFonts w:eastAsia="SimSun"/>
        </w:rPr>
        <w:t>Q.</w:t>
      </w:r>
      <w:r w:rsidRPr="009075DC">
        <w:rPr>
          <w:rFonts w:eastAsia="SimSun"/>
        </w:rPr>
        <w:tab/>
      </w:r>
      <w:r w:rsidR="00C93694">
        <w:rPr>
          <w:rFonts w:eastAsia="SimSun"/>
        </w:rPr>
        <w:t>Are there any other notable differences</w:t>
      </w:r>
      <w:r w:rsidRPr="009075DC">
        <w:rPr>
          <w:rFonts w:eastAsia="SimSun"/>
        </w:rPr>
        <w:t>?</w:t>
      </w:r>
    </w:p>
    <w:p w:rsidR="00C93694" w:rsidRPr="009075DC" w:rsidRDefault="008D712B" w:rsidP="00C93694">
      <w:pPr>
        <w:pStyle w:val="answer"/>
        <w:widowControl w:val="0"/>
        <w:rPr>
          <w:rFonts w:eastAsia="SimSun"/>
        </w:rPr>
      </w:pPr>
      <w:r w:rsidRPr="009075DC">
        <w:rPr>
          <w:rFonts w:eastAsia="SimSun"/>
        </w:rPr>
        <w:t xml:space="preserve">A.  </w:t>
      </w:r>
      <w:r w:rsidRPr="009075DC">
        <w:rPr>
          <w:rFonts w:eastAsia="SimSun"/>
        </w:rPr>
        <w:tab/>
      </w:r>
      <w:r w:rsidR="00723BF3">
        <w:rPr>
          <w:rFonts w:eastAsia="SimSun"/>
        </w:rPr>
        <w:t>Yes, in accordance with a settlement approved by the Commission and discussed in more detail later in this testimony, PSE’s demand-related production and transmission costs were allocated in this case on the basis of each class</w:t>
      </w:r>
      <w:r w:rsidR="00550F70">
        <w:rPr>
          <w:rFonts w:eastAsia="SimSun"/>
        </w:rPr>
        <w:t>’</w:t>
      </w:r>
      <w:r w:rsidR="00723BF3">
        <w:rPr>
          <w:rFonts w:eastAsia="SimSun"/>
        </w:rPr>
        <w:t xml:space="preserve">s contribution to </w:t>
      </w:r>
      <w:r w:rsidR="00675BA8">
        <w:rPr>
          <w:rFonts w:eastAsia="SimSun"/>
        </w:rPr>
        <w:t xml:space="preserve">coincident </w:t>
      </w:r>
      <w:r w:rsidR="00723BF3">
        <w:rPr>
          <w:rFonts w:eastAsia="SimSun"/>
        </w:rPr>
        <w:t>system peaks</w:t>
      </w:r>
      <w:r w:rsidR="00675BA8">
        <w:rPr>
          <w:rFonts w:eastAsia="SimSun"/>
        </w:rPr>
        <w:t xml:space="preserve"> (“CP”)</w:t>
      </w:r>
      <w:r w:rsidR="00723BF3">
        <w:rPr>
          <w:rFonts w:eastAsia="SimSun"/>
        </w:rPr>
        <w:t xml:space="preserve"> in the months of</w:t>
      </w:r>
      <w:r w:rsidR="00367F8F">
        <w:rPr>
          <w:rFonts w:eastAsia="SimSun"/>
        </w:rPr>
        <w:t xml:space="preserve"> November and December 2015 and</w:t>
      </w:r>
      <w:r w:rsidR="00723BF3">
        <w:rPr>
          <w:rFonts w:eastAsia="SimSun"/>
        </w:rPr>
        <w:t xml:space="preserve"> January</w:t>
      </w:r>
      <w:r w:rsidR="00367F8F">
        <w:rPr>
          <w:rFonts w:eastAsia="SimSun"/>
        </w:rPr>
        <w:t xml:space="preserve"> and </w:t>
      </w:r>
      <w:r w:rsidR="00723BF3">
        <w:rPr>
          <w:rFonts w:eastAsia="SimSun"/>
        </w:rPr>
        <w:t>February</w:t>
      </w:r>
      <w:r w:rsidR="00367F8F">
        <w:rPr>
          <w:rFonts w:eastAsia="SimSun"/>
        </w:rPr>
        <w:t xml:space="preserve"> 2016</w:t>
      </w:r>
      <w:r w:rsidR="00C93694">
        <w:rPr>
          <w:rFonts w:eastAsia="SimSun"/>
        </w:rPr>
        <w:t>.</w:t>
      </w:r>
      <w:r w:rsidR="00675BA8">
        <w:rPr>
          <w:rFonts w:eastAsia="SimSun"/>
        </w:rPr>
        <w:t xml:space="preserve">  This is referred to as the “4-CP” allocation factor. </w:t>
      </w:r>
      <w:r w:rsidR="00723BF3">
        <w:rPr>
          <w:rFonts w:eastAsia="SimSun"/>
        </w:rPr>
        <w:t xml:space="preserve">  This is a change from the previous allocation</w:t>
      </w:r>
      <w:r w:rsidR="00675BA8">
        <w:rPr>
          <w:rFonts w:eastAsia="SimSun"/>
        </w:rPr>
        <w:t xml:space="preserve"> factor used for these costs in PSE’s 2011 GRC, which used each class</w:t>
      </w:r>
      <w:r w:rsidR="00550F70">
        <w:rPr>
          <w:rFonts w:eastAsia="SimSun"/>
        </w:rPr>
        <w:t>’</w:t>
      </w:r>
      <w:r w:rsidR="00675BA8">
        <w:rPr>
          <w:rFonts w:eastAsia="SimSun"/>
        </w:rPr>
        <w:t>s contribution to the top 75 hours of load during the test year.</w:t>
      </w:r>
      <w:r w:rsidR="00723BF3">
        <w:rPr>
          <w:rFonts w:eastAsia="SimSun"/>
        </w:rPr>
        <w:t xml:space="preserve"> </w:t>
      </w:r>
    </w:p>
    <w:p w:rsidR="00F8418D" w:rsidRPr="009075DC" w:rsidRDefault="00FC5841" w:rsidP="00F01467">
      <w:pPr>
        <w:pStyle w:val="Heading2"/>
        <w:keepNext w:val="0"/>
        <w:keepLines w:val="0"/>
        <w:widowControl w:val="0"/>
        <w:spacing w:before="240" w:after="240"/>
        <w:rPr>
          <w:rFonts w:eastAsia="SimSun"/>
        </w:rPr>
      </w:pPr>
      <w:bookmarkStart w:id="53" w:name="_Toc471912930"/>
      <w:r>
        <w:rPr>
          <w:rFonts w:eastAsia="SimSun"/>
          <w:u w:val="none"/>
        </w:rPr>
        <w:t>B</w:t>
      </w:r>
      <w:r w:rsidR="00F8418D" w:rsidRPr="009075DC">
        <w:rPr>
          <w:rFonts w:eastAsia="SimSun"/>
          <w:u w:val="none"/>
        </w:rPr>
        <w:t>.</w:t>
      </w:r>
      <w:r w:rsidR="00F8418D" w:rsidRPr="009075DC">
        <w:rPr>
          <w:rFonts w:eastAsia="SimSun"/>
          <w:u w:val="none"/>
        </w:rPr>
        <w:tab/>
      </w:r>
      <w:r w:rsidR="00F8418D" w:rsidRPr="009075DC">
        <w:rPr>
          <w:rFonts w:eastAsia="SimSun"/>
        </w:rPr>
        <w:t>Overview of PSE’s Electric Cost of Service Study</w:t>
      </w:r>
      <w:bookmarkEnd w:id="51"/>
      <w:bookmarkEnd w:id="52"/>
      <w:bookmarkEnd w:id="53"/>
    </w:p>
    <w:p w:rsidR="00AD36AA" w:rsidRPr="009075DC" w:rsidRDefault="00AD36AA" w:rsidP="00AD36AA">
      <w:pPr>
        <w:pStyle w:val="question"/>
        <w:widowControl w:val="0"/>
        <w:rPr>
          <w:rFonts w:eastAsia="SimSun"/>
        </w:rPr>
      </w:pPr>
      <w:r w:rsidRPr="009075DC">
        <w:rPr>
          <w:rFonts w:eastAsia="SimSun"/>
        </w:rPr>
        <w:t>Q.</w:t>
      </w:r>
      <w:r w:rsidRPr="009075DC">
        <w:rPr>
          <w:rFonts w:eastAsia="SimSun"/>
        </w:rPr>
        <w:tab/>
        <w:t xml:space="preserve">Please explain the methodology for classification and allocation of electric </w:t>
      </w:r>
      <w:r w:rsidRPr="009075DC">
        <w:rPr>
          <w:rFonts w:eastAsia="SimSun"/>
        </w:rPr>
        <w:lastRenderedPageBreak/>
        <w:t>costs that PSE used in this proceeding</w:t>
      </w:r>
      <w:r w:rsidR="00806549">
        <w:rPr>
          <w:rFonts w:eastAsia="SimSun"/>
        </w:rPr>
        <w:t>.</w:t>
      </w:r>
    </w:p>
    <w:p w:rsidR="00AD36AA" w:rsidRPr="009075DC" w:rsidRDefault="00AD36AA" w:rsidP="00925EB8">
      <w:pPr>
        <w:pStyle w:val="answer"/>
        <w:widowControl w:val="0"/>
        <w:rPr>
          <w:rFonts w:eastAsia="SimSun"/>
        </w:rPr>
      </w:pPr>
      <w:r w:rsidRPr="009075DC">
        <w:rPr>
          <w:rFonts w:eastAsia="SimSun"/>
        </w:rPr>
        <w:t>A.</w:t>
      </w:r>
      <w:r w:rsidRPr="009075DC">
        <w:rPr>
          <w:rFonts w:eastAsia="SimSun"/>
        </w:rPr>
        <w:tab/>
      </w:r>
      <w:r w:rsidR="00925EB8">
        <w:rPr>
          <w:rFonts w:eastAsia="SimSun"/>
        </w:rPr>
        <w:t>With the few changes noted above, t</w:t>
      </w:r>
      <w:r w:rsidRPr="009075DC">
        <w:rPr>
          <w:rFonts w:eastAsia="SimSun"/>
        </w:rPr>
        <w:t xml:space="preserve">he electric cost of service study in this case utilizes the same methodology as PSE used in its last GRC.  This methodology is discussed in more detail in Sections C through H, below. </w:t>
      </w:r>
    </w:p>
    <w:p w:rsidR="00AD36AA" w:rsidRPr="009075DC" w:rsidRDefault="00AD36AA" w:rsidP="00AD36AA">
      <w:pPr>
        <w:pStyle w:val="question"/>
        <w:widowControl w:val="0"/>
        <w:rPr>
          <w:rFonts w:eastAsia="SimSun"/>
        </w:rPr>
      </w:pPr>
      <w:r w:rsidRPr="009075DC">
        <w:rPr>
          <w:rFonts w:eastAsia="SimSun"/>
        </w:rPr>
        <w:t>Q.</w:t>
      </w:r>
      <w:r w:rsidRPr="009075DC">
        <w:rPr>
          <w:rFonts w:eastAsia="SimSun"/>
        </w:rPr>
        <w:tab/>
        <w:t>What are the results of PSE’s electric cost of service study?</w:t>
      </w:r>
    </w:p>
    <w:p w:rsidR="00AD36AA" w:rsidRDefault="00AD36AA" w:rsidP="00AD36AA">
      <w:pPr>
        <w:pStyle w:val="answer"/>
        <w:widowControl w:val="0"/>
        <w:rPr>
          <w:rFonts w:eastAsia="SimSun"/>
        </w:rPr>
      </w:pPr>
      <w:r w:rsidRPr="009075DC">
        <w:rPr>
          <w:rFonts w:eastAsia="SimSun"/>
        </w:rPr>
        <w:t>A.</w:t>
      </w:r>
      <w:r w:rsidRPr="009075DC">
        <w:rPr>
          <w:rFonts w:eastAsia="SimSun"/>
        </w:rPr>
        <w:tab/>
        <w:t xml:space="preserve">The parity percentages by customer class that result from the electric cost of service study are shown in </w:t>
      </w:r>
      <w:r w:rsidR="00C725AD">
        <w:rPr>
          <w:rFonts w:eastAsia="SimSun"/>
        </w:rPr>
        <w:fldChar w:fldCharType="begin"/>
      </w:r>
      <w:r w:rsidR="00C725AD">
        <w:rPr>
          <w:rFonts w:eastAsia="SimSun"/>
        </w:rPr>
        <w:instrText xml:space="preserve"> REF _Ref439752902 \h </w:instrText>
      </w:r>
      <w:r w:rsidR="00C725AD">
        <w:rPr>
          <w:rFonts w:eastAsia="SimSun"/>
        </w:rPr>
      </w:r>
      <w:r w:rsidR="00C725AD">
        <w:rPr>
          <w:rFonts w:eastAsia="SimSun"/>
        </w:rPr>
        <w:fldChar w:fldCharType="separate"/>
      </w:r>
      <w:r w:rsidR="0035666C" w:rsidRPr="009075DC">
        <w:rPr>
          <w:rFonts w:eastAsia="SimSun"/>
          <w:szCs w:val="24"/>
        </w:rPr>
        <w:t xml:space="preserve">Table </w:t>
      </w:r>
      <w:r w:rsidR="0035666C">
        <w:rPr>
          <w:rFonts w:eastAsia="SimSun"/>
          <w:noProof/>
          <w:szCs w:val="24"/>
        </w:rPr>
        <w:t>5</w:t>
      </w:r>
      <w:r w:rsidR="00C725AD">
        <w:rPr>
          <w:rFonts w:eastAsia="SimSun"/>
        </w:rPr>
        <w:fldChar w:fldCharType="end"/>
      </w:r>
      <w:r>
        <w:rPr>
          <w:rFonts w:eastAsia="SimSun"/>
        </w:rPr>
        <w:t>, below</w:t>
      </w:r>
      <w:r w:rsidRPr="009075DC">
        <w:rPr>
          <w:rFonts w:eastAsia="SimSun"/>
        </w:rPr>
        <w:t>.  Parity reflects the relative relationship between normalized revenue currently recovered in rates to the revenue required based upon the cost of service analysis.  A parity percentage over 100 percent indicates that the customer class is currently paying more than its allocated costs (once all classes are adjusted for system</w:t>
      </w:r>
      <w:r w:rsidR="006F4B75">
        <w:rPr>
          <w:rFonts w:eastAsia="SimSun"/>
        </w:rPr>
        <w:t>-level</w:t>
      </w:r>
      <w:r w:rsidRPr="009075DC">
        <w:rPr>
          <w:rFonts w:eastAsia="SimSun"/>
        </w:rPr>
        <w:t xml:space="preserve"> over or under recovery).  </w:t>
      </w:r>
    </w:p>
    <w:p w:rsidR="00AD36AA" w:rsidRPr="009075DC" w:rsidRDefault="00AD36AA" w:rsidP="00AD36AA">
      <w:pPr>
        <w:pStyle w:val="Caption"/>
        <w:keepNext/>
        <w:jc w:val="center"/>
        <w:rPr>
          <w:rFonts w:eastAsia="SimSun"/>
          <w:sz w:val="24"/>
          <w:szCs w:val="24"/>
          <w:lang w:eastAsia="zh-CN"/>
        </w:rPr>
      </w:pPr>
      <w:bookmarkStart w:id="54" w:name="_Ref439752902"/>
      <w:r w:rsidRPr="009075DC">
        <w:rPr>
          <w:rFonts w:eastAsia="SimSun"/>
          <w:sz w:val="24"/>
          <w:szCs w:val="24"/>
          <w:lang w:eastAsia="zh-CN"/>
        </w:rPr>
        <w:t xml:space="preserve">Table </w:t>
      </w:r>
      <w:r w:rsidRPr="009075DC">
        <w:rPr>
          <w:rFonts w:eastAsia="SimSun"/>
          <w:sz w:val="24"/>
          <w:szCs w:val="24"/>
          <w:lang w:eastAsia="zh-CN"/>
        </w:rPr>
        <w:fldChar w:fldCharType="begin"/>
      </w:r>
      <w:r w:rsidRPr="009075DC">
        <w:rPr>
          <w:rFonts w:eastAsia="SimSun"/>
          <w:sz w:val="24"/>
          <w:szCs w:val="24"/>
          <w:lang w:eastAsia="zh-CN"/>
        </w:rPr>
        <w:instrText xml:space="preserve"> SEQ Table \* ARABIC </w:instrText>
      </w:r>
      <w:r w:rsidRPr="009075DC">
        <w:rPr>
          <w:rFonts w:eastAsia="SimSun"/>
          <w:sz w:val="24"/>
          <w:szCs w:val="24"/>
          <w:lang w:eastAsia="zh-CN"/>
        </w:rPr>
        <w:fldChar w:fldCharType="separate"/>
      </w:r>
      <w:r w:rsidR="0035666C">
        <w:rPr>
          <w:rFonts w:eastAsia="SimSun"/>
          <w:noProof/>
          <w:sz w:val="24"/>
          <w:szCs w:val="24"/>
          <w:lang w:eastAsia="zh-CN"/>
        </w:rPr>
        <w:t>5</w:t>
      </w:r>
      <w:r w:rsidRPr="009075DC">
        <w:rPr>
          <w:rFonts w:eastAsia="SimSun"/>
          <w:sz w:val="24"/>
          <w:szCs w:val="24"/>
          <w:lang w:eastAsia="zh-CN"/>
        </w:rPr>
        <w:fldChar w:fldCharType="end"/>
      </w:r>
      <w:bookmarkEnd w:id="54"/>
      <w:r w:rsidRPr="009075DC">
        <w:rPr>
          <w:rFonts w:eastAsia="SimSun"/>
          <w:sz w:val="24"/>
          <w:szCs w:val="24"/>
          <w:lang w:eastAsia="zh-CN"/>
        </w:rPr>
        <w:t xml:space="preserve"> - Results of Company's Electric Cost of Service Study</w:t>
      </w:r>
    </w:p>
    <w:tbl>
      <w:tblPr>
        <w:tblW w:w="7500" w:type="dxa"/>
        <w:tblInd w:w="828" w:type="dxa"/>
        <w:tblLayout w:type="fixed"/>
        <w:tblLook w:val="0000" w:firstRow="0" w:lastRow="0" w:firstColumn="0" w:lastColumn="0" w:noHBand="0" w:noVBand="0"/>
      </w:tblPr>
      <w:tblGrid>
        <w:gridCol w:w="3240"/>
        <w:gridCol w:w="2130"/>
        <w:gridCol w:w="2130"/>
      </w:tblGrid>
      <w:tr w:rsidR="00AD36AA" w:rsidRPr="009075DC" w:rsidTr="00C725AD">
        <w:trPr>
          <w:cantSplit/>
        </w:trPr>
        <w:tc>
          <w:tcPr>
            <w:tcW w:w="3240" w:type="dxa"/>
            <w:tcBorders>
              <w:top w:val="single" w:sz="4" w:space="0" w:color="auto"/>
              <w:bottom w:val="single" w:sz="6" w:space="0" w:color="auto"/>
            </w:tcBorders>
          </w:tcPr>
          <w:p w:rsidR="00AD36AA" w:rsidRPr="009075DC" w:rsidRDefault="00AD36AA" w:rsidP="00C725AD">
            <w:pPr>
              <w:widowControl w:val="0"/>
              <w:spacing w:before="60" w:after="60" w:line="240" w:lineRule="auto"/>
              <w:ind w:firstLine="0"/>
              <w:rPr>
                <w:rFonts w:eastAsia="SimSun"/>
                <w:b/>
                <w:bCs/>
                <w:szCs w:val="24"/>
              </w:rPr>
            </w:pPr>
            <w:r w:rsidRPr="009075DC">
              <w:rPr>
                <w:rFonts w:eastAsia="SimSun"/>
                <w:b/>
                <w:bCs/>
                <w:szCs w:val="24"/>
              </w:rPr>
              <w:t>Customer Class</w:t>
            </w:r>
          </w:p>
        </w:tc>
        <w:tc>
          <w:tcPr>
            <w:tcW w:w="2130" w:type="dxa"/>
            <w:tcBorders>
              <w:top w:val="single" w:sz="4" w:space="0" w:color="auto"/>
              <w:bottom w:val="single" w:sz="6" w:space="0" w:color="auto"/>
            </w:tcBorders>
            <w:vAlign w:val="center"/>
          </w:tcPr>
          <w:p w:rsidR="00AD36AA" w:rsidRPr="009075DC" w:rsidRDefault="00AD36AA" w:rsidP="00C725AD">
            <w:pPr>
              <w:widowControl w:val="0"/>
              <w:spacing w:before="60" w:after="60" w:line="240" w:lineRule="auto"/>
              <w:ind w:firstLine="0"/>
              <w:jc w:val="center"/>
              <w:rPr>
                <w:rFonts w:eastAsia="SimSun"/>
                <w:b/>
                <w:bCs/>
                <w:szCs w:val="24"/>
              </w:rPr>
            </w:pPr>
            <w:r w:rsidRPr="009075DC">
              <w:rPr>
                <w:rFonts w:eastAsia="SimSun"/>
                <w:b/>
                <w:bCs/>
                <w:szCs w:val="24"/>
              </w:rPr>
              <w:t>Rate Schedule</w:t>
            </w:r>
          </w:p>
        </w:tc>
        <w:tc>
          <w:tcPr>
            <w:tcW w:w="2130" w:type="dxa"/>
            <w:tcBorders>
              <w:top w:val="single" w:sz="4" w:space="0" w:color="auto"/>
              <w:bottom w:val="single" w:sz="6" w:space="0" w:color="auto"/>
            </w:tcBorders>
          </w:tcPr>
          <w:p w:rsidR="00AD36AA" w:rsidRPr="009075DC" w:rsidRDefault="00AD36AA" w:rsidP="00C725AD">
            <w:pPr>
              <w:widowControl w:val="0"/>
              <w:spacing w:before="60" w:after="60" w:line="240" w:lineRule="auto"/>
              <w:ind w:firstLine="0"/>
              <w:jc w:val="center"/>
              <w:rPr>
                <w:rFonts w:eastAsia="SimSun"/>
                <w:b/>
                <w:bCs/>
                <w:szCs w:val="24"/>
              </w:rPr>
            </w:pPr>
            <w:r w:rsidRPr="009075DC">
              <w:rPr>
                <w:rFonts w:eastAsia="SimSun"/>
                <w:b/>
                <w:bCs/>
                <w:szCs w:val="24"/>
              </w:rPr>
              <w:t xml:space="preserve">Parity Percentage </w:t>
            </w:r>
          </w:p>
        </w:tc>
      </w:tr>
      <w:tr w:rsidR="00AD36AA" w:rsidRPr="009075DC" w:rsidTr="00C725AD">
        <w:trPr>
          <w:cantSplit/>
        </w:trPr>
        <w:tc>
          <w:tcPr>
            <w:tcW w:w="3240" w:type="dxa"/>
          </w:tcPr>
          <w:p w:rsidR="00AD36AA" w:rsidRPr="009075DC" w:rsidRDefault="00AD36AA" w:rsidP="00C725AD">
            <w:pPr>
              <w:widowControl w:val="0"/>
              <w:spacing w:before="60" w:after="60" w:line="240" w:lineRule="auto"/>
              <w:ind w:firstLine="0"/>
              <w:rPr>
                <w:rFonts w:eastAsia="SimSun"/>
                <w:szCs w:val="24"/>
              </w:rPr>
            </w:pPr>
            <w:r w:rsidRPr="009075DC">
              <w:rPr>
                <w:rFonts w:eastAsia="SimSun"/>
                <w:szCs w:val="24"/>
              </w:rPr>
              <w:t>Residential</w:t>
            </w:r>
          </w:p>
        </w:tc>
        <w:tc>
          <w:tcPr>
            <w:tcW w:w="2130" w:type="dxa"/>
          </w:tcPr>
          <w:p w:rsidR="00AD36AA" w:rsidRPr="009075DC" w:rsidRDefault="00AD36AA" w:rsidP="00683198">
            <w:pPr>
              <w:widowControl w:val="0"/>
              <w:tabs>
                <w:tab w:val="decimal" w:pos="252"/>
              </w:tabs>
              <w:spacing w:before="60" w:after="60" w:line="240" w:lineRule="auto"/>
              <w:ind w:firstLine="0"/>
              <w:jc w:val="center"/>
              <w:rPr>
                <w:rFonts w:eastAsia="SimSun"/>
                <w:szCs w:val="24"/>
              </w:rPr>
            </w:pPr>
            <w:r w:rsidRPr="009075DC">
              <w:rPr>
                <w:rFonts w:eastAsia="SimSun"/>
                <w:szCs w:val="24"/>
              </w:rPr>
              <w:t>7</w:t>
            </w:r>
          </w:p>
        </w:tc>
        <w:tc>
          <w:tcPr>
            <w:tcW w:w="2130" w:type="dxa"/>
          </w:tcPr>
          <w:p w:rsidR="00AD36AA" w:rsidRPr="00896CD7" w:rsidRDefault="00896CD7" w:rsidP="006F4B75">
            <w:pPr>
              <w:widowControl w:val="0"/>
              <w:tabs>
                <w:tab w:val="decimal" w:pos="792"/>
              </w:tabs>
              <w:spacing w:before="60" w:after="60" w:line="240" w:lineRule="auto"/>
              <w:ind w:firstLine="0"/>
              <w:jc w:val="center"/>
              <w:rPr>
                <w:rFonts w:eastAsia="SimSun"/>
                <w:szCs w:val="24"/>
              </w:rPr>
            </w:pPr>
            <w:r>
              <w:rPr>
                <w:rFonts w:eastAsia="SimSun"/>
                <w:szCs w:val="24"/>
              </w:rPr>
              <w:t>9</w:t>
            </w:r>
            <w:r w:rsidR="006F4B75">
              <w:rPr>
                <w:rFonts w:eastAsia="SimSun"/>
                <w:szCs w:val="24"/>
              </w:rPr>
              <w:t>5</w:t>
            </w:r>
            <w:r w:rsidR="00AD36AA" w:rsidRPr="00896CD7">
              <w:rPr>
                <w:rFonts w:eastAsia="SimSun"/>
                <w:szCs w:val="24"/>
              </w:rPr>
              <w:t xml:space="preserve"> %</w:t>
            </w:r>
          </w:p>
        </w:tc>
      </w:tr>
      <w:tr w:rsidR="00AD36AA" w:rsidRPr="009075DC" w:rsidTr="00C725AD">
        <w:trPr>
          <w:cantSplit/>
        </w:trPr>
        <w:tc>
          <w:tcPr>
            <w:tcW w:w="3240" w:type="dxa"/>
          </w:tcPr>
          <w:p w:rsidR="00AD36AA" w:rsidRPr="009075DC" w:rsidRDefault="00AD36AA" w:rsidP="00C725AD">
            <w:pPr>
              <w:widowControl w:val="0"/>
              <w:spacing w:before="60" w:after="60" w:line="240" w:lineRule="auto"/>
              <w:ind w:firstLine="0"/>
              <w:rPr>
                <w:rFonts w:eastAsia="SimSun"/>
                <w:szCs w:val="24"/>
              </w:rPr>
            </w:pPr>
            <w:r w:rsidRPr="009075DC">
              <w:rPr>
                <w:rFonts w:eastAsia="SimSun"/>
                <w:szCs w:val="24"/>
              </w:rPr>
              <w:t>General Service, &lt; 51 kW</w:t>
            </w:r>
          </w:p>
        </w:tc>
        <w:tc>
          <w:tcPr>
            <w:tcW w:w="2130" w:type="dxa"/>
          </w:tcPr>
          <w:p w:rsidR="00AD36AA" w:rsidRPr="009075DC" w:rsidRDefault="007D1FD1" w:rsidP="00683198">
            <w:pPr>
              <w:widowControl w:val="0"/>
              <w:tabs>
                <w:tab w:val="decimal" w:pos="252"/>
              </w:tabs>
              <w:spacing w:before="60" w:after="60" w:line="240" w:lineRule="auto"/>
              <w:ind w:firstLine="0"/>
              <w:jc w:val="center"/>
              <w:rPr>
                <w:rFonts w:eastAsia="SimSun"/>
                <w:szCs w:val="24"/>
              </w:rPr>
            </w:pPr>
            <w:r>
              <w:rPr>
                <w:rFonts w:eastAsia="SimSun"/>
                <w:szCs w:val="24"/>
              </w:rPr>
              <w:t>8/</w:t>
            </w:r>
            <w:r w:rsidR="00AD36AA" w:rsidRPr="009075DC">
              <w:rPr>
                <w:rFonts w:eastAsia="SimSun"/>
                <w:szCs w:val="24"/>
              </w:rPr>
              <w:t>24</w:t>
            </w:r>
          </w:p>
        </w:tc>
        <w:tc>
          <w:tcPr>
            <w:tcW w:w="2130" w:type="dxa"/>
          </w:tcPr>
          <w:p w:rsidR="00AD36AA" w:rsidRPr="00896CD7" w:rsidRDefault="00896CD7" w:rsidP="006F4B75">
            <w:pPr>
              <w:widowControl w:val="0"/>
              <w:tabs>
                <w:tab w:val="decimal" w:pos="792"/>
              </w:tabs>
              <w:spacing w:before="60" w:after="60" w:line="240" w:lineRule="auto"/>
              <w:ind w:firstLine="0"/>
              <w:jc w:val="center"/>
              <w:rPr>
                <w:rFonts w:eastAsia="SimSun"/>
                <w:szCs w:val="24"/>
              </w:rPr>
            </w:pPr>
            <w:r>
              <w:rPr>
                <w:rFonts w:eastAsia="SimSun"/>
                <w:szCs w:val="24"/>
              </w:rPr>
              <w:t>10</w:t>
            </w:r>
            <w:r w:rsidR="006F4B75">
              <w:rPr>
                <w:rFonts w:eastAsia="SimSun"/>
                <w:szCs w:val="24"/>
              </w:rPr>
              <w:t>9</w:t>
            </w:r>
            <w:r w:rsidR="00AD36AA" w:rsidRPr="00896CD7">
              <w:rPr>
                <w:rFonts w:eastAsia="SimSun"/>
                <w:szCs w:val="24"/>
              </w:rPr>
              <w:t xml:space="preserve"> %</w:t>
            </w:r>
          </w:p>
        </w:tc>
      </w:tr>
      <w:tr w:rsidR="00AD36AA" w:rsidRPr="009075DC" w:rsidTr="00C725AD">
        <w:trPr>
          <w:cantSplit/>
        </w:trPr>
        <w:tc>
          <w:tcPr>
            <w:tcW w:w="3240" w:type="dxa"/>
          </w:tcPr>
          <w:p w:rsidR="00AD36AA" w:rsidRPr="009075DC" w:rsidRDefault="00AD36AA" w:rsidP="00C725AD">
            <w:pPr>
              <w:widowControl w:val="0"/>
              <w:spacing w:before="60" w:after="60" w:line="240" w:lineRule="auto"/>
              <w:ind w:firstLine="0"/>
              <w:rPr>
                <w:rFonts w:eastAsia="SimSun"/>
                <w:szCs w:val="24"/>
              </w:rPr>
            </w:pPr>
            <w:r w:rsidRPr="009075DC">
              <w:rPr>
                <w:rFonts w:eastAsia="SimSun"/>
                <w:szCs w:val="24"/>
              </w:rPr>
              <w:t>General Service, 51 – 350 kW</w:t>
            </w:r>
          </w:p>
        </w:tc>
        <w:tc>
          <w:tcPr>
            <w:tcW w:w="2130" w:type="dxa"/>
          </w:tcPr>
          <w:p w:rsidR="00AD36AA" w:rsidRPr="009075DC" w:rsidRDefault="007D1FD1" w:rsidP="00683198">
            <w:pPr>
              <w:widowControl w:val="0"/>
              <w:tabs>
                <w:tab w:val="decimal" w:pos="252"/>
              </w:tabs>
              <w:spacing w:before="60" w:after="60" w:line="240" w:lineRule="auto"/>
              <w:ind w:firstLine="0"/>
              <w:jc w:val="center"/>
              <w:rPr>
                <w:rFonts w:eastAsia="SimSun"/>
                <w:szCs w:val="24"/>
              </w:rPr>
            </w:pPr>
            <w:r>
              <w:rPr>
                <w:rFonts w:eastAsia="SimSun"/>
                <w:szCs w:val="24"/>
              </w:rPr>
              <w:t>11/</w:t>
            </w:r>
            <w:r w:rsidR="00AD36AA" w:rsidRPr="009075DC">
              <w:rPr>
                <w:rFonts w:eastAsia="SimSun"/>
                <w:szCs w:val="24"/>
              </w:rPr>
              <w:t>25</w:t>
            </w:r>
            <w:r w:rsidR="00935C3E">
              <w:rPr>
                <w:rFonts w:eastAsia="SimSun"/>
                <w:szCs w:val="24"/>
              </w:rPr>
              <w:t>/7A/29</w:t>
            </w:r>
          </w:p>
        </w:tc>
        <w:tc>
          <w:tcPr>
            <w:tcW w:w="2130" w:type="dxa"/>
          </w:tcPr>
          <w:p w:rsidR="00AD36AA" w:rsidRPr="00896CD7" w:rsidRDefault="00896CD7" w:rsidP="00C725AD">
            <w:pPr>
              <w:widowControl w:val="0"/>
              <w:tabs>
                <w:tab w:val="decimal" w:pos="792"/>
              </w:tabs>
              <w:spacing w:before="60" w:after="60" w:line="240" w:lineRule="auto"/>
              <w:ind w:firstLine="0"/>
              <w:jc w:val="center"/>
              <w:rPr>
                <w:rFonts w:eastAsia="SimSun"/>
                <w:szCs w:val="24"/>
              </w:rPr>
            </w:pPr>
            <w:r>
              <w:rPr>
                <w:rFonts w:eastAsia="SimSun"/>
                <w:szCs w:val="24"/>
              </w:rPr>
              <w:t>108</w:t>
            </w:r>
            <w:r w:rsidR="00C725AD" w:rsidRPr="00896CD7">
              <w:rPr>
                <w:rFonts w:eastAsia="SimSun"/>
                <w:szCs w:val="24"/>
              </w:rPr>
              <w:t xml:space="preserve"> </w:t>
            </w:r>
            <w:r w:rsidR="00AD36AA" w:rsidRPr="00896CD7">
              <w:rPr>
                <w:rFonts w:eastAsia="SimSun"/>
                <w:szCs w:val="24"/>
              </w:rPr>
              <w:t>%</w:t>
            </w:r>
          </w:p>
        </w:tc>
      </w:tr>
      <w:tr w:rsidR="00AD36AA" w:rsidRPr="009075DC" w:rsidTr="00C725AD">
        <w:trPr>
          <w:cantSplit/>
        </w:trPr>
        <w:tc>
          <w:tcPr>
            <w:tcW w:w="3240" w:type="dxa"/>
          </w:tcPr>
          <w:p w:rsidR="00AD36AA" w:rsidRPr="009075DC" w:rsidRDefault="00AD36AA" w:rsidP="00C725AD">
            <w:pPr>
              <w:widowControl w:val="0"/>
              <w:spacing w:before="60" w:after="60" w:line="240" w:lineRule="auto"/>
              <w:ind w:firstLine="0"/>
              <w:rPr>
                <w:rFonts w:eastAsia="SimSun"/>
                <w:szCs w:val="24"/>
              </w:rPr>
            </w:pPr>
            <w:r w:rsidRPr="009075DC">
              <w:rPr>
                <w:rFonts w:eastAsia="SimSun"/>
                <w:szCs w:val="24"/>
              </w:rPr>
              <w:t>General Service, &gt;350 kW</w:t>
            </w:r>
          </w:p>
        </w:tc>
        <w:tc>
          <w:tcPr>
            <w:tcW w:w="2130" w:type="dxa"/>
          </w:tcPr>
          <w:p w:rsidR="00AD36AA" w:rsidRPr="009075DC" w:rsidRDefault="007D1FD1" w:rsidP="00683198">
            <w:pPr>
              <w:widowControl w:val="0"/>
              <w:tabs>
                <w:tab w:val="decimal" w:pos="252"/>
              </w:tabs>
              <w:spacing w:before="60" w:after="60" w:line="240" w:lineRule="auto"/>
              <w:ind w:firstLine="0"/>
              <w:jc w:val="center"/>
              <w:rPr>
                <w:rFonts w:eastAsia="SimSun"/>
                <w:szCs w:val="24"/>
              </w:rPr>
            </w:pPr>
            <w:r>
              <w:rPr>
                <w:rFonts w:eastAsia="SimSun"/>
                <w:szCs w:val="24"/>
              </w:rPr>
              <w:t>12/</w:t>
            </w:r>
            <w:r w:rsidR="00AD36AA" w:rsidRPr="009075DC">
              <w:rPr>
                <w:rFonts w:eastAsia="SimSun"/>
                <w:szCs w:val="24"/>
              </w:rPr>
              <w:t>26</w:t>
            </w:r>
          </w:p>
        </w:tc>
        <w:tc>
          <w:tcPr>
            <w:tcW w:w="2130" w:type="dxa"/>
          </w:tcPr>
          <w:p w:rsidR="00AD36AA" w:rsidRPr="00896CD7" w:rsidRDefault="00896CD7" w:rsidP="006F4B75">
            <w:pPr>
              <w:widowControl w:val="0"/>
              <w:tabs>
                <w:tab w:val="decimal" w:pos="792"/>
              </w:tabs>
              <w:spacing w:before="60" w:after="60" w:line="240" w:lineRule="auto"/>
              <w:ind w:firstLine="0"/>
              <w:jc w:val="center"/>
              <w:rPr>
                <w:rFonts w:eastAsia="SimSun"/>
                <w:szCs w:val="24"/>
              </w:rPr>
            </w:pPr>
            <w:r>
              <w:rPr>
                <w:rFonts w:eastAsia="SimSun"/>
                <w:szCs w:val="24"/>
              </w:rPr>
              <w:t>10</w:t>
            </w:r>
            <w:r w:rsidR="006F4B75">
              <w:rPr>
                <w:rFonts w:eastAsia="SimSun"/>
                <w:szCs w:val="24"/>
              </w:rPr>
              <w:t>8</w:t>
            </w:r>
            <w:r w:rsidR="00C725AD" w:rsidRPr="00896CD7">
              <w:rPr>
                <w:rFonts w:eastAsia="SimSun"/>
                <w:szCs w:val="24"/>
              </w:rPr>
              <w:t xml:space="preserve"> </w:t>
            </w:r>
            <w:r w:rsidR="00AD36AA" w:rsidRPr="00896CD7">
              <w:rPr>
                <w:rFonts w:eastAsia="SimSun"/>
                <w:szCs w:val="24"/>
              </w:rPr>
              <w:t>%</w:t>
            </w:r>
          </w:p>
        </w:tc>
      </w:tr>
      <w:tr w:rsidR="00AD36AA" w:rsidRPr="009075DC" w:rsidTr="00C725AD">
        <w:trPr>
          <w:cantSplit/>
        </w:trPr>
        <w:tc>
          <w:tcPr>
            <w:tcW w:w="3240" w:type="dxa"/>
          </w:tcPr>
          <w:p w:rsidR="00AD36AA" w:rsidRPr="009075DC" w:rsidRDefault="00AD36AA" w:rsidP="00C725AD">
            <w:pPr>
              <w:widowControl w:val="0"/>
              <w:spacing w:before="60" w:after="60" w:line="240" w:lineRule="auto"/>
              <w:ind w:firstLine="0"/>
              <w:rPr>
                <w:rFonts w:eastAsia="SimSun"/>
                <w:szCs w:val="24"/>
              </w:rPr>
            </w:pPr>
            <w:r w:rsidRPr="009075DC">
              <w:rPr>
                <w:rFonts w:eastAsia="SimSun"/>
                <w:szCs w:val="24"/>
              </w:rPr>
              <w:t>Primary Service</w:t>
            </w:r>
            <w:r w:rsidR="00935C3E">
              <w:rPr>
                <w:rFonts w:eastAsia="SimSun"/>
                <w:szCs w:val="24"/>
              </w:rPr>
              <w:t>, Gen &amp; Irr.</w:t>
            </w:r>
          </w:p>
        </w:tc>
        <w:tc>
          <w:tcPr>
            <w:tcW w:w="2130" w:type="dxa"/>
          </w:tcPr>
          <w:p w:rsidR="00AD36AA" w:rsidRPr="009075DC" w:rsidRDefault="007D1FD1" w:rsidP="00935C3E">
            <w:pPr>
              <w:widowControl w:val="0"/>
              <w:tabs>
                <w:tab w:val="decimal" w:pos="252"/>
              </w:tabs>
              <w:spacing w:before="60" w:after="60" w:line="240" w:lineRule="auto"/>
              <w:ind w:firstLine="0"/>
              <w:jc w:val="center"/>
              <w:rPr>
                <w:rFonts w:eastAsia="SimSun"/>
                <w:szCs w:val="24"/>
              </w:rPr>
            </w:pPr>
            <w:r>
              <w:rPr>
                <w:rFonts w:eastAsia="SimSun"/>
                <w:szCs w:val="24"/>
              </w:rPr>
              <w:t>10/</w:t>
            </w:r>
            <w:r w:rsidR="00AD36AA" w:rsidRPr="009075DC">
              <w:rPr>
                <w:rFonts w:eastAsia="SimSun"/>
                <w:szCs w:val="24"/>
              </w:rPr>
              <w:t>31/35</w:t>
            </w:r>
          </w:p>
        </w:tc>
        <w:tc>
          <w:tcPr>
            <w:tcW w:w="2130" w:type="dxa"/>
          </w:tcPr>
          <w:p w:rsidR="00AD36AA" w:rsidRPr="00896CD7" w:rsidRDefault="00896CD7" w:rsidP="00935C3E">
            <w:pPr>
              <w:widowControl w:val="0"/>
              <w:tabs>
                <w:tab w:val="decimal" w:pos="792"/>
              </w:tabs>
              <w:spacing w:before="60" w:after="60" w:line="240" w:lineRule="auto"/>
              <w:ind w:firstLine="0"/>
              <w:jc w:val="center"/>
              <w:rPr>
                <w:rFonts w:eastAsia="SimSun"/>
                <w:szCs w:val="24"/>
              </w:rPr>
            </w:pPr>
            <w:r>
              <w:rPr>
                <w:rFonts w:eastAsia="SimSun"/>
                <w:szCs w:val="24"/>
              </w:rPr>
              <w:t>10</w:t>
            </w:r>
            <w:r w:rsidR="00935C3E">
              <w:rPr>
                <w:rFonts w:eastAsia="SimSun"/>
                <w:szCs w:val="24"/>
              </w:rPr>
              <w:t>9</w:t>
            </w:r>
            <w:r w:rsidR="00C725AD" w:rsidRPr="00896CD7">
              <w:rPr>
                <w:rFonts w:eastAsia="SimSun"/>
                <w:szCs w:val="24"/>
              </w:rPr>
              <w:t xml:space="preserve"> </w:t>
            </w:r>
            <w:r w:rsidR="00AD36AA" w:rsidRPr="00896CD7">
              <w:rPr>
                <w:rFonts w:eastAsia="SimSun"/>
                <w:szCs w:val="24"/>
              </w:rPr>
              <w:t>%</w:t>
            </w:r>
          </w:p>
        </w:tc>
      </w:tr>
      <w:tr w:rsidR="00935C3E" w:rsidRPr="009075DC" w:rsidTr="00C725AD">
        <w:trPr>
          <w:cantSplit/>
        </w:trPr>
        <w:tc>
          <w:tcPr>
            <w:tcW w:w="3240" w:type="dxa"/>
          </w:tcPr>
          <w:p w:rsidR="00935C3E" w:rsidRPr="009075DC" w:rsidRDefault="00935C3E" w:rsidP="00C725AD">
            <w:pPr>
              <w:widowControl w:val="0"/>
              <w:spacing w:before="60" w:after="60" w:line="240" w:lineRule="auto"/>
              <w:ind w:firstLine="0"/>
              <w:rPr>
                <w:rFonts w:eastAsia="SimSun"/>
                <w:szCs w:val="24"/>
              </w:rPr>
            </w:pPr>
            <w:r>
              <w:rPr>
                <w:rFonts w:eastAsia="SimSun"/>
                <w:szCs w:val="24"/>
              </w:rPr>
              <w:t>Primary Service, Schools</w:t>
            </w:r>
          </w:p>
        </w:tc>
        <w:tc>
          <w:tcPr>
            <w:tcW w:w="2130" w:type="dxa"/>
          </w:tcPr>
          <w:p w:rsidR="00935C3E" w:rsidRPr="009075DC" w:rsidRDefault="00935C3E" w:rsidP="00683198">
            <w:pPr>
              <w:widowControl w:val="0"/>
              <w:tabs>
                <w:tab w:val="decimal" w:pos="252"/>
              </w:tabs>
              <w:spacing w:before="60" w:after="60" w:line="240" w:lineRule="auto"/>
              <w:ind w:firstLine="0"/>
              <w:jc w:val="center"/>
              <w:rPr>
                <w:rFonts w:eastAsia="SimSun"/>
                <w:szCs w:val="24"/>
              </w:rPr>
            </w:pPr>
            <w:r>
              <w:rPr>
                <w:rFonts w:eastAsia="SimSun"/>
                <w:szCs w:val="24"/>
              </w:rPr>
              <w:t>43</w:t>
            </w:r>
          </w:p>
        </w:tc>
        <w:tc>
          <w:tcPr>
            <w:tcW w:w="2130" w:type="dxa"/>
          </w:tcPr>
          <w:p w:rsidR="00935C3E" w:rsidRDefault="00935C3E" w:rsidP="00C725AD">
            <w:pPr>
              <w:widowControl w:val="0"/>
              <w:tabs>
                <w:tab w:val="decimal" w:pos="792"/>
              </w:tabs>
              <w:spacing w:before="60" w:after="60" w:line="240" w:lineRule="auto"/>
              <w:ind w:firstLine="0"/>
              <w:jc w:val="center"/>
              <w:rPr>
                <w:rFonts w:eastAsia="SimSun"/>
                <w:szCs w:val="24"/>
              </w:rPr>
            </w:pPr>
            <w:r>
              <w:rPr>
                <w:rFonts w:eastAsia="SimSun"/>
                <w:szCs w:val="24"/>
              </w:rPr>
              <w:t>104 %</w:t>
            </w:r>
          </w:p>
        </w:tc>
      </w:tr>
      <w:tr w:rsidR="00AD36AA" w:rsidRPr="009075DC" w:rsidTr="00C725AD">
        <w:trPr>
          <w:cantSplit/>
        </w:trPr>
        <w:tc>
          <w:tcPr>
            <w:tcW w:w="3240" w:type="dxa"/>
          </w:tcPr>
          <w:p w:rsidR="00AD36AA" w:rsidRPr="009075DC" w:rsidRDefault="00AD36AA" w:rsidP="00C725AD">
            <w:pPr>
              <w:widowControl w:val="0"/>
              <w:spacing w:before="60" w:after="60" w:line="240" w:lineRule="auto"/>
              <w:ind w:firstLine="0"/>
              <w:rPr>
                <w:rFonts w:eastAsia="SimSun"/>
                <w:szCs w:val="24"/>
              </w:rPr>
            </w:pPr>
            <w:r w:rsidRPr="009075DC">
              <w:rPr>
                <w:rFonts w:eastAsia="SimSun"/>
                <w:szCs w:val="24"/>
              </w:rPr>
              <w:t>Campus Rate</w:t>
            </w:r>
          </w:p>
        </w:tc>
        <w:tc>
          <w:tcPr>
            <w:tcW w:w="2130" w:type="dxa"/>
          </w:tcPr>
          <w:p w:rsidR="00AD36AA" w:rsidRPr="009075DC" w:rsidRDefault="00AD36AA" w:rsidP="00683198">
            <w:pPr>
              <w:widowControl w:val="0"/>
              <w:tabs>
                <w:tab w:val="decimal" w:pos="252"/>
              </w:tabs>
              <w:spacing w:before="60" w:after="60" w:line="240" w:lineRule="auto"/>
              <w:ind w:firstLine="0"/>
              <w:jc w:val="center"/>
              <w:rPr>
                <w:rFonts w:eastAsia="SimSun"/>
                <w:szCs w:val="24"/>
              </w:rPr>
            </w:pPr>
            <w:r w:rsidRPr="009075DC">
              <w:rPr>
                <w:rFonts w:eastAsia="SimSun"/>
                <w:szCs w:val="24"/>
              </w:rPr>
              <w:t>40</w:t>
            </w:r>
          </w:p>
        </w:tc>
        <w:tc>
          <w:tcPr>
            <w:tcW w:w="2130" w:type="dxa"/>
          </w:tcPr>
          <w:p w:rsidR="00AD36AA" w:rsidRPr="00896CD7" w:rsidRDefault="006F4B75" w:rsidP="00C725AD">
            <w:pPr>
              <w:widowControl w:val="0"/>
              <w:tabs>
                <w:tab w:val="decimal" w:pos="792"/>
              </w:tabs>
              <w:spacing w:before="60" w:after="60" w:line="240" w:lineRule="auto"/>
              <w:ind w:firstLine="0"/>
              <w:jc w:val="center"/>
              <w:rPr>
                <w:rFonts w:eastAsia="SimSun"/>
                <w:szCs w:val="24"/>
              </w:rPr>
            </w:pPr>
            <w:r>
              <w:rPr>
                <w:rFonts w:eastAsia="SimSun"/>
                <w:szCs w:val="24"/>
              </w:rPr>
              <w:t>95</w:t>
            </w:r>
            <w:r w:rsidR="00C725AD" w:rsidRPr="00896CD7">
              <w:rPr>
                <w:rFonts w:eastAsia="SimSun"/>
                <w:szCs w:val="24"/>
              </w:rPr>
              <w:t xml:space="preserve"> </w:t>
            </w:r>
            <w:r w:rsidR="00AD36AA" w:rsidRPr="00896CD7">
              <w:rPr>
                <w:rFonts w:eastAsia="SimSun"/>
                <w:szCs w:val="24"/>
              </w:rPr>
              <w:t>%</w:t>
            </w:r>
          </w:p>
        </w:tc>
      </w:tr>
      <w:tr w:rsidR="00AD36AA" w:rsidRPr="009075DC" w:rsidTr="00C725AD">
        <w:trPr>
          <w:cantSplit/>
        </w:trPr>
        <w:tc>
          <w:tcPr>
            <w:tcW w:w="3240" w:type="dxa"/>
          </w:tcPr>
          <w:p w:rsidR="00AD36AA" w:rsidRPr="009075DC" w:rsidRDefault="00AD36AA" w:rsidP="00C725AD">
            <w:pPr>
              <w:widowControl w:val="0"/>
              <w:spacing w:before="60" w:after="60" w:line="240" w:lineRule="auto"/>
              <w:ind w:firstLine="0"/>
              <w:rPr>
                <w:rFonts w:eastAsia="SimSun"/>
                <w:szCs w:val="24"/>
              </w:rPr>
            </w:pPr>
            <w:r w:rsidRPr="009075DC">
              <w:rPr>
                <w:rFonts w:eastAsia="SimSun"/>
                <w:szCs w:val="24"/>
              </w:rPr>
              <w:t xml:space="preserve">High Voltage </w:t>
            </w:r>
          </w:p>
        </w:tc>
        <w:tc>
          <w:tcPr>
            <w:tcW w:w="2130" w:type="dxa"/>
          </w:tcPr>
          <w:p w:rsidR="00AD36AA" w:rsidRPr="009075DC" w:rsidRDefault="00AD36AA" w:rsidP="00683198">
            <w:pPr>
              <w:widowControl w:val="0"/>
              <w:tabs>
                <w:tab w:val="decimal" w:pos="252"/>
              </w:tabs>
              <w:spacing w:before="60" w:after="60" w:line="240" w:lineRule="auto"/>
              <w:ind w:firstLine="0"/>
              <w:jc w:val="center"/>
              <w:rPr>
                <w:rFonts w:eastAsia="SimSun"/>
                <w:szCs w:val="24"/>
              </w:rPr>
            </w:pPr>
            <w:r w:rsidRPr="009075DC">
              <w:rPr>
                <w:rFonts w:eastAsia="SimSun"/>
                <w:szCs w:val="24"/>
              </w:rPr>
              <w:t>46/49</w:t>
            </w:r>
          </w:p>
        </w:tc>
        <w:tc>
          <w:tcPr>
            <w:tcW w:w="2130" w:type="dxa"/>
          </w:tcPr>
          <w:p w:rsidR="00AD36AA" w:rsidRPr="00896CD7" w:rsidRDefault="006F4B75" w:rsidP="00C725AD">
            <w:pPr>
              <w:widowControl w:val="0"/>
              <w:tabs>
                <w:tab w:val="decimal" w:pos="792"/>
              </w:tabs>
              <w:spacing w:before="60" w:after="60" w:line="240" w:lineRule="auto"/>
              <w:ind w:firstLine="0"/>
              <w:jc w:val="center"/>
              <w:rPr>
                <w:rFonts w:eastAsia="SimSun"/>
                <w:szCs w:val="24"/>
              </w:rPr>
            </w:pPr>
            <w:r>
              <w:rPr>
                <w:rFonts w:eastAsia="SimSun"/>
                <w:szCs w:val="24"/>
              </w:rPr>
              <w:t>109</w:t>
            </w:r>
            <w:r w:rsidR="00C725AD" w:rsidRPr="00896CD7">
              <w:rPr>
                <w:rFonts w:eastAsia="SimSun"/>
                <w:szCs w:val="24"/>
              </w:rPr>
              <w:t xml:space="preserve"> </w:t>
            </w:r>
            <w:r w:rsidR="00AD36AA" w:rsidRPr="00896CD7">
              <w:rPr>
                <w:rFonts w:eastAsia="SimSun"/>
                <w:szCs w:val="24"/>
              </w:rPr>
              <w:t>%</w:t>
            </w:r>
          </w:p>
        </w:tc>
      </w:tr>
      <w:tr w:rsidR="00AD36AA" w:rsidRPr="009075DC" w:rsidTr="00C725AD">
        <w:trPr>
          <w:cantSplit/>
        </w:trPr>
        <w:tc>
          <w:tcPr>
            <w:tcW w:w="3240" w:type="dxa"/>
          </w:tcPr>
          <w:p w:rsidR="00AD36AA" w:rsidRPr="009075DC" w:rsidRDefault="00AD36AA" w:rsidP="00C725AD">
            <w:pPr>
              <w:widowControl w:val="0"/>
              <w:spacing w:before="60" w:after="60" w:line="240" w:lineRule="auto"/>
              <w:ind w:firstLine="0"/>
              <w:rPr>
                <w:rFonts w:eastAsia="SimSun"/>
                <w:szCs w:val="24"/>
              </w:rPr>
            </w:pPr>
            <w:r w:rsidRPr="009075DC">
              <w:rPr>
                <w:rFonts w:eastAsia="SimSun"/>
                <w:szCs w:val="24"/>
              </w:rPr>
              <w:t>Lighting Service</w:t>
            </w:r>
          </w:p>
        </w:tc>
        <w:tc>
          <w:tcPr>
            <w:tcW w:w="2130" w:type="dxa"/>
          </w:tcPr>
          <w:p w:rsidR="00AD36AA" w:rsidRPr="009075DC" w:rsidRDefault="00F20204" w:rsidP="00F20204">
            <w:pPr>
              <w:widowControl w:val="0"/>
              <w:tabs>
                <w:tab w:val="decimal" w:pos="252"/>
              </w:tabs>
              <w:spacing w:before="60" w:after="60" w:line="240" w:lineRule="auto"/>
              <w:ind w:firstLine="0"/>
              <w:jc w:val="center"/>
              <w:rPr>
                <w:rFonts w:eastAsia="SimSun"/>
                <w:szCs w:val="24"/>
              </w:rPr>
            </w:pPr>
            <w:r w:rsidRPr="009075DC">
              <w:rPr>
                <w:rFonts w:eastAsia="SimSun"/>
                <w:szCs w:val="24"/>
              </w:rPr>
              <w:t>5</w:t>
            </w:r>
            <w:r>
              <w:rPr>
                <w:rFonts w:eastAsia="SimSun"/>
                <w:szCs w:val="24"/>
              </w:rPr>
              <w:t>0</w:t>
            </w:r>
            <w:r w:rsidRPr="009075DC">
              <w:rPr>
                <w:rFonts w:eastAsia="SimSun"/>
                <w:szCs w:val="24"/>
              </w:rPr>
              <w:t xml:space="preserve"> </w:t>
            </w:r>
            <w:r w:rsidR="00AD36AA" w:rsidRPr="009075DC">
              <w:rPr>
                <w:rFonts w:eastAsia="SimSun"/>
                <w:szCs w:val="24"/>
              </w:rPr>
              <w:t>- 59</w:t>
            </w:r>
          </w:p>
        </w:tc>
        <w:tc>
          <w:tcPr>
            <w:tcW w:w="2130" w:type="dxa"/>
          </w:tcPr>
          <w:p w:rsidR="00AD36AA" w:rsidRPr="00896CD7" w:rsidRDefault="00896CD7" w:rsidP="006F4B75">
            <w:pPr>
              <w:widowControl w:val="0"/>
              <w:tabs>
                <w:tab w:val="decimal" w:pos="792"/>
              </w:tabs>
              <w:spacing w:before="60" w:after="60" w:line="240" w:lineRule="auto"/>
              <w:ind w:firstLine="0"/>
              <w:jc w:val="center"/>
              <w:rPr>
                <w:rFonts w:eastAsia="SimSun"/>
                <w:szCs w:val="24"/>
              </w:rPr>
            </w:pPr>
            <w:r>
              <w:rPr>
                <w:rFonts w:eastAsia="SimSun"/>
                <w:szCs w:val="24"/>
              </w:rPr>
              <w:t>9</w:t>
            </w:r>
            <w:r w:rsidR="006F4B75">
              <w:rPr>
                <w:rFonts w:eastAsia="SimSun"/>
                <w:szCs w:val="24"/>
              </w:rPr>
              <w:t>7</w:t>
            </w:r>
            <w:r w:rsidR="00C725AD" w:rsidRPr="00896CD7">
              <w:rPr>
                <w:rFonts w:eastAsia="SimSun"/>
                <w:szCs w:val="24"/>
              </w:rPr>
              <w:t xml:space="preserve"> </w:t>
            </w:r>
            <w:r w:rsidR="00AD36AA" w:rsidRPr="00896CD7">
              <w:rPr>
                <w:rFonts w:eastAsia="SimSun"/>
                <w:szCs w:val="24"/>
              </w:rPr>
              <w:t>%</w:t>
            </w:r>
          </w:p>
        </w:tc>
      </w:tr>
      <w:tr w:rsidR="00AD36AA" w:rsidRPr="009075DC" w:rsidTr="00C725AD">
        <w:trPr>
          <w:cantSplit/>
        </w:trPr>
        <w:tc>
          <w:tcPr>
            <w:tcW w:w="3240" w:type="dxa"/>
          </w:tcPr>
          <w:p w:rsidR="00AD36AA" w:rsidRPr="009075DC" w:rsidRDefault="00AD36AA" w:rsidP="00C725AD">
            <w:pPr>
              <w:widowControl w:val="0"/>
              <w:spacing w:before="60" w:after="60" w:line="240" w:lineRule="auto"/>
              <w:ind w:firstLine="0"/>
              <w:rPr>
                <w:rFonts w:eastAsia="SimSun"/>
                <w:szCs w:val="24"/>
              </w:rPr>
            </w:pPr>
            <w:r w:rsidRPr="009075DC">
              <w:rPr>
                <w:rFonts w:eastAsia="SimSun"/>
                <w:szCs w:val="24"/>
              </w:rPr>
              <w:t>Choice/Retail Wheeling</w:t>
            </w:r>
          </w:p>
        </w:tc>
        <w:tc>
          <w:tcPr>
            <w:tcW w:w="2130" w:type="dxa"/>
          </w:tcPr>
          <w:p w:rsidR="00AD36AA" w:rsidRPr="009075DC" w:rsidRDefault="00AD36AA" w:rsidP="00683198">
            <w:pPr>
              <w:widowControl w:val="0"/>
              <w:tabs>
                <w:tab w:val="decimal" w:pos="252"/>
              </w:tabs>
              <w:spacing w:before="60" w:after="60" w:line="240" w:lineRule="auto"/>
              <w:ind w:firstLine="0"/>
              <w:jc w:val="center"/>
              <w:rPr>
                <w:rFonts w:eastAsia="SimSun"/>
                <w:szCs w:val="24"/>
              </w:rPr>
            </w:pPr>
            <w:r w:rsidRPr="009075DC">
              <w:rPr>
                <w:rFonts w:eastAsia="SimSun"/>
                <w:szCs w:val="24"/>
              </w:rPr>
              <w:t>448/449</w:t>
            </w:r>
          </w:p>
        </w:tc>
        <w:tc>
          <w:tcPr>
            <w:tcW w:w="2130" w:type="dxa"/>
          </w:tcPr>
          <w:p w:rsidR="00AD36AA" w:rsidRPr="00896CD7" w:rsidRDefault="006F4B75" w:rsidP="00C725AD">
            <w:pPr>
              <w:widowControl w:val="0"/>
              <w:tabs>
                <w:tab w:val="decimal" w:pos="792"/>
              </w:tabs>
              <w:spacing w:before="60" w:after="60" w:line="240" w:lineRule="auto"/>
              <w:ind w:firstLine="0"/>
              <w:jc w:val="center"/>
              <w:rPr>
                <w:rFonts w:eastAsia="SimSun"/>
                <w:szCs w:val="24"/>
              </w:rPr>
            </w:pPr>
            <w:r>
              <w:rPr>
                <w:rFonts w:eastAsia="SimSun"/>
                <w:szCs w:val="24"/>
              </w:rPr>
              <w:t>65</w:t>
            </w:r>
            <w:r w:rsidR="00C725AD" w:rsidRPr="00896CD7">
              <w:rPr>
                <w:rFonts w:eastAsia="SimSun"/>
                <w:szCs w:val="24"/>
              </w:rPr>
              <w:t xml:space="preserve"> </w:t>
            </w:r>
            <w:r w:rsidR="00AD36AA" w:rsidRPr="00896CD7">
              <w:rPr>
                <w:rFonts w:eastAsia="SimSun"/>
                <w:szCs w:val="24"/>
              </w:rPr>
              <w:t>%</w:t>
            </w:r>
          </w:p>
        </w:tc>
      </w:tr>
      <w:tr w:rsidR="00AD36AA" w:rsidRPr="009075DC" w:rsidTr="00C725AD">
        <w:trPr>
          <w:cantSplit/>
        </w:trPr>
        <w:tc>
          <w:tcPr>
            <w:tcW w:w="3240" w:type="dxa"/>
            <w:tcBorders>
              <w:bottom w:val="single" w:sz="4" w:space="0" w:color="auto"/>
            </w:tcBorders>
          </w:tcPr>
          <w:p w:rsidR="00AD36AA" w:rsidRPr="009075DC" w:rsidRDefault="00AD36AA" w:rsidP="00896CD7">
            <w:pPr>
              <w:widowControl w:val="0"/>
              <w:spacing w:before="60" w:after="60" w:line="240" w:lineRule="auto"/>
              <w:ind w:firstLine="0"/>
              <w:rPr>
                <w:rFonts w:eastAsia="SimSun"/>
                <w:szCs w:val="24"/>
              </w:rPr>
            </w:pPr>
            <w:r w:rsidRPr="009075DC">
              <w:rPr>
                <w:rFonts w:eastAsia="SimSun"/>
                <w:szCs w:val="24"/>
              </w:rPr>
              <w:t>Firm Resale</w:t>
            </w:r>
          </w:p>
        </w:tc>
        <w:tc>
          <w:tcPr>
            <w:tcW w:w="2130" w:type="dxa"/>
            <w:tcBorders>
              <w:bottom w:val="single" w:sz="4" w:space="0" w:color="auto"/>
            </w:tcBorders>
          </w:tcPr>
          <w:p w:rsidR="00AD36AA" w:rsidRPr="009075DC" w:rsidRDefault="00AD36AA" w:rsidP="00683198">
            <w:pPr>
              <w:widowControl w:val="0"/>
              <w:tabs>
                <w:tab w:val="decimal" w:pos="252"/>
              </w:tabs>
              <w:spacing w:before="60" w:after="60" w:line="240" w:lineRule="auto"/>
              <w:ind w:firstLine="0"/>
              <w:jc w:val="center"/>
              <w:rPr>
                <w:rFonts w:eastAsia="SimSun"/>
                <w:szCs w:val="24"/>
              </w:rPr>
            </w:pPr>
            <w:r w:rsidRPr="009075DC">
              <w:rPr>
                <w:rFonts w:eastAsia="SimSun"/>
                <w:szCs w:val="24"/>
              </w:rPr>
              <w:t>5</w:t>
            </w:r>
          </w:p>
        </w:tc>
        <w:tc>
          <w:tcPr>
            <w:tcW w:w="2130" w:type="dxa"/>
            <w:tcBorders>
              <w:bottom w:val="single" w:sz="4" w:space="0" w:color="auto"/>
            </w:tcBorders>
          </w:tcPr>
          <w:p w:rsidR="00AD36AA" w:rsidRPr="00896CD7" w:rsidRDefault="00896CD7" w:rsidP="006F4B75">
            <w:pPr>
              <w:widowControl w:val="0"/>
              <w:tabs>
                <w:tab w:val="decimal" w:pos="792"/>
              </w:tabs>
              <w:spacing w:before="60" w:after="60" w:line="240" w:lineRule="auto"/>
              <w:ind w:firstLine="0"/>
              <w:jc w:val="center"/>
              <w:rPr>
                <w:rFonts w:eastAsia="SimSun"/>
                <w:szCs w:val="24"/>
              </w:rPr>
            </w:pPr>
            <w:r>
              <w:rPr>
                <w:rFonts w:eastAsia="SimSun"/>
                <w:szCs w:val="24"/>
              </w:rPr>
              <w:t>4</w:t>
            </w:r>
            <w:r w:rsidR="006F4B75">
              <w:rPr>
                <w:rFonts w:eastAsia="SimSun"/>
                <w:szCs w:val="24"/>
              </w:rPr>
              <w:t>7</w:t>
            </w:r>
            <w:r w:rsidR="00C725AD" w:rsidRPr="00896CD7">
              <w:rPr>
                <w:rFonts w:eastAsia="SimSun"/>
                <w:szCs w:val="24"/>
              </w:rPr>
              <w:t xml:space="preserve"> </w:t>
            </w:r>
            <w:r w:rsidR="00AD36AA" w:rsidRPr="00896CD7">
              <w:rPr>
                <w:rFonts w:eastAsia="SimSun"/>
                <w:szCs w:val="24"/>
              </w:rPr>
              <w:t>%</w:t>
            </w:r>
          </w:p>
        </w:tc>
      </w:tr>
      <w:tr w:rsidR="00AD36AA" w:rsidRPr="009075DC" w:rsidTr="00C725AD">
        <w:trPr>
          <w:cantSplit/>
        </w:trPr>
        <w:tc>
          <w:tcPr>
            <w:tcW w:w="3240" w:type="dxa"/>
            <w:tcBorders>
              <w:top w:val="single" w:sz="4" w:space="0" w:color="auto"/>
            </w:tcBorders>
          </w:tcPr>
          <w:p w:rsidR="00AD36AA" w:rsidRPr="009075DC" w:rsidRDefault="00AD36AA" w:rsidP="00C725AD">
            <w:pPr>
              <w:widowControl w:val="0"/>
              <w:spacing w:before="60" w:after="60" w:line="240" w:lineRule="auto"/>
              <w:ind w:firstLine="0"/>
              <w:rPr>
                <w:rFonts w:eastAsia="SimSun"/>
                <w:b/>
                <w:szCs w:val="24"/>
              </w:rPr>
            </w:pPr>
            <w:r w:rsidRPr="009075DC">
              <w:rPr>
                <w:rFonts w:eastAsia="SimSun"/>
                <w:b/>
                <w:szCs w:val="24"/>
              </w:rPr>
              <w:t>System Total / Average</w:t>
            </w:r>
          </w:p>
        </w:tc>
        <w:tc>
          <w:tcPr>
            <w:tcW w:w="2130" w:type="dxa"/>
            <w:tcBorders>
              <w:top w:val="single" w:sz="4" w:space="0" w:color="auto"/>
            </w:tcBorders>
          </w:tcPr>
          <w:p w:rsidR="00AD36AA" w:rsidRPr="009075DC" w:rsidRDefault="00AD36AA" w:rsidP="00C725AD">
            <w:pPr>
              <w:widowControl w:val="0"/>
              <w:tabs>
                <w:tab w:val="decimal" w:pos="792"/>
              </w:tabs>
              <w:spacing w:before="60" w:after="60" w:line="240" w:lineRule="auto"/>
              <w:ind w:firstLine="0"/>
              <w:rPr>
                <w:rFonts w:eastAsia="SimSun"/>
                <w:b/>
                <w:szCs w:val="24"/>
              </w:rPr>
            </w:pPr>
          </w:p>
        </w:tc>
        <w:tc>
          <w:tcPr>
            <w:tcW w:w="2130" w:type="dxa"/>
            <w:tcBorders>
              <w:top w:val="single" w:sz="4" w:space="0" w:color="auto"/>
            </w:tcBorders>
          </w:tcPr>
          <w:p w:rsidR="00AD36AA" w:rsidRPr="009075DC" w:rsidRDefault="00AD36AA" w:rsidP="00C725AD">
            <w:pPr>
              <w:widowControl w:val="0"/>
              <w:tabs>
                <w:tab w:val="decimal" w:pos="792"/>
              </w:tabs>
              <w:spacing w:before="60" w:after="60" w:line="240" w:lineRule="auto"/>
              <w:ind w:firstLine="0"/>
              <w:jc w:val="center"/>
              <w:rPr>
                <w:rFonts w:eastAsia="SimSun"/>
                <w:szCs w:val="24"/>
              </w:rPr>
            </w:pPr>
            <w:r w:rsidRPr="009075DC">
              <w:rPr>
                <w:rFonts w:eastAsia="SimSun"/>
                <w:szCs w:val="24"/>
              </w:rPr>
              <w:t>100 %</w:t>
            </w:r>
          </w:p>
        </w:tc>
      </w:tr>
    </w:tbl>
    <w:p w:rsidR="00AD36AA" w:rsidRPr="009075DC" w:rsidRDefault="00AD36AA" w:rsidP="00AD36AA">
      <w:pPr>
        <w:pStyle w:val="question"/>
        <w:spacing w:before="360"/>
        <w:rPr>
          <w:rFonts w:eastAsia="SimSun"/>
        </w:rPr>
      </w:pPr>
      <w:r w:rsidRPr="009075DC">
        <w:rPr>
          <w:rFonts w:eastAsia="SimSun"/>
        </w:rPr>
        <w:lastRenderedPageBreak/>
        <w:t>Q.</w:t>
      </w:r>
      <w:r w:rsidRPr="009075DC">
        <w:rPr>
          <w:rFonts w:eastAsia="SimSun"/>
        </w:rPr>
        <w:tab/>
        <w:t>Was the model used to develop the cost of service study the same model used in PSE’s most recent general rate case?</w:t>
      </w:r>
    </w:p>
    <w:p w:rsidR="00AD36AA" w:rsidRPr="009075DC" w:rsidRDefault="00AD36AA" w:rsidP="00AD36AA">
      <w:pPr>
        <w:pStyle w:val="answer"/>
        <w:widowControl w:val="0"/>
        <w:rPr>
          <w:rFonts w:eastAsia="SimSun"/>
          <w:sz w:val="32"/>
          <w:szCs w:val="32"/>
        </w:rPr>
      </w:pPr>
      <w:r w:rsidRPr="009075DC">
        <w:rPr>
          <w:rFonts w:eastAsia="SimSun"/>
        </w:rPr>
        <w:t>A.</w:t>
      </w:r>
      <w:r w:rsidRPr="009075DC">
        <w:rPr>
          <w:rFonts w:eastAsia="SimSun"/>
        </w:rPr>
        <w:tab/>
        <w:t>Yes.  The model used for this study is the same model used in the last general rate case.</w:t>
      </w:r>
      <w:r w:rsidR="0040651F">
        <w:rPr>
          <w:rFonts w:eastAsia="SimSun"/>
        </w:rPr>
        <w:t xml:space="preserve"> </w:t>
      </w:r>
      <w:r w:rsidR="0040651F" w:rsidRPr="0040651F">
        <w:rPr>
          <w:rFonts w:eastAsia="SimSun"/>
        </w:rPr>
        <w:t>This model was originally developed for PSE by Navigant Consulting, Inc. for its 2006 GRC.</w:t>
      </w:r>
    </w:p>
    <w:p w:rsidR="00F8418D" w:rsidRPr="009075DC" w:rsidRDefault="00FC5841" w:rsidP="00F01467">
      <w:pPr>
        <w:pStyle w:val="Heading2"/>
        <w:keepNext w:val="0"/>
        <w:keepLines w:val="0"/>
        <w:widowControl w:val="0"/>
        <w:spacing w:before="240" w:after="240"/>
        <w:rPr>
          <w:rFonts w:eastAsia="SimSun"/>
        </w:rPr>
      </w:pPr>
      <w:bookmarkStart w:id="55" w:name="_Toc126675048"/>
      <w:bookmarkStart w:id="56" w:name="_Toc127023385"/>
      <w:bookmarkStart w:id="57" w:name="_Toc229277844"/>
      <w:bookmarkStart w:id="58" w:name="_Toc471912931"/>
      <w:r>
        <w:rPr>
          <w:rFonts w:eastAsia="SimSun"/>
          <w:u w:val="none"/>
        </w:rPr>
        <w:t>C</w:t>
      </w:r>
      <w:r w:rsidR="00F8418D" w:rsidRPr="009075DC">
        <w:rPr>
          <w:rFonts w:eastAsia="SimSun"/>
          <w:u w:val="none"/>
        </w:rPr>
        <w:t>.</w:t>
      </w:r>
      <w:r w:rsidR="00F8418D" w:rsidRPr="009075DC">
        <w:rPr>
          <w:rFonts w:eastAsia="SimSun"/>
          <w:u w:val="none"/>
        </w:rPr>
        <w:tab/>
      </w:r>
      <w:r w:rsidR="00F8418D" w:rsidRPr="009075DC">
        <w:rPr>
          <w:rFonts w:eastAsia="SimSun"/>
        </w:rPr>
        <w:t>Classification of Production Costs</w:t>
      </w:r>
      <w:bookmarkEnd w:id="55"/>
      <w:bookmarkEnd w:id="56"/>
      <w:bookmarkEnd w:id="57"/>
      <w:bookmarkEnd w:id="58"/>
    </w:p>
    <w:p w:rsidR="00C725AD" w:rsidRPr="009075DC" w:rsidRDefault="00C725AD" w:rsidP="00C725AD">
      <w:pPr>
        <w:pStyle w:val="question"/>
        <w:widowControl w:val="0"/>
        <w:rPr>
          <w:rFonts w:eastAsia="SimSun"/>
        </w:rPr>
      </w:pPr>
      <w:r w:rsidRPr="009075DC">
        <w:rPr>
          <w:rFonts w:eastAsia="SimSun"/>
        </w:rPr>
        <w:t>Q.</w:t>
      </w:r>
      <w:r w:rsidRPr="009075DC">
        <w:rPr>
          <w:rFonts w:eastAsia="SimSun"/>
        </w:rPr>
        <w:tab/>
        <w:t>Please describe how production costs were classified into energy and demand components in PSE’s electric cost of service study.</w:t>
      </w:r>
    </w:p>
    <w:p w:rsidR="00C725AD" w:rsidRPr="009075DC" w:rsidRDefault="00C725AD" w:rsidP="00C725AD">
      <w:pPr>
        <w:pStyle w:val="answer"/>
        <w:widowControl w:val="0"/>
        <w:rPr>
          <w:rFonts w:eastAsia="SimSun"/>
        </w:rPr>
      </w:pPr>
      <w:r w:rsidRPr="009075DC">
        <w:rPr>
          <w:rFonts w:eastAsia="SimSun"/>
        </w:rPr>
        <w:t>A.</w:t>
      </w:r>
      <w:r w:rsidRPr="009075DC">
        <w:rPr>
          <w:rFonts w:eastAsia="SimSun"/>
        </w:rPr>
        <w:tab/>
        <w:t>The Company utilized the "peak credit" methodology to divide production costs into demand and energy components.  The peak credit method classifies PSE's electric production costs, regardless of the type of generating resource, as either energy-related or demand-related, based on the ratio of the cost of a proxy peaking generating resource to the cost of a proxy baseload generating resource.  The numerator and denominator of the ratio are expressed in $</w:t>
      </w:r>
      <w:r w:rsidR="005B742D">
        <w:rPr>
          <w:rFonts w:eastAsia="SimSun"/>
        </w:rPr>
        <w:t xml:space="preserve"> per </w:t>
      </w:r>
      <w:r w:rsidRPr="009075DC">
        <w:rPr>
          <w:rFonts w:eastAsia="SimSun"/>
        </w:rPr>
        <w:t xml:space="preserve">kW-year.  </w:t>
      </w:r>
    </w:p>
    <w:p w:rsidR="0065388B" w:rsidRPr="009075DC" w:rsidRDefault="0065388B" w:rsidP="0065388B">
      <w:pPr>
        <w:pStyle w:val="question"/>
        <w:widowControl w:val="0"/>
        <w:rPr>
          <w:rFonts w:eastAsia="SimSun"/>
        </w:rPr>
      </w:pPr>
      <w:r w:rsidRPr="009075DC">
        <w:rPr>
          <w:rFonts w:eastAsia="SimSun"/>
        </w:rPr>
        <w:t>Q.</w:t>
      </w:r>
      <w:r w:rsidRPr="009075DC">
        <w:rPr>
          <w:rFonts w:eastAsia="SimSun"/>
        </w:rPr>
        <w:tab/>
      </w:r>
      <w:r>
        <w:rPr>
          <w:rFonts w:eastAsia="SimSun"/>
        </w:rPr>
        <w:t>Was PSE constrained in how it performed its peak credit analysis in this case?</w:t>
      </w:r>
    </w:p>
    <w:p w:rsidR="0065388B" w:rsidRDefault="0065388B" w:rsidP="0065388B">
      <w:pPr>
        <w:pStyle w:val="answer"/>
        <w:widowControl w:val="0"/>
        <w:rPr>
          <w:rFonts w:eastAsia="SimSun"/>
        </w:rPr>
      </w:pPr>
      <w:r w:rsidRPr="009075DC">
        <w:rPr>
          <w:rFonts w:eastAsia="SimSun"/>
        </w:rPr>
        <w:t>A.</w:t>
      </w:r>
      <w:r w:rsidRPr="009075DC">
        <w:rPr>
          <w:rFonts w:eastAsia="SimSun"/>
        </w:rPr>
        <w:tab/>
      </w:r>
      <w:r>
        <w:rPr>
          <w:rFonts w:eastAsia="SimSun"/>
        </w:rPr>
        <w:t>Yes.  As part of a Settlement Stipulation in Docket</w:t>
      </w:r>
      <w:r w:rsidR="005B041E">
        <w:rPr>
          <w:rFonts w:eastAsia="SimSun"/>
        </w:rPr>
        <w:t>s</w:t>
      </w:r>
      <w:r>
        <w:rPr>
          <w:rFonts w:eastAsia="SimSun"/>
        </w:rPr>
        <w:t xml:space="preserve"> UE-130583, UE-130617, UE-131009, and UE-131230, the parties agreed to initiate a </w:t>
      </w:r>
      <w:r w:rsidR="00137615">
        <w:rPr>
          <w:rFonts w:eastAsia="SimSun"/>
        </w:rPr>
        <w:t xml:space="preserve">pair of </w:t>
      </w:r>
      <w:r>
        <w:rPr>
          <w:rFonts w:eastAsia="SimSun"/>
        </w:rPr>
        <w:t>collaborative process</w:t>
      </w:r>
      <w:r w:rsidR="00137615">
        <w:rPr>
          <w:rFonts w:eastAsia="SimSun"/>
        </w:rPr>
        <w:t>es</w:t>
      </w:r>
      <w:r>
        <w:rPr>
          <w:rFonts w:eastAsia="SimSun"/>
        </w:rPr>
        <w:t xml:space="preserve"> to address issues surrounding </w:t>
      </w:r>
      <w:r w:rsidR="00137615">
        <w:rPr>
          <w:rFonts w:eastAsia="SimSun"/>
        </w:rPr>
        <w:t xml:space="preserve">(1) </w:t>
      </w:r>
      <w:r>
        <w:rPr>
          <w:rFonts w:eastAsia="SimSun"/>
        </w:rPr>
        <w:t>PSE’s power cost adjustment and power cost only rate case</w:t>
      </w:r>
      <w:r w:rsidR="00137615">
        <w:rPr>
          <w:rFonts w:eastAsia="SimSun"/>
        </w:rPr>
        <w:t xml:space="preserve"> and (2)</w:t>
      </w:r>
      <w:r>
        <w:rPr>
          <w:rFonts w:eastAsia="SimSun"/>
        </w:rPr>
        <w:t xml:space="preserve"> electric cost of service, rate spread and rate design</w:t>
      </w:r>
      <w:r w:rsidRPr="009075DC">
        <w:rPr>
          <w:rFonts w:eastAsia="SimSun"/>
        </w:rPr>
        <w:t>.</w:t>
      </w:r>
      <w:r>
        <w:rPr>
          <w:rFonts w:eastAsia="SimSun"/>
        </w:rPr>
        <w:t xml:space="preserve">  Since the parties did not reach agreement on issues related to electric cost </w:t>
      </w:r>
      <w:r>
        <w:rPr>
          <w:rFonts w:eastAsia="SimSun"/>
        </w:rPr>
        <w:lastRenderedPageBreak/>
        <w:t>of service, rate spread and rate design</w:t>
      </w:r>
      <w:r w:rsidR="00C94219">
        <w:rPr>
          <w:rFonts w:eastAsia="SimSun"/>
        </w:rPr>
        <w:t xml:space="preserve"> in this collaborative process</w:t>
      </w:r>
      <w:r>
        <w:rPr>
          <w:rFonts w:eastAsia="SimSun"/>
        </w:rPr>
        <w:t>, PSE filed testimony and exhibits to update its peak credit methodology.  This</w:t>
      </w:r>
      <w:r w:rsidR="00C94219">
        <w:rPr>
          <w:rFonts w:eastAsia="SimSun"/>
        </w:rPr>
        <w:t xml:space="preserve"> filing</w:t>
      </w:r>
      <w:r>
        <w:rPr>
          <w:rFonts w:eastAsia="SimSun"/>
        </w:rPr>
        <w:t xml:space="preserve"> initiated Docket UE-141368.   On October 21, 2014, the parties filed a Settlement Stipulation</w:t>
      </w:r>
      <w:r w:rsidR="00501565">
        <w:rPr>
          <w:rFonts w:eastAsia="SimSun"/>
        </w:rPr>
        <w:t xml:space="preserve"> (</w:t>
      </w:r>
      <w:r w:rsidR="00C94219">
        <w:rPr>
          <w:rFonts w:eastAsia="SimSun"/>
        </w:rPr>
        <w:t xml:space="preserve">the </w:t>
      </w:r>
      <w:r w:rsidR="00501565">
        <w:rPr>
          <w:rFonts w:eastAsia="SimSun"/>
        </w:rPr>
        <w:t>“Rate Design Settlement”) settling that case</w:t>
      </w:r>
      <w:r w:rsidR="00C94219">
        <w:rPr>
          <w:rFonts w:eastAsia="SimSun"/>
        </w:rPr>
        <w:t>.  This settlement</w:t>
      </w:r>
      <w:r w:rsidR="00501565">
        <w:rPr>
          <w:rFonts w:eastAsia="SimSun"/>
        </w:rPr>
        <w:t>, among other things, specified how the peak credit methodology would be performed in PSE’s next general rate case.  The Rate Design Settlement was approved on January 29, 2015.</w:t>
      </w:r>
      <w:r w:rsidR="00137615">
        <w:rPr>
          <w:rStyle w:val="FootnoteReference"/>
          <w:rFonts w:eastAsia="SimSun"/>
        </w:rPr>
        <w:footnoteReference w:id="8"/>
      </w:r>
    </w:p>
    <w:p w:rsidR="008C7983" w:rsidRPr="009075DC" w:rsidRDefault="008C7983" w:rsidP="008C7983">
      <w:pPr>
        <w:pStyle w:val="question"/>
        <w:widowControl w:val="0"/>
        <w:rPr>
          <w:rFonts w:eastAsia="SimSun"/>
        </w:rPr>
      </w:pPr>
      <w:r w:rsidRPr="009075DC">
        <w:rPr>
          <w:rFonts w:eastAsia="SimSun"/>
        </w:rPr>
        <w:t>Q.</w:t>
      </w:r>
      <w:r w:rsidRPr="009075DC">
        <w:rPr>
          <w:rFonts w:eastAsia="SimSun"/>
        </w:rPr>
        <w:tab/>
      </w:r>
      <w:r>
        <w:rPr>
          <w:rFonts w:eastAsia="SimSun"/>
        </w:rPr>
        <w:t>Was th</w:t>
      </w:r>
      <w:r w:rsidR="00C94219">
        <w:rPr>
          <w:rFonts w:eastAsia="SimSun"/>
        </w:rPr>
        <w:t>e peak credit</w:t>
      </w:r>
      <w:r>
        <w:rPr>
          <w:rFonts w:eastAsia="SimSun"/>
        </w:rPr>
        <w:t xml:space="preserve"> analysis </w:t>
      </w:r>
      <w:r w:rsidR="00C94219">
        <w:rPr>
          <w:rFonts w:eastAsia="SimSun"/>
        </w:rPr>
        <w:t xml:space="preserve">in this rate case </w:t>
      </w:r>
      <w:r>
        <w:rPr>
          <w:rFonts w:eastAsia="SimSun"/>
        </w:rPr>
        <w:t xml:space="preserve">performed in accordance with </w:t>
      </w:r>
      <w:r w:rsidR="00166FE8">
        <w:rPr>
          <w:rFonts w:eastAsia="SimSun"/>
        </w:rPr>
        <w:t xml:space="preserve">the </w:t>
      </w:r>
      <w:r w:rsidR="00501565">
        <w:rPr>
          <w:rFonts w:eastAsia="SimSun"/>
        </w:rPr>
        <w:t xml:space="preserve">Rate Design </w:t>
      </w:r>
      <w:r w:rsidR="00166FE8">
        <w:rPr>
          <w:rFonts w:eastAsia="SimSun"/>
        </w:rPr>
        <w:t>S</w:t>
      </w:r>
      <w:r>
        <w:rPr>
          <w:rFonts w:eastAsia="SimSun"/>
        </w:rPr>
        <w:t>ettlement approved by the Commission in Docket UE-141368?</w:t>
      </w:r>
    </w:p>
    <w:p w:rsidR="008C7983" w:rsidRDefault="008C7983" w:rsidP="008C7983">
      <w:pPr>
        <w:pStyle w:val="answer"/>
        <w:widowControl w:val="0"/>
        <w:rPr>
          <w:rFonts w:eastAsia="SimSun"/>
        </w:rPr>
      </w:pPr>
      <w:r w:rsidRPr="009075DC">
        <w:rPr>
          <w:rFonts w:eastAsia="SimSun"/>
        </w:rPr>
        <w:t>A.</w:t>
      </w:r>
      <w:r w:rsidRPr="009075DC">
        <w:rPr>
          <w:rFonts w:eastAsia="SimSun"/>
        </w:rPr>
        <w:tab/>
      </w:r>
      <w:r>
        <w:rPr>
          <w:rFonts w:eastAsia="SimSun"/>
        </w:rPr>
        <w:t xml:space="preserve">Yes.  </w:t>
      </w:r>
      <w:r w:rsidR="00443378">
        <w:rPr>
          <w:rFonts w:eastAsia="SimSun"/>
        </w:rPr>
        <w:t xml:space="preserve">Consistent with </w:t>
      </w:r>
      <w:r w:rsidR="00501565">
        <w:rPr>
          <w:rFonts w:eastAsia="SimSun"/>
        </w:rPr>
        <w:t xml:space="preserve">the Rate Design </w:t>
      </w:r>
      <w:r w:rsidR="00166FE8">
        <w:rPr>
          <w:rFonts w:eastAsia="SimSun"/>
        </w:rPr>
        <w:t>S</w:t>
      </w:r>
      <w:r w:rsidR="00443378">
        <w:rPr>
          <w:rFonts w:eastAsia="SimSun"/>
        </w:rPr>
        <w:t>ettlement, PSE has classified 25 percent of production costs as demand and 75 percent as energy</w:t>
      </w:r>
      <w:r w:rsidR="00501565">
        <w:rPr>
          <w:rFonts w:eastAsia="SimSun"/>
        </w:rPr>
        <w:t xml:space="preserve"> in this rate case</w:t>
      </w:r>
      <w:r w:rsidR="00443378">
        <w:rPr>
          <w:rFonts w:eastAsia="SimSun"/>
        </w:rPr>
        <w:t xml:space="preserve">.  These results follow from the analysis performed as part of my testimony in </w:t>
      </w:r>
      <w:r w:rsidR="00501565">
        <w:rPr>
          <w:rFonts w:eastAsia="SimSun"/>
        </w:rPr>
        <w:t>Docket UE-141368</w:t>
      </w:r>
      <w:r w:rsidR="00443378">
        <w:rPr>
          <w:rFonts w:eastAsia="SimSun"/>
        </w:rPr>
        <w:t xml:space="preserve">.  </w:t>
      </w:r>
      <w:r w:rsidR="009D172E">
        <w:rPr>
          <w:rFonts w:eastAsia="SimSun"/>
        </w:rPr>
        <w:t xml:space="preserve">This analysis </w:t>
      </w:r>
      <w:r w:rsidR="00443378">
        <w:rPr>
          <w:rFonts w:eastAsia="SimSun"/>
        </w:rPr>
        <w:t>is provided in Exhibit No.___(JAP-</w:t>
      </w:r>
      <w:r w:rsidR="003B5556">
        <w:rPr>
          <w:rFonts w:eastAsia="SimSun"/>
        </w:rPr>
        <w:fldChar w:fldCharType="begin"/>
      </w:r>
      <w:r w:rsidR="003B5556">
        <w:rPr>
          <w:rFonts w:eastAsia="SimSun"/>
        </w:rPr>
        <w:instrText xml:space="preserve"> REF _Ref441672534 \r \h </w:instrText>
      </w:r>
      <w:r w:rsidR="003B5556">
        <w:rPr>
          <w:rFonts w:eastAsia="SimSun"/>
        </w:rPr>
      </w:r>
      <w:r w:rsidR="003B5556">
        <w:rPr>
          <w:rFonts w:eastAsia="SimSun"/>
        </w:rPr>
        <w:fldChar w:fldCharType="separate"/>
      </w:r>
      <w:r w:rsidR="0035666C">
        <w:rPr>
          <w:rFonts w:eastAsia="SimSun"/>
        </w:rPr>
        <w:t>5</w:t>
      </w:r>
      <w:r w:rsidR="003B5556">
        <w:rPr>
          <w:rFonts w:eastAsia="SimSun"/>
        </w:rPr>
        <w:fldChar w:fldCharType="end"/>
      </w:r>
      <w:r w:rsidR="00CE2DE2">
        <w:rPr>
          <w:rFonts w:eastAsia="SimSun"/>
        </w:rPr>
        <w:t>C</w:t>
      </w:r>
      <w:r w:rsidR="00443378">
        <w:rPr>
          <w:rFonts w:eastAsia="SimSun"/>
        </w:rPr>
        <w:t xml:space="preserve">).  </w:t>
      </w:r>
    </w:p>
    <w:p w:rsidR="008C7983" w:rsidRPr="009075DC" w:rsidRDefault="008C7983" w:rsidP="008C7983">
      <w:pPr>
        <w:pStyle w:val="question"/>
        <w:widowControl w:val="0"/>
        <w:rPr>
          <w:rFonts w:eastAsia="SimSun"/>
        </w:rPr>
      </w:pPr>
      <w:r w:rsidRPr="009075DC">
        <w:rPr>
          <w:rFonts w:eastAsia="SimSun"/>
        </w:rPr>
        <w:t>Q.</w:t>
      </w:r>
      <w:r w:rsidRPr="009075DC">
        <w:rPr>
          <w:rFonts w:eastAsia="SimSun"/>
        </w:rPr>
        <w:tab/>
      </w:r>
      <w:r w:rsidR="00C94219">
        <w:rPr>
          <w:rFonts w:eastAsia="SimSun"/>
        </w:rPr>
        <w:t xml:space="preserve">Does the </w:t>
      </w:r>
      <w:r w:rsidR="00166FE8">
        <w:rPr>
          <w:rFonts w:eastAsia="SimSun"/>
        </w:rPr>
        <w:t xml:space="preserve">analysis </w:t>
      </w:r>
      <w:r w:rsidR="00501565">
        <w:rPr>
          <w:rFonts w:eastAsia="SimSun"/>
        </w:rPr>
        <w:t>in Exhibit No.___(JAP-</w:t>
      </w:r>
      <w:r w:rsidR="003B5556">
        <w:rPr>
          <w:rFonts w:eastAsia="SimSun"/>
        </w:rPr>
        <w:fldChar w:fldCharType="begin"/>
      </w:r>
      <w:r w:rsidR="003B5556">
        <w:rPr>
          <w:rFonts w:eastAsia="SimSun"/>
        </w:rPr>
        <w:instrText xml:space="preserve"> REF _Ref441672534 \r \h </w:instrText>
      </w:r>
      <w:r w:rsidR="003B5556">
        <w:rPr>
          <w:rFonts w:eastAsia="SimSun"/>
        </w:rPr>
      </w:r>
      <w:r w:rsidR="003B5556">
        <w:rPr>
          <w:rFonts w:eastAsia="SimSun"/>
        </w:rPr>
        <w:fldChar w:fldCharType="separate"/>
      </w:r>
      <w:r w:rsidR="0035666C">
        <w:rPr>
          <w:rFonts w:eastAsia="SimSun"/>
        </w:rPr>
        <w:t>5</w:t>
      </w:r>
      <w:r w:rsidR="003B5556">
        <w:rPr>
          <w:rFonts w:eastAsia="SimSun"/>
        </w:rPr>
        <w:fldChar w:fldCharType="end"/>
      </w:r>
      <w:r w:rsidR="00CE2DE2">
        <w:rPr>
          <w:rFonts w:eastAsia="SimSun"/>
        </w:rPr>
        <w:t>C</w:t>
      </w:r>
      <w:r w:rsidR="00501565">
        <w:rPr>
          <w:rFonts w:eastAsia="SimSun"/>
        </w:rPr>
        <w:t xml:space="preserve">) </w:t>
      </w:r>
      <w:r w:rsidR="00C94219">
        <w:rPr>
          <w:rFonts w:eastAsia="SimSun"/>
        </w:rPr>
        <w:t xml:space="preserve">contain </w:t>
      </w:r>
      <w:r w:rsidR="00166FE8">
        <w:rPr>
          <w:rFonts w:eastAsia="SimSun"/>
        </w:rPr>
        <w:t>the most currently available data</w:t>
      </w:r>
      <w:r>
        <w:rPr>
          <w:rFonts w:eastAsia="SimSun"/>
        </w:rPr>
        <w:t>?</w:t>
      </w:r>
    </w:p>
    <w:p w:rsidR="008C7983" w:rsidRDefault="008C7983" w:rsidP="008C7983">
      <w:pPr>
        <w:pStyle w:val="answer"/>
        <w:widowControl w:val="0"/>
        <w:rPr>
          <w:rFonts w:eastAsia="SimSun"/>
        </w:rPr>
      </w:pPr>
      <w:r w:rsidRPr="009075DC">
        <w:rPr>
          <w:rFonts w:eastAsia="SimSun"/>
        </w:rPr>
        <w:t>A.</w:t>
      </w:r>
      <w:r w:rsidRPr="009075DC">
        <w:rPr>
          <w:rFonts w:eastAsia="SimSun"/>
        </w:rPr>
        <w:tab/>
      </w:r>
      <w:r w:rsidR="00166FE8">
        <w:rPr>
          <w:rFonts w:eastAsia="SimSun"/>
        </w:rPr>
        <w:t>No.  While PSE has filed with the Commission its 2015 Integrated Resource Plan (“IRP”)</w:t>
      </w:r>
      <w:r w:rsidR="0051596F">
        <w:rPr>
          <w:rFonts w:eastAsia="SimSun"/>
        </w:rPr>
        <w:t>, has continued to refine many of the underlying assumptions in the development of its 2017 IRP</w:t>
      </w:r>
      <w:r w:rsidR="00166FE8">
        <w:rPr>
          <w:rFonts w:eastAsia="SimSun"/>
        </w:rPr>
        <w:t xml:space="preserve"> and proposed a new rate of return in this case, the </w:t>
      </w:r>
      <w:r w:rsidR="00166FE8">
        <w:rPr>
          <w:rFonts w:eastAsia="SimSun"/>
        </w:rPr>
        <w:lastRenderedPageBreak/>
        <w:t xml:space="preserve">peak credit analysis used to support this </w:t>
      </w:r>
      <w:r w:rsidR="00501565">
        <w:rPr>
          <w:rFonts w:eastAsia="SimSun"/>
        </w:rPr>
        <w:t xml:space="preserve">rate </w:t>
      </w:r>
      <w:r w:rsidR="00166FE8">
        <w:rPr>
          <w:rFonts w:eastAsia="SimSun"/>
        </w:rPr>
        <w:t>case does not reflect this updated information</w:t>
      </w:r>
      <w:r w:rsidRPr="009075DC">
        <w:rPr>
          <w:rFonts w:eastAsia="SimSun"/>
        </w:rPr>
        <w:t>.</w:t>
      </w:r>
    </w:p>
    <w:p w:rsidR="00166FE8" w:rsidRPr="009075DC" w:rsidRDefault="00166FE8" w:rsidP="00166FE8">
      <w:pPr>
        <w:pStyle w:val="question"/>
        <w:widowControl w:val="0"/>
        <w:rPr>
          <w:rFonts w:eastAsia="SimSun"/>
        </w:rPr>
      </w:pPr>
      <w:r w:rsidRPr="009075DC">
        <w:rPr>
          <w:rFonts w:eastAsia="SimSun"/>
        </w:rPr>
        <w:t>Q.</w:t>
      </w:r>
      <w:r w:rsidRPr="009075DC">
        <w:rPr>
          <w:rFonts w:eastAsia="SimSun"/>
        </w:rPr>
        <w:tab/>
      </w:r>
      <w:r>
        <w:rPr>
          <w:rFonts w:eastAsia="SimSun"/>
        </w:rPr>
        <w:t xml:space="preserve">Why </w:t>
      </w:r>
      <w:r w:rsidR="005B742D">
        <w:rPr>
          <w:rFonts w:eastAsia="SimSun"/>
        </w:rPr>
        <w:t>d</w:t>
      </w:r>
      <w:r w:rsidR="004D2A90">
        <w:rPr>
          <w:rFonts w:eastAsia="SimSun"/>
        </w:rPr>
        <w:t>o</w:t>
      </w:r>
      <w:r w:rsidR="005B742D">
        <w:rPr>
          <w:rFonts w:eastAsia="SimSun"/>
        </w:rPr>
        <w:t>n’t the proposed peak credit re</w:t>
      </w:r>
      <w:r w:rsidR="004D2A90">
        <w:rPr>
          <w:rFonts w:eastAsia="SimSun"/>
        </w:rPr>
        <w:t>sults in this case reflect this</w:t>
      </w:r>
      <w:r w:rsidR="005B742D">
        <w:rPr>
          <w:rFonts w:eastAsia="SimSun"/>
        </w:rPr>
        <w:t xml:space="preserve"> updated </w:t>
      </w:r>
      <w:r w:rsidR="004D2A90">
        <w:rPr>
          <w:rFonts w:eastAsia="SimSun"/>
        </w:rPr>
        <w:t>information</w:t>
      </w:r>
      <w:r>
        <w:rPr>
          <w:rFonts w:eastAsia="SimSun"/>
        </w:rPr>
        <w:t>?</w:t>
      </w:r>
    </w:p>
    <w:p w:rsidR="00166FE8" w:rsidRDefault="00166FE8" w:rsidP="00166FE8">
      <w:pPr>
        <w:pStyle w:val="answer"/>
        <w:widowControl w:val="0"/>
        <w:rPr>
          <w:rFonts w:eastAsia="SimSun"/>
        </w:rPr>
      </w:pPr>
      <w:r w:rsidRPr="009075DC">
        <w:rPr>
          <w:rFonts w:eastAsia="SimSun"/>
        </w:rPr>
        <w:t>A.</w:t>
      </w:r>
      <w:r w:rsidRPr="009075DC">
        <w:rPr>
          <w:rFonts w:eastAsia="SimSun"/>
        </w:rPr>
        <w:tab/>
      </w:r>
      <w:r>
        <w:rPr>
          <w:rFonts w:eastAsia="SimSun"/>
        </w:rPr>
        <w:t>Paragraph 10 in the</w:t>
      </w:r>
      <w:r w:rsidR="00C94219">
        <w:rPr>
          <w:rFonts w:eastAsia="SimSun"/>
        </w:rPr>
        <w:t xml:space="preserve"> Rate Design</w:t>
      </w:r>
      <w:r>
        <w:rPr>
          <w:rFonts w:eastAsia="SimSun"/>
        </w:rPr>
        <w:t xml:space="preserve"> Settlement states </w:t>
      </w:r>
      <w:r w:rsidR="00C94219">
        <w:rPr>
          <w:rFonts w:eastAsia="SimSun"/>
        </w:rPr>
        <w:t xml:space="preserve">that </w:t>
      </w:r>
      <w:r>
        <w:rPr>
          <w:rFonts w:eastAsia="SimSun"/>
        </w:rPr>
        <w:t xml:space="preserve">“PSE will adjust demand/energy cost allocation percentages to 25% demand and 75% energy.”  PSE is interpreting this language as preventing any other outcome.  </w:t>
      </w:r>
    </w:p>
    <w:p w:rsidR="00166FE8" w:rsidRPr="009075DC" w:rsidRDefault="00166FE8" w:rsidP="00166FE8">
      <w:pPr>
        <w:pStyle w:val="question"/>
        <w:widowControl w:val="0"/>
        <w:rPr>
          <w:rFonts w:eastAsia="SimSun"/>
        </w:rPr>
      </w:pPr>
      <w:r w:rsidRPr="009075DC">
        <w:rPr>
          <w:rFonts w:eastAsia="SimSun"/>
        </w:rPr>
        <w:t>Q.</w:t>
      </w:r>
      <w:r w:rsidRPr="009075DC">
        <w:rPr>
          <w:rFonts w:eastAsia="SimSun"/>
        </w:rPr>
        <w:tab/>
      </w:r>
      <w:r w:rsidR="00E32941">
        <w:rPr>
          <w:rFonts w:eastAsia="SimSun"/>
        </w:rPr>
        <w:t>Would it be appropriate to update the analysis in Exhibit No.___(JAP-</w:t>
      </w:r>
      <w:r w:rsidR="003B5556">
        <w:rPr>
          <w:rFonts w:eastAsia="SimSun"/>
        </w:rPr>
        <w:fldChar w:fldCharType="begin"/>
      </w:r>
      <w:r w:rsidR="003B5556">
        <w:rPr>
          <w:rFonts w:eastAsia="SimSun"/>
        </w:rPr>
        <w:instrText xml:space="preserve"> REF _Ref441672534 \r \h </w:instrText>
      </w:r>
      <w:r w:rsidR="003B5556">
        <w:rPr>
          <w:rFonts w:eastAsia="SimSun"/>
        </w:rPr>
      </w:r>
      <w:r w:rsidR="003B5556">
        <w:rPr>
          <w:rFonts w:eastAsia="SimSun"/>
        </w:rPr>
        <w:fldChar w:fldCharType="separate"/>
      </w:r>
      <w:r w:rsidR="0035666C">
        <w:rPr>
          <w:rFonts w:eastAsia="SimSun"/>
        </w:rPr>
        <w:t>5</w:t>
      </w:r>
      <w:r w:rsidR="003B5556">
        <w:rPr>
          <w:rFonts w:eastAsia="SimSun"/>
        </w:rPr>
        <w:fldChar w:fldCharType="end"/>
      </w:r>
      <w:r w:rsidR="00CE2DE2">
        <w:rPr>
          <w:rFonts w:eastAsia="SimSun"/>
        </w:rPr>
        <w:t>C</w:t>
      </w:r>
      <w:r w:rsidR="00E32941">
        <w:rPr>
          <w:rFonts w:eastAsia="SimSun"/>
        </w:rPr>
        <w:t xml:space="preserve">) to reflect more current data? </w:t>
      </w:r>
    </w:p>
    <w:p w:rsidR="00166FE8" w:rsidRDefault="00166FE8" w:rsidP="00166FE8">
      <w:pPr>
        <w:pStyle w:val="answer"/>
        <w:widowControl w:val="0"/>
        <w:rPr>
          <w:rFonts w:eastAsia="SimSun"/>
        </w:rPr>
      </w:pPr>
      <w:r w:rsidRPr="009075DC">
        <w:rPr>
          <w:rFonts w:eastAsia="SimSun"/>
        </w:rPr>
        <w:t>A.</w:t>
      </w:r>
      <w:r w:rsidRPr="009075DC">
        <w:rPr>
          <w:rFonts w:eastAsia="SimSun"/>
        </w:rPr>
        <w:tab/>
      </w:r>
      <w:r w:rsidR="00E32941">
        <w:rPr>
          <w:rFonts w:eastAsia="SimSun"/>
        </w:rPr>
        <w:t xml:space="preserve">Yes. While </w:t>
      </w:r>
      <w:r w:rsidR="0065388B">
        <w:rPr>
          <w:rFonts w:eastAsia="SimSun"/>
        </w:rPr>
        <w:t xml:space="preserve">PSE is willing to stand by this strict interpretation of the </w:t>
      </w:r>
      <w:r w:rsidR="00E32941">
        <w:rPr>
          <w:rFonts w:eastAsia="SimSun"/>
        </w:rPr>
        <w:t xml:space="preserve">Rate Design </w:t>
      </w:r>
      <w:r w:rsidR="0065388B">
        <w:rPr>
          <w:rFonts w:eastAsia="SimSun"/>
        </w:rPr>
        <w:t xml:space="preserve">Settlement, I believe it would be more appropriate to update the peak credit analysis </w:t>
      </w:r>
      <w:r w:rsidR="00E32941">
        <w:rPr>
          <w:rFonts w:eastAsia="SimSun"/>
        </w:rPr>
        <w:t xml:space="preserve">for purposes of this rate case </w:t>
      </w:r>
      <w:r w:rsidR="0065388B">
        <w:rPr>
          <w:rFonts w:eastAsia="SimSun"/>
        </w:rPr>
        <w:t>to reflect more current information</w:t>
      </w:r>
      <w:r w:rsidR="00C94219">
        <w:rPr>
          <w:rFonts w:eastAsia="SimSun"/>
        </w:rPr>
        <w:t xml:space="preserve"> than was used in Exhibit No.___(JAP-</w:t>
      </w:r>
      <w:r w:rsidR="003B5556">
        <w:rPr>
          <w:rFonts w:eastAsia="SimSun"/>
        </w:rPr>
        <w:fldChar w:fldCharType="begin"/>
      </w:r>
      <w:r w:rsidR="003B5556">
        <w:rPr>
          <w:rFonts w:eastAsia="SimSun"/>
        </w:rPr>
        <w:instrText xml:space="preserve"> REF _Ref441672534 \r \h </w:instrText>
      </w:r>
      <w:r w:rsidR="003B5556">
        <w:rPr>
          <w:rFonts w:eastAsia="SimSun"/>
        </w:rPr>
      </w:r>
      <w:r w:rsidR="003B5556">
        <w:rPr>
          <w:rFonts w:eastAsia="SimSun"/>
        </w:rPr>
        <w:fldChar w:fldCharType="separate"/>
      </w:r>
      <w:r w:rsidR="0035666C">
        <w:rPr>
          <w:rFonts w:eastAsia="SimSun"/>
        </w:rPr>
        <w:t>5</w:t>
      </w:r>
      <w:r w:rsidR="003B5556">
        <w:rPr>
          <w:rFonts w:eastAsia="SimSun"/>
        </w:rPr>
        <w:fldChar w:fldCharType="end"/>
      </w:r>
      <w:r w:rsidR="00CE2DE2">
        <w:rPr>
          <w:rFonts w:eastAsia="SimSun"/>
        </w:rPr>
        <w:t>C</w:t>
      </w:r>
      <w:r w:rsidR="00C94219">
        <w:rPr>
          <w:rFonts w:eastAsia="SimSun"/>
        </w:rPr>
        <w:t>)</w:t>
      </w:r>
      <w:r w:rsidRPr="009075DC">
        <w:rPr>
          <w:rFonts w:eastAsia="SimSun"/>
        </w:rPr>
        <w:t>.</w:t>
      </w:r>
      <w:r w:rsidR="0065388B">
        <w:rPr>
          <w:rFonts w:eastAsia="SimSun"/>
        </w:rPr>
        <w:t xml:space="preserve">  </w:t>
      </w:r>
      <w:r w:rsidR="00E32941">
        <w:rPr>
          <w:rFonts w:eastAsia="SimSun"/>
        </w:rPr>
        <w:t xml:space="preserve">Doing so would be consistent with </w:t>
      </w:r>
      <w:r w:rsidR="00FC2F39">
        <w:rPr>
          <w:rFonts w:eastAsia="SimSun"/>
        </w:rPr>
        <w:t>sound ratemaking practices, which are supportive of more</w:t>
      </w:r>
      <w:r w:rsidR="00E32941">
        <w:rPr>
          <w:rFonts w:eastAsia="SimSun"/>
        </w:rPr>
        <w:t xml:space="preserve"> current and accurate electric price signals.  It would also be consistent with the intent behind this portion of the Rate Design Settlement, which was to update the data used to perform PSE’s peak credit analysis to a period more current than was used in PSE’s 201</w:t>
      </w:r>
      <w:r w:rsidR="0010641D">
        <w:rPr>
          <w:rFonts w:eastAsia="SimSun"/>
        </w:rPr>
        <w:t>1</w:t>
      </w:r>
      <w:r w:rsidR="00E32941">
        <w:rPr>
          <w:rFonts w:eastAsia="SimSun"/>
        </w:rPr>
        <w:t xml:space="preserve"> GRC.</w:t>
      </w:r>
      <w:r w:rsidR="00E32941">
        <w:rPr>
          <w:rStyle w:val="FootnoteReference"/>
          <w:rFonts w:eastAsia="SimSun"/>
        </w:rPr>
        <w:footnoteReference w:id="9"/>
      </w:r>
    </w:p>
    <w:p w:rsidR="00C725AD" w:rsidRPr="009075DC" w:rsidRDefault="00C725AD" w:rsidP="00C725AD">
      <w:pPr>
        <w:pStyle w:val="question"/>
        <w:widowControl w:val="0"/>
        <w:rPr>
          <w:rFonts w:eastAsia="SimSun"/>
        </w:rPr>
      </w:pPr>
      <w:r w:rsidRPr="009075DC">
        <w:rPr>
          <w:rFonts w:eastAsia="SimSun"/>
        </w:rPr>
        <w:t>Q.</w:t>
      </w:r>
      <w:r w:rsidRPr="009075DC">
        <w:rPr>
          <w:rFonts w:eastAsia="SimSun"/>
        </w:rPr>
        <w:tab/>
        <w:t xml:space="preserve">What </w:t>
      </w:r>
      <w:r w:rsidR="0010641D">
        <w:rPr>
          <w:rFonts w:eastAsia="SimSun"/>
        </w:rPr>
        <w:t xml:space="preserve">would be </w:t>
      </w:r>
      <w:r w:rsidRPr="009075DC">
        <w:rPr>
          <w:rFonts w:eastAsia="SimSun"/>
        </w:rPr>
        <w:t>the result of the PSE’s peak credit calculation</w:t>
      </w:r>
      <w:r w:rsidR="0010641D">
        <w:rPr>
          <w:rFonts w:eastAsia="SimSun"/>
        </w:rPr>
        <w:t xml:space="preserve"> using more current data than provided in Exhibit No.___(JAP-</w:t>
      </w:r>
      <w:r w:rsidR="003B5556">
        <w:rPr>
          <w:rFonts w:eastAsia="SimSun"/>
        </w:rPr>
        <w:fldChar w:fldCharType="begin"/>
      </w:r>
      <w:r w:rsidR="003B5556">
        <w:rPr>
          <w:rFonts w:eastAsia="SimSun"/>
        </w:rPr>
        <w:instrText xml:space="preserve"> REF _Ref441672534 \r \h </w:instrText>
      </w:r>
      <w:r w:rsidR="003B5556">
        <w:rPr>
          <w:rFonts w:eastAsia="SimSun"/>
        </w:rPr>
      </w:r>
      <w:r w:rsidR="003B5556">
        <w:rPr>
          <w:rFonts w:eastAsia="SimSun"/>
        </w:rPr>
        <w:fldChar w:fldCharType="separate"/>
      </w:r>
      <w:r w:rsidR="0035666C">
        <w:rPr>
          <w:rFonts w:eastAsia="SimSun"/>
        </w:rPr>
        <w:t>5</w:t>
      </w:r>
      <w:r w:rsidR="003B5556">
        <w:rPr>
          <w:rFonts w:eastAsia="SimSun"/>
        </w:rPr>
        <w:fldChar w:fldCharType="end"/>
      </w:r>
      <w:r w:rsidR="00CE2DE2">
        <w:rPr>
          <w:rFonts w:eastAsia="SimSun"/>
        </w:rPr>
        <w:t>C</w:t>
      </w:r>
      <w:r w:rsidR="0010641D">
        <w:rPr>
          <w:rFonts w:eastAsia="SimSun"/>
        </w:rPr>
        <w:t>)</w:t>
      </w:r>
      <w:r w:rsidRPr="009075DC">
        <w:rPr>
          <w:rFonts w:eastAsia="SimSun"/>
        </w:rPr>
        <w:t>?</w:t>
      </w:r>
    </w:p>
    <w:p w:rsidR="00C725AD" w:rsidRPr="00C725AD" w:rsidRDefault="00C725AD" w:rsidP="00C725AD">
      <w:pPr>
        <w:pStyle w:val="question"/>
        <w:widowControl w:val="0"/>
        <w:rPr>
          <w:rFonts w:eastAsia="SimSun"/>
          <w:b w:val="0"/>
        </w:rPr>
      </w:pPr>
      <w:r w:rsidRPr="00C725AD">
        <w:rPr>
          <w:rFonts w:eastAsia="SimSun"/>
          <w:b w:val="0"/>
        </w:rPr>
        <w:lastRenderedPageBreak/>
        <w:t>A.</w:t>
      </w:r>
      <w:r w:rsidRPr="00C725AD">
        <w:rPr>
          <w:rFonts w:eastAsia="SimSun"/>
          <w:b w:val="0"/>
        </w:rPr>
        <w:tab/>
      </w:r>
      <w:r w:rsidR="0051596F">
        <w:rPr>
          <w:rFonts w:eastAsia="SimSun"/>
          <w:b w:val="0"/>
        </w:rPr>
        <w:t>U</w:t>
      </w:r>
      <w:r w:rsidR="00E557AC">
        <w:rPr>
          <w:rFonts w:eastAsia="SimSun"/>
          <w:b w:val="0"/>
        </w:rPr>
        <w:t>pdating</w:t>
      </w:r>
      <w:r w:rsidR="0051596F">
        <w:rPr>
          <w:rFonts w:eastAsia="SimSun"/>
          <w:b w:val="0"/>
        </w:rPr>
        <w:t xml:space="preserve"> </w:t>
      </w:r>
      <w:r w:rsidR="0051596F" w:rsidRPr="00C725AD">
        <w:rPr>
          <w:rFonts w:eastAsia="SimSun"/>
          <w:b w:val="0"/>
        </w:rPr>
        <w:t xml:space="preserve">the </w:t>
      </w:r>
      <w:r w:rsidR="0051596F">
        <w:rPr>
          <w:rFonts w:eastAsia="SimSun"/>
          <w:b w:val="0"/>
        </w:rPr>
        <w:t xml:space="preserve">calculations presented </w:t>
      </w:r>
      <w:r w:rsidR="0051596F" w:rsidRPr="00C725AD">
        <w:rPr>
          <w:rFonts w:eastAsia="SimSun"/>
          <w:b w:val="0"/>
        </w:rPr>
        <w:t xml:space="preserve">in </w:t>
      </w:r>
      <w:r w:rsidR="0051596F">
        <w:rPr>
          <w:rFonts w:eastAsia="SimSun"/>
          <w:b w:val="0"/>
        </w:rPr>
        <w:t>Exhibit No.___(JAP-</w:t>
      </w:r>
      <w:r w:rsidR="00630EAD">
        <w:rPr>
          <w:rFonts w:eastAsia="SimSun"/>
          <w:b w:val="0"/>
        </w:rPr>
        <w:fldChar w:fldCharType="begin"/>
      </w:r>
      <w:r w:rsidR="00630EAD">
        <w:rPr>
          <w:rFonts w:eastAsia="SimSun"/>
          <w:b w:val="0"/>
        </w:rPr>
        <w:instrText xml:space="preserve"> REF _Ref441672534 \r \h </w:instrText>
      </w:r>
      <w:r w:rsidR="00630EAD">
        <w:rPr>
          <w:rFonts w:eastAsia="SimSun"/>
          <w:b w:val="0"/>
        </w:rPr>
      </w:r>
      <w:r w:rsidR="00630EAD">
        <w:rPr>
          <w:rFonts w:eastAsia="SimSun"/>
          <w:b w:val="0"/>
        </w:rPr>
        <w:fldChar w:fldCharType="separate"/>
      </w:r>
      <w:r w:rsidR="0035666C">
        <w:rPr>
          <w:rFonts w:eastAsia="SimSun"/>
          <w:b w:val="0"/>
        </w:rPr>
        <w:t>5</w:t>
      </w:r>
      <w:r w:rsidR="00630EAD">
        <w:rPr>
          <w:rFonts w:eastAsia="SimSun"/>
          <w:b w:val="0"/>
        </w:rPr>
        <w:fldChar w:fldCharType="end"/>
      </w:r>
      <w:r w:rsidR="00CE2DE2">
        <w:rPr>
          <w:rFonts w:eastAsia="SimSun"/>
          <w:b w:val="0"/>
        </w:rPr>
        <w:t>C</w:t>
      </w:r>
      <w:r w:rsidR="0051596F">
        <w:rPr>
          <w:rFonts w:eastAsia="SimSun"/>
          <w:b w:val="0"/>
        </w:rPr>
        <w:t xml:space="preserve">) </w:t>
      </w:r>
      <w:r w:rsidR="00E557AC">
        <w:rPr>
          <w:rFonts w:eastAsia="SimSun"/>
          <w:b w:val="0"/>
        </w:rPr>
        <w:t xml:space="preserve">to be </w:t>
      </w:r>
      <w:r w:rsidRPr="00C725AD">
        <w:rPr>
          <w:rFonts w:eastAsia="SimSun"/>
          <w:b w:val="0"/>
        </w:rPr>
        <w:t xml:space="preserve">consistent with </w:t>
      </w:r>
      <w:r w:rsidR="0051596F">
        <w:rPr>
          <w:rFonts w:eastAsia="SimSun"/>
          <w:b w:val="0"/>
        </w:rPr>
        <w:t xml:space="preserve">the underlying assumptions being used in the development of </w:t>
      </w:r>
      <w:r w:rsidRPr="00C725AD">
        <w:rPr>
          <w:rFonts w:eastAsia="SimSun"/>
          <w:b w:val="0"/>
        </w:rPr>
        <w:t xml:space="preserve">PSE’s </w:t>
      </w:r>
      <w:r w:rsidR="0010641D">
        <w:rPr>
          <w:rFonts w:eastAsia="SimSun"/>
          <w:b w:val="0"/>
        </w:rPr>
        <w:t>201</w:t>
      </w:r>
      <w:r w:rsidR="0051596F">
        <w:rPr>
          <w:rFonts w:eastAsia="SimSun"/>
          <w:b w:val="0"/>
        </w:rPr>
        <w:t>7</w:t>
      </w:r>
      <w:r w:rsidR="0010641D">
        <w:rPr>
          <w:rFonts w:eastAsia="SimSun"/>
          <w:b w:val="0"/>
        </w:rPr>
        <w:t xml:space="preserve"> </w:t>
      </w:r>
      <w:r w:rsidRPr="00C725AD">
        <w:rPr>
          <w:rFonts w:eastAsia="SimSun"/>
          <w:b w:val="0"/>
        </w:rPr>
        <w:t xml:space="preserve">IRP </w:t>
      </w:r>
      <w:r w:rsidR="0010641D">
        <w:rPr>
          <w:rFonts w:eastAsia="SimSun"/>
          <w:b w:val="0"/>
        </w:rPr>
        <w:t>and the proposed rate of return in this rate case</w:t>
      </w:r>
      <w:r w:rsidRPr="00C725AD">
        <w:rPr>
          <w:rFonts w:eastAsia="SimSun"/>
          <w:b w:val="0"/>
        </w:rPr>
        <w:t xml:space="preserve">, the percent of production cost classified as demand </w:t>
      </w:r>
      <w:r w:rsidR="0010641D">
        <w:rPr>
          <w:rFonts w:eastAsia="SimSun"/>
          <w:b w:val="0"/>
        </w:rPr>
        <w:t xml:space="preserve">would be </w:t>
      </w:r>
      <w:r w:rsidR="0078337F">
        <w:rPr>
          <w:rFonts w:eastAsia="SimSun"/>
          <w:b w:val="0"/>
        </w:rPr>
        <w:t>18</w:t>
      </w:r>
      <w:r w:rsidR="0010641D">
        <w:rPr>
          <w:rFonts w:eastAsia="SimSun"/>
          <w:b w:val="0"/>
        </w:rPr>
        <w:t xml:space="preserve"> </w:t>
      </w:r>
      <w:r w:rsidRPr="00C725AD">
        <w:rPr>
          <w:rFonts w:eastAsia="SimSun"/>
          <w:b w:val="0"/>
        </w:rPr>
        <w:t xml:space="preserve">percent, with </w:t>
      </w:r>
      <w:r w:rsidR="0078337F">
        <w:rPr>
          <w:rFonts w:eastAsia="SimSun"/>
          <w:b w:val="0"/>
        </w:rPr>
        <w:t>82</w:t>
      </w:r>
      <w:r w:rsidRPr="00C725AD">
        <w:rPr>
          <w:rFonts w:eastAsia="SimSun"/>
          <w:b w:val="0"/>
        </w:rPr>
        <w:t xml:space="preserve"> percent classified as energy.  The derivation of these percentages is provided in Exhibit No. ___(JAP-</w:t>
      </w:r>
      <w:r w:rsidR="003B5556">
        <w:rPr>
          <w:rFonts w:eastAsia="SimSun"/>
          <w:b w:val="0"/>
        </w:rPr>
        <w:fldChar w:fldCharType="begin"/>
      </w:r>
      <w:r w:rsidR="003B5556">
        <w:rPr>
          <w:rFonts w:eastAsia="SimSun"/>
          <w:b w:val="0"/>
        </w:rPr>
        <w:instrText xml:space="preserve"> REF _Ref441672605 \r \h </w:instrText>
      </w:r>
      <w:r w:rsidR="003B5556">
        <w:rPr>
          <w:rFonts w:eastAsia="SimSun"/>
          <w:b w:val="0"/>
        </w:rPr>
      </w:r>
      <w:r w:rsidR="003B5556">
        <w:rPr>
          <w:rFonts w:eastAsia="SimSun"/>
          <w:b w:val="0"/>
        </w:rPr>
        <w:fldChar w:fldCharType="separate"/>
      </w:r>
      <w:r w:rsidR="0035666C">
        <w:rPr>
          <w:rFonts w:eastAsia="SimSun"/>
          <w:b w:val="0"/>
        </w:rPr>
        <w:t>6</w:t>
      </w:r>
      <w:r w:rsidR="003B5556">
        <w:rPr>
          <w:rFonts w:eastAsia="SimSun"/>
          <w:b w:val="0"/>
        </w:rPr>
        <w:fldChar w:fldCharType="end"/>
      </w:r>
      <w:r w:rsidRPr="00C725AD">
        <w:rPr>
          <w:rFonts w:eastAsia="SimSun"/>
          <w:b w:val="0"/>
        </w:rPr>
        <w:t>C).</w:t>
      </w:r>
      <w:r w:rsidR="00E557AC">
        <w:rPr>
          <w:rFonts w:eastAsia="SimSun"/>
          <w:b w:val="0"/>
        </w:rPr>
        <w:t xml:space="preserve">  </w:t>
      </w:r>
    </w:p>
    <w:p w:rsidR="00F8418D" w:rsidRPr="009075DC" w:rsidRDefault="00FC5841" w:rsidP="00F01467">
      <w:pPr>
        <w:pStyle w:val="Heading2"/>
        <w:keepNext w:val="0"/>
        <w:keepLines w:val="0"/>
        <w:widowControl w:val="0"/>
        <w:spacing w:before="240" w:after="240"/>
        <w:rPr>
          <w:rFonts w:eastAsia="SimSun"/>
        </w:rPr>
      </w:pPr>
      <w:bookmarkStart w:id="59" w:name="_Toc126675049"/>
      <w:bookmarkStart w:id="60" w:name="_Toc127023386"/>
      <w:bookmarkStart w:id="61" w:name="_Toc229277845"/>
      <w:bookmarkStart w:id="62" w:name="_Toc471912932"/>
      <w:r>
        <w:rPr>
          <w:rFonts w:eastAsia="SimSun"/>
          <w:u w:val="none"/>
        </w:rPr>
        <w:t>D</w:t>
      </w:r>
      <w:r w:rsidR="00F8418D" w:rsidRPr="009075DC">
        <w:rPr>
          <w:rFonts w:eastAsia="SimSun"/>
          <w:u w:val="none"/>
        </w:rPr>
        <w:t>.</w:t>
      </w:r>
      <w:r w:rsidR="00F8418D" w:rsidRPr="009075DC">
        <w:rPr>
          <w:rFonts w:eastAsia="SimSun"/>
          <w:u w:val="none"/>
        </w:rPr>
        <w:tab/>
      </w:r>
      <w:r w:rsidR="00F8418D" w:rsidRPr="009075DC">
        <w:rPr>
          <w:rFonts w:eastAsia="SimSun"/>
        </w:rPr>
        <w:t>Classification of Transmission Costs</w:t>
      </w:r>
      <w:bookmarkEnd w:id="59"/>
      <w:bookmarkEnd w:id="60"/>
      <w:bookmarkEnd w:id="61"/>
      <w:bookmarkEnd w:id="62"/>
    </w:p>
    <w:p w:rsidR="007D1FD1" w:rsidRPr="009075DC" w:rsidRDefault="007D1FD1" w:rsidP="007D1FD1">
      <w:pPr>
        <w:pStyle w:val="question"/>
        <w:widowControl w:val="0"/>
        <w:rPr>
          <w:rFonts w:eastAsia="SimSun"/>
        </w:rPr>
      </w:pPr>
      <w:r w:rsidRPr="009075DC">
        <w:rPr>
          <w:rFonts w:eastAsia="SimSun"/>
        </w:rPr>
        <w:t>Q.</w:t>
      </w:r>
      <w:r w:rsidRPr="009075DC">
        <w:rPr>
          <w:rFonts w:eastAsia="SimSun"/>
        </w:rPr>
        <w:tab/>
        <w:t>How are transmission costs classified in PSE’s electric cost of service study?</w:t>
      </w:r>
    </w:p>
    <w:p w:rsidR="007D1FD1" w:rsidRPr="009075DC" w:rsidRDefault="007D1FD1" w:rsidP="007D1FD1">
      <w:pPr>
        <w:pStyle w:val="answer"/>
        <w:widowControl w:val="0"/>
        <w:rPr>
          <w:rFonts w:eastAsia="SimSun"/>
        </w:rPr>
      </w:pPr>
      <w:r w:rsidRPr="009075DC">
        <w:rPr>
          <w:rFonts w:eastAsia="SimSun"/>
        </w:rPr>
        <w:t>A.</w:t>
      </w:r>
      <w:r w:rsidRPr="009075DC">
        <w:rPr>
          <w:rFonts w:eastAsia="SimSun"/>
        </w:rPr>
        <w:tab/>
        <w:t>PSE uses the peak credit method, described above, to classify transmission costs.  The peak credit percentages are applied to transmission costs under the theory that transmission lines are constructed to deliver the energy and capacity provided by generating plant, and in the same proportion as it is being provided.</w:t>
      </w:r>
    </w:p>
    <w:p w:rsidR="007D1FD1" w:rsidRPr="009075DC" w:rsidRDefault="007D1FD1" w:rsidP="007D1FD1">
      <w:pPr>
        <w:pStyle w:val="answer"/>
        <w:ind w:firstLine="0"/>
        <w:rPr>
          <w:rFonts w:eastAsia="SimSun"/>
        </w:rPr>
      </w:pPr>
      <w:r w:rsidRPr="009075DC">
        <w:rPr>
          <w:rFonts w:eastAsia="SimSun"/>
        </w:rPr>
        <w:t xml:space="preserve">Using the peak credit </w:t>
      </w:r>
      <w:r w:rsidR="00723BF3">
        <w:rPr>
          <w:rFonts w:eastAsia="SimSun"/>
        </w:rPr>
        <w:t>results discussed above</w:t>
      </w:r>
      <w:r w:rsidRPr="009075DC">
        <w:rPr>
          <w:rFonts w:eastAsia="SimSun"/>
        </w:rPr>
        <w:t xml:space="preserve">, </w:t>
      </w:r>
      <w:r w:rsidR="00723BF3">
        <w:rPr>
          <w:rFonts w:eastAsia="SimSun"/>
        </w:rPr>
        <w:t>25</w:t>
      </w:r>
      <w:r w:rsidRPr="009075DC">
        <w:rPr>
          <w:rFonts w:eastAsia="SimSun"/>
        </w:rPr>
        <w:t xml:space="preserve"> percent of transmission costs are classified as demand and </w:t>
      </w:r>
      <w:r w:rsidR="00723BF3">
        <w:rPr>
          <w:rFonts w:eastAsia="SimSun"/>
        </w:rPr>
        <w:t>75</w:t>
      </w:r>
      <w:r w:rsidRPr="009075DC">
        <w:rPr>
          <w:rFonts w:eastAsia="SimSun"/>
        </w:rPr>
        <w:t xml:space="preserve"> percent are classified as energy.  PSE also separately identifies transmission</w:t>
      </w:r>
      <w:r w:rsidR="005B2176">
        <w:rPr>
          <w:rFonts w:eastAsia="SimSun"/>
        </w:rPr>
        <w:t xml:space="preserve"> </w:t>
      </w:r>
      <w:r w:rsidRPr="009075DC">
        <w:rPr>
          <w:rFonts w:eastAsia="SimSun"/>
        </w:rPr>
        <w:t>related to generation-integration and other transmission before allocating costs to customer classes.</w:t>
      </w:r>
    </w:p>
    <w:p w:rsidR="007D1FD1" w:rsidRPr="009075DC" w:rsidRDefault="007D1FD1" w:rsidP="007D1FD1">
      <w:pPr>
        <w:pStyle w:val="question"/>
        <w:widowControl w:val="0"/>
        <w:rPr>
          <w:rFonts w:eastAsia="SimSun"/>
        </w:rPr>
      </w:pPr>
      <w:r w:rsidRPr="009075DC">
        <w:rPr>
          <w:rFonts w:eastAsia="SimSun"/>
        </w:rPr>
        <w:t>Q.</w:t>
      </w:r>
      <w:r w:rsidRPr="009075DC">
        <w:rPr>
          <w:rFonts w:eastAsia="SimSun"/>
        </w:rPr>
        <w:tab/>
        <w:t>Why does PSE distinguish between generation-integration transmission and other transmission?</w:t>
      </w:r>
    </w:p>
    <w:p w:rsidR="007D1FD1" w:rsidRPr="007D1FD1" w:rsidRDefault="007D1FD1" w:rsidP="007D1FD1">
      <w:pPr>
        <w:pStyle w:val="question"/>
        <w:widowControl w:val="0"/>
        <w:rPr>
          <w:rFonts w:eastAsia="SimSun"/>
          <w:b w:val="0"/>
        </w:rPr>
      </w:pPr>
      <w:r w:rsidRPr="007D1FD1">
        <w:rPr>
          <w:rFonts w:eastAsia="SimSun"/>
          <w:b w:val="0"/>
        </w:rPr>
        <w:t>A.</w:t>
      </w:r>
      <w:r w:rsidRPr="007D1FD1">
        <w:rPr>
          <w:rFonts w:eastAsia="SimSun"/>
          <w:b w:val="0"/>
        </w:rPr>
        <w:tab/>
        <w:t xml:space="preserve">Generation-integration transmission brings PSE’s remote generation to </w:t>
      </w:r>
      <w:r w:rsidR="00723BF3">
        <w:rPr>
          <w:rFonts w:eastAsia="SimSun"/>
          <w:b w:val="0"/>
        </w:rPr>
        <w:t xml:space="preserve">its </w:t>
      </w:r>
      <w:r w:rsidRPr="007D1FD1">
        <w:rPr>
          <w:rFonts w:eastAsia="SimSun"/>
          <w:b w:val="0"/>
        </w:rPr>
        <w:t xml:space="preserve">integrated transmission system.  </w:t>
      </w:r>
      <w:r w:rsidR="00723BF3">
        <w:rPr>
          <w:rFonts w:eastAsia="SimSun"/>
          <w:b w:val="0"/>
        </w:rPr>
        <w:t xml:space="preserve">PSE </w:t>
      </w:r>
      <w:r w:rsidRPr="007D1FD1">
        <w:rPr>
          <w:rFonts w:eastAsia="SimSun"/>
          <w:b w:val="0"/>
        </w:rPr>
        <w:t>segregate</w:t>
      </w:r>
      <w:r w:rsidR="00723BF3">
        <w:rPr>
          <w:rFonts w:eastAsia="SimSun"/>
          <w:b w:val="0"/>
        </w:rPr>
        <w:t>s</w:t>
      </w:r>
      <w:r w:rsidRPr="007D1FD1">
        <w:rPr>
          <w:rFonts w:eastAsia="SimSun"/>
          <w:b w:val="0"/>
        </w:rPr>
        <w:t xml:space="preserve"> the costs of generation-integration transmission from other transmission because customers in the Choice/Retail Wheeling class do not use PSE’s remote generation resources.  </w:t>
      </w:r>
      <w:r w:rsidRPr="007D1FD1">
        <w:rPr>
          <w:rFonts w:eastAsia="SimSun"/>
          <w:b w:val="0"/>
        </w:rPr>
        <w:lastRenderedPageBreak/>
        <w:t xml:space="preserve">Thus, it is appropriate to exclude these customers from the allocation of costs for transmission lines used for integration of remote resources.  However, </w:t>
      </w:r>
      <w:r w:rsidR="00CE526D">
        <w:rPr>
          <w:rFonts w:eastAsia="SimSun"/>
          <w:b w:val="0"/>
        </w:rPr>
        <w:t xml:space="preserve">this class </w:t>
      </w:r>
      <w:r w:rsidRPr="007D1FD1">
        <w:rPr>
          <w:rFonts w:eastAsia="SimSun"/>
          <w:b w:val="0"/>
        </w:rPr>
        <w:t>continue</w:t>
      </w:r>
      <w:r w:rsidR="00CE526D">
        <w:rPr>
          <w:rFonts w:eastAsia="SimSun"/>
          <w:b w:val="0"/>
        </w:rPr>
        <w:t>s</w:t>
      </w:r>
      <w:r w:rsidRPr="007D1FD1">
        <w:rPr>
          <w:rFonts w:eastAsia="SimSun"/>
          <w:b w:val="0"/>
        </w:rPr>
        <w:t xml:space="preserve"> to receive an allocation of PSE’s other transmission costs. </w:t>
      </w:r>
    </w:p>
    <w:p w:rsidR="00F8418D" w:rsidRPr="009075DC" w:rsidRDefault="00FC5841" w:rsidP="00F01467">
      <w:pPr>
        <w:pStyle w:val="Heading2"/>
        <w:keepNext w:val="0"/>
        <w:keepLines w:val="0"/>
        <w:widowControl w:val="0"/>
        <w:spacing w:before="240" w:after="240"/>
        <w:rPr>
          <w:rFonts w:eastAsia="SimSun"/>
        </w:rPr>
      </w:pPr>
      <w:bookmarkStart w:id="63" w:name="_Toc229277846"/>
      <w:bookmarkStart w:id="64" w:name="_Toc471912933"/>
      <w:bookmarkStart w:id="65" w:name="_Toc126675050"/>
      <w:bookmarkStart w:id="66" w:name="_Toc127023387"/>
      <w:bookmarkStart w:id="67" w:name="_Toc68357348"/>
      <w:bookmarkStart w:id="68" w:name="_Toc68715202"/>
      <w:r>
        <w:rPr>
          <w:rFonts w:eastAsia="SimSun"/>
          <w:u w:val="none"/>
        </w:rPr>
        <w:t>E</w:t>
      </w:r>
      <w:r w:rsidR="00F8418D" w:rsidRPr="009075DC">
        <w:rPr>
          <w:rFonts w:eastAsia="SimSun"/>
          <w:u w:val="none"/>
        </w:rPr>
        <w:t>.</w:t>
      </w:r>
      <w:r w:rsidR="00F8418D" w:rsidRPr="009075DC">
        <w:rPr>
          <w:rFonts w:eastAsia="SimSun"/>
          <w:u w:val="none"/>
        </w:rPr>
        <w:tab/>
      </w:r>
      <w:r w:rsidR="00F8418D" w:rsidRPr="009075DC">
        <w:rPr>
          <w:rFonts w:eastAsia="SimSun"/>
        </w:rPr>
        <w:t>Classification of Distribution Costs</w:t>
      </w:r>
      <w:bookmarkEnd w:id="63"/>
      <w:bookmarkEnd w:id="64"/>
    </w:p>
    <w:p w:rsidR="00723BF3" w:rsidRPr="009075DC" w:rsidRDefault="00723BF3" w:rsidP="00723BF3">
      <w:pPr>
        <w:pStyle w:val="question"/>
        <w:widowControl w:val="0"/>
        <w:rPr>
          <w:rFonts w:eastAsia="SimSun"/>
        </w:rPr>
      </w:pPr>
      <w:r w:rsidRPr="009075DC">
        <w:rPr>
          <w:rFonts w:eastAsia="SimSun"/>
        </w:rPr>
        <w:t>Q.</w:t>
      </w:r>
      <w:r w:rsidRPr="009075DC">
        <w:rPr>
          <w:rFonts w:eastAsia="SimSun"/>
        </w:rPr>
        <w:tab/>
        <w:t xml:space="preserve">How are distribution costs classified in PSE’s electric cost of service study?  </w:t>
      </w:r>
    </w:p>
    <w:p w:rsidR="00723BF3" w:rsidRPr="009075DC" w:rsidRDefault="00723BF3" w:rsidP="00723BF3">
      <w:pPr>
        <w:pStyle w:val="answer"/>
        <w:widowControl w:val="0"/>
        <w:rPr>
          <w:rFonts w:eastAsia="SimSun"/>
        </w:rPr>
      </w:pPr>
      <w:r w:rsidRPr="009075DC">
        <w:rPr>
          <w:rFonts w:eastAsia="SimSun"/>
        </w:rPr>
        <w:t>A.</w:t>
      </w:r>
      <w:r w:rsidRPr="009075DC">
        <w:rPr>
          <w:rFonts w:eastAsia="SimSun"/>
        </w:rPr>
        <w:tab/>
        <w:t xml:space="preserve">With three exceptions, all electric distribution costs are classified as demand-related. The three exceptions are the costs of meters, service lines and distribution line transformers.  These are classified as customer-related, as discussed in Sections G(2) and G(3).  </w:t>
      </w:r>
    </w:p>
    <w:p w:rsidR="00F8418D" w:rsidRPr="009075DC" w:rsidRDefault="00FC5841" w:rsidP="00F01467">
      <w:pPr>
        <w:pStyle w:val="Heading2"/>
        <w:keepNext w:val="0"/>
        <w:keepLines w:val="0"/>
        <w:widowControl w:val="0"/>
        <w:spacing w:before="240" w:after="240"/>
        <w:rPr>
          <w:rFonts w:eastAsia="SimSun"/>
        </w:rPr>
      </w:pPr>
      <w:bookmarkStart w:id="69" w:name="_Toc229277847"/>
      <w:bookmarkStart w:id="70" w:name="_Toc471912934"/>
      <w:r>
        <w:rPr>
          <w:rFonts w:eastAsia="SimSun"/>
          <w:u w:val="none"/>
        </w:rPr>
        <w:t>F</w:t>
      </w:r>
      <w:r w:rsidR="00F8418D" w:rsidRPr="009075DC">
        <w:rPr>
          <w:rFonts w:eastAsia="SimSun"/>
          <w:u w:val="none"/>
        </w:rPr>
        <w:t>.</w:t>
      </w:r>
      <w:r w:rsidR="00F8418D" w:rsidRPr="009075DC">
        <w:rPr>
          <w:rFonts w:eastAsia="SimSun"/>
          <w:u w:val="none"/>
        </w:rPr>
        <w:tab/>
      </w:r>
      <w:r w:rsidR="00F8418D" w:rsidRPr="009075DC">
        <w:rPr>
          <w:rFonts w:eastAsia="SimSun"/>
        </w:rPr>
        <w:t>Allocation of Production and Transmission Demand Costs</w:t>
      </w:r>
      <w:bookmarkEnd w:id="65"/>
      <w:bookmarkEnd w:id="66"/>
      <w:bookmarkEnd w:id="69"/>
      <w:bookmarkEnd w:id="70"/>
    </w:p>
    <w:p w:rsidR="00723BF3" w:rsidRPr="009075DC" w:rsidRDefault="00723BF3" w:rsidP="00723BF3">
      <w:pPr>
        <w:pStyle w:val="question"/>
        <w:widowControl w:val="0"/>
        <w:rPr>
          <w:rFonts w:eastAsia="SimSun"/>
        </w:rPr>
      </w:pPr>
      <w:r w:rsidRPr="009075DC">
        <w:rPr>
          <w:rFonts w:eastAsia="SimSun"/>
        </w:rPr>
        <w:t>Q.</w:t>
      </w:r>
      <w:r w:rsidRPr="009075DC">
        <w:rPr>
          <w:rFonts w:eastAsia="SimSun"/>
        </w:rPr>
        <w:tab/>
        <w:t xml:space="preserve">How are production and transmission demand costs allocated in PSE’s electric cost of service study?  </w:t>
      </w:r>
    </w:p>
    <w:p w:rsidR="00723BF3" w:rsidRPr="00723BF3" w:rsidRDefault="00723BF3" w:rsidP="00723BF3">
      <w:pPr>
        <w:pStyle w:val="question"/>
        <w:widowControl w:val="0"/>
        <w:rPr>
          <w:rFonts w:eastAsia="SimSun"/>
          <w:b w:val="0"/>
        </w:rPr>
      </w:pPr>
      <w:r w:rsidRPr="00723BF3">
        <w:rPr>
          <w:rFonts w:eastAsia="SimSun"/>
          <w:b w:val="0"/>
        </w:rPr>
        <w:t>A.</w:t>
      </w:r>
      <w:r w:rsidRPr="00723BF3">
        <w:rPr>
          <w:rFonts w:eastAsia="SimSun"/>
          <w:b w:val="0"/>
        </w:rPr>
        <w:tab/>
      </w:r>
      <w:r w:rsidR="00507A1B">
        <w:rPr>
          <w:rFonts w:eastAsia="SimSun"/>
          <w:b w:val="0"/>
        </w:rPr>
        <w:t>As noted earlier, PSE has changed the way it allocates demand-related production and transmission costs in this case.  In accordance with the Commission-approved Rate Design Settlement discussed earlier, PSE allocated these costs using a 4-CP allocator</w:t>
      </w:r>
      <w:r w:rsidR="00834814">
        <w:rPr>
          <w:rFonts w:eastAsia="SimSun"/>
          <w:b w:val="0"/>
        </w:rPr>
        <w:t xml:space="preserve">.  </w:t>
      </w:r>
      <w:r w:rsidR="00507A1B">
        <w:rPr>
          <w:rFonts w:eastAsia="SimSun"/>
          <w:b w:val="0"/>
        </w:rPr>
        <w:t>This was a change from PSE’s previous approach, which allocated costs</w:t>
      </w:r>
      <w:r w:rsidRPr="00723BF3">
        <w:rPr>
          <w:rFonts w:eastAsia="SimSun"/>
          <w:b w:val="0"/>
        </w:rPr>
        <w:t xml:space="preserve"> based on an average of hourly class loads that occurred coincident with the top 75 system hourly loads during the test year.  </w:t>
      </w:r>
    </w:p>
    <w:p w:rsidR="0026017D" w:rsidRPr="009075DC" w:rsidRDefault="0026017D" w:rsidP="00723BF3">
      <w:pPr>
        <w:pStyle w:val="question"/>
        <w:widowControl w:val="0"/>
        <w:rPr>
          <w:rFonts w:eastAsia="SimSun"/>
        </w:rPr>
      </w:pPr>
      <w:r w:rsidRPr="009075DC">
        <w:rPr>
          <w:rFonts w:eastAsia="SimSun"/>
        </w:rPr>
        <w:t>Q.</w:t>
      </w:r>
      <w:r w:rsidRPr="009075DC">
        <w:rPr>
          <w:rFonts w:eastAsia="SimSun"/>
        </w:rPr>
        <w:tab/>
      </w:r>
      <w:r w:rsidR="00507A1B">
        <w:rPr>
          <w:rFonts w:eastAsia="SimSun"/>
        </w:rPr>
        <w:t>Did the Commission endorse the use of this new allocation methodology beyond this rate case</w:t>
      </w:r>
      <w:r>
        <w:rPr>
          <w:rFonts w:eastAsia="SimSun"/>
        </w:rPr>
        <w:t>?</w:t>
      </w:r>
    </w:p>
    <w:p w:rsidR="0026017D" w:rsidRDefault="0026017D" w:rsidP="0026017D">
      <w:pPr>
        <w:pStyle w:val="answer"/>
        <w:widowControl w:val="0"/>
        <w:rPr>
          <w:rFonts w:eastAsia="SimSun"/>
        </w:rPr>
      </w:pPr>
      <w:r w:rsidRPr="009075DC">
        <w:rPr>
          <w:rFonts w:eastAsia="SimSun"/>
        </w:rPr>
        <w:t>A.</w:t>
      </w:r>
      <w:r w:rsidRPr="009075DC">
        <w:rPr>
          <w:rFonts w:eastAsia="SimSun"/>
        </w:rPr>
        <w:tab/>
      </w:r>
      <w:r w:rsidR="00507A1B">
        <w:rPr>
          <w:rFonts w:eastAsia="SimSun"/>
        </w:rPr>
        <w:t xml:space="preserve">No.  </w:t>
      </w:r>
      <w:r w:rsidR="006E5139">
        <w:rPr>
          <w:rFonts w:eastAsia="SimSun"/>
        </w:rPr>
        <w:t xml:space="preserve">The Commission only approved this allocation methodology for PSE’s </w:t>
      </w:r>
      <w:r w:rsidR="006E5139">
        <w:rPr>
          <w:rFonts w:eastAsia="SimSun"/>
        </w:rPr>
        <w:lastRenderedPageBreak/>
        <w:t>current rate case, with the expectation that this subject would be explored more thoroughly in the near future</w:t>
      </w:r>
      <w:r w:rsidRPr="009075DC">
        <w:rPr>
          <w:rFonts w:eastAsia="SimSun"/>
        </w:rPr>
        <w:t>.</w:t>
      </w:r>
      <w:r w:rsidR="006E5139">
        <w:rPr>
          <w:rFonts w:eastAsia="SimSun"/>
        </w:rPr>
        <w:t xml:space="preserve">  </w:t>
      </w:r>
    </w:p>
    <w:p w:rsidR="00F8418D" w:rsidRPr="009075DC" w:rsidRDefault="00FC5841" w:rsidP="00F01467">
      <w:pPr>
        <w:pStyle w:val="Heading2"/>
        <w:keepNext w:val="0"/>
        <w:keepLines w:val="0"/>
        <w:widowControl w:val="0"/>
        <w:rPr>
          <w:rFonts w:eastAsia="SimSun"/>
        </w:rPr>
      </w:pPr>
      <w:bookmarkStart w:id="71" w:name="_Toc126675051"/>
      <w:bookmarkStart w:id="72" w:name="_Toc127023388"/>
      <w:bookmarkStart w:id="73" w:name="_Toc229277848"/>
      <w:bookmarkStart w:id="74" w:name="_Toc471912935"/>
      <w:r>
        <w:rPr>
          <w:rFonts w:eastAsia="SimSun"/>
          <w:u w:val="none"/>
        </w:rPr>
        <w:t>G</w:t>
      </w:r>
      <w:r w:rsidR="00F8418D" w:rsidRPr="009075DC">
        <w:rPr>
          <w:rFonts w:eastAsia="SimSun"/>
          <w:u w:val="none"/>
        </w:rPr>
        <w:t>.</w:t>
      </w:r>
      <w:r w:rsidR="00F8418D" w:rsidRPr="009075DC">
        <w:rPr>
          <w:rFonts w:eastAsia="SimSun"/>
          <w:u w:val="none"/>
        </w:rPr>
        <w:tab/>
      </w:r>
      <w:r w:rsidR="00F8418D" w:rsidRPr="009075DC">
        <w:rPr>
          <w:rFonts w:eastAsia="SimSun"/>
        </w:rPr>
        <w:t>Allocation</w:t>
      </w:r>
      <w:bookmarkEnd w:id="67"/>
      <w:bookmarkEnd w:id="68"/>
      <w:bookmarkEnd w:id="71"/>
      <w:bookmarkEnd w:id="72"/>
      <w:r w:rsidR="00F8418D" w:rsidRPr="009075DC">
        <w:rPr>
          <w:rFonts w:eastAsia="SimSun"/>
        </w:rPr>
        <w:t xml:space="preserve"> of Distribution Costs</w:t>
      </w:r>
      <w:bookmarkEnd w:id="73"/>
      <w:bookmarkEnd w:id="74"/>
    </w:p>
    <w:p w:rsidR="00F8418D" w:rsidRPr="009075DC" w:rsidRDefault="00F8418D" w:rsidP="00F01467">
      <w:pPr>
        <w:pStyle w:val="Heading3"/>
        <w:keepNext w:val="0"/>
        <w:keepLines w:val="0"/>
        <w:widowControl w:val="0"/>
        <w:rPr>
          <w:rFonts w:eastAsia="SimSun"/>
        </w:rPr>
      </w:pPr>
      <w:bookmarkStart w:id="75" w:name="_Toc127023389"/>
      <w:bookmarkStart w:id="76" w:name="_Toc229277849"/>
      <w:bookmarkStart w:id="77" w:name="_Toc471912936"/>
      <w:r w:rsidRPr="009075DC">
        <w:rPr>
          <w:rFonts w:eastAsia="SimSun"/>
          <w:u w:val="none"/>
        </w:rPr>
        <w:t>1.</w:t>
      </w:r>
      <w:r w:rsidRPr="009075DC">
        <w:rPr>
          <w:rFonts w:eastAsia="SimSun"/>
          <w:u w:val="none"/>
        </w:rPr>
        <w:tab/>
      </w:r>
      <w:r w:rsidRPr="009075DC">
        <w:rPr>
          <w:rFonts w:eastAsia="SimSun"/>
        </w:rPr>
        <w:t>Distribution Substations and Feeder Costs</w:t>
      </w:r>
      <w:bookmarkEnd w:id="75"/>
      <w:bookmarkEnd w:id="76"/>
      <w:bookmarkEnd w:id="77"/>
    </w:p>
    <w:p w:rsidR="00550F70" w:rsidRPr="009075DC" w:rsidRDefault="00550F70" w:rsidP="00550F70">
      <w:pPr>
        <w:pStyle w:val="question"/>
        <w:widowControl w:val="0"/>
        <w:rPr>
          <w:rFonts w:eastAsia="SimSun"/>
        </w:rPr>
      </w:pPr>
      <w:r w:rsidRPr="009075DC">
        <w:rPr>
          <w:rFonts w:eastAsia="SimSun"/>
        </w:rPr>
        <w:t>Q.</w:t>
      </w:r>
      <w:r w:rsidRPr="009075DC">
        <w:rPr>
          <w:rFonts w:eastAsia="SimSun"/>
        </w:rPr>
        <w:tab/>
        <w:t>How does PSE allocate distribution substations and feeder costs in its cost of service study?</w:t>
      </w:r>
    </w:p>
    <w:p w:rsidR="00550F70" w:rsidRPr="009075DC" w:rsidRDefault="00550F70" w:rsidP="00550F70">
      <w:pPr>
        <w:pStyle w:val="answer"/>
        <w:widowControl w:val="0"/>
        <w:rPr>
          <w:rFonts w:eastAsia="SimSun"/>
        </w:rPr>
      </w:pPr>
      <w:r w:rsidRPr="009075DC">
        <w:rPr>
          <w:rFonts w:eastAsia="SimSun"/>
        </w:rPr>
        <w:t>A.</w:t>
      </w:r>
      <w:r w:rsidRPr="009075DC">
        <w:rPr>
          <w:rFonts w:eastAsia="SimSun"/>
        </w:rPr>
        <w:tab/>
        <w:t xml:space="preserve">Consistent with PSE’s past </w:t>
      </w:r>
      <w:r>
        <w:rPr>
          <w:rFonts w:eastAsia="SimSun"/>
        </w:rPr>
        <w:t>four</w:t>
      </w:r>
      <w:r w:rsidRPr="009075DC">
        <w:rPr>
          <w:rFonts w:eastAsia="SimSun"/>
        </w:rPr>
        <w:t xml:space="preserve"> general rate cases, PSE assigns the cost of distribution underground circuits, overhead circuits, and substations based upon allocation factors constructed from each class’s contribution to feeder and substation peak loads and the length of the distribution circuit.  These allocation factors are constructed from monthly energy and load factors for the twelve-month period ending </w:t>
      </w:r>
      <w:r>
        <w:rPr>
          <w:rFonts w:eastAsia="SimSun"/>
        </w:rPr>
        <w:t>September 201</w:t>
      </w:r>
      <w:r w:rsidR="002F0FE8">
        <w:rPr>
          <w:rFonts w:eastAsia="SimSun"/>
        </w:rPr>
        <w:t>6</w:t>
      </w:r>
      <w:r w:rsidRPr="009075DC">
        <w:rPr>
          <w:rFonts w:eastAsia="SimSun"/>
        </w:rPr>
        <w:t>.</w:t>
      </w:r>
    </w:p>
    <w:p w:rsidR="00550F70" w:rsidRPr="009075DC" w:rsidRDefault="00550F70" w:rsidP="00550F70">
      <w:pPr>
        <w:pStyle w:val="question"/>
        <w:widowControl w:val="0"/>
        <w:rPr>
          <w:rFonts w:eastAsia="SimSun"/>
        </w:rPr>
      </w:pPr>
      <w:r w:rsidRPr="009075DC">
        <w:rPr>
          <w:rFonts w:eastAsia="SimSun"/>
        </w:rPr>
        <w:t>Q.</w:t>
      </w:r>
      <w:r w:rsidRPr="009075DC">
        <w:rPr>
          <w:rFonts w:eastAsia="SimSun"/>
        </w:rPr>
        <w:tab/>
        <w:t>Would you please describe specifically how substation costs are allocated?</w:t>
      </w:r>
    </w:p>
    <w:p w:rsidR="00550F70" w:rsidRPr="009075DC" w:rsidRDefault="00550F70" w:rsidP="00550F70">
      <w:pPr>
        <w:pStyle w:val="answer"/>
        <w:widowControl w:val="0"/>
        <w:rPr>
          <w:rFonts w:eastAsia="SimSun"/>
        </w:rPr>
      </w:pPr>
      <w:r w:rsidRPr="009075DC">
        <w:rPr>
          <w:rFonts w:eastAsia="SimSun"/>
        </w:rPr>
        <w:t>A.</w:t>
      </w:r>
      <w:r w:rsidRPr="009075DC">
        <w:rPr>
          <w:rFonts w:eastAsia="SimSun"/>
        </w:rPr>
        <w:tab/>
        <w:t>For each month, each customer class’s contribution to the peaks of individual distribution substations, as a percent of those peaks, is calculated using the average hourly consumption of each class’s load on the substation, divided by the non-coincident peak ("NCP") load factor of that class in that month.  Each class’s contribution to the peak load on each individual substation is then averaged across the months of the year.  This average monthly contribution to each substation’s peak load is then multiplied by the booked cost of the individual substation in 201</w:t>
      </w:r>
      <w:r w:rsidR="00601B12">
        <w:rPr>
          <w:rFonts w:eastAsia="SimSun"/>
        </w:rPr>
        <w:t>6</w:t>
      </w:r>
      <w:r w:rsidRPr="009075DC">
        <w:rPr>
          <w:rFonts w:eastAsia="SimSun"/>
        </w:rPr>
        <w:t xml:space="preserve"> dollars to derive the allocated cost of each substation.  These allocated </w:t>
      </w:r>
      <w:r w:rsidRPr="009075DC">
        <w:rPr>
          <w:rFonts w:eastAsia="SimSun"/>
        </w:rPr>
        <w:lastRenderedPageBreak/>
        <w:t xml:space="preserve">substation costs are then summed by customer class and compared with PSE’s total substation investment in </w:t>
      </w:r>
      <w:r>
        <w:rPr>
          <w:rFonts w:eastAsia="SimSun"/>
        </w:rPr>
        <w:t>2</w:t>
      </w:r>
      <w:r w:rsidR="00A00A07">
        <w:rPr>
          <w:rFonts w:eastAsia="SimSun"/>
        </w:rPr>
        <w:t>01</w:t>
      </w:r>
      <w:r w:rsidR="00601B12">
        <w:rPr>
          <w:rFonts w:eastAsia="SimSun"/>
        </w:rPr>
        <w:t>6</w:t>
      </w:r>
      <w:r w:rsidRPr="009075DC">
        <w:rPr>
          <w:rFonts w:eastAsia="SimSun"/>
        </w:rPr>
        <w:t xml:space="preserve"> dollars to develop the substation cost allocations for </w:t>
      </w:r>
      <w:r w:rsidR="00F11FB9">
        <w:t>Federal Energy Regulatory Commission (“</w:t>
      </w:r>
      <w:r w:rsidRPr="009075DC">
        <w:rPr>
          <w:rFonts w:eastAsia="SimSun"/>
        </w:rPr>
        <w:t>FERC</w:t>
      </w:r>
      <w:r w:rsidR="00F11FB9">
        <w:rPr>
          <w:rFonts w:eastAsia="SimSun"/>
        </w:rPr>
        <w:t>”)</w:t>
      </w:r>
      <w:r w:rsidRPr="009075DC">
        <w:rPr>
          <w:rFonts w:eastAsia="SimSun"/>
        </w:rPr>
        <w:t xml:space="preserve"> Accounts 360-362.  </w:t>
      </w:r>
    </w:p>
    <w:p w:rsidR="00550F70" w:rsidRPr="009075DC" w:rsidRDefault="00550F70" w:rsidP="00550F70">
      <w:pPr>
        <w:pStyle w:val="question"/>
        <w:widowControl w:val="0"/>
        <w:rPr>
          <w:rFonts w:eastAsia="SimSun"/>
        </w:rPr>
      </w:pPr>
      <w:r w:rsidRPr="009075DC">
        <w:rPr>
          <w:rFonts w:eastAsia="SimSun"/>
        </w:rPr>
        <w:t>Q.</w:t>
      </w:r>
      <w:r w:rsidRPr="009075DC">
        <w:rPr>
          <w:rFonts w:eastAsia="SimSun"/>
        </w:rPr>
        <w:tab/>
        <w:t>How does PSE allocate distribution line costs?</w:t>
      </w:r>
    </w:p>
    <w:p w:rsidR="00550F70" w:rsidRPr="00550F70" w:rsidRDefault="00550F70" w:rsidP="00550F70">
      <w:pPr>
        <w:pStyle w:val="question"/>
        <w:widowControl w:val="0"/>
        <w:rPr>
          <w:rFonts w:eastAsia="SimSun"/>
          <w:b w:val="0"/>
        </w:rPr>
      </w:pPr>
      <w:r w:rsidRPr="00550F70">
        <w:rPr>
          <w:rFonts w:eastAsia="SimSun"/>
          <w:b w:val="0"/>
        </w:rPr>
        <w:t>A.</w:t>
      </w:r>
      <w:r w:rsidRPr="00550F70">
        <w:rPr>
          <w:rFonts w:eastAsia="SimSun"/>
          <w:b w:val="0"/>
        </w:rPr>
        <w:tab/>
        <w:t>PSE uses</w:t>
      </w:r>
      <w:r w:rsidR="00641675">
        <w:rPr>
          <w:rFonts w:eastAsia="SimSun"/>
          <w:b w:val="0"/>
        </w:rPr>
        <w:t xml:space="preserve"> customer information system (“CIS”) and geographic information system (“GIS”) </w:t>
      </w:r>
      <w:r w:rsidRPr="00550F70">
        <w:rPr>
          <w:rFonts w:eastAsia="SimSun"/>
          <w:b w:val="0"/>
        </w:rPr>
        <w:t>to associate each customer with a feeder.  Monthly NCP load factors are then used for each customer class to determine each class’s contribution to each feeder’s monthly NCP as a percent of each month’s peak on the feeder.  Each class’s contribution to monthly peak load on the feeder is multiplied by the number of overhead and underground miles on the feeder.  These load-weighted line miles are then added across all the feeders to develop the total load-weighted overhead and underground distribution line miles allocated to each class.  Allocation factors for overhead and underground lines are then developed by dividing the total load-weighted line miles attributable to each class by the total load-weighted line miles for all classes.  The overhead allocators are applied to FERC Accounts 364 and 365, and the underground allocators are applied to FERC Accounts 366 and 367.</w:t>
      </w:r>
    </w:p>
    <w:p w:rsidR="00F8418D" w:rsidRPr="009075DC" w:rsidRDefault="00F8418D" w:rsidP="00F01467">
      <w:pPr>
        <w:pStyle w:val="Heading3"/>
        <w:keepNext w:val="0"/>
        <w:keepLines w:val="0"/>
        <w:widowControl w:val="0"/>
        <w:rPr>
          <w:rFonts w:eastAsia="SimSun"/>
        </w:rPr>
      </w:pPr>
      <w:bookmarkStart w:id="78" w:name="_Toc127023390"/>
      <w:bookmarkStart w:id="79" w:name="_Toc229277850"/>
      <w:bookmarkStart w:id="80" w:name="_Toc471912937"/>
      <w:r w:rsidRPr="009075DC">
        <w:rPr>
          <w:rFonts w:eastAsia="SimSun"/>
          <w:u w:val="none"/>
        </w:rPr>
        <w:t>2.</w:t>
      </w:r>
      <w:r w:rsidRPr="009075DC">
        <w:rPr>
          <w:rFonts w:eastAsia="SimSun"/>
          <w:u w:val="none"/>
        </w:rPr>
        <w:tab/>
      </w:r>
      <w:r w:rsidRPr="009075DC">
        <w:rPr>
          <w:rFonts w:eastAsia="SimSun"/>
        </w:rPr>
        <w:t>Distribution Line Transformer Costs</w:t>
      </w:r>
      <w:bookmarkEnd w:id="78"/>
      <w:bookmarkEnd w:id="79"/>
      <w:bookmarkEnd w:id="80"/>
    </w:p>
    <w:p w:rsidR="00550F70" w:rsidRPr="009075DC" w:rsidRDefault="00550F70" w:rsidP="00550F70">
      <w:pPr>
        <w:pStyle w:val="question"/>
        <w:widowControl w:val="0"/>
        <w:rPr>
          <w:rFonts w:eastAsia="SimSun"/>
        </w:rPr>
      </w:pPr>
      <w:r w:rsidRPr="009075DC">
        <w:rPr>
          <w:rFonts w:eastAsia="SimSun"/>
        </w:rPr>
        <w:t>Q.</w:t>
      </w:r>
      <w:r w:rsidRPr="009075DC">
        <w:rPr>
          <w:rFonts w:eastAsia="SimSun"/>
        </w:rPr>
        <w:tab/>
        <w:t>How does PSE classify line transformer costs in its cost of service analysis in this case?</w:t>
      </w:r>
    </w:p>
    <w:p w:rsidR="00550F70" w:rsidRPr="009075DC" w:rsidRDefault="00550F70" w:rsidP="00550F70">
      <w:pPr>
        <w:pStyle w:val="answer"/>
        <w:widowControl w:val="0"/>
        <w:rPr>
          <w:rFonts w:eastAsia="SimSun"/>
        </w:rPr>
      </w:pPr>
      <w:r w:rsidRPr="009075DC">
        <w:rPr>
          <w:rFonts w:eastAsia="SimSun"/>
        </w:rPr>
        <w:lastRenderedPageBreak/>
        <w:t>A.</w:t>
      </w:r>
      <w:r w:rsidRPr="009075DC">
        <w:rPr>
          <w:rFonts w:eastAsia="SimSun"/>
        </w:rPr>
        <w:tab/>
        <w:t xml:space="preserve">As in PSE’s previous </w:t>
      </w:r>
      <w:r>
        <w:rPr>
          <w:rFonts w:eastAsia="SimSun"/>
        </w:rPr>
        <w:t xml:space="preserve">four </w:t>
      </w:r>
      <w:r w:rsidRPr="009075DC">
        <w:rPr>
          <w:rFonts w:eastAsia="SimSun"/>
        </w:rPr>
        <w:t>general rate cases, line transformer costs are classified as being customer-related.</w:t>
      </w:r>
    </w:p>
    <w:p w:rsidR="00550F70" w:rsidRPr="009075DC" w:rsidRDefault="00550F70" w:rsidP="00550F70">
      <w:pPr>
        <w:pStyle w:val="question"/>
        <w:widowControl w:val="0"/>
        <w:rPr>
          <w:rFonts w:eastAsia="SimSun"/>
        </w:rPr>
      </w:pPr>
      <w:r w:rsidRPr="009075DC">
        <w:rPr>
          <w:rFonts w:eastAsia="SimSun"/>
        </w:rPr>
        <w:t>Q.</w:t>
      </w:r>
      <w:r w:rsidRPr="009075DC">
        <w:rPr>
          <w:rFonts w:eastAsia="SimSun"/>
        </w:rPr>
        <w:tab/>
        <w:t>Why does PSE classify line transformer costs as a customer-related cost?</w:t>
      </w:r>
    </w:p>
    <w:p w:rsidR="00550F70" w:rsidRPr="009075DC" w:rsidRDefault="00550F70" w:rsidP="00550F70">
      <w:pPr>
        <w:pStyle w:val="answer"/>
        <w:widowControl w:val="0"/>
        <w:rPr>
          <w:rFonts w:eastAsia="SimSun"/>
        </w:rPr>
      </w:pPr>
      <w:r w:rsidRPr="009075DC">
        <w:rPr>
          <w:rFonts w:eastAsia="SimSun"/>
        </w:rPr>
        <w:t>A.</w:t>
      </w:r>
      <w:r w:rsidRPr="009075DC">
        <w:rPr>
          <w:rFonts w:eastAsia="SimSun"/>
        </w:rPr>
        <w:tab/>
        <w:t xml:space="preserve">PSE classifies line transformer costs as a customer-related cost because (1) transformer sizes are standardized, (2) line transformers are installed and sized specifically to serve a particular customer or group of customers, and (3) transformers are rarely re-sized for a particular customer or a group of customers.  Therefore, transformer costs are appropriately characterized as customer-related costs. </w:t>
      </w:r>
    </w:p>
    <w:p w:rsidR="00550F70" w:rsidRPr="009075DC" w:rsidRDefault="00550F70" w:rsidP="00550F70">
      <w:pPr>
        <w:pStyle w:val="question"/>
        <w:widowControl w:val="0"/>
        <w:rPr>
          <w:rFonts w:eastAsia="SimSun"/>
        </w:rPr>
      </w:pPr>
      <w:r w:rsidRPr="009075DC">
        <w:rPr>
          <w:rFonts w:eastAsia="SimSun"/>
        </w:rPr>
        <w:t>Q.</w:t>
      </w:r>
      <w:r w:rsidRPr="009075DC">
        <w:rPr>
          <w:rFonts w:eastAsia="SimSun"/>
        </w:rPr>
        <w:tab/>
        <w:t>Please describe how the line transformer cost allocation factor is developed.</w:t>
      </w:r>
    </w:p>
    <w:p w:rsidR="00550F70" w:rsidRDefault="00550F70" w:rsidP="00550F70">
      <w:pPr>
        <w:pStyle w:val="question"/>
        <w:widowControl w:val="0"/>
        <w:rPr>
          <w:rFonts w:eastAsia="SimSun"/>
          <w:b w:val="0"/>
        </w:rPr>
      </w:pPr>
      <w:r w:rsidRPr="004D2A90">
        <w:rPr>
          <w:rFonts w:ascii="Times New Roman" w:eastAsia="SimSun" w:hAnsi="Times New Roman"/>
          <w:b w:val="0"/>
        </w:rPr>
        <w:t>A.</w:t>
      </w:r>
      <w:r w:rsidRPr="004D2A90">
        <w:rPr>
          <w:rFonts w:ascii="Times New Roman" w:eastAsia="SimSun" w:hAnsi="Times New Roman"/>
          <w:b w:val="0"/>
        </w:rPr>
        <w:tab/>
        <w:t xml:space="preserve">The Company uses its </w:t>
      </w:r>
      <w:r w:rsidR="00641675" w:rsidRPr="004D2A90">
        <w:rPr>
          <w:rFonts w:ascii="Times New Roman" w:eastAsia="SimSun" w:hAnsi="Times New Roman"/>
          <w:b w:val="0"/>
        </w:rPr>
        <w:t xml:space="preserve">CIS and GIS </w:t>
      </w:r>
      <w:r w:rsidRPr="004D2A90">
        <w:rPr>
          <w:rFonts w:ascii="Times New Roman" w:eastAsia="SimSun" w:hAnsi="Times New Roman"/>
          <w:b w:val="0"/>
        </w:rPr>
        <w:t xml:space="preserve">to associate each line transformer with the customers using the transformer.  This results in allocating approximately </w:t>
      </w:r>
      <w:r w:rsidR="00CE526D" w:rsidRPr="004D2A90">
        <w:rPr>
          <w:rFonts w:ascii="Times New Roman" w:eastAsia="SimSun" w:hAnsi="Times New Roman"/>
          <w:b w:val="0"/>
        </w:rPr>
        <w:t>33</w:t>
      </w:r>
      <w:r w:rsidR="008E7D08" w:rsidRPr="004D2A90">
        <w:rPr>
          <w:rFonts w:ascii="Times New Roman" w:eastAsia="SimSun" w:hAnsi="Times New Roman"/>
          <w:b w:val="0"/>
        </w:rPr>
        <w:t>0</w:t>
      </w:r>
      <w:r w:rsidRPr="004D2A90">
        <w:rPr>
          <w:rFonts w:ascii="Times New Roman" w:eastAsia="SimSun" w:hAnsi="Times New Roman"/>
          <w:b w:val="0"/>
        </w:rPr>
        <w:t>,</w:t>
      </w:r>
      <w:r w:rsidR="008E7D08" w:rsidRPr="004D2A90">
        <w:rPr>
          <w:rFonts w:ascii="Times New Roman" w:eastAsia="SimSun" w:hAnsi="Times New Roman"/>
          <w:b w:val="0"/>
        </w:rPr>
        <w:t>55</w:t>
      </w:r>
      <w:r w:rsidRPr="004D2A90">
        <w:rPr>
          <w:rFonts w:ascii="Times New Roman" w:eastAsia="SimSun" w:hAnsi="Times New Roman"/>
          <w:b w:val="0"/>
        </w:rPr>
        <w:t>0 transformers to PSE’s different customer classes by type and size. The majority of line transformers are used by a single class and thus are directly assigned.  The remaining transformers are allocated to each class based upon the class’s relative contribution to the transformer’s load.  The transformers are priced at current costs, including installation, to determine each class’s contribution to embedded line transformer costs (FERC Account 368).  The embedded line transformer</w:t>
      </w:r>
      <w:r w:rsidRPr="00550F70">
        <w:rPr>
          <w:rFonts w:eastAsia="SimSun"/>
          <w:b w:val="0"/>
        </w:rPr>
        <w:t xml:space="preserve"> costs in the FERC account reflect PSE’s line extension policy and are reduced for customer contributions.</w:t>
      </w:r>
    </w:p>
    <w:p w:rsidR="008D428E" w:rsidRPr="008D428E" w:rsidRDefault="008D428E" w:rsidP="008D428E">
      <w:pPr>
        <w:pStyle w:val="answer"/>
        <w:rPr>
          <w:rFonts w:eastAsia="SimSun"/>
        </w:rPr>
      </w:pPr>
    </w:p>
    <w:p w:rsidR="00F8418D" w:rsidRPr="004D2A90" w:rsidRDefault="00F8418D" w:rsidP="004D2A90">
      <w:pPr>
        <w:pStyle w:val="Heading3"/>
        <w:keepNext w:val="0"/>
        <w:keepLines w:val="0"/>
        <w:widowControl w:val="0"/>
        <w:rPr>
          <w:rFonts w:eastAsia="SimSun"/>
          <w:u w:val="none"/>
        </w:rPr>
      </w:pPr>
      <w:bookmarkStart w:id="81" w:name="_Toc229277851"/>
      <w:bookmarkStart w:id="82" w:name="_Toc471912938"/>
      <w:r w:rsidRPr="009075DC">
        <w:rPr>
          <w:rFonts w:eastAsia="SimSun"/>
          <w:u w:val="none"/>
        </w:rPr>
        <w:lastRenderedPageBreak/>
        <w:t>3.</w:t>
      </w:r>
      <w:r w:rsidRPr="009075DC">
        <w:rPr>
          <w:rFonts w:eastAsia="SimSun"/>
          <w:u w:val="none"/>
        </w:rPr>
        <w:tab/>
      </w:r>
      <w:r w:rsidRPr="004D2A90">
        <w:rPr>
          <w:rFonts w:eastAsia="SimSun"/>
          <w:u w:val="none"/>
        </w:rPr>
        <w:t>Service Line and Meter Costs</w:t>
      </w:r>
      <w:bookmarkEnd w:id="81"/>
      <w:bookmarkEnd w:id="82"/>
    </w:p>
    <w:p w:rsidR="009517DD" w:rsidRPr="009075DC" w:rsidRDefault="009517DD" w:rsidP="009517DD">
      <w:pPr>
        <w:pStyle w:val="question"/>
        <w:widowControl w:val="0"/>
        <w:rPr>
          <w:rFonts w:eastAsia="SimSun"/>
        </w:rPr>
      </w:pPr>
      <w:r w:rsidRPr="009075DC">
        <w:rPr>
          <w:rFonts w:eastAsia="SimSun"/>
        </w:rPr>
        <w:t>Q.</w:t>
      </w:r>
      <w:r w:rsidRPr="009075DC">
        <w:rPr>
          <w:rFonts w:eastAsia="SimSun"/>
        </w:rPr>
        <w:tab/>
        <w:t>How are service line and meter costs allocated in PSE’s cost study?</w:t>
      </w:r>
    </w:p>
    <w:p w:rsidR="00F8418D" w:rsidRPr="009075DC" w:rsidRDefault="009517DD" w:rsidP="009517DD">
      <w:pPr>
        <w:pStyle w:val="answer"/>
        <w:widowControl w:val="0"/>
        <w:rPr>
          <w:rFonts w:eastAsia="SimSun"/>
        </w:rPr>
      </w:pPr>
      <w:r w:rsidRPr="009075DC">
        <w:rPr>
          <w:rFonts w:eastAsia="SimSun"/>
        </w:rPr>
        <w:t>A.</w:t>
      </w:r>
      <w:r w:rsidRPr="009075DC">
        <w:rPr>
          <w:rFonts w:eastAsia="SimSun"/>
        </w:rPr>
        <w:tab/>
        <w:t>Service line costs are allocated based on the number of customers taking service at secondary voltage.  Costs of all underground service lines are assigned to the residential class because non-residential secondary voltage customers own their underground services.  Costs of overhead service lines are allocated based on the number of secondary voltage overhead service customers in each class.  Meters are allocated based on the current cost of electric meters assigned to customers in each class relative to the current cost of all electric meters.</w:t>
      </w:r>
      <w:r w:rsidR="00F8418D" w:rsidRPr="009075DC">
        <w:rPr>
          <w:rFonts w:eastAsia="SimSun"/>
        </w:rPr>
        <w:t xml:space="preserve">  </w:t>
      </w:r>
    </w:p>
    <w:p w:rsidR="00F8418D" w:rsidRPr="009075DC" w:rsidRDefault="00FC5841" w:rsidP="00F01467">
      <w:pPr>
        <w:pStyle w:val="Heading2"/>
        <w:keepNext w:val="0"/>
        <w:keepLines w:val="0"/>
        <w:widowControl w:val="0"/>
        <w:spacing w:after="240"/>
        <w:rPr>
          <w:rFonts w:eastAsia="SimSun"/>
        </w:rPr>
      </w:pPr>
      <w:bookmarkStart w:id="83" w:name="_Toc68357349"/>
      <w:bookmarkStart w:id="84" w:name="_Toc126675052"/>
      <w:bookmarkStart w:id="85" w:name="_Toc127023391"/>
      <w:bookmarkStart w:id="86" w:name="_Toc229277852"/>
      <w:bookmarkStart w:id="87" w:name="_Toc471912939"/>
      <w:r>
        <w:rPr>
          <w:rFonts w:eastAsia="SimSun"/>
          <w:u w:val="none"/>
        </w:rPr>
        <w:t>H</w:t>
      </w:r>
      <w:r w:rsidR="00F8418D" w:rsidRPr="009075DC">
        <w:rPr>
          <w:rFonts w:eastAsia="SimSun"/>
          <w:u w:val="none"/>
        </w:rPr>
        <w:t>.</w:t>
      </w:r>
      <w:r w:rsidR="00F8418D" w:rsidRPr="009075DC">
        <w:rPr>
          <w:rFonts w:eastAsia="SimSun"/>
          <w:u w:val="none"/>
        </w:rPr>
        <w:tab/>
      </w:r>
      <w:r w:rsidR="00F8418D" w:rsidRPr="009075DC">
        <w:rPr>
          <w:rFonts w:eastAsia="SimSun"/>
        </w:rPr>
        <w:t>Administrative</w:t>
      </w:r>
      <w:r w:rsidR="00566656">
        <w:rPr>
          <w:rFonts w:eastAsia="SimSun"/>
        </w:rPr>
        <w:t>,</w:t>
      </w:r>
      <w:r w:rsidR="00F8418D" w:rsidRPr="009075DC">
        <w:rPr>
          <w:rFonts w:eastAsia="SimSun"/>
        </w:rPr>
        <w:t xml:space="preserve"> General and Other Cost Allocation Factors</w:t>
      </w:r>
      <w:bookmarkEnd w:id="83"/>
      <w:bookmarkEnd w:id="84"/>
      <w:bookmarkEnd w:id="85"/>
      <w:bookmarkEnd w:id="86"/>
      <w:bookmarkEnd w:id="87"/>
    </w:p>
    <w:p w:rsidR="007B105B" w:rsidRPr="009075DC" w:rsidRDefault="007B105B" w:rsidP="007B105B">
      <w:pPr>
        <w:pStyle w:val="question"/>
        <w:widowControl w:val="0"/>
        <w:rPr>
          <w:rFonts w:eastAsia="SimSun"/>
        </w:rPr>
      </w:pPr>
      <w:r w:rsidRPr="009075DC">
        <w:rPr>
          <w:rFonts w:eastAsia="SimSun"/>
        </w:rPr>
        <w:t>Q.</w:t>
      </w:r>
      <w:r w:rsidRPr="009075DC">
        <w:rPr>
          <w:rFonts w:eastAsia="SimSun"/>
        </w:rPr>
        <w:tab/>
        <w:t>How does PSE allocate administrative and general costs in its electric cost of service study?</w:t>
      </w:r>
    </w:p>
    <w:p w:rsidR="007B105B" w:rsidRPr="009075DC" w:rsidRDefault="007B105B" w:rsidP="007B105B">
      <w:pPr>
        <w:pStyle w:val="answer"/>
        <w:widowControl w:val="0"/>
        <w:rPr>
          <w:rFonts w:eastAsia="SimSun"/>
        </w:rPr>
      </w:pPr>
      <w:r w:rsidRPr="009075DC">
        <w:rPr>
          <w:rFonts w:eastAsia="SimSun"/>
        </w:rPr>
        <w:t>A.</w:t>
      </w:r>
      <w:r w:rsidRPr="009075DC">
        <w:rPr>
          <w:rFonts w:eastAsia="SimSun"/>
        </w:rPr>
        <w:tab/>
        <w:t>The majority of administrative and general costs are assigned based upon production, transmission, distribution, and customer costs.  Property insurance allocations are based upon allocated plant, and pensions and employee insurance follow the allocation of salary and wages.</w:t>
      </w:r>
    </w:p>
    <w:p w:rsidR="007B105B" w:rsidRPr="009075DC" w:rsidRDefault="007B105B" w:rsidP="007B105B">
      <w:pPr>
        <w:pStyle w:val="question"/>
        <w:widowControl w:val="0"/>
        <w:rPr>
          <w:rFonts w:eastAsia="SimSun"/>
        </w:rPr>
      </w:pPr>
      <w:r w:rsidRPr="009075DC">
        <w:rPr>
          <w:rFonts w:eastAsia="SimSun"/>
        </w:rPr>
        <w:t>Q.</w:t>
      </w:r>
      <w:r w:rsidRPr="009075DC">
        <w:rPr>
          <w:rFonts w:eastAsia="SimSun"/>
        </w:rPr>
        <w:tab/>
        <w:t>What other cost allocations does PSE use in its electric cost of service study?</w:t>
      </w:r>
    </w:p>
    <w:p w:rsidR="007B105B" w:rsidRPr="009075DC" w:rsidRDefault="007B105B" w:rsidP="007B105B">
      <w:pPr>
        <w:pStyle w:val="answer"/>
        <w:widowControl w:val="0"/>
        <w:rPr>
          <w:rFonts w:eastAsia="SimSun"/>
        </w:rPr>
      </w:pPr>
      <w:r w:rsidRPr="009075DC">
        <w:rPr>
          <w:rFonts w:eastAsia="SimSun"/>
        </w:rPr>
        <w:t>A.</w:t>
      </w:r>
      <w:r w:rsidRPr="009075DC">
        <w:rPr>
          <w:rFonts w:eastAsia="SimSun"/>
        </w:rPr>
        <w:tab/>
        <w:t>PSE reviews historical experience with late payments and assigns the costs to each class.  Other miscellaneous revenues associated with non-sufficient fund checks and reconnects are allocated to each class based upon a historical analysis of revenues received from these sources.</w:t>
      </w:r>
    </w:p>
    <w:p w:rsidR="007B105B" w:rsidRPr="009075DC" w:rsidRDefault="007B105B" w:rsidP="007B105B">
      <w:pPr>
        <w:pStyle w:val="question"/>
        <w:widowControl w:val="0"/>
        <w:rPr>
          <w:rFonts w:eastAsia="SimSun"/>
        </w:rPr>
      </w:pPr>
      <w:r w:rsidRPr="009075DC">
        <w:rPr>
          <w:rFonts w:eastAsia="SimSun"/>
        </w:rPr>
        <w:lastRenderedPageBreak/>
        <w:t>Q.</w:t>
      </w:r>
      <w:r w:rsidRPr="009075DC">
        <w:rPr>
          <w:rFonts w:eastAsia="SimSun"/>
        </w:rPr>
        <w:tab/>
        <w:t>Has PSE provided a summary of its electric cost of service study in this proceeding?</w:t>
      </w:r>
    </w:p>
    <w:p w:rsidR="007B105B" w:rsidRPr="009075DC" w:rsidRDefault="007B105B" w:rsidP="007B105B">
      <w:pPr>
        <w:pStyle w:val="answer"/>
        <w:widowControl w:val="0"/>
        <w:rPr>
          <w:rFonts w:eastAsia="SimSun"/>
        </w:rPr>
      </w:pPr>
      <w:r w:rsidRPr="009075DC">
        <w:rPr>
          <w:rFonts w:eastAsia="SimSun"/>
        </w:rPr>
        <w:t>A.</w:t>
      </w:r>
      <w:r w:rsidRPr="009075DC">
        <w:rPr>
          <w:rFonts w:eastAsia="SimSun"/>
        </w:rPr>
        <w:tab/>
        <w:t>Yes.  PSE’s proposed electric cost of service study</w:t>
      </w:r>
      <w:r w:rsidRPr="009075DC">
        <w:rPr>
          <w:rFonts w:eastAsia="SimSun"/>
          <w:b/>
          <w:bCs/>
        </w:rPr>
        <w:t xml:space="preserve"> </w:t>
      </w:r>
      <w:r w:rsidRPr="009075DC">
        <w:rPr>
          <w:rFonts w:eastAsia="SimSun"/>
        </w:rPr>
        <w:t>is summarized in Exhibit No. ___(JAP-</w:t>
      </w:r>
      <w:r w:rsidR="003B5556">
        <w:rPr>
          <w:rFonts w:eastAsia="SimSun"/>
        </w:rPr>
        <w:fldChar w:fldCharType="begin"/>
      </w:r>
      <w:r w:rsidR="003B5556">
        <w:rPr>
          <w:rFonts w:eastAsia="SimSun"/>
        </w:rPr>
        <w:instrText xml:space="preserve"> REF _Ref441672633 \r \h </w:instrText>
      </w:r>
      <w:r w:rsidR="003B5556">
        <w:rPr>
          <w:rFonts w:eastAsia="SimSun"/>
        </w:rPr>
      </w:r>
      <w:r w:rsidR="003B5556">
        <w:rPr>
          <w:rFonts w:eastAsia="SimSun"/>
        </w:rPr>
        <w:fldChar w:fldCharType="separate"/>
      </w:r>
      <w:r w:rsidR="0035666C">
        <w:rPr>
          <w:rFonts w:eastAsia="SimSun"/>
        </w:rPr>
        <w:t>7</w:t>
      </w:r>
      <w:r w:rsidR="003B5556">
        <w:rPr>
          <w:rFonts w:eastAsia="SimSun"/>
        </w:rPr>
        <w:fldChar w:fldCharType="end"/>
      </w:r>
      <w:r w:rsidRPr="009075DC">
        <w:rPr>
          <w:rFonts w:eastAsia="SimSun"/>
        </w:rPr>
        <w:t>).</w:t>
      </w:r>
    </w:p>
    <w:p w:rsidR="007816E1" w:rsidRDefault="007816E1" w:rsidP="007816E1">
      <w:pPr>
        <w:pStyle w:val="Heading1"/>
        <w:spacing w:line="240" w:lineRule="auto"/>
      </w:pPr>
      <w:bookmarkStart w:id="88" w:name="_Toc127352136"/>
      <w:bookmarkStart w:id="89" w:name="_Toc294362332"/>
      <w:bookmarkStart w:id="90" w:name="_Toc471912940"/>
      <w:r w:rsidRPr="003B5206">
        <w:t>V.</w:t>
      </w:r>
      <w:r w:rsidRPr="003B5206">
        <w:tab/>
        <w:t>PSE’S NATURAL GAS COST OF SERVICE STUDY</w:t>
      </w:r>
      <w:bookmarkEnd w:id="88"/>
      <w:bookmarkEnd w:id="89"/>
      <w:bookmarkEnd w:id="90"/>
    </w:p>
    <w:p w:rsidR="007816E1" w:rsidRPr="003B5206" w:rsidRDefault="007816E1" w:rsidP="007816E1">
      <w:pPr>
        <w:pStyle w:val="Heading2"/>
        <w:spacing w:before="240" w:after="320"/>
      </w:pPr>
      <w:bookmarkStart w:id="91" w:name="_Toc294362333"/>
      <w:bookmarkStart w:id="92" w:name="_Toc471912941"/>
      <w:r w:rsidRPr="003B5206">
        <w:rPr>
          <w:u w:val="none"/>
        </w:rPr>
        <w:t>A.</w:t>
      </w:r>
      <w:r w:rsidRPr="003B5206">
        <w:rPr>
          <w:u w:val="none"/>
        </w:rPr>
        <w:tab/>
      </w:r>
      <w:r w:rsidRPr="003B5206">
        <w:t>Previous Cost of Service Studies</w:t>
      </w:r>
      <w:bookmarkEnd w:id="91"/>
      <w:bookmarkEnd w:id="92"/>
    </w:p>
    <w:p w:rsidR="0026017D" w:rsidRPr="009075DC" w:rsidRDefault="0026017D" w:rsidP="0026017D">
      <w:pPr>
        <w:pStyle w:val="question"/>
        <w:widowControl w:val="0"/>
        <w:rPr>
          <w:rFonts w:eastAsia="SimSun"/>
        </w:rPr>
      </w:pPr>
      <w:r w:rsidRPr="009075DC">
        <w:rPr>
          <w:rFonts w:eastAsia="SimSun"/>
        </w:rPr>
        <w:t>Q.</w:t>
      </w:r>
      <w:r w:rsidRPr="009075DC">
        <w:rPr>
          <w:rFonts w:eastAsia="SimSun"/>
        </w:rPr>
        <w:tab/>
      </w:r>
      <w:r w:rsidR="00961E05">
        <w:t>Please identify all gas cost of service studies conducted by PSE in the last five years.</w:t>
      </w:r>
    </w:p>
    <w:p w:rsidR="00961E05" w:rsidRPr="009075DC" w:rsidRDefault="00961E05" w:rsidP="00961E05">
      <w:pPr>
        <w:pStyle w:val="answer"/>
        <w:widowControl w:val="0"/>
        <w:rPr>
          <w:rFonts w:eastAsia="SimSun"/>
        </w:rPr>
      </w:pPr>
      <w:r w:rsidRPr="009075DC">
        <w:rPr>
          <w:rFonts w:eastAsia="SimSun"/>
        </w:rPr>
        <w:t>A.</w:t>
      </w:r>
      <w:r w:rsidRPr="009075DC">
        <w:rPr>
          <w:rFonts w:eastAsia="SimSun"/>
        </w:rPr>
        <w:tab/>
      </w:r>
      <w:r>
        <w:rPr>
          <w:rFonts w:eastAsia="SimSun"/>
        </w:rPr>
        <w:t xml:space="preserve">Prior </w:t>
      </w:r>
      <w:r w:rsidRPr="009075DC">
        <w:rPr>
          <w:rFonts w:eastAsia="SimSun"/>
        </w:rPr>
        <w:t xml:space="preserve">to the </w:t>
      </w:r>
      <w:r>
        <w:rPr>
          <w:rFonts w:eastAsia="SimSun"/>
        </w:rPr>
        <w:t xml:space="preserve">gas </w:t>
      </w:r>
      <w:r w:rsidRPr="009075DC">
        <w:rPr>
          <w:rFonts w:eastAsia="SimSun"/>
        </w:rPr>
        <w:t xml:space="preserve">cost of service study conducted in this case, PSE </w:t>
      </w:r>
      <w:r>
        <w:rPr>
          <w:rFonts w:eastAsia="SimSun"/>
        </w:rPr>
        <w:t xml:space="preserve">last </w:t>
      </w:r>
      <w:r w:rsidRPr="009075DC">
        <w:rPr>
          <w:rFonts w:eastAsia="SimSun"/>
        </w:rPr>
        <w:t>conducted</w:t>
      </w:r>
      <w:r>
        <w:rPr>
          <w:rFonts w:eastAsia="SimSun"/>
        </w:rPr>
        <w:t xml:space="preserve"> a</w:t>
      </w:r>
      <w:r w:rsidRPr="009075DC">
        <w:rPr>
          <w:rFonts w:eastAsia="SimSun"/>
        </w:rPr>
        <w:t xml:space="preserve"> fully allocated embedded cost of service stud</w:t>
      </w:r>
      <w:r>
        <w:rPr>
          <w:rFonts w:eastAsia="SimSun"/>
        </w:rPr>
        <w:t xml:space="preserve">y </w:t>
      </w:r>
      <w:r w:rsidRPr="009075DC">
        <w:rPr>
          <w:rFonts w:eastAsia="SimSun"/>
        </w:rPr>
        <w:t xml:space="preserve">to support </w:t>
      </w:r>
      <w:r>
        <w:rPr>
          <w:rFonts w:eastAsia="SimSun"/>
        </w:rPr>
        <w:t>its</w:t>
      </w:r>
      <w:r w:rsidRPr="009075DC">
        <w:rPr>
          <w:rFonts w:eastAsia="SimSun"/>
        </w:rPr>
        <w:t xml:space="preserve"> </w:t>
      </w:r>
      <w:r>
        <w:rPr>
          <w:rFonts w:eastAsia="SimSun"/>
        </w:rPr>
        <w:t>2011 GRC</w:t>
      </w:r>
      <w:r w:rsidRPr="009075DC">
        <w:rPr>
          <w:rFonts w:eastAsia="SimSun"/>
        </w:rPr>
        <w:t>.</w:t>
      </w:r>
      <w:r w:rsidRPr="009075DC">
        <w:rPr>
          <w:rStyle w:val="FootnoteReference"/>
          <w:rFonts w:eastAsia="SimSun"/>
        </w:rPr>
        <w:footnoteReference w:id="10"/>
      </w:r>
      <w:r w:rsidRPr="009075DC">
        <w:rPr>
          <w:rFonts w:eastAsia="SimSun"/>
        </w:rPr>
        <w:t xml:space="preserve">  </w:t>
      </w:r>
    </w:p>
    <w:p w:rsidR="00961E05" w:rsidRPr="009075DC" w:rsidRDefault="00961E05" w:rsidP="00961E05">
      <w:pPr>
        <w:pStyle w:val="question"/>
        <w:widowControl w:val="0"/>
        <w:rPr>
          <w:rFonts w:eastAsia="SimSun"/>
        </w:rPr>
      </w:pPr>
      <w:r w:rsidRPr="009075DC">
        <w:rPr>
          <w:rFonts w:eastAsia="SimSun"/>
        </w:rPr>
        <w:t>Q.</w:t>
      </w:r>
      <w:r w:rsidRPr="009075DC">
        <w:rPr>
          <w:rFonts w:eastAsia="SimSun"/>
        </w:rPr>
        <w:tab/>
        <w:t>Please describe the methodology used in th</w:t>
      </w:r>
      <w:r>
        <w:rPr>
          <w:rFonts w:eastAsia="SimSun"/>
        </w:rPr>
        <w:t>e 2011 gas cost of service study</w:t>
      </w:r>
      <w:r w:rsidRPr="009075DC">
        <w:rPr>
          <w:rFonts w:eastAsia="SimSun"/>
        </w:rPr>
        <w:t>.</w:t>
      </w:r>
    </w:p>
    <w:p w:rsidR="00961E05" w:rsidRPr="00961E05" w:rsidRDefault="00961E05" w:rsidP="00961E05">
      <w:pPr>
        <w:pStyle w:val="question"/>
        <w:widowControl w:val="0"/>
        <w:rPr>
          <w:rFonts w:eastAsia="SimSun"/>
          <w:b w:val="0"/>
        </w:rPr>
      </w:pPr>
      <w:r w:rsidRPr="00961E05">
        <w:rPr>
          <w:rFonts w:eastAsia="SimSun"/>
          <w:b w:val="0"/>
        </w:rPr>
        <w:t>A.</w:t>
      </w:r>
      <w:r w:rsidRPr="00961E05">
        <w:rPr>
          <w:rFonts w:eastAsia="SimSun"/>
          <w:b w:val="0"/>
        </w:rPr>
        <w:tab/>
        <w:t xml:space="preserve">The 2011 </w:t>
      </w:r>
      <w:r>
        <w:rPr>
          <w:rFonts w:eastAsia="SimSun"/>
          <w:b w:val="0"/>
        </w:rPr>
        <w:t xml:space="preserve">gas </w:t>
      </w:r>
      <w:r w:rsidRPr="00961E05">
        <w:rPr>
          <w:rFonts w:eastAsia="SimSun"/>
          <w:b w:val="0"/>
        </w:rPr>
        <w:t>cost of service study used the same basic approach to functionalizing, classifying and allocating costs as is presented in the study supporting this 201</w:t>
      </w:r>
      <w:r w:rsidR="00BB75FC">
        <w:rPr>
          <w:rFonts w:eastAsia="SimSun"/>
          <w:b w:val="0"/>
        </w:rPr>
        <w:t>7</w:t>
      </w:r>
      <w:r w:rsidRPr="00961E05">
        <w:rPr>
          <w:rFonts w:eastAsia="SimSun"/>
          <w:b w:val="0"/>
        </w:rPr>
        <w:t xml:space="preserve"> filing.  </w:t>
      </w:r>
    </w:p>
    <w:p w:rsidR="007816E1" w:rsidRPr="003B5206" w:rsidRDefault="007816E1" w:rsidP="007816E1">
      <w:pPr>
        <w:pStyle w:val="Heading2"/>
        <w:spacing w:before="240" w:after="320"/>
      </w:pPr>
      <w:bookmarkStart w:id="93" w:name="_Toc294362334"/>
      <w:bookmarkStart w:id="94" w:name="_Toc471912942"/>
      <w:r w:rsidRPr="003B5206">
        <w:rPr>
          <w:u w:val="none"/>
        </w:rPr>
        <w:t>B.</w:t>
      </w:r>
      <w:r w:rsidRPr="003B5206">
        <w:rPr>
          <w:u w:val="none"/>
        </w:rPr>
        <w:tab/>
      </w:r>
      <w:r w:rsidRPr="003B5206">
        <w:t>Overview of PSE’s Proposed Gas Cost of Service Study</w:t>
      </w:r>
      <w:bookmarkEnd w:id="93"/>
      <w:bookmarkEnd w:id="94"/>
    </w:p>
    <w:p w:rsidR="006A3DBA" w:rsidRDefault="006A3DBA" w:rsidP="006A3DBA">
      <w:pPr>
        <w:pStyle w:val="question"/>
        <w:keepLines/>
        <w:widowControl w:val="0"/>
        <w:spacing w:before="120"/>
      </w:pPr>
      <w:r>
        <w:t>Q.</w:t>
      </w:r>
      <w:r>
        <w:tab/>
        <w:t>Why did PSE conduct its gas cost of service analysis both including and excluding gas commodity costs?</w:t>
      </w:r>
    </w:p>
    <w:p w:rsidR="006A3DBA" w:rsidRDefault="006A3DBA" w:rsidP="006A3DBA">
      <w:pPr>
        <w:pStyle w:val="answer"/>
        <w:widowControl w:val="0"/>
      </w:pPr>
      <w:r>
        <w:lastRenderedPageBreak/>
        <w:t>A.</w:t>
      </w:r>
      <w:r>
        <w:tab/>
        <w:t xml:space="preserve">PSE conducted the analysis both including and excluding gas commodity costs to ensure that the gas cost of service study is consistent with the total gas revenue requirement including gas costs presented in the testimony of </w:t>
      </w:r>
      <w:r w:rsidR="005775FE">
        <w:t>Susan E. Free</w:t>
      </w:r>
      <w:r>
        <w:t>, Exhibit No. ___(</w:t>
      </w:r>
      <w:r w:rsidR="005775FE">
        <w:t>SEF</w:t>
      </w:r>
      <w:r>
        <w:t>-1T), and to be consistent with past cases.  The study that includes gas costs is informational only</w:t>
      </w:r>
      <w:r w:rsidR="00FE41DF">
        <w:t xml:space="preserve"> in this filing</w:t>
      </w:r>
      <w:r>
        <w:t xml:space="preserve">, because PSE’s PGA mechanism addresses changes in commodity costs. </w:t>
      </w:r>
      <w:r w:rsidR="00FE41DF">
        <w:t>However, the gas demand cost allocation factors from this study will be used in the 201</w:t>
      </w:r>
      <w:r w:rsidR="005775FE">
        <w:t>8</w:t>
      </w:r>
      <w:r w:rsidR="00FE41DF">
        <w:t xml:space="preserve"> PGA filing.</w:t>
      </w:r>
      <w:r>
        <w:t xml:space="preserve"> This proceeding addresses the </w:t>
      </w:r>
      <w:r w:rsidR="006E7532">
        <w:t xml:space="preserve">gas </w:t>
      </w:r>
      <w:r>
        <w:t xml:space="preserve">revenue requirement deficiency that is caused by changes in costs </w:t>
      </w:r>
      <w:r>
        <w:rPr>
          <w:i/>
        </w:rPr>
        <w:t>other than</w:t>
      </w:r>
      <w:r>
        <w:t xml:space="preserve"> gas </w:t>
      </w:r>
      <w:r w:rsidR="006E7532">
        <w:t xml:space="preserve">commodity </w:t>
      </w:r>
      <w:r>
        <w:t>costs.  Unless otherwise noted, I will refer to the</w:t>
      </w:r>
      <w:r w:rsidR="006E7532">
        <w:t xml:space="preserve"> gas</w:t>
      </w:r>
      <w:r>
        <w:t xml:space="preserve"> cost of service analysis that excludes gas costs throughout the remainder of my testimony.</w:t>
      </w:r>
    </w:p>
    <w:p w:rsidR="006A3DBA" w:rsidRDefault="006A3DBA" w:rsidP="006A3DBA">
      <w:pPr>
        <w:pStyle w:val="question"/>
      </w:pPr>
      <w:r>
        <w:t>Q.</w:t>
      </w:r>
      <w:r>
        <w:tab/>
        <w:t xml:space="preserve">Have you prepared exhibits that present PSE’s </w:t>
      </w:r>
      <w:r w:rsidR="006E7532">
        <w:t xml:space="preserve">gas </w:t>
      </w:r>
      <w:r>
        <w:t>cost of service study for its natural gas service in this proceeding?</w:t>
      </w:r>
    </w:p>
    <w:p w:rsidR="006A3DBA" w:rsidRDefault="006A3DBA" w:rsidP="006A3DBA">
      <w:pPr>
        <w:pStyle w:val="answer"/>
        <w:widowControl w:val="0"/>
      </w:pPr>
      <w:r>
        <w:t>A.</w:t>
      </w:r>
      <w:r>
        <w:tab/>
        <w:t>Yes.  Exhibit No. </w:t>
      </w:r>
      <w:r>
        <w:rPr>
          <w:rStyle w:val="Strong"/>
          <w:b w:val="0"/>
        </w:rPr>
        <w:t>___(</w:t>
      </w:r>
      <w:r w:rsidR="006E7532">
        <w:t>JA</w:t>
      </w:r>
      <w:r>
        <w:t>P-</w:t>
      </w:r>
      <w:r w:rsidR="003B5556">
        <w:fldChar w:fldCharType="begin"/>
      </w:r>
      <w:r w:rsidR="003B5556">
        <w:instrText xml:space="preserve"> REF _Ref441672650 \r \h </w:instrText>
      </w:r>
      <w:r w:rsidR="003B5556">
        <w:fldChar w:fldCharType="separate"/>
      </w:r>
      <w:r w:rsidR="0035666C">
        <w:t>8</w:t>
      </w:r>
      <w:r w:rsidR="003B5556">
        <w:fldChar w:fldCharType="end"/>
      </w:r>
      <w:r>
        <w:t xml:space="preserve">) presents the summary results proposed in this proceeding, excluding gas costs. Exhibit No. </w:t>
      </w:r>
      <w:r>
        <w:rPr>
          <w:rStyle w:val="Strong"/>
          <w:b w:val="0"/>
        </w:rPr>
        <w:t>___(</w:t>
      </w:r>
      <w:r>
        <w:t>J</w:t>
      </w:r>
      <w:r w:rsidR="006E7532">
        <w:t>A</w:t>
      </w:r>
      <w:r>
        <w:t>P-</w:t>
      </w:r>
      <w:r w:rsidR="003B5556">
        <w:fldChar w:fldCharType="begin"/>
      </w:r>
      <w:r w:rsidR="003B5556">
        <w:instrText xml:space="preserve"> REF _Ref441672660 \r \h </w:instrText>
      </w:r>
      <w:r w:rsidR="003B5556">
        <w:fldChar w:fldCharType="separate"/>
      </w:r>
      <w:r w:rsidR="0035666C">
        <w:t>9</w:t>
      </w:r>
      <w:r w:rsidR="003B5556">
        <w:fldChar w:fldCharType="end"/>
      </w:r>
      <w:r>
        <w:t>), presents the summary results proposed in this proceeding, including gas costs.  Exhibit Nos. </w:t>
      </w:r>
      <w:r>
        <w:rPr>
          <w:rStyle w:val="Strong"/>
          <w:b w:val="0"/>
        </w:rPr>
        <w:t>___(</w:t>
      </w:r>
      <w:r>
        <w:t>J</w:t>
      </w:r>
      <w:r w:rsidR="006E7532">
        <w:t>A</w:t>
      </w:r>
      <w:r>
        <w:t>P-</w:t>
      </w:r>
      <w:r w:rsidR="003B5556">
        <w:fldChar w:fldCharType="begin"/>
      </w:r>
      <w:r w:rsidR="003B5556">
        <w:instrText xml:space="preserve"> REF _Ref441672669 \r \h </w:instrText>
      </w:r>
      <w:r w:rsidR="003B5556">
        <w:fldChar w:fldCharType="separate"/>
      </w:r>
      <w:r w:rsidR="0035666C">
        <w:t>10</w:t>
      </w:r>
      <w:r w:rsidR="003B5556">
        <w:fldChar w:fldCharType="end"/>
      </w:r>
      <w:r>
        <w:t xml:space="preserve">, </w:t>
      </w:r>
      <w:r w:rsidR="003B5556">
        <w:fldChar w:fldCharType="begin"/>
      </w:r>
      <w:r w:rsidR="003B5556">
        <w:instrText xml:space="preserve"> REF _Ref441672678 \r \h </w:instrText>
      </w:r>
      <w:r w:rsidR="003B5556">
        <w:fldChar w:fldCharType="separate"/>
      </w:r>
      <w:r w:rsidR="0035666C">
        <w:t>11</w:t>
      </w:r>
      <w:r w:rsidR="003B5556">
        <w:fldChar w:fldCharType="end"/>
      </w:r>
      <w:r>
        <w:t xml:space="preserve"> and </w:t>
      </w:r>
      <w:r w:rsidR="003B5556">
        <w:fldChar w:fldCharType="begin"/>
      </w:r>
      <w:r w:rsidR="003B5556">
        <w:instrText xml:space="preserve"> REF _Ref441672685 \r \h </w:instrText>
      </w:r>
      <w:r w:rsidR="003B5556">
        <w:fldChar w:fldCharType="separate"/>
      </w:r>
      <w:r w:rsidR="0035666C">
        <w:t>12</w:t>
      </w:r>
      <w:r w:rsidR="003B5556">
        <w:fldChar w:fldCharType="end"/>
      </w:r>
      <w:r>
        <w:t xml:space="preserve">), present supporting details of PSE’s proposed </w:t>
      </w:r>
      <w:r w:rsidR="006E7532">
        <w:t xml:space="preserve">gas cost of service </w:t>
      </w:r>
      <w:r>
        <w:t>study, including gas costs.</w:t>
      </w:r>
    </w:p>
    <w:p w:rsidR="006A3DBA" w:rsidRDefault="006A3DBA" w:rsidP="006A3DBA">
      <w:pPr>
        <w:pStyle w:val="question"/>
      </w:pPr>
      <w:r>
        <w:t>Q.</w:t>
      </w:r>
      <w:r>
        <w:tab/>
        <w:t xml:space="preserve">What model did PSE use for its </w:t>
      </w:r>
      <w:r w:rsidR="006E7532">
        <w:t xml:space="preserve">gas </w:t>
      </w:r>
      <w:r>
        <w:t>cost of service study?</w:t>
      </w:r>
    </w:p>
    <w:p w:rsidR="006A3DBA" w:rsidRPr="006A3DBA" w:rsidRDefault="006A3DBA" w:rsidP="006A3DBA">
      <w:pPr>
        <w:pStyle w:val="question"/>
        <w:widowControl w:val="0"/>
        <w:rPr>
          <w:b w:val="0"/>
        </w:rPr>
      </w:pPr>
      <w:r w:rsidRPr="006A3DBA">
        <w:rPr>
          <w:b w:val="0"/>
        </w:rPr>
        <w:t>A.</w:t>
      </w:r>
      <w:r w:rsidRPr="006A3DBA">
        <w:rPr>
          <w:b w:val="0"/>
        </w:rPr>
        <w:tab/>
        <w:t>PSE used the same model that it used in its 201</w:t>
      </w:r>
      <w:r w:rsidR="006E7532">
        <w:rPr>
          <w:b w:val="0"/>
        </w:rPr>
        <w:t>1</w:t>
      </w:r>
      <w:r w:rsidRPr="006A3DBA">
        <w:rPr>
          <w:b w:val="0"/>
        </w:rPr>
        <w:t xml:space="preserve"> </w:t>
      </w:r>
      <w:r w:rsidR="006E7532">
        <w:rPr>
          <w:b w:val="0"/>
        </w:rPr>
        <w:t>GRC</w:t>
      </w:r>
      <w:r w:rsidRPr="006A3DBA">
        <w:rPr>
          <w:b w:val="0"/>
        </w:rPr>
        <w:t>.</w:t>
      </w:r>
      <w:r w:rsidR="005775FE">
        <w:rPr>
          <w:b w:val="0"/>
        </w:rPr>
        <w:t xml:space="preserve">  This model was originally developed for PSE by Navigant Consulting, Inc. for its 2006 GRC.</w:t>
      </w:r>
    </w:p>
    <w:p w:rsidR="007816E1" w:rsidRPr="003B5206" w:rsidRDefault="007816E1" w:rsidP="007816E1">
      <w:pPr>
        <w:pStyle w:val="Heading2"/>
        <w:spacing w:before="240" w:after="320"/>
      </w:pPr>
      <w:bookmarkStart w:id="95" w:name="_Toc294362335"/>
      <w:bookmarkStart w:id="96" w:name="_Toc471912943"/>
      <w:r w:rsidRPr="003B5206">
        <w:rPr>
          <w:u w:val="none"/>
        </w:rPr>
        <w:lastRenderedPageBreak/>
        <w:t>C.</w:t>
      </w:r>
      <w:r w:rsidRPr="003B5206">
        <w:rPr>
          <w:u w:val="none"/>
        </w:rPr>
        <w:tab/>
      </w:r>
      <w:r w:rsidRPr="003B5206">
        <w:t xml:space="preserve">Peak and Energy </w:t>
      </w:r>
      <w:r w:rsidR="006E7532">
        <w:t xml:space="preserve">Gas </w:t>
      </w:r>
      <w:r w:rsidRPr="003B5206">
        <w:t>Allocation Factors</w:t>
      </w:r>
      <w:bookmarkEnd w:id="95"/>
      <w:bookmarkEnd w:id="96"/>
    </w:p>
    <w:p w:rsidR="006E7532" w:rsidRDefault="006E7532" w:rsidP="006E7532">
      <w:pPr>
        <w:pStyle w:val="question"/>
        <w:keepLines/>
        <w:widowControl w:val="0"/>
        <w:spacing w:before="120"/>
      </w:pPr>
      <w:r>
        <w:t>Q.</w:t>
      </w:r>
      <w:r>
        <w:tab/>
        <w:t>What was the basis for allocating gas commodity costs?</w:t>
      </w:r>
    </w:p>
    <w:p w:rsidR="006E7532" w:rsidRDefault="006E7532" w:rsidP="006E7532">
      <w:pPr>
        <w:pStyle w:val="answer"/>
        <w:widowControl w:val="0"/>
      </w:pPr>
      <w:r>
        <w:t>A.</w:t>
      </w:r>
      <w:r>
        <w:tab/>
        <w:t>PSE used weather-normalized natural gas volume for the test year, which was developed for the calculation of pro forma gas revenue and is discussed earlier in my testimony.</w:t>
      </w:r>
    </w:p>
    <w:p w:rsidR="006E7532" w:rsidRDefault="006E7532" w:rsidP="006E7532">
      <w:pPr>
        <w:pStyle w:val="question"/>
        <w:keepLines/>
        <w:widowControl w:val="0"/>
        <w:spacing w:before="120"/>
      </w:pPr>
      <w:r>
        <w:t>Q.</w:t>
      </w:r>
      <w:r>
        <w:tab/>
        <w:t>How did PSE develop the peak demand allocator for demand-related gas costs?</w:t>
      </w:r>
    </w:p>
    <w:p w:rsidR="006E7532" w:rsidRDefault="006E7532" w:rsidP="006E7532">
      <w:pPr>
        <w:pStyle w:val="answer"/>
        <w:widowControl w:val="0"/>
      </w:pPr>
      <w:r>
        <w:t>A.</w:t>
      </w:r>
      <w:r>
        <w:tab/>
        <w:t>PSE used the system design day to develop its peak demand allocator.  The gas system design day is based on 52 heating degree days ("HDD"), as explained in PSE’s 2015 Integrated Resource Plan.</w:t>
      </w:r>
      <w:r>
        <w:rPr>
          <w:rStyle w:val="FootnoteReference"/>
        </w:rPr>
        <w:footnoteReference w:id="11"/>
      </w:r>
      <w:r>
        <w:t xml:space="preserve">  In broad terms, peak gas requirements include the firm loads of sales and transportation customers.  To estimate the total gas peak demand of customers on firm sales schedules, PSE</w:t>
      </w:r>
      <w:r w:rsidR="003644BA">
        <w:t xml:space="preserve">’s Load Forecasting </w:t>
      </w:r>
      <w:r w:rsidR="00DF20AA">
        <w:t>G</w:t>
      </w:r>
      <w:r w:rsidR="003644BA">
        <w:t>roup</w:t>
      </w:r>
      <w:r>
        <w:t xml:space="preserve"> developed regression equations to characterize the relationship between firm peak loads and monthly firm gas volume considering the difference between peak and monthly temperatures.  The total peak </w:t>
      </w:r>
      <w:r w:rsidR="00B56E59">
        <w:t xml:space="preserve">gas </w:t>
      </w:r>
      <w:r>
        <w:t xml:space="preserve">demand of customers on firm sales schedules was then estimated using the estimated regression coefficients, the system design day of 52 HDD and weather normalized throughput for the test period.  The transportation and interruptible sales customers’ peak was equal to either those customers’ contract demands (for Schedules 85, 85T, 86, 86T, 87, 87T, and contracts), which represent the firm </w:t>
      </w:r>
      <w:r w:rsidR="00B56E59">
        <w:t xml:space="preserve">gas </w:t>
      </w:r>
      <w:r>
        <w:t xml:space="preserve">demand PSE is obligated to </w:t>
      </w:r>
      <w:r>
        <w:lastRenderedPageBreak/>
        <w:t xml:space="preserve">serve, or their fixed demand (for Schedule 41T), which is established annually and billed every month.  The total </w:t>
      </w:r>
      <w:r w:rsidR="00B56E59">
        <w:t xml:space="preserve">gas </w:t>
      </w:r>
      <w:r>
        <w:t>system peak was the sum of the peak demand of</w:t>
      </w:r>
      <w:r w:rsidR="00B56E59">
        <w:t xml:space="preserve"> gas</w:t>
      </w:r>
      <w:r>
        <w:t xml:space="preserve"> customers on firm schedules and the contract or fixed demands of customers on transportation or interruptible sales schedules. </w:t>
      </w:r>
    </w:p>
    <w:p w:rsidR="006E7532" w:rsidRDefault="006E7532" w:rsidP="006E7532">
      <w:pPr>
        <w:pStyle w:val="question"/>
        <w:keepLines/>
        <w:widowControl w:val="0"/>
        <w:spacing w:before="120"/>
      </w:pPr>
      <w:r>
        <w:t>Q.</w:t>
      </w:r>
      <w:r>
        <w:tab/>
        <w:t xml:space="preserve">How was the </w:t>
      </w:r>
      <w:r w:rsidR="00B56E59">
        <w:t xml:space="preserve">gas </w:t>
      </w:r>
      <w:r>
        <w:t>peak allocation factor for firm sales schedules developed at the customer class level?</w:t>
      </w:r>
    </w:p>
    <w:p w:rsidR="006E7532" w:rsidRDefault="006E7532" w:rsidP="006E7532">
      <w:pPr>
        <w:pStyle w:val="answer"/>
        <w:widowControl w:val="0"/>
      </w:pPr>
      <w:r>
        <w:t>A.</w:t>
      </w:r>
      <w:r>
        <w:tab/>
        <w:t xml:space="preserve">The firm sales component of the </w:t>
      </w:r>
      <w:r w:rsidR="00B56E59">
        <w:t xml:space="preserve">gas </w:t>
      </w:r>
      <w:r>
        <w:t xml:space="preserve">peak demand allocation factor described above was allocated to </w:t>
      </w:r>
      <w:r w:rsidR="00B56E59">
        <w:t xml:space="preserve">gas </w:t>
      </w:r>
      <w:r>
        <w:t xml:space="preserve">Schedules 16, 23, 31, 53, and 41 based on a combination of fixed demands and consumption in the peak month of the test year.  </w:t>
      </w:r>
      <w:r w:rsidR="00B56E59">
        <w:t xml:space="preserve">Gas </w:t>
      </w:r>
      <w:r>
        <w:t xml:space="preserve">Schedule 41 customers have fixed demands that are established annually, based on the customers’ usage in the system peak month, and billed every month.  These fixed demands were used to estimate Schedule 41 customers’ contribution to the system peak.  Of the total </w:t>
      </w:r>
      <w:r w:rsidR="00B56E59">
        <w:t xml:space="preserve">gas </w:t>
      </w:r>
      <w:r>
        <w:t xml:space="preserve">peak of firm sales schedules, the portion not assigned to Schedule 41 based on those customers’ fixed demands was allocated between Schedules 16, 23 and 53 (Residential and Propane) and Schedule 31 (Commercial and Industrial), based on those schedules’ actual volume during the peak month in the test year. </w:t>
      </w:r>
    </w:p>
    <w:p w:rsidR="006E7532" w:rsidRDefault="006E7532" w:rsidP="006E7532">
      <w:pPr>
        <w:pStyle w:val="question"/>
        <w:keepLines/>
        <w:widowControl w:val="0"/>
        <w:spacing w:before="120"/>
      </w:pPr>
      <w:r>
        <w:t>Q.</w:t>
      </w:r>
      <w:r>
        <w:tab/>
        <w:t>Why did PSE use only the contract demands of interruptible customers?</w:t>
      </w:r>
    </w:p>
    <w:p w:rsidR="006E7532" w:rsidRDefault="006E7532" w:rsidP="006E7532">
      <w:pPr>
        <w:pStyle w:val="answer"/>
        <w:widowControl w:val="0"/>
      </w:pPr>
      <w:r>
        <w:t>A.</w:t>
      </w:r>
      <w:r>
        <w:tab/>
        <w:t xml:space="preserve">PSE’s interruptible gas rate schedules currently allow customers to take firm service under the same schedule.  Contract demands represent those customers’ firm load on these interruptible schedules, and any use in excess of their contract demand is interruptible.  PSE’s system is designed to serve firm load.  Capacity </w:t>
      </w:r>
      <w:r>
        <w:lastRenderedPageBreak/>
        <w:t xml:space="preserve">projects are undertaken for the purpose of serving firm loads, not interruptible loads, so allocating </w:t>
      </w:r>
      <w:r w:rsidR="00B56E59">
        <w:t xml:space="preserve">gas </w:t>
      </w:r>
      <w:r>
        <w:t xml:space="preserve">peak-related costs to interruptible customers based on interruptible loads would not be consistent with the way </w:t>
      </w:r>
      <w:r w:rsidR="00B56E59">
        <w:t xml:space="preserve">gas </w:t>
      </w:r>
      <w:r>
        <w:t xml:space="preserve">costs are incurred by PSE.  PSE’s </w:t>
      </w:r>
      <w:r w:rsidR="00B56E59">
        <w:t xml:space="preserve">gas </w:t>
      </w:r>
      <w:r>
        <w:t xml:space="preserve">system capacity planning relies on design day weather conditions, when all interruptible </w:t>
      </w:r>
      <w:r w:rsidR="00B56E59">
        <w:t xml:space="preserve">gas </w:t>
      </w:r>
      <w:r>
        <w:t xml:space="preserve">loads of transportation and sales customers are assumed to be curtailed, to ensure that PSE is able to serve its firm load.  Many interruptible </w:t>
      </w:r>
      <w:r w:rsidR="00B56E59">
        <w:t xml:space="preserve">gas </w:t>
      </w:r>
      <w:r>
        <w:t xml:space="preserve">customers have both firm and interruptible components to their loads, and during design day weather conditions the only service to interruptible customers is assumed to be their firm component.  Because the contract demand represents the firm portion of their loads, it is the best estimate of their contribution to the costs of meeting the </w:t>
      </w:r>
      <w:r w:rsidR="00B56E59">
        <w:t xml:space="preserve">gas </w:t>
      </w:r>
      <w:r>
        <w:t>system peak.</w:t>
      </w:r>
    </w:p>
    <w:p w:rsidR="006E7532" w:rsidRDefault="006E7532" w:rsidP="006E7532">
      <w:pPr>
        <w:pStyle w:val="question"/>
        <w:keepLines/>
        <w:widowControl w:val="0"/>
        <w:spacing w:before="120"/>
      </w:pPr>
      <w:r>
        <w:t>Q.</w:t>
      </w:r>
      <w:r>
        <w:rPr>
          <w:i/>
        </w:rPr>
        <w:tab/>
      </w:r>
      <w:r>
        <w:t xml:space="preserve">Why did PSE use its design day peak demand to allocate demand-related </w:t>
      </w:r>
      <w:r w:rsidR="00B56E59">
        <w:t xml:space="preserve">gas </w:t>
      </w:r>
      <w:r>
        <w:t>costs instead of using a peak based on actual weather data from a recent historical period?</w:t>
      </w:r>
    </w:p>
    <w:p w:rsidR="006E7532" w:rsidRDefault="006E7532" w:rsidP="006E7532">
      <w:pPr>
        <w:pStyle w:val="answer"/>
        <w:widowControl w:val="0"/>
      </w:pPr>
      <w:r>
        <w:t>A.</w:t>
      </w:r>
      <w:r>
        <w:tab/>
        <w:t xml:space="preserve">There are two primary reasons design day peak is a better choice than historical peak for </w:t>
      </w:r>
      <w:r w:rsidR="00B56E59">
        <w:t xml:space="preserve">gas </w:t>
      </w:r>
      <w:r>
        <w:t>cost allocation:</w:t>
      </w:r>
    </w:p>
    <w:p w:rsidR="006E7532" w:rsidRDefault="006E7532" w:rsidP="00756AAC">
      <w:pPr>
        <w:pStyle w:val="answer"/>
        <w:widowControl w:val="0"/>
        <w:numPr>
          <w:ilvl w:val="0"/>
          <w:numId w:val="27"/>
        </w:numPr>
        <w:spacing w:after="280" w:line="240" w:lineRule="auto"/>
        <w:ind w:left="2160" w:hanging="720"/>
      </w:pPr>
      <w:r>
        <w:t xml:space="preserve">Design day peak is a better indicator of </w:t>
      </w:r>
      <w:r w:rsidR="00B56E59">
        <w:t xml:space="preserve">gas </w:t>
      </w:r>
      <w:r>
        <w:t xml:space="preserve">cost causation than historical peak demands.  </w:t>
      </w:r>
    </w:p>
    <w:p w:rsidR="006E7532" w:rsidRDefault="006E7532" w:rsidP="00756AAC">
      <w:pPr>
        <w:pStyle w:val="answer"/>
        <w:widowControl w:val="0"/>
        <w:numPr>
          <w:ilvl w:val="0"/>
          <w:numId w:val="27"/>
        </w:numPr>
        <w:spacing w:after="280" w:line="240" w:lineRule="auto"/>
        <w:ind w:left="2160" w:hanging="720"/>
      </w:pPr>
      <w:r>
        <w:t xml:space="preserve">Design day provides a more stable estimate of </w:t>
      </w:r>
      <w:r w:rsidR="00B56E59">
        <w:t xml:space="preserve">gas </w:t>
      </w:r>
      <w:r>
        <w:t>peak than historical peaks provide, and provides more stable</w:t>
      </w:r>
      <w:r w:rsidR="00B56E59">
        <w:t xml:space="preserve"> gas</w:t>
      </w:r>
      <w:r>
        <w:t xml:space="preserve"> cost of service results over time.</w:t>
      </w:r>
    </w:p>
    <w:p w:rsidR="00102CE2" w:rsidRDefault="00102CE2" w:rsidP="006E7532">
      <w:pPr>
        <w:pStyle w:val="question"/>
        <w:keepLines/>
        <w:widowControl w:val="0"/>
        <w:spacing w:before="120"/>
      </w:pPr>
    </w:p>
    <w:p w:rsidR="006E7532" w:rsidRDefault="006E7532" w:rsidP="006E7532">
      <w:pPr>
        <w:pStyle w:val="question"/>
        <w:keepLines/>
        <w:widowControl w:val="0"/>
        <w:spacing w:before="120"/>
      </w:pPr>
      <w:r>
        <w:lastRenderedPageBreak/>
        <w:t>Q.</w:t>
      </w:r>
      <w:r>
        <w:tab/>
        <w:t xml:space="preserve">Why does design day peak better reflect the </w:t>
      </w:r>
      <w:r w:rsidR="00B56E59">
        <w:t xml:space="preserve">gas </w:t>
      </w:r>
      <w:r>
        <w:t>costs that are incurred than a historical peak does?</w:t>
      </w:r>
    </w:p>
    <w:p w:rsidR="006E7532" w:rsidRDefault="006E7532" w:rsidP="006E7532">
      <w:pPr>
        <w:pStyle w:val="answer"/>
        <w:widowControl w:val="0"/>
        <w:rPr>
          <w:szCs w:val="24"/>
        </w:rPr>
      </w:pPr>
      <w:r>
        <w:t>A.</w:t>
      </w:r>
      <w:r>
        <w:tab/>
        <w:t xml:space="preserve">Cost causation is the primary consideration in cost of service analysis, and PSE designs its </w:t>
      </w:r>
      <w:r w:rsidR="00B56E59">
        <w:t xml:space="preserve">gas </w:t>
      </w:r>
      <w:r>
        <w:t xml:space="preserve">system to meet a design day peak demand, which is based on cold weather conditions.  Regardless of how often those design day conditions occur, PSE incurs the capacity costs associated with being able to provide natural gas service on a design day.  PSE uses the design day standard in its </w:t>
      </w:r>
      <w:r w:rsidR="00B56E59">
        <w:t xml:space="preserve">gas </w:t>
      </w:r>
      <w:r>
        <w:t xml:space="preserve">capacity investment decisions and builds capacity to meet that standard.  If PSE built </w:t>
      </w:r>
      <w:r w:rsidR="00B56E59">
        <w:t>its gas</w:t>
      </w:r>
      <w:r>
        <w:t xml:space="preserve"> system based on a peak that occurred in a given historical period, the capacity might not be sufficient to serve customer needs in extreme weather.  The </w:t>
      </w:r>
      <w:r w:rsidR="00F11FB9">
        <w:t xml:space="preserve">gas </w:t>
      </w:r>
      <w:r>
        <w:t xml:space="preserve">design day standard was developed in PSE’s </w:t>
      </w:r>
      <w:r w:rsidR="00704232">
        <w:t xml:space="preserve">IRP </w:t>
      </w:r>
      <w:r>
        <w:t xml:space="preserve">process and has been accepted by the Commission.  An estimated peak based on historical weather conditions during a particular period would not necessarily reflect PSE’s costs associated with meeting its peak demand. </w:t>
      </w:r>
    </w:p>
    <w:p w:rsidR="006E7532" w:rsidRDefault="006E7532" w:rsidP="006E7532">
      <w:pPr>
        <w:pStyle w:val="question"/>
        <w:spacing w:before="120"/>
      </w:pPr>
      <w:r>
        <w:t>Q.</w:t>
      </w:r>
      <w:r>
        <w:tab/>
        <w:t>Why does design day peak provide a more stable estimate of peak than a peak based on historical temperatures?</w:t>
      </w:r>
    </w:p>
    <w:p w:rsidR="006E7532" w:rsidRDefault="006E7532" w:rsidP="006E7532">
      <w:pPr>
        <w:pStyle w:val="question"/>
        <w:widowControl w:val="0"/>
        <w:spacing w:before="120"/>
        <w:rPr>
          <w:rStyle w:val="answerChar"/>
          <w:b w:val="0"/>
        </w:rPr>
      </w:pPr>
      <w:r>
        <w:rPr>
          <w:b w:val="0"/>
        </w:rPr>
        <w:t>A.</w:t>
      </w:r>
      <w:r>
        <w:tab/>
      </w:r>
      <w:bookmarkStart w:id="97" w:name="OLE_LINK7"/>
      <w:bookmarkStart w:id="98" w:name="OLE_LINK6"/>
      <w:r>
        <w:rPr>
          <w:rStyle w:val="answerChar"/>
          <w:b w:val="0"/>
        </w:rPr>
        <w:t>Weather,</w:t>
      </w:r>
      <w:r w:rsidR="00F11FB9">
        <w:rPr>
          <w:rStyle w:val="answerChar"/>
          <w:b w:val="0"/>
        </w:rPr>
        <w:t xml:space="preserve"> gas</w:t>
      </w:r>
      <w:r>
        <w:rPr>
          <w:rStyle w:val="answerChar"/>
          <w:b w:val="0"/>
        </w:rPr>
        <w:t xml:space="preserve"> volumes and peak </w:t>
      </w:r>
      <w:r w:rsidR="00F11FB9">
        <w:rPr>
          <w:rStyle w:val="answerChar"/>
          <w:b w:val="0"/>
        </w:rPr>
        <w:t xml:space="preserve">gas </w:t>
      </w:r>
      <w:r>
        <w:rPr>
          <w:rStyle w:val="answerChar"/>
          <w:b w:val="0"/>
        </w:rPr>
        <w:t>demands change from year to year, yet the costs of designing and building PSE’s</w:t>
      </w:r>
      <w:r w:rsidR="00F11FB9">
        <w:rPr>
          <w:rStyle w:val="answerChar"/>
          <w:b w:val="0"/>
        </w:rPr>
        <w:t xml:space="preserve"> gas</w:t>
      </w:r>
      <w:r>
        <w:rPr>
          <w:rStyle w:val="answerChar"/>
          <w:b w:val="0"/>
        </w:rPr>
        <w:t xml:space="preserve"> system</w:t>
      </w:r>
      <w:r w:rsidR="00F11FB9">
        <w:rPr>
          <w:rStyle w:val="answerChar"/>
          <w:b w:val="0"/>
        </w:rPr>
        <w:t xml:space="preserve"> do not</w:t>
      </w:r>
      <w:r>
        <w:rPr>
          <w:rStyle w:val="answerChar"/>
          <w:b w:val="0"/>
        </w:rPr>
        <w:t xml:space="preserve">.  </w:t>
      </w:r>
      <w:bookmarkEnd w:id="97"/>
      <w:bookmarkEnd w:id="98"/>
      <w:r>
        <w:rPr>
          <w:rStyle w:val="answerChar"/>
          <w:b w:val="0"/>
        </w:rPr>
        <w:t xml:space="preserve">If historical data were used, cost allocation would depend on weather conditions that happened to prevail during the period considered rather than the conditions for which the system was designed, which do not vary considerably from one year to the next the way weather does.  The historical </w:t>
      </w:r>
      <w:r w:rsidR="00F11FB9">
        <w:rPr>
          <w:rStyle w:val="answerChar"/>
          <w:b w:val="0"/>
        </w:rPr>
        <w:t xml:space="preserve">gas </w:t>
      </w:r>
      <w:r>
        <w:rPr>
          <w:rStyle w:val="answerChar"/>
          <w:b w:val="0"/>
        </w:rPr>
        <w:t xml:space="preserve">peak might also include some interruptible </w:t>
      </w:r>
      <w:r>
        <w:rPr>
          <w:rStyle w:val="answerChar"/>
          <w:b w:val="0"/>
        </w:rPr>
        <w:lastRenderedPageBreak/>
        <w:t xml:space="preserve">loads, which would vary over time based on both weather conditions and the amount of excess capacity in the </w:t>
      </w:r>
      <w:r w:rsidR="00F11FB9">
        <w:rPr>
          <w:rStyle w:val="answerChar"/>
          <w:b w:val="0"/>
        </w:rPr>
        <w:t xml:space="preserve">gas distribution </w:t>
      </w:r>
      <w:r>
        <w:rPr>
          <w:rStyle w:val="answerChar"/>
          <w:b w:val="0"/>
        </w:rPr>
        <w:t xml:space="preserve">system available to serve those loads.  These factors could result in greater volatility of cost assignments from one </w:t>
      </w:r>
      <w:r w:rsidR="00F11FB9">
        <w:rPr>
          <w:rStyle w:val="answerChar"/>
          <w:b w:val="0"/>
        </w:rPr>
        <w:t xml:space="preserve">gas </w:t>
      </w:r>
      <w:r>
        <w:rPr>
          <w:rStyle w:val="answerChar"/>
          <w:b w:val="0"/>
        </w:rPr>
        <w:t xml:space="preserve">cost </w:t>
      </w:r>
      <w:r w:rsidR="00F11FB9">
        <w:rPr>
          <w:rStyle w:val="answerChar"/>
          <w:b w:val="0"/>
        </w:rPr>
        <w:t xml:space="preserve">of service </w:t>
      </w:r>
      <w:r>
        <w:rPr>
          <w:rStyle w:val="answerChar"/>
          <w:b w:val="0"/>
        </w:rPr>
        <w:t xml:space="preserve">study to the next.  The design day standard is a more stable determinant of planned </w:t>
      </w:r>
      <w:r w:rsidR="00F11FB9">
        <w:rPr>
          <w:rStyle w:val="answerChar"/>
          <w:b w:val="0"/>
        </w:rPr>
        <w:t xml:space="preserve">gas </w:t>
      </w:r>
      <w:r>
        <w:rPr>
          <w:rStyle w:val="answerChar"/>
          <w:b w:val="0"/>
        </w:rPr>
        <w:t>capacity.</w:t>
      </w:r>
    </w:p>
    <w:p w:rsidR="006E7532" w:rsidRDefault="006E7532" w:rsidP="006E7532">
      <w:pPr>
        <w:pStyle w:val="answer"/>
        <w:ind w:firstLine="0"/>
      </w:pPr>
      <w:r>
        <w:t xml:space="preserve">With respect to stability over time, use of design day is consistent with the use of weather normalized volume in cost allocation.  If actual </w:t>
      </w:r>
      <w:r w:rsidR="00F11FB9">
        <w:t xml:space="preserve">gas </w:t>
      </w:r>
      <w:r>
        <w:t>volume were used, allocation</w:t>
      </w:r>
      <w:r w:rsidR="00F11FB9">
        <w:t xml:space="preserve"> of gas costs</w:t>
      </w:r>
      <w:r>
        <w:t xml:space="preserve"> among the classes would change from year to year based on the weather because some customer classes exhibit greater weather sensitivity than other classes.  Use of weather-normalized volume avoids these swings in cost allocation from one rate case to the next.  Similarly, design day is a more stable basis for cost allocation because it does not depend on the weather that actually occurred during a recent period.</w:t>
      </w:r>
    </w:p>
    <w:p w:rsidR="007816E1" w:rsidRPr="003B5206" w:rsidRDefault="007816E1" w:rsidP="007816E1">
      <w:pPr>
        <w:pStyle w:val="Heading2"/>
        <w:spacing w:before="240" w:after="320"/>
      </w:pPr>
      <w:bookmarkStart w:id="99" w:name="_Toc294362336"/>
      <w:bookmarkStart w:id="100" w:name="_Toc471912944"/>
      <w:r w:rsidRPr="003B5206">
        <w:rPr>
          <w:u w:val="none"/>
        </w:rPr>
        <w:t>D.</w:t>
      </w:r>
      <w:r w:rsidRPr="003B5206">
        <w:rPr>
          <w:u w:val="none"/>
        </w:rPr>
        <w:tab/>
      </w:r>
      <w:r w:rsidRPr="003B5206">
        <w:t xml:space="preserve">Allocation of </w:t>
      </w:r>
      <w:r w:rsidR="00F11FB9">
        <w:t xml:space="preserve">Gas </w:t>
      </w:r>
      <w:r w:rsidRPr="003B5206">
        <w:t>Plant Costs and Operating Expenses</w:t>
      </w:r>
      <w:bookmarkEnd w:id="99"/>
      <w:bookmarkEnd w:id="100"/>
    </w:p>
    <w:p w:rsidR="00F11FB9" w:rsidRDefault="00F11FB9" w:rsidP="00F11FB9">
      <w:pPr>
        <w:pStyle w:val="question"/>
        <w:keepLines/>
        <w:widowControl w:val="0"/>
        <w:spacing w:before="120"/>
      </w:pPr>
      <w:r>
        <w:t>Q.</w:t>
      </w:r>
      <w:r>
        <w:tab/>
        <w:t>Were gas facilities identified that could be directly assigned to specific customer groups?</w:t>
      </w:r>
    </w:p>
    <w:p w:rsidR="00F11FB9" w:rsidRDefault="00F11FB9" w:rsidP="00F11FB9">
      <w:pPr>
        <w:pStyle w:val="answer"/>
        <w:widowControl w:val="0"/>
        <w:rPr>
          <w:szCs w:val="24"/>
        </w:rPr>
      </w:pPr>
      <w:r>
        <w:t>A.</w:t>
      </w:r>
      <w:r>
        <w:tab/>
        <w:t xml:space="preserve">Yes.  PSE conducted an analysis to identify the cost of services in FERC Account 380 that are dedicated to customers on gas Schedules 85, 85T, 87, 87T and special contracts.  This portion of plant in FERC Account 380 was directly assigned to these customer classes, and the remainder was allocated to all other gas customer classes based on weighting factors.  Different customer classes require different sizes and types of services, which vary in cost.  The number of gas customers was </w:t>
      </w:r>
      <w:r>
        <w:lastRenderedPageBreak/>
        <w:t xml:space="preserve">weighted based on cost data for various sizes and types of services, and these weighted customer counts were used to allocate gas costs across customer classes.  The use of weighting factors takes these cost differences into account when assigning costs to the customer classes.  </w:t>
      </w:r>
    </w:p>
    <w:p w:rsidR="00F11FB9" w:rsidRDefault="00F11FB9" w:rsidP="00F11FB9">
      <w:pPr>
        <w:pStyle w:val="question"/>
        <w:keepLines/>
        <w:widowControl w:val="0"/>
        <w:spacing w:before="120"/>
      </w:pPr>
      <w:r>
        <w:t>Q.</w:t>
      </w:r>
      <w:r>
        <w:tab/>
        <w:t xml:space="preserve">How were other customer-related </w:t>
      </w:r>
      <w:r w:rsidR="00687B3E">
        <w:t xml:space="preserve">gas </w:t>
      </w:r>
      <w:r>
        <w:t>costs allocated to classes?</w:t>
      </w:r>
    </w:p>
    <w:p w:rsidR="00F11FB9" w:rsidRDefault="00F11FB9" w:rsidP="00F11FB9">
      <w:pPr>
        <w:pStyle w:val="answer"/>
        <w:widowControl w:val="0"/>
        <w:rPr>
          <w:szCs w:val="24"/>
        </w:rPr>
      </w:pPr>
      <w:r>
        <w:t>A.</w:t>
      </w:r>
      <w:r>
        <w:tab/>
        <w:t xml:space="preserve">Meters and meter installations (Accounts 381 and 382), house regulators and installations (Accounts 383 and 384), and industrial measuring and regulating station equipment (Account 385) were allocated based on the actual types of meters used to serve </w:t>
      </w:r>
      <w:r w:rsidR="00687B3E">
        <w:t xml:space="preserve">gas </w:t>
      </w:r>
      <w:r>
        <w:t>customers in different customer classes and the current costs of those meters and their installation.</w:t>
      </w:r>
    </w:p>
    <w:p w:rsidR="00F11FB9" w:rsidRDefault="00F11FB9" w:rsidP="00F11FB9">
      <w:pPr>
        <w:pStyle w:val="question"/>
        <w:keepLines/>
        <w:widowControl w:val="0"/>
        <w:spacing w:before="120"/>
      </w:pPr>
      <w:bookmarkStart w:id="101" w:name="OLE_LINK10"/>
      <w:r>
        <w:t>Q.</w:t>
      </w:r>
      <w:r>
        <w:tab/>
        <w:t xml:space="preserve">How were distribution-related </w:t>
      </w:r>
      <w:r w:rsidR="00687B3E">
        <w:t xml:space="preserve">gas </w:t>
      </w:r>
      <w:r>
        <w:t>operation and maintenance ("O&amp;M") expenses allocated?</w:t>
      </w:r>
    </w:p>
    <w:p w:rsidR="00F11FB9" w:rsidRDefault="00F11FB9" w:rsidP="00F11FB9">
      <w:pPr>
        <w:pStyle w:val="answer"/>
        <w:widowControl w:val="0"/>
        <w:rPr>
          <w:szCs w:val="24"/>
        </w:rPr>
      </w:pPr>
      <w:r>
        <w:t>A.</w:t>
      </w:r>
      <w:r>
        <w:tab/>
        <w:t>Other than directly-assigned expenses, these expenses follow the cost allocation of the corresponding plant accounts.</w:t>
      </w:r>
    </w:p>
    <w:bookmarkEnd w:id="101"/>
    <w:p w:rsidR="00F11FB9" w:rsidRDefault="00F11FB9" w:rsidP="00F11FB9">
      <w:pPr>
        <w:pStyle w:val="question"/>
        <w:keepLines/>
        <w:widowControl w:val="0"/>
        <w:spacing w:before="120"/>
      </w:pPr>
      <w:r>
        <w:t>Q.</w:t>
      </w:r>
      <w:r>
        <w:tab/>
        <w:t xml:space="preserve">How were administrative and general ("A&amp;G") expenses and taxes allocated to each </w:t>
      </w:r>
      <w:r w:rsidR="00687B3E">
        <w:t xml:space="preserve">gas </w:t>
      </w:r>
      <w:r>
        <w:t>customer class?</w:t>
      </w:r>
    </w:p>
    <w:p w:rsidR="00F11FB9" w:rsidRDefault="00F11FB9" w:rsidP="00F11FB9">
      <w:pPr>
        <w:pStyle w:val="answer"/>
        <w:widowControl w:val="0"/>
      </w:pPr>
      <w:r>
        <w:t>A.</w:t>
      </w:r>
      <w:r>
        <w:tab/>
        <w:t xml:space="preserve">A&amp;G expenses were allocated on an account-by-account basis.  Items related to labor costs, such as employee pensions and benefits, were allocated based on O&amp;M labor costs.  Items related to plant, such as maintenance of general plant and property taxes, were allocated based on plant.  Items related to revenue, such as regulatory commission expenses, were allocated based on revenue.  All other </w:t>
      </w:r>
      <w:r>
        <w:lastRenderedPageBreak/>
        <w:t>A&amp;G costs were allocated based on operation and maintenance expenses.</w:t>
      </w:r>
    </w:p>
    <w:p w:rsidR="007816E1" w:rsidRPr="003B5206" w:rsidRDefault="007816E1" w:rsidP="007816E1">
      <w:pPr>
        <w:pStyle w:val="Heading2"/>
        <w:spacing w:before="240" w:after="320"/>
      </w:pPr>
      <w:bookmarkStart w:id="102" w:name="_Toc294362337"/>
      <w:bookmarkStart w:id="103" w:name="_Toc471912945"/>
      <w:r w:rsidRPr="003B5206">
        <w:rPr>
          <w:u w:val="none"/>
        </w:rPr>
        <w:t>E.</w:t>
      </w:r>
      <w:r w:rsidRPr="003B5206">
        <w:rPr>
          <w:u w:val="none"/>
        </w:rPr>
        <w:tab/>
      </w:r>
      <w:r w:rsidRPr="003B5206">
        <w:t>Classification and Allocation of Distribution Main Costs</w:t>
      </w:r>
      <w:bookmarkEnd w:id="102"/>
      <w:bookmarkEnd w:id="103"/>
    </w:p>
    <w:p w:rsidR="001E347C" w:rsidRDefault="001E347C" w:rsidP="001E347C">
      <w:pPr>
        <w:pStyle w:val="question"/>
        <w:keepLines/>
        <w:widowControl w:val="0"/>
        <w:spacing w:before="120"/>
      </w:pPr>
      <w:r>
        <w:t>Q.</w:t>
      </w:r>
      <w:r>
        <w:tab/>
        <w:t xml:space="preserve">Please describe how investment in </w:t>
      </w:r>
      <w:r w:rsidR="006971DB">
        <w:t xml:space="preserve">gas </w:t>
      </w:r>
      <w:r>
        <w:t>distribution mains was classified and allocated.</w:t>
      </w:r>
    </w:p>
    <w:p w:rsidR="003D3E30" w:rsidRDefault="001E347C" w:rsidP="001E347C">
      <w:pPr>
        <w:pStyle w:val="answer"/>
        <w:widowControl w:val="0"/>
      </w:pPr>
      <w:r>
        <w:t>A.</w:t>
      </w:r>
      <w:r>
        <w:tab/>
        <w:t xml:space="preserve">Following a long-standing practice, </w:t>
      </w:r>
      <w:r w:rsidR="006971DB">
        <w:t>dating back to PSE’s 2007 GRC,</w:t>
      </w:r>
      <w:r w:rsidR="006971DB">
        <w:rPr>
          <w:rStyle w:val="FootnoteReference"/>
        </w:rPr>
        <w:footnoteReference w:id="12"/>
      </w:r>
      <w:r w:rsidR="006971DB">
        <w:t xml:space="preserve"> </w:t>
      </w:r>
      <w:r>
        <w:t>PSE used the peak and average method</w:t>
      </w:r>
      <w:r w:rsidR="00951391">
        <w:t>ology</w:t>
      </w:r>
      <w:r>
        <w:t xml:space="preserve"> for allocating </w:t>
      </w:r>
      <w:r w:rsidR="006971DB">
        <w:t xml:space="preserve">gas </w:t>
      </w:r>
      <w:r>
        <w:t>distribution main costs.  This method</w:t>
      </w:r>
      <w:r w:rsidR="00951391">
        <w:t>ology</w:t>
      </w:r>
      <w:r>
        <w:t xml:space="preserve"> allocates </w:t>
      </w:r>
      <w:r w:rsidR="006971DB">
        <w:t xml:space="preserve">gas </w:t>
      </w:r>
      <w:r>
        <w:t>demand costs based on a combination of peak demand and average demand</w:t>
      </w:r>
      <w:r w:rsidR="003D3E30">
        <w:t xml:space="preserve"> (or</w:t>
      </w:r>
      <w:r>
        <w:t xml:space="preserve"> average throughput</w:t>
      </w:r>
      <w:r w:rsidR="003D3E30">
        <w:t>)</w:t>
      </w:r>
      <w:r>
        <w:t xml:space="preserve">.  PSE used an estimate of the </w:t>
      </w:r>
      <w:r w:rsidR="006971DB">
        <w:t xml:space="preserve">gas </w:t>
      </w:r>
      <w:r>
        <w:t xml:space="preserve">system load factor to determine how much of these demand-related </w:t>
      </w:r>
      <w:r w:rsidR="006971DB">
        <w:t xml:space="preserve">gas </w:t>
      </w:r>
      <w:r>
        <w:t xml:space="preserve">costs would be allocated based on average </w:t>
      </w:r>
      <w:r w:rsidR="006971DB">
        <w:t xml:space="preserve">gas </w:t>
      </w:r>
      <w:r>
        <w:t xml:space="preserve">demand and how much would be allocated based on peak </w:t>
      </w:r>
      <w:r w:rsidR="006971DB">
        <w:t xml:space="preserve">gas </w:t>
      </w:r>
      <w:r>
        <w:t xml:space="preserve">demand.  </w:t>
      </w:r>
      <w:r w:rsidR="003D3E30">
        <w:t>The</w:t>
      </w:r>
      <w:r>
        <w:t xml:space="preserve"> </w:t>
      </w:r>
      <w:r w:rsidR="006971DB">
        <w:t xml:space="preserve">gas </w:t>
      </w:r>
      <w:r>
        <w:t xml:space="preserve">system load factor was calculated based on weather-normalized throughput and design day peak demand, which were discussed earlier in my testimony.  </w:t>
      </w:r>
      <w:r w:rsidR="003D3E30">
        <w:t xml:space="preserve">Multiplying this </w:t>
      </w:r>
      <w:r>
        <w:t xml:space="preserve">load factor by the </w:t>
      </w:r>
      <w:r w:rsidR="006971DB">
        <w:t xml:space="preserve">gas </w:t>
      </w:r>
      <w:r>
        <w:t>plant investment provides an estimate of costs that can be attributed to average use</w:t>
      </w:r>
      <w:r w:rsidR="003D3E30">
        <w:t>, with the remainder being assigned to</w:t>
      </w:r>
      <w:r>
        <w:t xml:space="preserve"> peak use.  </w:t>
      </w:r>
    </w:p>
    <w:p w:rsidR="003D3E30" w:rsidRPr="003D3E30" w:rsidRDefault="003D3E30" w:rsidP="001E347C">
      <w:pPr>
        <w:pStyle w:val="answer"/>
        <w:widowControl w:val="0"/>
        <w:rPr>
          <w:b/>
        </w:rPr>
      </w:pPr>
      <w:r w:rsidRPr="003D3E30">
        <w:rPr>
          <w:b/>
        </w:rPr>
        <w:t>Q.</w:t>
      </w:r>
      <w:r w:rsidRPr="003D3E30">
        <w:rPr>
          <w:b/>
        </w:rPr>
        <w:tab/>
        <w:t xml:space="preserve">What </w:t>
      </w:r>
      <w:r w:rsidR="001C5CAF">
        <w:rPr>
          <w:b/>
        </w:rPr>
        <w:t xml:space="preserve">is </w:t>
      </w:r>
      <w:r w:rsidRPr="003D3E30">
        <w:rPr>
          <w:b/>
        </w:rPr>
        <w:t>the result</w:t>
      </w:r>
      <w:r w:rsidR="001C5CAF">
        <w:rPr>
          <w:b/>
        </w:rPr>
        <w:t>ing</w:t>
      </w:r>
      <w:r w:rsidRPr="003D3E30">
        <w:rPr>
          <w:b/>
        </w:rPr>
        <w:t xml:space="preserve"> classification of gas distribution mains?</w:t>
      </w:r>
    </w:p>
    <w:p w:rsidR="003D3E30" w:rsidRDefault="003D3E30" w:rsidP="001E347C">
      <w:pPr>
        <w:pStyle w:val="answer"/>
        <w:widowControl w:val="0"/>
      </w:pPr>
      <w:r>
        <w:t>A.</w:t>
      </w:r>
      <w:r>
        <w:tab/>
        <w:t xml:space="preserve">PSE’s gas system </w:t>
      </w:r>
      <w:r w:rsidR="001C5CAF">
        <w:t xml:space="preserve">design day </w:t>
      </w:r>
      <w:r>
        <w:t xml:space="preserve">load factor is </w:t>
      </w:r>
      <w:r w:rsidR="00CE526D">
        <w:t>3</w:t>
      </w:r>
      <w:r w:rsidR="0042344B">
        <w:t xml:space="preserve">3 </w:t>
      </w:r>
      <w:r w:rsidR="001E347C">
        <w:t>percent</w:t>
      </w:r>
      <w:r>
        <w:t xml:space="preserve">.  </w:t>
      </w:r>
      <w:r w:rsidR="001C5CAF">
        <w:t>So, based on the peak and average methodology</w:t>
      </w:r>
      <w:r>
        <w:t xml:space="preserve">, PSE’s demand-related gas distribution mains were </w:t>
      </w:r>
      <w:r w:rsidR="001E347C">
        <w:t xml:space="preserve">allocated </w:t>
      </w:r>
      <w:r w:rsidR="00CE526D">
        <w:t>3</w:t>
      </w:r>
      <w:r w:rsidR="0042344B">
        <w:t xml:space="preserve">3 </w:t>
      </w:r>
      <w:r w:rsidR="001E347C">
        <w:t xml:space="preserve">percent on average demand and </w:t>
      </w:r>
      <w:r w:rsidR="00CE526D">
        <w:t>6</w:t>
      </w:r>
      <w:r w:rsidR="0042344B">
        <w:t xml:space="preserve">7 </w:t>
      </w:r>
      <w:r w:rsidR="001E347C">
        <w:t xml:space="preserve">percent on </w:t>
      </w:r>
      <w:r>
        <w:t xml:space="preserve">design day </w:t>
      </w:r>
      <w:r w:rsidR="001E347C">
        <w:t xml:space="preserve">peak demand.  </w:t>
      </w:r>
    </w:p>
    <w:p w:rsidR="003D3E30" w:rsidRPr="003D3E30" w:rsidRDefault="003D3E30" w:rsidP="001E347C">
      <w:pPr>
        <w:pStyle w:val="answer"/>
        <w:widowControl w:val="0"/>
        <w:rPr>
          <w:b/>
        </w:rPr>
      </w:pPr>
      <w:r w:rsidRPr="003D3E30">
        <w:rPr>
          <w:b/>
        </w:rPr>
        <w:lastRenderedPageBreak/>
        <w:t>Q.</w:t>
      </w:r>
      <w:r w:rsidRPr="003D3E30">
        <w:rPr>
          <w:b/>
        </w:rPr>
        <w:tab/>
        <w:t>Is this approach to classifying and allocating gas distribution mains reasonable?</w:t>
      </w:r>
    </w:p>
    <w:p w:rsidR="001E347C" w:rsidRDefault="003D3E30" w:rsidP="003D3E30">
      <w:pPr>
        <w:pStyle w:val="answer"/>
        <w:widowControl w:val="0"/>
        <w:rPr>
          <w:szCs w:val="24"/>
        </w:rPr>
      </w:pPr>
      <w:r>
        <w:t>A.</w:t>
      </w:r>
      <w:r>
        <w:tab/>
        <w:t xml:space="preserve">Yes. The peak and average methodology’s use of system </w:t>
      </w:r>
      <w:r w:rsidR="001E347C">
        <w:t xml:space="preserve">load factor provides a reasonable basis for </w:t>
      </w:r>
      <w:r>
        <w:t xml:space="preserve">classifying </w:t>
      </w:r>
      <w:r w:rsidR="001C5CAF">
        <w:t xml:space="preserve">and allocating </w:t>
      </w:r>
      <w:r>
        <w:t>these costs</w:t>
      </w:r>
      <w:r w:rsidR="001E347C">
        <w:t>.</w:t>
      </w:r>
      <w:r>
        <w:t xml:space="preserve"> </w:t>
      </w:r>
      <w:r w:rsidR="001C5CAF">
        <w:t xml:space="preserve"> </w:t>
      </w:r>
      <w:r w:rsidR="001E347C">
        <w:t>This peak and average approach reflects a balance between the way the</w:t>
      </w:r>
      <w:r w:rsidR="006971DB">
        <w:t xml:space="preserve"> gas</w:t>
      </w:r>
      <w:r w:rsidR="001E347C">
        <w:t xml:space="preserve"> system is designed (to meet peak demand) and the way it is utilized on an annual basis (throughput based on gas usage that occurs during all conditions, not only peak conditions).  It also acknowledges previous Commission guidance that some portion of </w:t>
      </w:r>
      <w:r w:rsidR="006971DB">
        <w:t xml:space="preserve">gas </w:t>
      </w:r>
      <w:r w:rsidR="001E347C">
        <w:t>demand costs should be allocated based on energy use.</w:t>
      </w:r>
    </w:p>
    <w:p w:rsidR="001E347C" w:rsidRDefault="001E347C" w:rsidP="001E347C">
      <w:pPr>
        <w:pStyle w:val="question"/>
        <w:keepLines/>
        <w:widowControl w:val="0"/>
        <w:spacing w:before="120"/>
      </w:pPr>
      <w:r>
        <w:t>Q.</w:t>
      </w:r>
      <w:r>
        <w:rPr>
          <w:i/>
        </w:rPr>
        <w:tab/>
      </w:r>
      <w:r>
        <w:t xml:space="preserve">How was the peak and average method of cost allocation applied to </w:t>
      </w:r>
      <w:r w:rsidR="006971DB">
        <w:t xml:space="preserve">gas </w:t>
      </w:r>
      <w:r>
        <w:t>distribution mains?</w:t>
      </w:r>
    </w:p>
    <w:p w:rsidR="001E347C" w:rsidRDefault="001E347C" w:rsidP="001E347C">
      <w:pPr>
        <w:pStyle w:val="answer"/>
      </w:pPr>
      <w:r>
        <w:t>A.</w:t>
      </w:r>
      <w:r>
        <w:tab/>
        <w:t xml:space="preserve">A diagram of the allocation of </w:t>
      </w:r>
      <w:r w:rsidR="006971DB">
        <w:t xml:space="preserve">gas distribution </w:t>
      </w:r>
      <w:r>
        <w:t>mains is presented on page one of Exhibit No. </w:t>
      </w:r>
      <w:r>
        <w:rPr>
          <w:rStyle w:val="Strong"/>
          <w:b w:val="0"/>
        </w:rPr>
        <w:t>___(</w:t>
      </w:r>
      <w:r>
        <w:t>J</w:t>
      </w:r>
      <w:r w:rsidR="006971DB">
        <w:t>A</w:t>
      </w:r>
      <w:r>
        <w:t>P-</w:t>
      </w:r>
      <w:r w:rsidR="002A5324">
        <w:t>13</w:t>
      </w:r>
      <w:r>
        <w:t>).  The cost of mains was allocated in the following steps:</w:t>
      </w:r>
    </w:p>
    <w:p w:rsidR="001E347C" w:rsidRDefault="001E347C" w:rsidP="001E347C">
      <w:pPr>
        <w:pStyle w:val="answer"/>
        <w:ind w:firstLine="0"/>
      </w:pPr>
      <w:r>
        <w:t xml:space="preserve">First, the total </w:t>
      </w:r>
      <w:r w:rsidR="006971DB">
        <w:t xml:space="preserve">gas </w:t>
      </w:r>
      <w:r>
        <w:t xml:space="preserve">distribution mains plant was divided into the portion to be allocated based on peak demand and the portion to be allocated based on average demand using the </w:t>
      </w:r>
      <w:r w:rsidR="006971DB">
        <w:t xml:space="preserve">gas </w:t>
      </w:r>
      <w:r>
        <w:t>system load factor described above.  This resulted in $</w:t>
      </w:r>
      <w:r w:rsidR="002A5324">
        <w:t>547</w:t>
      </w:r>
      <w:r>
        <w:t xml:space="preserve"> million (</w:t>
      </w:r>
      <w:r w:rsidR="00CE526D">
        <w:t>3</w:t>
      </w:r>
      <w:r w:rsidR="0042344B">
        <w:t>3</w:t>
      </w:r>
      <w:r>
        <w:t xml:space="preserve"> percent) of </w:t>
      </w:r>
      <w:r w:rsidR="006971DB">
        <w:t xml:space="preserve">gas </w:t>
      </w:r>
      <w:r>
        <w:t xml:space="preserve">plant to be allocated based on average </w:t>
      </w:r>
      <w:r w:rsidR="006971DB">
        <w:t xml:space="preserve">gas </w:t>
      </w:r>
      <w:r>
        <w:t>demand and $</w:t>
      </w:r>
      <w:r w:rsidR="002A5324">
        <w:t>1,</w:t>
      </w:r>
      <w:r w:rsidR="0042344B">
        <w:t>165</w:t>
      </w:r>
      <w:r>
        <w:t xml:space="preserve"> million (</w:t>
      </w:r>
      <w:r w:rsidR="0042344B">
        <w:t>67</w:t>
      </w:r>
      <w:r>
        <w:t xml:space="preserve"> percent) to be allocated based on peak </w:t>
      </w:r>
      <w:r w:rsidR="006971DB">
        <w:t xml:space="preserve">gas </w:t>
      </w:r>
      <w:r>
        <w:t>demand.</w:t>
      </w:r>
    </w:p>
    <w:p w:rsidR="001E347C" w:rsidRDefault="001E347C" w:rsidP="001E347C">
      <w:pPr>
        <w:pStyle w:val="answer"/>
        <w:ind w:firstLine="0"/>
      </w:pPr>
      <w:r>
        <w:t xml:space="preserve">Second, the </w:t>
      </w:r>
      <w:r w:rsidR="0042344B">
        <w:t>67</w:t>
      </w:r>
      <w:r>
        <w:t xml:space="preserve"> percent to be allocated based on peak </w:t>
      </w:r>
      <w:r w:rsidR="006971DB">
        <w:t xml:space="preserve">gas </w:t>
      </w:r>
      <w:r>
        <w:t xml:space="preserve">demand was allocated to all </w:t>
      </w:r>
      <w:r w:rsidR="006971DB">
        <w:t xml:space="preserve">gas </w:t>
      </w:r>
      <w:r>
        <w:t xml:space="preserve">customer classes based on their estimated contributions to the </w:t>
      </w:r>
      <w:r w:rsidR="006971DB">
        <w:t xml:space="preserve">gas </w:t>
      </w:r>
      <w:r>
        <w:t>system design day peak demand.</w:t>
      </w:r>
    </w:p>
    <w:p w:rsidR="001E347C" w:rsidRDefault="001E347C" w:rsidP="001E347C">
      <w:pPr>
        <w:pStyle w:val="answer"/>
        <w:ind w:firstLine="0"/>
      </w:pPr>
      <w:r>
        <w:lastRenderedPageBreak/>
        <w:t xml:space="preserve">Third, the </w:t>
      </w:r>
      <w:r w:rsidR="0042344B">
        <w:t>33</w:t>
      </w:r>
      <w:r>
        <w:t xml:space="preserve"> percent based on average </w:t>
      </w:r>
      <w:r w:rsidR="006971DB">
        <w:t xml:space="preserve">gas </w:t>
      </w:r>
      <w:r>
        <w:t xml:space="preserve">demand was split into three groups:  1) large </w:t>
      </w:r>
      <w:r w:rsidR="006971DB">
        <w:t xml:space="preserve">distribution </w:t>
      </w:r>
      <w:r>
        <w:t xml:space="preserve">main (greater than or equal to four inches in diameter); 2) medium </w:t>
      </w:r>
      <w:r w:rsidR="006971DB">
        <w:t xml:space="preserve">distribution </w:t>
      </w:r>
      <w:r>
        <w:t xml:space="preserve">main (two to three inches in diameter); and 3) small </w:t>
      </w:r>
      <w:r w:rsidR="006971DB">
        <w:t xml:space="preserve">distribution </w:t>
      </w:r>
      <w:r>
        <w:t>main (less than two inches in diameter).  Large main was allocated to all</w:t>
      </w:r>
      <w:r w:rsidR="006971DB">
        <w:t xml:space="preserve"> gas</w:t>
      </w:r>
      <w:r>
        <w:t xml:space="preserve"> customer classes based on annual weather normalized </w:t>
      </w:r>
      <w:r w:rsidR="006971DB">
        <w:t xml:space="preserve">gas </w:t>
      </w:r>
      <w:r>
        <w:t xml:space="preserve">throughput, and small main was allocated to all </w:t>
      </w:r>
      <w:r w:rsidR="006971DB">
        <w:t xml:space="preserve">gas </w:t>
      </w:r>
      <w:r>
        <w:t xml:space="preserve">classes except Schedules 85, 85T, 87, 87T and contracts based on annual weather normalized throughput.  Medium main was allocated </w:t>
      </w:r>
      <w:r w:rsidR="0042344B">
        <w:t>33</w:t>
      </w:r>
      <w:r>
        <w:t xml:space="preserve"> percent to all classes and </w:t>
      </w:r>
      <w:r w:rsidR="0042344B">
        <w:t>67</w:t>
      </w:r>
      <w:r>
        <w:t xml:space="preserve"> percent to all </w:t>
      </w:r>
      <w:r w:rsidR="006971DB">
        <w:t xml:space="preserve">gas </w:t>
      </w:r>
      <w:r>
        <w:t>classes except 87, 87T and contracts, based on annual weather normalized throughput.</w:t>
      </w:r>
    </w:p>
    <w:p w:rsidR="001E347C" w:rsidRDefault="001E347C" w:rsidP="001E347C">
      <w:pPr>
        <w:pStyle w:val="question"/>
      </w:pPr>
      <w:r>
        <w:t>Q.</w:t>
      </w:r>
      <w:r>
        <w:tab/>
        <w:t xml:space="preserve">Why were small </w:t>
      </w:r>
      <w:r w:rsidR="006971DB">
        <w:t xml:space="preserve">distribution </w:t>
      </w:r>
      <w:r>
        <w:t xml:space="preserve">mains, those less than two inches, not allocated to all </w:t>
      </w:r>
      <w:r w:rsidR="000905D7">
        <w:t xml:space="preserve">gas customer </w:t>
      </w:r>
      <w:r>
        <w:t>classes?</w:t>
      </w:r>
    </w:p>
    <w:p w:rsidR="001E347C" w:rsidRDefault="001E347C" w:rsidP="001E347C">
      <w:pPr>
        <w:pStyle w:val="question"/>
        <w:widowControl w:val="0"/>
        <w:spacing w:before="120"/>
        <w:rPr>
          <w:b w:val="0"/>
        </w:rPr>
      </w:pPr>
      <w:r>
        <w:rPr>
          <w:b w:val="0"/>
        </w:rPr>
        <w:t>A.</w:t>
      </w:r>
      <w:r>
        <w:rPr>
          <w:b w:val="0"/>
        </w:rPr>
        <w:tab/>
        <w:t>The smallest main is in isolated locations on PSE’s</w:t>
      </w:r>
      <w:r w:rsidR="000905D7">
        <w:rPr>
          <w:b w:val="0"/>
        </w:rPr>
        <w:t xml:space="preserve"> gas distribution</w:t>
      </w:r>
      <w:r>
        <w:rPr>
          <w:b w:val="0"/>
        </w:rPr>
        <w:t xml:space="preserve"> system and is unlikely to provide benefits to the large </w:t>
      </w:r>
      <w:r w:rsidR="000905D7">
        <w:rPr>
          <w:b w:val="0"/>
        </w:rPr>
        <w:t xml:space="preserve">gas </w:t>
      </w:r>
      <w:r>
        <w:rPr>
          <w:b w:val="0"/>
        </w:rPr>
        <w:t>commercial and industrial loads served on Schedules 85, 85T, 87, 87T and contracts.</w:t>
      </w:r>
    </w:p>
    <w:p w:rsidR="001E347C" w:rsidRDefault="001E347C" w:rsidP="001E347C">
      <w:pPr>
        <w:pStyle w:val="question"/>
        <w:keepLines/>
        <w:widowControl w:val="0"/>
        <w:spacing w:before="120"/>
      </w:pPr>
      <w:r>
        <w:t>Q.</w:t>
      </w:r>
      <w:r>
        <w:tab/>
        <w:t xml:space="preserve">Why were medium </w:t>
      </w:r>
      <w:r w:rsidR="000905D7">
        <w:t xml:space="preserve">distribution </w:t>
      </w:r>
      <w:r>
        <w:t>mains, those two to three inches in diameter, split into two groups?</w:t>
      </w:r>
    </w:p>
    <w:p w:rsidR="001E347C" w:rsidRDefault="001E347C" w:rsidP="001E347C">
      <w:pPr>
        <w:pStyle w:val="answer"/>
      </w:pPr>
      <w:r>
        <w:t>A.</w:t>
      </w:r>
      <w:r>
        <w:tab/>
        <w:t xml:space="preserve">Parties in PSE’s 2007 GRC raised different concerns regarding the allocation of </w:t>
      </w:r>
      <w:r w:rsidR="000905D7">
        <w:t xml:space="preserve">gas distribution </w:t>
      </w:r>
      <w:r>
        <w:t xml:space="preserve">mains.  In general, two different ways of looking at the benefits to customers were presented in discussions about the allocation of </w:t>
      </w:r>
      <w:r w:rsidR="000905D7">
        <w:t xml:space="preserve">gas distribution </w:t>
      </w:r>
      <w:r>
        <w:t xml:space="preserve">mains costs, and these two viewpoints are diametrically opposed.  One view is founded on a belief that </w:t>
      </w:r>
      <w:r w:rsidR="000905D7">
        <w:t xml:space="preserve">gas </w:t>
      </w:r>
      <w:r>
        <w:t xml:space="preserve">customers only benefit from pipe through which gas </w:t>
      </w:r>
      <w:r>
        <w:lastRenderedPageBreak/>
        <w:t xml:space="preserve">molecules flow, or might flow, to reach their locations, and thus should only be allocated a share of the cost of those specific pipes, nothing more.  The other view is that the gas distribution network provides an integrated system that benefits all </w:t>
      </w:r>
      <w:r w:rsidR="000905D7">
        <w:t xml:space="preserve">gas </w:t>
      </w:r>
      <w:r>
        <w:t xml:space="preserve">customers, regardless of the customers’ locations on that system and regardless of the actual (or modeled) flow of molecules.  Giving the largest </w:t>
      </w:r>
      <w:r w:rsidR="000905D7">
        <w:t xml:space="preserve">gas </w:t>
      </w:r>
      <w:r>
        <w:t xml:space="preserve">interruptible customers a full allocation of costs emphasizes system benefits, and exempting them from the cost of medium main emphasizes customers’ physical connections and the flow of gas.  PSE’s use of both of these approaches for medium </w:t>
      </w:r>
      <w:r w:rsidR="000905D7">
        <w:t xml:space="preserve">gas distribution </w:t>
      </w:r>
      <w:r>
        <w:t>mains balances the two perspectives.</w:t>
      </w:r>
    </w:p>
    <w:p w:rsidR="001E347C" w:rsidRDefault="001E347C" w:rsidP="001E347C">
      <w:pPr>
        <w:pStyle w:val="question"/>
        <w:spacing w:before="120"/>
      </w:pPr>
      <w:r>
        <w:t>Q.</w:t>
      </w:r>
      <w:r>
        <w:tab/>
        <w:t xml:space="preserve">Why did PSE choose the one-third, two-thirds split, with one-third of medium main allocated to all </w:t>
      </w:r>
      <w:r w:rsidR="00CF098F">
        <w:t xml:space="preserve">gas </w:t>
      </w:r>
      <w:r>
        <w:t xml:space="preserve">customers and two-thirds </w:t>
      </w:r>
      <w:r w:rsidR="00CF098F">
        <w:t xml:space="preserve">of medium main allocated </w:t>
      </w:r>
      <w:r>
        <w:t>to all</w:t>
      </w:r>
      <w:r w:rsidR="000905D7">
        <w:t xml:space="preserve"> gas customers</w:t>
      </w:r>
      <w:r>
        <w:t xml:space="preserve"> except Schedules 87, 87T and Contracts?</w:t>
      </w:r>
    </w:p>
    <w:p w:rsidR="001E347C" w:rsidRDefault="001E347C" w:rsidP="001E347C">
      <w:pPr>
        <w:pStyle w:val="answer"/>
      </w:pPr>
      <w:r>
        <w:t>A.</w:t>
      </w:r>
      <w:r>
        <w:tab/>
        <w:t>PSE considered the historical treatment of Schedules 87, 87T and contracts customers and the benefits associated with being part of the gas distribution system.  Historically, these customers had some assignment of costs related to medium main, but that assignment was small.  Prior to PSE’s 2004 GRC,</w:t>
      </w:r>
      <w:r w:rsidR="000905D7">
        <w:rPr>
          <w:rStyle w:val="FootnoteReference"/>
        </w:rPr>
        <w:footnoteReference w:id="13"/>
      </w:r>
      <w:r>
        <w:t xml:space="preserve"> when PSE introduced the use of SynerGEE into its</w:t>
      </w:r>
      <w:r w:rsidR="000905D7">
        <w:t xml:space="preserve"> gas</w:t>
      </w:r>
      <w:r>
        <w:t xml:space="preserve"> cost of service study, the only assignment of medium </w:t>
      </w:r>
      <w:r w:rsidR="000905D7">
        <w:t xml:space="preserve">gas distribution </w:t>
      </w:r>
      <w:r>
        <w:t xml:space="preserve">main given to those largest </w:t>
      </w:r>
      <w:r w:rsidR="000905D7">
        <w:t xml:space="preserve">gas </w:t>
      </w:r>
      <w:r>
        <w:t xml:space="preserve">customers was based on a direct assignment.  The two-thirds weighting of the exemption of these </w:t>
      </w:r>
      <w:r w:rsidR="000905D7">
        <w:t xml:space="preserve">gas </w:t>
      </w:r>
      <w:r>
        <w:t xml:space="preserve">customers is an acknowledgement that, in the past, the Commission </w:t>
      </w:r>
      <w:r>
        <w:lastRenderedPageBreak/>
        <w:t xml:space="preserve">approved very limited cost assignments to this group of customers.  The one-third weighting of assigning the cost of medium </w:t>
      </w:r>
      <w:r w:rsidR="000905D7">
        <w:t xml:space="preserve">gas distribution </w:t>
      </w:r>
      <w:r>
        <w:t xml:space="preserve">main to all </w:t>
      </w:r>
      <w:r w:rsidR="000905D7">
        <w:t xml:space="preserve">gas </w:t>
      </w:r>
      <w:r>
        <w:t xml:space="preserve">customers acknowledges the benefits to all </w:t>
      </w:r>
      <w:r w:rsidR="000905D7">
        <w:t xml:space="preserve">gas </w:t>
      </w:r>
      <w:r>
        <w:t xml:space="preserve">customers of being part of a distribution system.  So while their cost assignment of medium main should be small, it should not be zero.  This methodology is consistent with </w:t>
      </w:r>
      <w:r w:rsidR="000905D7">
        <w:t xml:space="preserve">the approach taken since </w:t>
      </w:r>
      <w:r>
        <w:t>PSE’s 2009 GRC.</w:t>
      </w:r>
      <w:r w:rsidR="000905D7">
        <w:rPr>
          <w:rStyle w:val="FootnoteReference"/>
        </w:rPr>
        <w:footnoteReference w:id="14"/>
      </w:r>
    </w:p>
    <w:p w:rsidR="001E347C" w:rsidRDefault="001E347C" w:rsidP="001E347C">
      <w:pPr>
        <w:pStyle w:val="question"/>
        <w:spacing w:before="120"/>
      </w:pPr>
      <w:r>
        <w:t>Q.</w:t>
      </w:r>
      <w:r>
        <w:tab/>
        <w:t xml:space="preserve">Why did PSE choose two inches as the point for exempting large </w:t>
      </w:r>
      <w:r w:rsidR="000905D7">
        <w:t xml:space="preserve">gas </w:t>
      </w:r>
      <w:r>
        <w:t>customers?</w:t>
      </w:r>
    </w:p>
    <w:p w:rsidR="001E347C" w:rsidRDefault="001E347C" w:rsidP="001E347C">
      <w:pPr>
        <w:pStyle w:val="answer"/>
      </w:pPr>
      <w:r>
        <w:t>A.</w:t>
      </w:r>
      <w:r>
        <w:tab/>
        <w:t>Large</w:t>
      </w:r>
      <w:r w:rsidR="000905D7">
        <w:t xml:space="preserve"> gas distribution</w:t>
      </w:r>
      <w:r>
        <w:t xml:space="preserve"> main (four inches and greater) is the backbone of the system, and medium to small main (three inches and smaller) is used to deliver gas to most customers.  Main smaller than two inches is located mostly in isolated locations on </w:t>
      </w:r>
      <w:r w:rsidR="000905D7">
        <w:t>PSE’s gas distribution</w:t>
      </w:r>
      <w:r>
        <w:t xml:space="preserve"> system and is unlikely to provide benefits to large </w:t>
      </w:r>
      <w:r w:rsidR="000905D7">
        <w:t xml:space="preserve">gas </w:t>
      </w:r>
      <w:r>
        <w:t>commercial and industrial loads, whereas medium main is ubiquitous throughout the distribution system.  Three-inch main is grouped with two-inch main, but there is very little three-inch main in the system.</w:t>
      </w:r>
    </w:p>
    <w:p w:rsidR="001E347C" w:rsidRDefault="001E347C" w:rsidP="001E347C">
      <w:pPr>
        <w:pStyle w:val="question"/>
        <w:keepLines/>
        <w:widowControl w:val="0"/>
        <w:spacing w:before="120"/>
      </w:pPr>
      <w:r>
        <w:t>Q.</w:t>
      </w:r>
      <w:r>
        <w:tab/>
        <w:t xml:space="preserve">Please summarize the benefits of PSE’s approach to allocating </w:t>
      </w:r>
      <w:r w:rsidR="000905D7">
        <w:t xml:space="preserve">gas distribution </w:t>
      </w:r>
      <w:r>
        <w:t>mains.</w:t>
      </w:r>
    </w:p>
    <w:p w:rsidR="001E347C" w:rsidRDefault="001E347C" w:rsidP="001E347C">
      <w:pPr>
        <w:pStyle w:val="answer"/>
      </w:pPr>
      <w:r>
        <w:t>A.</w:t>
      </w:r>
      <w:r>
        <w:tab/>
      </w:r>
      <w:r>
        <w:rPr>
          <w:rStyle w:val="answerChar"/>
        </w:rPr>
        <w:t>There are five benefits to PSE’s</w:t>
      </w:r>
      <w:r>
        <w:t xml:space="preserve"> approach.  First, this method recognizes that all customers benefit from the gas </w:t>
      </w:r>
      <w:r w:rsidR="000905D7">
        <w:t xml:space="preserve">distribution </w:t>
      </w:r>
      <w:r>
        <w:t xml:space="preserve">system of medium to large mains as a whole, not only from the stretch of main through which gas flows to reach the </w:t>
      </w:r>
      <w:r>
        <w:lastRenderedPageBreak/>
        <w:t xml:space="preserve">individual customer.  </w:t>
      </w:r>
      <w:r w:rsidR="000905D7">
        <w:t xml:space="preserve">PSE’s gas distribution </w:t>
      </w:r>
      <w:r>
        <w:t xml:space="preserve">system is a network of pipes that provides benefits to customers in addition to providing the stretch of pipe through which molecules flow to reach the individual customer.  Second, in previous general rate cases some parties have opposed the use of a customer’s physical location on the system to determine the costs that should be assigned to that customer.  The proposed method avoids this practice.  Third, by exempting large </w:t>
      </w:r>
      <w:r w:rsidR="000905D7">
        <w:t xml:space="preserve">gas </w:t>
      </w:r>
      <w:r>
        <w:t>customers from the cost of the smallest diameter main (less than two inches), this approach acknowledges the fact that the smallest main is in isolated locations on the system and is unlikely to benefit large commercial and industrial customers.  Fourth, PSE’s approach addresses concerns regarding cost responsibility for two-inch main by allocating a portion of it to all customers and excluding the largest interruptible customers from a portion of it.  Fifth, PSE’s approach is relatively transparent and easy to understand.</w:t>
      </w:r>
    </w:p>
    <w:p w:rsidR="007816E1" w:rsidRPr="003B5206" w:rsidRDefault="007816E1" w:rsidP="007816E1">
      <w:pPr>
        <w:pStyle w:val="Heading2"/>
        <w:spacing w:before="240" w:after="320"/>
      </w:pPr>
      <w:bookmarkStart w:id="104" w:name="_Toc127352142"/>
      <w:bookmarkStart w:id="105" w:name="_Toc294362338"/>
      <w:bookmarkStart w:id="106" w:name="_Toc471912946"/>
      <w:r w:rsidRPr="003B5206">
        <w:rPr>
          <w:u w:val="none"/>
        </w:rPr>
        <w:t>F.</w:t>
      </w:r>
      <w:r w:rsidRPr="003B5206">
        <w:rPr>
          <w:u w:val="none"/>
        </w:rPr>
        <w:tab/>
      </w:r>
      <w:r w:rsidRPr="003B5206">
        <w:t xml:space="preserve">Results of the </w:t>
      </w:r>
      <w:r>
        <w:t xml:space="preserve">Distribution </w:t>
      </w:r>
      <w:r w:rsidRPr="003B5206">
        <w:t>Cost of Service Stud</w:t>
      </w:r>
      <w:bookmarkEnd w:id="104"/>
      <w:bookmarkEnd w:id="105"/>
      <w:r>
        <w:t>y</w:t>
      </w:r>
      <w:bookmarkEnd w:id="106"/>
    </w:p>
    <w:p w:rsidR="006E73FB" w:rsidRPr="003B5206" w:rsidRDefault="006E73FB" w:rsidP="006E73FB">
      <w:pPr>
        <w:pStyle w:val="question"/>
        <w:keepLines/>
        <w:widowControl w:val="0"/>
        <w:spacing w:before="120"/>
      </w:pPr>
      <w:r w:rsidRPr="003B5206">
        <w:t>Q.</w:t>
      </w:r>
      <w:r w:rsidRPr="003B5206">
        <w:tab/>
        <w:t>Please summarize the results of the</w:t>
      </w:r>
      <w:r>
        <w:t xml:space="preserve"> gas</w:t>
      </w:r>
      <w:r w:rsidRPr="003B5206">
        <w:t xml:space="preserve"> cost of service study conducted by PSE.</w:t>
      </w:r>
    </w:p>
    <w:p w:rsidR="006E73FB" w:rsidRPr="003B5206" w:rsidRDefault="006E73FB" w:rsidP="006E73FB">
      <w:pPr>
        <w:pStyle w:val="answer"/>
        <w:widowControl w:val="0"/>
      </w:pPr>
      <w:r w:rsidRPr="003B5206">
        <w:t>A.</w:t>
      </w:r>
      <w:r w:rsidRPr="003B5206">
        <w:tab/>
        <w:t xml:space="preserve">The parity percentages under current rates, excluding gas costs, are summarized in </w:t>
      </w:r>
      <w:r w:rsidRPr="006E73FB">
        <w:fldChar w:fldCharType="begin"/>
      </w:r>
      <w:r w:rsidRPr="006E73FB">
        <w:instrText xml:space="preserve"> REF _Ref440202840 \h  \* MERGEFORMAT </w:instrText>
      </w:r>
      <w:r w:rsidRPr="006E73FB">
        <w:fldChar w:fldCharType="separate"/>
      </w:r>
      <w:r w:rsidR="0035666C" w:rsidRPr="0035666C">
        <w:t>Table 6</w:t>
      </w:r>
      <w:r w:rsidRPr="006E73FB">
        <w:fldChar w:fldCharType="end"/>
      </w:r>
      <w:r w:rsidRPr="003B5206">
        <w:t xml:space="preserve"> below.  The parity percentage indicates what portion of the cost of service customers pay under current rates, relative to other customer classes.  These results are also provided in the summary of results from the cost of service study </w:t>
      </w:r>
      <w:r w:rsidRPr="002A5324">
        <w:t>on page one, line 36, of Exhibit No. </w:t>
      </w:r>
      <w:r w:rsidRPr="002A5324">
        <w:rPr>
          <w:rStyle w:val="Strong"/>
          <w:b w:val="0"/>
        </w:rPr>
        <w:t>___(</w:t>
      </w:r>
      <w:r w:rsidRPr="002A5324">
        <w:t>JAP-</w:t>
      </w:r>
      <w:r w:rsidR="00CC216D">
        <w:t>8</w:t>
      </w:r>
      <w:r w:rsidRPr="003B5206">
        <w:t xml:space="preserve">). </w:t>
      </w:r>
    </w:p>
    <w:p w:rsidR="006E73FB" w:rsidRPr="006E73FB" w:rsidRDefault="006E73FB" w:rsidP="006E73FB">
      <w:pPr>
        <w:pStyle w:val="answer"/>
        <w:keepNext/>
        <w:keepLines/>
        <w:widowControl w:val="0"/>
        <w:spacing w:after="40" w:line="240" w:lineRule="auto"/>
        <w:ind w:left="1080" w:right="1080" w:firstLine="0"/>
        <w:jc w:val="center"/>
        <w:rPr>
          <w:b/>
        </w:rPr>
      </w:pPr>
      <w:bookmarkStart w:id="107" w:name="_Ref440202840"/>
      <w:r w:rsidRPr="006E73FB">
        <w:rPr>
          <w:b/>
        </w:rPr>
        <w:lastRenderedPageBreak/>
        <w:t xml:space="preserve">Table </w:t>
      </w:r>
      <w:r w:rsidRPr="006E73FB">
        <w:rPr>
          <w:b/>
        </w:rPr>
        <w:fldChar w:fldCharType="begin"/>
      </w:r>
      <w:r w:rsidRPr="006E73FB">
        <w:rPr>
          <w:b/>
        </w:rPr>
        <w:instrText xml:space="preserve"> SEQ Table \* ARABIC </w:instrText>
      </w:r>
      <w:r w:rsidRPr="006E73FB">
        <w:rPr>
          <w:b/>
        </w:rPr>
        <w:fldChar w:fldCharType="separate"/>
      </w:r>
      <w:r w:rsidR="0035666C">
        <w:rPr>
          <w:b/>
          <w:noProof/>
        </w:rPr>
        <w:t>6</w:t>
      </w:r>
      <w:r w:rsidRPr="006E73FB">
        <w:rPr>
          <w:b/>
        </w:rPr>
        <w:fldChar w:fldCharType="end"/>
      </w:r>
      <w:bookmarkEnd w:id="107"/>
      <w:r w:rsidRPr="006E73FB">
        <w:rPr>
          <w:b/>
        </w:rPr>
        <w:t xml:space="preserve"> </w:t>
      </w:r>
      <w:r>
        <w:rPr>
          <w:b/>
        </w:rPr>
        <w:t>–</w:t>
      </w:r>
      <w:r w:rsidRPr="006E73FB">
        <w:rPr>
          <w:b/>
        </w:rPr>
        <w:t xml:space="preserve"> </w:t>
      </w:r>
      <w:r>
        <w:rPr>
          <w:b/>
        </w:rPr>
        <w:t xml:space="preserve">Results of </w:t>
      </w:r>
      <w:r w:rsidRPr="006E73FB">
        <w:rPr>
          <w:b/>
        </w:rPr>
        <w:t xml:space="preserve">Gas </w:t>
      </w:r>
      <w:r>
        <w:rPr>
          <w:b/>
        </w:rPr>
        <w:t>Cost of Service Study</w:t>
      </w:r>
    </w:p>
    <w:tbl>
      <w:tblPr>
        <w:tblW w:w="7437" w:type="dxa"/>
        <w:jc w:val="center"/>
        <w:tblInd w:w="835" w:type="dxa"/>
        <w:tblLayout w:type="fixed"/>
        <w:tblCellMar>
          <w:left w:w="115" w:type="dxa"/>
          <w:right w:w="115" w:type="dxa"/>
        </w:tblCellMar>
        <w:tblLook w:val="01E0" w:firstRow="1" w:lastRow="1" w:firstColumn="1" w:lastColumn="1" w:noHBand="0" w:noVBand="0"/>
      </w:tblPr>
      <w:tblGrid>
        <w:gridCol w:w="3533"/>
        <w:gridCol w:w="1440"/>
        <w:gridCol w:w="2464"/>
      </w:tblGrid>
      <w:tr w:rsidR="006E73FB" w:rsidRPr="003B5206" w:rsidTr="00683198">
        <w:trPr>
          <w:cantSplit/>
          <w:jc w:val="center"/>
        </w:trPr>
        <w:tc>
          <w:tcPr>
            <w:tcW w:w="3533" w:type="dxa"/>
            <w:tcBorders>
              <w:top w:val="single" w:sz="4" w:space="0" w:color="auto"/>
              <w:bottom w:val="single" w:sz="4" w:space="0" w:color="auto"/>
            </w:tcBorders>
            <w:shd w:val="clear" w:color="auto" w:fill="auto"/>
            <w:vAlign w:val="center"/>
          </w:tcPr>
          <w:p w:rsidR="006E73FB" w:rsidRPr="006E73FB" w:rsidRDefault="006E73FB" w:rsidP="006E73FB">
            <w:pPr>
              <w:pStyle w:val="answer"/>
              <w:keepNext/>
              <w:spacing w:before="60" w:after="60" w:line="240" w:lineRule="auto"/>
              <w:ind w:left="0" w:firstLine="0"/>
              <w:jc w:val="center"/>
              <w:rPr>
                <w:b/>
              </w:rPr>
            </w:pPr>
            <w:r w:rsidRPr="006E73FB">
              <w:rPr>
                <w:b/>
              </w:rPr>
              <w:t>Customer Class</w:t>
            </w:r>
          </w:p>
        </w:tc>
        <w:tc>
          <w:tcPr>
            <w:tcW w:w="1440" w:type="dxa"/>
            <w:tcBorders>
              <w:top w:val="single" w:sz="4" w:space="0" w:color="auto"/>
              <w:bottom w:val="single" w:sz="4" w:space="0" w:color="auto"/>
            </w:tcBorders>
            <w:shd w:val="clear" w:color="auto" w:fill="auto"/>
            <w:vAlign w:val="center"/>
          </w:tcPr>
          <w:p w:rsidR="006E73FB" w:rsidRPr="006E73FB" w:rsidRDefault="006E73FB" w:rsidP="00683198">
            <w:pPr>
              <w:pStyle w:val="answer"/>
              <w:keepNext/>
              <w:spacing w:before="60" w:after="60" w:line="240" w:lineRule="auto"/>
              <w:ind w:left="0" w:firstLine="0"/>
              <w:jc w:val="center"/>
              <w:rPr>
                <w:b/>
              </w:rPr>
            </w:pPr>
            <w:r w:rsidRPr="006E73FB">
              <w:rPr>
                <w:b/>
              </w:rPr>
              <w:t>Schedule</w:t>
            </w:r>
          </w:p>
        </w:tc>
        <w:tc>
          <w:tcPr>
            <w:tcW w:w="2464" w:type="dxa"/>
            <w:tcBorders>
              <w:top w:val="single" w:sz="4" w:space="0" w:color="auto"/>
              <w:bottom w:val="single" w:sz="4" w:space="0" w:color="auto"/>
            </w:tcBorders>
            <w:shd w:val="clear" w:color="auto" w:fill="auto"/>
            <w:vAlign w:val="center"/>
          </w:tcPr>
          <w:p w:rsidR="006E73FB" w:rsidRPr="006E73FB" w:rsidRDefault="006E73FB" w:rsidP="006E73FB">
            <w:pPr>
              <w:pStyle w:val="answer"/>
              <w:keepNext/>
              <w:spacing w:before="60" w:after="60" w:line="240" w:lineRule="auto"/>
              <w:ind w:left="0" w:firstLine="0"/>
              <w:jc w:val="center"/>
              <w:rPr>
                <w:b/>
              </w:rPr>
            </w:pPr>
            <w:r w:rsidRPr="006E73FB">
              <w:rPr>
                <w:b/>
              </w:rPr>
              <w:t>Parity Percentage</w:t>
            </w:r>
          </w:p>
        </w:tc>
      </w:tr>
      <w:tr w:rsidR="006E73FB" w:rsidRPr="003B5206" w:rsidTr="00683198">
        <w:trPr>
          <w:cantSplit/>
          <w:jc w:val="center"/>
        </w:trPr>
        <w:tc>
          <w:tcPr>
            <w:tcW w:w="3533" w:type="dxa"/>
            <w:tcBorders>
              <w:top w:val="single" w:sz="4" w:space="0" w:color="auto"/>
            </w:tcBorders>
            <w:vAlign w:val="bottom"/>
          </w:tcPr>
          <w:p w:rsidR="006E73FB" w:rsidRPr="003B5206" w:rsidRDefault="006E73FB" w:rsidP="006E73FB">
            <w:pPr>
              <w:pStyle w:val="answer"/>
              <w:keepNext/>
              <w:spacing w:before="60" w:after="60" w:line="240" w:lineRule="auto"/>
              <w:ind w:left="0" w:firstLine="0"/>
            </w:pPr>
            <w:r w:rsidRPr="003B5206">
              <w:t>Re</w:t>
            </w:r>
            <w:r w:rsidR="00683198">
              <w:t>sidential</w:t>
            </w:r>
          </w:p>
        </w:tc>
        <w:tc>
          <w:tcPr>
            <w:tcW w:w="1440" w:type="dxa"/>
            <w:tcBorders>
              <w:top w:val="single" w:sz="4" w:space="0" w:color="auto"/>
            </w:tcBorders>
          </w:tcPr>
          <w:p w:rsidR="006E73FB" w:rsidRPr="00683198" w:rsidRDefault="00683198" w:rsidP="006E73FB">
            <w:pPr>
              <w:pStyle w:val="answer"/>
              <w:keepNext/>
              <w:spacing w:before="60" w:after="60" w:line="240" w:lineRule="auto"/>
              <w:ind w:left="0" w:firstLine="0"/>
              <w:jc w:val="center"/>
            </w:pPr>
            <w:r w:rsidRPr="00683198">
              <w:t>16/23/53</w:t>
            </w:r>
          </w:p>
        </w:tc>
        <w:tc>
          <w:tcPr>
            <w:tcW w:w="2464" w:type="dxa"/>
            <w:tcBorders>
              <w:top w:val="single" w:sz="4" w:space="0" w:color="auto"/>
            </w:tcBorders>
            <w:vAlign w:val="bottom"/>
          </w:tcPr>
          <w:p w:rsidR="006E73FB" w:rsidRPr="002A5324" w:rsidRDefault="0042344B" w:rsidP="006E73FB">
            <w:pPr>
              <w:pStyle w:val="answer"/>
              <w:keepNext/>
              <w:spacing w:before="60" w:after="60" w:line="240" w:lineRule="auto"/>
              <w:ind w:left="0" w:firstLine="0"/>
              <w:jc w:val="center"/>
            </w:pPr>
            <w:r>
              <w:t>108</w:t>
            </w:r>
            <w:r w:rsidR="006E73FB" w:rsidRPr="002A5324">
              <w:t>%</w:t>
            </w:r>
          </w:p>
        </w:tc>
      </w:tr>
      <w:tr w:rsidR="006E73FB" w:rsidRPr="003B5206" w:rsidTr="00683198">
        <w:trPr>
          <w:cantSplit/>
          <w:jc w:val="center"/>
        </w:trPr>
        <w:tc>
          <w:tcPr>
            <w:tcW w:w="3533" w:type="dxa"/>
            <w:vAlign w:val="bottom"/>
          </w:tcPr>
          <w:p w:rsidR="006E73FB" w:rsidRPr="003B5206" w:rsidRDefault="006E73FB" w:rsidP="006E73FB">
            <w:pPr>
              <w:pStyle w:val="answer"/>
              <w:keepNext/>
              <w:spacing w:before="60" w:after="60" w:line="240" w:lineRule="auto"/>
              <w:ind w:left="0" w:firstLine="0"/>
            </w:pPr>
            <w:r w:rsidRPr="003B5206">
              <w:t>Commercial &amp; In</w:t>
            </w:r>
            <w:r w:rsidR="00683198">
              <w:t>dustrial</w:t>
            </w:r>
          </w:p>
        </w:tc>
        <w:tc>
          <w:tcPr>
            <w:tcW w:w="1440" w:type="dxa"/>
          </w:tcPr>
          <w:p w:rsidR="006E73FB" w:rsidRPr="00683198" w:rsidRDefault="00683198" w:rsidP="006E73FB">
            <w:pPr>
              <w:pStyle w:val="answer"/>
              <w:keepNext/>
              <w:spacing w:before="60" w:after="60" w:line="240" w:lineRule="auto"/>
              <w:ind w:left="0" w:firstLine="0"/>
              <w:jc w:val="center"/>
            </w:pPr>
            <w:r w:rsidRPr="00683198">
              <w:t>31/31T</w:t>
            </w:r>
          </w:p>
        </w:tc>
        <w:tc>
          <w:tcPr>
            <w:tcW w:w="2464" w:type="dxa"/>
            <w:vAlign w:val="bottom"/>
          </w:tcPr>
          <w:p w:rsidR="006E73FB" w:rsidRPr="002A5324" w:rsidRDefault="0042344B" w:rsidP="006E73FB">
            <w:pPr>
              <w:pStyle w:val="answer"/>
              <w:keepNext/>
              <w:spacing w:before="60" w:after="60" w:line="240" w:lineRule="auto"/>
              <w:ind w:left="0" w:firstLine="0"/>
              <w:jc w:val="center"/>
            </w:pPr>
            <w:r>
              <w:t>79</w:t>
            </w:r>
            <w:r w:rsidR="006E73FB" w:rsidRPr="002A5324">
              <w:t>%</w:t>
            </w:r>
          </w:p>
        </w:tc>
      </w:tr>
      <w:tr w:rsidR="006E73FB" w:rsidRPr="003B5206" w:rsidTr="00683198">
        <w:trPr>
          <w:cantSplit/>
          <w:jc w:val="center"/>
        </w:trPr>
        <w:tc>
          <w:tcPr>
            <w:tcW w:w="3533" w:type="dxa"/>
            <w:vAlign w:val="bottom"/>
          </w:tcPr>
          <w:p w:rsidR="006E73FB" w:rsidRPr="003B5206" w:rsidRDefault="00683198" w:rsidP="006E73FB">
            <w:pPr>
              <w:pStyle w:val="answer"/>
              <w:keepNext/>
              <w:spacing w:before="60" w:after="60" w:line="240" w:lineRule="auto"/>
              <w:ind w:left="0" w:firstLine="0"/>
            </w:pPr>
            <w:r>
              <w:t>Large Volume</w:t>
            </w:r>
          </w:p>
        </w:tc>
        <w:tc>
          <w:tcPr>
            <w:tcW w:w="1440" w:type="dxa"/>
          </w:tcPr>
          <w:p w:rsidR="006E73FB" w:rsidRPr="00683198" w:rsidRDefault="00683198" w:rsidP="006E73FB">
            <w:pPr>
              <w:pStyle w:val="answer"/>
              <w:keepNext/>
              <w:spacing w:before="60" w:after="60" w:line="240" w:lineRule="auto"/>
              <w:ind w:left="0" w:firstLine="0"/>
              <w:jc w:val="center"/>
            </w:pPr>
            <w:r w:rsidRPr="00683198">
              <w:t>41/41T</w:t>
            </w:r>
          </w:p>
        </w:tc>
        <w:tc>
          <w:tcPr>
            <w:tcW w:w="2464" w:type="dxa"/>
            <w:vAlign w:val="bottom"/>
          </w:tcPr>
          <w:p w:rsidR="006E73FB" w:rsidRPr="002A5324" w:rsidRDefault="0042344B" w:rsidP="006E73FB">
            <w:pPr>
              <w:pStyle w:val="answer"/>
              <w:keepNext/>
              <w:spacing w:before="60" w:after="60" w:line="240" w:lineRule="auto"/>
              <w:ind w:left="0" w:firstLine="0"/>
              <w:jc w:val="center"/>
            </w:pPr>
            <w:r>
              <w:t>95</w:t>
            </w:r>
            <w:r w:rsidR="006E73FB" w:rsidRPr="002A5324">
              <w:t>%</w:t>
            </w:r>
          </w:p>
        </w:tc>
      </w:tr>
      <w:tr w:rsidR="006E73FB" w:rsidRPr="003B5206" w:rsidTr="00683198">
        <w:trPr>
          <w:cantSplit/>
          <w:jc w:val="center"/>
        </w:trPr>
        <w:tc>
          <w:tcPr>
            <w:tcW w:w="3533" w:type="dxa"/>
            <w:vAlign w:val="bottom"/>
          </w:tcPr>
          <w:p w:rsidR="006E73FB" w:rsidRPr="003B5206" w:rsidRDefault="00683198" w:rsidP="006E73FB">
            <w:pPr>
              <w:pStyle w:val="answer"/>
              <w:keepNext/>
              <w:spacing w:before="60" w:after="60" w:line="240" w:lineRule="auto"/>
              <w:ind w:left="0" w:firstLine="0"/>
            </w:pPr>
            <w:r>
              <w:t>Interruptible</w:t>
            </w:r>
          </w:p>
        </w:tc>
        <w:tc>
          <w:tcPr>
            <w:tcW w:w="1440" w:type="dxa"/>
          </w:tcPr>
          <w:p w:rsidR="006E73FB" w:rsidRPr="00683198" w:rsidRDefault="00683198" w:rsidP="006E73FB">
            <w:pPr>
              <w:pStyle w:val="answer"/>
              <w:keepNext/>
              <w:spacing w:before="60" w:after="60" w:line="240" w:lineRule="auto"/>
              <w:ind w:left="0" w:firstLine="0"/>
              <w:jc w:val="center"/>
            </w:pPr>
            <w:r w:rsidRPr="00683198">
              <w:t>85/85T</w:t>
            </w:r>
          </w:p>
        </w:tc>
        <w:tc>
          <w:tcPr>
            <w:tcW w:w="2464" w:type="dxa"/>
            <w:vAlign w:val="bottom"/>
          </w:tcPr>
          <w:p w:rsidR="006E73FB" w:rsidRPr="002A5324" w:rsidRDefault="002A5324" w:rsidP="0042344B">
            <w:pPr>
              <w:pStyle w:val="answer"/>
              <w:keepNext/>
              <w:spacing w:before="60" w:after="60" w:line="240" w:lineRule="auto"/>
              <w:ind w:left="0" w:firstLine="0"/>
              <w:jc w:val="center"/>
            </w:pPr>
            <w:r w:rsidRPr="002A5324">
              <w:t>1</w:t>
            </w:r>
            <w:r w:rsidR="0042344B">
              <w:t>02</w:t>
            </w:r>
            <w:r w:rsidR="006E73FB" w:rsidRPr="002A5324">
              <w:t>%</w:t>
            </w:r>
          </w:p>
        </w:tc>
      </w:tr>
      <w:tr w:rsidR="006E73FB" w:rsidRPr="003B5206" w:rsidTr="00683198">
        <w:trPr>
          <w:cantSplit/>
          <w:jc w:val="center"/>
        </w:trPr>
        <w:tc>
          <w:tcPr>
            <w:tcW w:w="3533" w:type="dxa"/>
            <w:vAlign w:val="bottom"/>
          </w:tcPr>
          <w:p w:rsidR="006E73FB" w:rsidRPr="003B5206" w:rsidRDefault="006E73FB" w:rsidP="006E73FB">
            <w:pPr>
              <w:pStyle w:val="answer"/>
              <w:keepNext/>
              <w:spacing w:before="60" w:after="60" w:line="240" w:lineRule="auto"/>
              <w:ind w:left="0" w:firstLine="0"/>
            </w:pPr>
            <w:r w:rsidRPr="003B5206">
              <w:t xml:space="preserve">Limited </w:t>
            </w:r>
            <w:r w:rsidR="00683198">
              <w:t>Interruptible</w:t>
            </w:r>
          </w:p>
        </w:tc>
        <w:tc>
          <w:tcPr>
            <w:tcW w:w="1440" w:type="dxa"/>
          </w:tcPr>
          <w:p w:rsidR="006E73FB" w:rsidRPr="00683198" w:rsidRDefault="00683198" w:rsidP="006E73FB">
            <w:pPr>
              <w:pStyle w:val="answer"/>
              <w:keepNext/>
              <w:spacing w:before="60" w:after="60" w:line="240" w:lineRule="auto"/>
              <w:ind w:left="0" w:firstLine="0"/>
              <w:jc w:val="center"/>
            </w:pPr>
            <w:r w:rsidRPr="00683198">
              <w:t>86/86T</w:t>
            </w:r>
          </w:p>
        </w:tc>
        <w:tc>
          <w:tcPr>
            <w:tcW w:w="2464" w:type="dxa"/>
            <w:vAlign w:val="bottom"/>
          </w:tcPr>
          <w:p w:rsidR="006E73FB" w:rsidRPr="002A5324" w:rsidRDefault="002A5324" w:rsidP="0042344B">
            <w:pPr>
              <w:pStyle w:val="answer"/>
              <w:keepNext/>
              <w:spacing w:before="60" w:after="60" w:line="240" w:lineRule="auto"/>
              <w:ind w:left="0" w:firstLine="0"/>
              <w:jc w:val="center"/>
            </w:pPr>
            <w:r w:rsidRPr="002A5324">
              <w:t>1</w:t>
            </w:r>
            <w:r w:rsidR="0042344B">
              <w:t>21</w:t>
            </w:r>
            <w:r w:rsidR="006E73FB" w:rsidRPr="002A5324">
              <w:t>%</w:t>
            </w:r>
          </w:p>
        </w:tc>
      </w:tr>
      <w:tr w:rsidR="006E73FB" w:rsidRPr="003B5206" w:rsidTr="00683198">
        <w:trPr>
          <w:cantSplit/>
          <w:jc w:val="center"/>
        </w:trPr>
        <w:tc>
          <w:tcPr>
            <w:tcW w:w="3533" w:type="dxa"/>
            <w:vAlign w:val="bottom"/>
          </w:tcPr>
          <w:p w:rsidR="006E73FB" w:rsidRPr="003B5206" w:rsidRDefault="006E73FB" w:rsidP="006E73FB">
            <w:pPr>
              <w:pStyle w:val="answer"/>
              <w:keepNext/>
              <w:spacing w:before="60" w:after="60" w:line="240" w:lineRule="auto"/>
              <w:ind w:left="0" w:firstLine="0"/>
            </w:pPr>
            <w:r w:rsidRPr="003B5206">
              <w:t>Non-exclusive I</w:t>
            </w:r>
            <w:r w:rsidR="00683198">
              <w:t>nterruptible</w:t>
            </w:r>
          </w:p>
        </w:tc>
        <w:tc>
          <w:tcPr>
            <w:tcW w:w="1440" w:type="dxa"/>
          </w:tcPr>
          <w:p w:rsidR="006E73FB" w:rsidRPr="00683198" w:rsidRDefault="00683198" w:rsidP="006E73FB">
            <w:pPr>
              <w:pStyle w:val="answer"/>
              <w:keepNext/>
              <w:spacing w:before="60" w:after="60" w:line="240" w:lineRule="auto"/>
              <w:ind w:left="0" w:firstLine="0"/>
              <w:jc w:val="center"/>
            </w:pPr>
            <w:r w:rsidRPr="00683198">
              <w:t>87/87T</w:t>
            </w:r>
          </w:p>
        </w:tc>
        <w:tc>
          <w:tcPr>
            <w:tcW w:w="2464" w:type="dxa"/>
            <w:vAlign w:val="bottom"/>
          </w:tcPr>
          <w:p w:rsidR="006E73FB" w:rsidRPr="002A5324" w:rsidRDefault="002A5324" w:rsidP="0042344B">
            <w:pPr>
              <w:pStyle w:val="answer"/>
              <w:keepNext/>
              <w:spacing w:before="60" w:after="60" w:line="240" w:lineRule="auto"/>
              <w:ind w:left="0" w:firstLine="0"/>
              <w:jc w:val="center"/>
            </w:pPr>
            <w:r w:rsidRPr="002A5324">
              <w:t>7</w:t>
            </w:r>
            <w:r w:rsidR="0042344B">
              <w:t>6</w:t>
            </w:r>
            <w:r w:rsidR="006E73FB" w:rsidRPr="002A5324">
              <w:t>%</w:t>
            </w:r>
          </w:p>
        </w:tc>
      </w:tr>
      <w:tr w:rsidR="006E73FB" w:rsidRPr="003B5206" w:rsidTr="00683198">
        <w:trPr>
          <w:cantSplit/>
          <w:jc w:val="center"/>
        </w:trPr>
        <w:tc>
          <w:tcPr>
            <w:tcW w:w="3533" w:type="dxa"/>
            <w:vAlign w:val="bottom"/>
          </w:tcPr>
          <w:p w:rsidR="006E73FB" w:rsidRPr="003B5206" w:rsidRDefault="006E73FB" w:rsidP="006E73FB">
            <w:pPr>
              <w:pStyle w:val="answer"/>
              <w:keepNext/>
              <w:spacing w:before="60" w:after="60" w:line="240" w:lineRule="auto"/>
              <w:ind w:left="0" w:firstLine="0"/>
            </w:pPr>
            <w:r w:rsidRPr="003B5206">
              <w:t xml:space="preserve">Special Contracts </w:t>
            </w:r>
          </w:p>
        </w:tc>
        <w:tc>
          <w:tcPr>
            <w:tcW w:w="1440" w:type="dxa"/>
          </w:tcPr>
          <w:p w:rsidR="006E73FB" w:rsidRPr="00683198" w:rsidRDefault="006E73FB" w:rsidP="006E73FB">
            <w:pPr>
              <w:pStyle w:val="answer"/>
              <w:keepNext/>
              <w:spacing w:before="60" w:after="60" w:line="240" w:lineRule="auto"/>
              <w:ind w:left="0" w:firstLine="0"/>
              <w:jc w:val="center"/>
            </w:pPr>
          </w:p>
        </w:tc>
        <w:tc>
          <w:tcPr>
            <w:tcW w:w="2464" w:type="dxa"/>
            <w:vAlign w:val="bottom"/>
          </w:tcPr>
          <w:p w:rsidR="006E73FB" w:rsidRPr="002A5324" w:rsidRDefault="0042344B" w:rsidP="006E73FB">
            <w:pPr>
              <w:pStyle w:val="answer"/>
              <w:keepNext/>
              <w:spacing w:before="60" w:after="60" w:line="240" w:lineRule="auto"/>
              <w:ind w:left="0" w:firstLine="0"/>
              <w:jc w:val="center"/>
            </w:pPr>
            <w:r>
              <w:t>59</w:t>
            </w:r>
            <w:r w:rsidR="006E73FB" w:rsidRPr="002A5324">
              <w:t>%</w:t>
            </w:r>
          </w:p>
        </w:tc>
      </w:tr>
      <w:tr w:rsidR="006E73FB" w:rsidRPr="003B5206" w:rsidTr="00683198">
        <w:trPr>
          <w:cantSplit/>
          <w:jc w:val="center"/>
        </w:trPr>
        <w:tc>
          <w:tcPr>
            <w:tcW w:w="3533" w:type="dxa"/>
            <w:tcBorders>
              <w:bottom w:val="single" w:sz="4" w:space="0" w:color="auto"/>
            </w:tcBorders>
            <w:vAlign w:val="bottom"/>
          </w:tcPr>
          <w:p w:rsidR="006E73FB" w:rsidRPr="003B5206" w:rsidRDefault="006E73FB" w:rsidP="006E73FB">
            <w:pPr>
              <w:pStyle w:val="answer"/>
              <w:spacing w:before="60" w:after="60" w:line="240" w:lineRule="auto"/>
              <w:ind w:left="0" w:firstLine="0"/>
            </w:pPr>
            <w:bookmarkStart w:id="108" w:name="OLE_LINK4"/>
            <w:bookmarkStart w:id="109" w:name="OLE_LINK5"/>
            <w:r w:rsidRPr="003B5206">
              <w:t>Rentals</w:t>
            </w:r>
            <w:bookmarkEnd w:id="108"/>
            <w:bookmarkEnd w:id="109"/>
          </w:p>
        </w:tc>
        <w:tc>
          <w:tcPr>
            <w:tcW w:w="1440" w:type="dxa"/>
            <w:tcBorders>
              <w:bottom w:val="single" w:sz="4" w:space="0" w:color="auto"/>
            </w:tcBorders>
          </w:tcPr>
          <w:p w:rsidR="006E73FB" w:rsidRPr="00683198" w:rsidRDefault="00683198" w:rsidP="006E73FB">
            <w:pPr>
              <w:pStyle w:val="answer"/>
              <w:spacing w:before="60" w:after="60" w:line="240" w:lineRule="auto"/>
              <w:ind w:left="0" w:firstLine="0"/>
              <w:jc w:val="center"/>
            </w:pPr>
            <w:r w:rsidRPr="00683198">
              <w:t>71/72/74</w:t>
            </w:r>
          </w:p>
        </w:tc>
        <w:tc>
          <w:tcPr>
            <w:tcW w:w="2464" w:type="dxa"/>
            <w:tcBorders>
              <w:bottom w:val="single" w:sz="4" w:space="0" w:color="auto"/>
            </w:tcBorders>
            <w:vAlign w:val="bottom"/>
          </w:tcPr>
          <w:p w:rsidR="006E73FB" w:rsidRPr="002A5324" w:rsidRDefault="0042344B" w:rsidP="006E73FB">
            <w:pPr>
              <w:pStyle w:val="answer"/>
              <w:spacing w:before="60" w:after="60" w:line="240" w:lineRule="auto"/>
              <w:ind w:left="0" w:firstLine="0"/>
              <w:jc w:val="center"/>
            </w:pPr>
            <w:r>
              <w:t>186</w:t>
            </w:r>
            <w:r w:rsidR="006E73FB" w:rsidRPr="002A5324">
              <w:t>%</w:t>
            </w:r>
          </w:p>
        </w:tc>
      </w:tr>
      <w:tr w:rsidR="006E73FB" w:rsidRPr="003B5206" w:rsidTr="00683198">
        <w:trPr>
          <w:cantSplit/>
          <w:jc w:val="center"/>
        </w:trPr>
        <w:tc>
          <w:tcPr>
            <w:tcW w:w="3533" w:type="dxa"/>
            <w:tcBorders>
              <w:top w:val="single" w:sz="4" w:space="0" w:color="auto"/>
            </w:tcBorders>
            <w:vAlign w:val="bottom"/>
          </w:tcPr>
          <w:p w:rsidR="006E73FB" w:rsidRPr="00683198" w:rsidRDefault="006E73FB" w:rsidP="006E73FB">
            <w:pPr>
              <w:pStyle w:val="answer"/>
              <w:spacing w:before="60" w:after="60" w:line="240" w:lineRule="auto"/>
              <w:ind w:left="0" w:firstLine="0"/>
              <w:rPr>
                <w:b/>
              </w:rPr>
            </w:pPr>
            <w:r w:rsidRPr="00683198">
              <w:rPr>
                <w:b/>
              </w:rPr>
              <w:t>Total/System Average</w:t>
            </w:r>
          </w:p>
        </w:tc>
        <w:tc>
          <w:tcPr>
            <w:tcW w:w="1440" w:type="dxa"/>
            <w:tcBorders>
              <w:top w:val="single" w:sz="4" w:space="0" w:color="auto"/>
            </w:tcBorders>
          </w:tcPr>
          <w:p w:rsidR="006E73FB" w:rsidRPr="00683198" w:rsidRDefault="006E73FB" w:rsidP="006E73FB">
            <w:pPr>
              <w:pStyle w:val="answer"/>
              <w:spacing w:before="60" w:after="60" w:line="240" w:lineRule="auto"/>
              <w:ind w:left="0" w:firstLine="0"/>
              <w:jc w:val="center"/>
              <w:rPr>
                <w:b/>
                <w:highlight w:val="yellow"/>
              </w:rPr>
            </w:pPr>
          </w:p>
        </w:tc>
        <w:tc>
          <w:tcPr>
            <w:tcW w:w="2464" w:type="dxa"/>
            <w:tcBorders>
              <w:top w:val="single" w:sz="4" w:space="0" w:color="auto"/>
            </w:tcBorders>
            <w:vAlign w:val="bottom"/>
          </w:tcPr>
          <w:p w:rsidR="006E73FB" w:rsidRPr="002A5324" w:rsidRDefault="006E73FB" w:rsidP="006E73FB">
            <w:pPr>
              <w:pStyle w:val="answer"/>
              <w:spacing w:before="60" w:after="60" w:line="240" w:lineRule="auto"/>
              <w:ind w:left="0" w:firstLine="0"/>
              <w:jc w:val="center"/>
              <w:rPr>
                <w:b/>
              </w:rPr>
            </w:pPr>
            <w:r w:rsidRPr="002A5324">
              <w:rPr>
                <w:b/>
              </w:rPr>
              <w:t>100%</w:t>
            </w:r>
          </w:p>
        </w:tc>
      </w:tr>
    </w:tbl>
    <w:p w:rsidR="007816E1" w:rsidRDefault="007816E1" w:rsidP="007816E1">
      <w:pPr>
        <w:pStyle w:val="answer"/>
        <w:widowControl w:val="0"/>
        <w:rPr>
          <w:rFonts w:eastAsia="SimSun"/>
        </w:rPr>
      </w:pPr>
    </w:p>
    <w:p w:rsidR="007816E1" w:rsidRPr="003B5206" w:rsidRDefault="00FF08C2" w:rsidP="007816E1">
      <w:pPr>
        <w:pStyle w:val="Heading2"/>
        <w:spacing w:before="240" w:after="320"/>
      </w:pPr>
      <w:bookmarkStart w:id="110" w:name="_Toc471912947"/>
      <w:r>
        <w:rPr>
          <w:u w:val="none"/>
        </w:rPr>
        <w:t>G</w:t>
      </w:r>
      <w:r w:rsidR="007816E1" w:rsidRPr="003B5206">
        <w:rPr>
          <w:u w:val="none"/>
        </w:rPr>
        <w:t>.</w:t>
      </w:r>
      <w:r w:rsidR="007816E1" w:rsidRPr="003B5206">
        <w:rPr>
          <w:u w:val="none"/>
        </w:rPr>
        <w:tab/>
      </w:r>
      <w:r w:rsidR="00434BDA">
        <w:t>Classification and A</w:t>
      </w:r>
      <w:r w:rsidR="007816E1" w:rsidRPr="00FF4648">
        <w:t xml:space="preserve">llocation of </w:t>
      </w:r>
      <w:r w:rsidR="00CC04BC">
        <w:t xml:space="preserve">Purchased Gas </w:t>
      </w:r>
      <w:r w:rsidR="007816E1">
        <w:t>Related Costs</w:t>
      </w:r>
      <w:bookmarkEnd w:id="110"/>
    </w:p>
    <w:p w:rsidR="00CC04BC" w:rsidRPr="009075DC" w:rsidRDefault="00CC04BC" w:rsidP="00CC04BC">
      <w:pPr>
        <w:pStyle w:val="question"/>
        <w:widowControl w:val="0"/>
        <w:rPr>
          <w:rFonts w:eastAsia="SimSun"/>
        </w:rPr>
      </w:pPr>
      <w:r w:rsidRPr="009075DC">
        <w:rPr>
          <w:rFonts w:eastAsia="SimSun"/>
        </w:rPr>
        <w:t>Q.</w:t>
      </w:r>
      <w:r w:rsidRPr="009075DC">
        <w:rPr>
          <w:rFonts w:eastAsia="SimSun"/>
        </w:rPr>
        <w:tab/>
      </w:r>
      <w:r>
        <w:rPr>
          <w:rFonts w:eastAsia="SimSun"/>
        </w:rPr>
        <w:t>Are PSE’s purchased gas cost rates being set in this case?</w:t>
      </w:r>
    </w:p>
    <w:p w:rsidR="00CC04BC" w:rsidRDefault="00CC04BC" w:rsidP="00CC04BC">
      <w:pPr>
        <w:pStyle w:val="answer"/>
        <w:widowControl w:val="0"/>
        <w:rPr>
          <w:rFonts w:eastAsia="SimSun"/>
        </w:rPr>
      </w:pPr>
      <w:r w:rsidRPr="009075DC">
        <w:rPr>
          <w:rFonts w:eastAsia="SimSun"/>
        </w:rPr>
        <w:t>A.</w:t>
      </w:r>
      <w:r w:rsidRPr="009075DC">
        <w:rPr>
          <w:rFonts w:eastAsia="SimSun"/>
        </w:rPr>
        <w:tab/>
      </w:r>
      <w:r>
        <w:rPr>
          <w:rFonts w:eastAsia="SimSun"/>
        </w:rPr>
        <w:t>No.  These rates are set in PSE’s Purchased Gas Adjustment (“PGA”) filings that occur each fall</w:t>
      </w:r>
      <w:r w:rsidRPr="009075DC">
        <w:rPr>
          <w:rFonts w:eastAsia="SimSun"/>
        </w:rPr>
        <w:t>.</w:t>
      </w:r>
      <w:r>
        <w:rPr>
          <w:rFonts w:eastAsia="SimSun"/>
        </w:rPr>
        <w:t xml:space="preserve">  However, the </w:t>
      </w:r>
      <w:r w:rsidR="008122C6">
        <w:rPr>
          <w:rFonts w:eastAsia="SimSun"/>
        </w:rPr>
        <w:t>historic</w:t>
      </w:r>
      <w:r>
        <w:rPr>
          <w:rFonts w:eastAsia="SimSun"/>
        </w:rPr>
        <w:t xml:space="preserve"> practice in these PGA filings is to rely on the classification and allocation results from PSE’s GRCs to allocate costs in these filings. </w:t>
      </w:r>
      <w:r w:rsidR="00C60C58">
        <w:rPr>
          <w:rFonts w:eastAsia="SimSun"/>
        </w:rPr>
        <w:t xml:space="preserve"> </w:t>
      </w:r>
    </w:p>
    <w:p w:rsidR="0026017D" w:rsidRPr="009075DC" w:rsidRDefault="0026017D" w:rsidP="0026017D">
      <w:pPr>
        <w:pStyle w:val="question"/>
        <w:widowControl w:val="0"/>
        <w:rPr>
          <w:rFonts w:eastAsia="SimSun"/>
        </w:rPr>
      </w:pPr>
      <w:r w:rsidRPr="009075DC">
        <w:rPr>
          <w:rFonts w:eastAsia="SimSun"/>
        </w:rPr>
        <w:t>Q.</w:t>
      </w:r>
      <w:r w:rsidRPr="009075DC">
        <w:rPr>
          <w:rFonts w:eastAsia="SimSun"/>
        </w:rPr>
        <w:tab/>
      </w:r>
      <w:r w:rsidR="00434BDA">
        <w:rPr>
          <w:rFonts w:eastAsia="SimSun"/>
        </w:rPr>
        <w:t xml:space="preserve">When was the last time PSE </w:t>
      </w:r>
      <w:r w:rsidR="00587372">
        <w:rPr>
          <w:rFonts w:eastAsia="SimSun"/>
        </w:rPr>
        <w:t xml:space="preserve">reviewed in a GRC </w:t>
      </w:r>
      <w:r w:rsidR="00434BDA">
        <w:rPr>
          <w:rFonts w:eastAsia="SimSun"/>
        </w:rPr>
        <w:t xml:space="preserve">the classification and allocation </w:t>
      </w:r>
      <w:r w:rsidR="00C60C58">
        <w:rPr>
          <w:rFonts w:eastAsia="SimSun"/>
        </w:rPr>
        <w:t xml:space="preserve">factors </w:t>
      </w:r>
      <w:r w:rsidR="00CC04BC">
        <w:rPr>
          <w:rFonts w:eastAsia="SimSun"/>
        </w:rPr>
        <w:t>used in its PGA filings</w:t>
      </w:r>
      <w:r>
        <w:rPr>
          <w:rFonts w:eastAsia="SimSun"/>
        </w:rPr>
        <w:t>?</w:t>
      </w:r>
    </w:p>
    <w:p w:rsidR="0026017D" w:rsidRDefault="0026017D" w:rsidP="0026017D">
      <w:pPr>
        <w:pStyle w:val="answer"/>
        <w:widowControl w:val="0"/>
        <w:rPr>
          <w:rFonts w:eastAsia="SimSun"/>
        </w:rPr>
      </w:pPr>
      <w:r w:rsidRPr="009075DC">
        <w:rPr>
          <w:rFonts w:eastAsia="SimSun"/>
        </w:rPr>
        <w:t>A.</w:t>
      </w:r>
      <w:r w:rsidRPr="009075DC">
        <w:rPr>
          <w:rFonts w:eastAsia="SimSun"/>
        </w:rPr>
        <w:tab/>
      </w:r>
      <w:r w:rsidR="00434BDA">
        <w:rPr>
          <w:rFonts w:eastAsia="SimSun"/>
        </w:rPr>
        <w:t xml:space="preserve">PSE last </w:t>
      </w:r>
      <w:r w:rsidR="00587372">
        <w:rPr>
          <w:rFonts w:eastAsia="SimSun"/>
        </w:rPr>
        <w:t xml:space="preserve">reviewed </w:t>
      </w:r>
      <w:r w:rsidR="00434BDA">
        <w:rPr>
          <w:rFonts w:eastAsia="SimSun"/>
        </w:rPr>
        <w:t xml:space="preserve">the classification and allocation </w:t>
      </w:r>
      <w:r w:rsidR="00C60C58">
        <w:rPr>
          <w:rFonts w:eastAsia="SimSun"/>
        </w:rPr>
        <w:t xml:space="preserve">factors used in its </w:t>
      </w:r>
      <w:r w:rsidR="00434BDA">
        <w:rPr>
          <w:rFonts w:eastAsia="SimSun"/>
        </w:rPr>
        <w:t>PGA</w:t>
      </w:r>
      <w:r w:rsidR="00C60C58">
        <w:rPr>
          <w:rFonts w:eastAsia="SimSun"/>
        </w:rPr>
        <w:t xml:space="preserve"> filings</w:t>
      </w:r>
      <w:r w:rsidR="00434BDA">
        <w:rPr>
          <w:rFonts w:eastAsia="SimSun"/>
        </w:rPr>
        <w:t xml:space="preserve"> in its 200</w:t>
      </w:r>
      <w:r w:rsidR="00587372">
        <w:rPr>
          <w:rFonts w:eastAsia="SimSun"/>
        </w:rPr>
        <w:t>7</w:t>
      </w:r>
      <w:r w:rsidR="00434BDA">
        <w:rPr>
          <w:rFonts w:eastAsia="SimSun"/>
        </w:rPr>
        <w:t xml:space="preserve"> GRC</w:t>
      </w:r>
      <w:r w:rsidRPr="009075DC">
        <w:rPr>
          <w:rFonts w:eastAsia="SimSun"/>
        </w:rPr>
        <w:t>.</w:t>
      </w:r>
      <w:r w:rsidR="00434BDA">
        <w:rPr>
          <w:rStyle w:val="FootnoteReference"/>
          <w:rFonts w:eastAsia="SimSun"/>
        </w:rPr>
        <w:footnoteReference w:id="15"/>
      </w:r>
      <w:r w:rsidR="00C60C58">
        <w:rPr>
          <w:rFonts w:eastAsia="SimSun"/>
        </w:rPr>
        <w:t xml:space="preserve">  </w:t>
      </w:r>
      <w:r w:rsidR="00587372">
        <w:rPr>
          <w:rFonts w:eastAsia="SimSun"/>
        </w:rPr>
        <w:t>T</w:t>
      </w:r>
      <w:r w:rsidR="00C60C58">
        <w:rPr>
          <w:rFonts w:eastAsia="SimSun"/>
        </w:rPr>
        <w:t xml:space="preserve">hese factors were developed in Washington Natural Gas’s </w:t>
      </w:r>
      <w:r w:rsidR="00C60C58">
        <w:rPr>
          <w:rFonts w:eastAsia="SimSun"/>
        </w:rPr>
        <w:lastRenderedPageBreak/>
        <w:t xml:space="preserve">1994 rate restructuring case.  With significant changes in the resource mix between these two cases, PSE determined that it was necessary to update its allocation factors.  </w:t>
      </w:r>
      <w:r w:rsidR="00372422">
        <w:rPr>
          <w:rFonts w:eastAsia="SimSun"/>
        </w:rPr>
        <w:t xml:space="preserve">With the passing of another 10 years, PSE is again evaluating the development of these factors for their continued appropriateness. </w:t>
      </w:r>
      <w:r w:rsidR="00C60C58">
        <w:rPr>
          <w:rFonts w:eastAsia="SimSun"/>
        </w:rPr>
        <w:t xml:space="preserve"> </w:t>
      </w:r>
    </w:p>
    <w:p w:rsidR="00CC04BC" w:rsidRDefault="00CC04BC" w:rsidP="00CC04BC">
      <w:pPr>
        <w:pStyle w:val="question"/>
        <w:widowControl w:val="0"/>
        <w:spacing w:before="120"/>
      </w:pPr>
      <w:r>
        <w:t>Q.</w:t>
      </w:r>
      <w:r>
        <w:tab/>
        <w:t xml:space="preserve">How did PSE classify </w:t>
      </w:r>
      <w:r w:rsidR="00372422">
        <w:t xml:space="preserve">and allocate </w:t>
      </w:r>
      <w:r>
        <w:t>its purchased gas expenses</w:t>
      </w:r>
      <w:r w:rsidR="00C60C58">
        <w:t xml:space="preserve"> in </w:t>
      </w:r>
      <w:r w:rsidR="00372422">
        <w:t>its 200</w:t>
      </w:r>
      <w:r w:rsidR="00587372">
        <w:t>7</w:t>
      </w:r>
      <w:r w:rsidR="00372422">
        <w:t xml:space="preserve"> GRC</w:t>
      </w:r>
      <w:r>
        <w:t>?</w:t>
      </w:r>
    </w:p>
    <w:p w:rsidR="00CC04BC" w:rsidRDefault="00CC04BC" w:rsidP="00CC04BC">
      <w:pPr>
        <w:pStyle w:val="answer"/>
        <w:widowControl w:val="0"/>
      </w:pPr>
      <w:r>
        <w:t>A.</w:t>
      </w:r>
      <w:r>
        <w:tab/>
      </w:r>
      <w:r w:rsidR="001A1529">
        <w:t>PSE</w:t>
      </w:r>
      <w:r>
        <w:t xml:space="preserve"> classifie</w:t>
      </w:r>
      <w:r w:rsidR="00372422">
        <w:t>d</w:t>
      </w:r>
      <w:r>
        <w:t xml:space="preserve"> purchased gas costs into two components:  demand and variable.  Variable costs include</w:t>
      </w:r>
      <w:r w:rsidR="00372422">
        <w:t>d</w:t>
      </w:r>
      <w:r>
        <w:t xml:space="preserve"> interstate pipeline transportation variable costs, gas supply contract commodity, spot market gas costs, the net cost of gas injected into and withdrawn from storage, and the associated volumetric-based fees for these services.  Demand-related costs include</w:t>
      </w:r>
      <w:r w:rsidR="00372422">
        <w:t>d</w:t>
      </w:r>
      <w:r>
        <w:t xml:space="preserve"> interstate pipeline demand charges, underground storage </w:t>
      </w:r>
      <w:r w:rsidR="006114BF">
        <w:t xml:space="preserve">service contracts </w:t>
      </w:r>
      <w:r>
        <w:t xml:space="preserve">(Clay Basin and Jackson Prairie) demand charges, and fixed charges related to gas supply contracts.  </w:t>
      </w:r>
    </w:p>
    <w:p w:rsidR="00CC04BC" w:rsidRDefault="00CC04BC" w:rsidP="00CC04BC">
      <w:pPr>
        <w:pStyle w:val="answer"/>
        <w:widowControl w:val="0"/>
        <w:ind w:firstLine="0"/>
      </w:pPr>
      <w:r>
        <w:t>The various demand and variable cost components of the gas supply portfolio were allocated to the Company’s customer classes according to annual sales volumes, winter sales volumes, and design peak demand allocation factors, as well as the composite allocation factors composed of design peak demands, winter season sales and annual sales as discussed above.</w:t>
      </w:r>
      <w:r w:rsidR="00372422">
        <w:t xml:space="preserve">  </w:t>
      </w:r>
    </w:p>
    <w:p w:rsidR="00587372" w:rsidRPr="00B37A43" w:rsidRDefault="00587372" w:rsidP="00587372">
      <w:pPr>
        <w:pStyle w:val="answer"/>
        <w:widowControl w:val="0"/>
        <w:ind w:firstLine="0"/>
      </w:pPr>
      <w:r>
        <w:t>The components of the Company’s gas costs and the allocation factors used to allocate those costs are provided in Exhibit No. ___(JAP-</w:t>
      </w:r>
      <w:r w:rsidR="001A1529">
        <w:fldChar w:fldCharType="begin"/>
      </w:r>
      <w:r w:rsidR="001A1529">
        <w:instrText xml:space="preserve"> REF _Ref441672685 \r \h </w:instrText>
      </w:r>
      <w:r w:rsidR="001A1529">
        <w:fldChar w:fldCharType="separate"/>
      </w:r>
      <w:r w:rsidR="0035666C">
        <w:t>12</w:t>
      </w:r>
      <w:r w:rsidR="001A1529">
        <w:fldChar w:fldCharType="end"/>
      </w:r>
      <w:r>
        <w:t>)</w:t>
      </w:r>
      <w:r w:rsidRPr="00E215D7">
        <w:t>.</w:t>
      </w:r>
    </w:p>
    <w:p w:rsidR="008D428E" w:rsidRDefault="008D428E" w:rsidP="0008555B">
      <w:pPr>
        <w:pStyle w:val="question"/>
        <w:widowControl w:val="0"/>
        <w:spacing w:before="120"/>
      </w:pPr>
    </w:p>
    <w:p w:rsidR="0008555B" w:rsidRDefault="0008555B" w:rsidP="0008555B">
      <w:pPr>
        <w:pStyle w:val="question"/>
        <w:widowControl w:val="0"/>
        <w:spacing w:before="120"/>
      </w:pPr>
      <w:r>
        <w:lastRenderedPageBreak/>
        <w:t>Q.</w:t>
      </w:r>
      <w:r>
        <w:rPr>
          <w:i/>
        </w:rPr>
        <w:tab/>
      </w:r>
      <w:r>
        <w:t>Please describe the methods PSE used to allocate fixed demand-related gas supply costs.</w:t>
      </w:r>
    </w:p>
    <w:p w:rsidR="0008555B" w:rsidRPr="00167FA4" w:rsidRDefault="0008555B" w:rsidP="0008555B">
      <w:pPr>
        <w:pStyle w:val="answer"/>
        <w:widowControl w:val="0"/>
        <w:rPr>
          <w:szCs w:val="24"/>
        </w:rPr>
      </w:pPr>
      <w:r>
        <w:t>A.</w:t>
      </w:r>
      <w:r>
        <w:tab/>
        <w:t>The reservation charges associated with winter firm and peaking supply contracts were classified as demand costs and allocated on a winter season and peak day basis, respectively.  Interstate pipeline transportation demand costs (TF-</w:t>
      </w:r>
      <w:r w:rsidR="008560AA">
        <w:t>1-</w:t>
      </w:r>
      <w:r w:rsidR="006114BF">
        <w:t>year-round</w:t>
      </w:r>
      <w:r>
        <w:t>) were allocated on the basis of a composite allocation factor that represents the proportionate year-round, winter season and system design peak requirements served by the underlying pipeline capacity.  The Company used the annual, winter and design peak pipeline capacity percentage requirements derived by weighting the applicable customer usage characteristics</w:t>
      </w:r>
      <w:r w:rsidR="002A728C">
        <w:t xml:space="preserve">.  Specifically PSE used </w:t>
      </w:r>
      <w:r>
        <w:t xml:space="preserve">the class-by-class contributions to annual sales, winter season sales, and the system design peak day, and applied the result to the various pipeline demand charges in the Company’s supply portfolio.  Clay Basin storage costs </w:t>
      </w:r>
      <w:r w:rsidR="006114BF">
        <w:t xml:space="preserve">and related pipeline transportation (TF-1-year-round) </w:t>
      </w:r>
      <w:r>
        <w:t>were allocated based on winter sales volumes.  The portion of Jackson Prairie storage costs and related pipeline transportation (TF-2</w:t>
      </w:r>
      <w:r w:rsidR="006114BF">
        <w:t xml:space="preserve"> and TF-1-winter only</w:t>
      </w:r>
      <w:r>
        <w:t>) demand charges not related to balancing (</w:t>
      </w:r>
      <w:r w:rsidR="00785BD9">
        <w:t>80 percent</w:t>
      </w:r>
      <w:r>
        <w:t>) were allocated on a weighted winter season and design day peak basis.  Finally, the portion of Jackson Prairie demand charges related to its balancing function (</w:t>
      </w:r>
      <w:r w:rsidR="00785BD9">
        <w:t>20 percent</w:t>
      </w:r>
      <w:r>
        <w:t xml:space="preserve">) was allocated to all classes on a system average throughput basis.  </w:t>
      </w:r>
    </w:p>
    <w:p w:rsidR="0008555B" w:rsidRDefault="0008555B" w:rsidP="0008555B">
      <w:pPr>
        <w:pStyle w:val="question"/>
        <w:widowControl w:val="0"/>
        <w:spacing w:before="120"/>
      </w:pPr>
      <w:r>
        <w:t>Q.</w:t>
      </w:r>
      <w:r>
        <w:rPr>
          <w:i/>
          <w:caps/>
        </w:rPr>
        <w:tab/>
      </w:r>
      <w:r>
        <w:t>How were the variable gas supply costs allocated?</w:t>
      </w:r>
    </w:p>
    <w:p w:rsidR="0008555B" w:rsidRPr="00167FA4" w:rsidRDefault="0008555B" w:rsidP="0008555B">
      <w:pPr>
        <w:pStyle w:val="answer"/>
        <w:widowControl w:val="0"/>
        <w:rPr>
          <w:szCs w:val="24"/>
        </w:rPr>
      </w:pPr>
      <w:r>
        <w:t>A.</w:t>
      </w:r>
      <w:r>
        <w:tab/>
        <w:t xml:space="preserve">All variable gas supply costs were classified as commodity costs.  Peaking </w:t>
      </w:r>
      <w:r>
        <w:lastRenderedPageBreak/>
        <w:t>supply-related charges were allocated on a design peak day basis</w:t>
      </w:r>
      <w:r>
        <w:rPr>
          <w:i/>
        </w:rPr>
        <w:t>.</w:t>
      </w:r>
      <w:r>
        <w:t xml:space="preserve">  Pipeline variable costs related to Jackson Prairie storage delivery (TF-2</w:t>
      </w:r>
      <w:r w:rsidR="006114BF" w:rsidRPr="006114BF">
        <w:t xml:space="preserve"> </w:t>
      </w:r>
      <w:r w:rsidR="006114BF">
        <w:t>and TF-1-winter only</w:t>
      </w:r>
      <w:r>
        <w:t>) were allocated using a composite allocator consistent with the allocation of fixed costs related to Jackson Prairie.  Storage withdrawal and injection costs were allocated on the basis of winter sales.  The rest of the variable costs related to purchased gas supplies or pipeline fuel use charges were allocated on the basis of annual gas sales, with the exception of those costs related to Jackson Prairie balancing, which were allocated on system average throughput (including transportation volumes).</w:t>
      </w:r>
    </w:p>
    <w:p w:rsidR="0026017D" w:rsidRPr="009075DC" w:rsidRDefault="0026017D" w:rsidP="0026017D">
      <w:pPr>
        <w:pStyle w:val="question"/>
        <w:widowControl w:val="0"/>
        <w:rPr>
          <w:rFonts w:eastAsia="SimSun"/>
        </w:rPr>
      </w:pPr>
      <w:r w:rsidRPr="009075DC">
        <w:rPr>
          <w:rFonts w:eastAsia="SimSun"/>
        </w:rPr>
        <w:t>Q.</w:t>
      </w:r>
      <w:r w:rsidRPr="009075DC">
        <w:rPr>
          <w:rFonts w:eastAsia="SimSun"/>
        </w:rPr>
        <w:tab/>
      </w:r>
      <w:r w:rsidR="0008555B">
        <w:rPr>
          <w:rFonts w:eastAsia="SimSun"/>
        </w:rPr>
        <w:t xml:space="preserve">Is </w:t>
      </w:r>
      <w:r w:rsidR="00372422">
        <w:rPr>
          <w:rFonts w:eastAsia="SimSun"/>
        </w:rPr>
        <w:t>PSE</w:t>
      </w:r>
      <w:r w:rsidR="0008555B">
        <w:rPr>
          <w:rFonts w:eastAsia="SimSun"/>
        </w:rPr>
        <w:t xml:space="preserve"> proposing to further update its approach to classifying or allocating its gas supply costs in this case</w:t>
      </w:r>
      <w:r>
        <w:rPr>
          <w:rFonts w:eastAsia="SimSun"/>
        </w:rPr>
        <w:t>?</w:t>
      </w:r>
    </w:p>
    <w:p w:rsidR="0026017D" w:rsidRDefault="0026017D" w:rsidP="0026017D">
      <w:pPr>
        <w:pStyle w:val="answer"/>
        <w:widowControl w:val="0"/>
        <w:rPr>
          <w:rFonts w:eastAsia="SimSun"/>
        </w:rPr>
      </w:pPr>
      <w:r w:rsidRPr="009075DC">
        <w:rPr>
          <w:rFonts w:eastAsia="SimSun"/>
        </w:rPr>
        <w:t>A.</w:t>
      </w:r>
      <w:r w:rsidRPr="009075DC">
        <w:rPr>
          <w:rFonts w:eastAsia="SimSun"/>
        </w:rPr>
        <w:tab/>
      </w:r>
      <w:r w:rsidR="00785BD9">
        <w:rPr>
          <w:rFonts w:eastAsia="SimSun"/>
        </w:rPr>
        <w:t xml:space="preserve">Not at this time.  The existing methods for classifying and allocating gas supply costs continue to be appropriate given PSE’s current mix of gas supply resources.  </w:t>
      </w:r>
    </w:p>
    <w:p w:rsidR="007816E1" w:rsidRPr="009075DC" w:rsidRDefault="007816E1" w:rsidP="007816E1">
      <w:pPr>
        <w:pStyle w:val="question"/>
        <w:widowControl w:val="0"/>
        <w:rPr>
          <w:rFonts w:eastAsia="SimSun"/>
        </w:rPr>
      </w:pPr>
      <w:r w:rsidRPr="009075DC">
        <w:rPr>
          <w:rFonts w:eastAsia="SimSun"/>
        </w:rPr>
        <w:t>Q.</w:t>
      </w:r>
      <w:r w:rsidRPr="009075DC">
        <w:rPr>
          <w:rFonts w:eastAsia="SimSun"/>
        </w:rPr>
        <w:tab/>
      </w:r>
      <w:r w:rsidR="0008555B">
        <w:rPr>
          <w:rFonts w:eastAsia="SimSun"/>
        </w:rPr>
        <w:t xml:space="preserve">Based on the forgoing, what </w:t>
      </w:r>
      <w:r w:rsidR="00153529">
        <w:rPr>
          <w:rFonts w:eastAsia="SimSun"/>
        </w:rPr>
        <w:t>is</w:t>
      </w:r>
      <w:r w:rsidR="0008555B">
        <w:rPr>
          <w:rFonts w:eastAsia="SimSun"/>
        </w:rPr>
        <w:t xml:space="preserve"> the resulting allocation of PGA-related costs in this case</w:t>
      </w:r>
      <w:r>
        <w:rPr>
          <w:rFonts w:eastAsia="SimSun"/>
        </w:rPr>
        <w:t>?</w:t>
      </w:r>
    </w:p>
    <w:p w:rsidR="007816E1" w:rsidRDefault="007816E1" w:rsidP="0008555B">
      <w:pPr>
        <w:pStyle w:val="answer"/>
        <w:widowControl w:val="0"/>
        <w:rPr>
          <w:rFonts w:eastAsia="SimSun"/>
        </w:rPr>
      </w:pPr>
      <w:r w:rsidRPr="009075DC">
        <w:rPr>
          <w:rFonts w:eastAsia="SimSun"/>
        </w:rPr>
        <w:t>A.</w:t>
      </w:r>
      <w:r w:rsidRPr="009075DC">
        <w:rPr>
          <w:rFonts w:eastAsia="SimSun"/>
        </w:rPr>
        <w:tab/>
      </w:r>
      <w:r w:rsidR="002A5324">
        <w:rPr>
          <w:rFonts w:eastAsia="SimSun"/>
        </w:rPr>
        <w:t xml:space="preserve">The resulting allocation is provided </w:t>
      </w:r>
      <w:r w:rsidR="00FB4B89">
        <w:rPr>
          <w:rFonts w:eastAsia="SimSun"/>
        </w:rPr>
        <w:t xml:space="preserve">in </w:t>
      </w:r>
      <w:r w:rsidR="00FB4B89">
        <w:t>Exhibit No. ___(JAP-</w:t>
      </w:r>
      <w:r w:rsidR="00CD5217">
        <w:rPr>
          <w:rFonts w:eastAsia="SimSun"/>
        </w:rPr>
        <w:fldChar w:fldCharType="begin"/>
      </w:r>
      <w:r w:rsidR="00CD5217">
        <w:instrText xml:space="preserve"> REF _Ref470164075 \r \h </w:instrText>
      </w:r>
      <w:r w:rsidR="00CD5217">
        <w:rPr>
          <w:rFonts w:eastAsia="SimSun"/>
        </w:rPr>
      </w:r>
      <w:r w:rsidR="00CD5217">
        <w:rPr>
          <w:rFonts w:eastAsia="SimSun"/>
        </w:rPr>
        <w:fldChar w:fldCharType="separate"/>
      </w:r>
      <w:r w:rsidR="0035666C">
        <w:t>14</w:t>
      </w:r>
      <w:r w:rsidR="00CD5217">
        <w:rPr>
          <w:rFonts w:eastAsia="SimSun"/>
        </w:rPr>
        <w:fldChar w:fldCharType="end"/>
      </w:r>
      <w:r w:rsidR="00FB4B89">
        <w:t>)</w:t>
      </w:r>
      <w:r w:rsidR="00FB4B89" w:rsidRPr="00E215D7">
        <w:t>.</w:t>
      </w:r>
      <w:r w:rsidR="004A1BA4">
        <w:t xml:space="preserve">  PSE intends to propose gas demand rates in its 2018 PGA filing that </w:t>
      </w:r>
      <w:r w:rsidR="00611BE6">
        <w:t>reflect these results</w:t>
      </w:r>
      <w:r w:rsidR="004A1BA4">
        <w:t>.</w:t>
      </w:r>
    </w:p>
    <w:p w:rsidR="00F8418D" w:rsidRPr="009075DC" w:rsidRDefault="00FC5841" w:rsidP="00F01467">
      <w:pPr>
        <w:pStyle w:val="Heading1"/>
        <w:keepNext w:val="0"/>
        <w:keepLines w:val="0"/>
        <w:widowControl w:val="0"/>
        <w:rPr>
          <w:rFonts w:eastAsia="SimSun"/>
        </w:rPr>
      </w:pPr>
      <w:bookmarkStart w:id="111" w:name="_Toc126675053"/>
      <w:bookmarkStart w:id="112" w:name="_Toc127023392"/>
      <w:bookmarkStart w:id="113" w:name="_Toc229277853"/>
      <w:bookmarkStart w:id="114" w:name="_Toc471912948"/>
      <w:r>
        <w:rPr>
          <w:rFonts w:eastAsia="SimSun"/>
        </w:rPr>
        <w:t>V</w:t>
      </w:r>
      <w:r w:rsidR="007816E1">
        <w:rPr>
          <w:rFonts w:eastAsia="SimSun"/>
        </w:rPr>
        <w:t>I</w:t>
      </w:r>
      <w:r w:rsidR="00F8418D" w:rsidRPr="009075DC">
        <w:rPr>
          <w:rFonts w:eastAsia="SimSun"/>
        </w:rPr>
        <w:t>.</w:t>
      </w:r>
      <w:r w:rsidR="00F8418D" w:rsidRPr="009075DC">
        <w:rPr>
          <w:rFonts w:eastAsia="SimSun"/>
        </w:rPr>
        <w:tab/>
        <w:t xml:space="preserve">ELECTRIC RATE SPREAD </w:t>
      </w:r>
      <w:bookmarkEnd w:id="111"/>
      <w:bookmarkEnd w:id="112"/>
      <w:bookmarkEnd w:id="113"/>
      <w:r>
        <w:rPr>
          <w:rFonts w:eastAsia="SimSun"/>
        </w:rPr>
        <w:t>AND RATE DESIGN</w:t>
      </w:r>
      <w:bookmarkEnd w:id="114"/>
      <w:r>
        <w:rPr>
          <w:rFonts w:eastAsia="SimSun"/>
        </w:rPr>
        <w:t xml:space="preserve"> </w:t>
      </w:r>
    </w:p>
    <w:p w:rsidR="00FC5841" w:rsidRPr="009075DC" w:rsidRDefault="00FC5841" w:rsidP="00FC5841">
      <w:pPr>
        <w:pStyle w:val="Heading2"/>
        <w:keepNext w:val="0"/>
        <w:keepLines w:val="0"/>
        <w:widowControl w:val="0"/>
        <w:spacing w:before="240" w:after="240"/>
        <w:rPr>
          <w:rFonts w:eastAsia="SimSun"/>
        </w:rPr>
      </w:pPr>
      <w:bookmarkStart w:id="115" w:name="_Toc471912949"/>
      <w:r w:rsidRPr="009075DC">
        <w:rPr>
          <w:rFonts w:eastAsia="SimSun"/>
          <w:u w:val="none"/>
        </w:rPr>
        <w:t>A.</w:t>
      </w:r>
      <w:r w:rsidRPr="009075DC">
        <w:rPr>
          <w:rFonts w:eastAsia="SimSun"/>
          <w:u w:val="none"/>
        </w:rPr>
        <w:tab/>
      </w:r>
      <w:r>
        <w:rPr>
          <w:rFonts w:eastAsia="SimSun"/>
        </w:rPr>
        <w:t>Proposed Rate Spread</w:t>
      </w:r>
      <w:bookmarkEnd w:id="115"/>
    </w:p>
    <w:p w:rsidR="00153529" w:rsidRPr="009075DC" w:rsidRDefault="00153529" w:rsidP="00153529">
      <w:pPr>
        <w:pStyle w:val="question"/>
        <w:widowControl w:val="0"/>
        <w:rPr>
          <w:rFonts w:eastAsia="SimSun"/>
        </w:rPr>
      </w:pPr>
      <w:r w:rsidRPr="009075DC">
        <w:rPr>
          <w:rFonts w:eastAsia="SimSun"/>
        </w:rPr>
        <w:t>Q.</w:t>
      </w:r>
      <w:r w:rsidRPr="009075DC">
        <w:rPr>
          <w:rFonts w:eastAsia="SimSun"/>
        </w:rPr>
        <w:tab/>
        <w:t>Would you briefly describe rate spread and its relationship to cost of service?</w:t>
      </w:r>
    </w:p>
    <w:p w:rsidR="00153529" w:rsidRPr="009075DC" w:rsidRDefault="00153529" w:rsidP="00153529">
      <w:pPr>
        <w:pStyle w:val="answer"/>
        <w:widowControl w:val="0"/>
        <w:rPr>
          <w:rFonts w:eastAsia="SimSun"/>
        </w:rPr>
      </w:pPr>
      <w:r w:rsidRPr="009075DC">
        <w:rPr>
          <w:rFonts w:eastAsia="SimSun"/>
        </w:rPr>
        <w:t>A.</w:t>
      </w:r>
      <w:r w:rsidRPr="009075DC">
        <w:rPr>
          <w:rFonts w:eastAsia="SimSun"/>
        </w:rPr>
        <w:tab/>
        <w:t xml:space="preserve">Rate spread is the process of determining what portion of the total revenue </w:t>
      </w:r>
      <w:r w:rsidRPr="009075DC">
        <w:rPr>
          <w:rFonts w:eastAsia="SimSun"/>
        </w:rPr>
        <w:lastRenderedPageBreak/>
        <w:t xml:space="preserve">requirement should be allocated to each customer class for recovery in that class’s rates.  Rate spread is guided by the results of the cost of service study.  </w:t>
      </w:r>
    </w:p>
    <w:p w:rsidR="00153529" w:rsidRPr="009075DC" w:rsidRDefault="00153529" w:rsidP="00153529">
      <w:pPr>
        <w:pStyle w:val="question"/>
        <w:widowControl w:val="0"/>
        <w:rPr>
          <w:rFonts w:eastAsia="SimSun"/>
        </w:rPr>
      </w:pPr>
      <w:r w:rsidRPr="009075DC">
        <w:rPr>
          <w:rFonts w:eastAsia="SimSun"/>
        </w:rPr>
        <w:t>Q.</w:t>
      </w:r>
      <w:r w:rsidRPr="009075DC">
        <w:rPr>
          <w:rFonts w:eastAsia="SimSun"/>
        </w:rPr>
        <w:tab/>
        <w:t>What rate spread policy factors do</w:t>
      </w:r>
      <w:r w:rsidR="007D1AE8">
        <w:rPr>
          <w:rFonts w:eastAsia="SimSun"/>
        </w:rPr>
        <w:t>es</w:t>
      </w:r>
      <w:r w:rsidRPr="009075DC">
        <w:rPr>
          <w:rFonts w:eastAsia="SimSun"/>
        </w:rPr>
        <w:t xml:space="preserve"> PSE consider in developing its rate spread recommendation?</w:t>
      </w:r>
    </w:p>
    <w:p w:rsidR="00153529" w:rsidRPr="009075DC" w:rsidRDefault="00153529" w:rsidP="00153529">
      <w:pPr>
        <w:pStyle w:val="answer"/>
        <w:widowControl w:val="0"/>
        <w:rPr>
          <w:rFonts w:eastAsia="SimSun"/>
        </w:rPr>
      </w:pPr>
      <w:r w:rsidRPr="009075DC">
        <w:rPr>
          <w:rFonts w:eastAsia="SimSun"/>
        </w:rPr>
        <w:t>A.</w:t>
      </w:r>
      <w:r w:rsidRPr="009075DC">
        <w:rPr>
          <w:rFonts w:eastAsia="SimSun"/>
        </w:rPr>
        <w:tab/>
        <w:t>The Company’s proposal emphasizes two factors: the customer class relationship to parity and customer impacts.  The Company’s proposal is guided by the results of the cost of service study and continues movement towards parity.   PSE also considers the relative impact on different classes of customers.</w:t>
      </w:r>
    </w:p>
    <w:p w:rsidR="00153529" w:rsidRPr="009075DC" w:rsidRDefault="00153529" w:rsidP="00153529">
      <w:pPr>
        <w:pStyle w:val="question"/>
        <w:widowControl w:val="0"/>
        <w:rPr>
          <w:rFonts w:eastAsia="SimSun"/>
        </w:rPr>
      </w:pPr>
      <w:r w:rsidRPr="009075DC">
        <w:rPr>
          <w:rFonts w:eastAsia="SimSun"/>
        </w:rPr>
        <w:t>Q.</w:t>
      </w:r>
      <w:r w:rsidRPr="009075DC">
        <w:rPr>
          <w:rFonts w:eastAsia="SimSun"/>
        </w:rPr>
        <w:tab/>
        <w:t>Would you please summarize PSE’s proposed electric rate spread?</w:t>
      </w:r>
    </w:p>
    <w:p w:rsidR="00153529" w:rsidRPr="009075DC" w:rsidRDefault="00153529" w:rsidP="00153529">
      <w:pPr>
        <w:pStyle w:val="answer"/>
        <w:widowControl w:val="0"/>
        <w:rPr>
          <w:rFonts w:eastAsia="SimSun"/>
        </w:rPr>
      </w:pPr>
      <w:r w:rsidRPr="009075DC">
        <w:rPr>
          <w:rFonts w:eastAsia="SimSun"/>
        </w:rPr>
        <w:t>A.</w:t>
      </w:r>
      <w:r w:rsidRPr="009075DC">
        <w:rPr>
          <w:rFonts w:eastAsia="SimSun"/>
        </w:rPr>
        <w:tab/>
        <w:t>Based upon the parity percentages shown in PSE’s elect</w:t>
      </w:r>
      <w:r w:rsidR="008122C6">
        <w:rPr>
          <w:rFonts w:eastAsia="SimSun"/>
        </w:rPr>
        <w:t>r</w:t>
      </w:r>
      <w:r w:rsidRPr="009075DC">
        <w:rPr>
          <w:rFonts w:eastAsia="SimSun"/>
        </w:rPr>
        <w:t xml:space="preserve">ic cost of service study and the desire to move towards full parity (a parity percentage of 100 percent) in a gradual manner, PSE proposes to </w:t>
      </w:r>
      <w:r w:rsidR="00BA34B2">
        <w:rPr>
          <w:rFonts w:eastAsia="SimSun"/>
        </w:rPr>
        <w:t>1) apply, with three</w:t>
      </w:r>
      <w:r w:rsidRPr="009075DC">
        <w:rPr>
          <w:rFonts w:eastAsia="SimSun"/>
        </w:rPr>
        <w:t xml:space="preserve"> exceptions, an adjusted average rate increase to retail classes within </w:t>
      </w:r>
      <w:r w:rsidR="00CB1F21">
        <w:rPr>
          <w:rFonts w:eastAsia="SimSun"/>
        </w:rPr>
        <w:t>five</w:t>
      </w:r>
      <w:r w:rsidR="00CB1F21" w:rsidRPr="009075DC">
        <w:rPr>
          <w:rFonts w:eastAsia="SimSun"/>
        </w:rPr>
        <w:t xml:space="preserve"> </w:t>
      </w:r>
      <w:r w:rsidRPr="009075DC">
        <w:rPr>
          <w:rFonts w:eastAsia="SimSun"/>
        </w:rPr>
        <w:t>percent of full parity</w:t>
      </w:r>
      <w:r w:rsidR="00CB1F21">
        <w:rPr>
          <w:rFonts w:eastAsia="SimSun"/>
        </w:rPr>
        <w:t>;</w:t>
      </w:r>
      <w:r w:rsidR="00CD5217">
        <w:rPr>
          <w:rFonts w:eastAsia="SimSun"/>
        </w:rPr>
        <w:t xml:space="preserve"> and</w:t>
      </w:r>
      <w:r w:rsidRPr="009075DC">
        <w:rPr>
          <w:rFonts w:eastAsia="SimSun"/>
        </w:rPr>
        <w:t xml:space="preserve"> 2) apply a rate increase that is 75 percent of the adjusted average to the </w:t>
      </w:r>
      <w:r w:rsidR="00CD5217">
        <w:rPr>
          <w:rFonts w:eastAsia="SimSun"/>
        </w:rPr>
        <w:t xml:space="preserve">retail </w:t>
      </w:r>
      <w:r w:rsidRPr="009075DC">
        <w:rPr>
          <w:rFonts w:eastAsia="SimSun"/>
        </w:rPr>
        <w:t>class</w:t>
      </w:r>
      <w:r w:rsidR="00CD5217">
        <w:rPr>
          <w:rFonts w:eastAsia="SimSun"/>
        </w:rPr>
        <w:t>es</w:t>
      </w:r>
      <w:r w:rsidRPr="009075DC">
        <w:rPr>
          <w:rFonts w:eastAsia="SimSun"/>
        </w:rPr>
        <w:t xml:space="preserve"> that </w:t>
      </w:r>
      <w:r w:rsidR="00CD5217">
        <w:rPr>
          <w:rFonts w:eastAsia="SimSun"/>
        </w:rPr>
        <w:t xml:space="preserve">are </w:t>
      </w:r>
      <w:r w:rsidRPr="009075DC">
        <w:rPr>
          <w:rFonts w:eastAsia="SimSun"/>
        </w:rPr>
        <w:t xml:space="preserve">more than </w:t>
      </w:r>
      <w:r w:rsidR="00CB1F21">
        <w:rPr>
          <w:rFonts w:eastAsia="SimSun"/>
        </w:rPr>
        <w:t>five</w:t>
      </w:r>
      <w:r w:rsidR="00CB1F21" w:rsidRPr="009075DC">
        <w:rPr>
          <w:rFonts w:eastAsia="SimSun"/>
        </w:rPr>
        <w:t xml:space="preserve"> </w:t>
      </w:r>
      <w:r w:rsidRPr="009075DC">
        <w:rPr>
          <w:rFonts w:eastAsia="SimSun"/>
        </w:rPr>
        <w:t xml:space="preserve">percent above full parity.  </w:t>
      </w:r>
    </w:p>
    <w:p w:rsidR="00174936" w:rsidRPr="009075DC" w:rsidRDefault="00153529" w:rsidP="00174936">
      <w:pPr>
        <w:pStyle w:val="answer"/>
        <w:widowControl w:val="0"/>
        <w:ind w:firstLine="0"/>
        <w:rPr>
          <w:rFonts w:eastAsia="SimSun"/>
        </w:rPr>
      </w:pPr>
      <w:r w:rsidRPr="009075DC">
        <w:rPr>
          <w:rFonts w:eastAsia="SimSun"/>
        </w:rPr>
        <w:t xml:space="preserve">As in PSE’s last rate case, rates in Schedule 40 (Large Demand General Service Greater than 3 aMW) are tied to rates in the High Voltage Schedules, such that the rate increase for </w:t>
      </w:r>
      <w:r w:rsidR="00CB1F21">
        <w:rPr>
          <w:rFonts w:eastAsia="SimSun"/>
        </w:rPr>
        <w:t>Schedule 40</w:t>
      </w:r>
      <w:r w:rsidRPr="009075DC">
        <w:rPr>
          <w:rFonts w:eastAsia="SimSun"/>
        </w:rPr>
        <w:t xml:space="preserve"> is not independently determined.  The Schedule 40 production and transmission charges are linked to those found in the High Voltage Schedules and distribution charges are based on customer-specific information.  This results in a calculated rate spread amount for this class, rather than a rate </w:t>
      </w:r>
      <w:r w:rsidRPr="009075DC">
        <w:rPr>
          <w:rFonts w:eastAsia="SimSun"/>
        </w:rPr>
        <w:lastRenderedPageBreak/>
        <w:t xml:space="preserve">spread based on a class-specific cost of service and rate spread analysis.  </w:t>
      </w:r>
      <w:r w:rsidR="00174936">
        <w:rPr>
          <w:rFonts w:eastAsia="SimSun"/>
        </w:rPr>
        <w:t xml:space="preserve">  </w:t>
      </w:r>
    </w:p>
    <w:p w:rsidR="00153529" w:rsidRPr="009075DC" w:rsidRDefault="00153529" w:rsidP="00153529">
      <w:pPr>
        <w:pStyle w:val="answer"/>
        <w:widowControl w:val="0"/>
        <w:ind w:firstLine="0"/>
        <w:rPr>
          <w:rFonts w:eastAsia="SimSun"/>
        </w:rPr>
      </w:pPr>
      <w:r w:rsidRPr="009075DC">
        <w:rPr>
          <w:rFonts w:eastAsia="SimSun"/>
        </w:rPr>
        <w:t xml:space="preserve">The Firm Resale class is allocated an amount that would move it to full parity so that there is not a cross-jurisdictional subsidy.  </w:t>
      </w:r>
    </w:p>
    <w:p w:rsidR="00102CE2" w:rsidRDefault="00153529" w:rsidP="00153529">
      <w:pPr>
        <w:pStyle w:val="answer"/>
        <w:widowControl w:val="0"/>
        <w:ind w:firstLine="0"/>
        <w:rPr>
          <w:rFonts w:eastAsia="SimSun"/>
        </w:rPr>
      </w:pPr>
      <w:r w:rsidRPr="009075DC">
        <w:rPr>
          <w:rFonts w:eastAsia="SimSun"/>
        </w:rPr>
        <w:t xml:space="preserve">The adjusted average electric rate increase is the average electric rate increase after accounting for the effect of above-average or below-average increases to certain classes.  Since the customer class receiving a below-average increase generates greater revenue for PSE than the retail class receiving the above-average increase, the adjusted average retail electric </w:t>
      </w:r>
      <w:r w:rsidRPr="00174936">
        <w:rPr>
          <w:rFonts w:eastAsia="SimSun"/>
        </w:rPr>
        <w:t xml:space="preserve">increase of </w:t>
      </w:r>
      <w:r w:rsidR="00CD5217">
        <w:rPr>
          <w:rFonts w:eastAsia="SimSun"/>
        </w:rPr>
        <w:t>8.32</w:t>
      </w:r>
      <w:r w:rsidRPr="00174936">
        <w:rPr>
          <w:rFonts w:eastAsia="SimSun"/>
        </w:rPr>
        <w:t xml:space="preserve"> percent is greater than PSE average retail electric increase of </w:t>
      </w:r>
      <w:r w:rsidR="00CD5217">
        <w:rPr>
          <w:rFonts w:eastAsia="SimSun"/>
        </w:rPr>
        <w:t>7.59</w:t>
      </w:r>
      <w:r w:rsidR="00174936" w:rsidRPr="00174936">
        <w:rPr>
          <w:rFonts w:eastAsia="SimSun"/>
        </w:rPr>
        <w:t xml:space="preserve"> percent.</w:t>
      </w:r>
      <w:r w:rsidRPr="009075DC">
        <w:rPr>
          <w:rFonts w:eastAsia="SimSun"/>
        </w:rPr>
        <w:t xml:space="preserve"> </w:t>
      </w:r>
      <w:r w:rsidR="008D428E">
        <w:rPr>
          <w:rFonts w:eastAsia="SimSun"/>
        </w:rPr>
        <w:t xml:space="preserve"> </w:t>
      </w:r>
    </w:p>
    <w:p w:rsidR="00153529" w:rsidRDefault="00153529" w:rsidP="00153529">
      <w:pPr>
        <w:pStyle w:val="answer"/>
        <w:widowControl w:val="0"/>
        <w:ind w:firstLine="0"/>
        <w:rPr>
          <w:rFonts w:eastAsia="SimSun"/>
        </w:rPr>
      </w:pPr>
      <w:r w:rsidRPr="009075DC">
        <w:rPr>
          <w:rFonts w:eastAsia="SimSun"/>
        </w:rPr>
        <w:t xml:space="preserve">A summary of PSE’s proposed electric rate spread is provided in </w:t>
      </w:r>
      <w:r w:rsidR="00E96E4D">
        <w:rPr>
          <w:rFonts w:eastAsia="SimSun"/>
        </w:rPr>
        <w:fldChar w:fldCharType="begin"/>
      </w:r>
      <w:r w:rsidR="00E96E4D">
        <w:rPr>
          <w:rFonts w:eastAsia="SimSun"/>
        </w:rPr>
        <w:instrText xml:space="preserve"> REF _Ref440207398 \h </w:instrText>
      </w:r>
      <w:r w:rsidR="00E96E4D">
        <w:rPr>
          <w:rFonts w:eastAsia="SimSun"/>
        </w:rPr>
      </w:r>
      <w:r w:rsidR="00E96E4D">
        <w:rPr>
          <w:rFonts w:eastAsia="SimSun"/>
        </w:rPr>
        <w:fldChar w:fldCharType="separate"/>
      </w:r>
      <w:r w:rsidR="0035666C" w:rsidRPr="009075DC">
        <w:rPr>
          <w:rFonts w:eastAsia="SimSun"/>
          <w:szCs w:val="24"/>
        </w:rPr>
        <w:t xml:space="preserve">Table </w:t>
      </w:r>
      <w:r w:rsidR="0035666C">
        <w:rPr>
          <w:rFonts w:eastAsia="SimSun"/>
          <w:noProof/>
          <w:szCs w:val="24"/>
        </w:rPr>
        <w:t>7</w:t>
      </w:r>
      <w:r w:rsidR="00E96E4D">
        <w:rPr>
          <w:rFonts w:eastAsia="SimSun"/>
        </w:rPr>
        <w:fldChar w:fldCharType="end"/>
      </w:r>
      <w:r w:rsidRPr="009075DC">
        <w:rPr>
          <w:rFonts w:eastAsia="SimSun"/>
        </w:rPr>
        <w:t>.  Please also see the Exhibit No. ___(JAP-</w:t>
      </w:r>
      <w:r w:rsidR="003B5556">
        <w:rPr>
          <w:rFonts w:eastAsia="SimSun"/>
        </w:rPr>
        <w:fldChar w:fldCharType="begin"/>
      </w:r>
      <w:r w:rsidR="003B5556">
        <w:rPr>
          <w:rFonts w:eastAsia="SimSun"/>
        </w:rPr>
        <w:instrText xml:space="preserve"> REF _Ref441672773 \r \h </w:instrText>
      </w:r>
      <w:r w:rsidR="003B5556">
        <w:rPr>
          <w:rFonts w:eastAsia="SimSun"/>
        </w:rPr>
      </w:r>
      <w:r w:rsidR="003B5556">
        <w:rPr>
          <w:rFonts w:eastAsia="SimSun"/>
        </w:rPr>
        <w:fldChar w:fldCharType="separate"/>
      </w:r>
      <w:r w:rsidR="0035666C">
        <w:rPr>
          <w:rFonts w:eastAsia="SimSun"/>
        </w:rPr>
        <w:t>15</w:t>
      </w:r>
      <w:r w:rsidR="003B5556">
        <w:rPr>
          <w:rFonts w:eastAsia="SimSun"/>
        </w:rPr>
        <w:fldChar w:fldCharType="end"/>
      </w:r>
      <w:r w:rsidRPr="009075DC">
        <w:rPr>
          <w:rFonts w:eastAsia="SimSun"/>
        </w:rPr>
        <w:t>) for a detailed worksheet of PSE’s rate spread proposal.</w:t>
      </w:r>
    </w:p>
    <w:p w:rsidR="00102CE2" w:rsidRDefault="00102CE2">
      <w:pPr>
        <w:spacing w:line="240" w:lineRule="auto"/>
        <w:ind w:firstLine="0"/>
        <w:rPr>
          <w:rFonts w:eastAsia="SimSun"/>
        </w:rPr>
      </w:pPr>
      <w:r>
        <w:rPr>
          <w:rFonts w:eastAsia="SimSun"/>
        </w:rPr>
        <w:br w:type="page"/>
      </w:r>
    </w:p>
    <w:p w:rsidR="00E96E4D" w:rsidRPr="00E96E4D" w:rsidRDefault="00153529" w:rsidP="00E96E4D">
      <w:pPr>
        <w:pStyle w:val="Caption"/>
        <w:keepNext/>
        <w:jc w:val="center"/>
        <w:rPr>
          <w:rFonts w:eastAsia="SimSun"/>
          <w:sz w:val="24"/>
          <w:szCs w:val="24"/>
          <w:lang w:eastAsia="zh-CN"/>
        </w:rPr>
      </w:pPr>
      <w:bookmarkStart w:id="116" w:name="_Ref440207398"/>
      <w:r w:rsidRPr="009075DC">
        <w:rPr>
          <w:rFonts w:eastAsia="SimSun"/>
          <w:sz w:val="24"/>
          <w:szCs w:val="24"/>
          <w:lang w:eastAsia="zh-CN"/>
        </w:rPr>
        <w:lastRenderedPageBreak/>
        <w:t xml:space="preserve">Table </w:t>
      </w:r>
      <w:r w:rsidRPr="009075DC">
        <w:rPr>
          <w:rFonts w:eastAsia="SimSun"/>
          <w:sz w:val="24"/>
          <w:szCs w:val="24"/>
          <w:lang w:eastAsia="zh-CN"/>
        </w:rPr>
        <w:fldChar w:fldCharType="begin"/>
      </w:r>
      <w:r w:rsidRPr="009075DC">
        <w:rPr>
          <w:rFonts w:eastAsia="SimSun"/>
          <w:sz w:val="24"/>
          <w:szCs w:val="24"/>
          <w:lang w:eastAsia="zh-CN"/>
        </w:rPr>
        <w:instrText xml:space="preserve"> SEQ Table \* ARABIC </w:instrText>
      </w:r>
      <w:r w:rsidRPr="009075DC">
        <w:rPr>
          <w:rFonts w:eastAsia="SimSun"/>
          <w:sz w:val="24"/>
          <w:szCs w:val="24"/>
          <w:lang w:eastAsia="zh-CN"/>
        </w:rPr>
        <w:fldChar w:fldCharType="separate"/>
      </w:r>
      <w:r w:rsidR="0035666C">
        <w:rPr>
          <w:rFonts w:eastAsia="SimSun"/>
          <w:noProof/>
          <w:sz w:val="24"/>
          <w:szCs w:val="24"/>
          <w:lang w:eastAsia="zh-CN"/>
        </w:rPr>
        <w:t>7</w:t>
      </w:r>
      <w:r w:rsidRPr="009075DC">
        <w:rPr>
          <w:rFonts w:eastAsia="SimSun"/>
          <w:sz w:val="24"/>
          <w:szCs w:val="24"/>
          <w:lang w:eastAsia="zh-CN"/>
        </w:rPr>
        <w:fldChar w:fldCharType="end"/>
      </w:r>
      <w:bookmarkEnd w:id="116"/>
      <w:r w:rsidRPr="009075DC">
        <w:rPr>
          <w:rFonts w:eastAsia="SimSun"/>
          <w:sz w:val="24"/>
          <w:szCs w:val="24"/>
          <w:lang w:eastAsia="zh-CN"/>
        </w:rPr>
        <w:t xml:space="preserve"> - Proposed Electric </w:t>
      </w:r>
      <w:r w:rsidR="00C40716">
        <w:rPr>
          <w:rFonts w:eastAsia="SimSun"/>
          <w:sz w:val="24"/>
          <w:szCs w:val="24"/>
          <w:lang w:eastAsia="zh-CN"/>
        </w:rPr>
        <w:t xml:space="preserve">Base </w:t>
      </w:r>
      <w:r w:rsidRPr="009075DC">
        <w:rPr>
          <w:rFonts w:eastAsia="SimSun"/>
          <w:sz w:val="24"/>
          <w:szCs w:val="24"/>
          <w:lang w:eastAsia="zh-CN"/>
        </w:rPr>
        <w:t>Rate Spread</w:t>
      </w:r>
    </w:p>
    <w:tbl>
      <w:tblPr>
        <w:tblpPr w:leftFromText="180" w:rightFromText="180" w:vertAnchor="text" w:horzAnchor="margin" w:tblpXSpec="center" w:tblpY="314"/>
        <w:tblW w:w="0" w:type="auto"/>
        <w:tblLayout w:type="fixed"/>
        <w:tblLook w:val="0000" w:firstRow="0" w:lastRow="0" w:firstColumn="0" w:lastColumn="0" w:noHBand="0" w:noVBand="0"/>
      </w:tblPr>
      <w:tblGrid>
        <w:gridCol w:w="3168"/>
        <w:gridCol w:w="1440"/>
        <w:gridCol w:w="1350"/>
        <w:gridCol w:w="1440"/>
      </w:tblGrid>
      <w:tr w:rsidR="00153529" w:rsidRPr="009075DC" w:rsidTr="008E7D08">
        <w:trPr>
          <w:cantSplit/>
          <w:trHeight w:val="769"/>
        </w:trPr>
        <w:tc>
          <w:tcPr>
            <w:tcW w:w="3168" w:type="dxa"/>
            <w:tcBorders>
              <w:top w:val="single" w:sz="4" w:space="0" w:color="auto"/>
              <w:bottom w:val="single" w:sz="4" w:space="0" w:color="auto"/>
            </w:tcBorders>
            <w:vAlign w:val="center"/>
          </w:tcPr>
          <w:p w:rsidR="00153529" w:rsidRPr="009075DC" w:rsidRDefault="00153529" w:rsidP="002200C5">
            <w:pPr>
              <w:widowControl w:val="0"/>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1440" w:type="dxa"/>
            <w:tcBorders>
              <w:top w:val="single" w:sz="4" w:space="0" w:color="auto"/>
              <w:bottom w:val="single" w:sz="4" w:space="0" w:color="auto"/>
            </w:tcBorders>
            <w:vAlign w:val="center"/>
          </w:tcPr>
          <w:p w:rsidR="00153529" w:rsidRPr="009075DC" w:rsidRDefault="00153529" w:rsidP="002200C5">
            <w:pPr>
              <w:widowControl w:val="0"/>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350" w:type="dxa"/>
            <w:tcBorders>
              <w:top w:val="single" w:sz="4" w:space="0" w:color="auto"/>
              <w:bottom w:val="single" w:sz="4" w:space="0" w:color="auto"/>
            </w:tcBorders>
            <w:vAlign w:val="center"/>
          </w:tcPr>
          <w:p w:rsidR="00153529" w:rsidRPr="009075DC" w:rsidRDefault="00153529" w:rsidP="002200C5">
            <w:pPr>
              <w:widowControl w:val="0"/>
              <w:spacing w:beforeLines="20" w:before="48" w:afterLines="20" w:after="48" w:line="240" w:lineRule="auto"/>
              <w:ind w:firstLine="0"/>
              <w:jc w:val="center"/>
              <w:rPr>
                <w:rFonts w:eastAsia="SimSun"/>
                <w:b/>
                <w:bCs/>
                <w:szCs w:val="24"/>
              </w:rPr>
            </w:pPr>
            <w:r w:rsidRPr="009075DC">
              <w:rPr>
                <w:rFonts w:eastAsia="SimSun"/>
                <w:b/>
                <w:bCs/>
                <w:szCs w:val="24"/>
              </w:rPr>
              <w:t>Parity Percentage</w:t>
            </w:r>
          </w:p>
        </w:tc>
        <w:tc>
          <w:tcPr>
            <w:tcW w:w="1440" w:type="dxa"/>
            <w:tcBorders>
              <w:top w:val="single" w:sz="4" w:space="0" w:color="auto"/>
              <w:bottom w:val="single" w:sz="4" w:space="0" w:color="auto"/>
            </w:tcBorders>
            <w:vAlign w:val="center"/>
          </w:tcPr>
          <w:p w:rsidR="00153529" w:rsidRPr="009075DC" w:rsidRDefault="00153529" w:rsidP="002200C5">
            <w:pPr>
              <w:widowControl w:val="0"/>
              <w:spacing w:beforeLines="20" w:before="48" w:afterLines="20" w:after="48" w:line="240" w:lineRule="auto"/>
              <w:ind w:firstLine="0"/>
              <w:jc w:val="center"/>
              <w:rPr>
                <w:rFonts w:eastAsia="SimSun"/>
                <w:b/>
                <w:bCs/>
                <w:szCs w:val="24"/>
              </w:rPr>
            </w:pPr>
            <w:r w:rsidRPr="009075DC">
              <w:rPr>
                <w:rFonts w:eastAsia="SimSun"/>
                <w:b/>
                <w:bCs/>
                <w:szCs w:val="24"/>
              </w:rPr>
              <w:t>Proposed</w:t>
            </w:r>
            <w:r w:rsidRPr="009075DC">
              <w:rPr>
                <w:rFonts w:eastAsia="SimSun"/>
                <w:b/>
                <w:bCs/>
                <w:szCs w:val="24"/>
              </w:rPr>
              <w:br/>
            </w:r>
            <w:r w:rsidR="00C40716">
              <w:rPr>
                <w:rFonts w:eastAsia="SimSun"/>
                <w:b/>
                <w:bCs/>
                <w:szCs w:val="24"/>
              </w:rPr>
              <w:t xml:space="preserve">Base </w:t>
            </w:r>
            <w:r w:rsidRPr="009075DC">
              <w:rPr>
                <w:rFonts w:eastAsia="SimSun"/>
                <w:b/>
                <w:bCs/>
                <w:szCs w:val="24"/>
              </w:rPr>
              <w:t>Rate Increase</w:t>
            </w:r>
          </w:p>
        </w:tc>
      </w:tr>
      <w:tr w:rsidR="00B373B1" w:rsidRPr="001D2B74" w:rsidTr="008E7D08">
        <w:trPr>
          <w:cantSplit/>
          <w:trHeight w:val="324"/>
        </w:trPr>
        <w:tc>
          <w:tcPr>
            <w:tcW w:w="3168" w:type="dxa"/>
            <w:tcBorders>
              <w:top w:val="single" w:sz="4" w:space="0" w:color="auto"/>
            </w:tcBorders>
          </w:tcPr>
          <w:p w:rsidR="00B373B1" w:rsidRPr="009075DC" w:rsidRDefault="00B373B1" w:rsidP="002200C5">
            <w:pPr>
              <w:widowControl w:val="0"/>
              <w:spacing w:beforeLines="20" w:before="48" w:afterLines="20" w:after="48" w:line="240" w:lineRule="auto"/>
              <w:ind w:firstLine="0"/>
              <w:rPr>
                <w:rFonts w:eastAsia="SimSun"/>
                <w:szCs w:val="24"/>
              </w:rPr>
            </w:pPr>
            <w:r w:rsidRPr="009075DC">
              <w:rPr>
                <w:rFonts w:eastAsia="SimSun"/>
                <w:szCs w:val="24"/>
              </w:rPr>
              <w:t>Residential</w:t>
            </w:r>
          </w:p>
        </w:tc>
        <w:tc>
          <w:tcPr>
            <w:tcW w:w="1440" w:type="dxa"/>
            <w:tcBorders>
              <w:top w:val="single" w:sz="4" w:space="0" w:color="auto"/>
            </w:tcBorders>
          </w:tcPr>
          <w:p w:rsidR="00B373B1" w:rsidRPr="009075DC" w:rsidRDefault="00B373B1" w:rsidP="00E96E4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7</w:t>
            </w:r>
          </w:p>
        </w:tc>
        <w:tc>
          <w:tcPr>
            <w:tcW w:w="1350" w:type="dxa"/>
            <w:tcBorders>
              <w:top w:val="single" w:sz="4" w:space="0" w:color="auto"/>
            </w:tcBorders>
          </w:tcPr>
          <w:p w:rsidR="00B373B1" w:rsidRPr="00896CD7" w:rsidRDefault="00F20204" w:rsidP="00F20204">
            <w:pPr>
              <w:widowControl w:val="0"/>
              <w:tabs>
                <w:tab w:val="decimal" w:pos="792"/>
              </w:tabs>
              <w:spacing w:before="60" w:after="60" w:line="240" w:lineRule="auto"/>
              <w:ind w:firstLine="0"/>
              <w:jc w:val="center"/>
              <w:rPr>
                <w:rFonts w:eastAsia="SimSun"/>
                <w:szCs w:val="24"/>
              </w:rPr>
            </w:pPr>
            <w:r>
              <w:rPr>
                <w:rFonts w:eastAsia="SimSun"/>
                <w:szCs w:val="24"/>
              </w:rPr>
              <w:t>95</w:t>
            </w:r>
            <w:r w:rsidRPr="00896CD7">
              <w:rPr>
                <w:rFonts w:eastAsia="SimSun"/>
                <w:szCs w:val="24"/>
              </w:rPr>
              <w:t xml:space="preserve"> </w:t>
            </w:r>
            <w:r w:rsidR="00B373B1" w:rsidRPr="00896CD7">
              <w:rPr>
                <w:rFonts w:eastAsia="SimSun"/>
                <w:szCs w:val="24"/>
              </w:rPr>
              <w:t>%</w:t>
            </w:r>
          </w:p>
        </w:tc>
        <w:tc>
          <w:tcPr>
            <w:tcW w:w="1440" w:type="dxa"/>
            <w:tcBorders>
              <w:top w:val="single" w:sz="4" w:space="0" w:color="auto"/>
            </w:tcBorders>
          </w:tcPr>
          <w:p w:rsidR="00B373B1" w:rsidRPr="00B373B1" w:rsidRDefault="008E7D08" w:rsidP="00E96E4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8.3</w:t>
            </w:r>
            <w:r w:rsidR="00B373B1">
              <w:rPr>
                <w:rFonts w:eastAsia="SimSun"/>
                <w:szCs w:val="24"/>
              </w:rPr>
              <w:t>2</w:t>
            </w:r>
            <w:r w:rsidR="00B373B1" w:rsidRPr="00B373B1">
              <w:rPr>
                <w:rFonts w:eastAsia="SimSun"/>
                <w:szCs w:val="24"/>
              </w:rPr>
              <w:t xml:space="preserve"> %</w:t>
            </w:r>
          </w:p>
        </w:tc>
      </w:tr>
      <w:tr w:rsidR="00B373B1" w:rsidRPr="001D2B74" w:rsidTr="008E7D08">
        <w:trPr>
          <w:cantSplit/>
          <w:trHeight w:val="312"/>
        </w:trPr>
        <w:tc>
          <w:tcPr>
            <w:tcW w:w="3168" w:type="dxa"/>
          </w:tcPr>
          <w:p w:rsidR="00B373B1" w:rsidRPr="009075DC" w:rsidRDefault="00B373B1" w:rsidP="002200C5">
            <w:pPr>
              <w:widowControl w:val="0"/>
              <w:spacing w:beforeLines="20" w:before="48" w:afterLines="20" w:after="48" w:line="240" w:lineRule="auto"/>
              <w:ind w:firstLine="0"/>
              <w:rPr>
                <w:rFonts w:eastAsia="SimSun"/>
                <w:szCs w:val="24"/>
              </w:rPr>
            </w:pPr>
            <w:r w:rsidRPr="009075DC">
              <w:rPr>
                <w:rFonts w:eastAsia="SimSun"/>
                <w:szCs w:val="24"/>
              </w:rPr>
              <w:t>General Service, &lt; 51 kW</w:t>
            </w:r>
          </w:p>
        </w:tc>
        <w:tc>
          <w:tcPr>
            <w:tcW w:w="1440" w:type="dxa"/>
          </w:tcPr>
          <w:p w:rsidR="00B373B1" w:rsidRPr="009075DC" w:rsidRDefault="00B373B1" w:rsidP="00E96E4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8/</w:t>
            </w:r>
            <w:r w:rsidRPr="009075DC">
              <w:rPr>
                <w:rFonts w:eastAsia="SimSun"/>
                <w:szCs w:val="24"/>
              </w:rPr>
              <w:t>24</w:t>
            </w:r>
          </w:p>
        </w:tc>
        <w:tc>
          <w:tcPr>
            <w:tcW w:w="1350" w:type="dxa"/>
          </w:tcPr>
          <w:p w:rsidR="00B373B1" w:rsidRPr="00896CD7" w:rsidRDefault="00B373B1" w:rsidP="008E7D08">
            <w:pPr>
              <w:widowControl w:val="0"/>
              <w:tabs>
                <w:tab w:val="decimal" w:pos="792"/>
              </w:tabs>
              <w:spacing w:before="60" w:after="60" w:line="240" w:lineRule="auto"/>
              <w:ind w:firstLine="0"/>
              <w:jc w:val="center"/>
              <w:rPr>
                <w:rFonts w:eastAsia="SimSun"/>
                <w:szCs w:val="24"/>
              </w:rPr>
            </w:pPr>
            <w:r>
              <w:rPr>
                <w:rFonts w:eastAsia="SimSun"/>
                <w:szCs w:val="24"/>
              </w:rPr>
              <w:t>10</w:t>
            </w:r>
            <w:r w:rsidR="008E7D08">
              <w:rPr>
                <w:rFonts w:eastAsia="SimSun"/>
                <w:szCs w:val="24"/>
              </w:rPr>
              <w:t>9</w:t>
            </w:r>
            <w:r w:rsidRPr="00896CD7">
              <w:rPr>
                <w:rFonts w:eastAsia="SimSun"/>
                <w:szCs w:val="24"/>
              </w:rPr>
              <w:t xml:space="preserve"> %</w:t>
            </w:r>
          </w:p>
        </w:tc>
        <w:tc>
          <w:tcPr>
            <w:tcW w:w="1440" w:type="dxa"/>
          </w:tcPr>
          <w:p w:rsidR="00B373B1" w:rsidRPr="00B373B1" w:rsidRDefault="008E7D08" w:rsidP="008E7D08">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6.24</w:t>
            </w:r>
            <w:r w:rsidR="00B373B1" w:rsidRPr="00B373B1">
              <w:rPr>
                <w:rFonts w:eastAsia="SimSun"/>
                <w:szCs w:val="24"/>
              </w:rPr>
              <w:t xml:space="preserve"> %</w:t>
            </w:r>
          </w:p>
        </w:tc>
      </w:tr>
      <w:tr w:rsidR="00B373B1" w:rsidRPr="001D2B74" w:rsidTr="008E7D08">
        <w:trPr>
          <w:cantSplit/>
          <w:trHeight w:val="337"/>
        </w:trPr>
        <w:tc>
          <w:tcPr>
            <w:tcW w:w="3168" w:type="dxa"/>
          </w:tcPr>
          <w:p w:rsidR="00B373B1" w:rsidRPr="009075DC" w:rsidRDefault="00B373B1" w:rsidP="002200C5">
            <w:pPr>
              <w:widowControl w:val="0"/>
              <w:spacing w:beforeLines="20" w:before="48" w:afterLines="20" w:after="48" w:line="240" w:lineRule="auto"/>
              <w:ind w:firstLine="0"/>
              <w:rPr>
                <w:rFonts w:eastAsia="SimSun"/>
                <w:szCs w:val="24"/>
              </w:rPr>
            </w:pPr>
            <w:r w:rsidRPr="009075DC">
              <w:rPr>
                <w:rFonts w:eastAsia="SimSun"/>
                <w:szCs w:val="24"/>
              </w:rPr>
              <w:t>General Service, 51 - 350 kW</w:t>
            </w:r>
          </w:p>
        </w:tc>
        <w:tc>
          <w:tcPr>
            <w:tcW w:w="1440" w:type="dxa"/>
          </w:tcPr>
          <w:p w:rsidR="00B373B1" w:rsidRPr="009075DC" w:rsidRDefault="00B373B1" w:rsidP="00E96E4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11/</w:t>
            </w:r>
            <w:r w:rsidRPr="009075DC">
              <w:rPr>
                <w:rFonts w:eastAsia="SimSun"/>
                <w:szCs w:val="24"/>
              </w:rPr>
              <w:t>25</w:t>
            </w:r>
            <w:r w:rsidR="008E7D08">
              <w:rPr>
                <w:rFonts w:eastAsia="SimSun"/>
                <w:szCs w:val="24"/>
              </w:rPr>
              <w:t>/7A/29</w:t>
            </w:r>
          </w:p>
        </w:tc>
        <w:tc>
          <w:tcPr>
            <w:tcW w:w="1350" w:type="dxa"/>
          </w:tcPr>
          <w:p w:rsidR="00B373B1" w:rsidRPr="00896CD7" w:rsidRDefault="00B373B1" w:rsidP="001533D3">
            <w:pPr>
              <w:widowControl w:val="0"/>
              <w:tabs>
                <w:tab w:val="decimal" w:pos="792"/>
              </w:tabs>
              <w:spacing w:before="60" w:after="60" w:line="240" w:lineRule="auto"/>
              <w:ind w:firstLine="0"/>
              <w:jc w:val="center"/>
              <w:rPr>
                <w:rFonts w:eastAsia="SimSun"/>
                <w:szCs w:val="24"/>
              </w:rPr>
            </w:pPr>
            <w:r>
              <w:rPr>
                <w:rFonts w:eastAsia="SimSun"/>
                <w:szCs w:val="24"/>
              </w:rPr>
              <w:t>108</w:t>
            </w:r>
            <w:r w:rsidRPr="00896CD7">
              <w:rPr>
                <w:rFonts w:eastAsia="SimSun"/>
                <w:szCs w:val="24"/>
              </w:rPr>
              <w:t xml:space="preserve"> %</w:t>
            </w:r>
          </w:p>
        </w:tc>
        <w:tc>
          <w:tcPr>
            <w:tcW w:w="1440" w:type="dxa"/>
          </w:tcPr>
          <w:p w:rsidR="00B373B1" w:rsidRPr="00B373B1" w:rsidRDefault="008E7D08" w:rsidP="00E96E4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6.24</w:t>
            </w:r>
            <w:r w:rsidR="00B373B1" w:rsidRPr="00B373B1">
              <w:rPr>
                <w:rFonts w:eastAsia="SimSun"/>
                <w:szCs w:val="24"/>
              </w:rPr>
              <w:t xml:space="preserve"> %</w:t>
            </w:r>
          </w:p>
        </w:tc>
      </w:tr>
      <w:tr w:rsidR="00B373B1" w:rsidRPr="001D2B74" w:rsidTr="008E7D08">
        <w:trPr>
          <w:cantSplit/>
          <w:trHeight w:val="312"/>
        </w:trPr>
        <w:tc>
          <w:tcPr>
            <w:tcW w:w="3168" w:type="dxa"/>
          </w:tcPr>
          <w:p w:rsidR="00B373B1" w:rsidRPr="009075DC" w:rsidRDefault="00B373B1" w:rsidP="002200C5">
            <w:pPr>
              <w:widowControl w:val="0"/>
              <w:spacing w:beforeLines="20" w:before="48" w:afterLines="20" w:after="48" w:line="240" w:lineRule="auto"/>
              <w:ind w:firstLine="0"/>
              <w:rPr>
                <w:rFonts w:eastAsia="SimSun"/>
                <w:szCs w:val="24"/>
              </w:rPr>
            </w:pPr>
            <w:r w:rsidRPr="009075DC">
              <w:rPr>
                <w:rFonts w:eastAsia="SimSun"/>
                <w:szCs w:val="24"/>
              </w:rPr>
              <w:t>General Service, &gt;350 kW</w:t>
            </w:r>
          </w:p>
        </w:tc>
        <w:tc>
          <w:tcPr>
            <w:tcW w:w="1440" w:type="dxa"/>
          </w:tcPr>
          <w:p w:rsidR="00B373B1" w:rsidRPr="009075DC" w:rsidRDefault="00B373B1" w:rsidP="00E96E4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12/</w:t>
            </w:r>
            <w:r w:rsidRPr="009075DC">
              <w:rPr>
                <w:rFonts w:eastAsia="SimSun"/>
                <w:szCs w:val="24"/>
              </w:rPr>
              <w:t>26</w:t>
            </w:r>
          </w:p>
        </w:tc>
        <w:tc>
          <w:tcPr>
            <w:tcW w:w="1350" w:type="dxa"/>
          </w:tcPr>
          <w:p w:rsidR="00B373B1" w:rsidRPr="00896CD7" w:rsidRDefault="00B373B1" w:rsidP="008E7D08">
            <w:pPr>
              <w:widowControl w:val="0"/>
              <w:tabs>
                <w:tab w:val="decimal" w:pos="792"/>
              </w:tabs>
              <w:spacing w:before="60" w:after="60" w:line="240" w:lineRule="auto"/>
              <w:ind w:firstLine="0"/>
              <w:jc w:val="center"/>
              <w:rPr>
                <w:rFonts w:eastAsia="SimSun"/>
                <w:szCs w:val="24"/>
              </w:rPr>
            </w:pPr>
            <w:r>
              <w:rPr>
                <w:rFonts w:eastAsia="SimSun"/>
                <w:szCs w:val="24"/>
              </w:rPr>
              <w:t>10</w:t>
            </w:r>
            <w:r w:rsidR="008E7D08">
              <w:rPr>
                <w:rFonts w:eastAsia="SimSun"/>
                <w:szCs w:val="24"/>
              </w:rPr>
              <w:t>8</w:t>
            </w:r>
            <w:r w:rsidRPr="00896CD7">
              <w:rPr>
                <w:rFonts w:eastAsia="SimSun"/>
                <w:szCs w:val="24"/>
              </w:rPr>
              <w:t xml:space="preserve"> %</w:t>
            </w:r>
          </w:p>
        </w:tc>
        <w:tc>
          <w:tcPr>
            <w:tcW w:w="1440" w:type="dxa"/>
          </w:tcPr>
          <w:p w:rsidR="00B373B1" w:rsidRPr="00B373B1" w:rsidRDefault="008E7D08" w:rsidP="00E96E4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6.24</w:t>
            </w:r>
            <w:r w:rsidR="00B373B1" w:rsidRPr="00B373B1">
              <w:rPr>
                <w:rFonts w:eastAsia="SimSun"/>
                <w:szCs w:val="24"/>
              </w:rPr>
              <w:t xml:space="preserve"> %</w:t>
            </w:r>
          </w:p>
        </w:tc>
      </w:tr>
      <w:tr w:rsidR="00B373B1" w:rsidRPr="001D2B74" w:rsidTr="008E7D08">
        <w:trPr>
          <w:cantSplit/>
          <w:trHeight w:val="324"/>
        </w:trPr>
        <w:tc>
          <w:tcPr>
            <w:tcW w:w="3168" w:type="dxa"/>
          </w:tcPr>
          <w:p w:rsidR="00B373B1" w:rsidRPr="009075DC" w:rsidRDefault="00B373B1" w:rsidP="002200C5">
            <w:pPr>
              <w:widowControl w:val="0"/>
              <w:spacing w:beforeLines="20" w:before="48" w:afterLines="20" w:after="48" w:line="240" w:lineRule="auto"/>
              <w:ind w:firstLine="0"/>
              <w:rPr>
                <w:rFonts w:eastAsia="SimSun"/>
                <w:szCs w:val="24"/>
              </w:rPr>
            </w:pPr>
            <w:r w:rsidRPr="009075DC">
              <w:rPr>
                <w:rFonts w:eastAsia="SimSun"/>
                <w:szCs w:val="24"/>
              </w:rPr>
              <w:t>Primary Service</w:t>
            </w:r>
            <w:r w:rsidR="008E7D08">
              <w:rPr>
                <w:rFonts w:eastAsia="SimSun"/>
                <w:szCs w:val="24"/>
              </w:rPr>
              <w:t>, Gen &amp; Irr.</w:t>
            </w:r>
          </w:p>
        </w:tc>
        <w:tc>
          <w:tcPr>
            <w:tcW w:w="1440" w:type="dxa"/>
          </w:tcPr>
          <w:p w:rsidR="00B373B1" w:rsidRPr="009075DC" w:rsidRDefault="00B373B1" w:rsidP="008E7D08">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10/</w:t>
            </w:r>
            <w:r w:rsidRPr="009075DC">
              <w:rPr>
                <w:rFonts w:eastAsia="SimSun"/>
                <w:szCs w:val="24"/>
              </w:rPr>
              <w:t>31/35</w:t>
            </w:r>
          </w:p>
        </w:tc>
        <w:tc>
          <w:tcPr>
            <w:tcW w:w="1350" w:type="dxa"/>
          </w:tcPr>
          <w:p w:rsidR="00B373B1" w:rsidRPr="00896CD7" w:rsidRDefault="00F20204" w:rsidP="00F20204">
            <w:pPr>
              <w:widowControl w:val="0"/>
              <w:tabs>
                <w:tab w:val="decimal" w:pos="792"/>
              </w:tabs>
              <w:spacing w:before="60" w:after="60" w:line="240" w:lineRule="auto"/>
              <w:ind w:firstLine="0"/>
              <w:jc w:val="center"/>
              <w:rPr>
                <w:rFonts w:eastAsia="SimSun"/>
                <w:szCs w:val="24"/>
              </w:rPr>
            </w:pPr>
            <w:r>
              <w:rPr>
                <w:rFonts w:eastAsia="SimSun"/>
                <w:szCs w:val="24"/>
              </w:rPr>
              <w:t>109</w:t>
            </w:r>
            <w:r w:rsidRPr="00896CD7">
              <w:rPr>
                <w:rFonts w:eastAsia="SimSun"/>
                <w:szCs w:val="24"/>
              </w:rPr>
              <w:t xml:space="preserve"> </w:t>
            </w:r>
            <w:r w:rsidR="00B373B1" w:rsidRPr="00896CD7">
              <w:rPr>
                <w:rFonts w:eastAsia="SimSun"/>
                <w:szCs w:val="24"/>
              </w:rPr>
              <w:t>%</w:t>
            </w:r>
          </w:p>
        </w:tc>
        <w:tc>
          <w:tcPr>
            <w:tcW w:w="1440" w:type="dxa"/>
          </w:tcPr>
          <w:p w:rsidR="00B373B1" w:rsidRPr="00B373B1" w:rsidRDefault="008E7D08" w:rsidP="00E96E4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6.24</w:t>
            </w:r>
            <w:r w:rsidR="00B373B1" w:rsidRPr="00B373B1">
              <w:rPr>
                <w:rFonts w:eastAsia="SimSun"/>
                <w:szCs w:val="24"/>
              </w:rPr>
              <w:t xml:space="preserve"> %</w:t>
            </w:r>
          </w:p>
        </w:tc>
      </w:tr>
      <w:tr w:rsidR="008E7D08" w:rsidRPr="001D2B74" w:rsidTr="008E7D08">
        <w:trPr>
          <w:cantSplit/>
          <w:trHeight w:val="324"/>
        </w:trPr>
        <w:tc>
          <w:tcPr>
            <w:tcW w:w="3168" w:type="dxa"/>
          </w:tcPr>
          <w:p w:rsidR="008E7D08" w:rsidRPr="009075DC" w:rsidRDefault="008E7D08" w:rsidP="002200C5">
            <w:pPr>
              <w:widowControl w:val="0"/>
              <w:spacing w:beforeLines="20" w:before="48" w:afterLines="20" w:after="48" w:line="240" w:lineRule="auto"/>
              <w:ind w:firstLine="0"/>
              <w:rPr>
                <w:rFonts w:eastAsia="SimSun"/>
                <w:szCs w:val="24"/>
              </w:rPr>
            </w:pPr>
            <w:r>
              <w:rPr>
                <w:rFonts w:eastAsia="SimSun"/>
                <w:szCs w:val="24"/>
              </w:rPr>
              <w:t>Primary Service, Schools</w:t>
            </w:r>
          </w:p>
        </w:tc>
        <w:tc>
          <w:tcPr>
            <w:tcW w:w="1440" w:type="dxa"/>
          </w:tcPr>
          <w:p w:rsidR="008E7D08" w:rsidRPr="009075DC" w:rsidRDefault="008E7D08" w:rsidP="00E96E4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43</w:t>
            </w:r>
          </w:p>
        </w:tc>
        <w:tc>
          <w:tcPr>
            <w:tcW w:w="1350" w:type="dxa"/>
          </w:tcPr>
          <w:p w:rsidR="008E7D08" w:rsidRDefault="00F20204" w:rsidP="00F20204">
            <w:pPr>
              <w:widowControl w:val="0"/>
              <w:tabs>
                <w:tab w:val="decimal" w:pos="792"/>
              </w:tabs>
              <w:spacing w:before="60" w:after="60" w:line="240" w:lineRule="auto"/>
              <w:ind w:firstLine="0"/>
              <w:jc w:val="center"/>
              <w:rPr>
                <w:rFonts w:eastAsia="SimSun"/>
                <w:szCs w:val="24"/>
              </w:rPr>
            </w:pPr>
            <w:r>
              <w:rPr>
                <w:rFonts w:eastAsia="SimSun"/>
                <w:szCs w:val="24"/>
              </w:rPr>
              <w:t xml:space="preserve">104 </w:t>
            </w:r>
            <w:r w:rsidR="008E7D08">
              <w:rPr>
                <w:rFonts w:eastAsia="SimSun"/>
                <w:szCs w:val="24"/>
              </w:rPr>
              <w:t>%</w:t>
            </w:r>
          </w:p>
        </w:tc>
        <w:tc>
          <w:tcPr>
            <w:tcW w:w="1440" w:type="dxa"/>
          </w:tcPr>
          <w:p w:rsidR="008E7D08" w:rsidRDefault="008E7D08" w:rsidP="00E96E4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8.32 %</w:t>
            </w:r>
          </w:p>
        </w:tc>
      </w:tr>
      <w:tr w:rsidR="00B373B1" w:rsidRPr="001D2B74" w:rsidTr="008E7D08">
        <w:trPr>
          <w:cantSplit/>
          <w:trHeight w:val="324"/>
        </w:trPr>
        <w:tc>
          <w:tcPr>
            <w:tcW w:w="3168" w:type="dxa"/>
          </w:tcPr>
          <w:p w:rsidR="00B373B1" w:rsidRPr="009075DC" w:rsidRDefault="00B373B1" w:rsidP="002200C5">
            <w:pPr>
              <w:widowControl w:val="0"/>
              <w:spacing w:beforeLines="20" w:before="48" w:afterLines="20" w:after="48" w:line="240" w:lineRule="auto"/>
              <w:ind w:firstLine="0"/>
              <w:rPr>
                <w:rFonts w:eastAsia="SimSun"/>
                <w:szCs w:val="24"/>
              </w:rPr>
            </w:pPr>
            <w:r w:rsidRPr="009075DC">
              <w:rPr>
                <w:rFonts w:eastAsia="SimSun"/>
                <w:szCs w:val="24"/>
              </w:rPr>
              <w:t>Campus Rate*</w:t>
            </w:r>
          </w:p>
        </w:tc>
        <w:tc>
          <w:tcPr>
            <w:tcW w:w="1440" w:type="dxa"/>
          </w:tcPr>
          <w:p w:rsidR="00B373B1" w:rsidRPr="009075DC" w:rsidRDefault="00B373B1" w:rsidP="00E96E4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40</w:t>
            </w:r>
          </w:p>
        </w:tc>
        <w:tc>
          <w:tcPr>
            <w:tcW w:w="1350" w:type="dxa"/>
          </w:tcPr>
          <w:p w:rsidR="00B373B1" w:rsidRPr="00896CD7" w:rsidRDefault="008E7D08" w:rsidP="001533D3">
            <w:pPr>
              <w:widowControl w:val="0"/>
              <w:tabs>
                <w:tab w:val="decimal" w:pos="792"/>
              </w:tabs>
              <w:spacing w:before="60" w:after="60" w:line="240" w:lineRule="auto"/>
              <w:ind w:firstLine="0"/>
              <w:jc w:val="center"/>
              <w:rPr>
                <w:rFonts w:eastAsia="SimSun"/>
                <w:szCs w:val="24"/>
              </w:rPr>
            </w:pPr>
            <w:r>
              <w:rPr>
                <w:rFonts w:eastAsia="SimSun"/>
                <w:szCs w:val="24"/>
              </w:rPr>
              <w:t>95</w:t>
            </w:r>
            <w:r w:rsidR="00B373B1" w:rsidRPr="00896CD7">
              <w:rPr>
                <w:rFonts w:eastAsia="SimSun"/>
                <w:szCs w:val="24"/>
              </w:rPr>
              <w:t xml:space="preserve"> %</w:t>
            </w:r>
          </w:p>
        </w:tc>
        <w:tc>
          <w:tcPr>
            <w:tcW w:w="1440" w:type="dxa"/>
          </w:tcPr>
          <w:p w:rsidR="00B373B1" w:rsidRPr="00B373B1" w:rsidRDefault="00B373B1" w:rsidP="008E7D08">
            <w:pPr>
              <w:widowControl w:val="0"/>
              <w:tabs>
                <w:tab w:val="decimal" w:pos="252"/>
              </w:tabs>
              <w:spacing w:beforeLines="20" w:before="48" w:afterLines="20" w:after="48" w:line="240" w:lineRule="auto"/>
              <w:ind w:firstLine="0"/>
              <w:jc w:val="center"/>
              <w:rPr>
                <w:rFonts w:eastAsia="SimSun"/>
                <w:szCs w:val="24"/>
              </w:rPr>
            </w:pPr>
            <w:r>
              <w:rPr>
                <w:rFonts w:eastAsia="SimSun"/>
                <w:szCs w:val="24"/>
              </w:rPr>
              <w:t>1</w:t>
            </w:r>
            <w:r w:rsidR="008E7D08">
              <w:rPr>
                <w:rFonts w:eastAsia="SimSun"/>
                <w:szCs w:val="24"/>
              </w:rPr>
              <w:t>3.28</w:t>
            </w:r>
            <w:r w:rsidRPr="00B373B1">
              <w:rPr>
                <w:rFonts w:eastAsia="SimSun"/>
                <w:szCs w:val="24"/>
              </w:rPr>
              <w:t xml:space="preserve"> %</w:t>
            </w:r>
          </w:p>
        </w:tc>
      </w:tr>
      <w:tr w:rsidR="00B373B1" w:rsidRPr="001D2B74" w:rsidTr="008E7D08">
        <w:trPr>
          <w:cantSplit/>
          <w:trHeight w:val="477"/>
        </w:trPr>
        <w:tc>
          <w:tcPr>
            <w:tcW w:w="3168" w:type="dxa"/>
          </w:tcPr>
          <w:p w:rsidR="00B373B1" w:rsidRPr="009075DC" w:rsidRDefault="00B373B1" w:rsidP="002200C5">
            <w:pPr>
              <w:widowControl w:val="0"/>
              <w:spacing w:beforeLines="20" w:before="48" w:afterLines="20" w:after="48" w:line="240" w:lineRule="auto"/>
              <w:ind w:firstLine="0"/>
              <w:rPr>
                <w:rFonts w:eastAsia="SimSun"/>
                <w:szCs w:val="24"/>
              </w:rPr>
            </w:pPr>
            <w:r w:rsidRPr="009075DC">
              <w:rPr>
                <w:rFonts w:eastAsia="SimSun"/>
                <w:szCs w:val="24"/>
              </w:rPr>
              <w:t xml:space="preserve">High Voltage </w:t>
            </w:r>
          </w:p>
        </w:tc>
        <w:tc>
          <w:tcPr>
            <w:tcW w:w="1440" w:type="dxa"/>
          </w:tcPr>
          <w:p w:rsidR="00B373B1" w:rsidRPr="009075DC" w:rsidRDefault="00B373B1" w:rsidP="00E96E4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46/49</w:t>
            </w:r>
          </w:p>
        </w:tc>
        <w:tc>
          <w:tcPr>
            <w:tcW w:w="1350" w:type="dxa"/>
          </w:tcPr>
          <w:p w:rsidR="00B373B1" w:rsidRPr="00896CD7" w:rsidRDefault="008E7D08" w:rsidP="001533D3">
            <w:pPr>
              <w:widowControl w:val="0"/>
              <w:tabs>
                <w:tab w:val="decimal" w:pos="792"/>
              </w:tabs>
              <w:spacing w:before="60" w:after="60" w:line="240" w:lineRule="auto"/>
              <w:ind w:firstLine="0"/>
              <w:jc w:val="center"/>
              <w:rPr>
                <w:rFonts w:eastAsia="SimSun"/>
                <w:szCs w:val="24"/>
              </w:rPr>
            </w:pPr>
            <w:r>
              <w:rPr>
                <w:rFonts w:eastAsia="SimSun"/>
                <w:szCs w:val="24"/>
              </w:rPr>
              <w:t>109</w:t>
            </w:r>
            <w:r w:rsidR="00B373B1" w:rsidRPr="00896CD7">
              <w:rPr>
                <w:rFonts w:eastAsia="SimSun"/>
                <w:szCs w:val="24"/>
              </w:rPr>
              <w:t xml:space="preserve"> %</w:t>
            </w:r>
          </w:p>
        </w:tc>
        <w:tc>
          <w:tcPr>
            <w:tcW w:w="1440" w:type="dxa"/>
          </w:tcPr>
          <w:p w:rsidR="00B373B1" w:rsidRPr="00B373B1" w:rsidRDefault="00B373B1" w:rsidP="008E7D08">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w:t>
            </w:r>
            <w:r w:rsidR="008E7D08">
              <w:rPr>
                <w:rFonts w:eastAsia="SimSun"/>
                <w:szCs w:val="24"/>
              </w:rPr>
              <w:t>24</w:t>
            </w:r>
            <w:r w:rsidRPr="00B373B1">
              <w:rPr>
                <w:rFonts w:eastAsia="SimSun"/>
                <w:szCs w:val="24"/>
              </w:rPr>
              <w:t xml:space="preserve"> %</w:t>
            </w:r>
          </w:p>
        </w:tc>
      </w:tr>
      <w:tr w:rsidR="00B373B1" w:rsidRPr="001D2B74" w:rsidTr="008E7D08">
        <w:trPr>
          <w:cantSplit/>
          <w:trHeight w:val="324"/>
        </w:trPr>
        <w:tc>
          <w:tcPr>
            <w:tcW w:w="3168" w:type="dxa"/>
          </w:tcPr>
          <w:p w:rsidR="00B373B1" w:rsidRPr="009075DC" w:rsidRDefault="00B373B1" w:rsidP="002200C5">
            <w:pPr>
              <w:widowControl w:val="0"/>
              <w:spacing w:beforeLines="20" w:before="48" w:afterLines="20" w:after="48" w:line="240" w:lineRule="auto"/>
              <w:ind w:firstLine="0"/>
              <w:rPr>
                <w:rFonts w:eastAsia="SimSun"/>
                <w:szCs w:val="24"/>
              </w:rPr>
            </w:pPr>
            <w:r w:rsidRPr="009075DC">
              <w:rPr>
                <w:rFonts w:eastAsia="SimSun"/>
                <w:szCs w:val="24"/>
              </w:rPr>
              <w:t>Lighting Service</w:t>
            </w:r>
          </w:p>
        </w:tc>
        <w:tc>
          <w:tcPr>
            <w:tcW w:w="1440" w:type="dxa"/>
          </w:tcPr>
          <w:p w:rsidR="00B373B1" w:rsidRPr="009075DC" w:rsidRDefault="00F20204" w:rsidP="00F20204">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5</w:t>
            </w:r>
            <w:r>
              <w:rPr>
                <w:rFonts w:eastAsia="SimSun"/>
                <w:szCs w:val="24"/>
              </w:rPr>
              <w:t>0</w:t>
            </w:r>
            <w:r w:rsidRPr="009075DC">
              <w:rPr>
                <w:rFonts w:eastAsia="SimSun"/>
                <w:szCs w:val="24"/>
              </w:rPr>
              <w:t xml:space="preserve"> </w:t>
            </w:r>
            <w:r w:rsidR="00B373B1">
              <w:rPr>
                <w:rFonts w:eastAsia="SimSun"/>
                <w:szCs w:val="24"/>
              </w:rPr>
              <w:t>–</w:t>
            </w:r>
            <w:r w:rsidR="00B373B1" w:rsidRPr="009075DC">
              <w:rPr>
                <w:rFonts w:eastAsia="SimSun"/>
                <w:szCs w:val="24"/>
              </w:rPr>
              <w:t xml:space="preserve"> 59</w:t>
            </w:r>
          </w:p>
        </w:tc>
        <w:tc>
          <w:tcPr>
            <w:tcW w:w="1350" w:type="dxa"/>
          </w:tcPr>
          <w:p w:rsidR="00B373B1" w:rsidRPr="00896CD7" w:rsidRDefault="00B373B1" w:rsidP="008E7D08">
            <w:pPr>
              <w:widowControl w:val="0"/>
              <w:tabs>
                <w:tab w:val="decimal" w:pos="792"/>
              </w:tabs>
              <w:spacing w:before="60" w:after="60" w:line="240" w:lineRule="auto"/>
              <w:ind w:firstLine="0"/>
              <w:jc w:val="center"/>
              <w:rPr>
                <w:rFonts w:eastAsia="SimSun"/>
                <w:szCs w:val="24"/>
              </w:rPr>
            </w:pPr>
            <w:r>
              <w:rPr>
                <w:rFonts w:eastAsia="SimSun"/>
                <w:szCs w:val="24"/>
              </w:rPr>
              <w:t>9</w:t>
            </w:r>
            <w:r w:rsidR="008E7D08">
              <w:rPr>
                <w:rFonts w:eastAsia="SimSun"/>
                <w:szCs w:val="24"/>
              </w:rPr>
              <w:t>7</w:t>
            </w:r>
            <w:r w:rsidRPr="00896CD7">
              <w:rPr>
                <w:rFonts w:eastAsia="SimSun"/>
                <w:szCs w:val="24"/>
              </w:rPr>
              <w:t xml:space="preserve"> %</w:t>
            </w:r>
          </w:p>
        </w:tc>
        <w:tc>
          <w:tcPr>
            <w:tcW w:w="1440" w:type="dxa"/>
          </w:tcPr>
          <w:p w:rsidR="00B373B1" w:rsidRPr="00B373B1" w:rsidRDefault="008E7D08" w:rsidP="00E96E4D">
            <w:pPr>
              <w:widowControl w:val="0"/>
              <w:tabs>
                <w:tab w:val="decimal" w:pos="252"/>
              </w:tabs>
              <w:spacing w:beforeLines="20" w:before="48" w:afterLines="20" w:after="48" w:line="240" w:lineRule="auto"/>
              <w:ind w:firstLine="0"/>
              <w:jc w:val="center"/>
              <w:rPr>
                <w:rFonts w:eastAsia="SimSun"/>
              </w:rPr>
            </w:pPr>
            <w:r>
              <w:rPr>
                <w:rFonts w:eastAsia="SimSun"/>
                <w:szCs w:val="24"/>
              </w:rPr>
              <w:t>8.32</w:t>
            </w:r>
            <w:r w:rsidR="00B373B1" w:rsidRPr="00B373B1">
              <w:rPr>
                <w:rFonts w:eastAsia="SimSun"/>
                <w:szCs w:val="24"/>
              </w:rPr>
              <w:t xml:space="preserve"> %</w:t>
            </w:r>
          </w:p>
        </w:tc>
      </w:tr>
      <w:tr w:rsidR="00B373B1" w:rsidRPr="001D2B74" w:rsidTr="008E7D08">
        <w:trPr>
          <w:cantSplit/>
          <w:trHeight w:val="324"/>
        </w:trPr>
        <w:tc>
          <w:tcPr>
            <w:tcW w:w="3168" w:type="dxa"/>
            <w:tcBorders>
              <w:bottom w:val="single" w:sz="4" w:space="0" w:color="auto"/>
            </w:tcBorders>
          </w:tcPr>
          <w:p w:rsidR="00B373B1" w:rsidRPr="009075DC" w:rsidRDefault="00B373B1" w:rsidP="002200C5">
            <w:pPr>
              <w:widowControl w:val="0"/>
              <w:spacing w:beforeLines="20" w:before="48" w:afterLines="20" w:after="48" w:line="240" w:lineRule="auto"/>
              <w:ind w:firstLine="0"/>
              <w:rPr>
                <w:rFonts w:eastAsia="SimSun"/>
              </w:rPr>
            </w:pPr>
            <w:r w:rsidRPr="009075DC">
              <w:rPr>
                <w:rFonts w:eastAsia="SimSun"/>
                <w:szCs w:val="24"/>
              </w:rPr>
              <w:t>Choice/Retail Wheeling</w:t>
            </w:r>
          </w:p>
        </w:tc>
        <w:tc>
          <w:tcPr>
            <w:tcW w:w="1440" w:type="dxa"/>
            <w:tcBorders>
              <w:bottom w:val="single" w:sz="4" w:space="0" w:color="auto"/>
            </w:tcBorders>
          </w:tcPr>
          <w:p w:rsidR="00B373B1" w:rsidRPr="009075DC" w:rsidRDefault="00B373B1" w:rsidP="00E96E4D">
            <w:pPr>
              <w:widowControl w:val="0"/>
              <w:tabs>
                <w:tab w:val="decimal" w:pos="342"/>
              </w:tabs>
              <w:spacing w:beforeLines="20" w:before="48" w:afterLines="20" w:after="48" w:line="240" w:lineRule="auto"/>
              <w:ind w:firstLine="0"/>
              <w:jc w:val="center"/>
              <w:rPr>
                <w:rFonts w:eastAsia="SimSun"/>
              </w:rPr>
            </w:pPr>
            <w:r w:rsidRPr="009075DC">
              <w:rPr>
                <w:rFonts w:eastAsia="SimSun"/>
                <w:szCs w:val="24"/>
              </w:rPr>
              <w:t>448/449</w:t>
            </w:r>
          </w:p>
        </w:tc>
        <w:tc>
          <w:tcPr>
            <w:tcW w:w="1350" w:type="dxa"/>
            <w:tcBorders>
              <w:bottom w:val="single" w:sz="4" w:space="0" w:color="auto"/>
            </w:tcBorders>
          </w:tcPr>
          <w:p w:rsidR="00B373B1" w:rsidRPr="00896CD7" w:rsidRDefault="008E7D08" w:rsidP="001533D3">
            <w:pPr>
              <w:widowControl w:val="0"/>
              <w:tabs>
                <w:tab w:val="decimal" w:pos="792"/>
              </w:tabs>
              <w:spacing w:before="60" w:after="60" w:line="240" w:lineRule="auto"/>
              <w:ind w:firstLine="0"/>
              <w:jc w:val="center"/>
              <w:rPr>
                <w:rFonts w:eastAsia="SimSun"/>
                <w:szCs w:val="24"/>
              </w:rPr>
            </w:pPr>
            <w:r>
              <w:rPr>
                <w:rFonts w:eastAsia="SimSun"/>
                <w:szCs w:val="24"/>
              </w:rPr>
              <w:t>65</w:t>
            </w:r>
            <w:r w:rsidR="00B373B1" w:rsidRPr="00896CD7">
              <w:rPr>
                <w:rFonts w:eastAsia="SimSun"/>
                <w:szCs w:val="24"/>
              </w:rPr>
              <w:t xml:space="preserve"> %</w:t>
            </w:r>
          </w:p>
        </w:tc>
        <w:tc>
          <w:tcPr>
            <w:tcW w:w="1440" w:type="dxa"/>
            <w:tcBorders>
              <w:bottom w:val="single" w:sz="4" w:space="0" w:color="auto"/>
            </w:tcBorders>
          </w:tcPr>
          <w:p w:rsidR="00B373B1" w:rsidRPr="00B373B1" w:rsidRDefault="00B373B1" w:rsidP="008E7D08">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w:t>
            </w:r>
            <w:r w:rsidR="008E7D08">
              <w:rPr>
                <w:rFonts w:eastAsia="SimSun"/>
                <w:szCs w:val="24"/>
              </w:rPr>
              <w:t>07</w:t>
            </w:r>
            <w:r w:rsidRPr="00B373B1">
              <w:rPr>
                <w:rFonts w:eastAsia="SimSun"/>
                <w:szCs w:val="24"/>
              </w:rPr>
              <w:t xml:space="preserve"> %</w:t>
            </w:r>
          </w:p>
        </w:tc>
      </w:tr>
      <w:tr w:rsidR="00153529" w:rsidRPr="009075DC" w:rsidTr="008E7D08">
        <w:trPr>
          <w:cantSplit/>
          <w:trHeight w:val="692"/>
        </w:trPr>
        <w:tc>
          <w:tcPr>
            <w:tcW w:w="3168" w:type="dxa"/>
            <w:tcBorders>
              <w:top w:val="single" w:sz="4" w:space="0" w:color="auto"/>
              <w:bottom w:val="single" w:sz="4" w:space="0" w:color="auto"/>
            </w:tcBorders>
          </w:tcPr>
          <w:p w:rsidR="00153529" w:rsidRPr="009075DC" w:rsidRDefault="00153529" w:rsidP="002200C5">
            <w:pPr>
              <w:widowControl w:val="0"/>
              <w:spacing w:beforeLines="20" w:before="48" w:afterLines="20" w:after="48" w:line="240" w:lineRule="auto"/>
              <w:ind w:firstLine="0"/>
              <w:jc w:val="center"/>
              <w:rPr>
                <w:rFonts w:eastAsia="SimSun"/>
                <w:b/>
                <w:szCs w:val="24"/>
              </w:rPr>
            </w:pPr>
            <w:r w:rsidRPr="009075DC">
              <w:rPr>
                <w:rFonts w:eastAsia="SimSun"/>
                <w:b/>
                <w:szCs w:val="24"/>
              </w:rPr>
              <w:t>Total Jurisdictional Retail Sales</w:t>
            </w:r>
          </w:p>
        </w:tc>
        <w:tc>
          <w:tcPr>
            <w:tcW w:w="1440" w:type="dxa"/>
            <w:tcBorders>
              <w:top w:val="single" w:sz="4" w:space="0" w:color="auto"/>
              <w:bottom w:val="single" w:sz="4" w:space="0" w:color="auto"/>
            </w:tcBorders>
          </w:tcPr>
          <w:p w:rsidR="00153529" w:rsidRPr="009075DC" w:rsidRDefault="00153529" w:rsidP="002200C5">
            <w:pPr>
              <w:widowControl w:val="0"/>
              <w:tabs>
                <w:tab w:val="decimal" w:pos="792"/>
              </w:tabs>
              <w:spacing w:beforeLines="20" w:before="48" w:afterLines="20" w:after="48" w:line="240" w:lineRule="auto"/>
              <w:ind w:firstLine="0"/>
              <w:rPr>
                <w:rFonts w:eastAsia="SimSun"/>
                <w:b/>
                <w:szCs w:val="24"/>
              </w:rPr>
            </w:pPr>
            <w:r w:rsidRPr="009075DC">
              <w:rPr>
                <w:rFonts w:eastAsia="SimSun"/>
                <w:b/>
                <w:szCs w:val="24"/>
              </w:rPr>
              <w:t>n/a</w:t>
            </w:r>
          </w:p>
        </w:tc>
        <w:tc>
          <w:tcPr>
            <w:tcW w:w="1350" w:type="dxa"/>
            <w:tcBorders>
              <w:top w:val="single" w:sz="4" w:space="0" w:color="auto"/>
              <w:bottom w:val="single" w:sz="4" w:space="0" w:color="auto"/>
            </w:tcBorders>
          </w:tcPr>
          <w:p w:rsidR="00153529" w:rsidRPr="009075DC" w:rsidRDefault="00153529" w:rsidP="00E96E4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n/a</w:t>
            </w:r>
          </w:p>
        </w:tc>
        <w:tc>
          <w:tcPr>
            <w:tcW w:w="1440" w:type="dxa"/>
            <w:tcBorders>
              <w:top w:val="single" w:sz="4" w:space="0" w:color="auto"/>
              <w:bottom w:val="single" w:sz="4" w:space="0" w:color="auto"/>
            </w:tcBorders>
          </w:tcPr>
          <w:p w:rsidR="00153529" w:rsidRPr="00B373B1" w:rsidRDefault="008E7D08" w:rsidP="00E96E4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7.57</w:t>
            </w:r>
            <w:r w:rsidR="00153529" w:rsidRPr="00B373B1">
              <w:rPr>
                <w:rFonts w:eastAsia="SimSun"/>
                <w:szCs w:val="24"/>
              </w:rPr>
              <w:t xml:space="preserve"> %</w:t>
            </w:r>
          </w:p>
        </w:tc>
      </w:tr>
      <w:tr w:rsidR="00153529" w:rsidRPr="009075DC" w:rsidTr="008E7D08">
        <w:trPr>
          <w:cantSplit/>
          <w:trHeight w:val="378"/>
        </w:trPr>
        <w:tc>
          <w:tcPr>
            <w:tcW w:w="3168" w:type="dxa"/>
            <w:tcBorders>
              <w:top w:val="single" w:sz="4" w:space="0" w:color="auto"/>
              <w:bottom w:val="single" w:sz="4" w:space="0" w:color="auto"/>
            </w:tcBorders>
          </w:tcPr>
          <w:p w:rsidR="00153529" w:rsidRPr="009075DC" w:rsidRDefault="00153529" w:rsidP="002200C5">
            <w:pPr>
              <w:widowControl w:val="0"/>
              <w:spacing w:beforeLines="20" w:before="48" w:afterLines="20" w:after="48" w:line="240" w:lineRule="auto"/>
              <w:ind w:firstLine="0"/>
              <w:rPr>
                <w:rFonts w:eastAsia="SimSun"/>
                <w:szCs w:val="24"/>
              </w:rPr>
            </w:pPr>
            <w:r w:rsidRPr="009075DC">
              <w:rPr>
                <w:rFonts w:eastAsia="SimSun"/>
                <w:szCs w:val="24"/>
              </w:rPr>
              <w:t>Firm Resale</w:t>
            </w:r>
          </w:p>
        </w:tc>
        <w:tc>
          <w:tcPr>
            <w:tcW w:w="1440" w:type="dxa"/>
            <w:tcBorders>
              <w:top w:val="single" w:sz="4" w:space="0" w:color="auto"/>
              <w:bottom w:val="single" w:sz="4" w:space="0" w:color="auto"/>
            </w:tcBorders>
          </w:tcPr>
          <w:p w:rsidR="00153529" w:rsidRPr="009075DC" w:rsidRDefault="00153529" w:rsidP="002200C5">
            <w:pPr>
              <w:widowControl w:val="0"/>
              <w:tabs>
                <w:tab w:val="decimal" w:pos="792"/>
              </w:tabs>
              <w:spacing w:beforeLines="20" w:before="48" w:afterLines="20" w:after="48" w:line="240" w:lineRule="auto"/>
              <w:ind w:firstLine="0"/>
              <w:rPr>
                <w:rFonts w:eastAsia="SimSun"/>
                <w:szCs w:val="24"/>
              </w:rPr>
            </w:pPr>
            <w:r w:rsidRPr="009075DC">
              <w:rPr>
                <w:rFonts w:eastAsia="SimSun"/>
                <w:szCs w:val="24"/>
              </w:rPr>
              <w:t>5</w:t>
            </w:r>
          </w:p>
        </w:tc>
        <w:tc>
          <w:tcPr>
            <w:tcW w:w="1350" w:type="dxa"/>
            <w:tcBorders>
              <w:top w:val="single" w:sz="4" w:space="0" w:color="auto"/>
              <w:bottom w:val="single" w:sz="4" w:space="0" w:color="auto"/>
            </w:tcBorders>
          </w:tcPr>
          <w:p w:rsidR="00153529" w:rsidRPr="009075DC" w:rsidRDefault="00B373B1" w:rsidP="008E7D08">
            <w:pPr>
              <w:widowControl w:val="0"/>
              <w:tabs>
                <w:tab w:val="decimal" w:pos="702"/>
              </w:tabs>
              <w:spacing w:beforeLines="20" w:before="48" w:afterLines="20" w:after="48" w:line="240" w:lineRule="auto"/>
              <w:ind w:firstLine="0"/>
              <w:jc w:val="center"/>
              <w:rPr>
                <w:rFonts w:eastAsia="SimSun"/>
                <w:szCs w:val="24"/>
              </w:rPr>
            </w:pPr>
            <w:r>
              <w:rPr>
                <w:rFonts w:eastAsia="SimSun"/>
                <w:szCs w:val="24"/>
              </w:rPr>
              <w:t>4</w:t>
            </w:r>
            <w:r w:rsidR="008E7D08">
              <w:rPr>
                <w:rFonts w:eastAsia="SimSun"/>
                <w:szCs w:val="24"/>
              </w:rPr>
              <w:t>7</w:t>
            </w:r>
            <w:r w:rsidR="00153529" w:rsidRPr="009075DC">
              <w:rPr>
                <w:rFonts w:eastAsia="SimSun"/>
                <w:szCs w:val="24"/>
              </w:rPr>
              <w:t xml:space="preserve"> %</w:t>
            </w:r>
          </w:p>
        </w:tc>
        <w:tc>
          <w:tcPr>
            <w:tcW w:w="1440" w:type="dxa"/>
            <w:tcBorders>
              <w:top w:val="single" w:sz="4" w:space="0" w:color="auto"/>
              <w:bottom w:val="single" w:sz="4" w:space="0" w:color="auto"/>
            </w:tcBorders>
          </w:tcPr>
          <w:p w:rsidR="00153529" w:rsidRPr="009075DC" w:rsidRDefault="00B373B1" w:rsidP="008E7D08">
            <w:pPr>
              <w:widowControl w:val="0"/>
              <w:tabs>
                <w:tab w:val="decimal" w:pos="162"/>
              </w:tabs>
              <w:spacing w:beforeLines="20" w:before="48" w:afterLines="20" w:after="48" w:line="240" w:lineRule="auto"/>
              <w:ind w:firstLine="0"/>
              <w:jc w:val="center"/>
              <w:rPr>
                <w:rFonts w:eastAsia="SimSun"/>
                <w:szCs w:val="24"/>
              </w:rPr>
            </w:pPr>
            <w:r>
              <w:rPr>
                <w:rFonts w:eastAsia="SimSun"/>
                <w:szCs w:val="24"/>
              </w:rPr>
              <w:t>128.</w:t>
            </w:r>
            <w:r w:rsidR="008E7D08">
              <w:rPr>
                <w:rFonts w:eastAsia="SimSun"/>
                <w:szCs w:val="24"/>
              </w:rPr>
              <w:t xml:space="preserve">35 </w:t>
            </w:r>
            <w:r w:rsidR="00153529" w:rsidRPr="009075DC">
              <w:rPr>
                <w:rFonts w:eastAsia="SimSun"/>
                <w:szCs w:val="24"/>
              </w:rPr>
              <w:t>%**</w:t>
            </w:r>
          </w:p>
        </w:tc>
      </w:tr>
      <w:tr w:rsidR="00153529" w:rsidRPr="009075DC" w:rsidTr="008E7D08">
        <w:trPr>
          <w:cantSplit/>
          <w:trHeight w:val="575"/>
        </w:trPr>
        <w:tc>
          <w:tcPr>
            <w:tcW w:w="3168" w:type="dxa"/>
            <w:tcBorders>
              <w:top w:val="single" w:sz="4" w:space="0" w:color="auto"/>
            </w:tcBorders>
          </w:tcPr>
          <w:p w:rsidR="00153529" w:rsidRPr="009075DC" w:rsidRDefault="00153529" w:rsidP="002200C5">
            <w:pPr>
              <w:widowControl w:val="0"/>
              <w:spacing w:beforeLines="20" w:before="48" w:afterLines="20" w:after="48" w:line="240" w:lineRule="auto"/>
              <w:ind w:firstLine="0"/>
              <w:jc w:val="center"/>
              <w:rPr>
                <w:rFonts w:eastAsia="SimSun"/>
                <w:b/>
                <w:szCs w:val="24"/>
              </w:rPr>
            </w:pPr>
            <w:r w:rsidRPr="009075DC">
              <w:rPr>
                <w:rFonts w:eastAsia="SimSun"/>
                <w:b/>
                <w:szCs w:val="24"/>
              </w:rPr>
              <w:t>System Total/Average</w:t>
            </w:r>
          </w:p>
        </w:tc>
        <w:tc>
          <w:tcPr>
            <w:tcW w:w="1440" w:type="dxa"/>
            <w:tcBorders>
              <w:top w:val="single" w:sz="4" w:space="0" w:color="auto"/>
            </w:tcBorders>
          </w:tcPr>
          <w:p w:rsidR="00153529" w:rsidRPr="009075DC" w:rsidRDefault="00153529" w:rsidP="002200C5">
            <w:pPr>
              <w:widowControl w:val="0"/>
              <w:tabs>
                <w:tab w:val="decimal" w:pos="792"/>
              </w:tabs>
              <w:spacing w:beforeLines="20" w:before="48" w:afterLines="20" w:after="48" w:line="240" w:lineRule="auto"/>
              <w:ind w:firstLine="0"/>
              <w:rPr>
                <w:rFonts w:eastAsia="SimSun"/>
                <w:b/>
                <w:szCs w:val="24"/>
              </w:rPr>
            </w:pPr>
          </w:p>
        </w:tc>
        <w:tc>
          <w:tcPr>
            <w:tcW w:w="1350" w:type="dxa"/>
            <w:tcBorders>
              <w:top w:val="single" w:sz="4" w:space="0" w:color="auto"/>
            </w:tcBorders>
          </w:tcPr>
          <w:p w:rsidR="00153529" w:rsidRPr="009075DC" w:rsidRDefault="00153529" w:rsidP="008E7D08">
            <w:pPr>
              <w:widowControl w:val="0"/>
              <w:tabs>
                <w:tab w:val="decimal" w:pos="702"/>
              </w:tabs>
              <w:spacing w:beforeLines="20" w:before="48" w:afterLines="20" w:after="48" w:line="240" w:lineRule="auto"/>
              <w:ind w:firstLine="0"/>
              <w:jc w:val="center"/>
              <w:rPr>
                <w:rFonts w:eastAsia="SimSun"/>
                <w:szCs w:val="24"/>
              </w:rPr>
            </w:pPr>
            <w:r w:rsidRPr="009075DC">
              <w:rPr>
                <w:rFonts w:eastAsia="SimSun"/>
                <w:szCs w:val="24"/>
              </w:rPr>
              <w:t>100%</w:t>
            </w:r>
          </w:p>
        </w:tc>
        <w:tc>
          <w:tcPr>
            <w:tcW w:w="1440" w:type="dxa"/>
            <w:tcBorders>
              <w:top w:val="single" w:sz="4" w:space="0" w:color="auto"/>
            </w:tcBorders>
          </w:tcPr>
          <w:p w:rsidR="00153529" w:rsidRPr="009075DC" w:rsidRDefault="008E7D08" w:rsidP="008E7D08">
            <w:pPr>
              <w:widowControl w:val="0"/>
              <w:tabs>
                <w:tab w:val="decimal" w:pos="342"/>
              </w:tabs>
              <w:spacing w:beforeLines="20" w:before="48" w:afterLines="20" w:after="48" w:line="240" w:lineRule="auto"/>
              <w:ind w:firstLine="0"/>
              <w:jc w:val="center"/>
              <w:rPr>
                <w:rFonts w:eastAsia="SimSun"/>
                <w:szCs w:val="24"/>
              </w:rPr>
            </w:pPr>
            <w:r>
              <w:rPr>
                <w:rFonts w:eastAsia="SimSun"/>
                <w:szCs w:val="24"/>
              </w:rPr>
              <w:t>7.59</w:t>
            </w:r>
            <w:r w:rsidR="00153529" w:rsidRPr="009075DC">
              <w:rPr>
                <w:rFonts w:eastAsia="SimSun"/>
                <w:szCs w:val="24"/>
              </w:rPr>
              <w:t xml:space="preserve"> %</w:t>
            </w:r>
          </w:p>
        </w:tc>
      </w:tr>
      <w:tr w:rsidR="00153529" w:rsidRPr="009075DC" w:rsidTr="008E7D08">
        <w:trPr>
          <w:cantSplit/>
          <w:trHeight w:val="185"/>
        </w:trPr>
        <w:tc>
          <w:tcPr>
            <w:tcW w:w="7398" w:type="dxa"/>
            <w:gridSpan w:val="4"/>
          </w:tcPr>
          <w:p w:rsidR="00153529" w:rsidRPr="009075DC" w:rsidRDefault="00153529" w:rsidP="002200C5">
            <w:pPr>
              <w:widowControl w:val="0"/>
              <w:tabs>
                <w:tab w:val="decimal" w:pos="792"/>
              </w:tabs>
              <w:spacing w:beforeLines="20" w:before="48" w:afterLines="20" w:after="48" w:line="240" w:lineRule="auto"/>
              <w:ind w:firstLine="0"/>
              <w:rPr>
                <w:rFonts w:eastAsia="SimSun"/>
                <w:sz w:val="20"/>
              </w:rPr>
            </w:pPr>
            <w:r w:rsidRPr="009075DC">
              <w:rPr>
                <w:rFonts w:eastAsia="SimSun"/>
                <w:sz w:val="20"/>
              </w:rPr>
              <w:t>*Campus Rate increase proposal reflects customer-specific distribution rates according to agreement.</w:t>
            </w:r>
          </w:p>
          <w:p w:rsidR="00153529" w:rsidRPr="009075DC" w:rsidRDefault="00153529" w:rsidP="008E7D08">
            <w:pPr>
              <w:widowControl w:val="0"/>
              <w:tabs>
                <w:tab w:val="decimal" w:pos="0"/>
              </w:tabs>
              <w:spacing w:beforeLines="20" w:before="48" w:afterLines="20" w:after="48" w:line="240" w:lineRule="auto"/>
              <w:ind w:firstLine="0"/>
              <w:rPr>
                <w:rFonts w:eastAsia="SimSun"/>
                <w:szCs w:val="24"/>
                <w:highlight w:val="yellow"/>
              </w:rPr>
            </w:pPr>
            <w:r w:rsidRPr="009075DC">
              <w:rPr>
                <w:rFonts w:eastAsia="SimSun"/>
                <w:sz w:val="20"/>
              </w:rPr>
              <w:t>**Reflects the rate increase necessary to move non-jurisdictional rates to parity.</w:t>
            </w:r>
          </w:p>
        </w:tc>
      </w:tr>
    </w:tbl>
    <w:p w:rsidR="00153529" w:rsidRDefault="00153529" w:rsidP="0026017D">
      <w:pPr>
        <w:pStyle w:val="question"/>
        <w:widowControl w:val="0"/>
        <w:rPr>
          <w:rFonts w:eastAsia="SimSun"/>
        </w:rPr>
      </w:pPr>
    </w:p>
    <w:p w:rsidR="00E71B57" w:rsidRDefault="00E71B57" w:rsidP="00C216CC">
      <w:pPr>
        <w:pStyle w:val="answer"/>
        <w:rPr>
          <w:rFonts w:eastAsia="SimSun"/>
        </w:rPr>
      </w:pPr>
      <w:bookmarkStart w:id="117" w:name="_Toc229277855"/>
      <w:bookmarkStart w:id="118" w:name="_Toc127023394"/>
    </w:p>
    <w:p w:rsidR="00E71B57" w:rsidRDefault="00E71B57" w:rsidP="00C216CC">
      <w:pPr>
        <w:pStyle w:val="answer"/>
        <w:rPr>
          <w:rFonts w:eastAsia="SimSun"/>
        </w:rPr>
      </w:pPr>
    </w:p>
    <w:p w:rsidR="00E71B57" w:rsidRDefault="00E71B57" w:rsidP="00C216CC">
      <w:pPr>
        <w:pStyle w:val="answer"/>
        <w:rPr>
          <w:rFonts w:eastAsia="SimSun"/>
        </w:rPr>
      </w:pPr>
    </w:p>
    <w:p w:rsidR="00E71B57" w:rsidRDefault="00E71B57" w:rsidP="00C216CC">
      <w:pPr>
        <w:pStyle w:val="answer"/>
        <w:rPr>
          <w:rFonts w:eastAsia="SimSun"/>
        </w:rPr>
      </w:pPr>
    </w:p>
    <w:p w:rsidR="00102CE2" w:rsidRDefault="00102CE2" w:rsidP="00C216CC">
      <w:pPr>
        <w:pStyle w:val="answer"/>
        <w:rPr>
          <w:rFonts w:eastAsia="SimSun"/>
        </w:rPr>
      </w:pPr>
    </w:p>
    <w:p w:rsidR="00102CE2" w:rsidRDefault="00102CE2" w:rsidP="00C216CC">
      <w:pPr>
        <w:pStyle w:val="answer"/>
        <w:rPr>
          <w:rFonts w:eastAsia="SimSun"/>
        </w:rPr>
      </w:pPr>
    </w:p>
    <w:p w:rsidR="00102CE2" w:rsidRDefault="00102CE2" w:rsidP="00C216CC">
      <w:pPr>
        <w:pStyle w:val="answer"/>
        <w:rPr>
          <w:rFonts w:eastAsia="SimSun"/>
        </w:rPr>
      </w:pPr>
    </w:p>
    <w:p w:rsidR="00102CE2" w:rsidRDefault="00102CE2" w:rsidP="00C216CC">
      <w:pPr>
        <w:pStyle w:val="answer"/>
        <w:rPr>
          <w:rFonts w:eastAsia="SimSun"/>
        </w:rPr>
      </w:pPr>
    </w:p>
    <w:p w:rsidR="00102CE2" w:rsidRDefault="00102CE2" w:rsidP="00C216CC">
      <w:pPr>
        <w:pStyle w:val="answer"/>
        <w:rPr>
          <w:rFonts w:eastAsia="SimSun"/>
        </w:rPr>
      </w:pPr>
    </w:p>
    <w:p w:rsidR="00102CE2" w:rsidRDefault="00102CE2" w:rsidP="00C216CC">
      <w:pPr>
        <w:pStyle w:val="answer"/>
        <w:rPr>
          <w:rFonts w:eastAsia="SimSun"/>
        </w:rPr>
      </w:pPr>
    </w:p>
    <w:p w:rsidR="00102CE2" w:rsidRDefault="00102CE2" w:rsidP="00C216CC">
      <w:pPr>
        <w:pStyle w:val="answer"/>
        <w:rPr>
          <w:rFonts w:eastAsia="SimSun"/>
        </w:rPr>
      </w:pPr>
    </w:p>
    <w:p w:rsidR="00F8418D" w:rsidRPr="009075DC" w:rsidRDefault="001D2B74" w:rsidP="00F01467">
      <w:pPr>
        <w:pStyle w:val="Heading2"/>
        <w:keepNext w:val="0"/>
        <w:keepLines w:val="0"/>
        <w:widowControl w:val="0"/>
        <w:spacing w:before="240" w:after="240"/>
        <w:rPr>
          <w:rFonts w:eastAsia="SimSun"/>
        </w:rPr>
      </w:pPr>
      <w:bookmarkStart w:id="119" w:name="_Toc471912950"/>
      <w:r>
        <w:rPr>
          <w:rFonts w:eastAsia="SimSun"/>
          <w:u w:val="none"/>
        </w:rPr>
        <w:t>B</w:t>
      </w:r>
      <w:r w:rsidR="00F8418D" w:rsidRPr="009075DC">
        <w:rPr>
          <w:rFonts w:eastAsia="SimSun"/>
          <w:u w:val="none"/>
        </w:rPr>
        <w:t>.</w:t>
      </w:r>
      <w:r w:rsidR="00F8418D" w:rsidRPr="009075DC">
        <w:rPr>
          <w:rFonts w:eastAsia="SimSun"/>
          <w:u w:val="none"/>
        </w:rPr>
        <w:tab/>
      </w:r>
      <w:r>
        <w:rPr>
          <w:rFonts w:eastAsia="SimSun"/>
        </w:rPr>
        <w:t>E</w:t>
      </w:r>
      <w:r w:rsidR="00F8418D" w:rsidRPr="009075DC">
        <w:rPr>
          <w:rFonts w:eastAsia="SimSun"/>
        </w:rPr>
        <w:t>lectric Rate Design</w:t>
      </w:r>
      <w:bookmarkEnd w:id="117"/>
      <w:r w:rsidR="00F8418D" w:rsidRPr="009075DC">
        <w:rPr>
          <w:rFonts w:eastAsia="SimSun"/>
        </w:rPr>
        <w:t xml:space="preserve"> </w:t>
      </w:r>
      <w:bookmarkEnd w:id="118"/>
      <w:r>
        <w:rPr>
          <w:rFonts w:eastAsia="SimSun"/>
        </w:rPr>
        <w:t>Guidelines and Overview</w:t>
      </w:r>
      <w:bookmarkEnd w:id="119"/>
    </w:p>
    <w:p w:rsidR="001D2B74" w:rsidRPr="009075DC" w:rsidRDefault="001D2B74" w:rsidP="001D2B74">
      <w:pPr>
        <w:pStyle w:val="question"/>
        <w:widowControl w:val="0"/>
        <w:rPr>
          <w:rFonts w:eastAsia="SimSun"/>
        </w:rPr>
      </w:pPr>
      <w:bookmarkStart w:id="120" w:name="_Toc127352146"/>
      <w:bookmarkStart w:id="121" w:name="_Toc127633238"/>
      <w:r w:rsidRPr="009075DC">
        <w:rPr>
          <w:rFonts w:eastAsia="SimSun"/>
        </w:rPr>
        <w:t>Q.</w:t>
      </w:r>
      <w:r w:rsidRPr="009075DC">
        <w:rPr>
          <w:rFonts w:eastAsia="SimSun"/>
        </w:rPr>
        <w:tab/>
        <w:t>What are the guidelines used by PSE in designing customer rate development?</w:t>
      </w:r>
    </w:p>
    <w:p w:rsidR="001D2B74" w:rsidRPr="009075DC" w:rsidRDefault="001D2B74" w:rsidP="001D2B74">
      <w:pPr>
        <w:pStyle w:val="answer"/>
        <w:widowControl w:val="0"/>
        <w:rPr>
          <w:rFonts w:eastAsia="SimSun"/>
        </w:rPr>
      </w:pPr>
      <w:r w:rsidRPr="009075DC">
        <w:rPr>
          <w:rFonts w:eastAsia="SimSun"/>
        </w:rPr>
        <w:t>A.</w:t>
      </w:r>
      <w:r w:rsidRPr="009075DC">
        <w:rPr>
          <w:rFonts w:eastAsia="SimSun"/>
        </w:rPr>
        <w:tab/>
        <w:t>Rates should (1) provide for recovery o</w:t>
      </w:r>
      <w:r w:rsidR="007D1AE8">
        <w:rPr>
          <w:rFonts w:eastAsia="SimSun"/>
        </w:rPr>
        <w:t>f the total revenue requirement,</w:t>
      </w:r>
      <w:r w:rsidRPr="009075DC">
        <w:rPr>
          <w:rFonts w:eastAsia="SimSun"/>
        </w:rPr>
        <w:t xml:space="preserve"> (2) provide revenue stability and predictability to the utility</w:t>
      </w:r>
      <w:r w:rsidR="007D1AE8">
        <w:rPr>
          <w:rFonts w:eastAsia="SimSun"/>
        </w:rPr>
        <w:t>,</w:t>
      </w:r>
      <w:r w:rsidRPr="009075DC">
        <w:rPr>
          <w:rFonts w:eastAsia="SimSun"/>
        </w:rPr>
        <w:t xml:space="preserve"> (3) provide rate stability and</w:t>
      </w:r>
      <w:r w:rsidR="007D1AE8">
        <w:rPr>
          <w:rFonts w:eastAsia="SimSun"/>
        </w:rPr>
        <w:t xml:space="preserve"> predictability to the customer,</w:t>
      </w:r>
      <w:r w:rsidRPr="009075DC">
        <w:rPr>
          <w:rFonts w:eastAsia="SimSun"/>
        </w:rPr>
        <w:t xml:space="preserve"> (4) reflec</w:t>
      </w:r>
      <w:r w:rsidR="007D1AE8">
        <w:rPr>
          <w:rFonts w:eastAsia="SimSun"/>
        </w:rPr>
        <w:t xml:space="preserve">t the cost of providing service, (5) be </w:t>
      </w:r>
      <w:r w:rsidR="007D1AE8">
        <w:rPr>
          <w:rFonts w:eastAsia="SimSun"/>
        </w:rPr>
        <w:lastRenderedPageBreak/>
        <w:t>fair,</w:t>
      </w:r>
      <w:r w:rsidRPr="009075DC">
        <w:rPr>
          <w:rFonts w:eastAsia="SimSun"/>
        </w:rPr>
        <w:t xml:space="preserve"> (6) send proper price signals; and (7) be simple and understandable.  These principles are consistent with those presented in "Principles of Public Utility Rates," by James C. Bonbright, Albert L. Danielsen and David R. Kamerschen, 2</w:t>
      </w:r>
      <w:r w:rsidRPr="009075DC">
        <w:rPr>
          <w:rFonts w:eastAsia="SimSun"/>
          <w:vertAlign w:val="superscript"/>
        </w:rPr>
        <w:t>nd</w:t>
      </w:r>
      <w:r w:rsidRPr="009075DC">
        <w:rPr>
          <w:rFonts w:eastAsia="SimSun"/>
        </w:rPr>
        <w:t xml:space="preserve"> Edition, 1988.</w:t>
      </w:r>
      <w:bookmarkEnd w:id="120"/>
      <w:bookmarkEnd w:id="121"/>
    </w:p>
    <w:p w:rsidR="001D2B74" w:rsidRPr="009075DC" w:rsidRDefault="001D2B74" w:rsidP="001D2B74">
      <w:pPr>
        <w:pStyle w:val="question"/>
        <w:widowControl w:val="0"/>
        <w:rPr>
          <w:rFonts w:eastAsia="SimSun"/>
        </w:rPr>
      </w:pPr>
      <w:r w:rsidRPr="009075DC">
        <w:rPr>
          <w:rFonts w:eastAsia="SimSun"/>
        </w:rPr>
        <w:t>Q.</w:t>
      </w:r>
      <w:r w:rsidRPr="009075DC">
        <w:rPr>
          <w:rFonts w:eastAsia="SimSun"/>
        </w:rPr>
        <w:tab/>
        <w:t>Please summarize the changes PSE proposes to make to electric rate design.</w:t>
      </w:r>
    </w:p>
    <w:p w:rsidR="00271C28" w:rsidRPr="008E7D08" w:rsidRDefault="001D2B74" w:rsidP="001D2B74">
      <w:pPr>
        <w:pStyle w:val="answer"/>
        <w:widowControl w:val="0"/>
        <w:rPr>
          <w:rFonts w:eastAsia="SimSun"/>
        </w:rPr>
      </w:pPr>
      <w:r w:rsidRPr="009075DC">
        <w:rPr>
          <w:rFonts w:eastAsia="SimSun"/>
        </w:rPr>
        <w:t>A.</w:t>
      </w:r>
      <w:r w:rsidRPr="009075DC">
        <w:rPr>
          <w:rFonts w:eastAsia="SimSun"/>
        </w:rPr>
        <w:tab/>
      </w:r>
      <w:r w:rsidRPr="008E7D08">
        <w:rPr>
          <w:rFonts w:eastAsia="SimSun"/>
        </w:rPr>
        <w:t xml:space="preserve">The Company is proposing </w:t>
      </w:r>
      <w:r w:rsidR="00910E4B" w:rsidRPr="008E7D08">
        <w:rPr>
          <w:rFonts w:eastAsia="SimSun"/>
        </w:rPr>
        <w:t xml:space="preserve">limited </w:t>
      </w:r>
      <w:r w:rsidRPr="008E7D08">
        <w:rPr>
          <w:rFonts w:eastAsia="SimSun"/>
        </w:rPr>
        <w:t xml:space="preserve">changes in this case to the design of existing rates.  With only </w:t>
      </w:r>
      <w:r w:rsidR="00910E4B" w:rsidRPr="008E7D08">
        <w:rPr>
          <w:rFonts w:eastAsia="SimSun"/>
        </w:rPr>
        <w:t xml:space="preserve">a few </w:t>
      </w:r>
      <w:r w:rsidRPr="008E7D08">
        <w:rPr>
          <w:rFonts w:eastAsia="SimSun"/>
        </w:rPr>
        <w:t xml:space="preserve">exceptions, all rates in a customer class will be increased by the class average percentage increase.  </w:t>
      </w:r>
    </w:p>
    <w:p w:rsidR="00271C28" w:rsidRPr="008E7D08" w:rsidRDefault="001D2B74" w:rsidP="00271C28">
      <w:pPr>
        <w:pStyle w:val="answer"/>
        <w:widowControl w:val="0"/>
        <w:ind w:firstLine="0"/>
        <w:rPr>
          <w:rFonts w:eastAsia="SimSun"/>
        </w:rPr>
      </w:pPr>
      <w:r w:rsidRPr="008E7D08">
        <w:rPr>
          <w:rFonts w:eastAsia="SimSun"/>
        </w:rPr>
        <w:t xml:space="preserve">The exceptions </w:t>
      </w:r>
      <w:r w:rsidR="00271C28" w:rsidRPr="008E7D08">
        <w:rPr>
          <w:rFonts w:eastAsia="SimSun"/>
        </w:rPr>
        <w:t>include:</w:t>
      </w:r>
      <w:r w:rsidRPr="008E7D08">
        <w:rPr>
          <w:rFonts w:eastAsia="SimSun"/>
        </w:rPr>
        <w:t xml:space="preserve"> </w:t>
      </w:r>
    </w:p>
    <w:p w:rsidR="00271C28" w:rsidRPr="008E7D08" w:rsidRDefault="00910E4B" w:rsidP="00756AAC">
      <w:pPr>
        <w:pStyle w:val="answer"/>
        <w:widowControl w:val="0"/>
        <w:numPr>
          <w:ilvl w:val="0"/>
          <w:numId w:val="32"/>
        </w:numPr>
        <w:rPr>
          <w:rFonts w:eastAsia="SimSun"/>
        </w:rPr>
      </w:pPr>
      <w:r w:rsidRPr="008E7D08">
        <w:rPr>
          <w:rFonts w:eastAsia="SimSun"/>
        </w:rPr>
        <w:t>Schedule 7, where the monthly basic charge is proposed to increase to $9 and the blocked energy charges are increased by the same percentage to recover the</w:t>
      </w:r>
      <w:r w:rsidR="00271C28" w:rsidRPr="008E7D08">
        <w:rPr>
          <w:rFonts w:eastAsia="SimSun"/>
        </w:rPr>
        <w:t xml:space="preserve"> revenues assigned to this</w:t>
      </w:r>
      <w:r w:rsidRPr="008E7D08">
        <w:rPr>
          <w:rFonts w:eastAsia="SimSun"/>
        </w:rPr>
        <w:t xml:space="preserve"> class; </w:t>
      </w:r>
    </w:p>
    <w:p w:rsidR="00271C28" w:rsidRPr="008E7D08" w:rsidRDefault="001D2B74" w:rsidP="00756AAC">
      <w:pPr>
        <w:pStyle w:val="answer"/>
        <w:widowControl w:val="0"/>
        <w:numPr>
          <w:ilvl w:val="0"/>
          <w:numId w:val="32"/>
        </w:numPr>
        <w:rPr>
          <w:rFonts w:eastAsia="SimSun"/>
        </w:rPr>
      </w:pPr>
      <w:r w:rsidRPr="008E7D08">
        <w:rPr>
          <w:rFonts w:eastAsia="SimSun"/>
        </w:rPr>
        <w:t xml:space="preserve">Schedule 26, where the demand and energy rates are tied to Schedule 31; </w:t>
      </w:r>
    </w:p>
    <w:p w:rsidR="00271C28" w:rsidRPr="008E7D08" w:rsidRDefault="001D2B74" w:rsidP="00756AAC">
      <w:pPr>
        <w:pStyle w:val="answer"/>
        <w:widowControl w:val="0"/>
        <w:numPr>
          <w:ilvl w:val="0"/>
          <w:numId w:val="32"/>
        </w:numPr>
        <w:rPr>
          <w:rFonts w:eastAsia="SimSun"/>
        </w:rPr>
      </w:pPr>
      <w:r w:rsidRPr="008E7D08">
        <w:rPr>
          <w:rFonts w:eastAsia="SimSun"/>
        </w:rPr>
        <w:t xml:space="preserve">Schedule 40, where customer specific distribution rates are charged and the loss-adjusted energy and demand charges are set equal Schedule 49; </w:t>
      </w:r>
    </w:p>
    <w:p w:rsidR="00271C28" w:rsidRPr="008E7D08" w:rsidRDefault="00271C28" w:rsidP="00756AAC">
      <w:pPr>
        <w:pStyle w:val="answer"/>
        <w:widowControl w:val="0"/>
        <w:numPr>
          <w:ilvl w:val="0"/>
          <w:numId w:val="32"/>
        </w:numPr>
        <w:rPr>
          <w:rFonts w:eastAsia="SimSun"/>
        </w:rPr>
      </w:pPr>
      <w:r w:rsidRPr="008E7D08">
        <w:rPr>
          <w:rFonts w:eastAsia="SimSun"/>
        </w:rPr>
        <w:t xml:space="preserve">Schedules 50-59, where individual charges within and among these lighting schedules were first calculated based on a new lighting cost study (discussed later in this testimony) and where these cost-based rates were scaled to generate the revenue proposed for this group of customers; </w:t>
      </w:r>
      <w:r w:rsidR="001D2B74" w:rsidRPr="008E7D08">
        <w:rPr>
          <w:rFonts w:eastAsia="SimSun"/>
        </w:rPr>
        <w:t xml:space="preserve">and </w:t>
      </w:r>
    </w:p>
    <w:p w:rsidR="001D2B74" w:rsidRPr="009075DC" w:rsidRDefault="001D2B74" w:rsidP="00756AAC">
      <w:pPr>
        <w:pStyle w:val="answer"/>
        <w:widowControl w:val="0"/>
        <w:numPr>
          <w:ilvl w:val="0"/>
          <w:numId w:val="32"/>
        </w:numPr>
        <w:rPr>
          <w:rFonts w:eastAsia="SimSun"/>
        </w:rPr>
      </w:pPr>
      <w:r w:rsidRPr="008E7D08">
        <w:rPr>
          <w:rFonts w:eastAsia="SimSun"/>
        </w:rPr>
        <w:t>Schedules 448/449, where</w:t>
      </w:r>
      <w:r w:rsidR="00910E4B" w:rsidRPr="008E7D08">
        <w:rPr>
          <w:rFonts w:eastAsia="SimSun"/>
        </w:rPr>
        <w:t xml:space="preserve"> PSE is proposing to eliminate the kVA charge and </w:t>
      </w:r>
      <w:r w:rsidR="00271C28" w:rsidRPr="008E7D08">
        <w:rPr>
          <w:rFonts w:eastAsia="SimSun"/>
        </w:rPr>
        <w:t xml:space="preserve">instead collect </w:t>
      </w:r>
      <w:r w:rsidR="00910E4B" w:rsidRPr="008E7D08">
        <w:rPr>
          <w:rFonts w:eastAsia="SimSun"/>
        </w:rPr>
        <w:t xml:space="preserve">all state-jurisdictional costs from </w:t>
      </w:r>
      <w:r w:rsidR="00271C28" w:rsidRPr="008E7D08">
        <w:rPr>
          <w:rFonts w:eastAsia="SimSun"/>
        </w:rPr>
        <w:t xml:space="preserve">the proposed </w:t>
      </w:r>
      <w:r w:rsidR="00271C28" w:rsidRPr="008E7D08">
        <w:rPr>
          <w:rFonts w:eastAsia="SimSun"/>
        </w:rPr>
        <w:lastRenderedPageBreak/>
        <w:t>customer charges</w:t>
      </w:r>
      <w:r w:rsidRPr="008E7D08">
        <w:rPr>
          <w:rFonts w:eastAsia="SimSun"/>
        </w:rPr>
        <w:t>.</w:t>
      </w:r>
    </w:p>
    <w:p w:rsidR="001D2B74" w:rsidRPr="009075DC" w:rsidRDefault="001D2B74" w:rsidP="001D2B74">
      <w:pPr>
        <w:pStyle w:val="question"/>
        <w:widowControl w:val="0"/>
        <w:rPr>
          <w:rFonts w:eastAsia="SimSun"/>
        </w:rPr>
      </w:pPr>
      <w:r w:rsidRPr="009075DC">
        <w:rPr>
          <w:rFonts w:eastAsia="SimSun"/>
        </w:rPr>
        <w:t>Q.</w:t>
      </w:r>
      <w:r w:rsidRPr="009075DC">
        <w:rPr>
          <w:rFonts w:eastAsia="SimSun"/>
        </w:rPr>
        <w:tab/>
        <w:t xml:space="preserve">Has PSE prepared new </w:t>
      </w:r>
      <w:r w:rsidR="00552EF6">
        <w:rPr>
          <w:rFonts w:eastAsia="SimSun"/>
        </w:rPr>
        <w:t xml:space="preserve">base </w:t>
      </w:r>
      <w:r w:rsidRPr="009075DC">
        <w:rPr>
          <w:rFonts w:eastAsia="SimSun"/>
        </w:rPr>
        <w:t xml:space="preserve">electric tariff schedules based upon the </w:t>
      </w:r>
      <w:r>
        <w:rPr>
          <w:rFonts w:eastAsia="SimSun"/>
        </w:rPr>
        <w:t xml:space="preserve">electric </w:t>
      </w:r>
      <w:r w:rsidRPr="009075DC">
        <w:rPr>
          <w:rFonts w:eastAsia="SimSun"/>
        </w:rPr>
        <w:t>cost of service study results and consistent with its rate design proposals in this case?</w:t>
      </w:r>
    </w:p>
    <w:p w:rsidR="001D2B74" w:rsidRPr="009075DC" w:rsidRDefault="001D2B74" w:rsidP="001D2B74">
      <w:pPr>
        <w:pStyle w:val="answer"/>
        <w:widowControl w:val="0"/>
        <w:rPr>
          <w:rFonts w:eastAsia="SimSun"/>
        </w:rPr>
      </w:pPr>
      <w:r w:rsidRPr="009075DC">
        <w:rPr>
          <w:rFonts w:eastAsia="SimSun"/>
        </w:rPr>
        <w:t>A.</w:t>
      </w:r>
      <w:r w:rsidRPr="009075DC">
        <w:rPr>
          <w:rFonts w:eastAsia="SimSun"/>
        </w:rPr>
        <w:tab/>
        <w:t xml:space="preserve">Yes, the proposed </w:t>
      </w:r>
      <w:r>
        <w:rPr>
          <w:rFonts w:eastAsia="SimSun"/>
        </w:rPr>
        <w:t xml:space="preserve">electric </w:t>
      </w:r>
      <w:r w:rsidRPr="009075DC">
        <w:rPr>
          <w:rFonts w:eastAsia="SimSun"/>
        </w:rPr>
        <w:t>tariff schedules are presented in Exhibit No. ___(JAP-</w:t>
      </w:r>
      <w:r w:rsidR="003B5556">
        <w:rPr>
          <w:rFonts w:eastAsia="SimSun"/>
        </w:rPr>
        <w:fldChar w:fldCharType="begin"/>
      </w:r>
      <w:r w:rsidR="003B5556">
        <w:rPr>
          <w:rFonts w:eastAsia="SimSun"/>
        </w:rPr>
        <w:instrText xml:space="preserve"> REF _Ref441672816 \r \h </w:instrText>
      </w:r>
      <w:r w:rsidR="003B5556">
        <w:rPr>
          <w:rFonts w:eastAsia="SimSun"/>
        </w:rPr>
      </w:r>
      <w:r w:rsidR="003B5556">
        <w:rPr>
          <w:rFonts w:eastAsia="SimSun"/>
        </w:rPr>
        <w:fldChar w:fldCharType="separate"/>
      </w:r>
      <w:r w:rsidR="0035666C">
        <w:rPr>
          <w:rFonts w:eastAsia="SimSun"/>
        </w:rPr>
        <w:t>16</w:t>
      </w:r>
      <w:r w:rsidR="003B5556">
        <w:rPr>
          <w:rFonts w:eastAsia="SimSun"/>
        </w:rPr>
        <w:fldChar w:fldCharType="end"/>
      </w:r>
      <w:r w:rsidRPr="009075DC">
        <w:rPr>
          <w:rFonts w:eastAsia="SimSun"/>
        </w:rPr>
        <w:t xml:space="preserve">).  </w:t>
      </w:r>
    </w:p>
    <w:p w:rsidR="001D2B74" w:rsidRPr="009075DC" w:rsidRDefault="001D2B74" w:rsidP="001D2B74">
      <w:pPr>
        <w:pStyle w:val="Heading2"/>
        <w:keepNext w:val="0"/>
        <w:keepLines w:val="0"/>
        <w:widowControl w:val="0"/>
        <w:spacing w:before="240" w:after="240"/>
        <w:rPr>
          <w:rFonts w:eastAsia="SimSun"/>
        </w:rPr>
      </w:pPr>
      <w:bookmarkStart w:id="122" w:name="_Toc471912951"/>
      <w:r>
        <w:rPr>
          <w:rFonts w:eastAsia="SimSun"/>
          <w:u w:val="none"/>
        </w:rPr>
        <w:t>C</w:t>
      </w:r>
      <w:r w:rsidRPr="009075DC">
        <w:rPr>
          <w:rFonts w:eastAsia="SimSun"/>
          <w:u w:val="none"/>
        </w:rPr>
        <w:t>.</w:t>
      </w:r>
      <w:r w:rsidRPr="009075DC">
        <w:rPr>
          <w:rFonts w:eastAsia="SimSun"/>
          <w:u w:val="none"/>
        </w:rPr>
        <w:tab/>
      </w:r>
      <w:r>
        <w:rPr>
          <w:rFonts w:eastAsia="SimSun"/>
        </w:rPr>
        <w:t xml:space="preserve">Proposed </w:t>
      </w:r>
      <w:r w:rsidRPr="009075DC">
        <w:rPr>
          <w:rFonts w:eastAsia="SimSun"/>
        </w:rPr>
        <w:t>Residential Electric Rate Design</w:t>
      </w:r>
      <w:bookmarkEnd w:id="122"/>
    </w:p>
    <w:p w:rsidR="002272F9" w:rsidRPr="009075DC" w:rsidRDefault="002272F9" w:rsidP="002272F9">
      <w:pPr>
        <w:pStyle w:val="question"/>
        <w:widowControl w:val="0"/>
        <w:rPr>
          <w:rFonts w:eastAsia="SimSun"/>
        </w:rPr>
      </w:pPr>
      <w:r w:rsidRPr="009075DC">
        <w:rPr>
          <w:rFonts w:eastAsia="SimSun"/>
        </w:rPr>
        <w:t>Q.</w:t>
      </w:r>
      <w:r w:rsidRPr="009075DC">
        <w:rPr>
          <w:rFonts w:eastAsia="SimSun"/>
        </w:rPr>
        <w:tab/>
        <w:t xml:space="preserve">Please summarize PSE’s </w:t>
      </w:r>
      <w:r>
        <w:rPr>
          <w:rFonts w:eastAsia="SimSun"/>
        </w:rPr>
        <w:t>current</w:t>
      </w:r>
      <w:r w:rsidRPr="009075DC">
        <w:rPr>
          <w:rFonts w:eastAsia="SimSun"/>
        </w:rPr>
        <w:t xml:space="preserve"> residential electric rate design. </w:t>
      </w:r>
    </w:p>
    <w:p w:rsidR="002272F9" w:rsidRDefault="002272F9" w:rsidP="002272F9">
      <w:pPr>
        <w:pStyle w:val="answer"/>
        <w:widowControl w:val="0"/>
        <w:rPr>
          <w:rFonts w:eastAsia="SimSun"/>
        </w:rPr>
      </w:pPr>
      <w:r w:rsidRPr="009075DC">
        <w:rPr>
          <w:rFonts w:eastAsia="SimSun"/>
        </w:rPr>
        <w:t>A.</w:t>
      </w:r>
      <w:r w:rsidRPr="009075DC">
        <w:rPr>
          <w:rFonts w:eastAsia="SimSun"/>
        </w:rPr>
        <w:tab/>
        <w:t>The current rate is a two-block energy rate with a monthly basic charge (single-phase) of $7.</w:t>
      </w:r>
      <w:r>
        <w:rPr>
          <w:rFonts w:eastAsia="SimSun"/>
        </w:rPr>
        <w:t>49</w:t>
      </w:r>
      <w:r w:rsidRPr="009075DC">
        <w:rPr>
          <w:rFonts w:eastAsia="SimSun"/>
        </w:rPr>
        <w:t>, a first-block energy rate of 8.</w:t>
      </w:r>
      <w:r>
        <w:rPr>
          <w:rFonts w:eastAsia="SimSun"/>
        </w:rPr>
        <w:t>5578</w:t>
      </w:r>
      <w:r w:rsidRPr="009075DC">
        <w:rPr>
          <w:rFonts w:eastAsia="SimSun"/>
        </w:rPr>
        <w:t xml:space="preserve"> </w:t>
      </w:r>
      <w:r w:rsidR="00BA01EC">
        <w:rPr>
          <w:rFonts w:eastAsia="SimSun"/>
        </w:rPr>
        <w:t>cents per kilowatt hour(“</w:t>
      </w:r>
      <w:r w:rsidRPr="009075DC">
        <w:rPr>
          <w:rFonts w:eastAsia="SimSun"/>
        </w:rPr>
        <w:t>kWh</w:t>
      </w:r>
      <w:r w:rsidR="00BA01EC">
        <w:rPr>
          <w:rFonts w:eastAsia="SimSun"/>
        </w:rPr>
        <w:t>”)</w:t>
      </w:r>
      <w:r w:rsidRPr="009075DC">
        <w:rPr>
          <w:rFonts w:eastAsia="SimSun"/>
        </w:rPr>
        <w:t>, and a second-block energy rate of 10.</w:t>
      </w:r>
      <w:r>
        <w:rPr>
          <w:rFonts w:eastAsia="SimSun"/>
        </w:rPr>
        <w:t>4157</w:t>
      </w:r>
      <w:r w:rsidRPr="009075DC">
        <w:rPr>
          <w:rFonts w:eastAsia="SimSun"/>
        </w:rPr>
        <w:t xml:space="preserve"> </w:t>
      </w:r>
      <w:r w:rsidR="00BA01EC">
        <w:rPr>
          <w:rFonts w:eastAsia="SimSun"/>
        </w:rPr>
        <w:t xml:space="preserve">cents per </w:t>
      </w:r>
      <w:r w:rsidRPr="009075DC">
        <w:rPr>
          <w:rFonts w:eastAsia="SimSun"/>
        </w:rPr>
        <w:t xml:space="preserve">kWh.  </w:t>
      </w:r>
      <w:r>
        <w:rPr>
          <w:rFonts w:eastAsia="SimSun"/>
        </w:rPr>
        <w:t>The first block energy rate applies to usage up to 600 kWh per month, with all monthly usage above that level charged the second-block rate.</w:t>
      </w:r>
    </w:p>
    <w:p w:rsidR="002272F9" w:rsidRPr="009075DC" w:rsidRDefault="002272F9" w:rsidP="002272F9">
      <w:pPr>
        <w:pStyle w:val="question"/>
        <w:widowControl w:val="0"/>
        <w:rPr>
          <w:rFonts w:eastAsia="SimSun"/>
        </w:rPr>
      </w:pPr>
      <w:r w:rsidRPr="009075DC">
        <w:rPr>
          <w:rFonts w:eastAsia="SimSun"/>
        </w:rPr>
        <w:t>Q.</w:t>
      </w:r>
      <w:r w:rsidRPr="009075DC">
        <w:rPr>
          <w:rFonts w:eastAsia="SimSun"/>
        </w:rPr>
        <w:tab/>
      </w:r>
      <w:r>
        <w:rPr>
          <w:rFonts w:eastAsia="SimSun"/>
        </w:rPr>
        <w:t>Is PSE proposing to change the design of its electric residential rate design</w:t>
      </w:r>
      <w:r w:rsidR="00E172F7">
        <w:rPr>
          <w:rFonts w:eastAsia="SimSun"/>
        </w:rPr>
        <w:t xml:space="preserve"> in this case</w:t>
      </w:r>
      <w:r>
        <w:rPr>
          <w:rFonts w:eastAsia="SimSun"/>
        </w:rPr>
        <w:t>?</w:t>
      </w:r>
    </w:p>
    <w:p w:rsidR="003F0486" w:rsidRDefault="002272F9" w:rsidP="002272F9">
      <w:pPr>
        <w:pStyle w:val="answer"/>
        <w:widowControl w:val="0"/>
        <w:rPr>
          <w:rFonts w:eastAsia="SimSun"/>
        </w:rPr>
      </w:pPr>
      <w:r w:rsidRPr="009075DC">
        <w:rPr>
          <w:rFonts w:eastAsia="SimSun"/>
        </w:rPr>
        <w:t>A.</w:t>
      </w:r>
      <w:r w:rsidRPr="009075DC">
        <w:rPr>
          <w:rFonts w:eastAsia="SimSun"/>
        </w:rPr>
        <w:tab/>
      </w:r>
      <w:r w:rsidR="00E42E37">
        <w:rPr>
          <w:rFonts w:eastAsia="SimSun"/>
        </w:rPr>
        <w:t xml:space="preserve">No, not </w:t>
      </w:r>
      <w:r w:rsidR="003F0486">
        <w:rPr>
          <w:rFonts w:eastAsia="SimSun"/>
        </w:rPr>
        <w:t>in its filed tariff sheets</w:t>
      </w:r>
      <w:r w:rsidR="00E42E37">
        <w:rPr>
          <w:rFonts w:eastAsia="SimSun"/>
        </w:rPr>
        <w:t>.  However</w:t>
      </w:r>
      <w:r>
        <w:rPr>
          <w:rFonts w:eastAsia="SimSun"/>
        </w:rPr>
        <w:t>, as another part of the Rate Design Settlement in Docket UE-141368, PSE agreed to propose rates based on the assumption that the new electric rate design would include a</w:t>
      </w:r>
      <w:r w:rsidR="00E172F7">
        <w:rPr>
          <w:rFonts w:eastAsia="SimSun"/>
        </w:rPr>
        <w:t>n inverted</w:t>
      </w:r>
      <w:r>
        <w:rPr>
          <w:rFonts w:eastAsia="SimSun"/>
        </w:rPr>
        <w:t xml:space="preserve"> three-block rate structure with the first block including monthly usage up to 800 kWh, the second block including usage between 800 kWh and 1,800 kWh and the third block including usage above 1,800 kWh</w:t>
      </w:r>
      <w:r w:rsidRPr="009075DC">
        <w:rPr>
          <w:rFonts w:eastAsia="SimSun"/>
        </w:rPr>
        <w:t>.</w:t>
      </w:r>
      <w:r w:rsidR="006A2A87">
        <w:rPr>
          <w:rFonts w:eastAsia="SimSun"/>
        </w:rPr>
        <w:t xml:space="preserve">  </w:t>
      </w:r>
      <w:r w:rsidR="00E42E37">
        <w:rPr>
          <w:rFonts w:eastAsia="SimSun"/>
        </w:rPr>
        <w:t xml:space="preserve">While PSE has developed rates under </w:t>
      </w:r>
      <w:r w:rsidR="00E42E37">
        <w:rPr>
          <w:rFonts w:eastAsia="SimSun"/>
        </w:rPr>
        <w:lastRenderedPageBreak/>
        <w:t xml:space="preserve">this </w:t>
      </w:r>
      <w:r w:rsidR="003F0486">
        <w:rPr>
          <w:rFonts w:eastAsia="SimSun"/>
        </w:rPr>
        <w:t xml:space="preserve">three-block </w:t>
      </w:r>
      <w:r w:rsidR="00E42E37">
        <w:rPr>
          <w:rFonts w:eastAsia="SimSun"/>
        </w:rPr>
        <w:t>rate structure, as</w:t>
      </w:r>
      <w:r w:rsidR="003F0486">
        <w:rPr>
          <w:rFonts w:eastAsia="SimSun"/>
        </w:rPr>
        <w:t xml:space="preserve"> presented and</w:t>
      </w:r>
      <w:r w:rsidR="00E42E37">
        <w:rPr>
          <w:rFonts w:eastAsia="SimSun"/>
        </w:rPr>
        <w:t xml:space="preserve"> discussed more fully below, we do not believe that the results are in line with the expectations of parties when this agreement was originally made.  </w:t>
      </w:r>
      <w:r w:rsidR="00806FD6">
        <w:rPr>
          <w:rFonts w:eastAsia="SimSun"/>
        </w:rPr>
        <w:t xml:space="preserve">Specifically, the rate PSE has calculated for the third-block is lower than the rate for the first and second block, and would not send the desired price signals to customers. </w:t>
      </w:r>
      <w:r w:rsidR="003F0486">
        <w:rPr>
          <w:rFonts w:eastAsia="SimSun"/>
        </w:rPr>
        <w:t>As a result, PSE elected to specifically file proposed residential electric rates using the existing two-block structure</w:t>
      </w:r>
      <w:r w:rsidR="0081183A">
        <w:rPr>
          <w:rFonts w:eastAsia="SimSun"/>
        </w:rPr>
        <w:t xml:space="preserve"> rather than the three-block rate structure</w:t>
      </w:r>
      <w:r w:rsidR="003F0486">
        <w:rPr>
          <w:rFonts w:eastAsia="SimSun"/>
        </w:rPr>
        <w:t xml:space="preserve">. </w:t>
      </w:r>
    </w:p>
    <w:p w:rsidR="003F0486" w:rsidRPr="003F0486" w:rsidRDefault="003F0486" w:rsidP="002272F9">
      <w:pPr>
        <w:pStyle w:val="answer"/>
        <w:widowControl w:val="0"/>
        <w:rPr>
          <w:rFonts w:eastAsia="SimSun"/>
          <w:b/>
        </w:rPr>
      </w:pPr>
      <w:r w:rsidRPr="003F0486">
        <w:rPr>
          <w:rFonts w:eastAsia="SimSun"/>
          <w:b/>
        </w:rPr>
        <w:t>Q.</w:t>
      </w:r>
      <w:r w:rsidRPr="003F0486">
        <w:rPr>
          <w:rFonts w:eastAsia="SimSun"/>
          <w:b/>
        </w:rPr>
        <w:tab/>
        <w:t>By not filing residential electric rates reflecting a three-block energy rate structure, should one conclude that PSE is opposed to this rate structure?</w:t>
      </w:r>
    </w:p>
    <w:p w:rsidR="002272F9" w:rsidRDefault="003F0486" w:rsidP="002272F9">
      <w:pPr>
        <w:pStyle w:val="answer"/>
        <w:widowControl w:val="0"/>
        <w:rPr>
          <w:rFonts w:eastAsia="SimSun"/>
        </w:rPr>
      </w:pPr>
      <w:r>
        <w:rPr>
          <w:rFonts w:eastAsia="SimSun"/>
        </w:rPr>
        <w:t>A.</w:t>
      </w:r>
      <w:r>
        <w:rPr>
          <w:rFonts w:eastAsia="SimSun"/>
        </w:rPr>
        <w:tab/>
        <w:t>No.  T</w:t>
      </w:r>
      <w:r w:rsidR="00E42E37">
        <w:rPr>
          <w:rFonts w:eastAsia="SimSun"/>
        </w:rPr>
        <w:t xml:space="preserve">o be clear, PSE is not opposed to </w:t>
      </w:r>
      <w:r>
        <w:rPr>
          <w:rFonts w:eastAsia="SimSun"/>
        </w:rPr>
        <w:t xml:space="preserve">a three-block </w:t>
      </w:r>
      <w:r w:rsidR="00E42E37">
        <w:rPr>
          <w:rFonts w:eastAsia="SimSun"/>
        </w:rPr>
        <w:t>rate structure</w:t>
      </w:r>
      <w:r>
        <w:rPr>
          <w:rFonts w:eastAsia="SimSun"/>
        </w:rPr>
        <w:t xml:space="preserve"> for its residential electric customers</w:t>
      </w:r>
      <w:r w:rsidR="00E42E37">
        <w:rPr>
          <w:rFonts w:eastAsia="SimSun"/>
        </w:rPr>
        <w:t xml:space="preserve">, but continues to believe that </w:t>
      </w:r>
      <w:r>
        <w:rPr>
          <w:rFonts w:eastAsia="SimSun"/>
        </w:rPr>
        <w:t>these rates</w:t>
      </w:r>
      <w:r w:rsidR="00E42E37">
        <w:rPr>
          <w:rFonts w:eastAsia="SimSun"/>
        </w:rPr>
        <w:t xml:space="preserve"> should reflect appropriate cost-based price signals.  If other parties can develop</w:t>
      </w:r>
      <w:r>
        <w:rPr>
          <w:rFonts w:eastAsia="SimSun"/>
        </w:rPr>
        <w:t xml:space="preserve"> and wish to propose</w:t>
      </w:r>
      <w:r w:rsidR="00E42E37">
        <w:rPr>
          <w:rFonts w:eastAsia="SimSun"/>
        </w:rPr>
        <w:t xml:space="preserve"> alternative rates that meet this objective, PSE is willing to consider those alternatives</w:t>
      </w:r>
      <w:r w:rsidR="006A2A87">
        <w:rPr>
          <w:rFonts w:eastAsia="SimSun"/>
        </w:rPr>
        <w:t>.</w:t>
      </w:r>
    </w:p>
    <w:p w:rsidR="002272F9" w:rsidRPr="009075DC" w:rsidRDefault="002272F9" w:rsidP="002272F9">
      <w:pPr>
        <w:pStyle w:val="question"/>
        <w:widowControl w:val="0"/>
        <w:rPr>
          <w:rFonts w:eastAsia="SimSun"/>
        </w:rPr>
      </w:pPr>
      <w:r w:rsidRPr="009075DC">
        <w:rPr>
          <w:rFonts w:eastAsia="SimSun"/>
        </w:rPr>
        <w:t>Q.</w:t>
      </w:r>
      <w:r w:rsidRPr="009075DC">
        <w:rPr>
          <w:rFonts w:eastAsia="SimSun"/>
        </w:rPr>
        <w:tab/>
      </w:r>
      <w:r w:rsidR="00AF207F">
        <w:rPr>
          <w:rFonts w:eastAsia="SimSun"/>
        </w:rPr>
        <w:t>Is PSE sponsori</w:t>
      </w:r>
      <w:r w:rsidR="00BF3A9D">
        <w:rPr>
          <w:rFonts w:eastAsia="SimSun"/>
        </w:rPr>
        <w:t xml:space="preserve">ng testimony </w:t>
      </w:r>
      <w:r w:rsidR="003F0486">
        <w:rPr>
          <w:rFonts w:eastAsia="SimSun"/>
        </w:rPr>
        <w:t xml:space="preserve">explicitly </w:t>
      </w:r>
      <w:r w:rsidR="00BF3A9D">
        <w:rPr>
          <w:rFonts w:eastAsia="SimSun"/>
        </w:rPr>
        <w:t>support</w:t>
      </w:r>
      <w:r w:rsidR="003F0486">
        <w:rPr>
          <w:rFonts w:eastAsia="SimSun"/>
        </w:rPr>
        <w:t>ing</w:t>
      </w:r>
      <w:r w:rsidR="00BF3A9D">
        <w:rPr>
          <w:rFonts w:eastAsia="SimSun"/>
        </w:rPr>
        <w:t xml:space="preserve"> </w:t>
      </w:r>
      <w:r w:rsidR="003F0486">
        <w:rPr>
          <w:rFonts w:eastAsia="SimSun"/>
        </w:rPr>
        <w:t>the addition of</w:t>
      </w:r>
      <w:r w:rsidR="00AF207F">
        <w:rPr>
          <w:rFonts w:eastAsia="SimSun"/>
        </w:rPr>
        <w:t xml:space="preserve"> a third block to its electric residential rates</w:t>
      </w:r>
      <w:r>
        <w:rPr>
          <w:rFonts w:eastAsia="SimSun"/>
        </w:rPr>
        <w:t>?</w:t>
      </w:r>
    </w:p>
    <w:p w:rsidR="002272F9" w:rsidRDefault="002272F9" w:rsidP="002272F9">
      <w:pPr>
        <w:pStyle w:val="answer"/>
        <w:widowControl w:val="0"/>
        <w:rPr>
          <w:rFonts w:eastAsia="SimSun"/>
        </w:rPr>
      </w:pPr>
      <w:r w:rsidRPr="009075DC">
        <w:rPr>
          <w:rFonts w:eastAsia="SimSun"/>
        </w:rPr>
        <w:t>A.</w:t>
      </w:r>
      <w:r w:rsidRPr="009075DC">
        <w:rPr>
          <w:rFonts w:eastAsia="SimSun"/>
        </w:rPr>
        <w:tab/>
      </w:r>
      <w:r w:rsidR="00AF207F">
        <w:rPr>
          <w:rFonts w:eastAsia="SimSun"/>
        </w:rPr>
        <w:t xml:space="preserve">No.  PSE is deferring to the advocates of this three-block rate structure </w:t>
      </w:r>
      <w:r w:rsidR="003F0486">
        <w:rPr>
          <w:rFonts w:eastAsia="SimSun"/>
        </w:rPr>
        <w:t xml:space="preserve">in the Rate Design Settlement </w:t>
      </w:r>
      <w:r w:rsidR="00AF207F">
        <w:rPr>
          <w:rFonts w:eastAsia="SimSun"/>
        </w:rPr>
        <w:t>to support this part of the proposal</w:t>
      </w:r>
      <w:r w:rsidR="003F0486">
        <w:rPr>
          <w:rFonts w:eastAsia="SimSun"/>
        </w:rPr>
        <w:t xml:space="preserve"> in their prefiled testimony</w:t>
      </w:r>
      <w:r w:rsidR="00AF207F">
        <w:rPr>
          <w:rFonts w:eastAsia="SimSun"/>
        </w:rPr>
        <w:t xml:space="preserve">.  </w:t>
      </w:r>
    </w:p>
    <w:p w:rsidR="00072512" w:rsidRPr="003675FD" w:rsidRDefault="00072512" w:rsidP="00072512">
      <w:pPr>
        <w:pStyle w:val="question"/>
        <w:widowControl w:val="0"/>
        <w:rPr>
          <w:rFonts w:eastAsia="SimSun"/>
        </w:rPr>
      </w:pPr>
      <w:r w:rsidRPr="003675FD">
        <w:rPr>
          <w:rFonts w:eastAsia="SimSun"/>
        </w:rPr>
        <w:t>Q.</w:t>
      </w:r>
      <w:r w:rsidRPr="003675FD">
        <w:rPr>
          <w:rFonts w:eastAsia="SimSun"/>
        </w:rPr>
        <w:tab/>
      </w:r>
      <w:r>
        <w:rPr>
          <w:rFonts w:eastAsia="SimSun"/>
        </w:rPr>
        <w:t>P</w:t>
      </w:r>
      <w:r w:rsidRPr="003675FD">
        <w:rPr>
          <w:rFonts w:eastAsia="SimSun"/>
        </w:rPr>
        <w:t xml:space="preserve">lease </w:t>
      </w:r>
      <w:r>
        <w:rPr>
          <w:rFonts w:eastAsia="SimSun"/>
        </w:rPr>
        <w:t xml:space="preserve">summarize </w:t>
      </w:r>
      <w:r w:rsidRPr="003675FD">
        <w:rPr>
          <w:rFonts w:eastAsia="SimSun"/>
        </w:rPr>
        <w:t>PSE’s proposed residential rate design</w:t>
      </w:r>
      <w:r>
        <w:rPr>
          <w:rFonts w:eastAsia="SimSun"/>
        </w:rPr>
        <w:t xml:space="preserve"> under the filed two-block and unfiled three-block rate design</w:t>
      </w:r>
      <w:r w:rsidR="00CF098F">
        <w:rPr>
          <w:rFonts w:eastAsia="SimSun"/>
        </w:rPr>
        <w:t>.</w:t>
      </w:r>
    </w:p>
    <w:p w:rsidR="00072512" w:rsidRDefault="00072512" w:rsidP="00072512">
      <w:pPr>
        <w:pStyle w:val="answer"/>
        <w:widowControl w:val="0"/>
        <w:rPr>
          <w:rFonts w:eastAsia="SimSun"/>
        </w:rPr>
      </w:pPr>
      <w:r w:rsidRPr="009075DC">
        <w:rPr>
          <w:rFonts w:eastAsia="SimSun"/>
        </w:rPr>
        <w:t>A.</w:t>
      </w:r>
      <w:r w:rsidRPr="009075DC">
        <w:rPr>
          <w:rFonts w:eastAsia="SimSun"/>
        </w:rPr>
        <w:tab/>
      </w:r>
      <w:r>
        <w:rPr>
          <w:rFonts w:eastAsia="SimSun"/>
        </w:rPr>
        <w:t>PSE’s proposed rates are summarized in</w:t>
      </w:r>
      <w:r w:rsidR="00504618">
        <w:rPr>
          <w:rFonts w:eastAsia="SimSun"/>
        </w:rPr>
        <w:t xml:space="preserve"> </w:t>
      </w:r>
      <w:r w:rsidR="005B7B14">
        <w:rPr>
          <w:rFonts w:eastAsia="SimSun"/>
        </w:rPr>
        <w:fldChar w:fldCharType="begin"/>
      </w:r>
      <w:r w:rsidR="005B7B14">
        <w:rPr>
          <w:rFonts w:eastAsia="SimSun"/>
        </w:rPr>
        <w:instrText xml:space="preserve"> REF _Ref471642789 \h </w:instrText>
      </w:r>
      <w:r w:rsidR="005B7B14">
        <w:rPr>
          <w:rFonts w:eastAsia="SimSun"/>
        </w:rPr>
      </w:r>
      <w:r w:rsidR="005B7B14">
        <w:rPr>
          <w:rFonts w:eastAsia="SimSun"/>
        </w:rPr>
        <w:fldChar w:fldCharType="separate"/>
      </w:r>
      <w:r w:rsidR="0035666C" w:rsidRPr="000B6DD9">
        <w:rPr>
          <w:szCs w:val="24"/>
        </w:rPr>
        <w:t xml:space="preserve">Table </w:t>
      </w:r>
      <w:r w:rsidR="0035666C">
        <w:rPr>
          <w:noProof/>
          <w:szCs w:val="24"/>
        </w:rPr>
        <w:t>8</w:t>
      </w:r>
      <w:r w:rsidR="005B7B14">
        <w:rPr>
          <w:rFonts w:eastAsia="SimSun"/>
        </w:rPr>
        <w:fldChar w:fldCharType="end"/>
      </w:r>
      <w:r w:rsidR="005B7B14">
        <w:rPr>
          <w:rFonts w:eastAsia="SimSun"/>
        </w:rPr>
        <w:t xml:space="preserve"> </w:t>
      </w:r>
      <w:r>
        <w:rPr>
          <w:rFonts w:eastAsia="SimSun"/>
        </w:rPr>
        <w:t>below</w:t>
      </w:r>
      <w:r w:rsidRPr="009075DC">
        <w:rPr>
          <w:rFonts w:eastAsia="SimSun"/>
        </w:rPr>
        <w:t>.</w:t>
      </w:r>
    </w:p>
    <w:p w:rsidR="00072512" w:rsidRPr="000B6DD9" w:rsidRDefault="00072512" w:rsidP="00072512">
      <w:pPr>
        <w:pStyle w:val="Caption"/>
        <w:keepNext/>
        <w:jc w:val="center"/>
        <w:rPr>
          <w:sz w:val="24"/>
          <w:szCs w:val="24"/>
        </w:rPr>
      </w:pPr>
      <w:bookmarkStart w:id="123" w:name="_Ref471642789"/>
      <w:bookmarkStart w:id="124" w:name="_Ref471642770"/>
      <w:r w:rsidRPr="000B6DD9">
        <w:rPr>
          <w:sz w:val="24"/>
          <w:szCs w:val="24"/>
        </w:rPr>
        <w:lastRenderedPageBreak/>
        <w:t xml:space="preserve">Table </w:t>
      </w:r>
      <w:r w:rsidRPr="000B6DD9">
        <w:rPr>
          <w:sz w:val="24"/>
          <w:szCs w:val="24"/>
        </w:rPr>
        <w:fldChar w:fldCharType="begin"/>
      </w:r>
      <w:r w:rsidRPr="000B6DD9">
        <w:rPr>
          <w:sz w:val="24"/>
          <w:szCs w:val="24"/>
        </w:rPr>
        <w:instrText xml:space="preserve"> SEQ Table \* ARABIC </w:instrText>
      </w:r>
      <w:r w:rsidRPr="000B6DD9">
        <w:rPr>
          <w:sz w:val="24"/>
          <w:szCs w:val="24"/>
        </w:rPr>
        <w:fldChar w:fldCharType="separate"/>
      </w:r>
      <w:r w:rsidR="0035666C">
        <w:rPr>
          <w:noProof/>
          <w:sz w:val="24"/>
          <w:szCs w:val="24"/>
        </w:rPr>
        <w:t>8</w:t>
      </w:r>
      <w:r w:rsidRPr="000B6DD9">
        <w:rPr>
          <w:sz w:val="24"/>
          <w:szCs w:val="24"/>
        </w:rPr>
        <w:fldChar w:fldCharType="end"/>
      </w:r>
      <w:bookmarkEnd w:id="123"/>
      <w:r w:rsidRPr="000B6DD9">
        <w:rPr>
          <w:sz w:val="24"/>
          <w:szCs w:val="24"/>
        </w:rPr>
        <w:t xml:space="preserve"> </w:t>
      </w:r>
      <w:bookmarkStart w:id="125" w:name="_Ref471642816"/>
      <w:r w:rsidRPr="000B6DD9">
        <w:rPr>
          <w:sz w:val="24"/>
          <w:szCs w:val="24"/>
        </w:rPr>
        <w:t>- Proposed Electric Residential Rates Under Three-Block and Two-Block Energy Rate Structure</w:t>
      </w:r>
      <w:bookmarkEnd w:id="124"/>
      <w:bookmarkEnd w:id="125"/>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447"/>
        <w:gridCol w:w="2701"/>
      </w:tblGrid>
      <w:tr w:rsidR="00072512" w:rsidRPr="000B6DD9" w:rsidTr="00B5579B">
        <w:tc>
          <w:tcPr>
            <w:tcW w:w="2988" w:type="dxa"/>
            <w:tcBorders>
              <w:top w:val="single" w:sz="4" w:space="0" w:color="auto"/>
              <w:bottom w:val="single" w:sz="4" w:space="0" w:color="auto"/>
            </w:tcBorders>
          </w:tcPr>
          <w:p w:rsidR="00072512" w:rsidRPr="000B6DD9" w:rsidRDefault="00072512" w:rsidP="00B5579B">
            <w:pPr>
              <w:pStyle w:val="answer"/>
              <w:widowControl w:val="0"/>
              <w:spacing w:before="0" w:after="0" w:line="276" w:lineRule="auto"/>
              <w:ind w:left="0" w:firstLine="0"/>
              <w:jc w:val="center"/>
              <w:rPr>
                <w:rFonts w:eastAsia="SimSun"/>
                <w:b/>
              </w:rPr>
            </w:pPr>
            <w:r w:rsidRPr="000B6DD9">
              <w:rPr>
                <w:rFonts w:eastAsia="SimSun"/>
                <w:b/>
              </w:rPr>
              <w:br/>
              <w:t>Rate Component</w:t>
            </w:r>
          </w:p>
        </w:tc>
        <w:tc>
          <w:tcPr>
            <w:tcW w:w="2447" w:type="dxa"/>
            <w:tcBorders>
              <w:top w:val="single" w:sz="4" w:space="0" w:color="auto"/>
              <w:bottom w:val="single" w:sz="4" w:space="0" w:color="auto"/>
            </w:tcBorders>
          </w:tcPr>
          <w:p w:rsidR="00072512" w:rsidRPr="000B6DD9" w:rsidRDefault="00072512" w:rsidP="00B5579B">
            <w:pPr>
              <w:pStyle w:val="answer"/>
              <w:widowControl w:val="0"/>
              <w:spacing w:before="0" w:after="0" w:line="276" w:lineRule="auto"/>
              <w:ind w:left="0" w:firstLine="0"/>
              <w:jc w:val="center"/>
              <w:rPr>
                <w:rFonts w:eastAsia="SimSun"/>
                <w:b/>
              </w:rPr>
            </w:pPr>
            <w:r w:rsidRPr="000B6DD9">
              <w:rPr>
                <w:rFonts w:eastAsia="SimSun"/>
                <w:b/>
              </w:rPr>
              <w:t>Three-Block Rate Structure</w:t>
            </w:r>
          </w:p>
        </w:tc>
        <w:tc>
          <w:tcPr>
            <w:tcW w:w="2701" w:type="dxa"/>
            <w:tcBorders>
              <w:top w:val="single" w:sz="4" w:space="0" w:color="auto"/>
              <w:bottom w:val="single" w:sz="4" w:space="0" w:color="auto"/>
            </w:tcBorders>
          </w:tcPr>
          <w:p w:rsidR="00072512" w:rsidRPr="000B6DD9" w:rsidRDefault="00072512" w:rsidP="00B5579B">
            <w:pPr>
              <w:pStyle w:val="answer"/>
              <w:widowControl w:val="0"/>
              <w:spacing w:before="0" w:after="0" w:line="276" w:lineRule="auto"/>
              <w:ind w:left="0" w:firstLine="0"/>
              <w:jc w:val="center"/>
              <w:rPr>
                <w:rFonts w:eastAsia="SimSun"/>
                <w:b/>
              </w:rPr>
            </w:pPr>
            <w:r w:rsidRPr="000B6DD9">
              <w:rPr>
                <w:rFonts w:eastAsia="SimSun"/>
                <w:b/>
              </w:rPr>
              <w:t>Two-Block Rate Structure</w:t>
            </w:r>
          </w:p>
        </w:tc>
      </w:tr>
      <w:tr w:rsidR="00072512" w:rsidTr="00B5579B">
        <w:tc>
          <w:tcPr>
            <w:tcW w:w="2988" w:type="dxa"/>
            <w:tcBorders>
              <w:top w:val="single" w:sz="4" w:space="0" w:color="auto"/>
            </w:tcBorders>
          </w:tcPr>
          <w:p w:rsidR="00072512" w:rsidRDefault="00072512" w:rsidP="00B5579B">
            <w:pPr>
              <w:pStyle w:val="answer"/>
              <w:widowControl w:val="0"/>
              <w:spacing w:before="0" w:after="0" w:line="276" w:lineRule="auto"/>
              <w:ind w:left="0" w:firstLine="0"/>
              <w:rPr>
                <w:rFonts w:eastAsia="SimSun"/>
              </w:rPr>
            </w:pPr>
            <w:r>
              <w:rPr>
                <w:rFonts w:eastAsia="SimSun"/>
              </w:rPr>
              <w:t>Monthly Basic Charge</w:t>
            </w:r>
          </w:p>
        </w:tc>
        <w:tc>
          <w:tcPr>
            <w:tcW w:w="2447" w:type="dxa"/>
            <w:tcBorders>
              <w:top w:val="single" w:sz="4" w:space="0" w:color="auto"/>
            </w:tcBorders>
          </w:tcPr>
          <w:p w:rsidR="00072512" w:rsidRPr="000B3FB1" w:rsidRDefault="00072512" w:rsidP="00B5579B">
            <w:pPr>
              <w:pStyle w:val="answer"/>
              <w:widowControl w:val="0"/>
              <w:spacing w:before="0" w:after="0" w:line="276" w:lineRule="auto"/>
              <w:ind w:left="0" w:firstLine="0"/>
              <w:jc w:val="center"/>
              <w:rPr>
                <w:rFonts w:eastAsia="SimSun"/>
              </w:rPr>
            </w:pPr>
            <w:r w:rsidRPr="000B3FB1">
              <w:rPr>
                <w:rFonts w:eastAsia="SimSun"/>
              </w:rPr>
              <w:t>$9.00</w:t>
            </w:r>
          </w:p>
        </w:tc>
        <w:tc>
          <w:tcPr>
            <w:tcW w:w="2701" w:type="dxa"/>
            <w:tcBorders>
              <w:top w:val="single" w:sz="4" w:space="0" w:color="auto"/>
            </w:tcBorders>
          </w:tcPr>
          <w:p w:rsidR="00072512" w:rsidRPr="000B3FB1" w:rsidRDefault="00072512" w:rsidP="00B5579B">
            <w:pPr>
              <w:pStyle w:val="answer"/>
              <w:widowControl w:val="0"/>
              <w:spacing w:before="0" w:after="0" w:line="276" w:lineRule="auto"/>
              <w:ind w:left="0" w:firstLine="0"/>
              <w:jc w:val="center"/>
              <w:rPr>
                <w:rFonts w:eastAsia="SimSun"/>
              </w:rPr>
            </w:pPr>
            <w:r w:rsidRPr="000B3FB1">
              <w:rPr>
                <w:rFonts w:eastAsia="SimSun"/>
              </w:rPr>
              <w:t>$9.00</w:t>
            </w:r>
          </w:p>
        </w:tc>
      </w:tr>
      <w:tr w:rsidR="00072512" w:rsidTr="00B5579B">
        <w:tc>
          <w:tcPr>
            <w:tcW w:w="2988" w:type="dxa"/>
          </w:tcPr>
          <w:p w:rsidR="00072512" w:rsidRDefault="00072512" w:rsidP="00B5579B">
            <w:pPr>
              <w:pStyle w:val="answer"/>
              <w:widowControl w:val="0"/>
              <w:spacing w:before="0" w:after="0" w:line="276" w:lineRule="auto"/>
              <w:ind w:left="0" w:firstLine="0"/>
              <w:rPr>
                <w:rFonts w:eastAsia="SimSun"/>
              </w:rPr>
            </w:pPr>
            <w:r>
              <w:rPr>
                <w:rFonts w:eastAsia="SimSun"/>
              </w:rPr>
              <w:t>Energy Rates (¢/kWh):</w:t>
            </w:r>
          </w:p>
        </w:tc>
        <w:tc>
          <w:tcPr>
            <w:tcW w:w="2447" w:type="dxa"/>
          </w:tcPr>
          <w:p w:rsidR="00072512" w:rsidRPr="003675FD" w:rsidRDefault="00072512" w:rsidP="00B5579B">
            <w:pPr>
              <w:pStyle w:val="answer"/>
              <w:widowControl w:val="0"/>
              <w:spacing w:before="0" w:after="0" w:line="276" w:lineRule="auto"/>
              <w:ind w:left="0" w:firstLine="0"/>
              <w:jc w:val="center"/>
              <w:rPr>
                <w:rFonts w:eastAsia="SimSun"/>
                <w:highlight w:val="yellow"/>
              </w:rPr>
            </w:pPr>
          </w:p>
        </w:tc>
        <w:tc>
          <w:tcPr>
            <w:tcW w:w="2701" w:type="dxa"/>
          </w:tcPr>
          <w:p w:rsidR="00072512" w:rsidRPr="003675FD" w:rsidRDefault="00072512" w:rsidP="00B5579B">
            <w:pPr>
              <w:pStyle w:val="answer"/>
              <w:widowControl w:val="0"/>
              <w:spacing w:before="0" w:after="0" w:line="276" w:lineRule="auto"/>
              <w:ind w:left="0" w:firstLine="0"/>
              <w:jc w:val="center"/>
              <w:rPr>
                <w:rFonts w:eastAsia="SimSun"/>
                <w:highlight w:val="yellow"/>
              </w:rPr>
            </w:pPr>
          </w:p>
        </w:tc>
      </w:tr>
      <w:tr w:rsidR="00072512" w:rsidTr="00B5579B">
        <w:tc>
          <w:tcPr>
            <w:tcW w:w="2988" w:type="dxa"/>
          </w:tcPr>
          <w:p w:rsidR="00072512" w:rsidRDefault="00072512" w:rsidP="00B5579B">
            <w:pPr>
              <w:pStyle w:val="answer"/>
              <w:widowControl w:val="0"/>
              <w:numPr>
                <w:ilvl w:val="0"/>
                <w:numId w:val="28"/>
              </w:numPr>
              <w:spacing w:before="0" w:after="0" w:line="276" w:lineRule="auto"/>
              <w:rPr>
                <w:rFonts w:eastAsia="SimSun"/>
              </w:rPr>
            </w:pPr>
            <w:r>
              <w:rPr>
                <w:rFonts w:eastAsia="SimSun"/>
              </w:rPr>
              <w:t>First Block</w:t>
            </w:r>
          </w:p>
        </w:tc>
        <w:tc>
          <w:tcPr>
            <w:tcW w:w="2447" w:type="dxa"/>
          </w:tcPr>
          <w:p w:rsidR="00072512" w:rsidRPr="00552EF6" w:rsidRDefault="00072512" w:rsidP="00B5579B">
            <w:pPr>
              <w:pStyle w:val="answer"/>
              <w:widowControl w:val="0"/>
              <w:spacing w:before="0" w:after="0" w:line="276" w:lineRule="auto"/>
              <w:ind w:left="0" w:firstLine="0"/>
              <w:jc w:val="center"/>
              <w:rPr>
                <w:rFonts w:eastAsia="SimSun"/>
              </w:rPr>
            </w:pPr>
            <w:r w:rsidRPr="00552EF6">
              <w:rPr>
                <w:rFonts w:eastAsia="SimSun"/>
              </w:rPr>
              <w:t>9.6377</w:t>
            </w:r>
          </w:p>
        </w:tc>
        <w:tc>
          <w:tcPr>
            <w:tcW w:w="2701" w:type="dxa"/>
          </w:tcPr>
          <w:p w:rsidR="00072512" w:rsidRPr="00E8781B" w:rsidRDefault="00072512" w:rsidP="00B5579B">
            <w:pPr>
              <w:pStyle w:val="answer"/>
              <w:widowControl w:val="0"/>
              <w:spacing w:before="0" w:after="0" w:line="276" w:lineRule="auto"/>
              <w:ind w:left="0" w:firstLine="0"/>
              <w:jc w:val="center"/>
              <w:rPr>
                <w:rFonts w:eastAsia="SimSun"/>
              </w:rPr>
            </w:pPr>
            <w:r w:rsidRPr="00E8781B">
              <w:rPr>
                <w:rFonts w:eastAsia="SimSun"/>
              </w:rPr>
              <w:t>9.1770</w:t>
            </w:r>
          </w:p>
        </w:tc>
      </w:tr>
      <w:tr w:rsidR="00072512" w:rsidTr="00B5579B">
        <w:tc>
          <w:tcPr>
            <w:tcW w:w="2988" w:type="dxa"/>
          </w:tcPr>
          <w:p w:rsidR="00072512" w:rsidRDefault="00072512" w:rsidP="00B5579B">
            <w:pPr>
              <w:pStyle w:val="answer"/>
              <w:widowControl w:val="0"/>
              <w:numPr>
                <w:ilvl w:val="0"/>
                <w:numId w:val="28"/>
              </w:numPr>
              <w:spacing w:before="0" w:after="0" w:line="276" w:lineRule="auto"/>
              <w:rPr>
                <w:rFonts w:eastAsia="SimSun"/>
              </w:rPr>
            </w:pPr>
            <w:r>
              <w:rPr>
                <w:rFonts w:eastAsia="SimSun"/>
              </w:rPr>
              <w:t>Second Block</w:t>
            </w:r>
          </w:p>
        </w:tc>
        <w:tc>
          <w:tcPr>
            <w:tcW w:w="2447" w:type="dxa"/>
          </w:tcPr>
          <w:p w:rsidR="00072512" w:rsidRPr="00552EF6" w:rsidRDefault="00072512" w:rsidP="00B5579B">
            <w:pPr>
              <w:pStyle w:val="answer"/>
              <w:widowControl w:val="0"/>
              <w:spacing w:before="0" w:after="0" w:line="276" w:lineRule="auto"/>
              <w:ind w:left="0" w:firstLine="0"/>
              <w:jc w:val="center"/>
              <w:rPr>
                <w:rFonts w:eastAsia="SimSun"/>
              </w:rPr>
            </w:pPr>
            <w:r w:rsidRPr="00552EF6">
              <w:rPr>
                <w:rFonts w:eastAsia="SimSun"/>
              </w:rPr>
              <w:t>11.7300</w:t>
            </w:r>
          </w:p>
        </w:tc>
        <w:tc>
          <w:tcPr>
            <w:tcW w:w="2701" w:type="dxa"/>
          </w:tcPr>
          <w:p w:rsidR="00072512" w:rsidRPr="00E8781B" w:rsidRDefault="00072512" w:rsidP="00B5579B">
            <w:pPr>
              <w:pStyle w:val="answer"/>
              <w:widowControl w:val="0"/>
              <w:spacing w:before="0" w:after="0" w:line="276" w:lineRule="auto"/>
              <w:ind w:left="0" w:firstLine="0"/>
              <w:jc w:val="center"/>
              <w:rPr>
                <w:rFonts w:eastAsia="SimSun"/>
              </w:rPr>
            </w:pPr>
            <w:r w:rsidRPr="00E8781B">
              <w:rPr>
                <w:rFonts w:eastAsia="SimSun"/>
              </w:rPr>
              <w:t>11.1693</w:t>
            </w:r>
          </w:p>
        </w:tc>
      </w:tr>
      <w:tr w:rsidR="00072512" w:rsidTr="00B5579B">
        <w:tc>
          <w:tcPr>
            <w:tcW w:w="2988" w:type="dxa"/>
          </w:tcPr>
          <w:p w:rsidR="00072512" w:rsidRDefault="00072512" w:rsidP="00B5579B">
            <w:pPr>
              <w:pStyle w:val="answer"/>
              <w:widowControl w:val="0"/>
              <w:numPr>
                <w:ilvl w:val="0"/>
                <w:numId w:val="28"/>
              </w:numPr>
              <w:spacing w:before="0" w:after="0" w:line="276" w:lineRule="auto"/>
              <w:rPr>
                <w:rFonts w:eastAsia="SimSun"/>
              </w:rPr>
            </w:pPr>
            <w:r>
              <w:rPr>
                <w:rFonts w:eastAsia="SimSun"/>
              </w:rPr>
              <w:t>Third Block</w:t>
            </w:r>
          </w:p>
        </w:tc>
        <w:tc>
          <w:tcPr>
            <w:tcW w:w="2447" w:type="dxa"/>
          </w:tcPr>
          <w:p w:rsidR="00072512" w:rsidRPr="003675FD" w:rsidRDefault="00072512" w:rsidP="00B5579B">
            <w:pPr>
              <w:pStyle w:val="answer"/>
              <w:widowControl w:val="0"/>
              <w:spacing w:before="0" w:after="0" w:line="276" w:lineRule="auto"/>
              <w:ind w:left="0" w:firstLine="0"/>
              <w:jc w:val="center"/>
              <w:rPr>
                <w:rFonts w:eastAsia="SimSun"/>
                <w:highlight w:val="yellow"/>
              </w:rPr>
            </w:pPr>
            <w:r>
              <w:rPr>
                <w:rFonts w:eastAsia="SimSun"/>
              </w:rPr>
              <w:t>8.9742</w:t>
            </w:r>
          </w:p>
        </w:tc>
        <w:tc>
          <w:tcPr>
            <w:tcW w:w="2701" w:type="dxa"/>
          </w:tcPr>
          <w:p w:rsidR="00072512" w:rsidRPr="003675FD" w:rsidRDefault="00072512" w:rsidP="00B5579B">
            <w:pPr>
              <w:pStyle w:val="answer"/>
              <w:widowControl w:val="0"/>
              <w:spacing w:before="0" w:after="0" w:line="276" w:lineRule="auto"/>
              <w:ind w:left="0" w:firstLine="0"/>
              <w:jc w:val="center"/>
              <w:rPr>
                <w:rFonts w:eastAsia="SimSun"/>
                <w:highlight w:val="yellow"/>
              </w:rPr>
            </w:pPr>
          </w:p>
        </w:tc>
      </w:tr>
    </w:tbl>
    <w:p w:rsidR="002272F9" w:rsidRPr="009075DC" w:rsidRDefault="002272F9" w:rsidP="002272F9">
      <w:pPr>
        <w:pStyle w:val="question"/>
        <w:widowControl w:val="0"/>
        <w:rPr>
          <w:rFonts w:eastAsia="SimSun"/>
        </w:rPr>
      </w:pPr>
      <w:r w:rsidRPr="009075DC">
        <w:rPr>
          <w:rFonts w:eastAsia="SimSun"/>
        </w:rPr>
        <w:t>Q.</w:t>
      </w:r>
      <w:r w:rsidRPr="009075DC">
        <w:rPr>
          <w:rFonts w:eastAsia="SimSun"/>
        </w:rPr>
        <w:tab/>
      </w:r>
      <w:r w:rsidR="00E172F7">
        <w:rPr>
          <w:rFonts w:eastAsia="SimSun"/>
        </w:rPr>
        <w:t xml:space="preserve">How </w:t>
      </w:r>
      <w:r w:rsidR="003F0486">
        <w:rPr>
          <w:rFonts w:eastAsia="SimSun"/>
        </w:rPr>
        <w:t xml:space="preserve">has </w:t>
      </w:r>
      <w:r w:rsidR="00E172F7">
        <w:rPr>
          <w:rFonts w:eastAsia="SimSun"/>
        </w:rPr>
        <w:t xml:space="preserve">PSE </w:t>
      </w:r>
      <w:r w:rsidR="003F0486">
        <w:rPr>
          <w:rFonts w:eastAsia="SimSun"/>
        </w:rPr>
        <w:t xml:space="preserve">calculated </w:t>
      </w:r>
      <w:r w:rsidR="00E172F7">
        <w:rPr>
          <w:rFonts w:eastAsia="SimSun"/>
        </w:rPr>
        <w:t xml:space="preserve">residential electric rates under the </w:t>
      </w:r>
      <w:r w:rsidR="00C65A08">
        <w:rPr>
          <w:rFonts w:eastAsia="SimSun"/>
        </w:rPr>
        <w:t xml:space="preserve">alternative </w:t>
      </w:r>
      <w:r w:rsidR="00E172F7">
        <w:rPr>
          <w:rFonts w:eastAsia="SimSun"/>
        </w:rPr>
        <w:t>three-block rate structure</w:t>
      </w:r>
      <w:r>
        <w:rPr>
          <w:rFonts w:eastAsia="SimSun"/>
        </w:rPr>
        <w:t>?</w:t>
      </w:r>
    </w:p>
    <w:p w:rsidR="002272F9" w:rsidRDefault="002272F9" w:rsidP="002272F9">
      <w:pPr>
        <w:pStyle w:val="answer"/>
        <w:widowControl w:val="0"/>
        <w:rPr>
          <w:rFonts w:eastAsia="SimSun"/>
        </w:rPr>
      </w:pPr>
      <w:r w:rsidRPr="009075DC">
        <w:rPr>
          <w:rFonts w:eastAsia="SimSun"/>
        </w:rPr>
        <w:t>A.</w:t>
      </w:r>
      <w:r w:rsidRPr="009075DC">
        <w:rPr>
          <w:rFonts w:eastAsia="SimSun"/>
        </w:rPr>
        <w:tab/>
      </w:r>
      <w:r w:rsidR="00E172F7">
        <w:rPr>
          <w:rFonts w:eastAsia="SimSun"/>
        </w:rPr>
        <w:t xml:space="preserve">PSE </w:t>
      </w:r>
      <w:r w:rsidR="00C65A08">
        <w:rPr>
          <w:rFonts w:eastAsia="SimSun"/>
        </w:rPr>
        <w:t xml:space="preserve">first </w:t>
      </w:r>
      <w:r w:rsidR="00E172F7">
        <w:rPr>
          <w:rFonts w:eastAsia="SimSun"/>
        </w:rPr>
        <w:t>price</w:t>
      </w:r>
      <w:r w:rsidR="00C65A08">
        <w:rPr>
          <w:rFonts w:eastAsia="SimSun"/>
        </w:rPr>
        <w:t>d</w:t>
      </w:r>
      <w:r w:rsidR="00E172F7">
        <w:rPr>
          <w:rFonts w:eastAsia="SimSun"/>
        </w:rPr>
        <w:t xml:space="preserve"> the tail block residential electric rate, for usage above 1,800 kWh per month, at its </w:t>
      </w:r>
      <w:r w:rsidR="00C65A08">
        <w:rPr>
          <w:rFonts w:eastAsia="SimSun"/>
        </w:rPr>
        <w:t xml:space="preserve">estimated </w:t>
      </w:r>
      <w:r w:rsidR="00E172F7">
        <w:rPr>
          <w:rFonts w:eastAsia="SimSun"/>
        </w:rPr>
        <w:t>long-run avoided cost of power and delivery</w:t>
      </w:r>
      <w:r w:rsidRPr="009075DC">
        <w:rPr>
          <w:rFonts w:eastAsia="SimSun"/>
        </w:rPr>
        <w:t>.</w:t>
      </w:r>
      <w:r w:rsidR="00E172F7">
        <w:rPr>
          <w:rFonts w:eastAsia="SimSun"/>
        </w:rPr>
        <w:t xml:space="preserve">  PSE </w:t>
      </w:r>
      <w:r w:rsidR="00C65A08">
        <w:rPr>
          <w:rFonts w:eastAsia="SimSun"/>
        </w:rPr>
        <w:t xml:space="preserve">then </w:t>
      </w:r>
      <w:r w:rsidR="009B4BA8">
        <w:rPr>
          <w:rFonts w:eastAsia="SimSun"/>
        </w:rPr>
        <w:t xml:space="preserve">proportionally adjusted the </w:t>
      </w:r>
      <w:r w:rsidR="00E172F7">
        <w:rPr>
          <w:rFonts w:eastAsia="SimSun"/>
        </w:rPr>
        <w:t>price</w:t>
      </w:r>
      <w:r w:rsidR="009B4BA8">
        <w:rPr>
          <w:rFonts w:eastAsia="SimSun"/>
        </w:rPr>
        <w:t xml:space="preserve"> of</w:t>
      </w:r>
      <w:r w:rsidR="00E172F7">
        <w:rPr>
          <w:rFonts w:eastAsia="SimSun"/>
        </w:rPr>
        <w:t xml:space="preserve"> the other two rate blocks </w:t>
      </w:r>
      <w:r w:rsidR="009B4BA8">
        <w:rPr>
          <w:rFonts w:eastAsia="SimSun"/>
        </w:rPr>
        <w:t xml:space="preserve">to </w:t>
      </w:r>
      <w:r w:rsidR="00E172F7">
        <w:rPr>
          <w:rFonts w:eastAsia="SimSun"/>
        </w:rPr>
        <w:t>a level sufficient, when added to the revenue recovered at the proposed tail-block rates</w:t>
      </w:r>
      <w:r w:rsidR="00955380">
        <w:rPr>
          <w:rFonts w:eastAsia="SimSun"/>
        </w:rPr>
        <w:t xml:space="preserve"> and from the </w:t>
      </w:r>
      <w:r w:rsidR="00C65A08">
        <w:rPr>
          <w:rFonts w:eastAsia="SimSun"/>
        </w:rPr>
        <w:t xml:space="preserve">proposed monthly </w:t>
      </w:r>
      <w:r w:rsidR="00955380">
        <w:rPr>
          <w:rFonts w:eastAsia="SimSun"/>
        </w:rPr>
        <w:t xml:space="preserve">basic </w:t>
      </w:r>
      <w:r w:rsidR="00C65A08">
        <w:rPr>
          <w:rFonts w:eastAsia="SimSun"/>
        </w:rPr>
        <w:t>charge</w:t>
      </w:r>
      <w:r w:rsidR="00E172F7">
        <w:rPr>
          <w:rFonts w:eastAsia="SimSun"/>
        </w:rPr>
        <w:t xml:space="preserve">, to recover the revenue requirement spread to electric residential customers, as discussed above.  </w:t>
      </w:r>
      <w:r w:rsidR="009B4BA8">
        <w:rPr>
          <w:rFonts w:eastAsia="SimSun"/>
        </w:rPr>
        <w:t>As a result t</w:t>
      </w:r>
      <w:r w:rsidR="00E172F7">
        <w:rPr>
          <w:rFonts w:eastAsia="SimSun"/>
        </w:rPr>
        <w:t xml:space="preserve">he differential between the first and second block residential rates </w:t>
      </w:r>
      <w:r w:rsidR="00C65A08">
        <w:rPr>
          <w:rFonts w:eastAsia="SimSun"/>
        </w:rPr>
        <w:t xml:space="preserve">continues to </w:t>
      </w:r>
      <w:r w:rsidR="00E172F7">
        <w:rPr>
          <w:rFonts w:eastAsia="SimSun"/>
        </w:rPr>
        <w:t xml:space="preserve">reflect </w:t>
      </w:r>
      <w:r w:rsidR="00955380">
        <w:rPr>
          <w:rFonts w:eastAsia="SimSun"/>
        </w:rPr>
        <w:t xml:space="preserve">the </w:t>
      </w:r>
      <w:r w:rsidR="00E172F7">
        <w:rPr>
          <w:rFonts w:eastAsia="SimSun"/>
        </w:rPr>
        <w:t xml:space="preserve">existing differential of approximately two cents per kWh.  </w:t>
      </w:r>
    </w:p>
    <w:p w:rsidR="00E172F7" w:rsidRPr="009075DC" w:rsidRDefault="00E172F7" w:rsidP="00E172F7">
      <w:pPr>
        <w:pStyle w:val="question"/>
        <w:widowControl w:val="0"/>
        <w:rPr>
          <w:rFonts w:eastAsia="SimSun"/>
        </w:rPr>
      </w:pPr>
      <w:r w:rsidRPr="009075DC">
        <w:rPr>
          <w:rFonts w:eastAsia="SimSun"/>
        </w:rPr>
        <w:t>Q.</w:t>
      </w:r>
      <w:r w:rsidRPr="009075DC">
        <w:rPr>
          <w:rFonts w:eastAsia="SimSun"/>
        </w:rPr>
        <w:tab/>
      </w:r>
      <w:r>
        <w:rPr>
          <w:rFonts w:eastAsia="SimSun"/>
        </w:rPr>
        <w:t xml:space="preserve">Why </w:t>
      </w:r>
      <w:r w:rsidR="00C65A08">
        <w:rPr>
          <w:rFonts w:eastAsia="SimSun"/>
        </w:rPr>
        <w:t xml:space="preserve">should the </w:t>
      </w:r>
      <w:r>
        <w:rPr>
          <w:rFonts w:eastAsia="SimSun"/>
        </w:rPr>
        <w:t xml:space="preserve">tail-block residential electric rate </w:t>
      </w:r>
      <w:r w:rsidR="00C65A08">
        <w:rPr>
          <w:rFonts w:eastAsia="SimSun"/>
        </w:rPr>
        <w:t xml:space="preserve">be priced </w:t>
      </w:r>
      <w:r>
        <w:rPr>
          <w:rFonts w:eastAsia="SimSun"/>
        </w:rPr>
        <w:t xml:space="preserve">at </w:t>
      </w:r>
      <w:r w:rsidR="00C65A08">
        <w:rPr>
          <w:rFonts w:eastAsia="SimSun"/>
        </w:rPr>
        <w:t xml:space="preserve">PSE’s estimated </w:t>
      </w:r>
      <w:r w:rsidR="006A2A87">
        <w:rPr>
          <w:rFonts w:eastAsia="SimSun"/>
        </w:rPr>
        <w:t>long-run avoided cost of power and delivery</w:t>
      </w:r>
      <w:r>
        <w:rPr>
          <w:rFonts w:eastAsia="SimSun"/>
        </w:rPr>
        <w:t>?</w:t>
      </w:r>
    </w:p>
    <w:p w:rsidR="00E172F7" w:rsidRDefault="00E172F7" w:rsidP="00E172F7">
      <w:pPr>
        <w:pStyle w:val="answer"/>
        <w:widowControl w:val="0"/>
        <w:rPr>
          <w:rFonts w:eastAsia="SimSun"/>
        </w:rPr>
      </w:pPr>
      <w:r w:rsidRPr="009075DC">
        <w:rPr>
          <w:rFonts w:eastAsia="SimSun"/>
        </w:rPr>
        <w:t>A.</w:t>
      </w:r>
      <w:r w:rsidRPr="009075DC">
        <w:rPr>
          <w:rFonts w:eastAsia="SimSun"/>
        </w:rPr>
        <w:tab/>
      </w:r>
      <w:r w:rsidR="00CB26FE">
        <w:rPr>
          <w:rFonts w:eastAsia="SimSun"/>
        </w:rPr>
        <w:t xml:space="preserve">One of the </w:t>
      </w:r>
      <w:r w:rsidR="00185C17">
        <w:rPr>
          <w:rFonts w:eastAsia="SimSun"/>
        </w:rPr>
        <w:t>primary goals</w:t>
      </w:r>
      <w:r w:rsidR="00CB26FE">
        <w:rPr>
          <w:rFonts w:eastAsia="SimSun"/>
        </w:rPr>
        <w:t xml:space="preserve"> of </w:t>
      </w:r>
      <w:r w:rsidR="00966474">
        <w:rPr>
          <w:rFonts w:eastAsia="SimSun"/>
        </w:rPr>
        <w:t xml:space="preserve">utility </w:t>
      </w:r>
      <w:r w:rsidR="00CB26FE">
        <w:rPr>
          <w:rFonts w:eastAsia="SimSun"/>
        </w:rPr>
        <w:t xml:space="preserve">rate making, as discussed above, is to give customers the proper price signal.  To that end, </w:t>
      </w:r>
      <w:r w:rsidR="00C65A08">
        <w:rPr>
          <w:rFonts w:eastAsia="SimSun"/>
        </w:rPr>
        <w:t xml:space="preserve">the price signal received by </w:t>
      </w:r>
      <w:r w:rsidR="006A2A87">
        <w:rPr>
          <w:rFonts w:eastAsia="SimSun"/>
        </w:rPr>
        <w:t>PSE</w:t>
      </w:r>
      <w:r w:rsidR="00C65A08">
        <w:rPr>
          <w:rFonts w:eastAsia="SimSun"/>
        </w:rPr>
        <w:t xml:space="preserve">’s residential electric </w:t>
      </w:r>
      <w:r w:rsidR="006A2A87">
        <w:rPr>
          <w:rFonts w:eastAsia="SimSun"/>
        </w:rPr>
        <w:t xml:space="preserve">customers using over 1,800 kWh </w:t>
      </w:r>
      <w:r w:rsidR="00C65A08">
        <w:rPr>
          <w:rFonts w:eastAsia="SimSun"/>
        </w:rPr>
        <w:t xml:space="preserve">should </w:t>
      </w:r>
      <w:r w:rsidR="00CB26FE">
        <w:rPr>
          <w:rFonts w:eastAsia="SimSun"/>
        </w:rPr>
        <w:t xml:space="preserve">generally </w:t>
      </w:r>
      <w:r w:rsidR="00C65A08">
        <w:rPr>
          <w:rFonts w:eastAsia="SimSun"/>
        </w:rPr>
        <w:t xml:space="preserve">be </w:t>
      </w:r>
      <w:r w:rsidR="006A2A87">
        <w:rPr>
          <w:rFonts w:eastAsia="SimSun"/>
        </w:rPr>
        <w:t xml:space="preserve">reflective of the utility’s </w:t>
      </w:r>
      <w:r w:rsidR="00C65A08">
        <w:rPr>
          <w:rFonts w:eastAsia="SimSun"/>
        </w:rPr>
        <w:t xml:space="preserve">long-run </w:t>
      </w:r>
      <w:r w:rsidR="006A2A87">
        <w:rPr>
          <w:rFonts w:eastAsia="SimSun"/>
        </w:rPr>
        <w:t xml:space="preserve">avoided costs.  </w:t>
      </w:r>
      <w:r w:rsidR="00CB26FE">
        <w:rPr>
          <w:rFonts w:eastAsia="SimSun"/>
        </w:rPr>
        <w:t xml:space="preserve">To do so will allow these customers to </w:t>
      </w:r>
      <w:r w:rsidR="00CB26FE">
        <w:rPr>
          <w:rFonts w:eastAsia="SimSun"/>
        </w:rPr>
        <w:lastRenderedPageBreak/>
        <w:t xml:space="preserve">make their own resource decisions using a price signal that is more consistent with the avoided costs measures used to </w:t>
      </w:r>
      <w:r w:rsidR="00C65A08">
        <w:rPr>
          <w:rFonts w:eastAsia="SimSun"/>
        </w:rPr>
        <w:t xml:space="preserve">support </w:t>
      </w:r>
      <w:r w:rsidR="00CB26FE">
        <w:rPr>
          <w:rFonts w:eastAsia="SimSun"/>
        </w:rPr>
        <w:t xml:space="preserve">the cost-effectiveness of </w:t>
      </w:r>
      <w:r w:rsidR="00C65A08">
        <w:rPr>
          <w:rFonts w:eastAsia="SimSun"/>
        </w:rPr>
        <w:t>PSE</w:t>
      </w:r>
      <w:r w:rsidR="00CB26FE">
        <w:rPr>
          <w:rFonts w:eastAsia="SimSun"/>
        </w:rPr>
        <w:t xml:space="preserve">’s supply and demand side resource acquisition.  </w:t>
      </w:r>
    </w:p>
    <w:p w:rsidR="00E172F7" w:rsidRPr="009075DC" w:rsidRDefault="00E172F7" w:rsidP="00E172F7">
      <w:pPr>
        <w:pStyle w:val="question"/>
        <w:widowControl w:val="0"/>
        <w:rPr>
          <w:rFonts w:eastAsia="SimSun"/>
        </w:rPr>
      </w:pPr>
      <w:r w:rsidRPr="009075DC">
        <w:rPr>
          <w:rFonts w:eastAsia="SimSun"/>
        </w:rPr>
        <w:t>Q.</w:t>
      </w:r>
      <w:r w:rsidRPr="009075DC">
        <w:rPr>
          <w:rFonts w:eastAsia="SimSun"/>
        </w:rPr>
        <w:tab/>
      </w:r>
      <w:r w:rsidR="00CB26FE">
        <w:rPr>
          <w:rFonts w:eastAsia="SimSun"/>
        </w:rPr>
        <w:t>What specific measure of avoided cost d</w:t>
      </w:r>
      <w:r w:rsidR="00C65A08">
        <w:rPr>
          <w:rFonts w:eastAsia="SimSun"/>
        </w:rPr>
        <w:t>id</w:t>
      </w:r>
      <w:r w:rsidR="00CB26FE">
        <w:rPr>
          <w:rFonts w:eastAsia="SimSun"/>
        </w:rPr>
        <w:t xml:space="preserve"> PSE use to </w:t>
      </w:r>
      <w:r w:rsidR="00C65A08">
        <w:rPr>
          <w:rFonts w:eastAsia="SimSun"/>
        </w:rPr>
        <w:t xml:space="preserve">calculate </w:t>
      </w:r>
      <w:r w:rsidR="00CB26FE">
        <w:rPr>
          <w:rFonts w:eastAsia="SimSun"/>
        </w:rPr>
        <w:t xml:space="preserve">the </w:t>
      </w:r>
      <w:r w:rsidR="00C65A08">
        <w:rPr>
          <w:rFonts w:eastAsia="SimSun"/>
        </w:rPr>
        <w:t xml:space="preserve">potential </w:t>
      </w:r>
      <w:r w:rsidR="00CB26FE">
        <w:rPr>
          <w:rFonts w:eastAsia="SimSun"/>
        </w:rPr>
        <w:t>third-block residential rate</w:t>
      </w:r>
      <w:r>
        <w:rPr>
          <w:rFonts w:eastAsia="SimSun"/>
        </w:rPr>
        <w:t>?</w:t>
      </w:r>
    </w:p>
    <w:p w:rsidR="0041507C" w:rsidRDefault="00E172F7" w:rsidP="00E172F7">
      <w:pPr>
        <w:pStyle w:val="answer"/>
        <w:widowControl w:val="0"/>
        <w:rPr>
          <w:rFonts w:eastAsia="SimSun"/>
        </w:rPr>
      </w:pPr>
      <w:r w:rsidRPr="009075DC">
        <w:rPr>
          <w:rFonts w:eastAsia="SimSun"/>
        </w:rPr>
        <w:t>A.</w:t>
      </w:r>
      <w:r w:rsidRPr="009075DC">
        <w:rPr>
          <w:rFonts w:eastAsia="SimSun"/>
        </w:rPr>
        <w:tab/>
      </w:r>
      <w:r w:rsidR="00CB26FE">
        <w:rPr>
          <w:rFonts w:eastAsia="SimSun"/>
        </w:rPr>
        <w:t xml:space="preserve">PSE </w:t>
      </w:r>
      <w:r w:rsidR="0041507C">
        <w:rPr>
          <w:rFonts w:eastAsia="SimSun"/>
        </w:rPr>
        <w:t>use</w:t>
      </w:r>
      <w:r w:rsidR="00C65A08">
        <w:rPr>
          <w:rFonts w:eastAsia="SimSun"/>
        </w:rPr>
        <w:t>d</w:t>
      </w:r>
      <w:r w:rsidR="0041507C">
        <w:rPr>
          <w:rFonts w:eastAsia="SimSun"/>
        </w:rPr>
        <w:t xml:space="preserve"> an estimate of the </w:t>
      </w:r>
      <w:r w:rsidR="00621A32">
        <w:rPr>
          <w:rFonts w:eastAsia="SimSun"/>
        </w:rPr>
        <w:t xml:space="preserve">long-run </w:t>
      </w:r>
      <w:r w:rsidR="00CB26FE">
        <w:rPr>
          <w:rFonts w:eastAsia="SimSun"/>
        </w:rPr>
        <w:t>avoided cost</w:t>
      </w:r>
      <w:r w:rsidR="00621A32">
        <w:rPr>
          <w:rFonts w:eastAsia="SimSun"/>
        </w:rPr>
        <w:t xml:space="preserve"> </w:t>
      </w:r>
      <w:r w:rsidR="0041507C">
        <w:rPr>
          <w:rFonts w:eastAsia="SimSun"/>
        </w:rPr>
        <w:t xml:space="preserve">for serving residential load that is calculated </w:t>
      </w:r>
      <w:r w:rsidR="00621A32">
        <w:rPr>
          <w:rFonts w:eastAsia="SimSun"/>
        </w:rPr>
        <w:t xml:space="preserve">based on </w:t>
      </w:r>
      <w:r w:rsidR="00C65A08">
        <w:rPr>
          <w:rFonts w:eastAsia="SimSun"/>
        </w:rPr>
        <w:t xml:space="preserve">many of </w:t>
      </w:r>
      <w:r w:rsidR="00621A32">
        <w:rPr>
          <w:rFonts w:eastAsia="SimSun"/>
        </w:rPr>
        <w:t xml:space="preserve">the assumptions </w:t>
      </w:r>
      <w:r w:rsidR="00C65A08">
        <w:rPr>
          <w:rFonts w:eastAsia="SimSun"/>
        </w:rPr>
        <w:t xml:space="preserve">currently being used to support the development of the </w:t>
      </w:r>
      <w:r w:rsidR="0041507C">
        <w:rPr>
          <w:rFonts w:eastAsia="SimSun"/>
        </w:rPr>
        <w:t xml:space="preserve">Company’s </w:t>
      </w:r>
      <w:r w:rsidR="00621A32">
        <w:rPr>
          <w:rFonts w:eastAsia="SimSun"/>
        </w:rPr>
        <w:t>201</w:t>
      </w:r>
      <w:r w:rsidR="00C65A08">
        <w:rPr>
          <w:rFonts w:eastAsia="SimSun"/>
        </w:rPr>
        <w:t>7</w:t>
      </w:r>
      <w:r w:rsidR="00621A32">
        <w:rPr>
          <w:rFonts w:eastAsia="SimSun"/>
        </w:rPr>
        <w:t xml:space="preserve"> IRP</w:t>
      </w:r>
      <w:r w:rsidR="00C65A08">
        <w:rPr>
          <w:rFonts w:eastAsia="SimSun"/>
        </w:rPr>
        <w:t xml:space="preserve"> and filed avoided costs rates</w:t>
      </w:r>
      <w:r w:rsidR="00C65A08">
        <w:rPr>
          <w:rStyle w:val="FootnoteReference"/>
          <w:rFonts w:eastAsia="SimSun"/>
        </w:rPr>
        <w:footnoteReference w:id="16"/>
      </w:r>
      <w:r w:rsidR="00621A32">
        <w:rPr>
          <w:rFonts w:eastAsia="SimSun"/>
        </w:rPr>
        <w:t xml:space="preserve"> and the </w:t>
      </w:r>
      <w:r w:rsidR="0041507C">
        <w:rPr>
          <w:rFonts w:eastAsia="SimSun"/>
        </w:rPr>
        <w:t xml:space="preserve">analytical framework </w:t>
      </w:r>
      <w:r w:rsidR="00CB26FE">
        <w:rPr>
          <w:rFonts w:eastAsia="SimSun"/>
        </w:rPr>
        <w:t xml:space="preserve">used to support </w:t>
      </w:r>
      <w:r w:rsidR="0041507C">
        <w:rPr>
          <w:rFonts w:eastAsia="SimSun"/>
        </w:rPr>
        <w:t xml:space="preserve">cost-effectiveness of </w:t>
      </w:r>
      <w:r w:rsidR="00CB26FE">
        <w:rPr>
          <w:rFonts w:eastAsia="SimSun"/>
        </w:rPr>
        <w:t>its acquisition of demand-side resources</w:t>
      </w:r>
      <w:r w:rsidRPr="009075DC">
        <w:rPr>
          <w:rFonts w:eastAsia="SimSun"/>
        </w:rPr>
        <w:t>.</w:t>
      </w:r>
      <w:r w:rsidR="00966474">
        <w:rPr>
          <w:rFonts w:eastAsia="SimSun"/>
        </w:rPr>
        <w:t xml:space="preserve">  Specifically, </w:t>
      </w:r>
      <w:r w:rsidR="0041507C">
        <w:rPr>
          <w:rFonts w:eastAsia="SimSun"/>
        </w:rPr>
        <w:t xml:space="preserve">this calculation </w:t>
      </w:r>
      <w:r w:rsidR="004363AE">
        <w:rPr>
          <w:rFonts w:eastAsia="SimSun"/>
        </w:rPr>
        <w:t>derives the 2</w:t>
      </w:r>
      <w:r w:rsidR="00C65A08">
        <w:rPr>
          <w:rFonts w:eastAsia="SimSun"/>
        </w:rPr>
        <w:t>0</w:t>
      </w:r>
      <w:r w:rsidR="004363AE">
        <w:rPr>
          <w:rFonts w:eastAsia="SimSun"/>
        </w:rPr>
        <w:t xml:space="preserve">-year levelized avoided cost </w:t>
      </w:r>
      <w:r w:rsidR="0041507C">
        <w:rPr>
          <w:rFonts w:eastAsia="SimSun"/>
        </w:rPr>
        <w:t>of generation, transmission and distribution capacity; energy costs</w:t>
      </w:r>
      <w:r w:rsidR="00A36F59">
        <w:rPr>
          <w:rFonts w:eastAsia="SimSun"/>
        </w:rPr>
        <w:t xml:space="preserve">; </w:t>
      </w:r>
      <w:r w:rsidR="0041507C">
        <w:rPr>
          <w:rFonts w:eastAsia="SimSun"/>
        </w:rPr>
        <w:t>line losses</w:t>
      </w:r>
      <w:r w:rsidR="00A36F59">
        <w:rPr>
          <w:rFonts w:eastAsia="SimSun"/>
        </w:rPr>
        <w:t>;</w:t>
      </w:r>
      <w:r w:rsidR="0041507C">
        <w:rPr>
          <w:rFonts w:eastAsia="SimSun"/>
        </w:rPr>
        <w:t xml:space="preserve"> and the statutorily directed </w:t>
      </w:r>
      <w:r w:rsidR="0010573F">
        <w:rPr>
          <w:rFonts w:eastAsia="SimSun"/>
        </w:rPr>
        <w:t xml:space="preserve">ten </w:t>
      </w:r>
      <w:r w:rsidR="0041507C">
        <w:rPr>
          <w:rFonts w:eastAsia="SimSun"/>
        </w:rPr>
        <w:t xml:space="preserve">percent adder for </w:t>
      </w:r>
      <w:r w:rsidR="004363AE">
        <w:rPr>
          <w:rFonts w:eastAsia="SimSun"/>
        </w:rPr>
        <w:t xml:space="preserve">conservation </w:t>
      </w:r>
      <w:r w:rsidR="0041507C">
        <w:rPr>
          <w:rFonts w:eastAsia="SimSun"/>
        </w:rPr>
        <w:t>benefits.</w:t>
      </w:r>
      <w:r w:rsidR="0041507C">
        <w:rPr>
          <w:rStyle w:val="FootnoteReference"/>
          <w:rFonts w:eastAsia="SimSun"/>
        </w:rPr>
        <w:footnoteReference w:id="17"/>
      </w:r>
      <w:r w:rsidR="00417494">
        <w:rPr>
          <w:rFonts w:eastAsia="SimSun"/>
        </w:rPr>
        <w:t xml:space="preserve">  </w:t>
      </w:r>
      <w:r w:rsidR="004363AE">
        <w:rPr>
          <w:rFonts w:eastAsia="SimSun"/>
        </w:rPr>
        <w:fldChar w:fldCharType="begin"/>
      </w:r>
      <w:r w:rsidR="004363AE">
        <w:rPr>
          <w:rFonts w:eastAsia="SimSun"/>
        </w:rPr>
        <w:instrText xml:space="preserve"> REF _Ref443480793 \h  \* MERGEFORMAT </w:instrText>
      </w:r>
      <w:r w:rsidR="004363AE">
        <w:rPr>
          <w:rFonts w:eastAsia="SimSun"/>
        </w:rPr>
      </w:r>
      <w:r w:rsidR="004363AE">
        <w:rPr>
          <w:rFonts w:eastAsia="SimSun"/>
        </w:rPr>
        <w:fldChar w:fldCharType="separate"/>
      </w:r>
      <w:r w:rsidR="0035666C" w:rsidRPr="0035666C">
        <w:rPr>
          <w:rFonts w:eastAsia="SimSun"/>
        </w:rPr>
        <w:t>Figure 1</w:t>
      </w:r>
      <w:r w:rsidR="004363AE">
        <w:rPr>
          <w:rFonts w:eastAsia="SimSun"/>
        </w:rPr>
        <w:fldChar w:fldCharType="end"/>
      </w:r>
      <w:r w:rsidR="004363AE">
        <w:rPr>
          <w:rFonts w:eastAsia="SimSun"/>
        </w:rPr>
        <w:t xml:space="preserve"> </w:t>
      </w:r>
      <w:r w:rsidR="0041507C">
        <w:rPr>
          <w:rFonts w:eastAsia="SimSun"/>
        </w:rPr>
        <w:t>below summarizes the results of this analysis</w:t>
      </w:r>
      <w:r w:rsidR="004363AE">
        <w:rPr>
          <w:rFonts w:eastAsia="SimSun"/>
        </w:rPr>
        <w:t xml:space="preserve"> and shows the 2</w:t>
      </w:r>
      <w:r w:rsidR="00167766">
        <w:rPr>
          <w:rFonts w:eastAsia="SimSun"/>
        </w:rPr>
        <w:t>0</w:t>
      </w:r>
      <w:r w:rsidR="004363AE">
        <w:rPr>
          <w:rFonts w:eastAsia="SimSun"/>
        </w:rPr>
        <w:t xml:space="preserve">-year levelized avoided cost of residential load to be </w:t>
      </w:r>
      <w:r w:rsidR="00167766">
        <w:rPr>
          <w:rFonts w:eastAsia="SimSun"/>
        </w:rPr>
        <w:t>8.9742</w:t>
      </w:r>
      <w:r w:rsidR="004363AE">
        <w:rPr>
          <w:rFonts w:eastAsia="SimSun"/>
        </w:rPr>
        <w:t xml:space="preserve"> cents per kWh</w:t>
      </w:r>
      <w:r w:rsidR="0041507C">
        <w:rPr>
          <w:rFonts w:eastAsia="SimSun"/>
        </w:rPr>
        <w:t xml:space="preserve">.  </w:t>
      </w:r>
    </w:p>
    <w:p w:rsidR="004363AE" w:rsidRPr="004363AE" w:rsidRDefault="004363AE" w:rsidP="004363AE">
      <w:pPr>
        <w:pStyle w:val="Caption"/>
        <w:keepNext/>
        <w:spacing w:before="240"/>
        <w:jc w:val="center"/>
        <w:rPr>
          <w:sz w:val="36"/>
          <w:szCs w:val="36"/>
        </w:rPr>
      </w:pPr>
      <w:bookmarkStart w:id="126" w:name="_Ref443480793"/>
      <w:r w:rsidRPr="004363AE">
        <w:rPr>
          <w:sz w:val="36"/>
          <w:szCs w:val="36"/>
        </w:rPr>
        <w:lastRenderedPageBreak/>
        <w:t xml:space="preserve">Figure </w:t>
      </w:r>
      <w:r w:rsidR="0051359F">
        <w:rPr>
          <w:sz w:val="36"/>
          <w:szCs w:val="36"/>
        </w:rPr>
        <w:fldChar w:fldCharType="begin"/>
      </w:r>
      <w:r w:rsidR="0051359F">
        <w:rPr>
          <w:sz w:val="36"/>
          <w:szCs w:val="36"/>
        </w:rPr>
        <w:instrText xml:space="preserve"> SEQ Figure \* ARABIC </w:instrText>
      </w:r>
      <w:r w:rsidR="0051359F">
        <w:rPr>
          <w:sz w:val="36"/>
          <w:szCs w:val="36"/>
        </w:rPr>
        <w:fldChar w:fldCharType="separate"/>
      </w:r>
      <w:r w:rsidR="0035666C">
        <w:rPr>
          <w:noProof/>
          <w:sz w:val="36"/>
          <w:szCs w:val="36"/>
        </w:rPr>
        <w:t>1</w:t>
      </w:r>
      <w:r w:rsidR="0051359F">
        <w:rPr>
          <w:sz w:val="36"/>
          <w:szCs w:val="36"/>
        </w:rPr>
        <w:fldChar w:fldCharType="end"/>
      </w:r>
      <w:bookmarkEnd w:id="126"/>
    </w:p>
    <w:p w:rsidR="0041507C" w:rsidRDefault="00167766" w:rsidP="004363AE">
      <w:pPr>
        <w:pStyle w:val="answer"/>
        <w:widowControl w:val="0"/>
        <w:jc w:val="center"/>
        <w:rPr>
          <w:rFonts w:eastAsia="SimSun"/>
        </w:rPr>
      </w:pPr>
      <w:r>
        <w:rPr>
          <w:noProof/>
          <w:lang w:eastAsia="en-US"/>
        </w:rPr>
        <w:drawing>
          <wp:inline distT="0" distB="0" distL="0" distR="0" wp14:anchorId="4FEB9286" wp14:editId="1B610FAD">
            <wp:extent cx="4886325" cy="45815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72F7" w:rsidRPr="004363AE" w:rsidRDefault="0041507C" w:rsidP="004363AE">
      <w:pPr>
        <w:pStyle w:val="answer"/>
        <w:widowControl w:val="0"/>
        <w:rPr>
          <w:rFonts w:eastAsia="SimSun"/>
          <w:b/>
        </w:rPr>
      </w:pPr>
      <w:r w:rsidRPr="004363AE">
        <w:rPr>
          <w:rFonts w:eastAsia="SimSun"/>
          <w:b/>
        </w:rPr>
        <w:t xml:space="preserve"> </w:t>
      </w:r>
      <w:r w:rsidR="00E172F7" w:rsidRPr="004363AE">
        <w:rPr>
          <w:rFonts w:eastAsia="SimSun"/>
          <w:b/>
        </w:rPr>
        <w:t>Q.</w:t>
      </w:r>
      <w:r w:rsidR="00E172F7" w:rsidRPr="004363AE">
        <w:rPr>
          <w:rFonts w:eastAsia="SimSun"/>
          <w:b/>
        </w:rPr>
        <w:tab/>
      </w:r>
      <w:r w:rsidR="00966474" w:rsidRPr="004363AE">
        <w:rPr>
          <w:rFonts w:eastAsia="SimSun"/>
          <w:b/>
        </w:rPr>
        <w:t xml:space="preserve">Why is PSE proposing to use this measure of avoided cost in </w:t>
      </w:r>
      <w:r w:rsidR="00167766">
        <w:rPr>
          <w:rFonts w:eastAsia="SimSun"/>
          <w:b/>
        </w:rPr>
        <w:t xml:space="preserve">the </w:t>
      </w:r>
      <w:r w:rsidR="00966474" w:rsidRPr="004363AE">
        <w:rPr>
          <w:rFonts w:eastAsia="SimSun"/>
          <w:b/>
        </w:rPr>
        <w:t xml:space="preserve">pricing of </w:t>
      </w:r>
      <w:r w:rsidR="00167766">
        <w:rPr>
          <w:rFonts w:eastAsia="SimSun"/>
          <w:b/>
        </w:rPr>
        <w:t xml:space="preserve">a </w:t>
      </w:r>
      <w:r w:rsidR="00966474" w:rsidRPr="004363AE">
        <w:rPr>
          <w:rFonts w:eastAsia="SimSun"/>
          <w:b/>
        </w:rPr>
        <w:t xml:space="preserve">third-block residential </w:t>
      </w:r>
      <w:r w:rsidR="00167766">
        <w:rPr>
          <w:rFonts w:eastAsia="SimSun"/>
          <w:b/>
        </w:rPr>
        <w:t xml:space="preserve">electric </w:t>
      </w:r>
      <w:r w:rsidR="00966474" w:rsidRPr="004363AE">
        <w:rPr>
          <w:rFonts w:eastAsia="SimSun"/>
          <w:b/>
        </w:rPr>
        <w:t>rate</w:t>
      </w:r>
      <w:r w:rsidR="00E172F7" w:rsidRPr="004363AE">
        <w:rPr>
          <w:rFonts w:eastAsia="SimSun"/>
          <w:b/>
        </w:rPr>
        <w:t xml:space="preserve">? </w:t>
      </w:r>
    </w:p>
    <w:p w:rsidR="00E172F7" w:rsidRDefault="00E172F7" w:rsidP="00E172F7">
      <w:pPr>
        <w:pStyle w:val="answer"/>
        <w:widowControl w:val="0"/>
        <w:rPr>
          <w:rFonts w:eastAsia="SimSun"/>
        </w:rPr>
      </w:pPr>
      <w:r w:rsidRPr="009075DC">
        <w:rPr>
          <w:rFonts w:eastAsia="SimSun"/>
        </w:rPr>
        <w:t>A.</w:t>
      </w:r>
      <w:r w:rsidRPr="009075DC">
        <w:rPr>
          <w:rFonts w:eastAsia="SimSun"/>
        </w:rPr>
        <w:tab/>
      </w:r>
      <w:r w:rsidR="00966474">
        <w:rPr>
          <w:rFonts w:eastAsia="SimSun"/>
        </w:rPr>
        <w:t xml:space="preserve">PSE expects that this price signal will be more relevant to the evaluation of resource choices facing our customers.  The most prevalent resource decisions PSE customers make today relates to their investments in energy efficiency.  Therefore, the proposed tail-block rate would put PSE and its customers on </w:t>
      </w:r>
      <w:r w:rsidR="0033255F">
        <w:rPr>
          <w:rFonts w:eastAsia="SimSun"/>
        </w:rPr>
        <w:t xml:space="preserve">more </w:t>
      </w:r>
      <w:r w:rsidR="00966474">
        <w:rPr>
          <w:rFonts w:eastAsia="SimSun"/>
        </w:rPr>
        <w:t xml:space="preserve">even footing in terms of the avoided costs being used to make their respective resource decisions.  </w:t>
      </w:r>
    </w:p>
    <w:p w:rsidR="00167766" w:rsidRPr="004363AE" w:rsidRDefault="00167766" w:rsidP="00167766">
      <w:pPr>
        <w:pStyle w:val="answer"/>
        <w:widowControl w:val="0"/>
        <w:rPr>
          <w:rFonts w:eastAsia="SimSun"/>
          <w:b/>
        </w:rPr>
      </w:pPr>
      <w:r w:rsidRPr="004363AE">
        <w:rPr>
          <w:rFonts w:eastAsia="SimSun"/>
          <w:b/>
        </w:rPr>
        <w:lastRenderedPageBreak/>
        <w:t>Q.</w:t>
      </w:r>
      <w:r w:rsidRPr="004363AE">
        <w:rPr>
          <w:rFonts w:eastAsia="SimSun"/>
          <w:b/>
        </w:rPr>
        <w:tab/>
      </w:r>
      <w:r>
        <w:rPr>
          <w:rFonts w:eastAsia="SimSun"/>
          <w:b/>
        </w:rPr>
        <w:t>Why is the 20-year levelized cost appropriate in this context</w:t>
      </w:r>
      <w:r w:rsidRPr="004363AE">
        <w:rPr>
          <w:rFonts w:eastAsia="SimSun"/>
          <w:b/>
        </w:rPr>
        <w:t xml:space="preserve">? </w:t>
      </w:r>
    </w:p>
    <w:p w:rsidR="00167766" w:rsidRDefault="00167766" w:rsidP="00167766">
      <w:pPr>
        <w:pStyle w:val="answer"/>
        <w:widowControl w:val="0"/>
        <w:rPr>
          <w:rFonts w:eastAsia="SimSun"/>
        </w:rPr>
      </w:pPr>
      <w:r w:rsidRPr="009075DC">
        <w:rPr>
          <w:rFonts w:eastAsia="SimSun"/>
        </w:rPr>
        <w:t>A.</w:t>
      </w:r>
      <w:r w:rsidRPr="009075DC">
        <w:rPr>
          <w:rFonts w:eastAsia="SimSun"/>
        </w:rPr>
        <w:tab/>
      </w:r>
      <w:r>
        <w:rPr>
          <w:rFonts w:eastAsia="SimSun"/>
        </w:rPr>
        <w:t xml:space="preserve">The period of analysis should be </w:t>
      </w:r>
      <w:r w:rsidR="00F17EC7">
        <w:rPr>
          <w:rFonts w:eastAsia="SimSun"/>
        </w:rPr>
        <w:t xml:space="preserve">reasonably </w:t>
      </w:r>
      <w:r>
        <w:rPr>
          <w:rFonts w:eastAsia="SimSun"/>
        </w:rPr>
        <w:t>commensurate to the period over which the resource</w:t>
      </w:r>
      <w:r w:rsidR="00F17EC7">
        <w:rPr>
          <w:rFonts w:eastAsia="SimSun"/>
        </w:rPr>
        <w:t xml:space="preserve"> choice</w:t>
      </w:r>
      <w:r>
        <w:rPr>
          <w:rFonts w:eastAsia="SimSun"/>
        </w:rPr>
        <w:t xml:space="preserve">s </w:t>
      </w:r>
      <w:r w:rsidR="00F17EC7">
        <w:rPr>
          <w:rFonts w:eastAsia="SimSun"/>
        </w:rPr>
        <w:t xml:space="preserve">made in response to these price signals </w:t>
      </w:r>
      <w:r>
        <w:rPr>
          <w:rFonts w:eastAsia="SimSun"/>
        </w:rPr>
        <w:t xml:space="preserve">would be evaluated.  While PSE’s generating resources require an analysis over a longer period of time, as they are generally more long-lived assets, the majority of </w:t>
      </w:r>
      <w:r w:rsidR="00F17EC7">
        <w:rPr>
          <w:rFonts w:eastAsia="SimSun"/>
        </w:rPr>
        <w:t xml:space="preserve">the Company’s </w:t>
      </w:r>
      <w:r>
        <w:rPr>
          <w:rFonts w:eastAsia="SimSun"/>
        </w:rPr>
        <w:t xml:space="preserve">resource acquisition over the near term will be from demand-side resources, which typically have a much shorter life.  From </w:t>
      </w:r>
      <w:r w:rsidR="00F17EC7">
        <w:rPr>
          <w:rFonts w:eastAsia="SimSun"/>
        </w:rPr>
        <w:t xml:space="preserve">PSE’s </w:t>
      </w:r>
      <w:r>
        <w:rPr>
          <w:rFonts w:eastAsia="SimSun"/>
        </w:rPr>
        <w:t>customers</w:t>
      </w:r>
      <w:r w:rsidR="00F17EC7">
        <w:rPr>
          <w:rFonts w:eastAsia="SimSun"/>
        </w:rPr>
        <w:t>’</w:t>
      </w:r>
      <w:r>
        <w:rPr>
          <w:rFonts w:eastAsia="SimSun"/>
        </w:rPr>
        <w:t xml:space="preserve"> perspective, there too, the majority of emphasis should be placed on the acquisition of demand-side resources, as this </w:t>
      </w:r>
      <w:r w:rsidR="00F17EC7">
        <w:rPr>
          <w:rFonts w:eastAsia="SimSun"/>
        </w:rPr>
        <w:t xml:space="preserve">will likely </w:t>
      </w:r>
      <w:r>
        <w:rPr>
          <w:rFonts w:eastAsia="SimSun"/>
        </w:rPr>
        <w:t xml:space="preserve">be the most relevant resource decision for the vast majority of PSE’s residential customers.  Using PSE’s </w:t>
      </w:r>
      <w:r w:rsidR="00F17EC7">
        <w:rPr>
          <w:rFonts w:eastAsia="SimSun"/>
        </w:rPr>
        <w:t xml:space="preserve">residential electric </w:t>
      </w:r>
      <w:r>
        <w:rPr>
          <w:rFonts w:eastAsia="SimSun"/>
        </w:rPr>
        <w:t>conservation program as an indication, the average</w:t>
      </w:r>
      <w:r w:rsidR="00F17EC7">
        <w:rPr>
          <w:rFonts w:eastAsia="SimSun"/>
        </w:rPr>
        <w:t xml:space="preserve"> measure</w:t>
      </w:r>
      <w:r>
        <w:rPr>
          <w:rFonts w:eastAsia="SimSun"/>
        </w:rPr>
        <w:t xml:space="preserve"> life in its progr</w:t>
      </w:r>
      <w:r w:rsidR="00F17EC7">
        <w:rPr>
          <w:rFonts w:eastAsia="SimSun"/>
        </w:rPr>
        <w:t>am</w:t>
      </w:r>
      <w:r>
        <w:rPr>
          <w:rFonts w:eastAsia="SimSun"/>
        </w:rPr>
        <w:t xml:space="preserve"> for the 2016-2017 biennium is less than 15 years.  Therefore, a 20-year period of analysis is generous.</w:t>
      </w:r>
      <w:r w:rsidR="00F17EC7">
        <w:rPr>
          <w:rStyle w:val="FootnoteReference"/>
          <w:rFonts w:eastAsia="SimSun"/>
        </w:rPr>
        <w:footnoteReference w:id="18"/>
      </w:r>
      <w:r>
        <w:rPr>
          <w:rFonts w:eastAsia="SimSun"/>
        </w:rPr>
        <w:t xml:space="preserve">  </w:t>
      </w:r>
    </w:p>
    <w:p w:rsidR="00966474" w:rsidRPr="009075DC" w:rsidRDefault="00966474" w:rsidP="00966474">
      <w:pPr>
        <w:pStyle w:val="question"/>
        <w:widowControl w:val="0"/>
        <w:rPr>
          <w:rFonts w:eastAsia="SimSun"/>
        </w:rPr>
      </w:pPr>
      <w:r w:rsidRPr="009075DC">
        <w:rPr>
          <w:rFonts w:eastAsia="SimSun"/>
        </w:rPr>
        <w:t>Q.</w:t>
      </w:r>
      <w:r w:rsidRPr="009075DC">
        <w:rPr>
          <w:rFonts w:eastAsia="SimSun"/>
        </w:rPr>
        <w:tab/>
      </w:r>
      <w:r w:rsidR="00A130CD">
        <w:rPr>
          <w:rFonts w:eastAsia="SimSun"/>
        </w:rPr>
        <w:t>Why is PSE proposing to retain the existing price differential for the first two blocks of the residential electric rate</w:t>
      </w:r>
      <w:r>
        <w:rPr>
          <w:rFonts w:eastAsia="SimSun"/>
        </w:rPr>
        <w:t>?</w:t>
      </w:r>
      <w:r w:rsidRPr="009075DC">
        <w:rPr>
          <w:rFonts w:eastAsia="SimSun"/>
        </w:rPr>
        <w:t xml:space="preserve"> </w:t>
      </w:r>
    </w:p>
    <w:p w:rsidR="00966474" w:rsidRPr="009075DC" w:rsidRDefault="00966474" w:rsidP="00966474">
      <w:pPr>
        <w:pStyle w:val="answer"/>
        <w:widowControl w:val="0"/>
        <w:rPr>
          <w:rFonts w:eastAsia="SimSun"/>
        </w:rPr>
      </w:pPr>
      <w:r w:rsidRPr="009075DC">
        <w:rPr>
          <w:rFonts w:eastAsia="SimSun"/>
        </w:rPr>
        <w:t>A.</w:t>
      </w:r>
      <w:r w:rsidRPr="009075DC">
        <w:rPr>
          <w:rFonts w:eastAsia="SimSun"/>
        </w:rPr>
        <w:tab/>
      </w:r>
      <w:r w:rsidR="00A130CD">
        <w:rPr>
          <w:rFonts w:eastAsia="SimSun"/>
        </w:rPr>
        <w:t xml:space="preserve">This rate differential </w:t>
      </w:r>
      <w:r w:rsidR="00B645E3">
        <w:rPr>
          <w:rFonts w:eastAsia="SimSun"/>
        </w:rPr>
        <w:t xml:space="preserve">continues to provide an appropriate price signal, while also maintaining a certain degree of rate stability </w:t>
      </w:r>
      <w:r w:rsidR="00287F1B">
        <w:rPr>
          <w:rFonts w:eastAsia="SimSun"/>
        </w:rPr>
        <w:t xml:space="preserve">for </w:t>
      </w:r>
      <w:r w:rsidR="00B645E3">
        <w:rPr>
          <w:rFonts w:eastAsia="SimSun"/>
        </w:rPr>
        <w:t xml:space="preserve">customers using less than 1,800 kWh per month.  </w:t>
      </w:r>
      <w:r w:rsidR="00287F1B">
        <w:rPr>
          <w:rFonts w:eastAsia="SimSun"/>
        </w:rPr>
        <w:t xml:space="preserve">One </w:t>
      </w:r>
      <w:r w:rsidR="00185C17">
        <w:rPr>
          <w:rFonts w:eastAsia="SimSun"/>
        </w:rPr>
        <w:t xml:space="preserve">potential </w:t>
      </w:r>
      <w:r w:rsidR="00287F1B">
        <w:rPr>
          <w:rFonts w:eastAsia="SimSun"/>
        </w:rPr>
        <w:t xml:space="preserve">basis for this rate differential is the average difference in prices between on-peak and off-peak hours, </w:t>
      </w:r>
      <w:r w:rsidR="00955380">
        <w:rPr>
          <w:rFonts w:eastAsia="SimSun"/>
        </w:rPr>
        <w:t xml:space="preserve">which is reflective of </w:t>
      </w:r>
      <w:r w:rsidR="000D5B61">
        <w:rPr>
          <w:rFonts w:eastAsia="SimSun"/>
        </w:rPr>
        <w:t xml:space="preserve">relative </w:t>
      </w:r>
      <w:r w:rsidR="00955380">
        <w:rPr>
          <w:rFonts w:eastAsia="SimSun"/>
        </w:rPr>
        <w:t>differences in short-run marginal costs</w:t>
      </w:r>
      <w:r w:rsidR="00287F1B">
        <w:rPr>
          <w:rFonts w:eastAsia="SimSun"/>
        </w:rPr>
        <w:t xml:space="preserve">.  In reviewing the price differential </w:t>
      </w:r>
      <w:r w:rsidR="00287F1B">
        <w:rPr>
          <w:rFonts w:eastAsia="SimSun"/>
        </w:rPr>
        <w:lastRenderedPageBreak/>
        <w:t xml:space="preserve">experienced at the Mid-Columbia trading hub over the past </w:t>
      </w:r>
      <w:r w:rsidR="0010573F">
        <w:rPr>
          <w:rFonts w:eastAsia="SimSun"/>
        </w:rPr>
        <w:t xml:space="preserve">five </w:t>
      </w:r>
      <w:r w:rsidR="00287F1B">
        <w:rPr>
          <w:rFonts w:eastAsia="SimSun"/>
        </w:rPr>
        <w:t xml:space="preserve">years, </w:t>
      </w:r>
      <w:r w:rsidR="00012170">
        <w:rPr>
          <w:rFonts w:eastAsia="SimSun"/>
        </w:rPr>
        <w:t xml:space="preserve">on-peak prices have been approximately 30 percent higher than off-peak prices.  Applying this 30 percent differential to PSE’s roughly </w:t>
      </w:r>
      <w:r w:rsidR="0010573F">
        <w:rPr>
          <w:rFonts w:eastAsia="SimSun"/>
        </w:rPr>
        <w:t xml:space="preserve">six </w:t>
      </w:r>
      <w:r w:rsidR="00012170">
        <w:rPr>
          <w:rFonts w:eastAsia="SimSun"/>
        </w:rPr>
        <w:t xml:space="preserve">cent per kWh embedded cost of power is a little less than </w:t>
      </w:r>
      <w:r w:rsidR="0010573F">
        <w:rPr>
          <w:rFonts w:eastAsia="SimSun"/>
        </w:rPr>
        <w:t xml:space="preserve">two </w:t>
      </w:r>
      <w:r w:rsidR="00012170">
        <w:rPr>
          <w:rFonts w:eastAsia="SimSun"/>
        </w:rPr>
        <w:t xml:space="preserve">cents per kWh.  This </w:t>
      </w:r>
      <w:r w:rsidR="00287F1B">
        <w:rPr>
          <w:rFonts w:eastAsia="SimSun"/>
        </w:rPr>
        <w:t>is reasonably consistent with existing rate differential between PSE’s first two residential rate blocks at current rates.</w:t>
      </w:r>
      <w:r w:rsidR="00B645E3">
        <w:rPr>
          <w:rFonts w:eastAsia="SimSun"/>
        </w:rPr>
        <w:t xml:space="preserve"> </w:t>
      </w:r>
      <w:r w:rsidR="000D5B61">
        <w:rPr>
          <w:rFonts w:eastAsia="SimSun"/>
        </w:rPr>
        <w:t>Preserving the same general rate differential will</w:t>
      </w:r>
      <w:r w:rsidR="0058766E">
        <w:rPr>
          <w:rFonts w:eastAsia="SimSun"/>
        </w:rPr>
        <w:t xml:space="preserve"> help to minimize the impacts of the redesigned residential rates, since less than </w:t>
      </w:r>
      <w:r w:rsidR="0010573F">
        <w:rPr>
          <w:rFonts w:eastAsia="SimSun"/>
        </w:rPr>
        <w:t xml:space="preserve">eight </w:t>
      </w:r>
      <w:r w:rsidR="00D1284F">
        <w:rPr>
          <w:rFonts w:eastAsia="SimSun"/>
        </w:rPr>
        <w:t>percent</w:t>
      </w:r>
      <w:r w:rsidR="0058766E">
        <w:rPr>
          <w:rFonts w:eastAsia="SimSun"/>
        </w:rPr>
        <w:t xml:space="preserve"> </w:t>
      </w:r>
      <w:r w:rsidR="009B4BA8">
        <w:rPr>
          <w:rFonts w:eastAsia="SimSun"/>
        </w:rPr>
        <w:t xml:space="preserve">of the class monthly </w:t>
      </w:r>
      <w:r w:rsidR="0058766E">
        <w:rPr>
          <w:rFonts w:eastAsia="SimSun"/>
        </w:rPr>
        <w:t xml:space="preserve">usage </w:t>
      </w:r>
      <w:r w:rsidR="009B4BA8">
        <w:rPr>
          <w:rFonts w:eastAsia="SimSun"/>
        </w:rPr>
        <w:t xml:space="preserve">is expected to be </w:t>
      </w:r>
      <w:r w:rsidR="0058766E">
        <w:rPr>
          <w:rFonts w:eastAsia="SimSun"/>
        </w:rPr>
        <w:t xml:space="preserve">in excess </w:t>
      </w:r>
      <w:r w:rsidR="009B4BA8">
        <w:rPr>
          <w:rFonts w:eastAsia="SimSun"/>
        </w:rPr>
        <w:t xml:space="preserve">of </w:t>
      </w:r>
      <w:r w:rsidR="0058766E">
        <w:rPr>
          <w:rFonts w:eastAsia="SimSun"/>
        </w:rPr>
        <w:t>1,800 kWh.</w:t>
      </w:r>
      <w:r w:rsidR="00287F1B">
        <w:rPr>
          <w:rFonts w:eastAsia="SimSun"/>
        </w:rPr>
        <w:t xml:space="preserve"> Based on this, PSE proposes to retain the existing</w:t>
      </w:r>
      <w:r w:rsidR="009B4BA8">
        <w:rPr>
          <w:rFonts w:eastAsia="SimSun"/>
        </w:rPr>
        <w:t xml:space="preserve"> relative</w:t>
      </w:r>
      <w:r w:rsidR="00287F1B">
        <w:rPr>
          <w:rFonts w:eastAsia="SimSun"/>
        </w:rPr>
        <w:t xml:space="preserve"> rate differentials between the first two electric residential rate blocks </w:t>
      </w:r>
      <w:r w:rsidR="009B4BA8">
        <w:rPr>
          <w:rFonts w:eastAsia="SimSun"/>
        </w:rPr>
        <w:t xml:space="preserve">when </w:t>
      </w:r>
      <w:r w:rsidR="00287F1B">
        <w:rPr>
          <w:rFonts w:eastAsia="SimSun"/>
        </w:rPr>
        <w:t>these rates are scaled to the levels required to recover their allocated costs.</w:t>
      </w:r>
    </w:p>
    <w:p w:rsidR="005A0B57" w:rsidRPr="002D7D60" w:rsidRDefault="005A0B57" w:rsidP="005A0B57">
      <w:pPr>
        <w:pStyle w:val="question"/>
        <w:widowControl w:val="0"/>
        <w:rPr>
          <w:rFonts w:eastAsia="SimSun"/>
        </w:rPr>
      </w:pPr>
      <w:r w:rsidRPr="002D7D60">
        <w:rPr>
          <w:rFonts w:eastAsia="SimSun"/>
        </w:rPr>
        <w:t>Q.</w:t>
      </w:r>
      <w:r w:rsidRPr="002D7D60">
        <w:rPr>
          <w:rFonts w:eastAsia="SimSun"/>
        </w:rPr>
        <w:tab/>
      </w:r>
      <w:r w:rsidR="004C2A9D">
        <w:rPr>
          <w:rFonts w:eastAsia="SimSun"/>
        </w:rPr>
        <w:t>Is a three block rate structure the best way to convey a cost-based price signal to PSE’s residential electric</w:t>
      </w:r>
      <w:r w:rsidR="002D7D60">
        <w:rPr>
          <w:rFonts w:eastAsia="SimSun"/>
        </w:rPr>
        <w:t xml:space="preserve"> customers</w:t>
      </w:r>
      <w:r w:rsidRPr="002D7D60">
        <w:rPr>
          <w:rFonts w:eastAsia="SimSun"/>
        </w:rPr>
        <w:t xml:space="preserve">? </w:t>
      </w:r>
    </w:p>
    <w:p w:rsidR="005A0B57" w:rsidRPr="002D7D60" w:rsidRDefault="005A0B57" w:rsidP="005A0B57">
      <w:pPr>
        <w:pStyle w:val="answer"/>
        <w:widowControl w:val="0"/>
        <w:rPr>
          <w:rFonts w:eastAsia="SimSun"/>
        </w:rPr>
      </w:pPr>
      <w:r w:rsidRPr="002D7D60">
        <w:rPr>
          <w:rFonts w:eastAsia="SimSun"/>
        </w:rPr>
        <w:t>A.</w:t>
      </w:r>
      <w:r w:rsidRPr="002D7D60">
        <w:rPr>
          <w:rFonts w:eastAsia="SimSun"/>
        </w:rPr>
        <w:tab/>
      </w:r>
      <w:r w:rsidR="004C2A9D">
        <w:rPr>
          <w:rFonts w:eastAsia="SimSun"/>
        </w:rPr>
        <w:t>I don’t believe so</w:t>
      </w:r>
      <w:r w:rsidR="00DB08C0">
        <w:rPr>
          <w:rFonts w:eastAsia="SimSun"/>
        </w:rPr>
        <w:t xml:space="preserve">.  </w:t>
      </w:r>
      <w:r w:rsidR="002D7D60">
        <w:rPr>
          <w:rFonts w:eastAsia="SimSun"/>
        </w:rPr>
        <w:t xml:space="preserve">While the use of </w:t>
      </w:r>
      <w:r w:rsidR="004C2A9D">
        <w:rPr>
          <w:rFonts w:eastAsia="SimSun"/>
        </w:rPr>
        <w:t xml:space="preserve">block rates has been used in the industry for some time and continues to have its advocates, primarily for the conservation incentive it provides, </w:t>
      </w:r>
      <w:r w:rsidR="002D7D60">
        <w:rPr>
          <w:rFonts w:eastAsia="SimSun"/>
        </w:rPr>
        <w:t xml:space="preserve">other approaches may be better suited </w:t>
      </w:r>
      <w:r w:rsidR="004C2A9D">
        <w:rPr>
          <w:rFonts w:eastAsia="SimSun"/>
        </w:rPr>
        <w:t>to provide PSE’s residential electric customers with an appropriate price signal</w:t>
      </w:r>
      <w:r w:rsidR="005B594E">
        <w:rPr>
          <w:rFonts w:eastAsia="SimSun"/>
        </w:rPr>
        <w:t xml:space="preserve">.  </w:t>
      </w:r>
      <w:r w:rsidR="004C2A9D">
        <w:rPr>
          <w:rFonts w:eastAsia="SimSun"/>
        </w:rPr>
        <w:t xml:space="preserve">Specifically, rate designs that reflect </w:t>
      </w:r>
      <w:r w:rsidR="005B594E">
        <w:rPr>
          <w:rFonts w:eastAsia="SimSun"/>
        </w:rPr>
        <w:t>the time-dependent value of the energy may be a better solution.  The most common example of this would b</w:t>
      </w:r>
      <w:r w:rsidR="004C2A9D">
        <w:rPr>
          <w:rFonts w:eastAsia="SimSun"/>
        </w:rPr>
        <w:t xml:space="preserve">e through the use of so-called </w:t>
      </w:r>
      <w:r w:rsidR="005B594E">
        <w:rPr>
          <w:rFonts w:eastAsia="SimSun"/>
        </w:rPr>
        <w:t>time</w:t>
      </w:r>
      <w:r w:rsidR="004C2A9D">
        <w:rPr>
          <w:rFonts w:eastAsia="SimSun"/>
        </w:rPr>
        <w:t>-</w:t>
      </w:r>
      <w:r w:rsidR="005B594E">
        <w:rPr>
          <w:rFonts w:eastAsia="SimSun"/>
        </w:rPr>
        <w:t>of</w:t>
      </w:r>
      <w:r w:rsidR="004C2A9D">
        <w:rPr>
          <w:rFonts w:eastAsia="SimSun"/>
        </w:rPr>
        <w:t>-</w:t>
      </w:r>
      <w:r w:rsidR="005B594E">
        <w:rPr>
          <w:rFonts w:eastAsia="SimSun"/>
        </w:rPr>
        <w:t xml:space="preserve">use </w:t>
      </w:r>
      <w:r w:rsidR="004C2A9D">
        <w:rPr>
          <w:rFonts w:eastAsia="SimSun"/>
        </w:rPr>
        <w:t xml:space="preserve">(“TOU”) </w:t>
      </w:r>
      <w:r w:rsidR="005B594E">
        <w:rPr>
          <w:rFonts w:eastAsia="SimSun"/>
        </w:rPr>
        <w:t xml:space="preserve">rates, where these rates are differentiated by the time of day in which the power is consumed (or, in the case of a net metered customer, when it is generated).  </w:t>
      </w:r>
      <w:r w:rsidR="004C2A9D">
        <w:rPr>
          <w:rFonts w:eastAsia="SimSun"/>
        </w:rPr>
        <w:t xml:space="preserve">Other popular examples include critical peak pricing and </w:t>
      </w:r>
      <w:r w:rsidR="004C2A9D">
        <w:rPr>
          <w:rFonts w:eastAsia="SimSun"/>
        </w:rPr>
        <w:lastRenderedPageBreak/>
        <w:t>peak time rebates, which focus primarily on the periods of the highest annual peak loads.</w:t>
      </w:r>
    </w:p>
    <w:p w:rsidR="005A0B57" w:rsidRPr="00840CFB" w:rsidRDefault="005A0B57" w:rsidP="005A0B57">
      <w:pPr>
        <w:pStyle w:val="question"/>
        <w:widowControl w:val="0"/>
        <w:rPr>
          <w:rFonts w:eastAsia="SimSun"/>
        </w:rPr>
      </w:pPr>
      <w:r w:rsidRPr="00840CFB">
        <w:rPr>
          <w:rFonts w:eastAsia="SimSun"/>
        </w:rPr>
        <w:t>Q.</w:t>
      </w:r>
      <w:r w:rsidRPr="00840CFB">
        <w:rPr>
          <w:rFonts w:eastAsia="SimSun"/>
        </w:rPr>
        <w:tab/>
      </w:r>
      <w:r w:rsidR="004C2A9D">
        <w:rPr>
          <w:rFonts w:eastAsia="SimSun"/>
        </w:rPr>
        <w:t xml:space="preserve">Are time-based rates for residential </w:t>
      </w:r>
      <w:r w:rsidR="0052070A">
        <w:rPr>
          <w:rFonts w:eastAsia="SimSun"/>
        </w:rPr>
        <w:t>customers supported elsewhere</w:t>
      </w:r>
      <w:r w:rsidRPr="00840CFB">
        <w:rPr>
          <w:rFonts w:eastAsia="SimSun"/>
        </w:rPr>
        <w:t xml:space="preserve">? </w:t>
      </w:r>
    </w:p>
    <w:p w:rsidR="005A0B57" w:rsidRPr="00840CFB" w:rsidRDefault="005A0B57" w:rsidP="005A0B57">
      <w:pPr>
        <w:pStyle w:val="question"/>
        <w:widowControl w:val="0"/>
        <w:rPr>
          <w:rFonts w:eastAsia="SimSun"/>
          <w:b w:val="0"/>
        </w:rPr>
      </w:pPr>
      <w:r w:rsidRPr="00840CFB">
        <w:rPr>
          <w:rFonts w:eastAsia="SimSun"/>
          <w:b w:val="0"/>
        </w:rPr>
        <w:t>A.</w:t>
      </w:r>
      <w:r w:rsidRPr="00840CFB">
        <w:rPr>
          <w:rFonts w:eastAsia="SimSun"/>
          <w:b w:val="0"/>
        </w:rPr>
        <w:tab/>
      </w:r>
      <w:r w:rsidR="0052070A">
        <w:rPr>
          <w:rFonts w:eastAsia="SimSun"/>
          <w:b w:val="0"/>
        </w:rPr>
        <w:t>Yes.  Time-based rate structures are commonly endorsed by electric utility industry thought leaders.  It is endorsed by the Regulatory Assistance Project (“RAP”) in its July 2015 “Smart Rate Design For a Smart Future.”</w:t>
      </w:r>
      <w:r w:rsidR="0052070A">
        <w:rPr>
          <w:rStyle w:val="FootnoteReference"/>
          <w:rFonts w:eastAsia="SimSun"/>
          <w:b w:val="0"/>
        </w:rPr>
        <w:footnoteReference w:id="19"/>
      </w:r>
      <w:r w:rsidR="0052070A">
        <w:rPr>
          <w:rFonts w:eastAsia="SimSun"/>
          <w:b w:val="0"/>
        </w:rPr>
        <w:t xml:space="preserve">  It is also </w:t>
      </w:r>
      <w:r w:rsidR="00966FC0">
        <w:rPr>
          <w:rFonts w:eastAsia="SimSun"/>
          <w:b w:val="0"/>
        </w:rPr>
        <w:t xml:space="preserve">discussed </w:t>
      </w:r>
      <w:r w:rsidR="0052070A">
        <w:rPr>
          <w:rFonts w:eastAsia="SimSun"/>
          <w:b w:val="0"/>
        </w:rPr>
        <w:t xml:space="preserve">by the National </w:t>
      </w:r>
      <w:r w:rsidR="00966FC0">
        <w:rPr>
          <w:rFonts w:eastAsia="SimSun"/>
          <w:b w:val="0"/>
        </w:rPr>
        <w:t>Renewable Energy Laboratory (“NREL”)</w:t>
      </w:r>
      <w:r w:rsidR="0052070A">
        <w:rPr>
          <w:rFonts w:eastAsia="SimSun"/>
          <w:b w:val="0"/>
        </w:rPr>
        <w:t xml:space="preserve"> in its </w:t>
      </w:r>
      <w:r w:rsidR="00966FC0">
        <w:rPr>
          <w:rFonts w:eastAsia="SimSun"/>
          <w:b w:val="0"/>
        </w:rPr>
        <w:t xml:space="preserve">November 2013 </w:t>
      </w:r>
      <w:r w:rsidR="0052070A">
        <w:rPr>
          <w:rFonts w:eastAsia="SimSun"/>
          <w:b w:val="0"/>
        </w:rPr>
        <w:t>“</w:t>
      </w:r>
      <w:r w:rsidR="00966FC0">
        <w:rPr>
          <w:rFonts w:eastAsia="SimSun"/>
          <w:b w:val="0"/>
        </w:rPr>
        <w:t>Regulatory Considerations Associated with the Expanded Adoption of Distributed Solar</w:t>
      </w:r>
      <w:r w:rsidR="0052070A">
        <w:rPr>
          <w:rFonts w:eastAsia="SimSun"/>
          <w:b w:val="0"/>
        </w:rPr>
        <w:t>”</w:t>
      </w:r>
      <w:r w:rsidR="00966FC0">
        <w:rPr>
          <w:rStyle w:val="FootnoteReference"/>
          <w:rFonts w:eastAsia="SimSun"/>
          <w:b w:val="0"/>
        </w:rPr>
        <w:footnoteReference w:id="20"/>
      </w:r>
      <w:r w:rsidR="00966FC0">
        <w:rPr>
          <w:rFonts w:eastAsia="SimSun"/>
          <w:b w:val="0"/>
        </w:rPr>
        <w:t xml:space="preserve"> as a viable approach to addressing cost recovery from net metered customers.</w:t>
      </w:r>
      <w:r w:rsidR="0052070A">
        <w:rPr>
          <w:rFonts w:eastAsia="SimSun"/>
          <w:b w:val="0"/>
        </w:rPr>
        <w:t xml:space="preserve">  </w:t>
      </w:r>
    </w:p>
    <w:p w:rsidR="005B594E" w:rsidRPr="00197984" w:rsidRDefault="005B594E" w:rsidP="005B594E">
      <w:pPr>
        <w:pStyle w:val="question"/>
        <w:widowControl w:val="0"/>
        <w:rPr>
          <w:rFonts w:eastAsia="SimSun"/>
        </w:rPr>
      </w:pPr>
      <w:r w:rsidRPr="00197984">
        <w:rPr>
          <w:rFonts w:eastAsia="SimSun"/>
        </w:rPr>
        <w:t>Q.</w:t>
      </w:r>
      <w:r w:rsidRPr="00197984">
        <w:rPr>
          <w:rFonts w:eastAsia="SimSun"/>
        </w:rPr>
        <w:tab/>
      </w:r>
      <w:r w:rsidR="00DB08C0" w:rsidRPr="00197984">
        <w:rPr>
          <w:rFonts w:eastAsia="SimSun"/>
        </w:rPr>
        <w:t>If it would be a better way to address this issue, why isn’t PSE proposing TOU rates</w:t>
      </w:r>
      <w:r w:rsidR="007B1A40">
        <w:rPr>
          <w:rFonts w:eastAsia="SimSun"/>
        </w:rPr>
        <w:t xml:space="preserve"> in this case</w:t>
      </w:r>
      <w:r w:rsidRPr="00197984">
        <w:rPr>
          <w:rFonts w:eastAsia="SimSun"/>
        </w:rPr>
        <w:t xml:space="preserve">? </w:t>
      </w:r>
    </w:p>
    <w:p w:rsidR="005B594E" w:rsidRPr="00197984" w:rsidRDefault="005B594E" w:rsidP="005B594E">
      <w:pPr>
        <w:pStyle w:val="question"/>
        <w:widowControl w:val="0"/>
        <w:rPr>
          <w:rFonts w:eastAsia="SimSun"/>
          <w:b w:val="0"/>
        </w:rPr>
      </w:pPr>
      <w:r w:rsidRPr="00197984">
        <w:rPr>
          <w:rFonts w:eastAsia="SimSun"/>
          <w:b w:val="0"/>
        </w:rPr>
        <w:t>A.</w:t>
      </w:r>
      <w:r w:rsidRPr="00197984">
        <w:rPr>
          <w:rFonts w:eastAsia="SimSun"/>
          <w:b w:val="0"/>
        </w:rPr>
        <w:tab/>
      </w:r>
      <w:r w:rsidR="00197984">
        <w:rPr>
          <w:rFonts w:eastAsia="SimSun"/>
          <w:b w:val="0"/>
        </w:rPr>
        <w:t xml:space="preserve">The implementation of TOU rates requires the use of energy measurements for defined periods within the day.  While the vast majority of PSE’s residential electric customers have meters capable of reading energy usage with the required level of granularity, the </w:t>
      </w:r>
      <w:r w:rsidR="00D307C6">
        <w:rPr>
          <w:rFonts w:eastAsia="SimSun"/>
          <w:b w:val="0"/>
        </w:rPr>
        <w:t xml:space="preserve">network used to communicate this usage to the utility is </w:t>
      </w:r>
      <w:r w:rsidR="00197984">
        <w:rPr>
          <w:rFonts w:eastAsia="SimSun"/>
          <w:b w:val="0"/>
        </w:rPr>
        <w:t xml:space="preserve">not currently </w:t>
      </w:r>
      <w:r w:rsidR="00D307C6">
        <w:rPr>
          <w:rFonts w:eastAsia="SimSun"/>
          <w:b w:val="0"/>
        </w:rPr>
        <w:t xml:space="preserve">robust </w:t>
      </w:r>
      <w:r w:rsidR="00197984">
        <w:rPr>
          <w:rFonts w:eastAsia="SimSun"/>
          <w:b w:val="0"/>
        </w:rPr>
        <w:t xml:space="preserve">enough to </w:t>
      </w:r>
      <w:r w:rsidR="00D307C6">
        <w:rPr>
          <w:rFonts w:eastAsia="SimSun"/>
          <w:b w:val="0"/>
        </w:rPr>
        <w:t xml:space="preserve">reliably </w:t>
      </w:r>
      <w:r w:rsidR="00197984">
        <w:rPr>
          <w:rFonts w:eastAsia="SimSun"/>
          <w:b w:val="0"/>
        </w:rPr>
        <w:t xml:space="preserve">transmit the data when it is required.  </w:t>
      </w:r>
      <w:r w:rsidR="00D307C6">
        <w:rPr>
          <w:rFonts w:eastAsia="SimSun"/>
          <w:b w:val="0"/>
        </w:rPr>
        <w:lastRenderedPageBreak/>
        <w:t xml:space="preserve">While </w:t>
      </w:r>
      <w:r w:rsidR="004C2A9D">
        <w:rPr>
          <w:rFonts w:eastAsia="SimSun"/>
          <w:b w:val="0"/>
        </w:rPr>
        <w:t>PSE’s existing</w:t>
      </w:r>
      <w:r w:rsidR="00D307C6">
        <w:rPr>
          <w:rFonts w:eastAsia="SimSun"/>
          <w:b w:val="0"/>
        </w:rPr>
        <w:t xml:space="preserve"> network could be enhanced, it would likely come at considerable additional cost and, perhaps more importantly, divert the </w:t>
      </w:r>
      <w:r w:rsidR="007B1A40">
        <w:rPr>
          <w:rFonts w:eastAsia="SimSun"/>
          <w:b w:val="0"/>
        </w:rPr>
        <w:t xml:space="preserve">Company’s </w:t>
      </w:r>
      <w:r w:rsidR="00D307C6">
        <w:rPr>
          <w:rFonts w:eastAsia="SimSun"/>
          <w:b w:val="0"/>
        </w:rPr>
        <w:t xml:space="preserve">focus from the work currently being conducted to transition PSE to advanced meter infrastructure (“AMI”), which will </w:t>
      </w:r>
      <w:r w:rsidR="00521C41">
        <w:rPr>
          <w:rFonts w:eastAsia="SimSun"/>
          <w:b w:val="0"/>
        </w:rPr>
        <w:t xml:space="preserve">allow for TOU rates and </w:t>
      </w:r>
      <w:r w:rsidR="00D307C6">
        <w:rPr>
          <w:rFonts w:eastAsia="SimSun"/>
          <w:b w:val="0"/>
        </w:rPr>
        <w:t xml:space="preserve">produce additional benefits that cannot be achieved through PSE’s AMR system.  </w:t>
      </w:r>
      <w:r w:rsidR="00197984">
        <w:rPr>
          <w:rFonts w:eastAsia="SimSun"/>
          <w:b w:val="0"/>
        </w:rPr>
        <w:t xml:space="preserve">As a result, </w:t>
      </w:r>
      <w:r w:rsidR="007B6691">
        <w:rPr>
          <w:rFonts w:eastAsia="SimSun"/>
          <w:b w:val="0"/>
        </w:rPr>
        <w:t>PSE is unwilling to propose TOU rates at this time</w:t>
      </w:r>
      <w:r w:rsidRPr="00197984">
        <w:rPr>
          <w:rFonts w:eastAsia="SimSun"/>
          <w:b w:val="0"/>
        </w:rPr>
        <w:t>.</w:t>
      </w:r>
    </w:p>
    <w:p w:rsidR="00A42875" w:rsidRPr="0024414E" w:rsidRDefault="00A42875" w:rsidP="00A42875">
      <w:pPr>
        <w:pStyle w:val="question"/>
        <w:widowControl w:val="0"/>
        <w:rPr>
          <w:rFonts w:eastAsia="SimSun"/>
        </w:rPr>
      </w:pPr>
      <w:r w:rsidRPr="0024414E">
        <w:rPr>
          <w:rFonts w:eastAsia="SimSun"/>
        </w:rPr>
        <w:t>Q.</w:t>
      </w:r>
      <w:r w:rsidRPr="0024414E">
        <w:rPr>
          <w:rFonts w:eastAsia="SimSun"/>
        </w:rPr>
        <w:tab/>
        <w:t xml:space="preserve">Is PSE </w:t>
      </w:r>
      <w:r w:rsidR="00183093">
        <w:rPr>
          <w:rFonts w:eastAsia="SimSun"/>
        </w:rPr>
        <w:t xml:space="preserve">also </w:t>
      </w:r>
      <w:r w:rsidRPr="0024414E">
        <w:rPr>
          <w:rFonts w:eastAsia="SimSun"/>
        </w:rPr>
        <w:t xml:space="preserve">proposing to change </w:t>
      </w:r>
      <w:r w:rsidR="0024414E" w:rsidRPr="0024414E">
        <w:rPr>
          <w:rFonts w:eastAsia="SimSun"/>
        </w:rPr>
        <w:t xml:space="preserve">the residential electric </w:t>
      </w:r>
      <w:r w:rsidRPr="0024414E">
        <w:rPr>
          <w:rFonts w:eastAsia="SimSun"/>
        </w:rPr>
        <w:t>basic charge?</w:t>
      </w:r>
    </w:p>
    <w:p w:rsidR="00A42875" w:rsidRDefault="00A42875" w:rsidP="00A42875">
      <w:pPr>
        <w:pStyle w:val="answer"/>
        <w:widowControl w:val="0"/>
        <w:rPr>
          <w:rFonts w:eastAsia="SimSun"/>
        </w:rPr>
      </w:pPr>
      <w:r w:rsidRPr="0024414E">
        <w:rPr>
          <w:rFonts w:eastAsia="SimSun"/>
        </w:rPr>
        <w:t>A.</w:t>
      </w:r>
      <w:r w:rsidRPr="0024414E">
        <w:rPr>
          <w:rFonts w:eastAsia="SimSun"/>
        </w:rPr>
        <w:tab/>
        <w:t xml:space="preserve">Yes, </w:t>
      </w:r>
      <w:r w:rsidR="0024414E">
        <w:rPr>
          <w:rFonts w:eastAsia="SimSun"/>
        </w:rPr>
        <w:t>PSE is proposing to</w:t>
      </w:r>
      <w:r w:rsidR="002D2A12">
        <w:rPr>
          <w:rFonts w:eastAsia="SimSun"/>
        </w:rPr>
        <w:t xml:space="preserve"> increase its basic charge for single-phase electric service to $9 per month</w:t>
      </w:r>
      <w:r w:rsidR="0024414E">
        <w:rPr>
          <w:rFonts w:eastAsia="SimSun"/>
        </w:rPr>
        <w:t xml:space="preserve"> to reflect the </w:t>
      </w:r>
      <w:r w:rsidRPr="0024414E">
        <w:rPr>
          <w:rFonts w:eastAsia="SimSun"/>
        </w:rPr>
        <w:t xml:space="preserve">current </w:t>
      </w:r>
      <w:r w:rsidR="0024414E">
        <w:rPr>
          <w:rFonts w:eastAsia="SimSun"/>
        </w:rPr>
        <w:t xml:space="preserve">level of </w:t>
      </w:r>
      <w:r w:rsidRPr="0024414E">
        <w:rPr>
          <w:rFonts w:eastAsia="SimSun"/>
        </w:rPr>
        <w:t>costs</w:t>
      </w:r>
      <w:r w:rsidR="0024414E">
        <w:rPr>
          <w:rFonts w:eastAsia="SimSun"/>
        </w:rPr>
        <w:t xml:space="preserve"> traditionally recovered through its residential electric basic charges, including customer service, customer accounting, meter reading, billing and line transformation</w:t>
      </w:r>
      <w:r w:rsidRPr="0024414E">
        <w:rPr>
          <w:rFonts w:eastAsia="SimSun"/>
        </w:rPr>
        <w:t>.</w:t>
      </w:r>
      <w:r w:rsidR="0024414E">
        <w:rPr>
          <w:rFonts w:eastAsia="SimSun"/>
        </w:rPr>
        <w:t xml:space="preserve">  </w:t>
      </w:r>
      <w:r w:rsidR="002D2A12">
        <w:rPr>
          <w:rFonts w:eastAsia="SimSun"/>
        </w:rPr>
        <w:t>This is a $1.51 per month increase over current rates.</w:t>
      </w:r>
    </w:p>
    <w:p w:rsidR="006E3A4D" w:rsidRDefault="006E3A4D" w:rsidP="002272F9">
      <w:pPr>
        <w:pStyle w:val="question"/>
        <w:rPr>
          <w:rFonts w:eastAsia="SimSun"/>
        </w:rPr>
      </w:pPr>
      <w:r>
        <w:rPr>
          <w:rFonts w:eastAsia="SimSun"/>
        </w:rPr>
        <w:t>Q.</w:t>
      </w:r>
      <w:r>
        <w:rPr>
          <w:rFonts w:eastAsia="SimSun"/>
        </w:rPr>
        <w:tab/>
        <w:t>Is the proposed increase to the residential electric basic charge reasonable?</w:t>
      </w:r>
    </w:p>
    <w:p w:rsidR="002D2A12" w:rsidRDefault="006E3A4D" w:rsidP="006E3A4D">
      <w:pPr>
        <w:pStyle w:val="answer"/>
        <w:rPr>
          <w:rFonts w:eastAsia="SimSun"/>
        </w:rPr>
      </w:pPr>
      <w:r>
        <w:rPr>
          <w:rFonts w:eastAsia="SimSun"/>
        </w:rPr>
        <w:t>A.</w:t>
      </w:r>
      <w:r>
        <w:rPr>
          <w:rFonts w:eastAsia="SimSun"/>
        </w:rPr>
        <w:tab/>
        <w:t xml:space="preserve">Yes, </w:t>
      </w:r>
      <w:r w:rsidR="007D1AE8">
        <w:rPr>
          <w:rFonts w:eastAsia="SimSun"/>
        </w:rPr>
        <w:t xml:space="preserve">the proposed increase is reasonable </w:t>
      </w:r>
      <w:r>
        <w:rPr>
          <w:rFonts w:eastAsia="SimSun"/>
        </w:rPr>
        <w:t xml:space="preserve">for several reasons.  </w:t>
      </w:r>
    </w:p>
    <w:p w:rsidR="002D2A12" w:rsidRDefault="006E3A4D" w:rsidP="002D2A12">
      <w:pPr>
        <w:pStyle w:val="answer"/>
        <w:ind w:firstLine="0"/>
        <w:rPr>
          <w:rFonts w:eastAsia="SimSun"/>
        </w:rPr>
      </w:pPr>
      <w:r>
        <w:rPr>
          <w:rFonts w:eastAsia="SimSun"/>
        </w:rPr>
        <w:t xml:space="preserve">First, </w:t>
      </w:r>
      <w:r w:rsidR="002D2A12">
        <w:rPr>
          <w:rFonts w:eastAsia="SimSun"/>
        </w:rPr>
        <w:t>it is important to note that while PSE is proposing to increase the residential monthly basic charge by $1.5</w:t>
      </w:r>
      <w:r w:rsidR="00102CE2">
        <w:rPr>
          <w:rFonts w:eastAsia="SimSun"/>
        </w:rPr>
        <w:t>1</w:t>
      </w:r>
      <w:r w:rsidR="002D2A12">
        <w:rPr>
          <w:rFonts w:eastAsia="SimSun"/>
        </w:rPr>
        <w:t xml:space="preserve"> per month for single-phase service, $0.38 per month of that amount is already being paid by residential customers through Schedule 141 (Expedited Rate Filing). Since the rates within Schedule 141 will be set to zero coincident with the new base rates going into effect at the end of this rate case, the net impact on the residential electric monthly basic charge is </w:t>
      </w:r>
      <w:r w:rsidR="002D2A12" w:rsidRPr="006E3A4D">
        <w:rPr>
          <w:rFonts w:eastAsia="SimSun"/>
        </w:rPr>
        <w:t>a</w:t>
      </w:r>
      <w:r w:rsidR="002D2A12">
        <w:rPr>
          <w:rFonts w:eastAsia="SimSun"/>
        </w:rPr>
        <w:t xml:space="preserve"> lower</w:t>
      </w:r>
      <w:r w:rsidR="002D2A12" w:rsidRPr="006E3A4D">
        <w:rPr>
          <w:rFonts w:eastAsia="SimSun"/>
        </w:rPr>
        <w:t xml:space="preserve"> increase of</w:t>
      </w:r>
      <w:r w:rsidR="002D2A12">
        <w:rPr>
          <w:rFonts w:eastAsia="SimSun"/>
        </w:rPr>
        <w:t xml:space="preserve"> $1.13 per month.  </w:t>
      </w:r>
    </w:p>
    <w:p w:rsidR="002D2A12" w:rsidRDefault="002D2A12" w:rsidP="002D2A12">
      <w:pPr>
        <w:pStyle w:val="answer"/>
        <w:ind w:firstLine="0"/>
        <w:rPr>
          <w:rFonts w:eastAsia="SimSun"/>
        </w:rPr>
      </w:pPr>
      <w:r>
        <w:rPr>
          <w:rFonts w:eastAsia="SimSun"/>
        </w:rPr>
        <w:lastRenderedPageBreak/>
        <w:t xml:space="preserve">Second, </w:t>
      </w:r>
      <w:r w:rsidR="006E3A4D">
        <w:rPr>
          <w:rFonts w:eastAsia="SimSun"/>
        </w:rPr>
        <w:t xml:space="preserve">the current overall </w:t>
      </w:r>
      <w:r>
        <w:rPr>
          <w:rFonts w:eastAsia="SimSun"/>
        </w:rPr>
        <w:t xml:space="preserve">residential </w:t>
      </w:r>
      <w:r w:rsidR="006E3A4D">
        <w:rPr>
          <w:rFonts w:eastAsia="SimSun"/>
        </w:rPr>
        <w:t xml:space="preserve">basic </w:t>
      </w:r>
      <w:r>
        <w:rPr>
          <w:rFonts w:eastAsia="SimSun"/>
        </w:rPr>
        <w:t>monthly charge of $7.87 per month, inclusive of Schedule 141,</w:t>
      </w:r>
      <w:r w:rsidR="006E3A4D">
        <w:rPr>
          <w:rFonts w:eastAsia="SimSun"/>
        </w:rPr>
        <w:t xml:space="preserve"> is based on a test year ending June 2012</w:t>
      </w:r>
      <w:r>
        <w:rPr>
          <w:rFonts w:eastAsia="SimSun"/>
        </w:rPr>
        <w:t>.  So</w:t>
      </w:r>
      <w:r w:rsidR="006E3A4D">
        <w:rPr>
          <w:rFonts w:eastAsia="SimSun"/>
        </w:rPr>
        <w:t xml:space="preserve">, it is reasonable to expect there would have been cost growth in the intervening time.  </w:t>
      </w:r>
    </w:p>
    <w:p w:rsidR="002D2A12" w:rsidRDefault="002D2A12" w:rsidP="002D2A12">
      <w:pPr>
        <w:pStyle w:val="answer"/>
        <w:ind w:firstLine="0"/>
        <w:rPr>
          <w:rFonts w:eastAsia="SimSun"/>
        </w:rPr>
      </w:pPr>
      <w:r>
        <w:rPr>
          <w:rFonts w:eastAsia="SimSun"/>
        </w:rPr>
        <w:t>Third</w:t>
      </w:r>
      <w:r w:rsidR="006E3A4D">
        <w:rPr>
          <w:rFonts w:eastAsia="SimSun"/>
        </w:rPr>
        <w:t xml:space="preserve">, </w:t>
      </w:r>
      <w:r>
        <w:rPr>
          <w:rFonts w:eastAsia="SimSun"/>
        </w:rPr>
        <w:t xml:space="preserve">and in support of that argument, </w:t>
      </w:r>
      <w:r w:rsidR="006E3A4D">
        <w:rPr>
          <w:rFonts w:eastAsia="SimSun"/>
        </w:rPr>
        <w:t xml:space="preserve">PSE’s </w:t>
      </w:r>
      <w:r>
        <w:rPr>
          <w:rFonts w:eastAsia="SimSun"/>
        </w:rPr>
        <w:t xml:space="preserve">electric </w:t>
      </w:r>
      <w:r w:rsidR="006E3A4D">
        <w:rPr>
          <w:rFonts w:eastAsia="SimSun"/>
        </w:rPr>
        <w:t xml:space="preserve">cost of service study </w:t>
      </w:r>
      <w:r>
        <w:rPr>
          <w:rFonts w:eastAsia="SimSun"/>
        </w:rPr>
        <w:t xml:space="preserve">in this filing </w:t>
      </w:r>
      <w:r w:rsidR="006E3A4D">
        <w:rPr>
          <w:rFonts w:eastAsia="SimSun"/>
        </w:rPr>
        <w:t xml:space="preserve">supports a basic charge </w:t>
      </w:r>
      <w:r w:rsidR="000F0479">
        <w:rPr>
          <w:rFonts w:eastAsia="SimSun"/>
        </w:rPr>
        <w:t xml:space="preserve">over $2 per month </w:t>
      </w:r>
      <w:r w:rsidR="006E3A4D">
        <w:rPr>
          <w:rFonts w:eastAsia="SimSun"/>
        </w:rPr>
        <w:t xml:space="preserve">higher than being proposed in this filing.  </w:t>
      </w:r>
    </w:p>
    <w:p w:rsidR="005665C3" w:rsidRDefault="002D2A12" w:rsidP="002D2A12">
      <w:pPr>
        <w:pStyle w:val="answer"/>
        <w:ind w:firstLine="0"/>
        <w:rPr>
          <w:rFonts w:eastAsia="SimSun"/>
        </w:rPr>
      </w:pPr>
      <w:r>
        <w:rPr>
          <w:rFonts w:eastAsia="SimSun"/>
        </w:rPr>
        <w:t>Fourth</w:t>
      </w:r>
      <w:r w:rsidR="006E3A4D">
        <w:rPr>
          <w:rFonts w:eastAsia="SimSun"/>
        </w:rPr>
        <w:t>, PSE has had a rate plan in effe</w:t>
      </w:r>
      <w:r>
        <w:rPr>
          <w:rFonts w:eastAsia="SimSun"/>
        </w:rPr>
        <w:t>ct since July 1, 2013 that</w:t>
      </w:r>
      <w:r w:rsidR="006E3A4D">
        <w:rPr>
          <w:rFonts w:eastAsia="SimSun"/>
        </w:rPr>
        <w:t xml:space="preserve"> provided for </w:t>
      </w:r>
      <w:r w:rsidR="001F1AB5">
        <w:rPr>
          <w:rFonts w:eastAsia="SimSun"/>
        </w:rPr>
        <w:t>three</w:t>
      </w:r>
      <w:r w:rsidR="006E3A4D">
        <w:rPr>
          <w:rFonts w:eastAsia="SimSun"/>
        </w:rPr>
        <w:t xml:space="preserve"> percent annual increases to allowed delivery revenue for electric service</w:t>
      </w:r>
      <w:r w:rsidR="000F0479">
        <w:rPr>
          <w:rFonts w:eastAsia="SimSun"/>
        </w:rPr>
        <w:t>, where this revenue is intended to cover both the cost of delivery and customer-related costs that is normally recovered through monthly basic charges</w:t>
      </w:r>
      <w:r w:rsidR="006E3A4D">
        <w:rPr>
          <w:rFonts w:eastAsia="SimSun"/>
        </w:rPr>
        <w:t xml:space="preserve">. However, as a compromise in the development of </w:t>
      </w:r>
      <w:r>
        <w:rPr>
          <w:rFonts w:eastAsia="SimSun"/>
        </w:rPr>
        <w:t xml:space="preserve">its </w:t>
      </w:r>
      <w:r w:rsidR="006E3A4D">
        <w:rPr>
          <w:rFonts w:eastAsia="SimSun"/>
        </w:rPr>
        <w:t xml:space="preserve">decoupling mechanism, </w:t>
      </w:r>
      <w:r>
        <w:rPr>
          <w:rFonts w:eastAsia="SimSun"/>
        </w:rPr>
        <w:t>PSE has</w:t>
      </w:r>
      <w:r w:rsidR="006E3A4D">
        <w:rPr>
          <w:rFonts w:eastAsia="SimSun"/>
        </w:rPr>
        <w:t xml:space="preserve"> recovered 100 percent of these annual </w:t>
      </w:r>
      <w:r>
        <w:rPr>
          <w:rFonts w:eastAsia="SimSun"/>
        </w:rPr>
        <w:t xml:space="preserve">revenue </w:t>
      </w:r>
      <w:r w:rsidR="006E3A4D">
        <w:rPr>
          <w:rFonts w:eastAsia="SimSun"/>
        </w:rPr>
        <w:t>increases through volumetric charges rather than being spread across all rate components</w:t>
      </w:r>
      <w:r>
        <w:rPr>
          <w:rFonts w:eastAsia="SimSun"/>
        </w:rPr>
        <w:t>, including the</w:t>
      </w:r>
      <w:r w:rsidR="000F0479">
        <w:rPr>
          <w:rFonts w:eastAsia="SimSun"/>
        </w:rPr>
        <w:t xml:space="preserve"> monthly</w:t>
      </w:r>
      <w:r>
        <w:rPr>
          <w:rFonts w:eastAsia="SimSun"/>
        </w:rPr>
        <w:t xml:space="preserve"> basic charge</w:t>
      </w:r>
      <w:r w:rsidR="006E3A4D">
        <w:rPr>
          <w:rFonts w:eastAsia="SimSun"/>
        </w:rPr>
        <w:t xml:space="preserve">.  Had the </w:t>
      </w:r>
      <w:r w:rsidR="001F1AB5">
        <w:rPr>
          <w:rFonts w:eastAsia="SimSun"/>
        </w:rPr>
        <w:t>three</w:t>
      </w:r>
      <w:r w:rsidR="006E3A4D">
        <w:rPr>
          <w:rFonts w:eastAsia="SimSun"/>
        </w:rPr>
        <w:t xml:space="preserve"> percent increases been applied to</w:t>
      </w:r>
      <w:r w:rsidR="000F0479">
        <w:rPr>
          <w:rFonts w:eastAsia="SimSun"/>
        </w:rPr>
        <w:t xml:space="preserve"> monthly</w:t>
      </w:r>
      <w:r w:rsidR="006E3A4D">
        <w:rPr>
          <w:rFonts w:eastAsia="SimSun"/>
        </w:rPr>
        <w:t xml:space="preserve"> basic charges, the basic charge that will be in effect in 2017 would have been $9.12 per month.</w:t>
      </w:r>
      <w:r w:rsidR="005665C3">
        <w:rPr>
          <w:rFonts w:eastAsia="SimSun"/>
        </w:rPr>
        <w:t xml:space="preserve">  </w:t>
      </w:r>
      <w:r w:rsidR="006E3A4D">
        <w:rPr>
          <w:rFonts w:eastAsia="SimSun"/>
        </w:rPr>
        <w:t xml:space="preserve">  </w:t>
      </w:r>
    </w:p>
    <w:p w:rsidR="006E3A4D" w:rsidRPr="006E3A4D" w:rsidRDefault="005665C3" w:rsidP="005665C3">
      <w:pPr>
        <w:pStyle w:val="answer"/>
        <w:ind w:firstLine="0"/>
        <w:rPr>
          <w:rFonts w:eastAsia="SimSun"/>
        </w:rPr>
      </w:pPr>
      <w:r>
        <w:rPr>
          <w:rFonts w:eastAsia="SimSun"/>
        </w:rPr>
        <w:t>All that said, i</w:t>
      </w:r>
      <w:r w:rsidR="006E3A4D">
        <w:rPr>
          <w:rFonts w:eastAsia="SimSun"/>
        </w:rPr>
        <w:t xml:space="preserve">n deference to the issues routinely raised by low-income and environmental advocates that argue for restraint on increases to the monthly basic residential charge, PSE is proposing a </w:t>
      </w:r>
      <w:r>
        <w:rPr>
          <w:rFonts w:eastAsia="SimSun"/>
        </w:rPr>
        <w:t>more modest increase</w:t>
      </w:r>
      <w:r w:rsidR="002D2A12">
        <w:rPr>
          <w:rFonts w:eastAsia="SimSun"/>
        </w:rPr>
        <w:t xml:space="preserve">.  </w:t>
      </w:r>
      <w:r w:rsidR="006E3A4D">
        <w:rPr>
          <w:rFonts w:eastAsia="SimSun"/>
        </w:rPr>
        <w:t xml:space="preserve"> </w:t>
      </w:r>
    </w:p>
    <w:p w:rsidR="002272F9" w:rsidRPr="009075DC" w:rsidRDefault="002272F9" w:rsidP="002272F9">
      <w:pPr>
        <w:pStyle w:val="question"/>
        <w:rPr>
          <w:rFonts w:eastAsia="SimSun"/>
        </w:rPr>
      </w:pPr>
      <w:r w:rsidRPr="009075DC">
        <w:rPr>
          <w:rFonts w:eastAsia="SimSun"/>
        </w:rPr>
        <w:t>Q.</w:t>
      </w:r>
      <w:r w:rsidRPr="009075DC">
        <w:rPr>
          <w:rFonts w:eastAsia="SimSun"/>
        </w:rPr>
        <w:tab/>
        <w:t xml:space="preserve">How does PSE’s proposed residential </w:t>
      </w:r>
      <w:r w:rsidR="005665C3">
        <w:rPr>
          <w:rFonts w:eastAsia="SimSun"/>
        </w:rPr>
        <w:t xml:space="preserve">electric </w:t>
      </w:r>
      <w:r w:rsidRPr="009075DC">
        <w:rPr>
          <w:rFonts w:eastAsia="SimSun"/>
        </w:rPr>
        <w:t xml:space="preserve">basic charge compare with basic charges of other </w:t>
      </w:r>
      <w:r w:rsidR="005665C3">
        <w:rPr>
          <w:rFonts w:eastAsia="SimSun"/>
        </w:rPr>
        <w:t xml:space="preserve">electric </w:t>
      </w:r>
      <w:r w:rsidRPr="009075DC">
        <w:rPr>
          <w:rFonts w:eastAsia="SimSun"/>
        </w:rPr>
        <w:t>utilities?</w:t>
      </w:r>
    </w:p>
    <w:p w:rsidR="00281869" w:rsidRDefault="002272F9" w:rsidP="007D1AE8">
      <w:pPr>
        <w:pStyle w:val="answer"/>
        <w:widowControl w:val="0"/>
        <w:rPr>
          <w:rFonts w:eastAsia="SimSun"/>
        </w:rPr>
      </w:pPr>
      <w:r w:rsidRPr="009075DC">
        <w:rPr>
          <w:rFonts w:eastAsia="SimSun"/>
        </w:rPr>
        <w:t>A.</w:t>
      </w:r>
      <w:r w:rsidRPr="009075DC">
        <w:rPr>
          <w:rFonts w:eastAsia="SimSun"/>
        </w:rPr>
        <w:tab/>
        <w:t xml:space="preserve">I reviewed the basic charges of national and local investor-owned electric utilities </w:t>
      </w:r>
      <w:r w:rsidRPr="009075DC">
        <w:rPr>
          <w:rFonts w:eastAsia="SimSun"/>
        </w:rPr>
        <w:lastRenderedPageBreak/>
        <w:t>and government and customer-owned utilities in Washington state that are close</w:t>
      </w:r>
      <w:r w:rsidR="005665C3">
        <w:rPr>
          <w:rFonts w:eastAsia="SimSun"/>
        </w:rPr>
        <w:t>r</w:t>
      </w:r>
      <w:r w:rsidRPr="009075DC">
        <w:rPr>
          <w:rFonts w:eastAsia="SimSun"/>
        </w:rPr>
        <w:t xml:space="preserve"> to PSE’s service territory.  The </w:t>
      </w:r>
      <w:r w:rsidR="005B5A0A">
        <w:rPr>
          <w:rFonts w:eastAsia="SimSun"/>
        </w:rPr>
        <w:t>10</w:t>
      </w:r>
      <w:r w:rsidRPr="009075DC">
        <w:rPr>
          <w:rFonts w:eastAsia="SimSun"/>
        </w:rPr>
        <w:t xml:space="preserve">7 basic charges of the national electric utilities surveyed average $9.17 per month.  Of the </w:t>
      </w:r>
      <w:r w:rsidR="005B5A0A">
        <w:rPr>
          <w:rFonts w:eastAsia="SimSun"/>
        </w:rPr>
        <w:t>4</w:t>
      </w:r>
      <w:r w:rsidR="00E56EC1">
        <w:rPr>
          <w:rFonts w:eastAsia="SimSun"/>
        </w:rPr>
        <w:t>2</w:t>
      </w:r>
      <w:r w:rsidRPr="009075DC">
        <w:rPr>
          <w:rFonts w:eastAsia="SimSun"/>
        </w:rPr>
        <w:t xml:space="preserve"> other Washington state electric utilities surveyed, </w:t>
      </w:r>
      <w:r w:rsidR="002B0674">
        <w:rPr>
          <w:rFonts w:eastAsia="SimSun"/>
        </w:rPr>
        <w:t>28</w:t>
      </w:r>
      <w:r w:rsidRPr="009075DC">
        <w:rPr>
          <w:rFonts w:eastAsia="SimSun"/>
        </w:rPr>
        <w:t xml:space="preserve"> have residential basic charges that are greater </w:t>
      </w:r>
      <w:r w:rsidR="002B0674">
        <w:rPr>
          <w:rFonts w:eastAsia="SimSun"/>
        </w:rPr>
        <w:t xml:space="preserve">than or equal to </w:t>
      </w:r>
      <w:r w:rsidRPr="009075DC">
        <w:rPr>
          <w:rFonts w:eastAsia="SimSun"/>
        </w:rPr>
        <w:t>$1</w:t>
      </w:r>
      <w:r w:rsidR="002B0674">
        <w:rPr>
          <w:rFonts w:eastAsia="SimSun"/>
        </w:rPr>
        <w:t>5.3</w:t>
      </w:r>
      <w:r w:rsidRPr="009075DC">
        <w:rPr>
          <w:rFonts w:eastAsia="SimSun"/>
        </w:rPr>
        <w:t xml:space="preserve">0 per month, or </w:t>
      </w:r>
      <w:r w:rsidR="00E56EC1">
        <w:rPr>
          <w:rFonts w:eastAsia="SimSun"/>
        </w:rPr>
        <w:t xml:space="preserve">at least </w:t>
      </w:r>
      <w:r w:rsidR="002B0674">
        <w:rPr>
          <w:rFonts w:eastAsia="SimSun"/>
        </w:rPr>
        <w:t>7</w:t>
      </w:r>
      <w:r w:rsidR="00E56EC1">
        <w:rPr>
          <w:rFonts w:eastAsia="SimSun"/>
        </w:rPr>
        <w:t>0</w:t>
      </w:r>
      <w:r w:rsidR="00D1284F">
        <w:rPr>
          <w:rFonts w:eastAsia="SimSun"/>
        </w:rPr>
        <w:t xml:space="preserve"> percent</w:t>
      </w:r>
      <w:r w:rsidRPr="009075DC">
        <w:rPr>
          <w:rFonts w:eastAsia="SimSun"/>
        </w:rPr>
        <w:t xml:space="preserve"> per month more than </w:t>
      </w:r>
      <w:r w:rsidR="00E56EC1">
        <w:rPr>
          <w:rFonts w:eastAsia="SimSun"/>
        </w:rPr>
        <w:t>$9.00 per month</w:t>
      </w:r>
      <w:r w:rsidRPr="009075DC">
        <w:rPr>
          <w:rFonts w:eastAsia="SimSun"/>
        </w:rPr>
        <w:t xml:space="preserve"> amount proposed in this filing.  The average basic charge for all </w:t>
      </w:r>
      <w:r w:rsidR="00E52355">
        <w:rPr>
          <w:rFonts w:eastAsia="SimSun"/>
        </w:rPr>
        <w:t>44</w:t>
      </w:r>
      <w:r w:rsidRPr="009075DC">
        <w:rPr>
          <w:rFonts w:eastAsia="SimSun"/>
        </w:rPr>
        <w:t xml:space="preserve"> of the utilities surveyed in Washington State (including PSE) is $</w:t>
      </w:r>
      <w:r w:rsidR="00E52355">
        <w:rPr>
          <w:rFonts w:eastAsia="SimSun"/>
        </w:rPr>
        <w:t>17.</w:t>
      </w:r>
      <w:r w:rsidR="00E56EC1">
        <w:rPr>
          <w:rFonts w:eastAsia="SimSun"/>
        </w:rPr>
        <w:t>76</w:t>
      </w:r>
      <w:r w:rsidR="002B0674">
        <w:rPr>
          <w:rFonts w:eastAsia="SimSun"/>
        </w:rPr>
        <w:t>, or almost double the basic charge being proposed by PSE in this filing</w:t>
      </w:r>
      <w:r w:rsidRPr="009075DC">
        <w:rPr>
          <w:rFonts w:eastAsia="SimSun"/>
        </w:rPr>
        <w:t>.  These basic charge surveys are provided in Exhibit No. ___(JAP-</w:t>
      </w:r>
      <w:r w:rsidR="003B5556">
        <w:rPr>
          <w:rFonts w:eastAsia="SimSun"/>
        </w:rPr>
        <w:fldChar w:fldCharType="begin"/>
      </w:r>
      <w:r w:rsidR="003B5556">
        <w:rPr>
          <w:rFonts w:eastAsia="SimSun"/>
        </w:rPr>
        <w:instrText xml:space="preserve"> REF _Ref441672878 \r \h </w:instrText>
      </w:r>
      <w:r w:rsidR="003B5556">
        <w:rPr>
          <w:rFonts w:eastAsia="SimSun"/>
        </w:rPr>
      </w:r>
      <w:r w:rsidR="003B5556">
        <w:rPr>
          <w:rFonts w:eastAsia="SimSun"/>
        </w:rPr>
        <w:fldChar w:fldCharType="separate"/>
      </w:r>
      <w:r w:rsidR="0035666C">
        <w:rPr>
          <w:rFonts w:eastAsia="SimSun"/>
        </w:rPr>
        <w:t>17</w:t>
      </w:r>
      <w:r w:rsidR="003B5556">
        <w:rPr>
          <w:rFonts w:eastAsia="SimSun"/>
        </w:rPr>
        <w:fldChar w:fldCharType="end"/>
      </w:r>
      <w:r w:rsidRPr="009075DC">
        <w:rPr>
          <w:rFonts w:eastAsia="SimSun"/>
        </w:rPr>
        <w:t>).</w:t>
      </w:r>
    </w:p>
    <w:p w:rsidR="00F8418D" w:rsidRPr="009075DC" w:rsidRDefault="001D2B74" w:rsidP="00F46C9B">
      <w:pPr>
        <w:pStyle w:val="Heading2"/>
        <w:keepNext w:val="0"/>
        <w:keepLines w:val="0"/>
        <w:widowControl w:val="0"/>
        <w:spacing w:before="240" w:after="240"/>
        <w:ind w:left="0" w:firstLine="0"/>
        <w:rPr>
          <w:rFonts w:eastAsia="SimSun"/>
        </w:rPr>
      </w:pPr>
      <w:bookmarkStart w:id="127" w:name="_Toc127023396"/>
      <w:bookmarkStart w:id="128" w:name="_Toc229277856"/>
      <w:bookmarkStart w:id="129" w:name="_Toc471912952"/>
      <w:r>
        <w:rPr>
          <w:rFonts w:eastAsia="SimSun"/>
          <w:u w:val="none"/>
        </w:rPr>
        <w:t>D</w:t>
      </w:r>
      <w:r w:rsidR="00F8418D" w:rsidRPr="009075DC">
        <w:rPr>
          <w:rFonts w:eastAsia="SimSun"/>
          <w:u w:val="none"/>
        </w:rPr>
        <w:t>.</w:t>
      </w:r>
      <w:r w:rsidR="00F8418D" w:rsidRPr="009075DC">
        <w:rPr>
          <w:rFonts w:eastAsia="SimSun"/>
          <w:u w:val="none"/>
        </w:rPr>
        <w:tab/>
      </w:r>
      <w:r w:rsidR="00FC5841">
        <w:rPr>
          <w:rFonts w:eastAsia="SimSun"/>
        </w:rPr>
        <w:t xml:space="preserve">Proposed </w:t>
      </w:r>
      <w:r w:rsidR="00F8418D" w:rsidRPr="009075DC">
        <w:rPr>
          <w:rFonts w:eastAsia="SimSun"/>
        </w:rPr>
        <w:t>General Service Rate Design</w:t>
      </w:r>
      <w:bookmarkEnd w:id="127"/>
      <w:bookmarkEnd w:id="128"/>
      <w:bookmarkEnd w:id="129"/>
    </w:p>
    <w:p w:rsidR="00BE308C" w:rsidRPr="009075DC" w:rsidRDefault="00BE308C" w:rsidP="00BE308C">
      <w:pPr>
        <w:pStyle w:val="question"/>
        <w:widowControl w:val="0"/>
        <w:rPr>
          <w:rFonts w:eastAsia="SimSun"/>
        </w:rPr>
      </w:pPr>
      <w:r w:rsidRPr="009075DC">
        <w:rPr>
          <w:rFonts w:eastAsia="SimSun"/>
        </w:rPr>
        <w:t>Q.</w:t>
      </w:r>
      <w:r w:rsidRPr="009075DC">
        <w:rPr>
          <w:rFonts w:eastAsia="SimSun"/>
        </w:rPr>
        <w:tab/>
        <w:t>Please summarize the proposed rate design for the General Service rate class.</w:t>
      </w:r>
    </w:p>
    <w:p w:rsidR="00BE308C" w:rsidRPr="009075DC" w:rsidRDefault="00BE308C" w:rsidP="00BE308C">
      <w:pPr>
        <w:pStyle w:val="answer"/>
        <w:widowControl w:val="0"/>
        <w:rPr>
          <w:rFonts w:eastAsia="SimSun"/>
        </w:rPr>
      </w:pPr>
      <w:r w:rsidRPr="009075DC">
        <w:rPr>
          <w:rFonts w:eastAsia="SimSun"/>
        </w:rPr>
        <w:t>A.</w:t>
      </w:r>
      <w:r w:rsidRPr="009075DC">
        <w:rPr>
          <w:rFonts w:eastAsia="SimSun"/>
        </w:rPr>
        <w:tab/>
        <w:t xml:space="preserve">The General Service (Rate Schedule 24) class has a monthly basic charge and a single-block energy rate that varies by season.  This rate schedule does not have a demand charge.  The Company’s proposal is to increase all rate components, including the basic charge, by the class average increase. </w:t>
      </w:r>
    </w:p>
    <w:p w:rsidR="00BE308C" w:rsidRPr="009075DC" w:rsidRDefault="00BE308C" w:rsidP="00BE308C">
      <w:pPr>
        <w:pStyle w:val="question"/>
        <w:widowControl w:val="0"/>
        <w:rPr>
          <w:rFonts w:eastAsia="SimSun"/>
        </w:rPr>
      </w:pPr>
      <w:r w:rsidRPr="009075DC">
        <w:rPr>
          <w:rFonts w:eastAsia="SimSun"/>
        </w:rPr>
        <w:t>Q.</w:t>
      </w:r>
      <w:r w:rsidRPr="009075DC">
        <w:rPr>
          <w:rFonts w:eastAsia="SimSun"/>
        </w:rPr>
        <w:tab/>
        <w:t>Please summarize the proposed rate design for Small Demand General Service.</w:t>
      </w:r>
    </w:p>
    <w:p w:rsidR="00E920DB" w:rsidRDefault="00BE308C" w:rsidP="00FB3234">
      <w:pPr>
        <w:pStyle w:val="answer"/>
        <w:widowControl w:val="0"/>
        <w:rPr>
          <w:rFonts w:eastAsia="SimSun"/>
        </w:rPr>
      </w:pPr>
      <w:r w:rsidRPr="009075DC">
        <w:rPr>
          <w:rFonts w:eastAsia="SimSun"/>
        </w:rPr>
        <w:t>A.</w:t>
      </w:r>
      <w:r w:rsidRPr="009075DC">
        <w:rPr>
          <w:rFonts w:eastAsia="SimSun"/>
        </w:rPr>
        <w:tab/>
        <w:t xml:space="preserve">The Small Demand General Service (Rate Schedule 25) class has a basic charge rate, two-block seasonal energy rates and a two-block seasonal demand rate.  The first 50 kW block of billing demand has no demand charge and the demand-related costs are recovered in the first block of the energy rate.  Under PSE’s </w:t>
      </w:r>
      <w:r w:rsidRPr="009075DC">
        <w:rPr>
          <w:rFonts w:eastAsia="SimSun"/>
        </w:rPr>
        <w:lastRenderedPageBreak/>
        <w:t xml:space="preserve">proposal, all Schedule 25 rates are increased by the class average increase. </w:t>
      </w:r>
    </w:p>
    <w:p w:rsidR="00BE308C" w:rsidRPr="00F85F00" w:rsidRDefault="00BE308C" w:rsidP="00BE308C">
      <w:pPr>
        <w:pStyle w:val="question"/>
        <w:widowControl w:val="0"/>
        <w:rPr>
          <w:rFonts w:eastAsia="SimSun"/>
        </w:rPr>
      </w:pPr>
      <w:r w:rsidRPr="00F85F00">
        <w:rPr>
          <w:rFonts w:eastAsia="SimSun"/>
        </w:rPr>
        <w:t>Q.</w:t>
      </w:r>
      <w:r w:rsidRPr="00F85F00">
        <w:rPr>
          <w:rFonts w:eastAsia="SimSun"/>
        </w:rPr>
        <w:tab/>
        <w:t>Please summarize the proposed rate design for large general service customers.</w:t>
      </w:r>
    </w:p>
    <w:p w:rsidR="00BE308C" w:rsidRPr="003455AF" w:rsidRDefault="00BE308C" w:rsidP="00BE308C">
      <w:pPr>
        <w:pStyle w:val="answer"/>
        <w:widowControl w:val="0"/>
        <w:rPr>
          <w:rFonts w:eastAsia="SimSun"/>
          <w:highlight w:val="yellow"/>
        </w:rPr>
      </w:pPr>
      <w:r w:rsidRPr="00F85F00">
        <w:rPr>
          <w:rFonts w:eastAsia="SimSun"/>
        </w:rPr>
        <w:t>A.</w:t>
      </w:r>
      <w:r w:rsidRPr="00F85F00">
        <w:rPr>
          <w:rFonts w:eastAsia="SimSun"/>
        </w:rPr>
        <w:tab/>
        <w:t>These customers are served under two principle schedules:  Large Demand General Service (Rate Schedule 26) and Primary General Service (Rate Schedule 31).  Both schedules have basic charges</w:t>
      </w:r>
      <w:r w:rsidR="00521FC2">
        <w:rPr>
          <w:rFonts w:eastAsia="SimSun"/>
        </w:rPr>
        <w:t>,</w:t>
      </w:r>
      <w:r w:rsidRPr="00F85F00">
        <w:rPr>
          <w:rFonts w:eastAsia="SimSun"/>
        </w:rPr>
        <w:t xml:space="preserve"> a single-block energy charge</w:t>
      </w:r>
      <w:r w:rsidR="00521FC2">
        <w:rPr>
          <w:rFonts w:eastAsia="SimSun"/>
        </w:rPr>
        <w:t xml:space="preserve"> and seasonally-differentiated demand charges</w:t>
      </w:r>
      <w:r w:rsidRPr="00F85F00">
        <w:rPr>
          <w:rFonts w:eastAsia="SimSun"/>
        </w:rPr>
        <w:t xml:space="preserve">.  The demand </w:t>
      </w:r>
      <w:r w:rsidR="00521FC2">
        <w:rPr>
          <w:rFonts w:eastAsia="SimSun"/>
        </w:rPr>
        <w:t xml:space="preserve">and energy </w:t>
      </w:r>
      <w:r w:rsidRPr="00F85F00">
        <w:rPr>
          <w:rFonts w:eastAsia="SimSun"/>
        </w:rPr>
        <w:t>rates of the two schedules are linked such that the lower rate</w:t>
      </w:r>
      <w:r w:rsidR="00521FC2">
        <w:rPr>
          <w:rFonts w:eastAsia="SimSun"/>
        </w:rPr>
        <w:t>s for Schedule 31 reflect</w:t>
      </w:r>
      <w:r w:rsidRPr="00F85F00">
        <w:rPr>
          <w:rFonts w:eastAsia="SimSun"/>
        </w:rPr>
        <w:t xml:space="preserve"> the </w:t>
      </w:r>
      <w:r w:rsidR="00521FC2">
        <w:rPr>
          <w:rFonts w:eastAsia="SimSun"/>
        </w:rPr>
        <w:t xml:space="preserve">lower </w:t>
      </w:r>
      <w:r w:rsidRPr="00F85F00">
        <w:rPr>
          <w:rFonts w:eastAsia="SimSun"/>
        </w:rPr>
        <w:t xml:space="preserve">voltage transformation </w:t>
      </w:r>
      <w:r w:rsidR="00521FC2">
        <w:rPr>
          <w:rFonts w:eastAsia="SimSun"/>
        </w:rPr>
        <w:t xml:space="preserve">costs </w:t>
      </w:r>
      <w:r w:rsidRPr="00F85F00">
        <w:rPr>
          <w:rFonts w:eastAsia="SimSun"/>
        </w:rPr>
        <w:t xml:space="preserve">and </w:t>
      </w:r>
      <w:r w:rsidR="00521FC2">
        <w:rPr>
          <w:rFonts w:eastAsia="SimSun"/>
        </w:rPr>
        <w:t xml:space="preserve">associated </w:t>
      </w:r>
      <w:r w:rsidRPr="00F85F00">
        <w:rPr>
          <w:rFonts w:eastAsia="SimSun"/>
        </w:rPr>
        <w:t xml:space="preserve">lower </w:t>
      </w:r>
      <w:r w:rsidR="00521FC2">
        <w:rPr>
          <w:rFonts w:eastAsia="SimSun"/>
        </w:rPr>
        <w:t xml:space="preserve">energy </w:t>
      </w:r>
      <w:r w:rsidRPr="00F85F00">
        <w:rPr>
          <w:rFonts w:eastAsia="SimSun"/>
        </w:rPr>
        <w:t>losses.</w:t>
      </w:r>
      <w:r w:rsidRPr="003455AF">
        <w:rPr>
          <w:rFonts w:eastAsia="SimSun"/>
          <w:highlight w:val="yellow"/>
        </w:rPr>
        <w:t xml:space="preserve">  </w:t>
      </w:r>
    </w:p>
    <w:p w:rsidR="00BE308C" w:rsidRPr="00F85F00" w:rsidRDefault="00BE308C" w:rsidP="00BE308C">
      <w:pPr>
        <w:pStyle w:val="question"/>
        <w:widowControl w:val="0"/>
        <w:rPr>
          <w:rFonts w:eastAsia="SimSun"/>
        </w:rPr>
      </w:pPr>
      <w:r w:rsidRPr="00F85F00">
        <w:rPr>
          <w:rFonts w:eastAsia="SimSun"/>
        </w:rPr>
        <w:t>Q.</w:t>
      </w:r>
      <w:r w:rsidRPr="00F85F00">
        <w:rPr>
          <w:rFonts w:eastAsia="SimSun"/>
        </w:rPr>
        <w:tab/>
        <w:t>Why does PSE link the demand rates of the two schedules?</w:t>
      </w:r>
    </w:p>
    <w:p w:rsidR="00BE308C" w:rsidRPr="003455AF" w:rsidRDefault="00BE308C" w:rsidP="00BE308C">
      <w:pPr>
        <w:pStyle w:val="answer"/>
        <w:widowControl w:val="0"/>
        <w:rPr>
          <w:rFonts w:eastAsia="SimSun"/>
          <w:highlight w:val="yellow"/>
        </w:rPr>
      </w:pPr>
      <w:r w:rsidRPr="00F85F00">
        <w:rPr>
          <w:rFonts w:eastAsia="SimSun"/>
        </w:rPr>
        <w:t>A.</w:t>
      </w:r>
      <w:r w:rsidRPr="00F85F00">
        <w:rPr>
          <w:rFonts w:eastAsia="SimSun"/>
        </w:rPr>
        <w:tab/>
      </w:r>
      <w:r w:rsidR="00521FC2">
        <w:rPr>
          <w:rFonts w:eastAsia="SimSun"/>
        </w:rPr>
        <w:t xml:space="preserve">Since </w:t>
      </w:r>
      <w:r w:rsidRPr="00F85F00">
        <w:rPr>
          <w:rFonts w:eastAsia="SimSun"/>
        </w:rPr>
        <w:t xml:space="preserve">the loads and load factors </w:t>
      </w:r>
      <w:r w:rsidR="00521FC2">
        <w:rPr>
          <w:rFonts w:eastAsia="SimSun"/>
        </w:rPr>
        <w:t xml:space="preserve">for these schedules </w:t>
      </w:r>
      <w:r w:rsidRPr="00F85F00">
        <w:rPr>
          <w:rFonts w:eastAsia="SimSun"/>
        </w:rPr>
        <w:t>are comparable</w:t>
      </w:r>
      <w:r w:rsidR="00521FC2">
        <w:rPr>
          <w:rFonts w:eastAsia="SimSun"/>
        </w:rPr>
        <w:t>, PSE’s intent is to provide</w:t>
      </w:r>
      <w:r w:rsidRPr="00F85F00">
        <w:rPr>
          <w:rFonts w:eastAsia="SimSun"/>
        </w:rPr>
        <w:t xml:space="preserve"> a cost-based differential between the two rates schedules </w:t>
      </w:r>
      <w:r w:rsidR="00521FC2">
        <w:rPr>
          <w:rFonts w:eastAsia="SimSun"/>
        </w:rPr>
        <w:t xml:space="preserve">that </w:t>
      </w:r>
      <w:r w:rsidRPr="00F85F00">
        <w:rPr>
          <w:rFonts w:eastAsia="SimSun"/>
        </w:rPr>
        <w:t xml:space="preserve">create an end-point where customer motivation to take primary service will be based upon customer needs </w:t>
      </w:r>
      <w:r w:rsidR="00521FC2">
        <w:rPr>
          <w:rFonts w:eastAsia="SimSun"/>
        </w:rPr>
        <w:t xml:space="preserve">(i.e., whether to take service at primary vs. secondary voltage) </w:t>
      </w:r>
      <w:r w:rsidRPr="00F85F00">
        <w:rPr>
          <w:rFonts w:eastAsia="SimSun"/>
        </w:rPr>
        <w:t xml:space="preserve">rather than a desire to qualify for the schedule with the lower rate.  </w:t>
      </w:r>
    </w:p>
    <w:p w:rsidR="00BE308C" w:rsidRPr="00F85F00" w:rsidRDefault="00BE308C" w:rsidP="00BE308C">
      <w:pPr>
        <w:pStyle w:val="question"/>
        <w:widowControl w:val="0"/>
        <w:rPr>
          <w:rFonts w:eastAsia="SimSun"/>
        </w:rPr>
      </w:pPr>
      <w:r w:rsidRPr="00F85F00">
        <w:rPr>
          <w:rFonts w:eastAsia="SimSun"/>
        </w:rPr>
        <w:t>Q.</w:t>
      </w:r>
      <w:r w:rsidRPr="00F85F00">
        <w:rPr>
          <w:rFonts w:eastAsia="SimSun"/>
        </w:rPr>
        <w:tab/>
        <w:t>Please describe the proposed Schedule 26 and Schedule 31 rate designs.</w:t>
      </w:r>
    </w:p>
    <w:p w:rsidR="00BE308C" w:rsidRPr="009075DC" w:rsidRDefault="00BE308C" w:rsidP="00BE308C">
      <w:pPr>
        <w:pStyle w:val="answer"/>
        <w:widowControl w:val="0"/>
        <w:rPr>
          <w:rFonts w:eastAsia="SimSun"/>
        </w:rPr>
      </w:pPr>
      <w:r w:rsidRPr="00F85F00">
        <w:rPr>
          <w:rFonts w:eastAsia="SimSun"/>
        </w:rPr>
        <w:t>A.</w:t>
      </w:r>
      <w:r w:rsidRPr="00F85F00">
        <w:rPr>
          <w:rFonts w:eastAsia="SimSun"/>
        </w:rPr>
        <w:tab/>
        <w:t xml:space="preserve">PSE increased all Schedule 31 </w:t>
      </w:r>
      <w:r w:rsidR="00F20204">
        <w:rPr>
          <w:rFonts w:eastAsia="SimSun"/>
        </w:rPr>
        <w:t xml:space="preserve">and Schedule 26 </w:t>
      </w:r>
      <w:r w:rsidRPr="00F85F00">
        <w:rPr>
          <w:rFonts w:eastAsia="SimSun"/>
        </w:rPr>
        <w:t xml:space="preserve">rate components by the class average increase, which is </w:t>
      </w:r>
      <w:r w:rsidR="00EC36C4">
        <w:rPr>
          <w:rFonts w:eastAsia="SimSun"/>
        </w:rPr>
        <w:t>75</w:t>
      </w:r>
      <w:r w:rsidRPr="00F85F00">
        <w:rPr>
          <w:rFonts w:eastAsia="SimSun"/>
        </w:rPr>
        <w:t xml:space="preserve"> percent of the adjusted average for all classes.  The reactive power charge for each schedule was increased by the applicable class average increase.  The Schedule 26 demand charges were then set equal to the Schedule 31 demand charges on a loss-adjusted basis.  PSE then increased the </w:t>
      </w:r>
      <w:r w:rsidRPr="00F85F00">
        <w:rPr>
          <w:rFonts w:eastAsia="SimSun"/>
        </w:rPr>
        <w:lastRenderedPageBreak/>
        <w:t>Schedule 26 energy rate by an amount that will recover the remainder of the rate responsibility of the Schedule 26 rate class.</w:t>
      </w:r>
      <w:r w:rsidRPr="009075DC">
        <w:rPr>
          <w:rFonts w:eastAsia="SimSun"/>
        </w:rPr>
        <w:t xml:space="preserve">    </w:t>
      </w:r>
    </w:p>
    <w:p w:rsidR="00F8418D" w:rsidRPr="009075DC" w:rsidRDefault="001D2B74" w:rsidP="00F01467">
      <w:pPr>
        <w:pStyle w:val="Heading2"/>
        <w:keepNext w:val="0"/>
        <w:keepLines w:val="0"/>
        <w:widowControl w:val="0"/>
        <w:spacing w:before="240" w:after="240"/>
        <w:rPr>
          <w:rFonts w:eastAsia="SimSun"/>
        </w:rPr>
      </w:pPr>
      <w:bookmarkStart w:id="130" w:name="_Toc127023398"/>
      <w:bookmarkStart w:id="131" w:name="_Toc229277858"/>
      <w:bookmarkStart w:id="132" w:name="_Toc471912953"/>
      <w:r>
        <w:rPr>
          <w:rFonts w:eastAsia="SimSun"/>
          <w:u w:val="none"/>
        </w:rPr>
        <w:t>E</w:t>
      </w:r>
      <w:r w:rsidR="00F8418D" w:rsidRPr="009075DC">
        <w:rPr>
          <w:rFonts w:eastAsia="SimSun"/>
          <w:u w:val="none"/>
        </w:rPr>
        <w:t>.</w:t>
      </w:r>
      <w:r w:rsidR="00F8418D" w:rsidRPr="009075DC">
        <w:rPr>
          <w:rFonts w:eastAsia="SimSun"/>
          <w:u w:val="none"/>
        </w:rPr>
        <w:tab/>
      </w:r>
      <w:r w:rsidR="00FC5841" w:rsidRPr="00FC5841">
        <w:rPr>
          <w:rFonts w:eastAsia="SimSun"/>
        </w:rPr>
        <w:t xml:space="preserve">Proposed </w:t>
      </w:r>
      <w:r w:rsidR="00F8418D" w:rsidRPr="009075DC">
        <w:rPr>
          <w:rFonts w:eastAsia="SimSun"/>
        </w:rPr>
        <w:t>Campus Rate</w:t>
      </w:r>
      <w:r w:rsidR="00FC5841">
        <w:rPr>
          <w:rFonts w:eastAsia="SimSun"/>
        </w:rPr>
        <w:t xml:space="preserve"> Design</w:t>
      </w:r>
      <w:bookmarkEnd w:id="130"/>
      <w:bookmarkEnd w:id="131"/>
      <w:bookmarkEnd w:id="132"/>
    </w:p>
    <w:p w:rsidR="00863AE4" w:rsidRPr="009075DC" w:rsidRDefault="00863AE4" w:rsidP="00863AE4">
      <w:pPr>
        <w:pStyle w:val="question"/>
        <w:widowControl w:val="0"/>
        <w:rPr>
          <w:rFonts w:eastAsia="SimSun"/>
        </w:rPr>
      </w:pPr>
      <w:r w:rsidRPr="009075DC">
        <w:rPr>
          <w:rFonts w:eastAsia="SimSun"/>
        </w:rPr>
        <w:t>Q.</w:t>
      </w:r>
      <w:r w:rsidRPr="009075DC">
        <w:rPr>
          <w:rFonts w:eastAsia="SimSun"/>
        </w:rPr>
        <w:tab/>
        <w:t>Please describe the purpose of Schedule 40.</w:t>
      </w:r>
    </w:p>
    <w:p w:rsidR="00863AE4" w:rsidRPr="009075DC" w:rsidRDefault="00863AE4" w:rsidP="00863AE4">
      <w:pPr>
        <w:pStyle w:val="answer"/>
        <w:widowControl w:val="0"/>
        <w:rPr>
          <w:rFonts w:eastAsia="SimSun"/>
        </w:rPr>
      </w:pPr>
      <w:r w:rsidRPr="009075DC">
        <w:rPr>
          <w:rFonts w:eastAsia="SimSun"/>
        </w:rPr>
        <w:t>A.</w:t>
      </w:r>
      <w:r w:rsidRPr="009075DC">
        <w:rPr>
          <w:rFonts w:eastAsia="SimSun"/>
        </w:rPr>
        <w:tab/>
      </w:r>
      <w:r>
        <w:rPr>
          <w:rFonts w:eastAsia="SimSun"/>
        </w:rPr>
        <w:t>Rate Schedule 40 (</w:t>
      </w:r>
      <w:r w:rsidRPr="009075DC">
        <w:rPr>
          <w:rFonts w:eastAsia="SimSun"/>
        </w:rPr>
        <w:t>Large Demand General Service Greater than 3 aMW</w:t>
      </w:r>
      <w:r>
        <w:rPr>
          <w:rFonts w:eastAsia="SimSun"/>
        </w:rPr>
        <w:t>)</w:t>
      </w:r>
      <w:r w:rsidRPr="009075DC">
        <w:rPr>
          <w:rFonts w:eastAsia="SimSun"/>
        </w:rPr>
        <w:t xml:space="preserve"> was developed in PSE’s 2004 GRC to </w:t>
      </w:r>
      <w:r>
        <w:rPr>
          <w:rFonts w:eastAsia="SimSun"/>
        </w:rPr>
        <w:t xml:space="preserve">serve </w:t>
      </w:r>
      <w:r w:rsidRPr="009075DC">
        <w:rPr>
          <w:rFonts w:eastAsia="SimSun"/>
        </w:rPr>
        <w:t>customers with large loads that are either typically in a campus configuration or share a distribution feeder with other customers.  The rate first became effective on March 17, 2005 and was voluntary until the GRC following the third anniversary of that date.  This rate is no</w:t>
      </w:r>
      <w:r>
        <w:rPr>
          <w:rFonts w:eastAsia="SimSun"/>
        </w:rPr>
        <w:t>w</w:t>
      </w:r>
      <w:r w:rsidRPr="009075DC">
        <w:rPr>
          <w:rFonts w:eastAsia="SimSun"/>
        </w:rPr>
        <w:t xml:space="preserve"> mandatory for those customers that qualify.  The rate requires a cost study to be performed by PSE to establish a customer-specific distribution charge, and </w:t>
      </w:r>
      <w:r>
        <w:rPr>
          <w:rFonts w:eastAsia="SimSun"/>
        </w:rPr>
        <w:t xml:space="preserve">new </w:t>
      </w:r>
      <w:r w:rsidRPr="009075DC">
        <w:rPr>
          <w:rFonts w:eastAsia="SimSun"/>
        </w:rPr>
        <w:t>customers can only be added or removed in a GRC.</w:t>
      </w:r>
      <w:r>
        <w:rPr>
          <w:rStyle w:val="FootnoteReference"/>
          <w:rFonts w:eastAsia="SimSun"/>
        </w:rPr>
        <w:footnoteReference w:id="21"/>
      </w:r>
    </w:p>
    <w:p w:rsidR="00863AE4" w:rsidRPr="009075DC" w:rsidRDefault="00863AE4" w:rsidP="00863AE4">
      <w:pPr>
        <w:pStyle w:val="question"/>
        <w:widowControl w:val="0"/>
        <w:rPr>
          <w:rFonts w:eastAsia="SimSun"/>
        </w:rPr>
      </w:pPr>
      <w:r w:rsidRPr="009075DC">
        <w:rPr>
          <w:rFonts w:eastAsia="SimSun"/>
        </w:rPr>
        <w:t>Q.</w:t>
      </w:r>
      <w:r w:rsidRPr="009075DC">
        <w:rPr>
          <w:rFonts w:eastAsia="SimSun"/>
        </w:rPr>
        <w:tab/>
        <w:t>Has PSE identified any customers that should be added to Schedule 40 in this case?</w:t>
      </w:r>
    </w:p>
    <w:p w:rsidR="00863AE4" w:rsidRPr="009075DC" w:rsidRDefault="00863AE4" w:rsidP="00863AE4">
      <w:pPr>
        <w:pStyle w:val="answer"/>
        <w:widowControl w:val="0"/>
        <w:rPr>
          <w:rFonts w:eastAsia="SimSun"/>
        </w:rPr>
      </w:pPr>
      <w:r w:rsidRPr="009075DC">
        <w:rPr>
          <w:rFonts w:eastAsia="SimSun"/>
        </w:rPr>
        <w:t>A.</w:t>
      </w:r>
      <w:r w:rsidRPr="009075DC">
        <w:rPr>
          <w:rFonts w:eastAsia="SimSun"/>
        </w:rPr>
        <w:tab/>
        <w:t>Yes.  As noted above, Schedule 40 is now mandatory once a qualifying customer has been identified and approved for Schedule 40 service in a general rate case.  There are two additional customers who now qualify for this rate.  These customers have been included in Schedule 40.</w:t>
      </w:r>
    </w:p>
    <w:p w:rsidR="00863AE4" w:rsidRPr="009075DC" w:rsidRDefault="00863AE4" w:rsidP="00863AE4">
      <w:pPr>
        <w:pStyle w:val="question"/>
        <w:widowControl w:val="0"/>
        <w:rPr>
          <w:rFonts w:eastAsia="SimSun"/>
        </w:rPr>
      </w:pPr>
      <w:r w:rsidRPr="009075DC">
        <w:rPr>
          <w:rFonts w:eastAsia="SimSun"/>
        </w:rPr>
        <w:lastRenderedPageBreak/>
        <w:t>Q.</w:t>
      </w:r>
      <w:r w:rsidRPr="009075DC">
        <w:rPr>
          <w:rFonts w:eastAsia="SimSun"/>
        </w:rPr>
        <w:tab/>
        <w:t>Has PSE identified any customers that should be removed from Schedule 40 in this case?</w:t>
      </w:r>
    </w:p>
    <w:p w:rsidR="00863AE4" w:rsidRPr="009075DC" w:rsidRDefault="00863AE4" w:rsidP="00863AE4">
      <w:pPr>
        <w:pStyle w:val="answer"/>
        <w:widowControl w:val="0"/>
        <w:rPr>
          <w:rFonts w:eastAsia="SimSun"/>
        </w:rPr>
      </w:pPr>
      <w:r w:rsidRPr="009075DC">
        <w:rPr>
          <w:rFonts w:eastAsia="SimSun"/>
        </w:rPr>
        <w:t>A.</w:t>
      </w:r>
      <w:r w:rsidRPr="009075DC">
        <w:rPr>
          <w:rFonts w:eastAsia="SimSun"/>
        </w:rPr>
        <w:tab/>
        <w:t>Yes.  There is one customer who no longer qualifies for this rate.  This customer has been pro</w:t>
      </w:r>
      <w:r w:rsidR="00181A1F">
        <w:rPr>
          <w:rFonts w:eastAsia="SimSun"/>
        </w:rPr>
        <w:t xml:space="preserve"> </w:t>
      </w:r>
      <w:r w:rsidRPr="009075DC">
        <w:rPr>
          <w:rFonts w:eastAsia="SimSun"/>
        </w:rPr>
        <w:t>formed out of the calculation of Schedule 40 rates in this case and pro</w:t>
      </w:r>
      <w:r w:rsidR="00181A1F">
        <w:rPr>
          <w:rFonts w:eastAsia="SimSun"/>
        </w:rPr>
        <w:t xml:space="preserve"> </w:t>
      </w:r>
      <w:r w:rsidRPr="009075DC">
        <w:rPr>
          <w:rFonts w:eastAsia="SimSun"/>
        </w:rPr>
        <w:t>formed into the appropriate alternative rate schedules.</w:t>
      </w:r>
    </w:p>
    <w:p w:rsidR="00863AE4" w:rsidRPr="009075DC" w:rsidRDefault="00863AE4" w:rsidP="00863AE4">
      <w:pPr>
        <w:pStyle w:val="question"/>
        <w:widowControl w:val="0"/>
        <w:rPr>
          <w:rFonts w:eastAsia="SimSun"/>
        </w:rPr>
      </w:pPr>
      <w:r w:rsidRPr="009075DC">
        <w:rPr>
          <w:rFonts w:eastAsia="SimSun"/>
        </w:rPr>
        <w:t>Q.</w:t>
      </w:r>
      <w:r w:rsidRPr="009075DC">
        <w:rPr>
          <w:rFonts w:eastAsia="SimSun"/>
        </w:rPr>
        <w:tab/>
      </w:r>
      <w:r w:rsidR="002D693E">
        <w:rPr>
          <w:rFonts w:eastAsia="SimSun"/>
        </w:rPr>
        <w:t>Is</w:t>
      </w:r>
      <w:r>
        <w:rPr>
          <w:rFonts w:eastAsia="SimSun"/>
        </w:rPr>
        <w:t xml:space="preserve"> </w:t>
      </w:r>
      <w:r w:rsidRPr="009075DC">
        <w:rPr>
          <w:rFonts w:eastAsia="SimSun"/>
        </w:rPr>
        <w:t xml:space="preserve">PSE </w:t>
      </w:r>
      <w:r>
        <w:rPr>
          <w:rFonts w:eastAsia="SimSun"/>
        </w:rPr>
        <w:t>proposing to change any of the eligibility standards for qualifying under this tariff</w:t>
      </w:r>
      <w:r w:rsidRPr="009075DC">
        <w:rPr>
          <w:rFonts w:eastAsia="SimSun"/>
        </w:rPr>
        <w:t>?</w:t>
      </w:r>
    </w:p>
    <w:p w:rsidR="00BB6B94" w:rsidRDefault="00863AE4" w:rsidP="00863AE4">
      <w:pPr>
        <w:pStyle w:val="answer"/>
        <w:widowControl w:val="0"/>
        <w:rPr>
          <w:rFonts w:eastAsia="SimSun"/>
        </w:rPr>
      </w:pPr>
      <w:r w:rsidRPr="009075DC">
        <w:rPr>
          <w:rFonts w:eastAsia="SimSun"/>
        </w:rPr>
        <w:t>A.</w:t>
      </w:r>
      <w:r w:rsidRPr="009075DC">
        <w:rPr>
          <w:rFonts w:eastAsia="SimSun"/>
        </w:rPr>
        <w:tab/>
        <w:t xml:space="preserve">Yes. </w:t>
      </w:r>
      <w:r w:rsidR="00BB6B94">
        <w:rPr>
          <w:rFonts w:eastAsia="SimSun"/>
        </w:rPr>
        <w:t xml:space="preserve"> PSE is proposing to grandfather locations already served under Schedule 40 from losing their eligibility in future GRCs when </w:t>
      </w:r>
      <w:r w:rsidR="00E332F6">
        <w:rPr>
          <w:rFonts w:eastAsia="SimSun"/>
        </w:rPr>
        <w:t>th</w:t>
      </w:r>
      <w:r w:rsidR="00EF3B62">
        <w:rPr>
          <w:rFonts w:eastAsia="SimSun"/>
        </w:rPr>
        <w:t>ese</w:t>
      </w:r>
      <w:r w:rsidR="00E332F6">
        <w:rPr>
          <w:rFonts w:eastAsia="SimSun"/>
        </w:rPr>
        <w:t xml:space="preserve"> location</w:t>
      </w:r>
      <w:r w:rsidR="00EF3B62">
        <w:rPr>
          <w:rFonts w:eastAsia="SimSun"/>
        </w:rPr>
        <w:t>s</w:t>
      </w:r>
      <w:r w:rsidR="00E332F6">
        <w:rPr>
          <w:rFonts w:eastAsia="SimSun"/>
        </w:rPr>
        <w:t xml:space="preserve"> would have otherwise qualified </w:t>
      </w:r>
      <w:r w:rsidR="00EF3B62">
        <w:rPr>
          <w:rFonts w:eastAsia="SimSun"/>
        </w:rPr>
        <w:t xml:space="preserve">for service under Schedule 40 </w:t>
      </w:r>
      <w:r w:rsidR="00E332F6">
        <w:rPr>
          <w:rFonts w:eastAsia="SimSun"/>
        </w:rPr>
        <w:t xml:space="preserve">but for the fact that electric </w:t>
      </w:r>
      <w:r w:rsidR="00BB6B94">
        <w:rPr>
          <w:rFonts w:eastAsia="SimSun"/>
        </w:rPr>
        <w:t xml:space="preserve">service </w:t>
      </w:r>
      <w:r w:rsidR="00E332F6">
        <w:rPr>
          <w:rFonts w:eastAsia="SimSun"/>
        </w:rPr>
        <w:t xml:space="preserve">at this location </w:t>
      </w:r>
      <w:r w:rsidR="00EF3B62">
        <w:rPr>
          <w:rFonts w:eastAsia="SimSun"/>
        </w:rPr>
        <w:t>wa</w:t>
      </w:r>
      <w:r w:rsidR="00BB6B94">
        <w:rPr>
          <w:rFonts w:eastAsia="SimSun"/>
        </w:rPr>
        <w:t xml:space="preserve">s subsequently provided from </w:t>
      </w:r>
      <w:r w:rsidR="00E332F6">
        <w:rPr>
          <w:rFonts w:eastAsia="SimSun"/>
        </w:rPr>
        <w:t xml:space="preserve">a </w:t>
      </w:r>
      <w:r w:rsidR="00BB6B94">
        <w:rPr>
          <w:rFonts w:eastAsia="SimSun"/>
        </w:rPr>
        <w:t>different substation.</w:t>
      </w:r>
    </w:p>
    <w:p w:rsidR="00BB6B94" w:rsidRPr="00E332F6" w:rsidRDefault="00BB6B94" w:rsidP="00863AE4">
      <w:pPr>
        <w:pStyle w:val="answer"/>
        <w:widowControl w:val="0"/>
        <w:rPr>
          <w:rFonts w:eastAsia="SimSun"/>
          <w:b/>
        </w:rPr>
      </w:pPr>
      <w:r w:rsidRPr="00E332F6">
        <w:rPr>
          <w:rFonts w:eastAsia="SimSun"/>
          <w:b/>
        </w:rPr>
        <w:t>Q.</w:t>
      </w:r>
      <w:r w:rsidRPr="00E332F6">
        <w:rPr>
          <w:rFonts w:eastAsia="SimSun"/>
          <w:b/>
        </w:rPr>
        <w:tab/>
        <w:t>What prompted this proposal?</w:t>
      </w:r>
    </w:p>
    <w:p w:rsidR="00863AE4" w:rsidRPr="009075DC" w:rsidRDefault="00BB6B94" w:rsidP="00863AE4">
      <w:pPr>
        <w:pStyle w:val="answer"/>
        <w:widowControl w:val="0"/>
        <w:rPr>
          <w:rFonts w:eastAsia="SimSun"/>
        </w:rPr>
      </w:pPr>
      <w:r>
        <w:rPr>
          <w:rFonts w:eastAsia="SimSun"/>
        </w:rPr>
        <w:t>A.</w:t>
      </w:r>
      <w:r>
        <w:rPr>
          <w:rFonts w:eastAsia="SimSun"/>
        </w:rPr>
        <w:tab/>
      </w:r>
      <w:r w:rsidR="00E332F6">
        <w:rPr>
          <w:rFonts w:eastAsia="SimSun"/>
        </w:rPr>
        <w:t xml:space="preserve">PSE is attempting to address a situation where a decision made solely by the Company to maintain reliable service to its customers unintentionally results in the removal of a customer location from its existing service under Schedule 40.  Without the proposed language change, one customer location currently served under Schedule 40 will </w:t>
      </w:r>
      <w:r w:rsidR="000A7F6A">
        <w:rPr>
          <w:rFonts w:eastAsia="SimSun"/>
        </w:rPr>
        <w:t xml:space="preserve">no longer qualify for service under this schedule solely </w:t>
      </w:r>
      <w:r w:rsidR="00EF3B62">
        <w:rPr>
          <w:rFonts w:eastAsia="SimSun"/>
        </w:rPr>
        <w:t>as a result of PSE’s decision to reroute their service from a different substation</w:t>
      </w:r>
      <w:r w:rsidR="00863AE4" w:rsidRPr="009075DC">
        <w:rPr>
          <w:rFonts w:eastAsia="SimSun"/>
        </w:rPr>
        <w:t>.</w:t>
      </w:r>
      <w:r w:rsidR="00863AE4">
        <w:rPr>
          <w:rFonts w:eastAsia="SimSun"/>
        </w:rPr>
        <w:t xml:space="preserve">  </w:t>
      </w:r>
      <w:r w:rsidR="00EF3B62">
        <w:rPr>
          <w:rFonts w:eastAsia="SimSun"/>
        </w:rPr>
        <w:t>PSE believes that such an outcome is contrary to the underlying purpose of this schedule (i.e., to serve “campus” loads) and, as a result, is proposing tariff language changes to address these relatively narrow and rare circumstances.</w:t>
      </w:r>
    </w:p>
    <w:p w:rsidR="00863AE4" w:rsidRPr="009075DC" w:rsidRDefault="00863AE4" w:rsidP="00863AE4">
      <w:pPr>
        <w:pStyle w:val="question"/>
        <w:widowControl w:val="0"/>
        <w:rPr>
          <w:rFonts w:eastAsia="SimSun"/>
        </w:rPr>
      </w:pPr>
      <w:r w:rsidRPr="009075DC">
        <w:rPr>
          <w:rFonts w:eastAsia="SimSun"/>
        </w:rPr>
        <w:lastRenderedPageBreak/>
        <w:t>Q.</w:t>
      </w:r>
      <w:r w:rsidRPr="009075DC">
        <w:rPr>
          <w:rFonts w:eastAsia="SimSun"/>
        </w:rPr>
        <w:tab/>
        <w:t>Please summarize the rate design for Schedule 40.</w:t>
      </w:r>
    </w:p>
    <w:p w:rsidR="00863AE4" w:rsidRPr="009075DC" w:rsidRDefault="00863AE4" w:rsidP="00863AE4">
      <w:pPr>
        <w:pStyle w:val="answer"/>
        <w:widowControl w:val="0"/>
        <w:rPr>
          <w:rFonts w:eastAsia="SimSun"/>
        </w:rPr>
      </w:pPr>
      <w:r w:rsidRPr="009075DC">
        <w:rPr>
          <w:rFonts w:eastAsia="SimSun"/>
        </w:rPr>
        <w:t>A.</w:t>
      </w:r>
      <w:r w:rsidRPr="009075DC">
        <w:rPr>
          <w:rFonts w:eastAsia="SimSun"/>
        </w:rPr>
        <w:tab/>
        <w:t xml:space="preserve">Rates for Schedule 40 are calculated using the same </w:t>
      </w:r>
      <w:r w:rsidR="005051C0">
        <w:rPr>
          <w:rFonts w:eastAsia="SimSun"/>
        </w:rPr>
        <w:t xml:space="preserve">general </w:t>
      </w:r>
      <w:r w:rsidRPr="009075DC">
        <w:rPr>
          <w:rFonts w:eastAsia="SimSun"/>
        </w:rPr>
        <w:t xml:space="preserve">rate methodology used </w:t>
      </w:r>
      <w:r w:rsidR="005051C0">
        <w:rPr>
          <w:rFonts w:eastAsia="SimSun"/>
        </w:rPr>
        <w:t>since the inception of this rate schedule</w:t>
      </w:r>
      <w:r w:rsidRPr="009075DC">
        <w:rPr>
          <w:rFonts w:eastAsia="SimSun"/>
        </w:rPr>
        <w:t xml:space="preserve">.  Schedule 40 has customer-specific distribution rates and a bundled energy and transmission rate that is based upon Schedule 49 after an adjustment for losses.  The distribution rate is designed to recover customer-specific distribution costs on a levelized basis.  The bundled production and transmission energy and demand rates are linked to the parity-adjusted high voltage rates because the aggregated load of each of these customers is comparable to the load of high voltage customers. </w:t>
      </w:r>
    </w:p>
    <w:p w:rsidR="005051C0" w:rsidRDefault="00863AE4" w:rsidP="005051C0">
      <w:pPr>
        <w:pStyle w:val="answer"/>
        <w:widowControl w:val="0"/>
        <w:ind w:firstLine="0"/>
        <w:rPr>
          <w:rFonts w:eastAsia="SimSun"/>
        </w:rPr>
      </w:pPr>
      <w:r w:rsidRPr="009075DC">
        <w:rPr>
          <w:rFonts w:eastAsia="SimSun"/>
        </w:rPr>
        <w:t>The Company reviewed the distribution rates of the customers and adjusted their distribution costs, transformer costs, and substation costs based on plant additions and retirements that have occurred since PSE’s 20</w:t>
      </w:r>
      <w:r w:rsidR="002D693E">
        <w:rPr>
          <w:rFonts w:eastAsia="SimSun"/>
        </w:rPr>
        <w:t>11</w:t>
      </w:r>
      <w:r w:rsidRPr="009075DC">
        <w:rPr>
          <w:rFonts w:eastAsia="SimSun"/>
        </w:rPr>
        <w:t xml:space="preserve"> GRC.</w:t>
      </w:r>
    </w:p>
    <w:p w:rsidR="0026017D" w:rsidRPr="009075DC" w:rsidRDefault="0026017D" w:rsidP="0026017D">
      <w:pPr>
        <w:pStyle w:val="question"/>
        <w:widowControl w:val="0"/>
        <w:rPr>
          <w:rFonts w:eastAsia="SimSun"/>
        </w:rPr>
      </w:pPr>
      <w:r w:rsidRPr="009075DC">
        <w:rPr>
          <w:rFonts w:eastAsia="SimSun"/>
        </w:rPr>
        <w:t>Q.</w:t>
      </w:r>
      <w:r w:rsidRPr="009075DC">
        <w:rPr>
          <w:rFonts w:eastAsia="SimSun"/>
        </w:rPr>
        <w:tab/>
      </w:r>
      <w:r w:rsidR="00CE1920">
        <w:rPr>
          <w:rFonts w:eastAsia="SimSun"/>
        </w:rPr>
        <w:t>Is PSE proposing any other changes</w:t>
      </w:r>
      <w:r>
        <w:rPr>
          <w:rFonts w:eastAsia="SimSun"/>
        </w:rPr>
        <w:t>?</w:t>
      </w:r>
    </w:p>
    <w:p w:rsidR="00771B62" w:rsidRDefault="0026017D" w:rsidP="0026017D">
      <w:pPr>
        <w:pStyle w:val="answer"/>
        <w:widowControl w:val="0"/>
        <w:rPr>
          <w:rFonts w:eastAsia="SimSun"/>
        </w:rPr>
      </w:pPr>
      <w:r w:rsidRPr="009075DC">
        <w:rPr>
          <w:rFonts w:eastAsia="SimSun"/>
        </w:rPr>
        <w:t>A.</w:t>
      </w:r>
      <w:r w:rsidRPr="009075DC">
        <w:rPr>
          <w:rFonts w:eastAsia="SimSun"/>
        </w:rPr>
        <w:tab/>
      </w:r>
      <w:r w:rsidR="00697BE3">
        <w:rPr>
          <w:rFonts w:eastAsia="SimSun"/>
        </w:rPr>
        <w:t xml:space="preserve">Yes, </w:t>
      </w:r>
      <w:r w:rsidR="00CE1920">
        <w:rPr>
          <w:rFonts w:eastAsia="SimSun"/>
        </w:rPr>
        <w:t xml:space="preserve">PSE is proposing some minor modifications to the O&amp;M factors used to develop Schedule 40 rates.  First, PSE is proposing to calculate the Substation O&amp;M factor, which is used to estimate O&amp;M costs associated with assigned substations, as a percent </w:t>
      </w:r>
      <w:r w:rsidR="001A66B6">
        <w:rPr>
          <w:rFonts w:eastAsia="SimSun"/>
        </w:rPr>
        <w:t xml:space="preserve">of </w:t>
      </w:r>
      <w:r w:rsidR="00CE1920">
        <w:rPr>
          <w:rFonts w:eastAsia="SimSun"/>
        </w:rPr>
        <w:t>net substation plant.  Currently, the factor is calculated as the relationship between</w:t>
      </w:r>
      <w:r w:rsidR="00113B9D">
        <w:rPr>
          <w:rFonts w:eastAsia="SimSun"/>
        </w:rPr>
        <w:t xml:space="preserve"> system-level distribution</w:t>
      </w:r>
      <w:r w:rsidR="00CE1920">
        <w:rPr>
          <w:rFonts w:eastAsia="SimSun"/>
        </w:rPr>
        <w:t xml:space="preserve"> O&amp;M to </w:t>
      </w:r>
      <w:r w:rsidR="00CE1920" w:rsidRPr="00771B62">
        <w:rPr>
          <w:rFonts w:eastAsia="SimSun"/>
          <w:i/>
          <w:u w:val="single"/>
        </w:rPr>
        <w:t>gross</w:t>
      </w:r>
      <w:r w:rsidR="00CE1920">
        <w:rPr>
          <w:rFonts w:eastAsia="SimSun"/>
        </w:rPr>
        <w:t xml:space="preserve"> </w:t>
      </w:r>
      <w:r w:rsidR="00113B9D">
        <w:rPr>
          <w:rFonts w:eastAsia="SimSun"/>
        </w:rPr>
        <w:t xml:space="preserve">distribution </w:t>
      </w:r>
      <w:r w:rsidR="00CE1920">
        <w:rPr>
          <w:rFonts w:eastAsia="SimSun"/>
        </w:rPr>
        <w:t>plant and then a</w:t>
      </w:r>
      <w:r w:rsidR="00771B62">
        <w:rPr>
          <w:rFonts w:eastAsia="SimSun"/>
        </w:rPr>
        <w:t xml:space="preserve">pplied to </w:t>
      </w:r>
      <w:r w:rsidR="00771B62" w:rsidRPr="00771B62">
        <w:rPr>
          <w:rFonts w:eastAsia="SimSun"/>
          <w:i/>
          <w:u w:val="single"/>
        </w:rPr>
        <w:t>net</w:t>
      </w:r>
      <w:r w:rsidR="00771B62">
        <w:rPr>
          <w:rFonts w:eastAsia="SimSun"/>
        </w:rPr>
        <w:t xml:space="preserve"> substation plant</w:t>
      </w:r>
      <w:r w:rsidRPr="009075DC">
        <w:rPr>
          <w:rFonts w:eastAsia="SimSun"/>
        </w:rPr>
        <w:t>.</w:t>
      </w:r>
      <w:r w:rsidR="00771B62">
        <w:rPr>
          <w:rFonts w:eastAsia="SimSun"/>
        </w:rPr>
        <w:t xml:space="preserve">  Since this factor is being applied to net substation plant, calculating the factor as a percentage of net plant is more appropriate.  </w:t>
      </w:r>
    </w:p>
    <w:p w:rsidR="0026017D" w:rsidRDefault="00771B62" w:rsidP="00771B62">
      <w:pPr>
        <w:pStyle w:val="answer"/>
        <w:widowControl w:val="0"/>
        <w:ind w:firstLine="0"/>
        <w:rPr>
          <w:rFonts w:eastAsia="SimSun"/>
        </w:rPr>
      </w:pPr>
      <w:r>
        <w:rPr>
          <w:rFonts w:eastAsia="SimSun"/>
        </w:rPr>
        <w:lastRenderedPageBreak/>
        <w:t xml:space="preserve">Second, PSE is proposing to create a new O&amp;M factor for the calculation of </w:t>
      </w:r>
      <w:r w:rsidR="00113B9D">
        <w:rPr>
          <w:rFonts w:eastAsia="SimSun"/>
        </w:rPr>
        <w:t xml:space="preserve">O&amp;M for </w:t>
      </w:r>
      <w:r>
        <w:rPr>
          <w:rFonts w:eastAsia="SimSun"/>
        </w:rPr>
        <w:t>overhead distribution feeders.  Currently, there is a single distribution feeder O&amp;M factor that is applied</w:t>
      </w:r>
      <w:r w:rsidR="00113B9D">
        <w:rPr>
          <w:rFonts w:eastAsia="SimSun"/>
        </w:rPr>
        <w:t xml:space="preserve"> to</w:t>
      </w:r>
      <w:r>
        <w:rPr>
          <w:rFonts w:eastAsia="SimSun"/>
        </w:rPr>
        <w:t xml:space="preserve"> </w:t>
      </w:r>
      <w:r w:rsidR="00113B9D">
        <w:rPr>
          <w:rFonts w:eastAsia="SimSun"/>
        </w:rPr>
        <w:t xml:space="preserve">the </w:t>
      </w:r>
      <w:r>
        <w:rPr>
          <w:rFonts w:eastAsia="SimSun"/>
        </w:rPr>
        <w:t>estimated distribution feeder plant</w:t>
      </w:r>
      <w:r w:rsidR="00113B9D">
        <w:rPr>
          <w:rFonts w:eastAsia="SimSun"/>
        </w:rPr>
        <w:t xml:space="preserve"> serving each Schedule 40 location</w:t>
      </w:r>
      <w:r>
        <w:rPr>
          <w:rFonts w:eastAsia="SimSun"/>
        </w:rPr>
        <w:t xml:space="preserve">, regardless of whether the feeder is overhead or underground.  </w:t>
      </w:r>
      <w:r w:rsidR="00113B9D">
        <w:rPr>
          <w:rFonts w:eastAsia="SimSun"/>
        </w:rPr>
        <w:t xml:space="preserve">However, this O&amp;M factor is based exclusively </w:t>
      </w:r>
      <w:r>
        <w:rPr>
          <w:rFonts w:eastAsia="SimSun"/>
        </w:rPr>
        <w:t xml:space="preserve">on the relationship between </w:t>
      </w:r>
      <w:r w:rsidR="00113B9D">
        <w:rPr>
          <w:rFonts w:eastAsia="SimSun"/>
        </w:rPr>
        <w:t xml:space="preserve">system-level </w:t>
      </w:r>
      <w:r>
        <w:rPr>
          <w:rFonts w:eastAsia="SimSun"/>
        </w:rPr>
        <w:t xml:space="preserve">O&amp;M and </w:t>
      </w:r>
      <w:r w:rsidR="00113B9D">
        <w:rPr>
          <w:rFonts w:eastAsia="SimSun"/>
        </w:rPr>
        <w:t xml:space="preserve">plant for underground feeders.  In other words, an O&amp;M factor developed on the system-level relationship between O&amp;M and plant for </w:t>
      </w:r>
      <w:r w:rsidR="00113B9D" w:rsidRPr="00113B9D">
        <w:rPr>
          <w:rFonts w:eastAsia="SimSun"/>
          <w:i/>
          <w:u w:val="single"/>
        </w:rPr>
        <w:t>underground</w:t>
      </w:r>
      <w:r w:rsidR="00113B9D">
        <w:rPr>
          <w:rFonts w:eastAsia="SimSun"/>
        </w:rPr>
        <w:t xml:space="preserve"> feeders is currently being applied to the estimated plant cost for </w:t>
      </w:r>
      <w:r w:rsidR="00113B9D" w:rsidRPr="00113B9D">
        <w:rPr>
          <w:rFonts w:eastAsia="SimSun"/>
          <w:i/>
          <w:u w:val="single"/>
        </w:rPr>
        <w:t>overhead</w:t>
      </w:r>
      <w:r w:rsidR="00113B9D">
        <w:rPr>
          <w:rFonts w:eastAsia="SimSun"/>
        </w:rPr>
        <w:t xml:space="preserve"> feeders to estimate the associated overhead feeder O&amp;M</w:t>
      </w:r>
      <w:r w:rsidR="002D693E">
        <w:rPr>
          <w:rFonts w:eastAsia="SimSun"/>
        </w:rPr>
        <w:t xml:space="preserve"> under Schedule 40</w:t>
      </w:r>
      <w:r w:rsidR="00113B9D">
        <w:rPr>
          <w:rFonts w:eastAsia="SimSun"/>
        </w:rPr>
        <w:t>.  PSE is instead proposing to apply a new O&amp;M factor based on the relationship between system-level O&amp;M and plant for overhead feeders to the net plant value of overhead feeders serving each Schedule 40 location.</w:t>
      </w:r>
    </w:p>
    <w:p w:rsidR="00F8418D" w:rsidRPr="009075DC" w:rsidRDefault="00F8418D" w:rsidP="00F01467">
      <w:pPr>
        <w:pStyle w:val="question"/>
        <w:widowControl w:val="0"/>
        <w:rPr>
          <w:rFonts w:eastAsia="SimSun"/>
        </w:rPr>
      </w:pPr>
      <w:r w:rsidRPr="009075DC">
        <w:rPr>
          <w:rFonts w:eastAsia="SimSun"/>
        </w:rPr>
        <w:t>Q.</w:t>
      </w:r>
      <w:r w:rsidRPr="009075DC">
        <w:rPr>
          <w:rFonts w:eastAsia="SimSun"/>
        </w:rPr>
        <w:tab/>
      </w:r>
      <w:r w:rsidR="00693C4C">
        <w:rPr>
          <w:rFonts w:eastAsia="SimSun"/>
        </w:rPr>
        <w:t>Is PSE proposing any other changes to the rate calculations within Schedule 40</w:t>
      </w:r>
      <w:r w:rsidR="009B0EB2">
        <w:rPr>
          <w:rFonts w:eastAsia="SimSun"/>
        </w:rPr>
        <w:t>?</w:t>
      </w:r>
    </w:p>
    <w:p w:rsidR="00F8418D" w:rsidRDefault="00F8418D" w:rsidP="00F01467">
      <w:pPr>
        <w:pStyle w:val="answer"/>
        <w:widowControl w:val="0"/>
        <w:rPr>
          <w:rFonts w:eastAsia="SimSun"/>
        </w:rPr>
      </w:pPr>
      <w:r w:rsidRPr="009075DC">
        <w:rPr>
          <w:rFonts w:eastAsia="SimSun"/>
        </w:rPr>
        <w:t>A.</w:t>
      </w:r>
      <w:r w:rsidRPr="009075DC">
        <w:rPr>
          <w:rFonts w:eastAsia="SimSun"/>
        </w:rPr>
        <w:tab/>
      </w:r>
      <w:r w:rsidR="00693C4C">
        <w:rPr>
          <w:rFonts w:eastAsia="SimSun"/>
        </w:rPr>
        <w:t>Yes.  As part of the Rate Design Settlement discussed earlier in this testimony, PSE agreed to perform a study of the coinciden</w:t>
      </w:r>
      <w:r w:rsidR="003C19A1">
        <w:rPr>
          <w:rFonts w:eastAsia="SimSun"/>
        </w:rPr>
        <w:t>ce</w:t>
      </w:r>
      <w:r w:rsidR="00693C4C">
        <w:rPr>
          <w:rFonts w:eastAsia="SimSun"/>
        </w:rPr>
        <w:t xml:space="preserve"> factors used to calculate each customer’s Schedule 40 rates.  The proposed Schedule 40 rates in this case reflect the results of this study, which compiled the hourly load profiles of nearly all locations served under Schedule 40 and calculated the relationship between the </w:t>
      </w:r>
      <w:r w:rsidR="002D693E">
        <w:rPr>
          <w:rFonts w:eastAsia="SimSun"/>
        </w:rPr>
        <w:t>average monthly</w:t>
      </w:r>
      <w:r w:rsidR="00693C4C">
        <w:rPr>
          <w:rFonts w:eastAsia="SimSun"/>
        </w:rPr>
        <w:t xml:space="preserve"> peak load for each “campus” and the sum of the </w:t>
      </w:r>
      <w:r w:rsidR="002D693E">
        <w:rPr>
          <w:rFonts w:eastAsia="SimSun"/>
        </w:rPr>
        <w:t>monthly</w:t>
      </w:r>
      <w:r w:rsidR="00693C4C">
        <w:rPr>
          <w:rFonts w:eastAsia="SimSun"/>
        </w:rPr>
        <w:t xml:space="preserve"> non-</w:t>
      </w:r>
      <w:r w:rsidR="00693C4C">
        <w:rPr>
          <w:rFonts w:eastAsia="SimSun"/>
        </w:rPr>
        <w:lastRenderedPageBreak/>
        <w:t xml:space="preserve">coincident peaks of </w:t>
      </w:r>
      <w:r w:rsidR="003C19A1">
        <w:rPr>
          <w:rFonts w:eastAsia="SimSun"/>
        </w:rPr>
        <w:t>each location within the campus</w:t>
      </w:r>
      <w:r w:rsidRPr="009075DC">
        <w:rPr>
          <w:rFonts w:eastAsia="SimSun"/>
        </w:rPr>
        <w:t>.</w:t>
      </w:r>
      <w:r w:rsidR="003C19A1">
        <w:rPr>
          <w:rStyle w:val="FootnoteReference"/>
          <w:rFonts w:eastAsia="SimSun"/>
        </w:rPr>
        <w:footnoteReference w:id="22"/>
      </w:r>
      <w:r w:rsidR="003C19A1">
        <w:rPr>
          <w:rFonts w:eastAsia="SimSun"/>
        </w:rPr>
        <w:t xml:space="preserve">  The intent of this calculation is to produce a “coincidence” factor to be applied to Schedule 40 </w:t>
      </w:r>
      <w:r w:rsidR="002D693E">
        <w:rPr>
          <w:rFonts w:eastAsia="SimSun"/>
        </w:rPr>
        <w:t xml:space="preserve">monthly </w:t>
      </w:r>
      <w:r w:rsidR="003C19A1">
        <w:rPr>
          <w:rFonts w:eastAsia="SimSun"/>
        </w:rPr>
        <w:t>metered demands to estimate what th</w:t>
      </w:r>
      <w:r w:rsidR="002D693E">
        <w:rPr>
          <w:rFonts w:eastAsia="SimSun"/>
        </w:rPr>
        <w:t>os</w:t>
      </w:r>
      <w:r w:rsidR="003C19A1">
        <w:rPr>
          <w:rFonts w:eastAsia="SimSun"/>
        </w:rPr>
        <w:t>e metered demand</w:t>
      </w:r>
      <w:r w:rsidR="002D693E">
        <w:rPr>
          <w:rFonts w:eastAsia="SimSun"/>
        </w:rPr>
        <w:t>s</w:t>
      </w:r>
      <w:r w:rsidR="003C19A1">
        <w:rPr>
          <w:rFonts w:eastAsia="SimSun"/>
        </w:rPr>
        <w:t xml:space="preserve"> would have been if the entire campus were metered a</w:t>
      </w:r>
      <w:r w:rsidR="007D792A">
        <w:rPr>
          <w:rFonts w:eastAsia="SimSun"/>
        </w:rPr>
        <w:t>s</w:t>
      </w:r>
      <w:r w:rsidR="003C19A1">
        <w:rPr>
          <w:rFonts w:eastAsia="SimSun"/>
        </w:rPr>
        <w:t xml:space="preserve"> one location (i.e., looking more like a Schedule 49 customer).  The coincident demand</w:t>
      </w:r>
      <w:r w:rsidR="002D693E">
        <w:rPr>
          <w:rFonts w:eastAsia="SimSun"/>
        </w:rPr>
        <w:t>s</w:t>
      </w:r>
      <w:r w:rsidR="003C19A1">
        <w:rPr>
          <w:rFonts w:eastAsia="SimSun"/>
        </w:rPr>
        <w:t xml:space="preserve"> for the Schedule 40 customers are then applied to the production and transmission rates in Schedule 49 as if it were a high-voltage customer served under this schedule.  </w:t>
      </w:r>
      <w:r w:rsidR="002D693E">
        <w:rPr>
          <w:rFonts w:eastAsia="SimSun"/>
        </w:rPr>
        <w:t>A summary of the resulting coincident factors for each campus, including new campuses that will begin taking service under Schedule 40 upon the effective date of rates in this GRC, is provided in Exhibit No.___(JAP-</w:t>
      </w:r>
      <w:r w:rsidR="00110894">
        <w:rPr>
          <w:rFonts w:eastAsia="SimSun"/>
        </w:rPr>
        <w:fldChar w:fldCharType="begin"/>
      </w:r>
      <w:r w:rsidR="00110894">
        <w:rPr>
          <w:rFonts w:eastAsia="SimSun"/>
        </w:rPr>
        <w:instrText xml:space="preserve"> REF _Ref442786675 \r \h </w:instrText>
      </w:r>
      <w:r w:rsidR="00110894">
        <w:rPr>
          <w:rFonts w:eastAsia="SimSun"/>
        </w:rPr>
      </w:r>
      <w:r w:rsidR="00110894">
        <w:rPr>
          <w:rFonts w:eastAsia="SimSun"/>
        </w:rPr>
        <w:fldChar w:fldCharType="separate"/>
      </w:r>
      <w:r w:rsidR="0035666C">
        <w:rPr>
          <w:rFonts w:eastAsia="SimSun"/>
        </w:rPr>
        <w:t>18</w:t>
      </w:r>
      <w:r w:rsidR="00110894">
        <w:rPr>
          <w:rFonts w:eastAsia="SimSun"/>
        </w:rPr>
        <w:fldChar w:fldCharType="end"/>
      </w:r>
      <w:r w:rsidR="002D693E">
        <w:rPr>
          <w:rFonts w:eastAsia="SimSun"/>
        </w:rPr>
        <w:t>).</w:t>
      </w:r>
    </w:p>
    <w:p w:rsidR="00F8418D" w:rsidRPr="009075DC" w:rsidRDefault="001D2B74" w:rsidP="00F01467">
      <w:pPr>
        <w:pStyle w:val="Heading2"/>
        <w:keepNext w:val="0"/>
        <w:keepLines w:val="0"/>
        <w:widowControl w:val="0"/>
        <w:spacing w:before="240" w:after="240"/>
        <w:rPr>
          <w:rFonts w:eastAsia="SimSun"/>
        </w:rPr>
      </w:pPr>
      <w:bookmarkStart w:id="133" w:name="_Toc127023399"/>
      <w:bookmarkStart w:id="134" w:name="_Toc229277859"/>
      <w:bookmarkStart w:id="135" w:name="_Toc471912954"/>
      <w:r>
        <w:rPr>
          <w:rFonts w:eastAsia="SimSun"/>
          <w:u w:val="none"/>
        </w:rPr>
        <w:t>F</w:t>
      </w:r>
      <w:r w:rsidR="00F8418D" w:rsidRPr="009075DC">
        <w:rPr>
          <w:rFonts w:eastAsia="SimSun"/>
          <w:u w:val="none"/>
        </w:rPr>
        <w:t>.</w:t>
      </w:r>
      <w:r w:rsidR="00F8418D" w:rsidRPr="009075DC">
        <w:rPr>
          <w:rFonts w:eastAsia="SimSun"/>
          <w:u w:val="none"/>
        </w:rPr>
        <w:tab/>
      </w:r>
      <w:r w:rsidR="00FC5841">
        <w:rPr>
          <w:rFonts w:eastAsia="SimSun"/>
        </w:rPr>
        <w:t xml:space="preserve">Proposed </w:t>
      </w:r>
      <w:r w:rsidR="00F8418D" w:rsidRPr="009075DC">
        <w:rPr>
          <w:rFonts w:eastAsia="SimSun"/>
        </w:rPr>
        <w:t>High Voltage Rate Design</w:t>
      </w:r>
      <w:bookmarkEnd w:id="133"/>
      <w:bookmarkEnd w:id="134"/>
      <w:bookmarkEnd w:id="135"/>
    </w:p>
    <w:p w:rsidR="00300996" w:rsidRPr="009075DC" w:rsidRDefault="00300996" w:rsidP="00300996">
      <w:pPr>
        <w:pStyle w:val="question"/>
        <w:widowControl w:val="0"/>
        <w:rPr>
          <w:rFonts w:eastAsia="SimSun"/>
        </w:rPr>
      </w:pPr>
      <w:r w:rsidRPr="009075DC">
        <w:rPr>
          <w:rFonts w:eastAsia="SimSun"/>
        </w:rPr>
        <w:t>Q.</w:t>
      </w:r>
      <w:r w:rsidRPr="009075DC">
        <w:rPr>
          <w:rFonts w:eastAsia="SimSun"/>
        </w:rPr>
        <w:tab/>
        <w:t>Please summarize the high voltage rate design.</w:t>
      </w:r>
    </w:p>
    <w:p w:rsidR="00300996" w:rsidRPr="009075DC" w:rsidRDefault="00300996" w:rsidP="00300996">
      <w:pPr>
        <w:pStyle w:val="answer"/>
        <w:widowControl w:val="0"/>
        <w:rPr>
          <w:rFonts w:eastAsia="SimSun"/>
        </w:rPr>
      </w:pPr>
      <w:r w:rsidRPr="009075DC">
        <w:rPr>
          <w:rFonts w:eastAsia="SimSun"/>
        </w:rPr>
        <w:t>A.</w:t>
      </w:r>
      <w:r w:rsidRPr="009075DC">
        <w:rPr>
          <w:rFonts w:eastAsia="SimSun"/>
        </w:rPr>
        <w:tab/>
      </w:r>
      <w:r w:rsidR="008B7B64" w:rsidRPr="00F85F00">
        <w:rPr>
          <w:rFonts w:eastAsia="SimSun"/>
        </w:rPr>
        <w:t xml:space="preserve">These customers are served under two schedules:  </w:t>
      </w:r>
      <w:r w:rsidR="008B7B64" w:rsidRPr="009075DC">
        <w:rPr>
          <w:rFonts w:eastAsia="SimSun"/>
        </w:rPr>
        <w:t>High Voltage General Service (Schedule 49) and High Voltage Interruptible Service (Schedule 46)</w:t>
      </w:r>
      <w:r w:rsidR="008B7B64" w:rsidRPr="00F85F00">
        <w:rPr>
          <w:rFonts w:eastAsia="SimSun"/>
        </w:rPr>
        <w:t xml:space="preserve">.  Both schedules have </w:t>
      </w:r>
      <w:r w:rsidR="008B7B64">
        <w:rPr>
          <w:rFonts w:eastAsia="SimSun"/>
        </w:rPr>
        <w:t xml:space="preserve">demand charges </w:t>
      </w:r>
      <w:r w:rsidR="008B7B64" w:rsidRPr="00F85F00">
        <w:rPr>
          <w:rFonts w:eastAsia="SimSun"/>
        </w:rPr>
        <w:t xml:space="preserve">and a single-block energy charge.  </w:t>
      </w:r>
      <w:r w:rsidR="008B7B64">
        <w:rPr>
          <w:rFonts w:eastAsia="SimSun"/>
        </w:rPr>
        <w:t>The energy rates for these schedules are tied together, only the demand charge differs.  Each</w:t>
      </w:r>
      <w:r w:rsidRPr="009075DC">
        <w:rPr>
          <w:rFonts w:eastAsia="SimSun"/>
        </w:rPr>
        <w:t xml:space="preserve"> </w:t>
      </w:r>
      <w:r w:rsidR="008B7B64">
        <w:rPr>
          <w:rFonts w:eastAsia="SimSun"/>
        </w:rPr>
        <w:t>rate component for</w:t>
      </w:r>
      <w:r w:rsidRPr="009075DC">
        <w:rPr>
          <w:rFonts w:eastAsia="SimSun"/>
        </w:rPr>
        <w:t xml:space="preserve"> Schedule 49 and Schedule 46 w</w:t>
      </w:r>
      <w:r w:rsidR="008B7B64">
        <w:rPr>
          <w:rFonts w:eastAsia="SimSun"/>
        </w:rPr>
        <w:t>as</w:t>
      </w:r>
      <w:r w:rsidRPr="009075DC">
        <w:rPr>
          <w:rFonts w:eastAsia="SimSun"/>
        </w:rPr>
        <w:t xml:space="preserve"> increased by the class average increase. </w:t>
      </w:r>
    </w:p>
    <w:p w:rsidR="00C03D0A" w:rsidRDefault="00C03D0A" w:rsidP="00C216CC">
      <w:pPr>
        <w:pStyle w:val="answer"/>
        <w:rPr>
          <w:rFonts w:eastAsia="SimSun"/>
        </w:rPr>
      </w:pPr>
    </w:p>
    <w:p w:rsidR="006E08AF" w:rsidRPr="009075DC" w:rsidRDefault="001D2B74" w:rsidP="006E08AF">
      <w:pPr>
        <w:pStyle w:val="Heading2"/>
        <w:keepNext w:val="0"/>
        <w:keepLines w:val="0"/>
        <w:widowControl w:val="0"/>
        <w:spacing w:before="240" w:after="240"/>
        <w:rPr>
          <w:rFonts w:eastAsia="SimSun"/>
        </w:rPr>
      </w:pPr>
      <w:bookmarkStart w:id="136" w:name="_Toc471912955"/>
      <w:r>
        <w:rPr>
          <w:rFonts w:eastAsia="SimSun"/>
          <w:u w:val="none"/>
        </w:rPr>
        <w:lastRenderedPageBreak/>
        <w:t>G</w:t>
      </w:r>
      <w:r w:rsidR="006E08AF" w:rsidRPr="009075DC">
        <w:rPr>
          <w:rFonts w:eastAsia="SimSun"/>
          <w:u w:val="none"/>
        </w:rPr>
        <w:t>.</w:t>
      </w:r>
      <w:r w:rsidR="006E08AF" w:rsidRPr="009075DC">
        <w:rPr>
          <w:rFonts w:eastAsia="SimSun"/>
          <w:u w:val="none"/>
        </w:rPr>
        <w:tab/>
      </w:r>
      <w:r w:rsidR="006E08AF">
        <w:rPr>
          <w:rFonts w:eastAsia="SimSun"/>
        </w:rPr>
        <w:t xml:space="preserve">Retail Wheeling </w:t>
      </w:r>
      <w:r w:rsidR="006E08AF" w:rsidRPr="009075DC">
        <w:rPr>
          <w:rFonts w:eastAsia="SimSun"/>
        </w:rPr>
        <w:t>Rate Design</w:t>
      </w:r>
      <w:bookmarkEnd w:id="136"/>
    </w:p>
    <w:p w:rsidR="0026017D" w:rsidRPr="009075DC" w:rsidRDefault="0026017D" w:rsidP="0026017D">
      <w:pPr>
        <w:pStyle w:val="question"/>
        <w:widowControl w:val="0"/>
        <w:rPr>
          <w:rFonts w:eastAsia="SimSun"/>
        </w:rPr>
      </w:pPr>
      <w:r w:rsidRPr="009075DC">
        <w:rPr>
          <w:rFonts w:eastAsia="SimSun"/>
        </w:rPr>
        <w:t>Q.</w:t>
      </w:r>
      <w:r w:rsidRPr="009075DC">
        <w:rPr>
          <w:rFonts w:eastAsia="SimSun"/>
        </w:rPr>
        <w:tab/>
      </w:r>
      <w:r w:rsidR="008B7B64">
        <w:rPr>
          <w:rFonts w:eastAsia="SimSun"/>
        </w:rPr>
        <w:t>Please summarize the retail wheeling rate design.</w:t>
      </w:r>
    </w:p>
    <w:p w:rsidR="000E3483" w:rsidRDefault="0026017D" w:rsidP="0026017D">
      <w:pPr>
        <w:pStyle w:val="answer"/>
        <w:widowControl w:val="0"/>
        <w:rPr>
          <w:rFonts w:eastAsia="SimSun"/>
        </w:rPr>
      </w:pPr>
      <w:r w:rsidRPr="009075DC">
        <w:rPr>
          <w:rFonts w:eastAsia="SimSun"/>
        </w:rPr>
        <w:t>A.</w:t>
      </w:r>
      <w:r w:rsidRPr="009075DC">
        <w:rPr>
          <w:rFonts w:eastAsia="SimSun"/>
        </w:rPr>
        <w:tab/>
      </w:r>
      <w:r w:rsidR="000E7D46">
        <w:rPr>
          <w:rFonts w:eastAsia="SimSun"/>
        </w:rPr>
        <w:t xml:space="preserve">PSE proposes to significantly simplify pricing </w:t>
      </w:r>
      <w:r w:rsidR="008B7B64" w:rsidRPr="009075DC">
        <w:rPr>
          <w:rFonts w:eastAsia="SimSun"/>
        </w:rPr>
        <w:t xml:space="preserve">for Power Supplier Choice and Retail Wheeling Service (Schedules 448 and 449) </w:t>
      </w:r>
      <w:r w:rsidR="000E7D46">
        <w:rPr>
          <w:rFonts w:eastAsia="SimSun"/>
        </w:rPr>
        <w:t xml:space="preserve">by setting </w:t>
      </w:r>
      <w:r w:rsidR="008B7B64" w:rsidRPr="009075DC">
        <w:rPr>
          <w:rFonts w:eastAsia="SimSun"/>
        </w:rPr>
        <w:t>the basic charge at its cost of service</w:t>
      </w:r>
      <w:r w:rsidR="000E7D46">
        <w:rPr>
          <w:rFonts w:eastAsia="SimSun"/>
        </w:rPr>
        <w:t xml:space="preserve"> and eliminating the existing </w:t>
      </w:r>
      <w:r w:rsidR="008B7B64" w:rsidRPr="009075DC">
        <w:rPr>
          <w:rFonts w:eastAsia="SimSun"/>
        </w:rPr>
        <w:t xml:space="preserve">per kVA </w:t>
      </w:r>
      <w:r w:rsidR="000E7D46">
        <w:rPr>
          <w:rFonts w:eastAsia="SimSun"/>
        </w:rPr>
        <w:t>charges</w:t>
      </w:r>
      <w:r w:rsidRPr="009075DC">
        <w:rPr>
          <w:rFonts w:eastAsia="SimSun"/>
        </w:rPr>
        <w:t>.</w:t>
      </w:r>
      <w:r w:rsidR="000E3483">
        <w:rPr>
          <w:rFonts w:eastAsia="SimSun"/>
        </w:rPr>
        <w:t xml:space="preserve"> </w:t>
      </w:r>
      <w:r w:rsidR="000E7D46">
        <w:rPr>
          <w:rFonts w:eastAsia="SimSun"/>
        </w:rPr>
        <w:tab/>
      </w:r>
    </w:p>
    <w:p w:rsidR="000E7D46" w:rsidRPr="000E7D46" w:rsidRDefault="000E7D46" w:rsidP="0026017D">
      <w:pPr>
        <w:pStyle w:val="answer"/>
        <w:widowControl w:val="0"/>
        <w:rPr>
          <w:rFonts w:eastAsia="SimSun"/>
          <w:b/>
        </w:rPr>
      </w:pPr>
      <w:r w:rsidRPr="000E7D46">
        <w:rPr>
          <w:rFonts w:eastAsia="SimSun"/>
          <w:b/>
        </w:rPr>
        <w:t>Q.</w:t>
      </w:r>
      <w:r w:rsidRPr="000E7D46">
        <w:rPr>
          <w:rFonts w:eastAsia="SimSun"/>
          <w:b/>
        </w:rPr>
        <w:tab/>
        <w:t>Why is PSE proposing to eliminate the kVA charges for Schedules 448 and 449?</w:t>
      </w:r>
    </w:p>
    <w:p w:rsidR="000E7D46" w:rsidRDefault="000E7D46" w:rsidP="0026017D">
      <w:pPr>
        <w:pStyle w:val="answer"/>
        <w:widowControl w:val="0"/>
        <w:rPr>
          <w:rFonts w:eastAsia="SimSun"/>
        </w:rPr>
      </w:pPr>
      <w:r>
        <w:rPr>
          <w:rFonts w:eastAsia="SimSun"/>
        </w:rPr>
        <w:t>A.</w:t>
      </w:r>
      <w:r>
        <w:rPr>
          <w:rFonts w:eastAsia="SimSun"/>
        </w:rPr>
        <w:tab/>
        <w:t xml:space="preserve">PSE is proposing to eliminate the kVA charges under Schedules 448 and 449 since they </w:t>
      </w:r>
      <w:r w:rsidR="001D3062">
        <w:rPr>
          <w:rFonts w:eastAsia="SimSun"/>
        </w:rPr>
        <w:t>are not necessary for PSE to recover its cost of serving customers under these schedules</w:t>
      </w:r>
      <w:r>
        <w:rPr>
          <w:rFonts w:eastAsia="SimSun"/>
        </w:rPr>
        <w:t>.  There are three primary categories of costs incurred by PSE in providing service to these customers</w:t>
      </w:r>
      <w:r w:rsidR="00863939">
        <w:rPr>
          <w:rFonts w:eastAsia="SimSun"/>
        </w:rPr>
        <w:t xml:space="preserve">: </w:t>
      </w:r>
      <w:r>
        <w:rPr>
          <w:rFonts w:eastAsia="SimSun"/>
        </w:rPr>
        <w:t>customer-related costs, distribution costs and transmission costs.  Customer-related costs are recovered through the basic charge</w:t>
      </w:r>
      <w:r w:rsidR="001D3062">
        <w:rPr>
          <w:rFonts w:eastAsia="SimSun"/>
        </w:rPr>
        <w:t>s</w:t>
      </w:r>
      <w:r>
        <w:rPr>
          <w:rFonts w:eastAsia="SimSun"/>
        </w:rPr>
        <w:t xml:space="preserve"> </w:t>
      </w:r>
      <w:r w:rsidR="001D3062">
        <w:rPr>
          <w:rFonts w:eastAsia="SimSun"/>
        </w:rPr>
        <w:t xml:space="preserve">within </w:t>
      </w:r>
      <w:r>
        <w:rPr>
          <w:rFonts w:eastAsia="SimSun"/>
        </w:rPr>
        <w:t xml:space="preserve">these schedules.  Distribution costs, for those retail wheeling customers that take service at distribution voltages, are currently recovered under PSE’s Schedule 62 (Substation and Related Equipment Capacity).  Transmission costs are recovered from these customers through </w:t>
      </w:r>
      <w:r w:rsidR="001D3062">
        <w:rPr>
          <w:rFonts w:eastAsia="SimSun"/>
        </w:rPr>
        <w:t xml:space="preserve">PSE’s FERC-jurisdictional OATT.  Since there are no further costs for PSE to recover from these customers, the kVA charges are unnecessary.  </w:t>
      </w:r>
    </w:p>
    <w:p w:rsidR="001D3062" w:rsidRPr="003D74E1" w:rsidRDefault="001D3062" w:rsidP="0026017D">
      <w:pPr>
        <w:pStyle w:val="answer"/>
        <w:widowControl w:val="0"/>
        <w:rPr>
          <w:rFonts w:eastAsia="SimSun"/>
          <w:b/>
        </w:rPr>
      </w:pPr>
      <w:r w:rsidRPr="003D74E1">
        <w:rPr>
          <w:rFonts w:eastAsia="SimSun"/>
          <w:b/>
        </w:rPr>
        <w:t>Q.</w:t>
      </w:r>
      <w:r w:rsidRPr="003D74E1">
        <w:rPr>
          <w:rFonts w:eastAsia="SimSun"/>
          <w:b/>
        </w:rPr>
        <w:tab/>
        <w:t>If PSE is recovering its costs from these customers through its basic charges, Schedule 62 and OATT, why is there such a difference between their allocated costs and proposed revenue?</w:t>
      </w:r>
    </w:p>
    <w:p w:rsidR="001D3062" w:rsidRDefault="001D3062" w:rsidP="0026017D">
      <w:pPr>
        <w:pStyle w:val="answer"/>
        <w:widowControl w:val="0"/>
        <w:rPr>
          <w:rFonts w:eastAsia="SimSun"/>
        </w:rPr>
      </w:pPr>
      <w:r>
        <w:rPr>
          <w:rFonts w:eastAsia="SimSun"/>
        </w:rPr>
        <w:t>A.</w:t>
      </w:r>
      <w:r>
        <w:rPr>
          <w:rFonts w:eastAsia="SimSun"/>
        </w:rPr>
        <w:tab/>
        <w:t xml:space="preserve">These differences are tied to the recovery of distribution and transmission costs.  </w:t>
      </w:r>
      <w:r>
        <w:rPr>
          <w:rFonts w:eastAsia="SimSun"/>
        </w:rPr>
        <w:lastRenderedPageBreak/>
        <w:t>First, as noted earlier, distribution costs are recovered from these customers through Schedule 62.  Schedule 62 recovers PSE’s distribution costs through a lease-type arrangement where the</w:t>
      </w:r>
      <w:r w:rsidR="003D74E1">
        <w:rPr>
          <w:rFonts w:eastAsia="SimSun"/>
        </w:rPr>
        <w:t>se</w:t>
      </w:r>
      <w:r>
        <w:rPr>
          <w:rFonts w:eastAsia="SimSun"/>
        </w:rPr>
        <w:t xml:space="preserve"> payment</w:t>
      </w:r>
      <w:r w:rsidR="003D74E1">
        <w:rPr>
          <w:rFonts w:eastAsia="SimSun"/>
        </w:rPr>
        <w:t>s</w:t>
      </w:r>
      <w:r>
        <w:rPr>
          <w:rFonts w:eastAsia="SimSun"/>
        </w:rPr>
        <w:t xml:space="preserve"> </w:t>
      </w:r>
      <w:r w:rsidR="003D74E1">
        <w:rPr>
          <w:rFonts w:eastAsia="SimSun"/>
        </w:rPr>
        <w:t>are</w:t>
      </w:r>
      <w:r>
        <w:rPr>
          <w:rFonts w:eastAsia="SimSun"/>
        </w:rPr>
        <w:t xml:space="preserve"> levelized over a 10-year period.  As a consequence, there may be timing differences between the incurrence and recovery of costs under this schedule.  However, o</w:t>
      </w:r>
      <w:r w:rsidR="003D74E1">
        <w:rPr>
          <w:rFonts w:eastAsia="SimSun"/>
        </w:rPr>
        <w:t>ver</w:t>
      </w:r>
      <w:r>
        <w:rPr>
          <w:rFonts w:eastAsia="SimSun"/>
        </w:rPr>
        <w:t xml:space="preserve"> the term of the lease, these costs are </w:t>
      </w:r>
      <w:r w:rsidR="003D74E1">
        <w:rPr>
          <w:rFonts w:eastAsia="SimSun"/>
        </w:rPr>
        <w:t xml:space="preserve">intended to be </w:t>
      </w:r>
      <w:r>
        <w:rPr>
          <w:rFonts w:eastAsia="SimSun"/>
        </w:rPr>
        <w:t xml:space="preserve">fully recovered from these customers.  </w:t>
      </w:r>
    </w:p>
    <w:p w:rsidR="003D74E1" w:rsidRDefault="003D74E1" w:rsidP="0026017D">
      <w:pPr>
        <w:pStyle w:val="answer"/>
        <w:widowControl w:val="0"/>
        <w:rPr>
          <w:rFonts w:eastAsia="SimSun"/>
        </w:rPr>
      </w:pPr>
      <w:r>
        <w:rPr>
          <w:rFonts w:eastAsia="SimSun"/>
        </w:rPr>
        <w:tab/>
        <w:t xml:space="preserve">Second, as also noted earlier, transmission costs are recovered through PSE’s OATT.  PSE recovers a substantial majority of its transmission costs through a formula rate approved by FERC, which allocates costs and prices transmission service based on a methodology approved by FERC.  These methodologies differ from those approved by the WUTC for state-jurisdictional transmission service. The cost of service study provided with this filing </w:t>
      </w:r>
      <w:r w:rsidR="004A36C8">
        <w:rPr>
          <w:rFonts w:eastAsia="SimSun"/>
        </w:rPr>
        <w:t xml:space="preserve">allocates transmission costs using PSE’s </w:t>
      </w:r>
      <w:r>
        <w:rPr>
          <w:rFonts w:eastAsia="SimSun"/>
        </w:rPr>
        <w:t>“peak credit” methodology discussed earlier in testimony</w:t>
      </w:r>
      <w:r w:rsidR="00AC78A7">
        <w:rPr>
          <w:rFonts w:eastAsia="SimSun"/>
        </w:rPr>
        <w:t>, which allocates a substantial portion of transmission costs on energy consumption</w:t>
      </w:r>
      <w:r>
        <w:rPr>
          <w:rFonts w:eastAsia="SimSun"/>
        </w:rPr>
        <w:t>.  However, the offsetting transmission</w:t>
      </w:r>
      <w:r w:rsidR="00AC78A7">
        <w:rPr>
          <w:rFonts w:eastAsia="SimSun"/>
        </w:rPr>
        <w:t xml:space="preserve"> revenue for these customers is</w:t>
      </w:r>
      <w:r>
        <w:rPr>
          <w:rFonts w:eastAsia="SimSun"/>
        </w:rPr>
        <w:t xml:space="preserve"> based on </w:t>
      </w:r>
      <w:r w:rsidR="004A36C8">
        <w:rPr>
          <w:rFonts w:eastAsia="SimSun"/>
        </w:rPr>
        <w:t xml:space="preserve">a </w:t>
      </w:r>
      <w:r>
        <w:rPr>
          <w:rFonts w:eastAsia="SimSun"/>
        </w:rPr>
        <w:t xml:space="preserve">FERC-approved </w:t>
      </w:r>
      <w:r w:rsidR="004A36C8">
        <w:rPr>
          <w:rFonts w:eastAsia="SimSun"/>
        </w:rPr>
        <w:t>method for allocating these transmission costs, which are</w:t>
      </w:r>
      <w:r w:rsidR="00AC78A7">
        <w:rPr>
          <w:rFonts w:eastAsia="SimSun"/>
        </w:rPr>
        <w:t xml:space="preserve"> largely </w:t>
      </w:r>
      <w:r w:rsidR="004A36C8">
        <w:rPr>
          <w:rFonts w:eastAsia="SimSun"/>
        </w:rPr>
        <w:t xml:space="preserve">allocated on </w:t>
      </w:r>
      <w:r w:rsidR="00AC78A7">
        <w:rPr>
          <w:rFonts w:eastAsia="SimSun"/>
        </w:rPr>
        <w:t>customers</w:t>
      </w:r>
      <w:r w:rsidR="006D478A">
        <w:rPr>
          <w:rFonts w:eastAsia="SimSun"/>
        </w:rPr>
        <w:t>’</w:t>
      </w:r>
      <w:r w:rsidR="00AC78A7">
        <w:rPr>
          <w:rFonts w:eastAsia="SimSun"/>
        </w:rPr>
        <w:t xml:space="preserve"> contribution to the average monthly coincident demand on PSE’s transmission system</w:t>
      </w:r>
      <w:r w:rsidR="004A36C8">
        <w:rPr>
          <w:rFonts w:eastAsia="SimSun"/>
        </w:rPr>
        <w:t xml:space="preserve"> (i.e., “12 CP”)</w:t>
      </w:r>
      <w:r w:rsidR="00AC78A7">
        <w:rPr>
          <w:rFonts w:eastAsia="SimSun"/>
        </w:rPr>
        <w:t>.</w:t>
      </w:r>
    </w:p>
    <w:p w:rsidR="002F7A4E" w:rsidRPr="009075DC" w:rsidRDefault="002F7A4E" w:rsidP="002F7A4E">
      <w:pPr>
        <w:pStyle w:val="Heading2"/>
        <w:keepNext w:val="0"/>
        <w:keepLines w:val="0"/>
        <w:widowControl w:val="0"/>
        <w:spacing w:before="240" w:after="240"/>
        <w:rPr>
          <w:rFonts w:eastAsia="SimSun"/>
        </w:rPr>
      </w:pPr>
      <w:bookmarkStart w:id="137" w:name="_Toc471912956"/>
      <w:r>
        <w:rPr>
          <w:rFonts w:eastAsia="SimSun"/>
          <w:u w:val="none"/>
        </w:rPr>
        <w:t>H</w:t>
      </w:r>
      <w:r w:rsidRPr="009075DC">
        <w:rPr>
          <w:rFonts w:eastAsia="SimSun"/>
          <w:u w:val="none"/>
        </w:rPr>
        <w:t>.</w:t>
      </w:r>
      <w:r w:rsidRPr="009075DC">
        <w:rPr>
          <w:rFonts w:eastAsia="SimSun"/>
          <w:u w:val="none"/>
        </w:rPr>
        <w:tab/>
      </w:r>
      <w:r w:rsidRPr="002F7A4E">
        <w:rPr>
          <w:rFonts w:eastAsia="SimSun"/>
        </w:rPr>
        <w:t xml:space="preserve">Summary of </w:t>
      </w:r>
      <w:r>
        <w:rPr>
          <w:rFonts w:eastAsia="SimSun"/>
        </w:rPr>
        <w:t xml:space="preserve">Proposed Rate </w:t>
      </w:r>
      <w:r w:rsidRPr="002F7A4E">
        <w:rPr>
          <w:rFonts w:eastAsia="SimSun"/>
        </w:rPr>
        <w:t>Impacts</w:t>
      </w:r>
      <w:bookmarkEnd w:id="137"/>
      <w:r>
        <w:rPr>
          <w:rFonts w:eastAsia="SimSun"/>
        </w:rPr>
        <w:t xml:space="preserve"> </w:t>
      </w:r>
    </w:p>
    <w:p w:rsidR="002F7A4E" w:rsidRPr="009075DC" w:rsidRDefault="002F7A4E" w:rsidP="002F7A4E">
      <w:pPr>
        <w:pStyle w:val="question"/>
        <w:widowControl w:val="0"/>
        <w:rPr>
          <w:rFonts w:eastAsia="SimSun"/>
        </w:rPr>
      </w:pPr>
      <w:r w:rsidRPr="009075DC">
        <w:rPr>
          <w:rFonts w:eastAsia="SimSun"/>
        </w:rPr>
        <w:t>Q.</w:t>
      </w:r>
      <w:r w:rsidRPr="009075DC">
        <w:rPr>
          <w:rFonts w:eastAsia="SimSun"/>
        </w:rPr>
        <w:tab/>
      </w:r>
      <w:r w:rsidR="00C15F53">
        <w:rPr>
          <w:rFonts w:eastAsia="SimSun"/>
        </w:rPr>
        <w:t>What are the impacts of PSE’s proposed electric rates in this case</w:t>
      </w:r>
      <w:r>
        <w:rPr>
          <w:rFonts w:eastAsia="SimSun"/>
        </w:rPr>
        <w:t>?</w:t>
      </w:r>
    </w:p>
    <w:p w:rsidR="00F617A0" w:rsidRDefault="002F7A4E" w:rsidP="002F7A4E">
      <w:pPr>
        <w:pStyle w:val="answer"/>
        <w:widowControl w:val="0"/>
        <w:rPr>
          <w:rFonts w:eastAsia="SimSun"/>
        </w:rPr>
      </w:pPr>
      <w:r w:rsidRPr="009075DC">
        <w:rPr>
          <w:rFonts w:eastAsia="SimSun"/>
        </w:rPr>
        <w:t>A.</w:t>
      </w:r>
      <w:r w:rsidRPr="009075DC">
        <w:rPr>
          <w:rFonts w:eastAsia="SimSun"/>
        </w:rPr>
        <w:tab/>
      </w:r>
      <w:r w:rsidR="00C15F53">
        <w:rPr>
          <w:rFonts w:eastAsia="SimSun"/>
        </w:rPr>
        <w:t xml:space="preserve">This calculation is slightly more complicated than in previous rate cases.  </w:t>
      </w:r>
      <w:r w:rsidR="00F21BFD">
        <w:rPr>
          <w:rFonts w:eastAsia="SimSun"/>
        </w:rPr>
        <w:t>It is important to note that s</w:t>
      </w:r>
      <w:r w:rsidR="00C15F53">
        <w:rPr>
          <w:rFonts w:eastAsia="SimSun"/>
        </w:rPr>
        <w:t xml:space="preserve">everal electric rider schedules will be reset concurrent with </w:t>
      </w:r>
      <w:r w:rsidR="00C15F53">
        <w:rPr>
          <w:rFonts w:eastAsia="SimSun"/>
        </w:rPr>
        <w:lastRenderedPageBreak/>
        <w:t xml:space="preserve">the effective date of new base rates resulting from this rate case.  Therefore, to properly understand the </w:t>
      </w:r>
      <w:r w:rsidR="00F21BFD">
        <w:rPr>
          <w:rFonts w:eastAsia="SimSun"/>
        </w:rPr>
        <w:t xml:space="preserve">bill </w:t>
      </w:r>
      <w:r w:rsidR="00C15F53">
        <w:rPr>
          <w:rFonts w:eastAsia="SimSun"/>
        </w:rPr>
        <w:t>impacts of PSE’s proposed rates, all of the relevant rate changes must</w:t>
      </w:r>
      <w:r w:rsidR="00F21BFD">
        <w:rPr>
          <w:rFonts w:eastAsia="SimSun"/>
        </w:rPr>
        <w:t xml:space="preserve"> be viewed in aggregate.  Specifically, the impacts of the base rate changes mu</w:t>
      </w:r>
      <w:r w:rsidR="00C004F0">
        <w:rPr>
          <w:rFonts w:eastAsia="SimSun"/>
        </w:rPr>
        <w:t>st</w:t>
      </w:r>
      <w:r w:rsidR="00F21BFD">
        <w:rPr>
          <w:rFonts w:eastAsia="SimSun"/>
        </w:rPr>
        <w:t xml:space="preserve"> be added to the impacts of rate changes associated with the concurrent changes to PSE’s </w:t>
      </w:r>
      <w:r w:rsidR="00C004F0">
        <w:rPr>
          <w:rFonts w:eastAsia="SimSun"/>
        </w:rPr>
        <w:t xml:space="preserve">Schedule 95 (Power Cost Adjustment Clause), </w:t>
      </w:r>
      <w:r w:rsidR="00F21BFD">
        <w:rPr>
          <w:rFonts w:eastAsia="SimSun"/>
        </w:rPr>
        <w:t>Schedule 141 (Expedited Rate Filing) and Schedule 142 (Revenue Decoupling Adjustment Mechanism)</w:t>
      </w:r>
      <w:r w:rsidRPr="009075DC">
        <w:rPr>
          <w:rFonts w:eastAsia="SimSun"/>
        </w:rPr>
        <w:t>.</w:t>
      </w:r>
      <w:r w:rsidR="00F21BFD">
        <w:rPr>
          <w:rFonts w:eastAsia="SimSun"/>
        </w:rPr>
        <w:t xml:space="preserve">  The </w:t>
      </w:r>
      <w:r w:rsidR="00C004F0">
        <w:rPr>
          <w:rFonts w:eastAsia="SimSun"/>
        </w:rPr>
        <w:t xml:space="preserve">combined </w:t>
      </w:r>
      <w:r w:rsidR="00F21BFD">
        <w:rPr>
          <w:rFonts w:eastAsia="SimSun"/>
        </w:rPr>
        <w:t xml:space="preserve">impact of these changes, based on rates currently in effect, is presented below in </w:t>
      </w:r>
      <w:r w:rsidR="00F21BFD">
        <w:rPr>
          <w:rFonts w:eastAsia="SimSun"/>
        </w:rPr>
        <w:fldChar w:fldCharType="begin"/>
      </w:r>
      <w:r w:rsidR="00F21BFD">
        <w:rPr>
          <w:rFonts w:eastAsia="SimSun"/>
        </w:rPr>
        <w:instrText xml:space="preserve"> REF _Ref441670392 \h </w:instrText>
      </w:r>
      <w:r w:rsidR="00F21BFD">
        <w:rPr>
          <w:rFonts w:eastAsia="SimSun"/>
        </w:rPr>
      </w:r>
      <w:r w:rsidR="00F21BFD">
        <w:rPr>
          <w:rFonts w:eastAsia="SimSun"/>
        </w:rPr>
        <w:fldChar w:fldCharType="separate"/>
      </w:r>
      <w:r w:rsidR="0035666C" w:rsidRPr="009075DC">
        <w:rPr>
          <w:rFonts w:eastAsia="SimSun"/>
          <w:szCs w:val="24"/>
        </w:rPr>
        <w:t xml:space="preserve">Table </w:t>
      </w:r>
      <w:r w:rsidR="0035666C">
        <w:rPr>
          <w:rFonts w:eastAsia="SimSun"/>
          <w:noProof/>
          <w:szCs w:val="24"/>
        </w:rPr>
        <w:t>9</w:t>
      </w:r>
      <w:r w:rsidR="00F21BFD">
        <w:rPr>
          <w:rFonts w:eastAsia="SimSun"/>
        </w:rPr>
        <w:fldChar w:fldCharType="end"/>
      </w:r>
      <w:r w:rsidR="00F21BFD">
        <w:rPr>
          <w:rFonts w:eastAsia="SimSun"/>
        </w:rPr>
        <w:t xml:space="preserve">.  </w:t>
      </w:r>
      <w:r w:rsidR="009D1F78">
        <w:rPr>
          <w:rFonts w:eastAsia="SimSun"/>
        </w:rPr>
        <w:t>Exhibit No.___(JAP-</w:t>
      </w:r>
      <w:r w:rsidR="003B5556">
        <w:rPr>
          <w:rFonts w:eastAsia="SimSun"/>
        </w:rPr>
        <w:fldChar w:fldCharType="begin"/>
      </w:r>
      <w:r w:rsidR="003B5556">
        <w:rPr>
          <w:rFonts w:eastAsia="SimSun"/>
        </w:rPr>
        <w:instrText xml:space="preserve"> REF _Ref441673065 \r \h </w:instrText>
      </w:r>
      <w:r w:rsidR="003B5556">
        <w:rPr>
          <w:rFonts w:eastAsia="SimSun"/>
        </w:rPr>
      </w:r>
      <w:r w:rsidR="003B5556">
        <w:rPr>
          <w:rFonts w:eastAsia="SimSun"/>
        </w:rPr>
        <w:fldChar w:fldCharType="separate"/>
      </w:r>
      <w:r w:rsidR="0035666C">
        <w:rPr>
          <w:rFonts w:eastAsia="SimSun"/>
        </w:rPr>
        <w:t>19</w:t>
      </w:r>
      <w:r w:rsidR="003B5556">
        <w:rPr>
          <w:rFonts w:eastAsia="SimSun"/>
        </w:rPr>
        <w:fldChar w:fldCharType="end"/>
      </w:r>
      <w:r w:rsidR="009D1F78">
        <w:rPr>
          <w:rFonts w:eastAsia="SimSun"/>
        </w:rPr>
        <w:t xml:space="preserve">) presents the contributions made by each of the base and rider rate changes to the overall bill impact. </w:t>
      </w:r>
      <w:r w:rsidR="00F21BFD">
        <w:rPr>
          <w:rFonts w:eastAsia="SimSun"/>
        </w:rPr>
        <w:t xml:space="preserve">Note, however, that it </w:t>
      </w:r>
      <w:r w:rsidR="00257406">
        <w:rPr>
          <w:rFonts w:eastAsia="SimSun"/>
        </w:rPr>
        <w:t xml:space="preserve">is </w:t>
      </w:r>
      <w:r w:rsidR="00F21BFD">
        <w:rPr>
          <w:rFonts w:eastAsia="SimSun"/>
        </w:rPr>
        <w:t>expected that rates within Schedule 142 will be updated on May 1, 2016.  So, the ultimate impacts to customer bills at the time of the compliance filing for this case will be different than those shown below.</w:t>
      </w:r>
    </w:p>
    <w:p w:rsidR="00F617A0" w:rsidRDefault="00F617A0">
      <w:pPr>
        <w:spacing w:line="240" w:lineRule="auto"/>
        <w:ind w:firstLine="0"/>
        <w:rPr>
          <w:rFonts w:eastAsia="SimSun"/>
        </w:rPr>
      </w:pPr>
      <w:r>
        <w:rPr>
          <w:rFonts w:eastAsia="SimSun"/>
        </w:rPr>
        <w:br w:type="page"/>
      </w:r>
    </w:p>
    <w:p w:rsidR="00F21BFD" w:rsidRPr="00E96E4D" w:rsidRDefault="00F21BFD" w:rsidP="00F21BFD">
      <w:pPr>
        <w:pStyle w:val="Caption"/>
        <w:keepNext/>
        <w:jc w:val="center"/>
        <w:rPr>
          <w:rFonts w:eastAsia="SimSun"/>
          <w:sz w:val="24"/>
          <w:szCs w:val="24"/>
          <w:lang w:eastAsia="zh-CN"/>
        </w:rPr>
      </w:pPr>
      <w:bookmarkStart w:id="138" w:name="_Ref441670392"/>
      <w:r w:rsidRPr="009075DC">
        <w:rPr>
          <w:rFonts w:eastAsia="SimSun"/>
          <w:sz w:val="24"/>
          <w:szCs w:val="24"/>
          <w:lang w:eastAsia="zh-CN"/>
        </w:rPr>
        <w:lastRenderedPageBreak/>
        <w:t xml:space="preserve">Table </w:t>
      </w:r>
      <w:r w:rsidRPr="009075DC">
        <w:rPr>
          <w:rFonts w:eastAsia="SimSun"/>
          <w:sz w:val="24"/>
          <w:szCs w:val="24"/>
          <w:lang w:eastAsia="zh-CN"/>
        </w:rPr>
        <w:fldChar w:fldCharType="begin"/>
      </w:r>
      <w:r w:rsidRPr="009075DC">
        <w:rPr>
          <w:rFonts w:eastAsia="SimSun"/>
          <w:sz w:val="24"/>
          <w:szCs w:val="24"/>
          <w:lang w:eastAsia="zh-CN"/>
        </w:rPr>
        <w:instrText xml:space="preserve"> SEQ Table \* ARABIC </w:instrText>
      </w:r>
      <w:r w:rsidRPr="009075DC">
        <w:rPr>
          <w:rFonts w:eastAsia="SimSun"/>
          <w:sz w:val="24"/>
          <w:szCs w:val="24"/>
          <w:lang w:eastAsia="zh-CN"/>
        </w:rPr>
        <w:fldChar w:fldCharType="separate"/>
      </w:r>
      <w:r w:rsidR="0035666C">
        <w:rPr>
          <w:rFonts w:eastAsia="SimSun"/>
          <w:noProof/>
          <w:sz w:val="24"/>
          <w:szCs w:val="24"/>
          <w:lang w:eastAsia="zh-CN"/>
        </w:rPr>
        <w:t>9</w:t>
      </w:r>
      <w:r w:rsidRPr="009075DC">
        <w:rPr>
          <w:rFonts w:eastAsia="SimSun"/>
          <w:sz w:val="24"/>
          <w:szCs w:val="24"/>
          <w:lang w:eastAsia="zh-CN"/>
        </w:rPr>
        <w:fldChar w:fldCharType="end"/>
      </w:r>
      <w:bookmarkEnd w:id="138"/>
      <w:r w:rsidRPr="009075DC">
        <w:rPr>
          <w:rFonts w:eastAsia="SimSun"/>
          <w:sz w:val="24"/>
          <w:szCs w:val="24"/>
          <w:lang w:eastAsia="zh-CN"/>
        </w:rPr>
        <w:t xml:space="preserve"> </w:t>
      </w:r>
      <w:r>
        <w:rPr>
          <w:rFonts w:eastAsia="SimSun"/>
          <w:sz w:val="24"/>
          <w:szCs w:val="24"/>
          <w:lang w:eastAsia="zh-CN"/>
        </w:rPr>
        <w:t>–</w:t>
      </w:r>
      <w:r w:rsidRPr="009075DC">
        <w:rPr>
          <w:rFonts w:eastAsia="SimSun"/>
          <w:sz w:val="24"/>
          <w:szCs w:val="24"/>
          <w:lang w:eastAsia="zh-CN"/>
        </w:rPr>
        <w:t xml:space="preserve"> </w:t>
      </w:r>
      <w:r>
        <w:rPr>
          <w:rFonts w:eastAsia="SimSun"/>
          <w:sz w:val="24"/>
          <w:szCs w:val="24"/>
          <w:lang w:eastAsia="zh-CN"/>
        </w:rPr>
        <w:t xml:space="preserve">Estimated </w:t>
      </w:r>
      <w:r w:rsidRPr="009075DC">
        <w:rPr>
          <w:rFonts w:eastAsia="SimSun"/>
          <w:sz w:val="24"/>
          <w:szCs w:val="24"/>
          <w:lang w:eastAsia="zh-CN"/>
        </w:rPr>
        <w:t xml:space="preserve">Electric </w:t>
      </w:r>
      <w:r>
        <w:rPr>
          <w:rFonts w:eastAsia="SimSun"/>
          <w:sz w:val="24"/>
          <w:szCs w:val="24"/>
          <w:lang w:eastAsia="zh-CN"/>
        </w:rPr>
        <w:t>Bill</w:t>
      </w:r>
      <w:r w:rsidRPr="009075DC">
        <w:rPr>
          <w:rFonts w:eastAsia="SimSun"/>
          <w:sz w:val="24"/>
          <w:szCs w:val="24"/>
          <w:lang w:eastAsia="zh-CN"/>
        </w:rPr>
        <w:t xml:space="preserve"> </w:t>
      </w:r>
      <w:r>
        <w:rPr>
          <w:rFonts w:eastAsia="SimSun"/>
          <w:sz w:val="24"/>
          <w:szCs w:val="24"/>
          <w:lang w:eastAsia="zh-CN"/>
        </w:rPr>
        <w:t>Impacts</w:t>
      </w:r>
      <w:r w:rsidR="00C004F0">
        <w:rPr>
          <w:rFonts w:eastAsia="SimSun"/>
          <w:sz w:val="24"/>
          <w:szCs w:val="24"/>
          <w:lang w:eastAsia="zh-CN"/>
        </w:rPr>
        <w:t xml:space="preserve"> from Proposed Base and Rider Rates</w:t>
      </w:r>
    </w:p>
    <w:tbl>
      <w:tblPr>
        <w:tblpPr w:leftFromText="180" w:rightFromText="180" w:vertAnchor="text" w:horzAnchor="margin" w:tblpXSpec="center" w:tblpY="314"/>
        <w:tblW w:w="7038" w:type="dxa"/>
        <w:tblLayout w:type="fixed"/>
        <w:tblLook w:val="0000" w:firstRow="0" w:lastRow="0" w:firstColumn="0" w:lastColumn="0" w:noHBand="0" w:noVBand="0"/>
      </w:tblPr>
      <w:tblGrid>
        <w:gridCol w:w="4230"/>
        <w:gridCol w:w="1440"/>
        <w:gridCol w:w="1368"/>
      </w:tblGrid>
      <w:tr w:rsidR="008355D2" w:rsidRPr="009075DC" w:rsidTr="008F2DD6">
        <w:trPr>
          <w:cantSplit/>
          <w:trHeight w:val="769"/>
        </w:trPr>
        <w:tc>
          <w:tcPr>
            <w:tcW w:w="4230" w:type="dxa"/>
            <w:tcBorders>
              <w:top w:val="single" w:sz="4" w:space="0" w:color="auto"/>
              <w:bottom w:val="single" w:sz="4" w:space="0" w:color="auto"/>
            </w:tcBorders>
            <w:vAlign w:val="center"/>
          </w:tcPr>
          <w:p w:rsidR="008355D2" w:rsidRPr="009075DC" w:rsidRDefault="008355D2" w:rsidP="008F2DD6">
            <w:pPr>
              <w:widowControl w:val="0"/>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1440" w:type="dxa"/>
            <w:tcBorders>
              <w:top w:val="single" w:sz="4" w:space="0" w:color="auto"/>
              <w:bottom w:val="single" w:sz="4" w:space="0" w:color="auto"/>
            </w:tcBorders>
            <w:vAlign w:val="center"/>
          </w:tcPr>
          <w:p w:rsidR="008355D2" w:rsidRPr="009075DC" w:rsidRDefault="008355D2" w:rsidP="008F2DD6">
            <w:pPr>
              <w:widowControl w:val="0"/>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368" w:type="dxa"/>
            <w:tcBorders>
              <w:top w:val="single" w:sz="4" w:space="0" w:color="auto"/>
              <w:bottom w:val="single" w:sz="4" w:space="0" w:color="auto"/>
            </w:tcBorders>
            <w:vAlign w:val="center"/>
          </w:tcPr>
          <w:p w:rsidR="008355D2" w:rsidRPr="009075DC" w:rsidRDefault="008355D2" w:rsidP="008F2DD6">
            <w:pPr>
              <w:widowControl w:val="0"/>
              <w:spacing w:beforeLines="20" w:before="48" w:afterLines="20" w:after="48" w:line="240" w:lineRule="auto"/>
              <w:ind w:firstLine="0"/>
              <w:jc w:val="center"/>
              <w:rPr>
                <w:rFonts w:eastAsia="SimSun"/>
                <w:b/>
                <w:bCs/>
                <w:szCs w:val="24"/>
              </w:rPr>
            </w:pPr>
            <w:r>
              <w:rPr>
                <w:rFonts w:eastAsia="SimSun"/>
                <w:b/>
                <w:bCs/>
                <w:szCs w:val="24"/>
              </w:rPr>
              <w:t>Overall Impact*</w:t>
            </w:r>
          </w:p>
        </w:tc>
      </w:tr>
      <w:tr w:rsidR="008355D2" w:rsidRPr="001D2B74" w:rsidTr="008F2DD6">
        <w:trPr>
          <w:cantSplit/>
          <w:trHeight w:val="324"/>
        </w:trPr>
        <w:tc>
          <w:tcPr>
            <w:tcW w:w="4230" w:type="dxa"/>
            <w:tcBorders>
              <w:top w:val="single" w:sz="4" w:space="0" w:color="auto"/>
            </w:tcBorders>
          </w:tcPr>
          <w:p w:rsidR="008355D2" w:rsidRPr="009075DC" w:rsidRDefault="008355D2" w:rsidP="008F2DD6">
            <w:pPr>
              <w:widowControl w:val="0"/>
              <w:spacing w:beforeLines="20" w:before="48" w:afterLines="20" w:after="48" w:line="240" w:lineRule="auto"/>
              <w:ind w:firstLine="0"/>
              <w:rPr>
                <w:rFonts w:eastAsia="SimSun"/>
                <w:szCs w:val="24"/>
              </w:rPr>
            </w:pPr>
            <w:r w:rsidRPr="009075DC">
              <w:rPr>
                <w:rFonts w:eastAsia="SimSun"/>
                <w:szCs w:val="24"/>
              </w:rPr>
              <w:t>Residential</w:t>
            </w:r>
          </w:p>
        </w:tc>
        <w:tc>
          <w:tcPr>
            <w:tcW w:w="1440" w:type="dxa"/>
            <w:tcBorders>
              <w:top w:val="single" w:sz="4" w:space="0" w:color="auto"/>
            </w:tcBorders>
          </w:tcPr>
          <w:p w:rsidR="008355D2" w:rsidRPr="009075DC" w:rsidRDefault="008355D2" w:rsidP="008F2DD6">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7</w:t>
            </w:r>
          </w:p>
        </w:tc>
        <w:tc>
          <w:tcPr>
            <w:tcW w:w="1368" w:type="dxa"/>
            <w:tcBorders>
              <w:top w:val="single" w:sz="4" w:space="0" w:color="auto"/>
            </w:tcBorders>
          </w:tcPr>
          <w:p w:rsidR="008355D2" w:rsidRPr="00DB6710" w:rsidRDefault="008355D2" w:rsidP="008F2DD6">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4.0</w:t>
            </w:r>
            <w:r w:rsidRPr="00DB6710">
              <w:rPr>
                <w:rFonts w:eastAsia="SimSun"/>
                <w:szCs w:val="24"/>
              </w:rPr>
              <w:t xml:space="preserve"> %</w:t>
            </w:r>
          </w:p>
        </w:tc>
      </w:tr>
      <w:tr w:rsidR="008355D2" w:rsidRPr="001D2B74" w:rsidTr="008F2DD6">
        <w:trPr>
          <w:cantSplit/>
          <w:trHeight w:val="312"/>
        </w:trPr>
        <w:tc>
          <w:tcPr>
            <w:tcW w:w="4230" w:type="dxa"/>
          </w:tcPr>
          <w:p w:rsidR="008355D2" w:rsidRPr="009075DC" w:rsidRDefault="008355D2" w:rsidP="008F2DD6">
            <w:pPr>
              <w:widowControl w:val="0"/>
              <w:spacing w:beforeLines="20" w:before="48" w:afterLines="20" w:after="48" w:line="240" w:lineRule="auto"/>
              <w:ind w:firstLine="0"/>
              <w:rPr>
                <w:rFonts w:eastAsia="SimSun"/>
                <w:szCs w:val="24"/>
              </w:rPr>
            </w:pPr>
            <w:r w:rsidRPr="009075DC">
              <w:rPr>
                <w:rFonts w:eastAsia="SimSun"/>
                <w:szCs w:val="24"/>
              </w:rPr>
              <w:t>General Service, &lt; 51 kW</w:t>
            </w:r>
          </w:p>
        </w:tc>
        <w:tc>
          <w:tcPr>
            <w:tcW w:w="1440" w:type="dxa"/>
          </w:tcPr>
          <w:p w:rsidR="008355D2" w:rsidRPr="009075DC" w:rsidRDefault="008355D2" w:rsidP="008F2DD6">
            <w:pPr>
              <w:widowControl w:val="0"/>
              <w:tabs>
                <w:tab w:val="decimal" w:pos="342"/>
              </w:tabs>
              <w:spacing w:beforeLines="20" w:before="48" w:afterLines="20" w:after="48" w:line="240" w:lineRule="auto"/>
              <w:ind w:firstLine="0"/>
              <w:jc w:val="center"/>
              <w:rPr>
                <w:rFonts w:eastAsia="SimSun"/>
                <w:szCs w:val="24"/>
              </w:rPr>
            </w:pPr>
            <w:r>
              <w:rPr>
                <w:rFonts w:eastAsia="SimSun"/>
                <w:szCs w:val="24"/>
              </w:rPr>
              <w:t>8/</w:t>
            </w:r>
            <w:r w:rsidRPr="009075DC">
              <w:rPr>
                <w:rFonts w:eastAsia="SimSun"/>
                <w:szCs w:val="24"/>
              </w:rPr>
              <w:t>24</w:t>
            </w:r>
          </w:p>
        </w:tc>
        <w:tc>
          <w:tcPr>
            <w:tcW w:w="1368" w:type="dxa"/>
          </w:tcPr>
          <w:p w:rsidR="008355D2" w:rsidRPr="00DB6710" w:rsidRDefault="008355D2" w:rsidP="008F2DD6">
            <w:pPr>
              <w:widowControl w:val="0"/>
              <w:tabs>
                <w:tab w:val="decimal" w:pos="252"/>
              </w:tabs>
              <w:spacing w:beforeLines="20" w:before="48" w:afterLines="20" w:after="48" w:line="240" w:lineRule="auto"/>
              <w:ind w:firstLine="0"/>
              <w:jc w:val="center"/>
              <w:rPr>
                <w:rFonts w:eastAsia="SimSun"/>
                <w:szCs w:val="24"/>
              </w:rPr>
            </w:pPr>
            <w:r>
              <w:rPr>
                <w:rFonts w:eastAsia="SimSun"/>
                <w:szCs w:val="24"/>
              </w:rPr>
              <w:t>2.8</w:t>
            </w:r>
            <w:r w:rsidRPr="00DB6710">
              <w:rPr>
                <w:rFonts w:eastAsia="SimSun"/>
                <w:szCs w:val="24"/>
              </w:rPr>
              <w:t xml:space="preserve"> %</w:t>
            </w:r>
          </w:p>
        </w:tc>
      </w:tr>
      <w:tr w:rsidR="008355D2" w:rsidRPr="001D2B74" w:rsidTr="008F2DD6">
        <w:trPr>
          <w:cantSplit/>
          <w:trHeight w:val="337"/>
        </w:trPr>
        <w:tc>
          <w:tcPr>
            <w:tcW w:w="4230" w:type="dxa"/>
          </w:tcPr>
          <w:p w:rsidR="008355D2" w:rsidRPr="009075DC" w:rsidRDefault="008355D2" w:rsidP="008F2DD6">
            <w:pPr>
              <w:widowControl w:val="0"/>
              <w:spacing w:beforeLines="20" w:before="48" w:afterLines="20" w:after="48" w:line="240" w:lineRule="auto"/>
              <w:ind w:firstLine="0"/>
              <w:rPr>
                <w:rFonts w:eastAsia="SimSun"/>
                <w:szCs w:val="24"/>
              </w:rPr>
            </w:pPr>
            <w:r w:rsidRPr="009075DC">
              <w:rPr>
                <w:rFonts w:eastAsia="SimSun"/>
                <w:szCs w:val="24"/>
              </w:rPr>
              <w:t>General Service, 51 - 350 kW</w:t>
            </w:r>
          </w:p>
        </w:tc>
        <w:tc>
          <w:tcPr>
            <w:tcW w:w="1440" w:type="dxa"/>
          </w:tcPr>
          <w:p w:rsidR="008355D2" w:rsidRPr="009075DC" w:rsidRDefault="008355D2" w:rsidP="008F2DD6">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11/</w:t>
            </w:r>
            <w:r w:rsidRPr="009075DC">
              <w:rPr>
                <w:rFonts w:eastAsia="SimSun"/>
                <w:szCs w:val="24"/>
              </w:rPr>
              <w:t>25</w:t>
            </w:r>
            <w:r>
              <w:rPr>
                <w:rFonts w:eastAsia="SimSun"/>
                <w:szCs w:val="24"/>
              </w:rPr>
              <w:t>/29</w:t>
            </w:r>
          </w:p>
        </w:tc>
        <w:tc>
          <w:tcPr>
            <w:tcW w:w="1368" w:type="dxa"/>
          </w:tcPr>
          <w:p w:rsidR="008355D2" w:rsidRPr="00DB6710" w:rsidRDefault="008355D2" w:rsidP="008F2DD6">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4.8</w:t>
            </w:r>
            <w:r w:rsidRPr="00DB6710">
              <w:rPr>
                <w:rFonts w:eastAsia="SimSun"/>
                <w:szCs w:val="24"/>
              </w:rPr>
              <w:t xml:space="preserve"> %</w:t>
            </w:r>
          </w:p>
        </w:tc>
      </w:tr>
      <w:tr w:rsidR="008355D2" w:rsidRPr="001D2B74" w:rsidTr="008F2DD6">
        <w:trPr>
          <w:cantSplit/>
          <w:trHeight w:val="312"/>
        </w:trPr>
        <w:tc>
          <w:tcPr>
            <w:tcW w:w="4230" w:type="dxa"/>
          </w:tcPr>
          <w:p w:rsidR="008355D2" w:rsidRPr="009075DC" w:rsidRDefault="008355D2" w:rsidP="008F2DD6">
            <w:pPr>
              <w:widowControl w:val="0"/>
              <w:spacing w:beforeLines="20" w:before="48" w:afterLines="20" w:after="48" w:line="240" w:lineRule="auto"/>
              <w:ind w:firstLine="0"/>
              <w:rPr>
                <w:rFonts w:eastAsia="SimSun"/>
                <w:szCs w:val="24"/>
              </w:rPr>
            </w:pPr>
            <w:r w:rsidRPr="009075DC">
              <w:rPr>
                <w:rFonts w:eastAsia="SimSun"/>
                <w:szCs w:val="24"/>
              </w:rPr>
              <w:t>General Service, &gt;350 kW</w:t>
            </w:r>
          </w:p>
        </w:tc>
        <w:tc>
          <w:tcPr>
            <w:tcW w:w="1440" w:type="dxa"/>
          </w:tcPr>
          <w:p w:rsidR="008355D2" w:rsidRPr="009075DC" w:rsidRDefault="008355D2" w:rsidP="008F2DD6">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12/</w:t>
            </w:r>
            <w:r w:rsidRPr="009075DC">
              <w:rPr>
                <w:rFonts w:eastAsia="SimSun"/>
                <w:szCs w:val="24"/>
              </w:rPr>
              <w:t>26</w:t>
            </w:r>
          </w:p>
        </w:tc>
        <w:tc>
          <w:tcPr>
            <w:tcW w:w="1368" w:type="dxa"/>
          </w:tcPr>
          <w:p w:rsidR="008355D2" w:rsidRPr="00DB6710" w:rsidRDefault="008355D2" w:rsidP="008F2DD6">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4.3</w:t>
            </w:r>
            <w:r w:rsidRPr="00DB6710">
              <w:rPr>
                <w:rFonts w:eastAsia="SimSun"/>
                <w:szCs w:val="24"/>
              </w:rPr>
              <w:t xml:space="preserve"> %</w:t>
            </w:r>
          </w:p>
        </w:tc>
      </w:tr>
      <w:tr w:rsidR="008355D2" w:rsidRPr="001D2B74" w:rsidTr="008F2DD6">
        <w:trPr>
          <w:cantSplit/>
          <w:trHeight w:val="324"/>
        </w:trPr>
        <w:tc>
          <w:tcPr>
            <w:tcW w:w="4230" w:type="dxa"/>
          </w:tcPr>
          <w:p w:rsidR="008355D2" w:rsidRPr="009075DC" w:rsidRDefault="008355D2" w:rsidP="008F2DD6">
            <w:pPr>
              <w:widowControl w:val="0"/>
              <w:spacing w:beforeLines="20" w:before="48" w:afterLines="20" w:after="48" w:line="240" w:lineRule="auto"/>
              <w:ind w:firstLine="0"/>
              <w:rPr>
                <w:rFonts w:eastAsia="SimSun"/>
                <w:szCs w:val="24"/>
              </w:rPr>
            </w:pPr>
            <w:r w:rsidRPr="009075DC">
              <w:rPr>
                <w:rFonts w:eastAsia="SimSun"/>
                <w:szCs w:val="24"/>
              </w:rPr>
              <w:t>Primary Service</w:t>
            </w:r>
            <w:r>
              <w:rPr>
                <w:rFonts w:eastAsia="SimSun"/>
                <w:szCs w:val="24"/>
              </w:rPr>
              <w:t>, Gen &amp; Irr.</w:t>
            </w:r>
          </w:p>
        </w:tc>
        <w:tc>
          <w:tcPr>
            <w:tcW w:w="1440" w:type="dxa"/>
          </w:tcPr>
          <w:p w:rsidR="008355D2" w:rsidRPr="009075DC" w:rsidRDefault="008355D2" w:rsidP="008F2DD6">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10/</w:t>
            </w:r>
            <w:r w:rsidRPr="009075DC">
              <w:rPr>
                <w:rFonts w:eastAsia="SimSun"/>
                <w:szCs w:val="24"/>
              </w:rPr>
              <w:t>31/35</w:t>
            </w:r>
          </w:p>
        </w:tc>
        <w:tc>
          <w:tcPr>
            <w:tcW w:w="1368" w:type="dxa"/>
          </w:tcPr>
          <w:p w:rsidR="008355D2" w:rsidRPr="00DB6710" w:rsidRDefault="008355D2" w:rsidP="008F2DD6">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4.2</w:t>
            </w:r>
            <w:r w:rsidRPr="00DB6710">
              <w:rPr>
                <w:rFonts w:eastAsia="SimSun"/>
                <w:szCs w:val="24"/>
              </w:rPr>
              <w:t xml:space="preserve"> %</w:t>
            </w:r>
          </w:p>
        </w:tc>
      </w:tr>
      <w:tr w:rsidR="008355D2" w:rsidRPr="001D2B74" w:rsidTr="008F2DD6">
        <w:trPr>
          <w:cantSplit/>
          <w:trHeight w:val="324"/>
        </w:trPr>
        <w:tc>
          <w:tcPr>
            <w:tcW w:w="4230" w:type="dxa"/>
          </w:tcPr>
          <w:p w:rsidR="008355D2" w:rsidRPr="009075DC" w:rsidRDefault="008355D2" w:rsidP="008F2DD6">
            <w:pPr>
              <w:widowControl w:val="0"/>
              <w:spacing w:beforeLines="20" w:before="48" w:afterLines="20" w:after="48" w:line="240" w:lineRule="auto"/>
              <w:ind w:firstLine="0"/>
              <w:rPr>
                <w:rFonts w:eastAsia="SimSun"/>
                <w:szCs w:val="24"/>
              </w:rPr>
            </w:pPr>
            <w:r>
              <w:rPr>
                <w:rFonts w:eastAsia="SimSun"/>
                <w:szCs w:val="24"/>
              </w:rPr>
              <w:t>Primary Service, Schools</w:t>
            </w:r>
          </w:p>
        </w:tc>
        <w:tc>
          <w:tcPr>
            <w:tcW w:w="1440" w:type="dxa"/>
          </w:tcPr>
          <w:p w:rsidR="008355D2" w:rsidRPr="009075DC" w:rsidRDefault="008355D2" w:rsidP="008F2DD6">
            <w:pPr>
              <w:widowControl w:val="0"/>
              <w:tabs>
                <w:tab w:val="decimal" w:pos="342"/>
              </w:tabs>
              <w:spacing w:beforeLines="20" w:before="48" w:afterLines="20" w:after="48" w:line="240" w:lineRule="auto"/>
              <w:ind w:firstLine="0"/>
              <w:jc w:val="center"/>
              <w:rPr>
                <w:rFonts w:eastAsia="SimSun"/>
                <w:szCs w:val="24"/>
              </w:rPr>
            </w:pPr>
            <w:r>
              <w:rPr>
                <w:rFonts w:eastAsia="SimSun"/>
                <w:szCs w:val="24"/>
              </w:rPr>
              <w:t>43</w:t>
            </w:r>
          </w:p>
        </w:tc>
        <w:tc>
          <w:tcPr>
            <w:tcW w:w="1368" w:type="dxa"/>
          </w:tcPr>
          <w:p w:rsidR="008355D2" w:rsidRDefault="008355D2" w:rsidP="008F2DD6">
            <w:pPr>
              <w:widowControl w:val="0"/>
              <w:tabs>
                <w:tab w:val="decimal" w:pos="252"/>
              </w:tabs>
              <w:spacing w:beforeLines="20" w:before="48" w:afterLines="20" w:after="48" w:line="240" w:lineRule="auto"/>
              <w:ind w:firstLine="0"/>
              <w:jc w:val="center"/>
              <w:rPr>
                <w:rFonts w:eastAsia="SimSun"/>
                <w:szCs w:val="24"/>
              </w:rPr>
            </w:pPr>
            <w:r>
              <w:rPr>
                <w:rFonts w:eastAsia="SimSun"/>
                <w:szCs w:val="24"/>
              </w:rPr>
              <w:t>6.7 %</w:t>
            </w:r>
          </w:p>
        </w:tc>
      </w:tr>
      <w:tr w:rsidR="008355D2" w:rsidRPr="001D2B74" w:rsidTr="008F2DD6">
        <w:trPr>
          <w:cantSplit/>
          <w:trHeight w:val="324"/>
        </w:trPr>
        <w:tc>
          <w:tcPr>
            <w:tcW w:w="4230" w:type="dxa"/>
          </w:tcPr>
          <w:p w:rsidR="008355D2" w:rsidRPr="009075DC" w:rsidRDefault="00526204" w:rsidP="008F2DD6">
            <w:pPr>
              <w:widowControl w:val="0"/>
              <w:spacing w:beforeLines="20" w:before="48" w:afterLines="20" w:after="48" w:line="240" w:lineRule="auto"/>
              <w:ind w:firstLine="0"/>
              <w:rPr>
                <w:rFonts w:eastAsia="SimSun"/>
                <w:szCs w:val="24"/>
              </w:rPr>
            </w:pPr>
            <w:r>
              <w:rPr>
                <w:rFonts w:eastAsia="SimSun"/>
                <w:szCs w:val="24"/>
              </w:rPr>
              <w:t>Campus Rate</w:t>
            </w:r>
          </w:p>
        </w:tc>
        <w:tc>
          <w:tcPr>
            <w:tcW w:w="1440" w:type="dxa"/>
          </w:tcPr>
          <w:p w:rsidR="008355D2" w:rsidRPr="009075DC" w:rsidRDefault="008355D2" w:rsidP="008F2DD6">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40</w:t>
            </w:r>
          </w:p>
        </w:tc>
        <w:tc>
          <w:tcPr>
            <w:tcW w:w="1368" w:type="dxa"/>
          </w:tcPr>
          <w:p w:rsidR="008355D2" w:rsidRPr="00DB6710" w:rsidRDefault="008355D2" w:rsidP="008F2DD6">
            <w:pPr>
              <w:widowControl w:val="0"/>
              <w:tabs>
                <w:tab w:val="decimal" w:pos="252"/>
              </w:tabs>
              <w:spacing w:beforeLines="20" w:before="48" w:afterLines="20" w:after="48" w:line="240" w:lineRule="auto"/>
              <w:ind w:firstLine="0"/>
              <w:jc w:val="center"/>
              <w:rPr>
                <w:rFonts w:eastAsia="SimSun"/>
                <w:szCs w:val="24"/>
              </w:rPr>
            </w:pPr>
            <w:r>
              <w:rPr>
                <w:rFonts w:eastAsia="SimSun"/>
                <w:szCs w:val="24"/>
              </w:rPr>
              <w:t>12.1</w:t>
            </w:r>
            <w:r w:rsidRPr="00DB6710">
              <w:rPr>
                <w:rFonts w:eastAsia="SimSun"/>
                <w:szCs w:val="24"/>
              </w:rPr>
              <w:t xml:space="preserve"> %</w:t>
            </w:r>
          </w:p>
        </w:tc>
      </w:tr>
      <w:tr w:rsidR="008355D2" w:rsidRPr="001D2B74" w:rsidTr="008F2DD6">
        <w:trPr>
          <w:cantSplit/>
          <w:trHeight w:val="300"/>
        </w:trPr>
        <w:tc>
          <w:tcPr>
            <w:tcW w:w="4230" w:type="dxa"/>
          </w:tcPr>
          <w:p w:rsidR="008355D2" w:rsidRPr="009075DC" w:rsidRDefault="008355D2" w:rsidP="008F2DD6">
            <w:pPr>
              <w:widowControl w:val="0"/>
              <w:spacing w:beforeLines="20" w:before="48" w:afterLines="20" w:after="48" w:line="240" w:lineRule="auto"/>
              <w:ind w:firstLine="0"/>
              <w:rPr>
                <w:rFonts w:eastAsia="SimSun"/>
                <w:szCs w:val="24"/>
              </w:rPr>
            </w:pPr>
            <w:r w:rsidRPr="009075DC">
              <w:rPr>
                <w:rFonts w:eastAsia="SimSun"/>
                <w:szCs w:val="24"/>
              </w:rPr>
              <w:t xml:space="preserve">High Voltage </w:t>
            </w:r>
          </w:p>
        </w:tc>
        <w:tc>
          <w:tcPr>
            <w:tcW w:w="1440" w:type="dxa"/>
          </w:tcPr>
          <w:p w:rsidR="008355D2" w:rsidRPr="009075DC" w:rsidRDefault="008355D2" w:rsidP="008F2DD6">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46/49</w:t>
            </w:r>
          </w:p>
        </w:tc>
        <w:tc>
          <w:tcPr>
            <w:tcW w:w="1368" w:type="dxa"/>
          </w:tcPr>
          <w:p w:rsidR="008355D2" w:rsidRPr="00DB6710" w:rsidRDefault="008355D2" w:rsidP="008F2DD6">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4.6</w:t>
            </w:r>
            <w:r w:rsidRPr="00DB6710">
              <w:rPr>
                <w:rFonts w:eastAsia="SimSun"/>
                <w:szCs w:val="24"/>
              </w:rPr>
              <w:t xml:space="preserve"> %</w:t>
            </w:r>
          </w:p>
        </w:tc>
      </w:tr>
      <w:tr w:rsidR="008355D2" w:rsidRPr="001D2B74" w:rsidTr="008F2DD6">
        <w:trPr>
          <w:cantSplit/>
          <w:trHeight w:val="324"/>
        </w:trPr>
        <w:tc>
          <w:tcPr>
            <w:tcW w:w="4230" w:type="dxa"/>
          </w:tcPr>
          <w:p w:rsidR="008355D2" w:rsidRPr="009075DC" w:rsidRDefault="008355D2" w:rsidP="008F2DD6">
            <w:pPr>
              <w:widowControl w:val="0"/>
              <w:spacing w:beforeLines="20" w:before="48" w:afterLines="20" w:after="48" w:line="240" w:lineRule="auto"/>
              <w:ind w:firstLine="0"/>
              <w:rPr>
                <w:rFonts w:eastAsia="SimSun"/>
                <w:szCs w:val="24"/>
              </w:rPr>
            </w:pPr>
            <w:r w:rsidRPr="009075DC">
              <w:rPr>
                <w:rFonts w:eastAsia="SimSun"/>
                <w:szCs w:val="24"/>
              </w:rPr>
              <w:t>Lighting Service</w:t>
            </w:r>
          </w:p>
        </w:tc>
        <w:tc>
          <w:tcPr>
            <w:tcW w:w="1440" w:type="dxa"/>
          </w:tcPr>
          <w:p w:rsidR="008355D2" w:rsidRPr="009075DC" w:rsidRDefault="008355D2" w:rsidP="008F2DD6">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5</w:t>
            </w:r>
            <w:r>
              <w:rPr>
                <w:rFonts w:eastAsia="SimSun"/>
                <w:szCs w:val="24"/>
              </w:rPr>
              <w:t>0</w:t>
            </w:r>
            <w:r w:rsidRPr="009075DC">
              <w:rPr>
                <w:rFonts w:eastAsia="SimSun"/>
                <w:szCs w:val="24"/>
              </w:rPr>
              <w:t xml:space="preserve"> - 59</w:t>
            </w:r>
          </w:p>
        </w:tc>
        <w:tc>
          <w:tcPr>
            <w:tcW w:w="1368" w:type="dxa"/>
          </w:tcPr>
          <w:p w:rsidR="008355D2" w:rsidRPr="00DB6710" w:rsidRDefault="008355D2" w:rsidP="008F2DD6">
            <w:pPr>
              <w:widowControl w:val="0"/>
              <w:tabs>
                <w:tab w:val="decimal" w:pos="252"/>
              </w:tabs>
              <w:spacing w:beforeLines="20" w:before="48" w:afterLines="20" w:after="48" w:line="240" w:lineRule="auto"/>
              <w:ind w:firstLine="0"/>
              <w:jc w:val="center"/>
              <w:rPr>
                <w:rFonts w:eastAsia="SimSun"/>
              </w:rPr>
            </w:pPr>
            <w:r>
              <w:rPr>
                <w:rFonts w:eastAsia="SimSun"/>
                <w:szCs w:val="24"/>
              </w:rPr>
              <w:t>(3.4)</w:t>
            </w:r>
            <w:r w:rsidRPr="00DB6710">
              <w:rPr>
                <w:rFonts w:eastAsia="SimSun"/>
                <w:szCs w:val="24"/>
              </w:rPr>
              <w:t xml:space="preserve"> %</w:t>
            </w:r>
          </w:p>
        </w:tc>
      </w:tr>
      <w:tr w:rsidR="008355D2" w:rsidRPr="001D2B74" w:rsidTr="008F2DD6">
        <w:trPr>
          <w:cantSplit/>
          <w:trHeight w:val="324"/>
        </w:trPr>
        <w:tc>
          <w:tcPr>
            <w:tcW w:w="4230" w:type="dxa"/>
            <w:tcBorders>
              <w:bottom w:val="single" w:sz="4" w:space="0" w:color="auto"/>
            </w:tcBorders>
          </w:tcPr>
          <w:p w:rsidR="008355D2" w:rsidRPr="009075DC" w:rsidRDefault="008355D2" w:rsidP="008F2DD6">
            <w:pPr>
              <w:widowControl w:val="0"/>
              <w:spacing w:beforeLines="20" w:before="48" w:afterLines="20" w:after="48" w:line="240" w:lineRule="auto"/>
              <w:ind w:firstLine="0"/>
              <w:rPr>
                <w:rFonts w:eastAsia="SimSun"/>
              </w:rPr>
            </w:pPr>
            <w:r w:rsidRPr="009075DC">
              <w:rPr>
                <w:rFonts w:eastAsia="SimSun"/>
                <w:szCs w:val="24"/>
              </w:rPr>
              <w:t>Choice/Retail Wheeling</w:t>
            </w:r>
          </w:p>
        </w:tc>
        <w:tc>
          <w:tcPr>
            <w:tcW w:w="1440" w:type="dxa"/>
            <w:tcBorders>
              <w:bottom w:val="single" w:sz="4" w:space="0" w:color="auto"/>
            </w:tcBorders>
          </w:tcPr>
          <w:p w:rsidR="008355D2" w:rsidRPr="009075DC" w:rsidRDefault="008355D2" w:rsidP="008F2DD6">
            <w:pPr>
              <w:widowControl w:val="0"/>
              <w:tabs>
                <w:tab w:val="decimal" w:pos="342"/>
              </w:tabs>
              <w:spacing w:beforeLines="20" w:before="48" w:afterLines="20" w:after="48" w:line="240" w:lineRule="auto"/>
              <w:ind w:firstLine="0"/>
              <w:jc w:val="center"/>
              <w:rPr>
                <w:rFonts w:eastAsia="SimSun"/>
              </w:rPr>
            </w:pPr>
            <w:r w:rsidRPr="009075DC">
              <w:rPr>
                <w:rFonts w:eastAsia="SimSun"/>
                <w:szCs w:val="24"/>
              </w:rPr>
              <w:t>448/449</w:t>
            </w:r>
          </w:p>
        </w:tc>
        <w:tc>
          <w:tcPr>
            <w:tcW w:w="1368" w:type="dxa"/>
            <w:tcBorders>
              <w:bottom w:val="single" w:sz="4" w:space="0" w:color="auto"/>
            </w:tcBorders>
          </w:tcPr>
          <w:p w:rsidR="008355D2" w:rsidRPr="00DB6710" w:rsidRDefault="008355D2" w:rsidP="008F2DD6">
            <w:pPr>
              <w:widowControl w:val="0"/>
              <w:tabs>
                <w:tab w:val="decimal" w:pos="252"/>
              </w:tabs>
              <w:spacing w:beforeLines="20" w:before="48" w:afterLines="20" w:after="48" w:line="240" w:lineRule="auto"/>
              <w:ind w:firstLine="0"/>
              <w:jc w:val="center"/>
              <w:rPr>
                <w:rFonts w:eastAsia="SimSun"/>
                <w:szCs w:val="24"/>
              </w:rPr>
            </w:pPr>
            <w:r>
              <w:rPr>
                <w:rFonts w:eastAsia="SimSun"/>
                <w:szCs w:val="24"/>
              </w:rPr>
              <w:t>0.6</w:t>
            </w:r>
            <w:r w:rsidRPr="00DB6710">
              <w:rPr>
                <w:rFonts w:eastAsia="SimSun"/>
                <w:szCs w:val="24"/>
              </w:rPr>
              <w:t xml:space="preserve"> %</w:t>
            </w:r>
          </w:p>
        </w:tc>
      </w:tr>
      <w:tr w:rsidR="008355D2" w:rsidRPr="009075DC" w:rsidTr="008F2DD6">
        <w:trPr>
          <w:cantSplit/>
          <w:trHeight w:val="425"/>
        </w:trPr>
        <w:tc>
          <w:tcPr>
            <w:tcW w:w="4230" w:type="dxa"/>
            <w:tcBorders>
              <w:top w:val="single" w:sz="4" w:space="0" w:color="auto"/>
              <w:bottom w:val="single" w:sz="4" w:space="0" w:color="auto"/>
            </w:tcBorders>
          </w:tcPr>
          <w:p w:rsidR="008355D2" w:rsidRPr="009075DC" w:rsidRDefault="008355D2" w:rsidP="008F2DD6">
            <w:pPr>
              <w:widowControl w:val="0"/>
              <w:spacing w:beforeLines="20" w:before="48" w:afterLines="20" w:after="48" w:line="240" w:lineRule="auto"/>
              <w:ind w:firstLine="0"/>
              <w:jc w:val="center"/>
              <w:rPr>
                <w:rFonts w:eastAsia="SimSun"/>
                <w:b/>
                <w:szCs w:val="24"/>
              </w:rPr>
            </w:pPr>
            <w:r w:rsidRPr="009075DC">
              <w:rPr>
                <w:rFonts w:eastAsia="SimSun"/>
                <w:b/>
                <w:szCs w:val="24"/>
              </w:rPr>
              <w:t>Total Jurisdictional Retail Sales</w:t>
            </w:r>
          </w:p>
        </w:tc>
        <w:tc>
          <w:tcPr>
            <w:tcW w:w="1440" w:type="dxa"/>
            <w:tcBorders>
              <w:top w:val="single" w:sz="4" w:space="0" w:color="auto"/>
              <w:bottom w:val="single" w:sz="4" w:space="0" w:color="auto"/>
            </w:tcBorders>
          </w:tcPr>
          <w:p w:rsidR="008355D2" w:rsidRPr="009075DC" w:rsidRDefault="008355D2" w:rsidP="008F2DD6">
            <w:pPr>
              <w:widowControl w:val="0"/>
              <w:tabs>
                <w:tab w:val="decimal" w:pos="792"/>
              </w:tabs>
              <w:spacing w:beforeLines="20" w:before="48" w:afterLines="20" w:after="48" w:line="240" w:lineRule="auto"/>
              <w:ind w:firstLine="0"/>
              <w:rPr>
                <w:rFonts w:eastAsia="SimSun"/>
                <w:b/>
                <w:szCs w:val="24"/>
              </w:rPr>
            </w:pPr>
            <w:r w:rsidRPr="009075DC">
              <w:rPr>
                <w:rFonts w:eastAsia="SimSun"/>
                <w:b/>
                <w:szCs w:val="24"/>
              </w:rPr>
              <w:t>n/a</w:t>
            </w:r>
          </w:p>
        </w:tc>
        <w:tc>
          <w:tcPr>
            <w:tcW w:w="1368" w:type="dxa"/>
            <w:tcBorders>
              <w:top w:val="single" w:sz="4" w:space="0" w:color="auto"/>
              <w:bottom w:val="single" w:sz="4" w:space="0" w:color="auto"/>
            </w:tcBorders>
          </w:tcPr>
          <w:p w:rsidR="008355D2" w:rsidRPr="00DB6710" w:rsidRDefault="008355D2" w:rsidP="008F2DD6">
            <w:pPr>
              <w:widowControl w:val="0"/>
              <w:tabs>
                <w:tab w:val="decimal" w:pos="252"/>
              </w:tabs>
              <w:spacing w:beforeLines="20" w:before="48" w:afterLines="20" w:after="48" w:line="240" w:lineRule="auto"/>
              <w:ind w:firstLine="0"/>
              <w:jc w:val="center"/>
              <w:rPr>
                <w:rFonts w:eastAsia="SimSun"/>
                <w:szCs w:val="24"/>
              </w:rPr>
            </w:pPr>
            <w:r>
              <w:rPr>
                <w:rFonts w:eastAsia="SimSun"/>
                <w:szCs w:val="24"/>
              </w:rPr>
              <w:t>4.1</w:t>
            </w:r>
            <w:r w:rsidRPr="00DB6710">
              <w:rPr>
                <w:rFonts w:eastAsia="SimSun"/>
                <w:szCs w:val="24"/>
              </w:rPr>
              <w:t xml:space="preserve"> %</w:t>
            </w:r>
          </w:p>
        </w:tc>
      </w:tr>
      <w:tr w:rsidR="008355D2" w:rsidRPr="009075DC" w:rsidTr="008F2DD6">
        <w:trPr>
          <w:cantSplit/>
          <w:trHeight w:val="425"/>
        </w:trPr>
        <w:tc>
          <w:tcPr>
            <w:tcW w:w="7038" w:type="dxa"/>
            <w:gridSpan w:val="3"/>
            <w:tcBorders>
              <w:top w:val="single" w:sz="4" w:space="0" w:color="auto"/>
            </w:tcBorders>
          </w:tcPr>
          <w:p w:rsidR="008355D2" w:rsidRPr="001A4255" w:rsidRDefault="008355D2" w:rsidP="008F2DD6">
            <w:pPr>
              <w:widowControl w:val="0"/>
              <w:tabs>
                <w:tab w:val="decimal" w:pos="252"/>
              </w:tabs>
              <w:spacing w:beforeLines="20" w:before="48" w:afterLines="20" w:after="48" w:line="240" w:lineRule="auto"/>
              <w:ind w:firstLine="0"/>
              <w:rPr>
                <w:rFonts w:eastAsia="SimSun"/>
                <w:sz w:val="20"/>
              </w:rPr>
            </w:pPr>
            <w:r w:rsidRPr="001A4255">
              <w:rPr>
                <w:rFonts w:eastAsia="SimSun"/>
                <w:sz w:val="20"/>
              </w:rPr>
              <w:t>* Includes changes to base rates, as well as Schedules 95, 141, 142 and 149.</w:t>
            </w:r>
          </w:p>
        </w:tc>
      </w:tr>
    </w:tbl>
    <w:p w:rsidR="00F21BFD" w:rsidRDefault="00F21BFD" w:rsidP="002F7A4E">
      <w:pPr>
        <w:pStyle w:val="answer"/>
        <w:widowControl w:val="0"/>
        <w:rPr>
          <w:rFonts w:eastAsia="SimSun"/>
        </w:rPr>
      </w:pPr>
    </w:p>
    <w:p w:rsidR="00C004F0" w:rsidRDefault="00C004F0" w:rsidP="007B3B09">
      <w:pPr>
        <w:pStyle w:val="question"/>
        <w:widowControl w:val="0"/>
        <w:rPr>
          <w:rFonts w:eastAsia="SimSun"/>
        </w:rPr>
      </w:pPr>
    </w:p>
    <w:p w:rsidR="007A5685" w:rsidRDefault="007A5685" w:rsidP="007B3B09">
      <w:pPr>
        <w:pStyle w:val="question"/>
        <w:widowControl w:val="0"/>
        <w:rPr>
          <w:rFonts w:eastAsia="SimSun"/>
        </w:rPr>
      </w:pPr>
    </w:p>
    <w:p w:rsidR="001A4255" w:rsidRDefault="001A4255" w:rsidP="007B3B09">
      <w:pPr>
        <w:pStyle w:val="question"/>
        <w:widowControl w:val="0"/>
        <w:rPr>
          <w:rFonts w:eastAsia="SimSun"/>
        </w:rPr>
      </w:pPr>
    </w:p>
    <w:p w:rsidR="001A4255" w:rsidRDefault="001A4255" w:rsidP="007B3B09">
      <w:pPr>
        <w:pStyle w:val="question"/>
        <w:widowControl w:val="0"/>
        <w:rPr>
          <w:rFonts w:eastAsia="SimSun"/>
        </w:rPr>
      </w:pPr>
    </w:p>
    <w:p w:rsidR="001A4255" w:rsidRDefault="001A4255" w:rsidP="007B3B09">
      <w:pPr>
        <w:pStyle w:val="question"/>
        <w:widowControl w:val="0"/>
        <w:rPr>
          <w:rFonts w:eastAsia="SimSun"/>
        </w:rPr>
      </w:pPr>
    </w:p>
    <w:p w:rsidR="005B7B14" w:rsidRDefault="005B7B14" w:rsidP="007B3B09">
      <w:pPr>
        <w:pStyle w:val="question"/>
        <w:widowControl w:val="0"/>
        <w:rPr>
          <w:rFonts w:eastAsia="SimSun"/>
        </w:rPr>
      </w:pPr>
    </w:p>
    <w:p w:rsidR="005B7B14" w:rsidRDefault="005B7B14" w:rsidP="007B3B09">
      <w:pPr>
        <w:pStyle w:val="question"/>
        <w:widowControl w:val="0"/>
        <w:rPr>
          <w:rFonts w:eastAsia="SimSun"/>
        </w:rPr>
      </w:pPr>
    </w:p>
    <w:p w:rsidR="007B3B09" w:rsidRPr="009075DC" w:rsidRDefault="007B3B09" w:rsidP="007B3B09">
      <w:pPr>
        <w:pStyle w:val="question"/>
        <w:widowControl w:val="0"/>
        <w:rPr>
          <w:rFonts w:eastAsia="SimSun"/>
        </w:rPr>
      </w:pPr>
      <w:r w:rsidRPr="009075DC">
        <w:rPr>
          <w:rFonts w:eastAsia="SimSun"/>
        </w:rPr>
        <w:t>Q.</w:t>
      </w:r>
      <w:r w:rsidRPr="009075DC">
        <w:rPr>
          <w:rFonts w:eastAsia="SimSun"/>
        </w:rPr>
        <w:tab/>
      </w:r>
      <w:r>
        <w:rPr>
          <w:rFonts w:eastAsia="SimSun"/>
        </w:rPr>
        <w:t>Please summarize the impacts shown above.</w:t>
      </w:r>
    </w:p>
    <w:p w:rsidR="0048295A" w:rsidRDefault="007B3B09" w:rsidP="007B3B09">
      <w:pPr>
        <w:pStyle w:val="answer"/>
        <w:widowControl w:val="0"/>
        <w:rPr>
          <w:rFonts w:eastAsia="SimSun"/>
        </w:rPr>
      </w:pPr>
      <w:r w:rsidRPr="009075DC">
        <w:rPr>
          <w:rFonts w:eastAsia="SimSun"/>
        </w:rPr>
        <w:t>A.</w:t>
      </w:r>
      <w:r w:rsidRPr="009075DC">
        <w:rPr>
          <w:rFonts w:eastAsia="SimSun"/>
        </w:rPr>
        <w:tab/>
      </w:r>
      <w:r w:rsidR="00DB6710">
        <w:rPr>
          <w:rFonts w:eastAsia="SimSun"/>
        </w:rPr>
        <w:t xml:space="preserve">Based on the information provided in </w:t>
      </w:r>
      <w:r w:rsidR="00DC35E5">
        <w:rPr>
          <w:rFonts w:eastAsia="SimSun"/>
        </w:rPr>
        <w:fldChar w:fldCharType="begin"/>
      </w:r>
      <w:r w:rsidR="00DC35E5">
        <w:rPr>
          <w:rFonts w:eastAsia="SimSun"/>
        </w:rPr>
        <w:instrText xml:space="preserve"> REF _Ref441670392 \h </w:instrText>
      </w:r>
      <w:r w:rsidR="00DC35E5">
        <w:rPr>
          <w:rFonts w:eastAsia="SimSun"/>
        </w:rPr>
      </w:r>
      <w:r w:rsidR="00DC35E5">
        <w:rPr>
          <w:rFonts w:eastAsia="SimSun"/>
        </w:rPr>
        <w:fldChar w:fldCharType="separate"/>
      </w:r>
      <w:r w:rsidR="0035666C" w:rsidRPr="009075DC">
        <w:rPr>
          <w:rFonts w:eastAsia="SimSun"/>
          <w:szCs w:val="24"/>
        </w:rPr>
        <w:t xml:space="preserve">Table </w:t>
      </w:r>
      <w:r w:rsidR="0035666C">
        <w:rPr>
          <w:rFonts w:eastAsia="SimSun"/>
          <w:noProof/>
          <w:szCs w:val="24"/>
        </w:rPr>
        <w:t>9</w:t>
      </w:r>
      <w:r w:rsidR="00DC35E5">
        <w:rPr>
          <w:rFonts w:eastAsia="SimSun"/>
        </w:rPr>
        <w:fldChar w:fldCharType="end"/>
      </w:r>
      <w:r w:rsidR="00DB6710">
        <w:rPr>
          <w:rFonts w:eastAsia="SimSun"/>
        </w:rPr>
        <w:t xml:space="preserve">, most customers will see rate increases less than </w:t>
      </w:r>
      <w:r w:rsidR="008E7D08">
        <w:rPr>
          <w:rFonts w:eastAsia="SimSun"/>
        </w:rPr>
        <w:t>5</w:t>
      </w:r>
      <w:r w:rsidR="00DB6710">
        <w:rPr>
          <w:rFonts w:eastAsia="SimSun"/>
        </w:rPr>
        <w:t xml:space="preserve">.0 percent, inclusive of the rate changes that will occur for Schedules 95 (Power Cost Adjustment Clause), Schedule 141 (Expedited Rate Filing) and Schedule 142 (Revenue Decoupling Adjustment Mechanism) concurrent with the effective date of rates in this filing.  The notable exception in the results above </w:t>
      </w:r>
      <w:r w:rsidR="00B62952">
        <w:rPr>
          <w:rFonts w:eastAsia="SimSun"/>
        </w:rPr>
        <w:t>is</w:t>
      </w:r>
      <w:r w:rsidR="00DB6710">
        <w:rPr>
          <w:rFonts w:eastAsia="SimSun"/>
        </w:rPr>
        <w:t xml:space="preserve"> for Campus Rate customers served under Schedule 40, who will experience a wide range of impacts depending on their individual distribution rates.  It is also noteworthy that the impacts </w:t>
      </w:r>
      <w:r w:rsidR="00DC35E5">
        <w:rPr>
          <w:rFonts w:eastAsia="SimSun"/>
        </w:rPr>
        <w:t xml:space="preserve">estimated in </w:t>
      </w:r>
      <w:r w:rsidR="00DC35E5">
        <w:rPr>
          <w:rFonts w:eastAsia="SimSun"/>
        </w:rPr>
        <w:fldChar w:fldCharType="begin"/>
      </w:r>
      <w:r w:rsidR="00DC35E5">
        <w:rPr>
          <w:rFonts w:eastAsia="SimSun"/>
        </w:rPr>
        <w:instrText xml:space="preserve"> REF _Ref441670392 \h </w:instrText>
      </w:r>
      <w:r w:rsidR="00DC35E5">
        <w:rPr>
          <w:rFonts w:eastAsia="SimSun"/>
        </w:rPr>
      </w:r>
      <w:r w:rsidR="00DC35E5">
        <w:rPr>
          <w:rFonts w:eastAsia="SimSun"/>
        </w:rPr>
        <w:fldChar w:fldCharType="separate"/>
      </w:r>
      <w:r w:rsidR="0035666C" w:rsidRPr="009075DC">
        <w:rPr>
          <w:rFonts w:eastAsia="SimSun"/>
          <w:szCs w:val="24"/>
        </w:rPr>
        <w:t xml:space="preserve">Table </w:t>
      </w:r>
      <w:r w:rsidR="0035666C">
        <w:rPr>
          <w:rFonts w:eastAsia="SimSun"/>
          <w:noProof/>
          <w:szCs w:val="24"/>
        </w:rPr>
        <w:t>9</w:t>
      </w:r>
      <w:r w:rsidR="00DC35E5">
        <w:rPr>
          <w:rFonts w:eastAsia="SimSun"/>
        </w:rPr>
        <w:fldChar w:fldCharType="end"/>
      </w:r>
      <w:r w:rsidR="00DC35E5">
        <w:rPr>
          <w:rFonts w:eastAsia="SimSun"/>
        </w:rPr>
        <w:t xml:space="preserve"> </w:t>
      </w:r>
      <w:r w:rsidR="00DB6710">
        <w:rPr>
          <w:rFonts w:eastAsia="SimSun"/>
        </w:rPr>
        <w:t xml:space="preserve">are based on rates </w:t>
      </w:r>
      <w:r w:rsidR="00B62952">
        <w:rPr>
          <w:rFonts w:eastAsia="SimSun"/>
        </w:rPr>
        <w:t xml:space="preserve">(and allowed revenue) </w:t>
      </w:r>
      <w:r w:rsidR="00DB6710">
        <w:rPr>
          <w:rFonts w:eastAsia="SimSun"/>
        </w:rPr>
        <w:t xml:space="preserve">in effect at the time of this filing.  During the </w:t>
      </w:r>
      <w:r w:rsidR="00DB6710">
        <w:rPr>
          <w:rFonts w:eastAsia="SimSun"/>
        </w:rPr>
        <w:lastRenderedPageBreak/>
        <w:t>pendency of this general rate case, rates under Schedule 142 are expected to change, effective May 1, 201</w:t>
      </w:r>
      <w:r w:rsidR="00CF7001">
        <w:rPr>
          <w:rFonts w:eastAsia="SimSun"/>
        </w:rPr>
        <w:t>7</w:t>
      </w:r>
      <w:r w:rsidR="00DB6710">
        <w:rPr>
          <w:rFonts w:eastAsia="SimSun"/>
        </w:rPr>
        <w:t>.  This will affect the rate impacts estimated above</w:t>
      </w:r>
      <w:r w:rsidRPr="009075DC">
        <w:rPr>
          <w:rFonts w:eastAsia="SimSun"/>
        </w:rPr>
        <w:t>.</w:t>
      </w:r>
    </w:p>
    <w:p w:rsidR="009B0EB2" w:rsidRPr="009075DC" w:rsidRDefault="009B0EB2" w:rsidP="009B0EB2">
      <w:pPr>
        <w:pStyle w:val="Heading1"/>
        <w:keepNext w:val="0"/>
        <w:keepLines w:val="0"/>
        <w:widowControl w:val="0"/>
        <w:spacing w:before="360"/>
        <w:rPr>
          <w:rFonts w:eastAsia="SimSun"/>
        </w:rPr>
      </w:pPr>
      <w:bookmarkStart w:id="139" w:name="_Toc471912957"/>
      <w:r w:rsidRPr="009075DC">
        <w:rPr>
          <w:rFonts w:eastAsia="SimSun"/>
        </w:rPr>
        <w:t>V</w:t>
      </w:r>
      <w:r w:rsidR="007816E1">
        <w:rPr>
          <w:rFonts w:eastAsia="SimSun"/>
        </w:rPr>
        <w:t>II</w:t>
      </w:r>
      <w:r w:rsidRPr="009075DC">
        <w:rPr>
          <w:rFonts w:eastAsia="SimSun"/>
        </w:rPr>
        <w:t>.</w:t>
      </w:r>
      <w:r w:rsidRPr="009075DC">
        <w:rPr>
          <w:rFonts w:eastAsia="SimSun"/>
        </w:rPr>
        <w:tab/>
        <w:t xml:space="preserve">ELECTRIC </w:t>
      </w:r>
      <w:r>
        <w:rPr>
          <w:rFonts w:eastAsia="SimSun"/>
        </w:rPr>
        <w:t xml:space="preserve">LIGHTING RATE </w:t>
      </w:r>
      <w:r w:rsidRPr="009075DC">
        <w:rPr>
          <w:rFonts w:eastAsia="SimSun"/>
        </w:rPr>
        <w:t>DESIGN</w:t>
      </w:r>
      <w:bookmarkEnd w:id="139"/>
    </w:p>
    <w:p w:rsidR="00F47952" w:rsidRPr="00E96200" w:rsidRDefault="00F47952" w:rsidP="00F47952">
      <w:pPr>
        <w:pStyle w:val="question"/>
        <w:keepLines/>
        <w:widowControl w:val="0"/>
        <w:spacing w:before="120"/>
      </w:pPr>
      <w:r w:rsidRPr="00E96200">
        <w:t>Q.</w:t>
      </w:r>
      <w:r w:rsidRPr="00E96200">
        <w:tab/>
      </w:r>
      <w:r>
        <w:t>Is PSE proposing any changes to its electric Lighting tariffs in this case?</w:t>
      </w:r>
    </w:p>
    <w:p w:rsidR="00F47952" w:rsidRDefault="00F47952" w:rsidP="00F47952">
      <w:pPr>
        <w:pStyle w:val="answer"/>
        <w:widowControl w:val="0"/>
      </w:pPr>
      <w:r w:rsidRPr="009075DC">
        <w:rPr>
          <w:rFonts w:eastAsia="SimSun"/>
        </w:rPr>
        <w:t>A.</w:t>
      </w:r>
      <w:r w:rsidRPr="009075DC">
        <w:rPr>
          <w:rFonts w:eastAsia="SimSun"/>
        </w:rPr>
        <w:tab/>
      </w:r>
      <w:r>
        <w:t>Yes, PSE is proposing three changes.  It proposes to:</w:t>
      </w:r>
    </w:p>
    <w:p w:rsidR="00F47952" w:rsidRDefault="00F47952" w:rsidP="00756AAC">
      <w:pPr>
        <w:pStyle w:val="answer"/>
        <w:widowControl w:val="0"/>
        <w:numPr>
          <w:ilvl w:val="0"/>
          <w:numId w:val="36"/>
        </w:numPr>
        <w:rPr>
          <w:rFonts w:eastAsia="SimSun"/>
        </w:rPr>
      </w:pPr>
      <w:r>
        <w:rPr>
          <w:rFonts w:eastAsia="SimSun"/>
        </w:rPr>
        <w:t xml:space="preserve">Expand </w:t>
      </w:r>
      <w:r w:rsidRPr="00E154D6">
        <w:rPr>
          <w:rFonts w:eastAsia="SimSun"/>
        </w:rPr>
        <w:t xml:space="preserve">the wattage </w:t>
      </w:r>
      <w:r>
        <w:rPr>
          <w:rFonts w:eastAsia="SimSun"/>
        </w:rPr>
        <w:t xml:space="preserve">range </w:t>
      </w:r>
      <w:r w:rsidRPr="00E154D6">
        <w:rPr>
          <w:rFonts w:eastAsia="SimSun"/>
        </w:rPr>
        <w:t xml:space="preserve">for </w:t>
      </w:r>
      <w:r>
        <w:rPr>
          <w:rFonts w:eastAsia="SimSun"/>
        </w:rPr>
        <w:t>each Light Emitting Diode (“</w:t>
      </w:r>
      <w:r w:rsidRPr="00E154D6">
        <w:rPr>
          <w:rFonts w:eastAsia="SimSun"/>
        </w:rPr>
        <w:t>LED</w:t>
      </w:r>
      <w:r>
        <w:rPr>
          <w:rFonts w:eastAsia="SimSun"/>
        </w:rPr>
        <w:t>”) rate,</w:t>
      </w:r>
    </w:p>
    <w:p w:rsidR="00F47952" w:rsidRDefault="00F47952" w:rsidP="00756AAC">
      <w:pPr>
        <w:pStyle w:val="answer"/>
        <w:widowControl w:val="0"/>
        <w:numPr>
          <w:ilvl w:val="0"/>
          <w:numId w:val="36"/>
        </w:numPr>
        <w:rPr>
          <w:rFonts w:eastAsia="SimSun"/>
        </w:rPr>
      </w:pPr>
      <w:r w:rsidRPr="00E154D6">
        <w:rPr>
          <w:rFonts w:eastAsia="SimSun"/>
        </w:rPr>
        <w:t>Updat</w:t>
      </w:r>
      <w:r>
        <w:rPr>
          <w:rFonts w:eastAsia="SimSun"/>
        </w:rPr>
        <w:t>e</w:t>
      </w:r>
      <w:r w:rsidRPr="00E154D6">
        <w:rPr>
          <w:rFonts w:eastAsia="SimSun"/>
        </w:rPr>
        <w:t xml:space="preserve"> </w:t>
      </w:r>
      <w:r>
        <w:rPr>
          <w:rFonts w:eastAsia="SimSun"/>
        </w:rPr>
        <w:t xml:space="preserve">overall </w:t>
      </w:r>
      <w:r w:rsidRPr="00E154D6">
        <w:rPr>
          <w:rFonts w:eastAsia="SimSun"/>
        </w:rPr>
        <w:t xml:space="preserve">lighting rates to </w:t>
      </w:r>
      <w:r>
        <w:rPr>
          <w:rFonts w:eastAsia="SimSun"/>
        </w:rPr>
        <w:t xml:space="preserve">better </w:t>
      </w:r>
      <w:r w:rsidRPr="00E154D6">
        <w:rPr>
          <w:rFonts w:eastAsia="SimSun"/>
        </w:rPr>
        <w:t xml:space="preserve">reflect cost causation with a more detailed </w:t>
      </w:r>
      <w:r>
        <w:rPr>
          <w:rFonts w:eastAsia="SimSun"/>
        </w:rPr>
        <w:t xml:space="preserve">and current cost </w:t>
      </w:r>
      <w:r w:rsidRPr="00E154D6">
        <w:rPr>
          <w:rFonts w:eastAsia="SimSun"/>
        </w:rPr>
        <w:t>analysis</w:t>
      </w:r>
      <w:r>
        <w:rPr>
          <w:rFonts w:eastAsia="SimSun"/>
        </w:rPr>
        <w:t>, and</w:t>
      </w:r>
    </w:p>
    <w:p w:rsidR="00F47952" w:rsidRPr="00DF79F1" w:rsidRDefault="00F47952" w:rsidP="00756AAC">
      <w:pPr>
        <w:pStyle w:val="answer"/>
        <w:widowControl w:val="0"/>
        <w:numPr>
          <w:ilvl w:val="0"/>
          <w:numId w:val="36"/>
        </w:numPr>
        <w:rPr>
          <w:rFonts w:eastAsia="SimSun"/>
        </w:rPr>
      </w:pPr>
      <w:r>
        <w:rPr>
          <w:rFonts w:eastAsia="SimSun"/>
        </w:rPr>
        <w:t>Remove the “Wattage Including Driver” column in tariffs with LEDs.</w:t>
      </w:r>
    </w:p>
    <w:p w:rsidR="00F47952" w:rsidRPr="001D66DB" w:rsidRDefault="00F47952" w:rsidP="00F47952">
      <w:pPr>
        <w:pStyle w:val="Heading2"/>
        <w:spacing w:before="240" w:after="320"/>
        <w:ind w:left="0" w:firstLine="0"/>
      </w:pPr>
      <w:bookmarkStart w:id="140" w:name="_Toc470793082"/>
      <w:bookmarkStart w:id="141" w:name="_Toc471912958"/>
      <w:r w:rsidRPr="001D66DB">
        <w:rPr>
          <w:u w:val="none"/>
        </w:rPr>
        <w:t>A.</w:t>
      </w:r>
      <w:r w:rsidRPr="001D66DB">
        <w:rPr>
          <w:u w:val="none"/>
        </w:rPr>
        <w:tab/>
      </w:r>
      <w:bookmarkEnd w:id="140"/>
      <w:r w:rsidRPr="008433D4">
        <w:t>Expanded LED Wattage Ranges</w:t>
      </w:r>
      <w:bookmarkEnd w:id="141"/>
    </w:p>
    <w:p w:rsidR="00F47952" w:rsidRPr="00E96200" w:rsidRDefault="00F47952" w:rsidP="00F47952">
      <w:pPr>
        <w:pStyle w:val="question"/>
        <w:keepLines/>
        <w:widowControl w:val="0"/>
        <w:spacing w:before="120"/>
      </w:pPr>
      <w:r w:rsidRPr="00E96200">
        <w:t>Q.</w:t>
      </w:r>
      <w:r w:rsidRPr="00E96200">
        <w:tab/>
        <w:t xml:space="preserve">Why is PSE </w:t>
      </w:r>
      <w:r>
        <w:t xml:space="preserve">expanding the wattage range applicable for each </w:t>
      </w:r>
      <w:r w:rsidRPr="00E96200">
        <w:t>LED</w:t>
      </w:r>
      <w:r>
        <w:t xml:space="preserve"> rate</w:t>
      </w:r>
      <w:r w:rsidRPr="00E96200">
        <w:t>?</w:t>
      </w:r>
    </w:p>
    <w:p w:rsidR="00F47952" w:rsidRDefault="00F47952" w:rsidP="00F47952">
      <w:pPr>
        <w:pStyle w:val="answer"/>
        <w:widowControl w:val="0"/>
      </w:pPr>
      <w:r w:rsidRPr="009075DC">
        <w:rPr>
          <w:rFonts w:eastAsia="SimSun"/>
        </w:rPr>
        <w:t>A.</w:t>
      </w:r>
      <w:r w:rsidRPr="009075DC">
        <w:rPr>
          <w:rFonts w:eastAsia="SimSun"/>
        </w:rPr>
        <w:tab/>
      </w:r>
      <w:r>
        <w:t xml:space="preserve">In the past, LED rates have been placed on the various lighting schedules on an ad hoc basis as new lighting wattages and types were offered to customers. The result has been the creation of many “gaps” in between LED lighting options, requiring many one-off tariff filings to add a new LED rate for each new offering.  From a ratemaking and tariff administration perspective, PSE has found this to be an inefficient approach to expanding its lighting offerings.  Therefore, as part of its proposal, PSE is proposing a continuous range of rates (i.e., without gaps) that can accommodate new LED offerings as they become available.  </w:t>
      </w:r>
    </w:p>
    <w:p w:rsidR="00F47952" w:rsidRDefault="00F47952" w:rsidP="00F47952">
      <w:pPr>
        <w:pStyle w:val="answer"/>
        <w:widowControl w:val="0"/>
        <w:ind w:firstLine="0"/>
        <w:rPr>
          <w:rFonts w:eastAsia="SimSun"/>
        </w:rPr>
      </w:pPr>
      <w:r>
        <w:t xml:space="preserve">Moreover, this historic ad hoc approach has created a proliferation of unique LED </w:t>
      </w:r>
      <w:r>
        <w:lastRenderedPageBreak/>
        <w:t xml:space="preserve">rates, as many as 54 on an individual lighting schedule.  These numerous rates subsequently lead to the need for just as many additional rates for many of the applicable adjusting price schedules. PSE’s proposal here is meant to address this proliferation of LED rates in its electric tariff.  Under the proposed wattage ranges, to which individual rates would apply, customers only have to choose from nine options. This simplifies customer choice and billing, removes the rate gaps and need for multiple one-off rate filings with the Commission to offer new LEDs, better enables PSE’s rate structure to offer customers the lamps they want amid rapid advancement in LED technology, and considerably reduces administrative workload on the part of the Company, interested stakeholders and the Commission. </w:t>
      </w:r>
    </w:p>
    <w:p w:rsidR="00F47952" w:rsidRPr="00E96200" w:rsidRDefault="00F47952" w:rsidP="00F47952">
      <w:pPr>
        <w:pStyle w:val="question"/>
        <w:keepLines/>
        <w:widowControl w:val="0"/>
        <w:spacing w:before="120"/>
      </w:pPr>
      <w:r w:rsidRPr="00E96200">
        <w:t>Q.</w:t>
      </w:r>
      <w:r w:rsidRPr="00E96200">
        <w:tab/>
        <w:t xml:space="preserve">Please </w:t>
      </w:r>
      <w:r>
        <w:t>describe the ranges of LED lamp wattages in PSE’s existing lighting schedules</w:t>
      </w:r>
      <w:r w:rsidRPr="007858F6">
        <w:t>.</w:t>
      </w:r>
    </w:p>
    <w:p w:rsidR="00F47952" w:rsidRDefault="00F47952" w:rsidP="00F47952">
      <w:pPr>
        <w:pStyle w:val="answer"/>
        <w:widowControl w:val="0"/>
        <w:rPr>
          <w:rFonts w:eastAsia="SimSun"/>
        </w:rPr>
      </w:pPr>
      <w:r w:rsidRPr="009075DC">
        <w:rPr>
          <w:rFonts w:eastAsia="SimSun"/>
        </w:rPr>
        <w:t>A.</w:t>
      </w:r>
      <w:r w:rsidRPr="009075DC">
        <w:rPr>
          <w:rFonts w:eastAsia="SimSun"/>
        </w:rPr>
        <w:tab/>
      </w:r>
      <w:r w:rsidRPr="00E154D6">
        <w:rPr>
          <w:rFonts w:eastAsia="SimSun"/>
        </w:rPr>
        <w:t xml:space="preserve">On </w:t>
      </w:r>
      <w:r>
        <w:rPr>
          <w:rFonts w:eastAsia="SimSun"/>
        </w:rPr>
        <w:t>existing l</w:t>
      </w:r>
      <w:r w:rsidRPr="00E154D6">
        <w:rPr>
          <w:rFonts w:eastAsia="SimSun"/>
        </w:rPr>
        <w:t xml:space="preserve">ighting </w:t>
      </w:r>
      <w:r>
        <w:rPr>
          <w:rFonts w:eastAsia="SimSun"/>
        </w:rPr>
        <w:t>s</w:t>
      </w:r>
      <w:r w:rsidRPr="00E154D6">
        <w:rPr>
          <w:rFonts w:eastAsia="SimSun"/>
        </w:rPr>
        <w:t xml:space="preserve">chedules, LED lamps are </w:t>
      </w:r>
      <w:r>
        <w:rPr>
          <w:rFonts w:eastAsia="SimSun"/>
        </w:rPr>
        <w:t xml:space="preserve">priced in five watt ranges. On Schedules 51, 53, and 54, these offered ranges </w:t>
      </w:r>
      <w:r w:rsidR="00D7337C">
        <w:rPr>
          <w:rFonts w:eastAsia="SimSun"/>
        </w:rPr>
        <w:t xml:space="preserve">start at 30 – 35 watts and </w:t>
      </w:r>
      <w:r>
        <w:rPr>
          <w:rFonts w:eastAsia="SimSun"/>
        </w:rPr>
        <w:t xml:space="preserve">end at 295.01 – 300 watts. On Schedules 55 and 56, the offered ranged </w:t>
      </w:r>
      <w:r w:rsidR="00D7337C">
        <w:rPr>
          <w:rFonts w:eastAsia="SimSun"/>
        </w:rPr>
        <w:t xml:space="preserve">start at 30 – 35 watts and </w:t>
      </w:r>
      <w:r>
        <w:rPr>
          <w:rFonts w:eastAsia="SimSun"/>
        </w:rPr>
        <w:t xml:space="preserve">end at 95.01 – 100 watts. On Schedules 58 and 59, the offered ranges start at 50.00 – 55 watts and end with 875.01 – 880 watts and many gaps exist between offered ranges. </w:t>
      </w:r>
      <w:r w:rsidR="006863FB">
        <w:rPr>
          <w:rFonts w:eastAsia="SimSun"/>
        </w:rPr>
        <w:t>LEDs are not offered under Schedules 50, 52, and 57.</w:t>
      </w:r>
    </w:p>
    <w:p w:rsidR="00F47952" w:rsidRPr="00E96200" w:rsidRDefault="00F47952" w:rsidP="00F47952">
      <w:pPr>
        <w:pStyle w:val="question"/>
        <w:keepLines/>
        <w:widowControl w:val="0"/>
        <w:spacing w:before="120"/>
      </w:pPr>
      <w:r w:rsidRPr="00E96200">
        <w:t>Q.</w:t>
      </w:r>
      <w:r w:rsidRPr="00E96200">
        <w:tab/>
        <w:t xml:space="preserve">Please explain how </w:t>
      </w:r>
      <w:r>
        <w:t xml:space="preserve">PSE proposes to expand the </w:t>
      </w:r>
      <w:r w:rsidRPr="007858F6">
        <w:t>LED lamp wattage ranges.</w:t>
      </w:r>
    </w:p>
    <w:p w:rsidR="00F47952" w:rsidRPr="00E154D6" w:rsidRDefault="00F47952" w:rsidP="00F47952">
      <w:pPr>
        <w:pStyle w:val="answer"/>
        <w:widowControl w:val="0"/>
        <w:rPr>
          <w:rFonts w:eastAsia="SimSun"/>
        </w:rPr>
      </w:pPr>
      <w:r>
        <w:rPr>
          <w:rFonts w:eastAsia="SimSun"/>
        </w:rPr>
        <w:t>A.</w:t>
      </w:r>
      <w:r>
        <w:rPr>
          <w:rFonts w:eastAsia="SimSun"/>
        </w:rPr>
        <w:tab/>
        <w:t xml:space="preserve">PSE proposes that the LED wattage ranges be expanded to 30 watt ranges instead of five watt ranges. </w:t>
      </w:r>
      <w:r w:rsidRPr="00E154D6">
        <w:rPr>
          <w:rFonts w:eastAsia="SimSun"/>
        </w:rPr>
        <w:t xml:space="preserve">To establish </w:t>
      </w:r>
      <w:r>
        <w:rPr>
          <w:rFonts w:eastAsia="SimSun"/>
        </w:rPr>
        <w:t xml:space="preserve">a </w:t>
      </w:r>
      <w:r w:rsidRPr="00E154D6">
        <w:rPr>
          <w:rFonts w:eastAsia="SimSun"/>
        </w:rPr>
        <w:t>consistent</w:t>
      </w:r>
      <w:r>
        <w:rPr>
          <w:rFonts w:eastAsia="SimSun"/>
        </w:rPr>
        <w:t xml:space="preserve"> offering across schedules</w:t>
      </w:r>
      <w:r w:rsidRPr="00E154D6">
        <w:rPr>
          <w:rFonts w:eastAsia="SimSun"/>
        </w:rPr>
        <w:t xml:space="preserve">, all </w:t>
      </w:r>
      <w:r>
        <w:rPr>
          <w:rFonts w:eastAsia="SimSun"/>
        </w:rPr>
        <w:t>l</w:t>
      </w:r>
      <w:r w:rsidRPr="00E154D6">
        <w:rPr>
          <w:rFonts w:eastAsia="SimSun"/>
        </w:rPr>
        <w:t xml:space="preserve">ighting </w:t>
      </w:r>
      <w:r w:rsidRPr="00E154D6">
        <w:rPr>
          <w:rFonts w:eastAsia="SimSun"/>
        </w:rPr>
        <w:lastRenderedPageBreak/>
        <w:t>schedules</w:t>
      </w:r>
      <w:r w:rsidR="006863FB">
        <w:rPr>
          <w:rFonts w:eastAsia="SimSun"/>
        </w:rPr>
        <w:t xml:space="preserve"> that previously offered LEDs</w:t>
      </w:r>
      <w:r w:rsidRPr="00E154D6">
        <w:rPr>
          <w:rFonts w:eastAsia="SimSun"/>
        </w:rPr>
        <w:t xml:space="preserve"> </w:t>
      </w:r>
      <w:r>
        <w:rPr>
          <w:rFonts w:eastAsia="SimSun"/>
        </w:rPr>
        <w:t xml:space="preserve">are proposed to offer LED wattage ranges beginning with 30 – 60 watts and ending with 270.01 – 300 watts. </w:t>
      </w:r>
      <w:r w:rsidRPr="00E154D6">
        <w:rPr>
          <w:rFonts w:eastAsia="SimSun"/>
        </w:rPr>
        <w:t>Finally, to accommodate schedule specific customer needs, additional ranges were added to Schedule</w:t>
      </w:r>
      <w:r>
        <w:rPr>
          <w:rFonts w:eastAsia="SimSun"/>
        </w:rPr>
        <w:t>s</w:t>
      </w:r>
      <w:r w:rsidRPr="00E154D6">
        <w:rPr>
          <w:rFonts w:eastAsia="SimSun"/>
        </w:rPr>
        <w:t xml:space="preserve"> 58 </w:t>
      </w:r>
      <w:r>
        <w:rPr>
          <w:rFonts w:eastAsia="SimSun"/>
        </w:rPr>
        <w:t>and</w:t>
      </w:r>
      <w:r w:rsidRPr="00E154D6">
        <w:rPr>
          <w:rFonts w:eastAsia="SimSun"/>
        </w:rPr>
        <w:t xml:space="preserve"> 59. These additional ranges cover 100 watts beginning with 300.01 – 400</w:t>
      </w:r>
      <w:r>
        <w:rPr>
          <w:rFonts w:eastAsia="SimSun"/>
        </w:rPr>
        <w:t>.00 watts</w:t>
      </w:r>
      <w:r w:rsidRPr="00E154D6">
        <w:rPr>
          <w:rFonts w:eastAsia="SimSun"/>
        </w:rPr>
        <w:t xml:space="preserve"> and ending with 800.01 – 900</w:t>
      </w:r>
      <w:r>
        <w:rPr>
          <w:rFonts w:eastAsia="SimSun"/>
        </w:rPr>
        <w:t>.00</w:t>
      </w:r>
      <w:r w:rsidRPr="00E154D6">
        <w:rPr>
          <w:rFonts w:eastAsia="SimSun"/>
        </w:rPr>
        <w:t xml:space="preserve"> </w:t>
      </w:r>
      <w:r>
        <w:rPr>
          <w:rFonts w:eastAsia="SimSun"/>
        </w:rPr>
        <w:t>w</w:t>
      </w:r>
      <w:r w:rsidRPr="00E154D6">
        <w:rPr>
          <w:rFonts w:eastAsia="SimSun"/>
        </w:rPr>
        <w:t xml:space="preserve">atts.   </w:t>
      </w:r>
    </w:p>
    <w:p w:rsidR="00F47952" w:rsidRPr="00E96200" w:rsidRDefault="00F47952" w:rsidP="00F47952">
      <w:pPr>
        <w:pStyle w:val="question"/>
        <w:keepLines/>
        <w:widowControl w:val="0"/>
        <w:spacing w:before="120"/>
      </w:pPr>
      <w:r w:rsidRPr="00E96200">
        <w:t>Q.</w:t>
      </w:r>
      <w:r w:rsidRPr="00E96200">
        <w:tab/>
        <w:t xml:space="preserve">What are </w:t>
      </w:r>
      <w:r>
        <w:t xml:space="preserve">some of </w:t>
      </w:r>
      <w:r w:rsidRPr="00E96200">
        <w:t xml:space="preserve">the consequences of </w:t>
      </w:r>
      <w:r>
        <w:t>expanding the wattage ranges for LEDs</w:t>
      </w:r>
      <w:r w:rsidRPr="00E96200">
        <w:t>?</w:t>
      </w:r>
    </w:p>
    <w:p w:rsidR="00F47952" w:rsidRDefault="00F47952" w:rsidP="00F47952">
      <w:pPr>
        <w:pStyle w:val="answer"/>
        <w:widowControl w:val="0"/>
      </w:pPr>
      <w:r w:rsidRPr="009075DC">
        <w:rPr>
          <w:rFonts w:eastAsia="SimSun"/>
        </w:rPr>
        <w:t>A.</w:t>
      </w:r>
      <w:r w:rsidRPr="009075DC">
        <w:rPr>
          <w:rFonts w:eastAsia="SimSun"/>
        </w:rPr>
        <w:tab/>
      </w:r>
      <w:r>
        <w:t>Expanding the ranges for LED rates may cause a small amount of cross subsidization to occur when a broader range of LED wattages are charged a single rate. Within each 30 watt range, lamp rates are calculated with the assumption that lamps in that range have wattage at the middle of the range (e.g., for the range of 30 watt – 60 watt, the prices are calculated at 45 watt). Consequently,</w:t>
      </w:r>
      <w:r w:rsidRPr="007858F6">
        <w:t xml:space="preserve"> low wattage lamps </w:t>
      </w:r>
      <w:r>
        <w:t xml:space="preserve">would be </w:t>
      </w:r>
      <w:r w:rsidRPr="007858F6">
        <w:t xml:space="preserve">charged </w:t>
      </w:r>
      <w:r>
        <w:t xml:space="preserve">slightly </w:t>
      </w:r>
      <w:r w:rsidRPr="007858F6">
        <w:t xml:space="preserve">above </w:t>
      </w:r>
      <w:r>
        <w:t xml:space="preserve">what it may otherwise be charged if the existing wattage ranges were preserved and vice versa for </w:t>
      </w:r>
      <w:r w:rsidRPr="007858F6">
        <w:t>higher wattage lamps</w:t>
      </w:r>
      <w:r>
        <w:t xml:space="preserve">. </w:t>
      </w:r>
    </w:p>
    <w:p w:rsidR="00F47952" w:rsidRPr="00E96200" w:rsidRDefault="00F47952" w:rsidP="00F47952">
      <w:pPr>
        <w:pStyle w:val="question"/>
        <w:keepLines/>
        <w:widowControl w:val="0"/>
        <w:spacing w:before="120"/>
      </w:pPr>
      <w:r>
        <w:t xml:space="preserve">Q. </w:t>
      </w:r>
      <w:r>
        <w:tab/>
        <w:t xml:space="preserve">Is PSE concerned about the potential for some increased cross-subsidies among effected customers? </w:t>
      </w:r>
    </w:p>
    <w:p w:rsidR="00F47952" w:rsidRPr="001D66DB" w:rsidRDefault="00F47952" w:rsidP="00F47952">
      <w:pPr>
        <w:pStyle w:val="answer"/>
        <w:widowControl w:val="0"/>
        <w:rPr>
          <w:rFonts w:eastAsia="SimSun"/>
        </w:rPr>
      </w:pPr>
      <w:r w:rsidRPr="008433D4">
        <w:t>A.</w:t>
      </w:r>
      <w:r w:rsidRPr="008433D4">
        <w:tab/>
        <w:t xml:space="preserve">While, all other things being equal, PSE would prefer to limit cross-subsidies among its customers, in this particular instance PSE believes the benefits of expanding the ranges outweigh the negative consequences of these potential cross-subsides.  Moreover, relative to PSE’s many other rate schedules that charge a single rate or set of rates for all customers served under that schedule, the </w:t>
      </w:r>
      <w:r w:rsidRPr="008433D4">
        <w:lastRenderedPageBreak/>
        <w:t xml:space="preserve">proposed LED ranges continue to provide a large degree of protection against cross-subsidies.  </w:t>
      </w:r>
      <w:r w:rsidR="00D7337C">
        <w:t>Finally, many of the most popular lamp sizes continue to be in separate wattage ranges or are so close in wattage to one another that the cross-subsidies are relatively minor.</w:t>
      </w:r>
      <w:r w:rsidRPr="008433D4">
        <w:rPr>
          <w:rFonts w:eastAsia="SimSun"/>
        </w:rPr>
        <w:t xml:space="preserve"> </w:t>
      </w:r>
    </w:p>
    <w:p w:rsidR="00F47952" w:rsidRPr="001D66DB" w:rsidRDefault="00F47952" w:rsidP="00F47952">
      <w:pPr>
        <w:pStyle w:val="Heading2"/>
        <w:spacing w:before="240" w:after="320"/>
        <w:ind w:left="0" w:firstLine="0"/>
      </w:pPr>
      <w:bookmarkStart w:id="142" w:name="_Toc471912959"/>
      <w:r w:rsidRPr="009B5733">
        <w:rPr>
          <w:u w:val="none"/>
        </w:rPr>
        <w:t>B.</w:t>
      </w:r>
      <w:r w:rsidRPr="001D66DB">
        <w:rPr>
          <w:u w:val="none"/>
        </w:rPr>
        <w:tab/>
      </w:r>
      <w:r w:rsidRPr="008433D4">
        <w:t>Lighting Study</w:t>
      </w:r>
      <w:bookmarkEnd w:id="142"/>
    </w:p>
    <w:p w:rsidR="00F47952" w:rsidRPr="00E96200" w:rsidRDefault="00F47952" w:rsidP="00F47952">
      <w:pPr>
        <w:pStyle w:val="question"/>
        <w:keepLines/>
        <w:widowControl w:val="0"/>
        <w:spacing w:before="120"/>
      </w:pPr>
      <w:r w:rsidRPr="00E96200">
        <w:t>Q.</w:t>
      </w:r>
      <w:r w:rsidRPr="00E96200">
        <w:tab/>
      </w:r>
      <w:r w:rsidRPr="00820703">
        <w:t xml:space="preserve">Why is PSE performing </w:t>
      </w:r>
      <w:r>
        <w:t>a</w:t>
      </w:r>
      <w:r w:rsidRPr="00820703">
        <w:t xml:space="preserve"> more detailed </w:t>
      </w:r>
      <w:r>
        <w:t>electric lighting</w:t>
      </w:r>
      <w:r w:rsidRPr="00820703">
        <w:t xml:space="preserve"> analysis for this filing?</w:t>
      </w:r>
    </w:p>
    <w:p w:rsidR="00F47952" w:rsidRDefault="00F47952" w:rsidP="00F47952">
      <w:pPr>
        <w:pStyle w:val="answer"/>
        <w:widowControl w:val="0"/>
        <w:rPr>
          <w:rFonts w:eastAsia="SimSun"/>
        </w:rPr>
      </w:pPr>
      <w:r w:rsidRPr="00E154D6">
        <w:t>A.</w:t>
      </w:r>
      <w:r w:rsidRPr="00E154D6">
        <w:tab/>
      </w:r>
      <w:r>
        <w:t xml:space="preserve">Through a more detailed electric lighting analysis, PSE can provide its lighting customers rates that are fairer and more reflective of current costs. It has been at least 16 years since PSE has conducted a detailed electric lighting analysis.  In that time, lighting rates have been adjusted proportionally in each general rate case with the general cost of service for all lighting schedules. As a result, and as reflected by the differential in rate impacts discussed later, many of the individual lighting rates within each schedule have drifted from the current cost of service. The purpose of this detailed analysis is to bring the rates more in line with current costs, which in turn will provide customers with more fair rates. </w:t>
      </w:r>
    </w:p>
    <w:p w:rsidR="00F47952" w:rsidRPr="00E96200" w:rsidRDefault="00F47952" w:rsidP="00F47952">
      <w:pPr>
        <w:pStyle w:val="question"/>
        <w:keepLines/>
        <w:widowControl w:val="0"/>
        <w:spacing w:before="120"/>
      </w:pPr>
      <w:r w:rsidRPr="00E96200">
        <w:t>Q.</w:t>
      </w:r>
      <w:r w:rsidRPr="00E96200">
        <w:tab/>
        <w:t>Please provide an overview of how this lighting analysis was performed.</w:t>
      </w:r>
    </w:p>
    <w:p w:rsidR="00F47952" w:rsidRPr="00544385" w:rsidRDefault="00F47952" w:rsidP="00F47952">
      <w:pPr>
        <w:pStyle w:val="answer"/>
        <w:widowControl w:val="0"/>
      </w:pPr>
      <w:r w:rsidRPr="00E154D6">
        <w:t>A.</w:t>
      </w:r>
      <w:r w:rsidRPr="00E154D6">
        <w:tab/>
      </w:r>
      <w:r w:rsidRPr="00544385">
        <w:t xml:space="preserve">The methodology employed in this </w:t>
      </w:r>
      <w:r>
        <w:t>analysis</w:t>
      </w:r>
      <w:r w:rsidRPr="00544385">
        <w:t xml:space="preserve"> </w:t>
      </w:r>
      <w:r>
        <w:t xml:space="preserve">was </w:t>
      </w:r>
      <w:r w:rsidRPr="00544385">
        <w:t xml:space="preserve">designed to develop rates for lighting schedules </w:t>
      </w:r>
      <w:r>
        <w:t xml:space="preserve">more in line with current </w:t>
      </w:r>
      <w:r w:rsidRPr="00544385">
        <w:t>cost</w:t>
      </w:r>
      <w:r>
        <w:t>s</w:t>
      </w:r>
      <w:r w:rsidRPr="00544385">
        <w:t xml:space="preserve">.  </w:t>
      </w:r>
      <w:r>
        <w:t>The five step process used to conduct this analysis was as follows:</w:t>
      </w:r>
    </w:p>
    <w:p w:rsidR="00F47952" w:rsidRPr="00E154D6" w:rsidRDefault="00F47952" w:rsidP="00756AAC">
      <w:pPr>
        <w:pStyle w:val="answer"/>
        <w:widowControl w:val="0"/>
        <w:numPr>
          <w:ilvl w:val="0"/>
          <w:numId w:val="37"/>
        </w:numPr>
        <w:ind w:left="1080"/>
        <w:rPr>
          <w:rFonts w:eastAsia="SimSun"/>
        </w:rPr>
      </w:pPr>
      <w:r w:rsidRPr="00E154D6">
        <w:rPr>
          <w:rFonts w:eastAsia="SimSun"/>
        </w:rPr>
        <w:t>Identify the revenue required from the lighting customer class.</w:t>
      </w:r>
    </w:p>
    <w:p w:rsidR="00F47952" w:rsidRPr="00E154D6" w:rsidRDefault="00F47952" w:rsidP="00756AAC">
      <w:pPr>
        <w:pStyle w:val="answer"/>
        <w:widowControl w:val="0"/>
        <w:numPr>
          <w:ilvl w:val="0"/>
          <w:numId w:val="37"/>
        </w:numPr>
        <w:ind w:left="1080"/>
        <w:rPr>
          <w:rFonts w:eastAsia="SimSun"/>
        </w:rPr>
      </w:pPr>
      <w:r>
        <w:rPr>
          <w:rFonts w:eastAsia="SimSun"/>
        </w:rPr>
        <w:lastRenderedPageBreak/>
        <w:t>Classify</w:t>
      </w:r>
      <w:r w:rsidRPr="00E154D6">
        <w:rPr>
          <w:rFonts w:eastAsia="SimSun"/>
        </w:rPr>
        <w:t xml:space="preserve"> </w:t>
      </w:r>
      <w:r>
        <w:rPr>
          <w:rFonts w:eastAsia="SimSun"/>
        </w:rPr>
        <w:t xml:space="preserve">lighting </w:t>
      </w:r>
      <w:r w:rsidRPr="00E154D6">
        <w:rPr>
          <w:rFonts w:eastAsia="SimSun"/>
        </w:rPr>
        <w:t>cost</w:t>
      </w:r>
      <w:r>
        <w:rPr>
          <w:rFonts w:eastAsia="SimSun"/>
        </w:rPr>
        <w:t>s</w:t>
      </w:r>
      <w:r w:rsidRPr="00E154D6">
        <w:rPr>
          <w:rFonts w:eastAsia="SimSun"/>
        </w:rPr>
        <w:t xml:space="preserve"> based on </w:t>
      </w:r>
      <w:r>
        <w:rPr>
          <w:rFonts w:eastAsia="SimSun"/>
        </w:rPr>
        <w:t xml:space="preserve">relevant </w:t>
      </w:r>
      <w:r w:rsidRPr="00E154D6">
        <w:rPr>
          <w:rFonts w:eastAsia="SimSun"/>
        </w:rPr>
        <w:t>cost</w:t>
      </w:r>
      <w:r>
        <w:rPr>
          <w:rFonts w:eastAsia="SimSun"/>
        </w:rPr>
        <w:t xml:space="preserve"> drivers</w:t>
      </w:r>
      <w:r w:rsidRPr="00E154D6">
        <w:rPr>
          <w:rFonts w:eastAsia="SimSun"/>
        </w:rPr>
        <w:t xml:space="preserve">. </w:t>
      </w:r>
    </w:p>
    <w:p w:rsidR="00F47952" w:rsidRPr="00E154D6" w:rsidRDefault="00F47952" w:rsidP="00756AAC">
      <w:pPr>
        <w:pStyle w:val="answer"/>
        <w:widowControl w:val="0"/>
        <w:numPr>
          <w:ilvl w:val="0"/>
          <w:numId w:val="37"/>
        </w:numPr>
        <w:ind w:left="1080"/>
        <w:rPr>
          <w:rFonts w:eastAsia="SimSun"/>
        </w:rPr>
      </w:pPr>
      <w:r w:rsidRPr="00E154D6">
        <w:rPr>
          <w:rFonts w:eastAsia="SimSun"/>
        </w:rPr>
        <w:t xml:space="preserve">Identify </w:t>
      </w:r>
      <w:r>
        <w:rPr>
          <w:rFonts w:eastAsia="SimSun"/>
        </w:rPr>
        <w:t xml:space="preserve">the contribution </w:t>
      </w:r>
      <w:r w:rsidRPr="00E154D6">
        <w:rPr>
          <w:rFonts w:eastAsia="SimSun"/>
        </w:rPr>
        <w:t>each kind of lamp and pole offered on lighting schedules</w:t>
      </w:r>
      <w:r>
        <w:rPr>
          <w:rFonts w:eastAsia="SimSun"/>
        </w:rPr>
        <w:t xml:space="preserve"> towards these cost drivers</w:t>
      </w:r>
      <w:r w:rsidRPr="00E154D6">
        <w:rPr>
          <w:rFonts w:eastAsia="SimSun"/>
        </w:rPr>
        <w:t>.</w:t>
      </w:r>
    </w:p>
    <w:p w:rsidR="00F47952" w:rsidRPr="00E154D6" w:rsidRDefault="00F47952" w:rsidP="00756AAC">
      <w:pPr>
        <w:pStyle w:val="answer"/>
        <w:widowControl w:val="0"/>
        <w:numPr>
          <w:ilvl w:val="0"/>
          <w:numId w:val="37"/>
        </w:numPr>
        <w:ind w:left="1080"/>
        <w:rPr>
          <w:rFonts w:eastAsia="SimSun"/>
        </w:rPr>
      </w:pPr>
      <w:r>
        <w:rPr>
          <w:rFonts w:eastAsia="SimSun"/>
        </w:rPr>
        <w:t>Allocate the classified costs based on each</w:t>
      </w:r>
      <w:r w:rsidRPr="00E154D6">
        <w:rPr>
          <w:rFonts w:eastAsia="SimSun"/>
        </w:rPr>
        <w:t xml:space="preserve"> lamp</w:t>
      </w:r>
      <w:r>
        <w:rPr>
          <w:rFonts w:eastAsia="SimSun"/>
        </w:rPr>
        <w:t xml:space="preserve"> size/type</w:t>
      </w:r>
      <w:r w:rsidRPr="00E154D6">
        <w:rPr>
          <w:rFonts w:eastAsia="SimSun"/>
        </w:rPr>
        <w:t xml:space="preserve"> and pole</w:t>
      </w:r>
      <w:r>
        <w:rPr>
          <w:rFonts w:eastAsia="SimSun"/>
        </w:rPr>
        <w:t>’s contribution</w:t>
      </w:r>
      <w:r w:rsidRPr="00E154D6">
        <w:rPr>
          <w:rFonts w:eastAsia="SimSun"/>
        </w:rPr>
        <w:t xml:space="preserve"> </w:t>
      </w:r>
      <w:r>
        <w:rPr>
          <w:rFonts w:eastAsia="SimSun"/>
        </w:rPr>
        <w:t>to these cost drivers</w:t>
      </w:r>
      <w:r w:rsidRPr="00E154D6">
        <w:rPr>
          <w:rFonts w:eastAsia="SimSun"/>
        </w:rPr>
        <w:t xml:space="preserve">. </w:t>
      </w:r>
    </w:p>
    <w:p w:rsidR="00F47952" w:rsidRPr="00E154D6" w:rsidRDefault="00F47952" w:rsidP="00756AAC">
      <w:pPr>
        <w:pStyle w:val="answer"/>
        <w:widowControl w:val="0"/>
        <w:numPr>
          <w:ilvl w:val="0"/>
          <w:numId w:val="37"/>
        </w:numPr>
        <w:ind w:left="1080"/>
        <w:rPr>
          <w:rFonts w:eastAsia="SimSun"/>
        </w:rPr>
      </w:pPr>
      <w:r>
        <w:rPr>
          <w:rFonts w:eastAsia="SimSun"/>
        </w:rPr>
        <w:t>Develop lighting and pole rates from the allocated costs</w:t>
      </w:r>
      <w:r w:rsidRPr="00E154D6">
        <w:rPr>
          <w:rFonts w:eastAsia="SimSun"/>
        </w:rPr>
        <w:t>.</w:t>
      </w:r>
    </w:p>
    <w:p w:rsidR="00F47952" w:rsidRDefault="00F47952" w:rsidP="00F47952">
      <w:pPr>
        <w:pStyle w:val="answer"/>
        <w:widowControl w:val="0"/>
        <w:ind w:firstLine="0"/>
      </w:pPr>
      <w:r>
        <w:t xml:space="preserve">Through this process, the lighting revenue requirement is allocated directly to each lamp size/type or pole based on the characteristics of that lamp or pole and the schedule under which the customer takes service. This provides continuity in rates across all lighting schedules and sets rates proportional to the estimated cost of service for each lamp size/type or pole. </w:t>
      </w:r>
    </w:p>
    <w:p w:rsidR="00F47952" w:rsidRPr="00E96200" w:rsidRDefault="00F47952" w:rsidP="00F47952">
      <w:pPr>
        <w:pStyle w:val="question"/>
        <w:keepLines/>
        <w:widowControl w:val="0"/>
        <w:spacing w:before="120"/>
      </w:pPr>
      <w:r w:rsidRPr="00E96200">
        <w:t>Q.</w:t>
      </w:r>
      <w:r w:rsidRPr="00E96200">
        <w:tab/>
      </w:r>
      <w:r>
        <w:t xml:space="preserve">How did PSE determine </w:t>
      </w:r>
      <w:r w:rsidRPr="00E96200">
        <w:t xml:space="preserve">the revenue required from </w:t>
      </w:r>
      <w:r>
        <w:t>the</w:t>
      </w:r>
      <w:r w:rsidRPr="00E96200">
        <w:t xml:space="preserve"> </w:t>
      </w:r>
      <w:r>
        <w:t>l</w:t>
      </w:r>
      <w:r w:rsidRPr="00E96200">
        <w:t>ighting customer class</w:t>
      </w:r>
      <w:r>
        <w:t xml:space="preserve"> in step one</w:t>
      </w:r>
      <w:r w:rsidRPr="00E96200">
        <w:t>?</w:t>
      </w:r>
    </w:p>
    <w:p w:rsidR="00F47952" w:rsidRPr="00E154D6" w:rsidRDefault="00F47952" w:rsidP="00F47952">
      <w:pPr>
        <w:pStyle w:val="answer"/>
        <w:widowControl w:val="0"/>
      </w:pPr>
      <w:r w:rsidRPr="00E154D6">
        <w:t>A.</w:t>
      </w:r>
      <w:r w:rsidRPr="00E154D6">
        <w:tab/>
      </w:r>
      <w:r>
        <w:t xml:space="preserve">The revenue required from lighting schedules is based on the rate spread and rate design provided in </w:t>
      </w:r>
      <w:r w:rsidRPr="00E154D6">
        <w:t>Exhibit No. ___(JAP-</w:t>
      </w:r>
      <w:r w:rsidR="00CF74F3">
        <w:fldChar w:fldCharType="begin"/>
      </w:r>
      <w:r w:rsidR="00CF74F3">
        <w:instrText xml:space="preserve"> REF _Ref441672773 \r \h </w:instrText>
      </w:r>
      <w:r w:rsidR="00CF74F3">
        <w:fldChar w:fldCharType="separate"/>
      </w:r>
      <w:r w:rsidR="0035666C">
        <w:t>15</w:t>
      </w:r>
      <w:r w:rsidR="00CF74F3">
        <w:fldChar w:fldCharType="end"/>
      </w:r>
      <w:r w:rsidRPr="00E154D6">
        <w:t>)</w:t>
      </w:r>
      <w:r>
        <w:t xml:space="preserve">.  </w:t>
      </w:r>
      <w:r w:rsidR="00D7337C">
        <w:t>Column j, line 15 of page</w:t>
      </w:r>
      <w:r w:rsidR="006863FB">
        <w:t xml:space="preserve"> 26 </w:t>
      </w:r>
      <w:r w:rsidR="00D7337C">
        <w:t>of t</w:t>
      </w:r>
      <w:r>
        <w:t>his exhibit shows the lighting class is responsible for approximately $19.2 million in billed revenue, which is the basis for this lighting analysis.</w:t>
      </w:r>
      <w:r>
        <w:rPr>
          <w:rStyle w:val="FootnoteReference"/>
        </w:rPr>
        <w:footnoteReference w:id="23"/>
      </w:r>
      <w:r>
        <w:t xml:space="preserve">  </w:t>
      </w:r>
    </w:p>
    <w:p w:rsidR="00F47952" w:rsidRPr="00E96200" w:rsidRDefault="00F47952" w:rsidP="00F47952">
      <w:pPr>
        <w:pStyle w:val="question"/>
        <w:keepLines/>
        <w:widowControl w:val="0"/>
        <w:spacing w:before="120"/>
      </w:pPr>
      <w:r w:rsidRPr="00E96200">
        <w:t>Q.</w:t>
      </w:r>
      <w:r w:rsidRPr="00E96200">
        <w:tab/>
      </w:r>
      <w:r>
        <w:t>How did you classify the lighting revenue requirement?</w:t>
      </w:r>
    </w:p>
    <w:p w:rsidR="00F47952" w:rsidRPr="00E154D6" w:rsidRDefault="00F47952" w:rsidP="00F47952">
      <w:pPr>
        <w:pStyle w:val="answer"/>
        <w:widowControl w:val="0"/>
      </w:pPr>
      <w:r w:rsidRPr="00E154D6">
        <w:t>A.</w:t>
      </w:r>
      <w:r w:rsidRPr="00E154D6">
        <w:tab/>
      </w:r>
      <w:r>
        <w:t>T</w:t>
      </w:r>
      <w:r w:rsidRPr="00977632">
        <w:t xml:space="preserve">he </w:t>
      </w:r>
      <w:r>
        <w:t>r</w:t>
      </w:r>
      <w:r w:rsidRPr="00977632">
        <w:t xml:space="preserve">evenue </w:t>
      </w:r>
      <w:r>
        <w:t>r</w:t>
      </w:r>
      <w:r w:rsidRPr="00977632">
        <w:t xml:space="preserve">equirement is </w:t>
      </w:r>
      <w:r>
        <w:t xml:space="preserve">classified </w:t>
      </w:r>
      <w:r w:rsidRPr="00977632">
        <w:t xml:space="preserve">into </w:t>
      </w:r>
      <w:r>
        <w:t>five</w:t>
      </w:r>
      <w:r w:rsidRPr="00977632">
        <w:t xml:space="preserve"> different categories</w:t>
      </w:r>
      <w:r>
        <w:t xml:space="preserve"> in Exhibit </w:t>
      </w:r>
      <w:r>
        <w:lastRenderedPageBreak/>
        <w:t>No.___(JAP-</w:t>
      </w:r>
      <w:r>
        <w:fldChar w:fldCharType="begin"/>
      </w:r>
      <w:r>
        <w:instrText xml:space="preserve"> REF _Ref470974834 \r \h </w:instrText>
      </w:r>
      <w:r>
        <w:fldChar w:fldCharType="separate"/>
      </w:r>
      <w:r w:rsidR="0035666C">
        <w:t>20</w:t>
      </w:r>
      <w:r>
        <w:fldChar w:fldCharType="end"/>
      </w:r>
      <w:r>
        <w:t>)</w:t>
      </w:r>
      <w:r w:rsidRPr="00977632">
        <w:t xml:space="preserve">.  Each </w:t>
      </w:r>
      <w:r>
        <w:t>category</w:t>
      </w:r>
      <w:r w:rsidRPr="00977632">
        <w:t xml:space="preserve"> represents </w:t>
      </w:r>
      <w:r>
        <w:t xml:space="preserve">a cost driver that is responsible for </w:t>
      </w:r>
      <w:r w:rsidRPr="00977632">
        <w:t xml:space="preserve">a portion of the </w:t>
      </w:r>
      <w:r>
        <w:t>r</w:t>
      </w:r>
      <w:r w:rsidRPr="00977632">
        <w:t xml:space="preserve">evenue </w:t>
      </w:r>
      <w:r>
        <w:t>r</w:t>
      </w:r>
      <w:r w:rsidRPr="00977632">
        <w:t xml:space="preserve">equirement. The </w:t>
      </w:r>
      <w:r>
        <w:t>five</w:t>
      </w:r>
      <w:r w:rsidRPr="00977632">
        <w:t xml:space="preserve"> cost categ</w:t>
      </w:r>
      <w:r>
        <w:t xml:space="preserve">ories and their definitions are listed below. </w:t>
      </w:r>
    </w:p>
    <w:p w:rsidR="00F47952" w:rsidRPr="00E154D6" w:rsidRDefault="00F47952" w:rsidP="00756AAC">
      <w:pPr>
        <w:pStyle w:val="answer"/>
        <w:widowControl w:val="0"/>
        <w:numPr>
          <w:ilvl w:val="0"/>
          <w:numId w:val="38"/>
        </w:numPr>
        <w:rPr>
          <w:rFonts w:eastAsia="SimSun"/>
        </w:rPr>
      </w:pPr>
      <w:r w:rsidRPr="00E154D6">
        <w:rPr>
          <w:rFonts w:eastAsia="SimSun"/>
        </w:rPr>
        <w:t xml:space="preserve">Capital: </w:t>
      </w:r>
      <w:r>
        <w:rPr>
          <w:rFonts w:eastAsia="SimSun"/>
        </w:rPr>
        <w:t xml:space="preserve">Costs </w:t>
      </w:r>
      <w:r w:rsidRPr="00E154D6">
        <w:rPr>
          <w:rFonts w:eastAsia="SimSun"/>
        </w:rPr>
        <w:t>related to capital investments for lighting schedules.</w:t>
      </w:r>
      <w:r>
        <w:rPr>
          <w:rFonts w:eastAsia="SimSun"/>
        </w:rPr>
        <w:t xml:space="preserve"> This is subdivided into Capital (Lamps) and Capital (poles). </w:t>
      </w:r>
    </w:p>
    <w:p w:rsidR="00F47952" w:rsidRPr="00E154D6" w:rsidRDefault="00F47952" w:rsidP="00756AAC">
      <w:pPr>
        <w:pStyle w:val="answer"/>
        <w:widowControl w:val="0"/>
        <w:numPr>
          <w:ilvl w:val="0"/>
          <w:numId w:val="38"/>
        </w:numPr>
        <w:rPr>
          <w:rFonts w:eastAsia="SimSun"/>
        </w:rPr>
      </w:pPr>
      <w:r w:rsidRPr="00E154D6">
        <w:rPr>
          <w:rFonts w:eastAsia="SimSun"/>
        </w:rPr>
        <w:t xml:space="preserve">Distribution O&amp;M </w:t>
      </w:r>
      <w:r>
        <w:rPr>
          <w:rFonts w:eastAsia="SimSun"/>
        </w:rPr>
        <w:t>Expense</w:t>
      </w:r>
      <w:r w:rsidRPr="00E154D6">
        <w:rPr>
          <w:rFonts w:eastAsia="SimSun"/>
        </w:rPr>
        <w:t xml:space="preserve">: O&amp;M </w:t>
      </w:r>
      <w:r>
        <w:rPr>
          <w:rFonts w:eastAsia="SimSun"/>
        </w:rPr>
        <w:t xml:space="preserve">expense </w:t>
      </w:r>
      <w:r w:rsidRPr="00E154D6">
        <w:rPr>
          <w:rFonts w:eastAsia="SimSun"/>
        </w:rPr>
        <w:t xml:space="preserve">for lighting schedules. </w:t>
      </w:r>
    </w:p>
    <w:p w:rsidR="00F47952" w:rsidRPr="00E154D6" w:rsidRDefault="00F47952" w:rsidP="00756AAC">
      <w:pPr>
        <w:pStyle w:val="answer"/>
        <w:widowControl w:val="0"/>
        <w:numPr>
          <w:ilvl w:val="0"/>
          <w:numId w:val="38"/>
        </w:numPr>
        <w:rPr>
          <w:rFonts w:eastAsia="SimSun"/>
        </w:rPr>
      </w:pPr>
      <w:r>
        <w:rPr>
          <w:rFonts w:eastAsia="SimSun"/>
        </w:rPr>
        <w:t>Administrative &amp; General (“</w:t>
      </w:r>
      <w:r w:rsidRPr="00E154D6">
        <w:rPr>
          <w:rFonts w:eastAsia="SimSun"/>
        </w:rPr>
        <w:t>A&amp;G</w:t>
      </w:r>
      <w:r>
        <w:rPr>
          <w:rFonts w:eastAsia="SimSun"/>
        </w:rPr>
        <w:t>”)</w:t>
      </w:r>
      <w:r w:rsidRPr="00E154D6">
        <w:rPr>
          <w:rFonts w:eastAsia="SimSun"/>
        </w:rPr>
        <w:t xml:space="preserve"> Expense: A&amp;G </w:t>
      </w:r>
      <w:r>
        <w:rPr>
          <w:rFonts w:eastAsia="SimSun"/>
        </w:rPr>
        <w:t xml:space="preserve">expense </w:t>
      </w:r>
      <w:r w:rsidRPr="00E154D6">
        <w:rPr>
          <w:rFonts w:eastAsia="SimSun"/>
        </w:rPr>
        <w:t>for lighting schedules</w:t>
      </w:r>
      <w:r>
        <w:rPr>
          <w:rFonts w:eastAsia="SimSun"/>
        </w:rPr>
        <w:t xml:space="preserve"> were classif</w:t>
      </w:r>
      <w:r w:rsidR="00EF4FC8">
        <w:rPr>
          <w:rFonts w:eastAsia="SimSun"/>
        </w:rPr>
        <w:t>ied as being driven by demand, energy</w:t>
      </w:r>
      <w:r>
        <w:rPr>
          <w:rFonts w:eastAsia="SimSun"/>
        </w:rPr>
        <w:t xml:space="preserve">, and customer uses. </w:t>
      </w:r>
    </w:p>
    <w:p w:rsidR="00F47952" w:rsidRPr="00E154D6" w:rsidRDefault="00F47952" w:rsidP="00756AAC">
      <w:pPr>
        <w:pStyle w:val="answer"/>
        <w:widowControl w:val="0"/>
        <w:numPr>
          <w:ilvl w:val="0"/>
          <w:numId w:val="38"/>
        </w:numPr>
        <w:rPr>
          <w:rFonts w:eastAsia="SimSun"/>
        </w:rPr>
      </w:pPr>
      <w:r w:rsidRPr="00E154D6">
        <w:rPr>
          <w:rFonts w:eastAsia="SimSun"/>
        </w:rPr>
        <w:t>Production / Transmission Components (</w:t>
      </w:r>
      <w:r>
        <w:rPr>
          <w:rFonts w:eastAsia="SimSun"/>
        </w:rPr>
        <w:t>Demand-Related</w:t>
      </w:r>
      <w:r w:rsidRPr="00E154D6">
        <w:rPr>
          <w:rFonts w:eastAsia="SimSun"/>
        </w:rPr>
        <w:t xml:space="preserve">): </w:t>
      </w:r>
      <w:r>
        <w:rPr>
          <w:rFonts w:eastAsia="SimSun"/>
        </w:rPr>
        <w:t xml:space="preserve">Costs </w:t>
      </w:r>
      <w:r w:rsidRPr="00E154D6">
        <w:rPr>
          <w:rFonts w:eastAsia="SimSun"/>
        </w:rPr>
        <w:t>to meet the demand</w:t>
      </w:r>
      <w:r>
        <w:rPr>
          <w:rFonts w:eastAsia="SimSun"/>
        </w:rPr>
        <w:t>-related power</w:t>
      </w:r>
      <w:r w:rsidRPr="00E154D6">
        <w:rPr>
          <w:rFonts w:eastAsia="SimSun"/>
        </w:rPr>
        <w:t xml:space="preserve"> needs for lighting schedules.</w:t>
      </w:r>
    </w:p>
    <w:p w:rsidR="00F47952" w:rsidRDefault="00F47952" w:rsidP="00756AAC">
      <w:pPr>
        <w:pStyle w:val="answer"/>
        <w:widowControl w:val="0"/>
        <w:numPr>
          <w:ilvl w:val="0"/>
          <w:numId w:val="38"/>
        </w:numPr>
        <w:rPr>
          <w:rFonts w:eastAsia="SimSun"/>
        </w:rPr>
      </w:pPr>
      <w:r w:rsidRPr="00E154D6">
        <w:rPr>
          <w:rFonts w:eastAsia="SimSun"/>
        </w:rPr>
        <w:t>Production / Transmission Components (E</w:t>
      </w:r>
      <w:r>
        <w:rPr>
          <w:rFonts w:eastAsia="SimSun"/>
        </w:rPr>
        <w:t>nergy-Related</w:t>
      </w:r>
      <w:r w:rsidRPr="00E154D6">
        <w:rPr>
          <w:rFonts w:eastAsia="SimSun"/>
        </w:rPr>
        <w:t xml:space="preserve">): </w:t>
      </w:r>
      <w:r>
        <w:rPr>
          <w:rFonts w:eastAsia="SimSun"/>
        </w:rPr>
        <w:t xml:space="preserve">Costs </w:t>
      </w:r>
      <w:r w:rsidRPr="00E154D6">
        <w:rPr>
          <w:rFonts w:eastAsia="SimSun"/>
        </w:rPr>
        <w:t>related to meeting the energy commodity needs for lighting schedules.</w:t>
      </w:r>
    </w:p>
    <w:p w:rsidR="00F47952" w:rsidRDefault="00F47952" w:rsidP="00F47952">
      <w:pPr>
        <w:pStyle w:val="answer"/>
        <w:widowControl w:val="0"/>
        <w:ind w:firstLine="0"/>
      </w:pPr>
      <w:r w:rsidRPr="00977632">
        <w:t xml:space="preserve">The </w:t>
      </w:r>
      <w:r>
        <w:t>revenue requirement</w:t>
      </w:r>
      <w:r w:rsidRPr="00977632">
        <w:t xml:space="preserve"> </w:t>
      </w:r>
      <w:r>
        <w:t>was classified into these five categories</w:t>
      </w:r>
      <w:r w:rsidRPr="00977632">
        <w:t xml:space="preserve"> </w:t>
      </w:r>
      <w:r>
        <w:t xml:space="preserve">so that it could be recovered from rates in proportion </w:t>
      </w:r>
      <w:r w:rsidRPr="00977632">
        <w:t xml:space="preserve">to </w:t>
      </w:r>
      <w:r>
        <w:t xml:space="preserve">each lamp or pole’s contribution to these </w:t>
      </w:r>
      <w:r w:rsidRPr="00977632">
        <w:t xml:space="preserve">cost </w:t>
      </w:r>
      <w:r>
        <w:t>drivers</w:t>
      </w:r>
      <w:r w:rsidRPr="00977632">
        <w:t>.</w:t>
      </w:r>
      <w:r>
        <w:t xml:space="preserve"> </w:t>
      </w:r>
    </w:p>
    <w:p w:rsidR="00F47952" w:rsidRPr="00E96200" w:rsidRDefault="00F47952" w:rsidP="00F47952">
      <w:pPr>
        <w:pStyle w:val="question"/>
        <w:keepLines/>
        <w:widowControl w:val="0"/>
        <w:spacing w:before="120"/>
      </w:pPr>
      <w:r w:rsidRPr="00E96200">
        <w:t>Q.</w:t>
      </w:r>
      <w:r w:rsidRPr="00E96200">
        <w:tab/>
      </w:r>
      <w:r>
        <w:t>How did you identify the contribution made by each kind of lamp and pole to the lighting cost drivers?</w:t>
      </w:r>
    </w:p>
    <w:p w:rsidR="00F47952" w:rsidRDefault="00F47952" w:rsidP="00F47952">
      <w:pPr>
        <w:pStyle w:val="answer"/>
        <w:widowControl w:val="0"/>
      </w:pPr>
      <w:r w:rsidRPr="00E154D6">
        <w:t>A.</w:t>
      </w:r>
      <w:r w:rsidRPr="00E154D6">
        <w:tab/>
      </w:r>
      <w:r>
        <w:t>These contributions were driven by specific service characteristics related to the lamps or poles. The characteristics are specific to each kind of lamp and pole and include:</w:t>
      </w:r>
    </w:p>
    <w:p w:rsidR="00F47952" w:rsidRPr="00E154D6" w:rsidRDefault="00603A47" w:rsidP="00756AAC">
      <w:pPr>
        <w:pStyle w:val="answer"/>
        <w:widowControl w:val="0"/>
        <w:numPr>
          <w:ilvl w:val="0"/>
          <w:numId w:val="38"/>
        </w:numPr>
        <w:rPr>
          <w:rFonts w:eastAsia="SimSun"/>
        </w:rPr>
      </w:pPr>
      <w:r>
        <w:rPr>
          <w:rFonts w:eastAsia="SimSun"/>
        </w:rPr>
        <w:lastRenderedPageBreak/>
        <w:t>Lamp/</w:t>
      </w:r>
      <w:r w:rsidR="00F47952" w:rsidRPr="00E154D6">
        <w:rPr>
          <w:rFonts w:eastAsia="SimSun"/>
        </w:rPr>
        <w:t xml:space="preserve">Pole Type: The specific type of lamp or </w:t>
      </w:r>
      <w:r w:rsidR="00F47952">
        <w:rPr>
          <w:rFonts w:eastAsia="SimSun"/>
        </w:rPr>
        <w:t>p</w:t>
      </w:r>
      <w:r w:rsidR="00F47952" w:rsidRPr="00E154D6">
        <w:rPr>
          <w:rFonts w:eastAsia="SimSun"/>
        </w:rPr>
        <w:t>ole.</w:t>
      </w:r>
      <w:r w:rsidR="00F47952">
        <w:rPr>
          <w:rFonts w:eastAsia="SimSun"/>
        </w:rPr>
        <w:t xml:space="preserve"> The lamp types include LEDs, high pressure sodium (“HPS”), mercury vapor (“MV”) and compact fluorescent (“CFL”).</w:t>
      </w:r>
      <w:r w:rsidR="00F47952" w:rsidRPr="00E154D6">
        <w:rPr>
          <w:rFonts w:eastAsia="SimSun"/>
        </w:rPr>
        <w:t xml:space="preserve"> </w:t>
      </w:r>
      <w:r w:rsidR="00F47952">
        <w:rPr>
          <w:rFonts w:eastAsia="SimSun"/>
        </w:rPr>
        <w:t>The pole types include new and old poles. These characteristics are relevant to the subsequent allocation of capital costs, as well as the energy costs in the case of lamps, that are assigned to the lighting schedules.</w:t>
      </w:r>
    </w:p>
    <w:p w:rsidR="00F47952" w:rsidRPr="00E154D6" w:rsidRDefault="00F47952" w:rsidP="00756AAC">
      <w:pPr>
        <w:pStyle w:val="answer"/>
        <w:widowControl w:val="0"/>
        <w:numPr>
          <w:ilvl w:val="0"/>
          <w:numId w:val="38"/>
        </w:numPr>
        <w:rPr>
          <w:rFonts w:eastAsia="SimSun"/>
        </w:rPr>
      </w:pPr>
      <w:r w:rsidRPr="00E154D6">
        <w:rPr>
          <w:rFonts w:eastAsia="SimSun"/>
        </w:rPr>
        <w:t xml:space="preserve">Wattage: The </w:t>
      </w:r>
      <w:r>
        <w:rPr>
          <w:rFonts w:eastAsia="SimSun"/>
        </w:rPr>
        <w:t xml:space="preserve">peak </w:t>
      </w:r>
      <w:r w:rsidRPr="00E154D6">
        <w:rPr>
          <w:rFonts w:eastAsia="SimSun"/>
        </w:rPr>
        <w:t>power demand of a lamp.</w:t>
      </w:r>
      <w:r>
        <w:rPr>
          <w:rFonts w:eastAsia="SimSun"/>
        </w:rPr>
        <w:t xml:space="preserve">  This characteristic helps to allocate</w:t>
      </w:r>
      <w:r w:rsidR="00EF4FC8">
        <w:rPr>
          <w:rFonts w:eastAsia="SimSun"/>
        </w:rPr>
        <w:t xml:space="preserve"> both</w:t>
      </w:r>
      <w:r>
        <w:rPr>
          <w:rFonts w:eastAsia="SimSun"/>
        </w:rPr>
        <w:t xml:space="preserve"> demand-related</w:t>
      </w:r>
      <w:r w:rsidR="00EF4FC8">
        <w:rPr>
          <w:rFonts w:eastAsia="SimSun"/>
        </w:rPr>
        <w:t xml:space="preserve"> and energy-related</w:t>
      </w:r>
      <w:r>
        <w:rPr>
          <w:rFonts w:eastAsia="SimSun"/>
        </w:rPr>
        <w:t xml:space="preserve"> production and transmission expenses assigned to the lighting schedules.</w:t>
      </w:r>
    </w:p>
    <w:p w:rsidR="00F47952" w:rsidRPr="00E154D6" w:rsidRDefault="00F47952" w:rsidP="00756AAC">
      <w:pPr>
        <w:pStyle w:val="answer"/>
        <w:widowControl w:val="0"/>
        <w:numPr>
          <w:ilvl w:val="0"/>
          <w:numId w:val="38"/>
        </w:numPr>
        <w:rPr>
          <w:rFonts w:eastAsia="SimSun"/>
        </w:rPr>
      </w:pPr>
      <w:r w:rsidRPr="00E154D6">
        <w:rPr>
          <w:rFonts w:eastAsia="SimSun"/>
        </w:rPr>
        <w:t xml:space="preserve">O&amp;M: If </w:t>
      </w:r>
      <w:r>
        <w:rPr>
          <w:rFonts w:eastAsia="SimSun"/>
        </w:rPr>
        <w:t xml:space="preserve">PSE incurs </w:t>
      </w:r>
      <w:r w:rsidRPr="00E154D6">
        <w:rPr>
          <w:rFonts w:eastAsia="SimSun"/>
        </w:rPr>
        <w:t xml:space="preserve">O&amp;M </w:t>
      </w:r>
      <w:r>
        <w:rPr>
          <w:rFonts w:eastAsia="SimSun"/>
        </w:rPr>
        <w:t xml:space="preserve">expense associated with the lamp or pole, </w:t>
      </w:r>
      <w:r w:rsidRPr="00E154D6">
        <w:rPr>
          <w:rFonts w:eastAsia="SimSun"/>
        </w:rPr>
        <w:t xml:space="preserve">as determined by the schedule </w:t>
      </w:r>
      <w:r>
        <w:rPr>
          <w:rFonts w:eastAsia="SimSun"/>
        </w:rPr>
        <w:t xml:space="preserve">under which the customer </w:t>
      </w:r>
      <w:r w:rsidRPr="00E154D6">
        <w:rPr>
          <w:rFonts w:eastAsia="SimSun"/>
        </w:rPr>
        <w:t>receives service.</w:t>
      </w:r>
      <w:r>
        <w:rPr>
          <w:rFonts w:eastAsia="SimSun"/>
        </w:rPr>
        <w:t xml:space="preserve"> This helps to assign cost responsibility for distribution O&amp;M expenses assigned to the lighting schedules.</w:t>
      </w:r>
    </w:p>
    <w:p w:rsidR="00F47952" w:rsidRPr="00E154D6" w:rsidRDefault="00F47952" w:rsidP="00756AAC">
      <w:pPr>
        <w:pStyle w:val="answer"/>
        <w:widowControl w:val="0"/>
        <w:numPr>
          <w:ilvl w:val="0"/>
          <w:numId w:val="38"/>
        </w:numPr>
        <w:rPr>
          <w:rFonts w:eastAsia="SimSun"/>
        </w:rPr>
      </w:pPr>
      <w:r w:rsidRPr="00E154D6">
        <w:rPr>
          <w:rFonts w:eastAsia="SimSun"/>
        </w:rPr>
        <w:t xml:space="preserve">Financier: Either </w:t>
      </w:r>
      <w:r>
        <w:rPr>
          <w:rFonts w:eastAsia="SimSun"/>
        </w:rPr>
        <w:t xml:space="preserve">the </w:t>
      </w:r>
      <w:r w:rsidRPr="00E154D6">
        <w:rPr>
          <w:rFonts w:eastAsia="SimSun"/>
        </w:rPr>
        <w:t xml:space="preserve">Company or </w:t>
      </w:r>
      <w:r>
        <w:rPr>
          <w:rFonts w:eastAsia="SimSun"/>
        </w:rPr>
        <w:t>c</w:t>
      </w:r>
      <w:r w:rsidRPr="00E154D6">
        <w:rPr>
          <w:rFonts w:eastAsia="SimSun"/>
        </w:rPr>
        <w:t>ustomer depending on who pays for the</w:t>
      </w:r>
      <w:r>
        <w:rPr>
          <w:rFonts w:eastAsia="SimSun"/>
        </w:rPr>
        <w:t xml:space="preserve"> installed cost of the</w:t>
      </w:r>
      <w:r w:rsidRPr="00E154D6">
        <w:rPr>
          <w:rFonts w:eastAsia="SimSun"/>
        </w:rPr>
        <w:t xml:space="preserve"> lamp or pole.</w:t>
      </w:r>
      <w:r>
        <w:rPr>
          <w:rFonts w:eastAsia="SimSun"/>
        </w:rPr>
        <w:t xml:space="preserve"> This helps to determine which lamps or poles will be allocated the overall capital costs assigned to the lighting schedules.</w:t>
      </w:r>
    </w:p>
    <w:p w:rsidR="00F47952" w:rsidRPr="00E154D6" w:rsidRDefault="00F47952" w:rsidP="00756AAC">
      <w:pPr>
        <w:pStyle w:val="answer"/>
        <w:widowControl w:val="0"/>
        <w:numPr>
          <w:ilvl w:val="0"/>
          <w:numId w:val="38"/>
        </w:numPr>
        <w:rPr>
          <w:rFonts w:eastAsia="SimSun"/>
        </w:rPr>
      </w:pPr>
      <w:r w:rsidRPr="00E154D6">
        <w:rPr>
          <w:rFonts w:eastAsia="SimSun"/>
        </w:rPr>
        <w:t>Install</w:t>
      </w:r>
      <w:r>
        <w:rPr>
          <w:rFonts w:eastAsia="SimSun"/>
        </w:rPr>
        <w:t>ed</w:t>
      </w:r>
      <w:r w:rsidRPr="00E154D6">
        <w:rPr>
          <w:rFonts w:eastAsia="SimSun"/>
        </w:rPr>
        <w:t xml:space="preserve"> Cost: The estimated cost of installing a lamp or pole including all parts and labor. </w:t>
      </w:r>
      <w:r>
        <w:rPr>
          <w:rFonts w:eastAsia="SimSun"/>
        </w:rPr>
        <w:t>This, again, helps to allocate the capital costs assigned to the lighting schedules.</w:t>
      </w:r>
    </w:p>
    <w:p w:rsidR="00F47952" w:rsidRPr="003609FD" w:rsidRDefault="00F47952" w:rsidP="00F47952">
      <w:pPr>
        <w:pStyle w:val="answer"/>
        <w:widowControl w:val="0"/>
        <w:ind w:firstLine="0"/>
      </w:pPr>
      <w:r w:rsidRPr="00C5418C">
        <w:t xml:space="preserve">These </w:t>
      </w:r>
      <w:r>
        <w:t>influencing characteristics are identified in Exhibit No.___ (JAP-</w:t>
      </w:r>
      <w:r>
        <w:fldChar w:fldCharType="begin"/>
      </w:r>
      <w:r>
        <w:instrText xml:space="preserve"> REF _Ref470974869 \r \h </w:instrText>
      </w:r>
      <w:r>
        <w:fldChar w:fldCharType="separate"/>
      </w:r>
      <w:r w:rsidR="0035666C">
        <w:t>21</w:t>
      </w:r>
      <w:r>
        <w:fldChar w:fldCharType="end"/>
      </w:r>
      <w:r>
        <w:t xml:space="preserve">) and </w:t>
      </w:r>
      <w:r w:rsidRPr="00C5418C">
        <w:lastRenderedPageBreak/>
        <w:t xml:space="preserve">are used in developing </w:t>
      </w:r>
      <w:r>
        <w:t>unitized costs (used to allocate costs)</w:t>
      </w:r>
      <w:r w:rsidRPr="00C5418C">
        <w:t xml:space="preserve"> and</w:t>
      </w:r>
      <w:r>
        <w:t xml:space="preserve"> in</w:t>
      </w:r>
      <w:r w:rsidRPr="00C5418C">
        <w:t xml:space="preserve"> </w:t>
      </w:r>
      <w:r>
        <w:t xml:space="preserve">subsequently </w:t>
      </w:r>
      <w:r w:rsidRPr="00C5418C">
        <w:t xml:space="preserve">calculating the </w:t>
      </w:r>
      <w:r>
        <w:t>proposed rate</w:t>
      </w:r>
      <w:r w:rsidRPr="00C5418C">
        <w:t xml:space="preserve"> for each lamp</w:t>
      </w:r>
      <w:r>
        <w:t xml:space="preserve"> wattage range</w:t>
      </w:r>
      <w:r w:rsidRPr="00C5418C">
        <w:t xml:space="preserve"> or pole </w:t>
      </w:r>
      <w:r>
        <w:t>size/type on each lighting schedule.</w:t>
      </w:r>
      <w:r>
        <w:rPr>
          <w:rStyle w:val="FootnoteReference"/>
        </w:rPr>
        <w:footnoteReference w:id="24"/>
      </w:r>
      <w:r>
        <w:t xml:space="preserve"> </w:t>
      </w:r>
    </w:p>
    <w:p w:rsidR="00F47952" w:rsidRPr="00E96200" w:rsidRDefault="00F47952" w:rsidP="00F47952">
      <w:pPr>
        <w:pStyle w:val="question"/>
        <w:keepLines/>
        <w:widowControl w:val="0"/>
        <w:spacing w:before="120"/>
      </w:pPr>
      <w:r w:rsidRPr="00E96200">
        <w:t>Q.</w:t>
      </w:r>
      <w:r w:rsidRPr="00E96200">
        <w:tab/>
        <w:t xml:space="preserve">How did you develop </w:t>
      </w:r>
      <w:r>
        <w:t>unitized costs</w:t>
      </w:r>
      <w:r w:rsidRPr="00E96200">
        <w:t xml:space="preserve"> in order to allocate revenue recovery to </w:t>
      </w:r>
      <w:r>
        <w:t xml:space="preserve">the </w:t>
      </w:r>
      <w:r w:rsidRPr="00E96200">
        <w:t>lighting schedules?</w:t>
      </w:r>
    </w:p>
    <w:p w:rsidR="00F47952" w:rsidRPr="00E96200" w:rsidRDefault="00F47952" w:rsidP="00F47952">
      <w:pPr>
        <w:pStyle w:val="answer"/>
        <w:widowControl w:val="0"/>
      </w:pPr>
      <w:r w:rsidRPr="00E96200">
        <w:t>A.</w:t>
      </w:r>
      <w:r w:rsidRPr="00E96200">
        <w:tab/>
      </w:r>
      <w:r>
        <w:t>The unitized costs are designed to spread the lighting revenue requirement across the lighting schedules based on their characteristics that influence each cost driver.</w:t>
      </w:r>
    </w:p>
    <w:p w:rsidR="00F47952" w:rsidRDefault="00F47952" w:rsidP="00F47952">
      <w:pPr>
        <w:pStyle w:val="answer"/>
        <w:widowControl w:val="0"/>
        <w:ind w:firstLine="0"/>
      </w:pPr>
      <w:r>
        <w:t xml:space="preserve">Broadly, the </w:t>
      </w:r>
      <w:r w:rsidR="00EF4FC8">
        <w:t>unitized costs</w:t>
      </w:r>
      <w:r>
        <w:t xml:space="preserve"> fall into these categories:</w:t>
      </w:r>
    </w:p>
    <w:p w:rsidR="00F47952" w:rsidRPr="00E96200" w:rsidRDefault="00F47952" w:rsidP="00756AAC">
      <w:pPr>
        <w:pStyle w:val="answer"/>
        <w:widowControl w:val="0"/>
        <w:numPr>
          <w:ilvl w:val="0"/>
          <w:numId w:val="38"/>
        </w:numPr>
        <w:rPr>
          <w:rFonts w:eastAsia="SimSun"/>
        </w:rPr>
      </w:pPr>
      <w:r w:rsidRPr="00E96200">
        <w:rPr>
          <w:rFonts w:eastAsia="SimSun"/>
        </w:rPr>
        <w:t xml:space="preserve">Capital Components: </w:t>
      </w:r>
      <w:r>
        <w:rPr>
          <w:rFonts w:eastAsia="SimSun"/>
        </w:rPr>
        <w:t>Used to a</w:t>
      </w:r>
      <w:r w:rsidRPr="00E96200">
        <w:rPr>
          <w:rFonts w:eastAsia="SimSun"/>
        </w:rPr>
        <w:t xml:space="preserve">llocate </w:t>
      </w:r>
      <w:r>
        <w:rPr>
          <w:rFonts w:eastAsia="SimSun"/>
        </w:rPr>
        <w:t xml:space="preserve">lighting </w:t>
      </w:r>
      <w:r w:rsidRPr="00E96200">
        <w:rPr>
          <w:rFonts w:eastAsia="SimSun"/>
        </w:rPr>
        <w:t>capital</w:t>
      </w:r>
      <w:r>
        <w:rPr>
          <w:rFonts w:eastAsia="SimSun"/>
        </w:rPr>
        <w:t xml:space="preserve"> costs</w:t>
      </w:r>
      <w:r w:rsidRPr="00E96200">
        <w:rPr>
          <w:rFonts w:eastAsia="SimSun"/>
        </w:rPr>
        <w:t>.</w:t>
      </w:r>
    </w:p>
    <w:p w:rsidR="00F47952" w:rsidRPr="00E96200" w:rsidRDefault="00F47952" w:rsidP="00756AAC">
      <w:pPr>
        <w:pStyle w:val="answer"/>
        <w:widowControl w:val="0"/>
        <w:numPr>
          <w:ilvl w:val="0"/>
          <w:numId w:val="38"/>
        </w:numPr>
        <w:rPr>
          <w:rFonts w:eastAsia="SimSun"/>
        </w:rPr>
      </w:pPr>
      <w:r w:rsidRPr="00E96200">
        <w:rPr>
          <w:rFonts w:eastAsia="SimSun"/>
        </w:rPr>
        <w:t xml:space="preserve">Distribution O&amp;M: </w:t>
      </w:r>
      <w:r>
        <w:rPr>
          <w:rFonts w:eastAsia="SimSun"/>
        </w:rPr>
        <w:t>Used to a</w:t>
      </w:r>
      <w:r w:rsidRPr="00E96200">
        <w:rPr>
          <w:rFonts w:eastAsia="SimSun"/>
        </w:rPr>
        <w:t>llocate O&amp;M</w:t>
      </w:r>
      <w:r>
        <w:rPr>
          <w:rFonts w:eastAsia="SimSun"/>
        </w:rPr>
        <w:t xml:space="preserve"> expense</w:t>
      </w:r>
      <w:r w:rsidRPr="00E96200">
        <w:rPr>
          <w:rFonts w:eastAsia="SimSun"/>
        </w:rPr>
        <w:t>.</w:t>
      </w:r>
    </w:p>
    <w:p w:rsidR="00F47952" w:rsidRPr="00E96200" w:rsidRDefault="00F47952" w:rsidP="00756AAC">
      <w:pPr>
        <w:pStyle w:val="answer"/>
        <w:widowControl w:val="0"/>
        <w:numPr>
          <w:ilvl w:val="0"/>
          <w:numId w:val="38"/>
        </w:numPr>
        <w:rPr>
          <w:rFonts w:eastAsia="SimSun"/>
        </w:rPr>
      </w:pPr>
      <w:r w:rsidRPr="00E96200">
        <w:rPr>
          <w:rFonts w:eastAsia="SimSun"/>
        </w:rPr>
        <w:t>Customer</w:t>
      </w:r>
      <w:r>
        <w:rPr>
          <w:rFonts w:eastAsia="SimSun"/>
        </w:rPr>
        <w:t>-</w:t>
      </w:r>
      <w:r w:rsidRPr="00E96200">
        <w:rPr>
          <w:rFonts w:eastAsia="SimSun"/>
        </w:rPr>
        <w:t xml:space="preserve">Related Overhead: </w:t>
      </w:r>
      <w:r>
        <w:rPr>
          <w:rFonts w:eastAsia="SimSun"/>
        </w:rPr>
        <w:t>Used to a</w:t>
      </w:r>
      <w:r w:rsidRPr="00E96200">
        <w:rPr>
          <w:rFonts w:eastAsia="SimSun"/>
        </w:rPr>
        <w:t xml:space="preserve">llocate </w:t>
      </w:r>
      <w:r>
        <w:rPr>
          <w:rFonts w:eastAsia="SimSun"/>
        </w:rPr>
        <w:t xml:space="preserve">customer-related and </w:t>
      </w:r>
      <w:r w:rsidRPr="00E96200">
        <w:rPr>
          <w:rFonts w:eastAsia="SimSun"/>
        </w:rPr>
        <w:t>A&amp;G</w:t>
      </w:r>
      <w:r>
        <w:rPr>
          <w:rFonts w:eastAsia="SimSun"/>
        </w:rPr>
        <w:t xml:space="preserve"> expense</w:t>
      </w:r>
      <w:r w:rsidRPr="00E96200">
        <w:rPr>
          <w:rFonts w:eastAsia="SimSun"/>
        </w:rPr>
        <w:t>.</w:t>
      </w:r>
    </w:p>
    <w:p w:rsidR="00F47952" w:rsidRPr="00E96200" w:rsidRDefault="00F47952" w:rsidP="00756AAC">
      <w:pPr>
        <w:pStyle w:val="answer"/>
        <w:widowControl w:val="0"/>
        <w:numPr>
          <w:ilvl w:val="0"/>
          <w:numId w:val="38"/>
        </w:numPr>
        <w:rPr>
          <w:rFonts w:eastAsia="SimSun"/>
        </w:rPr>
      </w:pPr>
      <w:r w:rsidRPr="00E96200">
        <w:rPr>
          <w:rFonts w:eastAsia="SimSun"/>
        </w:rPr>
        <w:t xml:space="preserve">Demand Components: </w:t>
      </w:r>
      <w:r>
        <w:rPr>
          <w:rFonts w:eastAsia="SimSun"/>
        </w:rPr>
        <w:t>Used to a</w:t>
      </w:r>
      <w:r w:rsidRPr="00E96200">
        <w:rPr>
          <w:rFonts w:eastAsia="SimSun"/>
        </w:rPr>
        <w:t>llocate demand</w:t>
      </w:r>
      <w:r>
        <w:rPr>
          <w:rFonts w:eastAsia="SimSun"/>
        </w:rPr>
        <w:t>-</w:t>
      </w:r>
      <w:r w:rsidRPr="00E96200">
        <w:rPr>
          <w:rFonts w:eastAsia="SimSun"/>
        </w:rPr>
        <w:t xml:space="preserve">related </w:t>
      </w:r>
      <w:r>
        <w:rPr>
          <w:rFonts w:eastAsia="SimSun"/>
        </w:rPr>
        <w:t>power costs</w:t>
      </w:r>
      <w:r w:rsidRPr="00E96200">
        <w:rPr>
          <w:rFonts w:eastAsia="SimSun"/>
        </w:rPr>
        <w:t>.</w:t>
      </w:r>
    </w:p>
    <w:p w:rsidR="00F47952" w:rsidRPr="00E96200" w:rsidRDefault="00F47952" w:rsidP="00756AAC">
      <w:pPr>
        <w:pStyle w:val="answer"/>
        <w:widowControl w:val="0"/>
        <w:numPr>
          <w:ilvl w:val="0"/>
          <w:numId w:val="38"/>
        </w:numPr>
        <w:rPr>
          <w:rFonts w:eastAsia="SimSun"/>
        </w:rPr>
      </w:pPr>
      <w:r w:rsidRPr="00E96200">
        <w:rPr>
          <w:rFonts w:eastAsia="SimSun"/>
        </w:rPr>
        <w:t xml:space="preserve">Commodity Components: Allocate </w:t>
      </w:r>
      <w:r>
        <w:rPr>
          <w:rFonts w:eastAsia="SimSun"/>
        </w:rPr>
        <w:t>energy-</w:t>
      </w:r>
      <w:r w:rsidRPr="00E96200">
        <w:rPr>
          <w:rFonts w:eastAsia="SimSun"/>
        </w:rPr>
        <w:t xml:space="preserve">related </w:t>
      </w:r>
      <w:r>
        <w:rPr>
          <w:rFonts w:eastAsia="SimSun"/>
        </w:rPr>
        <w:t>power costs</w:t>
      </w:r>
      <w:r w:rsidRPr="00E96200">
        <w:rPr>
          <w:rFonts w:eastAsia="SimSun"/>
        </w:rPr>
        <w:t>.</w:t>
      </w:r>
    </w:p>
    <w:p w:rsidR="00F47952" w:rsidRPr="00F217D7" w:rsidRDefault="00F47952" w:rsidP="00F47952">
      <w:pPr>
        <w:pStyle w:val="answer"/>
        <w:widowControl w:val="0"/>
        <w:ind w:firstLine="0"/>
      </w:pPr>
      <w:r w:rsidRPr="00F217D7">
        <w:t>Each of th</w:t>
      </w:r>
      <w:r>
        <w:t>ese</w:t>
      </w:r>
      <w:r w:rsidRPr="00F217D7">
        <w:t xml:space="preserve"> </w:t>
      </w:r>
      <w:r>
        <w:t>unitized costs, calculated in Exhibit</w:t>
      </w:r>
      <w:r w:rsidR="00EF4FC8">
        <w:t> </w:t>
      </w:r>
      <w:r>
        <w:t>No.</w:t>
      </w:r>
      <w:r w:rsidR="00EF4FC8">
        <w:t> </w:t>
      </w:r>
      <w:r>
        <w:t>___(JAP-</w:t>
      </w:r>
      <w:r>
        <w:fldChar w:fldCharType="begin"/>
      </w:r>
      <w:r>
        <w:instrText xml:space="preserve"> REF _Ref470974869 \r \h </w:instrText>
      </w:r>
      <w:r>
        <w:fldChar w:fldCharType="separate"/>
      </w:r>
      <w:r w:rsidR="0035666C">
        <w:t>21</w:t>
      </w:r>
      <w:r>
        <w:fldChar w:fldCharType="end"/>
      </w:r>
      <w:r>
        <w:t>),</w:t>
      </w:r>
      <w:r w:rsidRPr="00F217D7">
        <w:t xml:space="preserve"> </w:t>
      </w:r>
      <w:r>
        <w:t xml:space="preserve"> </w:t>
      </w:r>
      <w:r w:rsidRPr="00F217D7">
        <w:t xml:space="preserve">represents the amount of </w:t>
      </w:r>
      <w:r>
        <w:t>revenue that should be recovered from a lamp or pole based on the characteristics of that lamp or pole.  For example, line 13 on Exhibit</w:t>
      </w:r>
      <w:r w:rsidR="00EF4FC8">
        <w:t> </w:t>
      </w:r>
      <w:r>
        <w:t>No.</w:t>
      </w:r>
      <w:r w:rsidR="00EF4FC8">
        <w:t> </w:t>
      </w:r>
      <w:r>
        <w:t>___(JAP-</w:t>
      </w:r>
      <w:r>
        <w:fldChar w:fldCharType="begin"/>
      </w:r>
      <w:r>
        <w:instrText xml:space="preserve"> REF _Ref470974869 \r \h </w:instrText>
      </w:r>
      <w:r>
        <w:fldChar w:fldCharType="separate"/>
      </w:r>
      <w:r w:rsidR="0035666C">
        <w:t>21</w:t>
      </w:r>
      <w:r>
        <w:fldChar w:fldCharType="end"/>
      </w:r>
      <w:r>
        <w:t xml:space="preserve">) shows that the estimated monthly cost per dollar of </w:t>
      </w:r>
      <w:r>
        <w:lastRenderedPageBreak/>
        <w:t xml:space="preserve">capital investment in the listed schedules is $0.00796.  So, if the capital investment for a particular lamp size was $100, the associated monthly costs would be approximately $0.80 per month. </w:t>
      </w:r>
    </w:p>
    <w:p w:rsidR="00F47952" w:rsidRPr="00E96200" w:rsidRDefault="00F47952" w:rsidP="00F47952">
      <w:pPr>
        <w:pStyle w:val="question"/>
        <w:keepLines/>
        <w:widowControl w:val="0"/>
        <w:spacing w:before="120"/>
      </w:pPr>
      <w:r w:rsidRPr="00E96200">
        <w:t>Q.</w:t>
      </w:r>
      <w:r w:rsidRPr="00E96200">
        <w:tab/>
      </w:r>
      <w:r>
        <w:t>How were</w:t>
      </w:r>
      <w:r w:rsidRPr="00E96200">
        <w:t xml:space="preserve"> </w:t>
      </w:r>
      <w:r>
        <w:t>c</w:t>
      </w:r>
      <w:r w:rsidRPr="00E96200">
        <w:t>ustomer</w:t>
      </w:r>
      <w:r>
        <w:t>-r</w:t>
      </w:r>
      <w:r w:rsidRPr="00E96200">
        <w:t xml:space="preserve">elated </w:t>
      </w:r>
      <w:r>
        <w:t xml:space="preserve">costs allocated? </w:t>
      </w:r>
    </w:p>
    <w:p w:rsidR="00F47952" w:rsidRPr="00E96200" w:rsidRDefault="00F47952" w:rsidP="00F47952">
      <w:pPr>
        <w:pStyle w:val="answer"/>
        <w:widowControl w:val="0"/>
      </w:pPr>
      <w:r w:rsidRPr="00E96200">
        <w:t>A.</w:t>
      </w:r>
      <w:r w:rsidRPr="00E96200">
        <w:tab/>
      </w:r>
      <w:r>
        <w:t>Customer-related costs were allocated based on kWh.  PSE also considered allocating on either the number of customers served or the number of lamps or poles. However, when exploring these options, it quickly became apparent that doing so would create significant and potentially cost-prohibit</w:t>
      </w:r>
      <w:r w:rsidR="00603A47">
        <w:t xml:space="preserve">ive </w:t>
      </w:r>
      <w:r>
        <w:t>rate impacts for certain lighting offerings versus simply spreading these costs on energy, as has been done in the past.  Allocating on customers shifts more costs to schedules with relatively fewer lamps per customer (e.g., Schedule</w:t>
      </w:r>
      <w:r w:rsidR="00175DDE">
        <w:t>s</w:t>
      </w:r>
      <w:r>
        <w:t xml:space="preserve"> </w:t>
      </w:r>
      <w:r w:rsidR="00175DDE">
        <w:t>55 and 58</w:t>
      </w:r>
      <w:r>
        <w:t>), while allocating on lamps shifts more costs to those wi</w:t>
      </w:r>
      <w:r w:rsidR="00EF4FC8">
        <w:t>th</w:t>
      </w:r>
      <w:r>
        <w:t xml:space="preserve"> lower wattage, creating a potential disincentive for the use of lower wattage lamps.  Taking this all into consideration, the Company chose to allocate the customer-related costs on a per kWh basis as it may better promote more energy efficient lighting selections by customers. </w:t>
      </w:r>
    </w:p>
    <w:p w:rsidR="00F47952" w:rsidRDefault="00F47952" w:rsidP="00F47952">
      <w:pPr>
        <w:pStyle w:val="question"/>
        <w:keepLines/>
        <w:widowControl w:val="0"/>
        <w:spacing w:before="120"/>
      </w:pPr>
      <w:r w:rsidRPr="00E96200">
        <w:t>Q.</w:t>
      </w:r>
      <w:r w:rsidRPr="00E96200">
        <w:tab/>
      </w:r>
      <w:r>
        <w:t>How did you use the unitized costs to allocate each category of cost?</w:t>
      </w:r>
    </w:p>
    <w:p w:rsidR="00CA6C90" w:rsidRPr="00CA6C90" w:rsidRDefault="00CA6C90" w:rsidP="00CA6C90">
      <w:pPr>
        <w:pStyle w:val="answer"/>
      </w:pPr>
      <w:r>
        <w:t>A.</w:t>
      </w:r>
      <w:r>
        <w:tab/>
      </w:r>
      <w:r w:rsidRPr="00CA6C90">
        <w:t xml:space="preserve">The costs were allocated by applying the unitized costs to each lamp or pole based on its characteristics. This process was performed for capital costs, O&amp;M costs, customer costs, demand-related costs, and energy-related costs. These allocated costs are then summed to find the total monthly charge for each lamp type, pole </w:t>
      </w:r>
      <w:r w:rsidRPr="00CA6C90">
        <w:lastRenderedPageBreak/>
        <w:t>type, or (in the case of Schedule 57) connected watt. These total monthly charges, and each of their components, are illustrated in Exhibit No.__(JAP-22</w:t>
      </w:r>
      <w:r>
        <w:t xml:space="preserve">).  </w:t>
      </w:r>
    </w:p>
    <w:p w:rsidR="00F47952" w:rsidRPr="00E96200" w:rsidRDefault="00F47952" w:rsidP="00F47952">
      <w:pPr>
        <w:pStyle w:val="question"/>
        <w:keepLines/>
        <w:widowControl w:val="0"/>
        <w:spacing w:before="120"/>
      </w:pPr>
      <w:r w:rsidRPr="00E96200">
        <w:t>Q.</w:t>
      </w:r>
      <w:r w:rsidRPr="00E96200">
        <w:tab/>
        <w:t>Has PSE presented the impact</w:t>
      </w:r>
      <w:r>
        <w:t>s associated with the proposed rates</w:t>
      </w:r>
      <w:r w:rsidRPr="00E96200">
        <w:t xml:space="preserve"> for each lighting schedule?</w:t>
      </w:r>
    </w:p>
    <w:p w:rsidR="00F47952" w:rsidRPr="00E96200" w:rsidRDefault="00F47952" w:rsidP="00F47952">
      <w:pPr>
        <w:pStyle w:val="answer"/>
        <w:widowControl w:val="0"/>
      </w:pPr>
      <w:r w:rsidRPr="00E96200">
        <w:t xml:space="preserve">A. </w:t>
      </w:r>
      <w:r w:rsidRPr="00E96200">
        <w:tab/>
        <w:t xml:space="preserve">Yes, rate impacts for each lighting schedule </w:t>
      </w:r>
      <w:r>
        <w:t xml:space="preserve">are presented </w:t>
      </w:r>
      <w:r w:rsidRPr="00E96200">
        <w:t xml:space="preserve">in </w:t>
      </w:r>
      <w:r>
        <w:t>Exhibit No.___(JAP-</w:t>
      </w:r>
      <w:r>
        <w:fldChar w:fldCharType="begin"/>
      </w:r>
      <w:r>
        <w:instrText xml:space="preserve"> REF _Ref444622011 \r \h </w:instrText>
      </w:r>
      <w:r>
        <w:fldChar w:fldCharType="separate"/>
      </w:r>
      <w:r w:rsidR="0035666C">
        <w:t>23</w:t>
      </w:r>
      <w:r>
        <w:fldChar w:fldCharType="end"/>
      </w:r>
      <w:r>
        <w:t>)</w:t>
      </w:r>
      <w:r w:rsidRPr="00E96200">
        <w:t>.</w:t>
      </w:r>
      <w:r>
        <w:t xml:space="preserve"> </w:t>
      </w:r>
      <w:r w:rsidRPr="00E96200">
        <w:t xml:space="preserve"> Rate </w:t>
      </w:r>
      <w:r>
        <w:t>i</w:t>
      </w:r>
      <w:r w:rsidRPr="00E96200">
        <w:t xml:space="preserve">mpacts are presented as changes in revenue and are shown in two </w:t>
      </w:r>
      <w:r>
        <w:t>ways, relative to existing base rates and relative to base rates plus adjusting price Schedules</w:t>
      </w:r>
      <w:r w:rsidR="00752492">
        <w:t xml:space="preserve"> 95,</w:t>
      </w:r>
      <w:r>
        <w:t xml:space="preserve"> 141 and 142, since the lighting rates within these adjusting price schedules will be set to zero as part of the compliance filing in this case</w:t>
      </w:r>
      <w:r w:rsidRPr="00E96200">
        <w:t xml:space="preserve">. </w:t>
      </w:r>
    </w:p>
    <w:p w:rsidR="00F47952" w:rsidRPr="00E96200" w:rsidRDefault="00F47952" w:rsidP="00F47952">
      <w:pPr>
        <w:pStyle w:val="answer"/>
        <w:widowControl w:val="0"/>
        <w:ind w:firstLine="0"/>
      </w:pPr>
      <w:r>
        <w:t>P</w:t>
      </w:r>
      <w:r w:rsidRPr="00E96200">
        <w:t xml:space="preserve">roposed </w:t>
      </w:r>
      <w:r>
        <w:t xml:space="preserve">base rate </w:t>
      </w:r>
      <w:r w:rsidRPr="00E96200">
        <w:t xml:space="preserve">revenue </w:t>
      </w:r>
      <w:r>
        <w:t>for lighting schedules in Exhibit No.___(JAP-</w:t>
      </w:r>
      <w:r>
        <w:fldChar w:fldCharType="begin"/>
      </w:r>
      <w:r>
        <w:instrText xml:space="preserve"> REF _Ref444622011 \r \h </w:instrText>
      </w:r>
      <w:r>
        <w:fldChar w:fldCharType="separate"/>
      </w:r>
      <w:r w:rsidR="0035666C">
        <w:t>23</w:t>
      </w:r>
      <w:r>
        <w:fldChar w:fldCharType="end"/>
      </w:r>
      <w:r>
        <w:t>) are shown to be 8.34 percent higher than c</w:t>
      </w:r>
      <w:r w:rsidRPr="00E96200">
        <w:t>urrent</w:t>
      </w:r>
      <w:r>
        <w:t xml:space="preserve"> base rate</w:t>
      </w:r>
      <w:r w:rsidRPr="00E96200">
        <w:t xml:space="preserve"> </w:t>
      </w:r>
      <w:r>
        <w:t>r</w:t>
      </w:r>
      <w:r w:rsidRPr="00E96200">
        <w:t>evenue</w:t>
      </w:r>
      <w:r>
        <w:t>.</w:t>
      </w:r>
      <w:r>
        <w:rPr>
          <w:rStyle w:val="FootnoteReference"/>
        </w:rPr>
        <w:footnoteReference w:id="25"/>
      </w:r>
      <w:r>
        <w:t xml:space="preserve">  However, </w:t>
      </w:r>
      <w:r w:rsidR="00603A47">
        <w:t xml:space="preserve">when rate impacts for lighting schedules are presented relative to base rates plus </w:t>
      </w:r>
      <w:r>
        <w:t>adjusting price Schedule</w:t>
      </w:r>
      <w:r w:rsidR="00752492">
        <w:t>s 95,</w:t>
      </w:r>
      <w:r>
        <w:t xml:space="preserve"> 141 and 142 to zero, the net </w:t>
      </w:r>
      <w:r w:rsidRPr="00E96200">
        <w:t xml:space="preserve">impact on overall lighting revenue is a </w:t>
      </w:r>
      <w:r w:rsidR="00752492">
        <w:t>2.9</w:t>
      </w:r>
      <w:r w:rsidRPr="00E96200">
        <w:t>1</w:t>
      </w:r>
      <w:r>
        <w:t xml:space="preserve"> percent</w:t>
      </w:r>
      <w:r w:rsidRPr="00E96200">
        <w:t xml:space="preserve"> decrease. </w:t>
      </w:r>
    </w:p>
    <w:p w:rsidR="00F47952" w:rsidRPr="00E96200" w:rsidRDefault="00F47952" w:rsidP="00F47952">
      <w:pPr>
        <w:pStyle w:val="answer"/>
        <w:widowControl w:val="0"/>
        <w:ind w:firstLine="0"/>
      </w:pPr>
      <w:r w:rsidRPr="00E96200">
        <w:t>Between individual schedules</w:t>
      </w:r>
      <w:r w:rsidR="00EF4FC8">
        <w:t>,</w:t>
      </w:r>
      <w:r w:rsidRPr="00E96200">
        <w:t xml:space="preserve"> the change in revenue var</w:t>
      </w:r>
      <w:r w:rsidR="00EF4FC8">
        <w:t>ies</w:t>
      </w:r>
      <w:r w:rsidRPr="00E96200">
        <w:t xml:space="preserve"> greatly</w:t>
      </w:r>
      <w:r>
        <w:t xml:space="preserve">, with base rate impacts ranging from </w:t>
      </w:r>
      <w:r w:rsidRPr="00E96200">
        <w:t>a 17.68</w:t>
      </w:r>
      <w:r>
        <w:t xml:space="preserve"> percent</w:t>
      </w:r>
      <w:r w:rsidRPr="00E96200">
        <w:t xml:space="preserve"> decrease for Schedule 52 </w:t>
      </w:r>
      <w:r>
        <w:t>to</w:t>
      </w:r>
      <w:r w:rsidRPr="00E96200">
        <w:t xml:space="preserve"> a 206.28</w:t>
      </w:r>
      <w:r>
        <w:t xml:space="preserve"> percent</w:t>
      </w:r>
      <w:r w:rsidRPr="00E96200">
        <w:t xml:space="preserve"> increase </w:t>
      </w:r>
      <w:r w:rsidR="00B45BFA">
        <w:t>in the facilities charge for old poles</w:t>
      </w:r>
      <w:r w:rsidRPr="00E96200">
        <w:t xml:space="preserve"> on Schedules 55 &amp; 56. </w:t>
      </w:r>
      <w:r w:rsidR="00B45BFA">
        <w:t xml:space="preserve"> </w:t>
      </w:r>
      <w:r w:rsidRPr="00E96200">
        <w:t>The</w:t>
      </w:r>
      <w:r>
        <w:t>se</w:t>
      </w:r>
      <w:r w:rsidRPr="00E96200">
        <w:t xml:space="preserve"> variations </w:t>
      </w:r>
      <w:r>
        <w:t>are primarily the result of a more refined cost allocation</w:t>
      </w:r>
      <w:r w:rsidRPr="00E96200">
        <w:t xml:space="preserve"> methodology</w:t>
      </w:r>
      <w:r>
        <w:t>, where the</w:t>
      </w:r>
      <w:r w:rsidRPr="00E96200">
        <w:t xml:space="preserve"> new methodology allocate</w:t>
      </w:r>
      <w:r>
        <w:t>s</w:t>
      </w:r>
      <w:r w:rsidRPr="00E96200">
        <w:t xml:space="preserve"> </w:t>
      </w:r>
      <w:r>
        <w:t xml:space="preserve">more costs based on </w:t>
      </w:r>
      <w:r>
        <w:lastRenderedPageBreak/>
        <w:t>contributions to capital</w:t>
      </w:r>
      <w:r w:rsidRPr="00E96200">
        <w:t xml:space="preserve">, O&amp;M, and </w:t>
      </w:r>
      <w:r>
        <w:t>d</w:t>
      </w:r>
      <w:r w:rsidRPr="00E96200">
        <w:t>emand</w:t>
      </w:r>
      <w:r>
        <w:t>-related</w:t>
      </w:r>
      <w:r w:rsidRPr="00E96200">
        <w:t xml:space="preserve"> costs</w:t>
      </w:r>
      <w:r>
        <w:t>.  Previously, many of these costs were simply allocated on energy consumption</w:t>
      </w:r>
      <w:r w:rsidR="00C7683A">
        <w:t xml:space="preserve">, and as a result of this prior allocation, </w:t>
      </w:r>
      <w:r>
        <w:t>s</w:t>
      </w:r>
      <w:r w:rsidRPr="00E96200">
        <w:t xml:space="preserve">chedules with very low energy usage </w:t>
      </w:r>
      <w:r w:rsidR="00C7683A">
        <w:t xml:space="preserve">now </w:t>
      </w:r>
      <w:r w:rsidRPr="00E96200">
        <w:t xml:space="preserve">face </w:t>
      </w:r>
      <w:r>
        <w:t>relatively higher rate</w:t>
      </w:r>
      <w:r w:rsidRPr="00E96200">
        <w:t xml:space="preserve"> increases while schedules with high energy usage face </w:t>
      </w:r>
      <w:r>
        <w:t xml:space="preserve">rate </w:t>
      </w:r>
      <w:r w:rsidRPr="00E96200">
        <w:t xml:space="preserve">decreases. </w:t>
      </w:r>
    </w:p>
    <w:p w:rsidR="00F47952" w:rsidRPr="001D66DB" w:rsidRDefault="00F47952" w:rsidP="00F47952">
      <w:pPr>
        <w:pStyle w:val="Heading2"/>
        <w:spacing w:before="240" w:after="320"/>
        <w:ind w:left="0" w:firstLine="0"/>
      </w:pPr>
      <w:bookmarkStart w:id="143" w:name="_Toc471912960"/>
      <w:r w:rsidRPr="009B5733">
        <w:rPr>
          <w:u w:val="none"/>
        </w:rPr>
        <w:t>C.</w:t>
      </w:r>
      <w:r w:rsidRPr="009B5733">
        <w:rPr>
          <w:u w:val="none"/>
        </w:rPr>
        <w:tab/>
      </w:r>
      <w:r w:rsidRPr="008433D4">
        <w:t>Other Administrative Changes</w:t>
      </w:r>
      <w:bookmarkEnd w:id="143"/>
    </w:p>
    <w:p w:rsidR="00F47952" w:rsidRPr="00E96200" w:rsidRDefault="00F47952" w:rsidP="00F47952">
      <w:pPr>
        <w:pStyle w:val="question"/>
        <w:keepLines/>
        <w:widowControl w:val="0"/>
        <w:spacing w:before="120"/>
      </w:pPr>
      <w:r>
        <w:t xml:space="preserve">Q. </w:t>
      </w:r>
      <w:r>
        <w:tab/>
        <w:t xml:space="preserve">Why is PSE removing the “Wattage Including Driver” column from LED portions of the lighting schedules? </w:t>
      </w:r>
    </w:p>
    <w:p w:rsidR="00F47952" w:rsidRPr="002218F0" w:rsidRDefault="00F47952" w:rsidP="00F47952">
      <w:pPr>
        <w:pStyle w:val="question"/>
        <w:keepLines/>
        <w:widowControl w:val="0"/>
        <w:spacing w:before="120"/>
        <w:rPr>
          <w:b w:val="0"/>
        </w:rPr>
      </w:pPr>
      <w:r w:rsidRPr="002218F0">
        <w:rPr>
          <w:b w:val="0"/>
        </w:rPr>
        <w:t>A.</w:t>
      </w:r>
      <w:r w:rsidRPr="002218F0">
        <w:rPr>
          <w:b w:val="0"/>
        </w:rPr>
        <w:tab/>
        <w:t>The “Wattage Including Driver” column on Schedules 51, 53, 54, 55 &amp; 56, and 58 &amp; 59 contains information that is not informative, nor relevant to customer choice. Consequently, PSE has deemed it superfluous and proposes removing it.</w:t>
      </w:r>
    </w:p>
    <w:p w:rsidR="003B5280" w:rsidRPr="003B5206" w:rsidRDefault="003B5280" w:rsidP="003B5280">
      <w:pPr>
        <w:pStyle w:val="Heading1"/>
        <w:spacing w:line="240" w:lineRule="auto"/>
      </w:pPr>
      <w:bookmarkStart w:id="144" w:name="_Toc294362340"/>
      <w:bookmarkStart w:id="145" w:name="_Toc471912961"/>
      <w:r w:rsidRPr="003B5206">
        <w:t>VI</w:t>
      </w:r>
      <w:r>
        <w:t>II</w:t>
      </w:r>
      <w:r w:rsidRPr="003B5206">
        <w:t>.</w:t>
      </w:r>
      <w:r w:rsidRPr="003B5206">
        <w:tab/>
        <w:t>GAS RATE SPREAD AND RATE DESIGN</w:t>
      </w:r>
      <w:bookmarkEnd w:id="144"/>
      <w:bookmarkEnd w:id="145"/>
    </w:p>
    <w:p w:rsidR="003B5280" w:rsidRPr="003B5206" w:rsidRDefault="003B5280" w:rsidP="003B5280">
      <w:pPr>
        <w:pStyle w:val="Heading2"/>
        <w:spacing w:before="240" w:after="320"/>
        <w:rPr>
          <w:u w:val="none"/>
        </w:rPr>
      </w:pPr>
      <w:bookmarkStart w:id="146" w:name="_Toc294362341"/>
      <w:bookmarkStart w:id="147" w:name="_Toc471912962"/>
      <w:r w:rsidRPr="003B5206">
        <w:rPr>
          <w:u w:val="none"/>
        </w:rPr>
        <w:t>A.</w:t>
      </w:r>
      <w:r w:rsidRPr="003B5206">
        <w:rPr>
          <w:u w:val="none"/>
        </w:rPr>
        <w:tab/>
      </w:r>
      <w:r w:rsidRPr="003B5206">
        <w:t>Rate Spread</w:t>
      </w:r>
      <w:bookmarkEnd w:id="146"/>
      <w:bookmarkEnd w:id="147"/>
    </w:p>
    <w:p w:rsidR="00260028" w:rsidRPr="003B5206" w:rsidRDefault="00260028" w:rsidP="00260028">
      <w:pPr>
        <w:pStyle w:val="question"/>
        <w:spacing w:before="120"/>
      </w:pPr>
      <w:r w:rsidRPr="003B5206">
        <w:t>Q.</w:t>
      </w:r>
      <w:r w:rsidRPr="003B5206">
        <w:tab/>
        <w:t>Please summarize PSE’s gas rate spread proposal.</w:t>
      </w:r>
    </w:p>
    <w:p w:rsidR="00260028" w:rsidRPr="003B5206" w:rsidRDefault="00260028" w:rsidP="00260028">
      <w:pPr>
        <w:pStyle w:val="question"/>
        <w:widowControl w:val="0"/>
        <w:spacing w:before="120"/>
        <w:rPr>
          <w:b w:val="0"/>
        </w:rPr>
      </w:pPr>
      <w:r w:rsidRPr="003B5206">
        <w:rPr>
          <w:b w:val="0"/>
        </w:rPr>
        <w:t>A.</w:t>
      </w:r>
      <w:r w:rsidRPr="003B5206">
        <w:rPr>
          <w:b w:val="0"/>
        </w:rPr>
        <w:tab/>
        <w:t xml:space="preserve">Based on the parity percentages shown in </w:t>
      </w:r>
      <w:r w:rsidR="00257406">
        <w:rPr>
          <w:b w:val="0"/>
        </w:rPr>
        <w:fldChar w:fldCharType="begin"/>
      </w:r>
      <w:r w:rsidR="00257406">
        <w:rPr>
          <w:b w:val="0"/>
        </w:rPr>
        <w:instrText xml:space="preserve"> REF _Ref441464533 \h </w:instrText>
      </w:r>
      <w:r w:rsidR="007C4EEE">
        <w:rPr>
          <w:b w:val="0"/>
        </w:rPr>
        <w:instrText xml:space="preserve"> \* MERGEFORMAT </w:instrText>
      </w:r>
      <w:r w:rsidR="00257406">
        <w:rPr>
          <w:b w:val="0"/>
        </w:rPr>
      </w:r>
      <w:r w:rsidR="00257406">
        <w:rPr>
          <w:b w:val="0"/>
        </w:rPr>
        <w:fldChar w:fldCharType="separate"/>
      </w:r>
      <w:r w:rsidR="0035666C" w:rsidRPr="00260028">
        <w:rPr>
          <w:b w:val="0"/>
        </w:rPr>
        <w:t>Table</w:t>
      </w:r>
      <w:r w:rsidR="0035666C" w:rsidRPr="0035666C">
        <w:t xml:space="preserve"> </w:t>
      </w:r>
      <w:r w:rsidR="0035666C">
        <w:rPr>
          <w:b w:val="0"/>
          <w:noProof/>
        </w:rPr>
        <w:t>10</w:t>
      </w:r>
      <w:r w:rsidR="00257406">
        <w:rPr>
          <w:b w:val="0"/>
        </w:rPr>
        <w:fldChar w:fldCharType="end"/>
      </w:r>
      <w:r>
        <w:rPr>
          <w:b w:val="0"/>
        </w:rPr>
        <w:t xml:space="preserve"> </w:t>
      </w:r>
      <w:r w:rsidRPr="003B5206">
        <w:rPr>
          <w:b w:val="0"/>
        </w:rPr>
        <w:t>and the desire to move toward full parity over time, PSE proposes to</w:t>
      </w:r>
      <w:r w:rsidRPr="00E8781B">
        <w:rPr>
          <w:b w:val="0"/>
        </w:rPr>
        <w:t>: 1) apply the system average increase to those classes with parity percentages between 90 percent and 110 percent (Schedules 23, 16, 53</w:t>
      </w:r>
      <w:r w:rsidR="00E8781B" w:rsidRPr="00E8781B">
        <w:rPr>
          <w:b w:val="0"/>
        </w:rPr>
        <w:t>, 41, 41T</w:t>
      </w:r>
      <w:r w:rsidR="00EF4FC8">
        <w:rPr>
          <w:b w:val="0"/>
        </w:rPr>
        <w:t>, 85 and 85T</w:t>
      </w:r>
      <w:r w:rsidRPr="00E8781B">
        <w:rPr>
          <w:b w:val="0"/>
        </w:rPr>
        <w:t>); 2) apply 50 percent of the average increase</w:t>
      </w:r>
      <w:r w:rsidRPr="00E8781B" w:rsidDel="00A112D0">
        <w:rPr>
          <w:b w:val="0"/>
        </w:rPr>
        <w:t xml:space="preserve"> </w:t>
      </w:r>
      <w:r w:rsidRPr="00E8781B">
        <w:rPr>
          <w:b w:val="0"/>
        </w:rPr>
        <w:t xml:space="preserve">to those classes between 110 and 150 percent of parity (Schedules </w:t>
      </w:r>
      <w:r w:rsidR="00E8781B" w:rsidRPr="00E8781B">
        <w:rPr>
          <w:b w:val="0"/>
        </w:rPr>
        <w:t>86</w:t>
      </w:r>
      <w:r w:rsidRPr="00E8781B">
        <w:rPr>
          <w:b w:val="0"/>
        </w:rPr>
        <w:t xml:space="preserve"> and 8</w:t>
      </w:r>
      <w:r w:rsidR="00E8781B" w:rsidRPr="00E8781B">
        <w:rPr>
          <w:b w:val="0"/>
        </w:rPr>
        <w:t>6</w:t>
      </w:r>
      <w:r w:rsidRPr="00E8781B">
        <w:rPr>
          <w:b w:val="0"/>
        </w:rPr>
        <w:t xml:space="preserve">T); 3) apply no increase to those above 150 percent of parity (Schedules 71, 72 and 74); and 4) apply 150 percent of the average increase to those below 90 percent of parity (Schedules </w:t>
      </w:r>
      <w:r w:rsidR="00E8781B" w:rsidRPr="00E8781B">
        <w:rPr>
          <w:b w:val="0"/>
        </w:rPr>
        <w:t xml:space="preserve">31, 31T, </w:t>
      </w:r>
      <w:r w:rsidRPr="00E8781B">
        <w:rPr>
          <w:b w:val="0"/>
        </w:rPr>
        <w:t>87 and 87T).</w:t>
      </w:r>
      <w:r w:rsidRPr="003B5206">
        <w:rPr>
          <w:b w:val="0"/>
        </w:rPr>
        <w:t xml:space="preserve">  The proposed revenue </w:t>
      </w:r>
      <w:r w:rsidRPr="003B5206">
        <w:rPr>
          <w:b w:val="0"/>
        </w:rPr>
        <w:lastRenderedPageBreak/>
        <w:t xml:space="preserve">allocation by rate class of the </w:t>
      </w:r>
      <w:r w:rsidRPr="00E8781B">
        <w:rPr>
          <w:b w:val="0"/>
        </w:rPr>
        <w:t>proposed $</w:t>
      </w:r>
      <w:r w:rsidR="00E8781B">
        <w:rPr>
          <w:b w:val="0"/>
        </w:rPr>
        <w:t>22.993 million</w:t>
      </w:r>
      <w:r w:rsidRPr="00E8781B">
        <w:rPr>
          <w:b w:val="0"/>
        </w:rPr>
        <w:t xml:space="preserve"> increase is presented on page one of Exhibit</w:t>
      </w:r>
      <w:r w:rsidR="00EF4FC8">
        <w:rPr>
          <w:b w:val="0"/>
        </w:rPr>
        <w:t> </w:t>
      </w:r>
      <w:r w:rsidRPr="00E8781B">
        <w:rPr>
          <w:b w:val="0"/>
        </w:rPr>
        <w:t>No.</w:t>
      </w:r>
      <w:r w:rsidR="00EF4FC8">
        <w:rPr>
          <w:b w:val="0"/>
        </w:rPr>
        <w:t> </w:t>
      </w:r>
      <w:r w:rsidRPr="00E8781B">
        <w:rPr>
          <w:rStyle w:val="Strong"/>
        </w:rPr>
        <w:t>___(</w:t>
      </w:r>
      <w:r w:rsidRPr="00E8781B">
        <w:rPr>
          <w:b w:val="0"/>
        </w:rPr>
        <w:t>JAP-</w:t>
      </w:r>
      <w:r w:rsidR="003B5556" w:rsidRPr="00E8781B">
        <w:rPr>
          <w:b w:val="0"/>
        </w:rPr>
        <w:fldChar w:fldCharType="begin"/>
      </w:r>
      <w:r w:rsidR="003B5556" w:rsidRPr="00E8781B">
        <w:rPr>
          <w:b w:val="0"/>
        </w:rPr>
        <w:instrText xml:space="preserve"> REF _Ref441673102 \r \h </w:instrText>
      </w:r>
      <w:r w:rsidR="00E8781B">
        <w:rPr>
          <w:b w:val="0"/>
        </w:rPr>
        <w:instrText xml:space="preserve"> \* MERGEFORMAT </w:instrText>
      </w:r>
      <w:r w:rsidR="003B5556" w:rsidRPr="00E8781B">
        <w:rPr>
          <w:b w:val="0"/>
        </w:rPr>
      </w:r>
      <w:r w:rsidR="003B5556" w:rsidRPr="00E8781B">
        <w:rPr>
          <w:b w:val="0"/>
        </w:rPr>
        <w:fldChar w:fldCharType="separate"/>
      </w:r>
      <w:r w:rsidR="0035666C">
        <w:rPr>
          <w:b w:val="0"/>
        </w:rPr>
        <w:t>24</w:t>
      </w:r>
      <w:r w:rsidR="003B5556" w:rsidRPr="00E8781B">
        <w:rPr>
          <w:b w:val="0"/>
        </w:rPr>
        <w:fldChar w:fldCharType="end"/>
      </w:r>
      <w:r w:rsidRPr="00E8781B">
        <w:rPr>
          <w:b w:val="0"/>
        </w:rPr>
        <w:t>), and the resulting increases are</w:t>
      </w:r>
      <w:r w:rsidRPr="003B5206">
        <w:rPr>
          <w:b w:val="0"/>
        </w:rPr>
        <w:t xml:space="preserve"> summarized in </w:t>
      </w:r>
      <w:r>
        <w:rPr>
          <w:b w:val="0"/>
        </w:rPr>
        <w:fldChar w:fldCharType="begin"/>
      </w:r>
      <w:r>
        <w:rPr>
          <w:b w:val="0"/>
        </w:rPr>
        <w:instrText xml:space="preserve"> REF _Ref441464533 \h </w:instrText>
      </w:r>
      <w:r w:rsidR="00525D2A">
        <w:rPr>
          <w:b w:val="0"/>
        </w:rPr>
        <w:instrText xml:space="preserve"> \* MERGEFORMAT </w:instrText>
      </w:r>
      <w:r>
        <w:rPr>
          <w:b w:val="0"/>
        </w:rPr>
      </w:r>
      <w:r>
        <w:rPr>
          <w:b w:val="0"/>
        </w:rPr>
        <w:fldChar w:fldCharType="separate"/>
      </w:r>
      <w:r w:rsidR="0035666C" w:rsidRPr="00260028">
        <w:rPr>
          <w:b w:val="0"/>
        </w:rPr>
        <w:t>Table</w:t>
      </w:r>
      <w:r w:rsidR="0035666C" w:rsidRPr="0035666C">
        <w:t xml:space="preserve"> </w:t>
      </w:r>
      <w:r w:rsidR="0035666C">
        <w:rPr>
          <w:b w:val="0"/>
          <w:noProof/>
        </w:rPr>
        <w:t>10</w:t>
      </w:r>
      <w:r>
        <w:rPr>
          <w:b w:val="0"/>
        </w:rPr>
        <w:fldChar w:fldCharType="end"/>
      </w:r>
      <w:r>
        <w:rPr>
          <w:b w:val="0"/>
        </w:rPr>
        <w:t>.</w:t>
      </w:r>
    </w:p>
    <w:p w:rsidR="00260028" w:rsidRPr="00260028" w:rsidRDefault="00260028" w:rsidP="00260028">
      <w:pPr>
        <w:pStyle w:val="answer"/>
        <w:keepNext/>
        <w:keepLines/>
        <w:spacing w:after="60" w:line="240" w:lineRule="auto"/>
        <w:ind w:left="1080" w:right="1080" w:firstLine="0"/>
        <w:jc w:val="center"/>
        <w:rPr>
          <w:b/>
        </w:rPr>
      </w:pPr>
      <w:bookmarkStart w:id="148" w:name="_Ref441464533"/>
      <w:r w:rsidRPr="00260028">
        <w:rPr>
          <w:b/>
        </w:rPr>
        <w:t xml:space="preserve">Table </w:t>
      </w:r>
      <w:r w:rsidRPr="00260028">
        <w:rPr>
          <w:b/>
        </w:rPr>
        <w:fldChar w:fldCharType="begin"/>
      </w:r>
      <w:r w:rsidRPr="00260028">
        <w:rPr>
          <w:b/>
        </w:rPr>
        <w:instrText xml:space="preserve"> SEQ Table \* ARABIC </w:instrText>
      </w:r>
      <w:r w:rsidRPr="00260028">
        <w:rPr>
          <w:b/>
        </w:rPr>
        <w:fldChar w:fldCharType="separate"/>
      </w:r>
      <w:r w:rsidR="0035666C">
        <w:rPr>
          <w:b/>
          <w:noProof/>
        </w:rPr>
        <w:t>10</w:t>
      </w:r>
      <w:r w:rsidRPr="00260028">
        <w:rPr>
          <w:b/>
        </w:rPr>
        <w:fldChar w:fldCharType="end"/>
      </w:r>
      <w:bookmarkEnd w:id="148"/>
      <w:r w:rsidRPr="00260028">
        <w:rPr>
          <w:b/>
        </w:rPr>
        <w:t xml:space="preserve"> - Proposed Gas </w:t>
      </w:r>
      <w:r w:rsidR="00C40716">
        <w:rPr>
          <w:b/>
        </w:rPr>
        <w:t xml:space="preserve">Base </w:t>
      </w:r>
      <w:r w:rsidRPr="00260028">
        <w:rPr>
          <w:b/>
        </w:rPr>
        <w:t xml:space="preserve">Rate </w:t>
      </w:r>
      <w:r w:rsidR="00201995">
        <w:rPr>
          <w:b/>
        </w:rPr>
        <w:t>Changes</w:t>
      </w:r>
    </w:p>
    <w:tbl>
      <w:tblPr>
        <w:tblpPr w:leftFromText="180" w:rightFromText="180" w:vertAnchor="text" w:horzAnchor="margin" w:tblpXSpec="center" w:tblpY="314"/>
        <w:tblW w:w="8406" w:type="dxa"/>
        <w:tblLayout w:type="fixed"/>
        <w:tblLook w:val="0000" w:firstRow="0" w:lastRow="0" w:firstColumn="0" w:lastColumn="0" w:noHBand="0" w:noVBand="0"/>
      </w:tblPr>
      <w:tblGrid>
        <w:gridCol w:w="3168"/>
        <w:gridCol w:w="2070"/>
        <w:gridCol w:w="1530"/>
        <w:gridCol w:w="1638"/>
      </w:tblGrid>
      <w:tr w:rsidR="00995BC5" w:rsidRPr="009075DC" w:rsidTr="00995BC5">
        <w:trPr>
          <w:cantSplit/>
          <w:trHeight w:val="769"/>
        </w:trPr>
        <w:tc>
          <w:tcPr>
            <w:tcW w:w="3168" w:type="dxa"/>
            <w:tcBorders>
              <w:top w:val="single" w:sz="4" w:space="0" w:color="auto"/>
              <w:bottom w:val="single" w:sz="4" w:space="0" w:color="auto"/>
            </w:tcBorders>
            <w:vAlign w:val="center"/>
          </w:tcPr>
          <w:p w:rsidR="00995BC5" w:rsidRPr="009075DC" w:rsidRDefault="00995BC5" w:rsidP="00995BC5">
            <w:pPr>
              <w:widowControl w:val="0"/>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2070" w:type="dxa"/>
            <w:tcBorders>
              <w:top w:val="single" w:sz="4" w:space="0" w:color="auto"/>
              <w:bottom w:val="single" w:sz="4" w:space="0" w:color="auto"/>
            </w:tcBorders>
            <w:vAlign w:val="center"/>
          </w:tcPr>
          <w:p w:rsidR="00995BC5" w:rsidRPr="009075DC" w:rsidRDefault="00995BC5" w:rsidP="00995BC5">
            <w:pPr>
              <w:widowControl w:val="0"/>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530" w:type="dxa"/>
            <w:tcBorders>
              <w:top w:val="single" w:sz="4" w:space="0" w:color="auto"/>
              <w:bottom w:val="single" w:sz="4" w:space="0" w:color="auto"/>
            </w:tcBorders>
            <w:vAlign w:val="center"/>
          </w:tcPr>
          <w:p w:rsidR="00995BC5" w:rsidRPr="009075DC" w:rsidRDefault="00995BC5" w:rsidP="00C2328D">
            <w:pPr>
              <w:widowControl w:val="0"/>
              <w:spacing w:beforeLines="20" w:before="48" w:afterLines="20" w:after="48" w:line="240" w:lineRule="auto"/>
              <w:ind w:firstLine="0"/>
              <w:jc w:val="center"/>
              <w:rPr>
                <w:rFonts w:eastAsia="SimSun"/>
                <w:b/>
                <w:bCs/>
                <w:szCs w:val="24"/>
              </w:rPr>
            </w:pPr>
            <w:r>
              <w:rPr>
                <w:rFonts w:eastAsia="SimSun"/>
                <w:b/>
                <w:bCs/>
                <w:szCs w:val="24"/>
              </w:rPr>
              <w:t xml:space="preserve">Proposed Base Rate </w:t>
            </w:r>
            <w:r w:rsidR="00C2328D">
              <w:rPr>
                <w:rFonts w:eastAsia="SimSun"/>
                <w:b/>
                <w:bCs/>
                <w:szCs w:val="24"/>
              </w:rPr>
              <w:t>Changes</w:t>
            </w:r>
            <w:r>
              <w:rPr>
                <w:rFonts w:eastAsia="SimSun"/>
                <w:b/>
                <w:bCs/>
                <w:szCs w:val="24"/>
              </w:rPr>
              <w:t>*</w:t>
            </w:r>
          </w:p>
        </w:tc>
        <w:tc>
          <w:tcPr>
            <w:tcW w:w="1638" w:type="dxa"/>
            <w:tcBorders>
              <w:top w:val="single" w:sz="4" w:space="0" w:color="auto"/>
              <w:bottom w:val="single" w:sz="4" w:space="0" w:color="auto"/>
            </w:tcBorders>
            <w:vAlign w:val="center"/>
          </w:tcPr>
          <w:p w:rsidR="00995BC5" w:rsidRPr="009075DC" w:rsidRDefault="00995BC5" w:rsidP="00C2328D">
            <w:pPr>
              <w:widowControl w:val="0"/>
              <w:spacing w:beforeLines="20" w:before="48" w:afterLines="20" w:after="48" w:line="240" w:lineRule="auto"/>
              <w:ind w:firstLine="0"/>
              <w:jc w:val="center"/>
              <w:rPr>
                <w:rFonts w:eastAsia="SimSun"/>
                <w:b/>
                <w:bCs/>
                <w:szCs w:val="24"/>
              </w:rPr>
            </w:pPr>
            <w:r>
              <w:rPr>
                <w:rFonts w:eastAsia="SimSun"/>
                <w:b/>
                <w:bCs/>
                <w:szCs w:val="24"/>
              </w:rPr>
              <w:t xml:space="preserve">Proposed Margin </w:t>
            </w:r>
            <w:r w:rsidR="00C2328D">
              <w:rPr>
                <w:rFonts w:eastAsia="SimSun"/>
                <w:b/>
                <w:bCs/>
                <w:szCs w:val="24"/>
              </w:rPr>
              <w:t>Changes</w:t>
            </w:r>
          </w:p>
        </w:tc>
      </w:tr>
      <w:tr w:rsidR="00995BC5" w:rsidRPr="001D2B74" w:rsidTr="00995BC5">
        <w:trPr>
          <w:cantSplit/>
          <w:trHeight w:val="312"/>
        </w:trPr>
        <w:tc>
          <w:tcPr>
            <w:tcW w:w="3168" w:type="dxa"/>
            <w:vAlign w:val="bottom"/>
          </w:tcPr>
          <w:p w:rsidR="00995BC5" w:rsidRPr="003B5206" w:rsidRDefault="00995BC5" w:rsidP="00995BC5">
            <w:pPr>
              <w:pStyle w:val="answer"/>
              <w:keepNext/>
              <w:spacing w:before="60" w:after="60" w:line="240" w:lineRule="auto"/>
              <w:ind w:left="0" w:firstLine="0"/>
            </w:pPr>
            <w:r w:rsidRPr="003B5206">
              <w:t>Re</w:t>
            </w:r>
            <w:r>
              <w:t>sidential</w:t>
            </w:r>
          </w:p>
        </w:tc>
        <w:tc>
          <w:tcPr>
            <w:tcW w:w="2070" w:type="dxa"/>
          </w:tcPr>
          <w:p w:rsidR="00995BC5" w:rsidRPr="00683198" w:rsidRDefault="00995BC5" w:rsidP="00995BC5">
            <w:pPr>
              <w:pStyle w:val="answer"/>
              <w:keepNext/>
              <w:spacing w:before="60" w:after="60" w:line="240" w:lineRule="auto"/>
              <w:ind w:left="0" w:firstLine="0"/>
              <w:jc w:val="center"/>
            </w:pPr>
            <w:r w:rsidRPr="00683198">
              <w:t>16/23/53</w:t>
            </w:r>
          </w:p>
        </w:tc>
        <w:tc>
          <w:tcPr>
            <w:tcW w:w="1530" w:type="dxa"/>
            <w:vAlign w:val="bottom"/>
          </w:tcPr>
          <w:p w:rsidR="00995BC5" w:rsidRPr="00E8781B" w:rsidRDefault="00611BE6" w:rsidP="00995BC5">
            <w:pPr>
              <w:pStyle w:val="answer"/>
              <w:keepNext/>
              <w:spacing w:before="60" w:after="60" w:line="240" w:lineRule="auto"/>
              <w:ind w:left="0" w:firstLine="0"/>
              <w:jc w:val="center"/>
            </w:pPr>
            <w:r>
              <w:t>2.7</w:t>
            </w:r>
            <w:r w:rsidR="00995BC5" w:rsidRPr="00E8781B">
              <w:t>%</w:t>
            </w:r>
          </w:p>
        </w:tc>
        <w:tc>
          <w:tcPr>
            <w:tcW w:w="1638" w:type="dxa"/>
            <w:vAlign w:val="bottom"/>
          </w:tcPr>
          <w:p w:rsidR="00995BC5" w:rsidRPr="00E8781B" w:rsidRDefault="00611BE6" w:rsidP="00995BC5">
            <w:pPr>
              <w:pStyle w:val="answer"/>
              <w:keepNext/>
              <w:spacing w:before="60" w:after="60" w:line="240" w:lineRule="auto"/>
              <w:ind w:left="0" w:firstLine="0"/>
              <w:jc w:val="center"/>
            </w:pPr>
            <w:r>
              <w:t>4.8</w:t>
            </w:r>
            <w:r w:rsidR="00995BC5" w:rsidRPr="00E8781B">
              <w:t>%</w:t>
            </w:r>
          </w:p>
        </w:tc>
      </w:tr>
      <w:tr w:rsidR="00995BC5" w:rsidRPr="001D2B74" w:rsidTr="00995BC5">
        <w:trPr>
          <w:cantSplit/>
          <w:trHeight w:val="337"/>
        </w:trPr>
        <w:tc>
          <w:tcPr>
            <w:tcW w:w="3168" w:type="dxa"/>
            <w:vAlign w:val="bottom"/>
          </w:tcPr>
          <w:p w:rsidR="00995BC5" w:rsidRPr="003B5206" w:rsidRDefault="00995BC5" w:rsidP="00995BC5">
            <w:pPr>
              <w:pStyle w:val="answer"/>
              <w:keepNext/>
              <w:spacing w:before="60" w:after="60" w:line="240" w:lineRule="auto"/>
              <w:ind w:left="0" w:firstLine="0"/>
            </w:pPr>
            <w:r w:rsidRPr="003B5206">
              <w:t>Commercial &amp; In</w:t>
            </w:r>
            <w:r>
              <w:t>dustrial</w:t>
            </w:r>
          </w:p>
        </w:tc>
        <w:tc>
          <w:tcPr>
            <w:tcW w:w="2070" w:type="dxa"/>
          </w:tcPr>
          <w:p w:rsidR="00995BC5" w:rsidRPr="00683198" w:rsidRDefault="00995BC5" w:rsidP="00EF4FC8">
            <w:pPr>
              <w:pStyle w:val="answer"/>
              <w:keepNext/>
              <w:spacing w:before="60" w:after="60" w:line="240" w:lineRule="auto"/>
              <w:ind w:left="0" w:firstLine="0"/>
              <w:jc w:val="center"/>
            </w:pPr>
            <w:r w:rsidRPr="00683198">
              <w:t>31/31T</w:t>
            </w:r>
          </w:p>
        </w:tc>
        <w:tc>
          <w:tcPr>
            <w:tcW w:w="1530" w:type="dxa"/>
            <w:vAlign w:val="bottom"/>
          </w:tcPr>
          <w:p w:rsidR="00995BC5" w:rsidRPr="00E8781B" w:rsidRDefault="00611BE6" w:rsidP="00EF4FC8">
            <w:pPr>
              <w:pStyle w:val="answer"/>
              <w:keepNext/>
              <w:spacing w:before="60" w:after="60" w:line="240" w:lineRule="auto"/>
              <w:ind w:left="0" w:firstLine="0"/>
              <w:jc w:val="center"/>
            </w:pPr>
            <w:r>
              <w:t>3.</w:t>
            </w:r>
            <w:r w:rsidR="00EF4FC8">
              <w:t>6</w:t>
            </w:r>
            <w:r w:rsidR="00995BC5" w:rsidRPr="00E8781B">
              <w:t>%</w:t>
            </w:r>
          </w:p>
        </w:tc>
        <w:tc>
          <w:tcPr>
            <w:tcW w:w="1638" w:type="dxa"/>
            <w:vAlign w:val="bottom"/>
          </w:tcPr>
          <w:p w:rsidR="00995BC5" w:rsidRPr="00E8781B" w:rsidRDefault="00611BE6" w:rsidP="00995BC5">
            <w:pPr>
              <w:pStyle w:val="answer"/>
              <w:keepNext/>
              <w:spacing w:before="60" w:after="60" w:line="240" w:lineRule="auto"/>
              <w:ind w:left="0" w:firstLine="0"/>
              <w:jc w:val="center"/>
            </w:pPr>
            <w:r>
              <w:t>7.3</w:t>
            </w:r>
            <w:r w:rsidR="00995BC5" w:rsidRPr="00E8781B">
              <w:t>%</w:t>
            </w:r>
          </w:p>
        </w:tc>
      </w:tr>
      <w:tr w:rsidR="00995BC5" w:rsidRPr="001D2B74" w:rsidTr="00995BC5">
        <w:trPr>
          <w:cantSplit/>
          <w:trHeight w:val="312"/>
        </w:trPr>
        <w:tc>
          <w:tcPr>
            <w:tcW w:w="3168" w:type="dxa"/>
            <w:vAlign w:val="bottom"/>
          </w:tcPr>
          <w:p w:rsidR="00995BC5" w:rsidRPr="003B5206" w:rsidRDefault="00995BC5" w:rsidP="00995BC5">
            <w:pPr>
              <w:pStyle w:val="answer"/>
              <w:keepNext/>
              <w:spacing w:before="60" w:after="60" w:line="240" w:lineRule="auto"/>
              <w:ind w:left="0" w:firstLine="0"/>
            </w:pPr>
            <w:r>
              <w:t>Large Volume</w:t>
            </w:r>
          </w:p>
        </w:tc>
        <w:tc>
          <w:tcPr>
            <w:tcW w:w="2070" w:type="dxa"/>
          </w:tcPr>
          <w:p w:rsidR="00995BC5" w:rsidRPr="00683198" w:rsidRDefault="00995BC5" w:rsidP="00995BC5">
            <w:pPr>
              <w:pStyle w:val="answer"/>
              <w:keepNext/>
              <w:spacing w:before="60" w:after="60" w:line="240" w:lineRule="auto"/>
              <w:ind w:left="0" w:firstLine="0"/>
              <w:jc w:val="center"/>
            </w:pPr>
            <w:r w:rsidRPr="00683198">
              <w:t>41/41T</w:t>
            </w:r>
          </w:p>
        </w:tc>
        <w:tc>
          <w:tcPr>
            <w:tcW w:w="1530" w:type="dxa"/>
            <w:vAlign w:val="bottom"/>
          </w:tcPr>
          <w:p w:rsidR="00995BC5" w:rsidRPr="00E8781B" w:rsidRDefault="00EF4FC8" w:rsidP="00995BC5">
            <w:pPr>
              <w:pStyle w:val="answer"/>
              <w:keepNext/>
              <w:spacing w:before="60" w:after="60" w:line="240" w:lineRule="auto"/>
              <w:ind w:left="0" w:firstLine="0"/>
              <w:jc w:val="center"/>
            </w:pPr>
            <w:r>
              <w:t>2.0</w:t>
            </w:r>
            <w:r w:rsidR="00995BC5" w:rsidRPr="00E8781B">
              <w:t>%</w:t>
            </w:r>
          </w:p>
        </w:tc>
        <w:tc>
          <w:tcPr>
            <w:tcW w:w="1638" w:type="dxa"/>
            <w:vAlign w:val="bottom"/>
          </w:tcPr>
          <w:p w:rsidR="00995BC5" w:rsidRPr="00E8781B" w:rsidRDefault="001936DE" w:rsidP="00611BE6">
            <w:pPr>
              <w:pStyle w:val="answer"/>
              <w:keepNext/>
              <w:spacing w:before="60" w:after="60" w:line="240" w:lineRule="auto"/>
              <w:ind w:left="0" w:firstLine="0"/>
              <w:jc w:val="center"/>
            </w:pPr>
            <w:r w:rsidRPr="00E8781B">
              <w:t>4.</w:t>
            </w:r>
            <w:r w:rsidR="00611BE6">
              <w:t>8</w:t>
            </w:r>
            <w:r w:rsidR="00995BC5" w:rsidRPr="00E8781B">
              <w:t>%</w:t>
            </w:r>
          </w:p>
        </w:tc>
      </w:tr>
      <w:tr w:rsidR="00995BC5" w:rsidRPr="001D2B74" w:rsidTr="00995BC5">
        <w:trPr>
          <w:cantSplit/>
          <w:trHeight w:val="324"/>
        </w:trPr>
        <w:tc>
          <w:tcPr>
            <w:tcW w:w="3168" w:type="dxa"/>
            <w:vAlign w:val="bottom"/>
          </w:tcPr>
          <w:p w:rsidR="00995BC5" w:rsidRPr="003B5206" w:rsidRDefault="00995BC5" w:rsidP="00995BC5">
            <w:pPr>
              <w:pStyle w:val="answer"/>
              <w:keepNext/>
              <w:spacing w:before="60" w:after="60" w:line="240" w:lineRule="auto"/>
              <w:ind w:left="0" w:firstLine="0"/>
            </w:pPr>
            <w:r>
              <w:t>Interruptible</w:t>
            </w:r>
          </w:p>
        </w:tc>
        <w:tc>
          <w:tcPr>
            <w:tcW w:w="2070" w:type="dxa"/>
          </w:tcPr>
          <w:p w:rsidR="00995BC5" w:rsidRPr="00683198" w:rsidRDefault="00995BC5" w:rsidP="00995BC5">
            <w:pPr>
              <w:pStyle w:val="answer"/>
              <w:keepNext/>
              <w:spacing w:before="60" w:after="60" w:line="240" w:lineRule="auto"/>
              <w:ind w:left="0" w:firstLine="0"/>
              <w:jc w:val="center"/>
            </w:pPr>
            <w:r w:rsidRPr="00683198">
              <w:t>85/85T</w:t>
            </w:r>
          </w:p>
        </w:tc>
        <w:tc>
          <w:tcPr>
            <w:tcW w:w="1530" w:type="dxa"/>
            <w:vAlign w:val="bottom"/>
          </w:tcPr>
          <w:p w:rsidR="00995BC5" w:rsidRPr="00E8781B" w:rsidRDefault="00CF74F3" w:rsidP="00EF4FC8">
            <w:pPr>
              <w:pStyle w:val="answer"/>
              <w:keepNext/>
              <w:spacing w:before="60" w:after="60" w:line="240" w:lineRule="auto"/>
              <w:ind w:left="0" w:firstLine="0"/>
              <w:jc w:val="center"/>
            </w:pPr>
            <w:r>
              <w:t>2.</w:t>
            </w:r>
            <w:r w:rsidR="00EF4FC8">
              <w:t>5</w:t>
            </w:r>
            <w:r w:rsidR="00995BC5" w:rsidRPr="00E8781B">
              <w:t>%</w:t>
            </w:r>
          </w:p>
        </w:tc>
        <w:tc>
          <w:tcPr>
            <w:tcW w:w="1638" w:type="dxa"/>
            <w:vAlign w:val="bottom"/>
          </w:tcPr>
          <w:p w:rsidR="00995BC5" w:rsidRPr="00E8781B" w:rsidRDefault="00611BE6" w:rsidP="00995BC5">
            <w:pPr>
              <w:pStyle w:val="answer"/>
              <w:keepNext/>
              <w:spacing w:before="60" w:after="60" w:line="240" w:lineRule="auto"/>
              <w:ind w:left="0" w:firstLine="0"/>
              <w:jc w:val="center"/>
            </w:pPr>
            <w:r>
              <w:t>4.8</w:t>
            </w:r>
            <w:r w:rsidR="00995BC5" w:rsidRPr="00E8781B">
              <w:t>%</w:t>
            </w:r>
          </w:p>
        </w:tc>
      </w:tr>
      <w:tr w:rsidR="00995BC5" w:rsidRPr="001D2B74" w:rsidTr="00995BC5">
        <w:trPr>
          <w:cantSplit/>
          <w:trHeight w:val="324"/>
        </w:trPr>
        <w:tc>
          <w:tcPr>
            <w:tcW w:w="3168" w:type="dxa"/>
            <w:vAlign w:val="bottom"/>
          </w:tcPr>
          <w:p w:rsidR="00995BC5" w:rsidRPr="003B5206" w:rsidRDefault="00995BC5" w:rsidP="00995BC5">
            <w:pPr>
              <w:pStyle w:val="answer"/>
              <w:keepNext/>
              <w:spacing w:before="60" w:after="60" w:line="240" w:lineRule="auto"/>
              <w:ind w:left="0" w:firstLine="0"/>
            </w:pPr>
            <w:r w:rsidRPr="003B5206">
              <w:t xml:space="preserve">Limited </w:t>
            </w:r>
            <w:r>
              <w:t>Interruptible</w:t>
            </w:r>
          </w:p>
        </w:tc>
        <w:tc>
          <w:tcPr>
            <w:tcW w:w="2070" w:type="dxa"/>
          </w:tcPr>
          <w:p w:rsidR="00995BC5" w:rsidRPr="00683198" w:rsidRDefault="00995BC5" w:rsidP="00995BC5">
            <w:pPr>
              <w:pStyle w:val="answer"/>
              <w:keepNext/>
              <w:spacing w:before="60" w:after="60" w:line="240" w:lineRule="auto"/>
              <w:ind w:left="0" w:firstLine="0"/>
              <w:jc w:val="center"/>
            </w:pPr>
            <w:r w:rsidRPr="00683198">
              <w:t>86/86T</w:t>
            </w:r>
          </w:p>
        </w:tc>
        <w:tc>
          <w:tcPr>
            <w:tcW w:w="1530" w:type="dxa"/>
            <w:vAlign w:val="bottom"/>
          </w:tcPr>
          <w:p w:rsidR="00995BC5" w:rsidRPr="00E8781B" w:rsidRDefault="001936DE" w:rsidP="00611BE6">
            <w:pPr>
              <w:pStyle w:val="answer"/>
              <w:keepNext/>
              <w:spacing w:before="60" w:after="60" w:line="240" w:lineRule="auto"/>
              <w:ind w:left="0" w:firstLine="0"/>
              <w:jc w:val="center"/>
            </w:pPr>
            <w:r w:rsidRPr="00E8781B">
              <w:t>0.</w:t>
            </w:r>
            <w:r w:rsidR="00611BE6">
              <w:t>9</w:t>
            </w:r>
            <w:r w:rsidR="00995BC5" w:rsidRPr="00E8781B">
              <w:t>%</w:t>
            </w:r>
          </w:p>
        </w:tc>
        <w:tc>
          <w:tcPr>
            <w:tcW w:w="1638" w:type="dxa"/>
            <w:vAlign w:val="bottom"/>
          </w:tcPr>
          <w:p w:rsidR="00995BC5" w:rsidRPr="00E8781B" w:rsidRDefault="00611BE6" w:rsidP="00995BC5">
            <w:pPr>
              <w:pStyle w:val="answer"/>
              <w:keepNext/>
              <w:spacing w:before="60" w:after="60" w:line="240" w:lineRule="auto"/>
              <w:ind w:left="0" w:firstLine="0"/>
              <w:jc w:val="center"/>
            </w:pPr>
            <w:r>
              <w:t>2.4</w:t>
            </w:r>
            <w:r w:rsidR="00995BC5" w:rsidRPr="00E8781B">
              <w:t>%</w:t>
            </w:r>
          </w:p>
        </w:tc>
      </w:tr>
      <w:tr w:rsidR="00995BC5" w:rsidRPr="001D2B74" w:rsidTr="00995BC5">
        <w:trPr>
          <w:cantSplit/>
          <w:trHeight w:val="300"/>
        </w:trPr>
        <w:tc>
          <w:tcPr>
            <w:tcW w:w="3168" w:type="dxa"/>
            <w:vAlign w:val="bottom"/>
          </w:tcPr>
          <w:p w:rsidR="00995BC5" w:rsidRPr="003B5206" w:rsidRDefault="00995BC5" w:rsidP="00995BC5">
            <w:pPr>
              <w:pStyle w:val="answer"/>
              <w:keepNext/>
              <w:spacing w:before="60" w:after="60" w:line="240" w:lineRule="auto"/>
              <w:ind w:left="0" w:firstLine="0"/>
            </w:pPr>
            <w:r w:rsidRPr="003B5206">
              <w:t>Non-exclusive I</w:t>
            </w:r>
            <w:r>
              <w:t>nterruptible</w:t>
            </w:r>
          </w:p>
        </w:tc>
        <w:tc>
          <w:tcPr>
            <w:tcW w:w="2070" w:type="dxa"/>
          </w:tcPr>
          <w:p w:rsidR="00995BC5" w:rsidRPr="00683198" w:rsidRDefault="00995BC5" w:rsidP="00995BC5">
            <w:pPr>
              <w:pStyle w:val="answer"/>
              <w:keepNext/>
              <w:spacing w:before="60" w:after="60" w:line="240" w:lineRule="auto"/>
              <w:ind w:left="0" w:firstLine="0"/>
              <w:jc w:val="center"/>
            </w:pPr>
            <w:r w:rsidRPr="00683198">
              <w:t>87/87T</w:t>
            </w:r>
          </w:p>
        </w:tc>
        <w:tc>
          <w:tcPr>
            <w:tcW w:w="1530" w:type="dxa"/>
            <w:vAlign w:val="bottom"/>
          </w:tcPr>
          <w:p w:rsidR="00995BC5" w:rsidRPr="00E8781B" w:rsidRDefault="00611BE6" w:rsidP="00851207">
            <w:pPr>
              <w:pStyle w:val="answer"/>
              <w:keepNext/>
              <w:spacing w:before="60" w:after="60" w:line="240" w:lineRule="auto"/>
              <w:ind w:left="0" w:firstLine="0"/>
              <w:jc w:val="center"/>
            </w:pPr>
            <w:r>
              <w:t>2.</w:t>
            </w:r>
            <w:r w:rsidR="00851207">
              <w:t>6</w:t>
            </w:r>
            <w:r w:rsidR="00995BC5" w:rsidRPr="00E8781B">
              <w:t>%</w:t>
            </w:r>
          </w:p>
        </w:tc>
        <w:tc>
          <w:tcPr>
            <w:tcW w:w="1638" w:type="dxa"/>
            <w:vAlign w:val="bottom"/>
          </w:tcPr>
          <w:p w:rsidR="00995BC5" w:rsidRPr="00E8781B" w:rsidRDefault="00611BE6" w:rsidP="00995BC5">
            <w:pPr>
              <w:pStyle w:val="answer"/>
              <w:keepNext/>
              <w:spacing w:before="60" w:after="60" w:line="240" w:lineRule="auto"/>
              <w:ind w:left="0" w:firstLine="0"/>
              <w:jc w:val="center"/>
            </w:pPr>
            <w:r>
              <w:t>7.3</w:t>
            </w:r>
            <w:r w:rsidR="00995BC5" w:rsidRPr="00E8781B">
              <w:t>%</w:t>
            </w:r>
          </w:p>
        </w:tc>
      </w:tr>
      <w:tr w:rsidR="00995BC5" w:rsidRPr="001D2B74" w:rsidTr="00995BC5">
        <w:trPr>
          <w:cantSplit/>
          <w:trHeight w:val="324"/>
        </w:trPr>
        <w:tc>
          <w:tcPr>
            <w:tcW w:w="3168" w:type="dxa"/>
            <w:vAlign w:val="bottom"/>
          </w:tcPr>
          <w:p w:rsidR="00995BC5" w:rsidRPr="003B5206" w:rsidRDefault="00995BC5" w:rsidP="00995BC5">
            <w:pPr>
              <w:pStyle w:val="answer"/>
              <w:keepNext/>
              <w:spacing w:before="60" w:after="60" w:line="240" w:lineRule="auto"/>
              <w:ind w:left="0" w:firstLine="0"/>
            </w:pPr>
            <w:r w:rsidRPr="003B5206">
              <w:t xml:space="preserve">Special Contracts </w:t>
            </w:r>
          </w:p>
        </w:tc>
        <w:tc>
          <w:tcPr>
            <w:tcW w:w="2070" w:type="dxa"/>
          </w:tcPr>
          <w:p w:rsidR="00995BC5" w:rsidRPr="00683198" w:rsidRDefault="00995BC5" w:rsidP="00995BC5">
            <w:pPr>
              <w:pStyle w:val="answer"/>
              <w:keepNext/>
              <w:spacing w:before="60" w:after="60" w:line="240" w:lineRule="auto"/>
              <w:ind w:left="0" w:firstLine="0"/>
              <w:jc w:val="center"/>
            </w:pPr>
          </w:p>
        </w:tc>
        <w:tc>
          <w:tcPr>
            <w:tcW w:w="1530" w:type="dxa"/>
            <w:vAlign w:val="bottom"/>
          </w:tcPr>
          <w:p w:rsidR="00995BC5" w:rsidRPr="00E8781B" w:rsidRDefault="00851207" w:rsidP="00995BC5">
            <w:pPr>
              <w:pStyle w:val="answer"/>
              <w:keepNext/>
              <w:spacing w:before="60" w:after="60" w:line="240" w:lineRule="auto"/>
              <w:ind w:left="0" w:firstLine="0"/>
              <w:jc w:val="center"/>
            </w:pPr>
            <w:r>
              <w:t>6.3</w:t>
            </w:r>
            <w:r w:rsidR="00995BC5" w:rsidRPr="00E8781B">
              <w:t>%</w:t>
            </w:r>
          </w:p>
        </w:tc>
        <w:tc>
          <w:tcPr>
            <w:tcW w:w="1638" w:type="dxa"/>
            <w:vAlign w:val="bottom"/>
          </w:tcPr>
          <w:p w:rsidR="00995BC5" w:rsidRPr="00E8781B" w:rsidRDefault="001936DE" w:rsidP="00611BE6">
            <w:pPr>
              <w:pStyle w:val="answer"/>
              <w:keepNext/>
              <w:spacing w:before="60" w:after="60" w:line="240" w:lineRule="auto"/>
              <w:ind w:left="0" w:firstLine="0"/>
              <w:jc w:val="center"/>
            </w:pPr>
            <w:r w:rsidRPr="00E8781B">
              <w:t>6</w:t>
            </w:r>
            <w:r w:rsidR="00611BE6">
              <w:t>.3</w:t>
            </w:r>
            <w:r w:rsidR="00995BC5" w:rsidRPr="00E8781B">
              <w:t>%</w:t>
            </w:r>
          </w:p>
        </w:tc>
      </w:tr>
      <w:tr w:rsidR="00995BC5" w:rsidRPr="001D2B74" w:rsidTr="00995BC5">
        <w:trPr>
          <w:cantSplit/>
          <w:trHeight w:val="324"/>
        </w:trPr>
        <w:tc>
          <w:tcPr>
            <w:tcW w:w="3168" w:type="dxa"/>
            <w:tcBorders>
              <w:bottom w:val="single" w:sz="4" w:space="0" w:color="auto"/>
            </w:tcBorders>
            <w:vAlign w:val="bottom"/>
          </w:tcPr>
          <w:p w:rsidR="00995BC5" w:rsidRPr="003B5206" w:rsidRDefault="00995BC5" w:rsidP="00995BC5">
            <w:pPr>
              <w:pStyle w:val="answer"/>
              <w:spacing w:before="60" w:after="60" w:line="240" w:lineRule="auto"/>
              <w:ind w:left="0" w:firstLine="0"/>
            </w:pPr>
            <w:r w:rsidRPr="003B5206">
              <w:t>Rentals</w:t>
            </w:r>
          </w:p>
        </w:tc>
        <w:tc>
          <w:tcPr>
            <w:tcW w:w="2070" w:type="dxa"/>
            <w:tcBorders>
              <w:bottom w:val="single" w:sz="4" w:space="0" w:color="auto"/>
            </w:tcBorders>
          </w:tcPr>
          <w:p w:rsidR="00995BC5" w:rsidRPr="00683198" w:rsidRDefault="00995BC5" w:rsidP="00995BC5">
            <w:pPr>
              <w:pStyle w:val="answer"/>
              <w:spacing w:before="60" w:after="60" w:line="240" w:lineRule="auto"/>
              <w:ind w:left="0" w:firstLine="0"/>
              <w:jc w:val="center"/>
            </w:pPr>
            <w:r w:rsidRPr="00683198">
              <w:t>71/72/74</w:t>
            </w:r>
          </w:p>
        </w:tc>
        <w:tc>
          <w:tcPr>
            <w:tcW w:w="1530" w:type="dxa"/>
            <w:tcBorders>
              <w:bottom w:val="single" w:sz="4" w:space="0" w:color="auto"/>
            </w:tcBorders>
            <w:vAlign w:val="bottom"/>
          </w:tcPr>
          <w:p w:rsidR="00995BC5" w:rsidRPr="00E8781B" w:rsidRDefault="001936DE" w:rsidP="00995BC5">
            <w:pPr>
              <w:pStyle w:val="answer"/>
              <w:spacing w:before="60" w:after="60" w:line="240" w:lineRule="auto"/>
              <w:ind w:left="0" w:firstLine="0"/>
              <w:jc w:val="center"/>
            </w:pPr>
            <w:r w:rsidRPr="00E8781B">
              <w:t>0.0</w:t>
            </w:r>
            <w:r w:rsidR="00995BC5" w:rsidRPr="00E8781B">
              <w:t>%</w:t>
            </w:r>
          </w:p>
        </w:tc>
        <w:tc>
          <w:tcPr>
            <w:tcW w:w="1638" w:type="dxa"/>
            <w:tcBorders>
              <w:bottom w:val="single" w:sz="4" w:space="0" w:color="auto"/>
            </w:tcBorders>
            <w:vAlign w:val="bottom"/>
          </w:tcPr>
          <w:p w:rsidR="00995BC5" w:rsidRPr="00E8781B" w:rsidRDefault="001936DE" w:rsidP="00995BC5">
            <w:pPr>
              <w:pStyle w:val="answer"/>
              <w:spacing w:before="60" w:after="60" w:line="240" w:lineRule="auto"/>
              <w:ind w:left="0" w:firstLine="0"/>
              <w:jc w:val="center"/>
            </w:pPr>
            <w:r w:rsidRPr="00E8781B">
              <w:t>0.0</w:t>
            </w:r>
            <w:r w:rsidR="00995BC5" w:rsidRPr="00E8781B">
              <w:t>%</w:t>
            </w:r>
          </w:p>
        </w:tc>
      </w:tr>
      <w:tr w:rsidR="00995BC5" w:rsidRPr="009075DC" w:rsidTr="00995BC5">
        <w:trPr>
          <w:cantSplit/>
          <w:trHeight w:val="425"/>
        </w:trPr>
        <w:tc>
          <w:tcPr>
            <w:tcW w:w="3168" w:type="dxa"/>
            <w:tcBorders>
              <w:top w:val="single" w:sz="4" w:space="0" w:color="auto"/>
              <w:bottom w:val="single" w:sz="4" w:space="0" w:color="auto"/>
            </w:tcBorders>
            <w:vAlign w:val="bottom"/>
          </w:tcPr>
          <w:p w:rsidR="00995BC5" w:rsidRPr="00683198" w:rsidRDefault="00995BC5" w:rsidP="00995BC5">
            <w:pPr>
              <w:pStyle w:val="answer"/>
              <w:spacing w:before="60" w:after="60" w:line="240" w:lineRule="auto"/>
              <w:ind w:left="0" w:firstLine="0"/>
              <w:rPr>
                <w:b/>
              </w:rPr>
            </w:pPr>
            <w:r w:rsidRPr="00683198">
              <w:rPr>
                <w:b/>
              </w:rPr>
              <w:t>Total/System Average</w:t>
            </w:r>
          </w:p>
        </w:tc>
        <w:tc>
          <w:tcPr>
            <w:tcW w:w="2070" w:type="dxa"/>
            <w:tcBorders>
              <w:top w:val="single" w:sz="4" w:space="0" w:color="auto"/>
              <w:bottom w:val="single" w:sz="4" w:space="0" w:color="auto"/>
            </w:tcBorders>
          </w:tcPr>
          <w:p w:rsidR="00995BC5" w:rsidRPr="00683198" w:rsidRDefault="00995BC5" w:rsidP="00995BC5">
            <w:pPr>
              <w:pStyle w:val="answer"/>
              <w:spacing w:before="60" w:after="60" w:line="240" w:lineRule="auto"/>
              <w:ind w:left="0" w:firstLine="0"/>
              <w:jc w:val="center"/>
              <w:rPr>
                <w:b/>
                <w:highlight w:val="yellow"/>
              </w:rPr>
            </w:pPr>
          </w:p>
        </w:tc>
        <w:tc>
          <w:tcPr>
            <w:tcW w:w="1530" w:type="dxa"/>
            <w:tcBorders>
              <w:top w:val="single" w:sz="4" w:space="0" w:color="auto"/>
              <w:bottom w:val="single" w:sz="4" w:space="0" w:color="auto"/>
            </w:tcBorders>
            <w:vAlign w:val="bottom"/>
          </w:tcPr>
          <w:p w:rsidR="00995BC5" w:rsidRPr="00E8781B" w:rsidRDefault="001936DE" w:rsidP="00611BE6">
            <w:pPr>
              <w:pStyle w:val="answer"/>
              <w:spacing w:before="60" w:after="60" w:line="240" w:lineRule="auto"/>
              <w:ind w:left="0" w:firstLine="0"/>
              <w:jc w:val="center"/>
              <w:rPr>
                <w:b/>
              </w:rPr>
            </w:pPr>
            <w:r w:rsidRPr="00E8781B">
              <w:rPr>
                <w:b/>
              </w:rPr>
              <w:t>2.</w:t>
            </w:r>
            <w:r w:rsidR="00611BE6">
              <w:rPr>
                <w:b/>
              </w:rPr>
              <w:t>8</w:t>
            </w:r>
            <w:r w:rsidR="00995BC5" w:rsidRPr="00E8781B">
              <w:rPr>
                <w:b/>
              </w:rPr>
              <w:t>%</w:t>
            </w:r>
          </w:p>
        </w:tc>
        <w:tc>
          <w:tcPr>
            <w:tcW w:w="1638" w:type="dxa"/>
            <w:tcBorders>
              <w:top w:val="single" w:sz="4" w:space="0" w:color="auto"/>
              <w:bottom w:val="single" w:sz="4" w:space="0" w:color="auto"/>
            </w:tcBorders>
            <w:vAlign w:val="bottom"/>
          </w:tcPr>
          <w:p w:rsidR="00995BC5" w:rsidRPr="00E8781B" w:rsidRDefault="00611BE6" w:rsidP="00995BC5">
            <w:pPr>
              <w:pStyle w:val="answer"/>
              <w:spacing w:before="60" w:after="60" w:line="240" w:lineRule="auto"/>
              <w:ind w:left="0" w:firstLine="0"/>
              <w:jc w:val="center"/>
              <w:rPr>
                <w:b/>
              </w:rPr>
            </w:pPr>
            <w:r>
              <w:rPr>
                <w:b/>
              </w:rPr>
              <w:t>5.3</w:t>
            </w:r>
            <w:r w:rsidR="00995BC5" w:rsidRPr="00E8781B">
              <w:rPr>
                <w:b/>
              </w:rPr>
              <w:t>%</w:t>
            </w:r>
          </w:p>
        </w:tc>
      </w:tr>
      <w:tr w:rsidR="00995BC5" w:rsidRPr="009075DC" w:rsidTr="00995BC5">
        <w:trPr>
          <w:cantSplit/>
          <w:trHeight w:val="425"/>
        </w:trPr>
        <w:tc>
          <w:tcPr>
            <w:tcW w:w="3168" w:type="dxa"/>
            <w:tcBorders>
              <w:top w:val="single" w:sz="4" w:space="0" w:color="auto"/>
            </w:tcBorders>
            <w:vAlign w:val="bottom"/>
          </w:tcPr>
          <w:p w:rsidR="00995BC5" w:rsidRPr="00995BC5" w:rsidRDefault="00995BC5" w:rsidP="00995BC5">
            <w:pPr>
              <w:pStyle w:val="answer"/>
              <w:spacing w:before="60" w:after="60" w:line="240" w:lineRule="auto"/>
              <w:ind w:left="0" w:firstLine="0"/>
            </w:pPr>
            <w:r w:rsidRPr="00995BC5">
              <w:t>* Includes gas costs</w:t>
            </w:r>
          </w:p>
        </w:tc>
        <w:tc>
          <w:tcPr>
            <w:tcW w:w="2070" w:type="dxa"/>
            <w:tcBorders>
              <w:top w:val="single" w:sz="4" w:space="0" w:color="auto"/>
            </w:tcBorders>
          </w:tcPr>
          <w:p w:rsidR="00995BC5" w:rsidRPr="00683198" w:rsidRDefault="00995BC5" w:rsidP="00995BC5">
            <w:pPr>
              <w:pStyle w:val="answer"/>
              <w:spacing w:before="60" w:after="60" w:line="240" w:lineRule="auto"/>
              <w:ind w:left="0" w:firstLine="0"/>
              <w:jc w:val="center"/>
              <w:rPr>
                <w:b/>
                <w:highlight w:val="yellow"/>
              </w:rPr>
            </w:pPr>
          </w:p>
        </w:tc>
        <w:tc>
          <w:tcPr>
            <w:tcW w:w="1530" w:type="dxa"/>
            <w:tcBorders>
              <w:top w:val="single" w:sz="4" w:space="0" w:color="auto"/>
            </w:tcBorders>
            <w:vAlign w:val="bottom"/>
          </w:tcPr>
          <w:p w:rsidR="00995BC5" w:rsidRPr="00683198" w:rsidRDefault="00995BC5" w:rsidP="00995BC5">
            <w:pPr>
              <w:pStyle w:val="answer"/>
              <w:spacing w:before="60" w:after="60" w:line="240" w:lineRule="auto"/>
              <w:ind w:left="0" w:firstLine="0"/>
              <w:jc w:val="center"/>
              <w:rPr>
                <w:b/>
                <w:highlight w:val="yellow"/>
              </w:rPr>
            </w:pPr>
          </w:p>
        </w:tc>
        <w:tc>
          <w:tcPr>
            <w:tcW w:w="1638" w:type="dxa"/>
            <w:tcBorders>
              <w:top w:val="single" w:sz="4" w:space="0" w:color="auto"/>
            </w:tcBorders>
            <w:vAlign w:val="bottom"/>
          </w:tcPr>
          <w:p w:rsidR="00995BC5" w:rsidRPr="00683198" w:rsidRDefault="00995BC5" w:rsidP="00995BC5">
            <w:pPr>
              <w:pStyle w:val="answer"/>
              <w:spacing w:before="60" w:after="60" w:line="240" w:lineRule="auto"/>
              <w:ind w:left="0" w:firstLine="0"/>
              <w:jc w:val="center"/>
              <w:rPr>
                <w:b/>
                <w:highlight w:val="yellow"/>
              </w:rPr>
            </w:pPr>
          </w:p>
        </w:tc>
      </w:tr>
    </w:tbl>
    <w:p w:rsidR="003B5280" w:rsidRPr="003B5206" w:rsidRDefault="003B5280" w:rsidP="003B5280">
      <w:pPr>
        <w:pStyle w:val="Heading2"/>
        <w:spacing w:after="320"/>
        <w:rPr>
          <w:u w:val="none"/>
        </w:rPr>
      </w:pPr>
      <w:bookmarkStart w:id="149" w:name="_Toc294362342"/>
      <w:bookmarkStart w:id="150" w:name="_Toc471912963"/>
      <w:r w:rsidRPr="003B5206">
        <w:rPr>
          <w:u w:val="none"/>
        </w:rPr>
        <w:t>B.</w:t>
      </w:r>
      <w:r w:rsidRPr="003B5206">
        <w:rPr>
          <w:u w:val="none"/>
        </w:rPr>
        <w:tab/>
      </w:r>
      <w:r w:rsidRPr="003B5206">
        <w:t>Rate Design</w:t>
      </w:r>
      <w:bookmarkEnd w:id="149"/>
      <w:bookmarkEnd w:id="150"/>
    </w:p>
    <w:p w:rsidR="00E02CD1" w:rsidRPr="003B5206" w:rsidRDefault="00E02CD1" w:rsidP="00E02CD1">
      <w:pPr>
        <w:pStyle w:val="question"/>
        <w:keepLines/>
        <w:widowControl w:val="0"/>
        <w:spacing w:before="120"/>
      </w:pPr>
      <w:r w:rsidRPr="003B5206">
        <w:t>Q.</w:t>
      </w:r>
      <w:r w:rsidRPr="003B5206">
        <w:tab/>
        <w:t>Please describe PSE’s current rate structure for distribution service.</w:t>
      </w:r>
    </w:p>
    <w:p w:rsidR="00E02CD1" w:rsidRPr="003B5206" w:rsidRDefault="00E02CD1" w:rsidP="00E02CD1">
      <w:pPr>
        <w:pStyle w:val="answer"/>
        <w:widowControl w:val="0"/>
      </w:pPr>
      <w:r w:rsidRPr="003B5206">
        <w:t>A.</w:t>
      </w:r>
      <w:r w:rsidRPr="003B5206">
        <w:tab/>
        <w:t>The Residential (</w:t>
      </w:r>
      <w:r w:rsidR="00257406">
        <w:t xml:space="preserve">Schedule </w:t>
      </w:r>
      <w:r w:rsidRPr="003B5206">
        <w:t>23) and General Service Commercial/Industrial (</w:t>
      </w:r>
      <w:r w:rsidR="00257406">
        <w:t xml:space="preserve">Schedules </w:t>
      </w:r>
      <w:r w:rsidRPr="003B5206">
        <w:t>31, 31T) schedules have only the basic charge and single-block delivery charges, whereas the Large Volume Commercial/Industrial schedule (</w:t>
      </w:r>
      <w:r w:rsidR="00257406">
        <w:t xml:space="preserve">Schedules </w:t>
      </w:r>
      <w:r w:rsidRPr="003B5206">
        <w:t>41, 41T) and the interruptible schedules (</w:t>
      </w:r>
      <w:r w:rsidR="00257406">
        <w:t xml:space="preserve">Schedules </w:t>
      </w:r>
      <w:r w:rsidRPr="003B5206">
        <w:t xml:space="preserve">85, 85T, 86, 86T, 87 and 87T) have demand charges and multiple block delivery charges in addition to basic charges.  Interruptible sales schedules also have a single-block, </w:t>
      </w:r>
      <w:r w:rsidRPr="003B5206">
        <w:lastRenderedPageBreak/>
        <w:t>volumetric procurement charge.</w:t>
      </w:r>
    </w:p>
    <w:p w:rsidR="00E02CD1" w:rsidRPr="003B5206" w:rsidRDefault="00E02CD1" w:rsidP="00E02CD1">
      <w:pPr>
        <w:pStyle w:val="question"/>
        <w:keepLines/>
        <w:widowControl w:val="0"/>
        <w:spacing w:before="120"/>
      </w:pPr>
      <w:r w:rsidRPr="003B5206">
        <w:t>Q.</w:t>
      </w:r>
      <w:r w:rsidRPr="003B5206">
        <w:tab/>
        <w:t>Please describe the proposed changes to PSE’s natural gas tariff schedules.</w:t>
      </w:r>
    </w:p>
    <w:p w:rsidR="00E02CD1" w:rsidRDefault="00E02CD1" w:rsidP="00E02CD1">
      <w:pPr>
        <w:pStyle w:val="answer"/>
        <w:widowControl w:val="0"/>
      </w:pPr>
      <w:r w:rsidRPr="00E8781B">
        <w:t>A.</w:t>
      </w:r>
      <w:r w:rsidRPr="00E8781B">
        <w:tab/>
        <w:t>For each schedule that receives an increase, PSE proposes to increase all charges related to distribution services by an equal percentage.  For example, for Schedule 31, Commercial and Industrial General Service, the basic charge and delivery charge would increase by the same percentage.</w:t>
      </w:r>
      <w:r w:rsidR="00E8781B">
        <w:rPr>
          <w:rStyle w:val="FootnoteReference"/>
        </w:rPr>
        <w:footnoteReference w:id="26"/>
      </w:r>
      <w:r w:rsidRPr="00E8781B">
        <w:t xml:space="preserve">  The </w:t>
      </w:r>
      <w:r w:rsidR="002423F8">
        <w:t xml:space="preserve">primary </w:t>
      </w:r>
      <w:r w:rsidRPr="00E8781B">
        <w:t xml:space="preserve">exceptions to this rule are for </w:t>
      </w:r>
      <w:r w:rsidR="0034112B" w:rsidRPr="00E8781B">
        <w:t xml:space="preserve">demand charges associated with </w:t>
      </w:r>
      <w:r w:rsidRPr="00E8781B">
        <w:t>Schedules 41, 85, 86, 87, 41T, 85T, 86T and 87T</w:t>
      </w:r>
      <w:r w:rsidR="0034112B" w:rsidRPr="00E8781B">
        <w:t>.  As discussed further below, PSE is proposing to move each pair of sales and corresponding transportation schedules’ demand charge closer to their cost of service</w:t>
      </w:r>
      <w:r w:rsidRPr="00E8781B">
        <w:t xml:space="preserve">. </w:t>
      </w:r>
      <w:r w:rsidR="002423F8">
        <w:t xml:space="preserve">PSE is also proposing to make cost-based changes to the procurement charges, which are generally very small.  Changes </w:t>
      </w:r>
      <w:r w:rsidRPr="00E8781B">
        <w:t xml:space="preserve">to the </w:t>
      </w:r>
      <w:r w:rsidR="002423F8">
        <w:t xml:space="preserve">remaining </w:t>
      </w:r>
      <w:r w:rsidRPr="00E8781B">
        <w:t>rate components may vary slightly t</w:t>
      </w:r>
      <w:r w:rsidR="00E8781B">
        <w:t>o achieve the assigned revenue.</w:t>
      </w:r>
      <w:r w:rsidRPr="00E8781B">
        <w:t xml:space="preserve"> The proposed rates from basic, demand and volumetric charges are provided in </w:t>
      </w:r>
      <w:r w:rsidR="00E22C54">
        <w:t xml:space="preserve">pages 3 through </w:t>
      </w:r>
      <w:r w:rsidR="00A10F73">
        <w:t xml:space="preserve">13 </w:t>
      </w:r>
      <w:r w:rsidR="00E22C54">
        <w:t xml:space="preserve">of </w:t>
      </w:r>
      <w:r w:rsidRPr="00E8781B">
        <w:t>Exhibit No. </w:t>
      </w:r>
      <w:r w:rsidRPr="00E8781B">
        <w:rPr>
          <w:rStyle w:val="Strong"/>
          <w:b w:val="0"/>
        </w:rPr>
        <w:t>___(</w:t>
      </w:r>
      <w:r w:rsidRPr="00E8781B">
        <w:t>J</w:t>
      </w:r>
      <w:r w:rsidR="00C6667C" w:rsidRPr="00E8781B">
        <w:t>A</w:t>
      </w:r>
      <w:r w:rsidRPr="00E8781B">
        <w:t>P-</w:t>
      </w:r>
      <w:r w:rsidR="00E22C54">
        <w:fldChar w:fldCharType="begin"/>
      </w:r>
      <w:r w:rsidR="00E22C54">
        <w:instrText xml:space="preserve"> REF _Ref441673102 \r \h </w:instrText>
      </w:r>
      <w:r w:rsidR="00E22C54">
        <w:fldChar w:fldCharType="separate"/>
      </w:r>
      <w:r w:rsidR="0035666C">
        <w:t>24</w:t>
      </w:r>
      <w:r w:rsidR="00E22C54">
        <w:fldChar w:fldCharType="end"/>
      </w:r>
      <w:r w:rsidRPr="00E8781B">
        <w:t>).</w:t>
      </w:r>
    </w:p>
    <w:p w:rsidR="00D463A0" w:rsidRPr="009075DC" w:rsidRDefault="00D463A0" w:rsidP="00D463A0">
      <w:pPr>
        <w:pStyle w:val="question"/>
        <w:widowControl w:val="0"/>
        <w:rPr>
          <w:rFonts w:eastAsia="SimSun"/>
        </w:rPr>
      </w:pPr>
      <w:r w:rsidRPr="009075DC">
        <w:rPr>
          <w:rFonts w:eastAsia="SimSun"/>
        </w:rPr>
        <w:t>Q.</w:t>
      </w:r>
      <w:r w:rsidRPr="009075DC">
        <w:rPr>
          <w:rFonts w:eastAsia="SimSun"/>
        </w:rPr>
        <w:tab/>
        <w:t xml:space="preserve">Has PSE prepared </w:t>
      </w:r>
      <w:r>
        <w:rPr>
          <w:rFonts w:eastAsia="SimSun"/>
        </w:rPr>
        <w:t xml:space="preserve">new gas </w:t>
      </w:r>
      <w:r w:rsidRPr="009075DC">
        <w:rPr>
          <w:rFonts w:eastAsia="SimSun"/>
        </w:rPr>
        <w:t xml:space="preserve">tariff schedules based upon the </w:t>
      </w:r>
      <w:r>
        <w:rPr>
          <w:rFonts w:eastAsia="SimSun"/>
        </w:rPr>
        <w:t xml:space="preserve">gas </w:t>
      </w:r>
      <w:r w:rsidRPr="009075DC">
        <w:rPr>
          <w:rFonts w:eastAsia="SimSun"/>
        </w:rPr>
        <w:t>cost of service study results and consistent with its rate design proposals in this case?</w:t>
      </w:r>
    </w:p>
    <w:p w:rsidR="00D463A0" w:rsidRPr="009075DC" w:rsidRDefault="00D463A0" w:rsidP="00D463A0">
      <w:pPr>
        <w:pStyle w:val="answer"/>
        <w:widowControl w:val="0"/>
        <w:rPr>
          <w:rFonts w:eastAsia="SimSun"/>
        </w:rPr>
      </w:pPr>
      <w:r w:rsidRPr="009075DC">
        <w:rPr>
          <w:rFonts w:eastAsia="SimSun"/>
        </w:rPr>
        <w:t>A.</w:t>
      </w:r>
      <w:r w:rsidRPr="009075DC">
        <w:rPr>
          <w:rFonts w:eastAsia="SimSun"/>
        </w:rPr>
        <w:tab/>
        <w:t xml:space="preserve">Yes, the proposed </w:t>
      </w:r>
      <w:r>
        <w:rPr>
          <w:rFonts w:eastAsia="SimSun"/>
        </w:rPr>
        <w:t xml:space="preserve">gas base </w:t>
      </w:r>
      <w:r w:rsidRPr="009075DC">
        <w:rPr>
          <w:rFonts w:eastAsia="SimSun"/>
        </w:rPr>
        <w:t>tariff schedules are presented in Exhibit No. ___(JAP-</w:t>
      </w:r>
      <w:r w:rsidR="003B5556">
        <w:rPr>
          <w:rFonts w:eastAsia="SimSun"/>
        </w:rPr>
        <w:fldChar w:fldCharType="begin"/>
      </w:r>
      <w:r w:rsidR="003B5556">
        <w:rPr>
          <w:rFonts w:eastAsia="SimSun"/>
        </w:rPr>
        <w:instrText xml:space="preserve"> REF _Ref441673197 \r \h </w:instrText>
      </w:r>
      <w:r w:rsidR="003B5556">
        <w:rPr>
          <w:rFonts w:eastAsia="SimSun"/>
        </w:rPr>
      </w:r>
      <w:r w:rsidR="003B5556">
        <w:rPr>
          <w:rFonts w:eastAsia="SimSun"/>
        </w:rPr>
        <w:fldChar w:fldCharType="separate"/>
      </w:r>
      <w:r w:rsidR="0035666C">
        <w:rPr>
          <w:rFonts w:eastAsia="SimSun"/>
        </w:rPr>
        <w:t>25</w:t>
      </w:r>
      <w:r w:rsidR="003B5556">
        <w:rPr>
          <w:rFonts w:eastAsia="SimSun"/>
        </w:rPr>
        <w:fldChar w:fldCharType="end"/>
      </w:r>
      <w:r w:rsidRPr="009075DC">
        <w:rPr>
          <w:rFonts w:eastAsia="SimSun"/>
        </w:rPr>
        <w:t xml:space="preserve">).  </w:t>
      </w:r>
    </w:p>
    <w:p w:rsidR="00CA6C90" w:rsidRDefault="00CA6C90" w:rsidP="00C216CC">
      <w:pPr>
        <w:pStyle w:val="answer"/>
        <w:rPr>
          <w:rFonts w:eastAsia="SimSun"/>
        </w:rPr>
      </w:pPr>
    </w:p>
    <w:p w:rsidR="00E96B31" w:rsidRPr="009075DC" w:rsidRDefault="00E96B31" w:rsidP="00E96B31">
      <w:pPr>
        <w:pStyle w:val="Heading3"/>
        <w:keepNext w:val="0"/>
        <w:keepLines w:val="0"/>
        <w:widowControl w:val="0"/>
        <w:rPr>
          <w:rFonts w:eastAsia="SimSun"/>
        </w:rPr>
      </w:pPr>
      <w:bookmarkStart w:id="151" w:name="_Toc471912964"/>
      <w:r>
        <w:rPr>
          <w:rFonts w:eastAsia="SimSun"/>
          <w:u w:val="none"/>
        </w:rPr>
        <w:lastRenderedPageBreak/>
        <w:t>1</w:t>
      </w:r>
      <w:r w:rsidRPr="009075DC">
        <w:rPr>
          <w:rFonts w:eastAsia="SimSun"/>
          <w:u w:val="none"/>
        </w:rPr>
        <w:t>.</w:t>
      </w:r>
      <w:r w:rsidRPr="009075DC">
        <w:rPr>
          <w:rFonts w:eastAsia="SimSun"/>
          <w:u w:val="none"/>
        </w:rPr>
        <w:tab/>
      </w:r>
      <w:r>
        <w:rPr>
          <w:rFonts w:eastAsia="SimSun"/>
        </w:rPr>
        <w:t>Residential Gas Rate Design</w:t>
      </w:r>
      <w:bookmarkEnd w:id="151"/>
    </w:p>
    <w:p w:rsidR="00E02CD1" w:rsidRPr="003B5206" w:rsidRDefault="00E02CD1" w:rsidP="00E02CD1">
      <w:pPr>
        <w:pStyle w:val="question"/>
        <w:keepLines/>
        <w:widowControl w:val="0"/>
        <w:spacing w:before="120"/>
      </w:pPr>
      <w:r w:rsidRPr="003B5206">
        <w:t>Q.</w:t>
      </w:r>
      <w:r w:rsidRPr="003B5206">
        <w:tab/>
        <w:t xml:space="preserve">Please describe the residential </w:t>
      </w:r>
      <w:r w:rsidR="00C6667C">
        <w:t xml:space="preserve">natural gas </w:t>
      </w:r>
      <w:r w:rsidRPr="003B5206">
        <w:t>basic charge.</w:t>
      </w:r>
    </w:p>
    <w:p w:rsidR="00E02CD1" w:rsidRPr="003B5206" w:rsidRDefault="00E02CD1" w:rsidP="00E02CD1">
      <w:pPr>
        <w:pStyle w:val="answer"/>
        <w:widowControl w:val="0"/>
      </w:pPr>
      <w:r w:rsidRPr="003B5206">
        <w:t>A.</w:t>
      </w:r>
      <w:r w:rsidRPr="003B5206">
        <w:tab/>
        <w:t xml:space="preserve">The residential natural gas basic charge is applied to customer </w:t>
      </w:r>
      <w:r w:rsidR="00AE3CC8">
        <w:t xml:space="preserve">bills </w:t>
      </w:r>
      <w:r w:rsidRPr="003B5206">
        <w:t>each month.  The residential basic charge for gas service of $10.</w:t>
      </w:r>
      <w:r w:rsidR="00C6667C">
        <w:t>34</w:t>
      </w:r>
      <w:r w:rsidRPr="003B5206">
        <w:t xml:space="preserve"> is currently set below the $</w:t>
      </w:r>
      <w:r w:rsidR="00C5786C">
        <w:t>15.62</w:t>
      </w:r>
      <w:r w:rsidRPr="003B5206">
        <w:t xml:space="preserve"> cost of providing this service. </w:t>
      </w:r>
    </w:p>
    <w:p w:rsidR="00E02CD1" w:rsidRPr="003B5206" w:rsidRDefault="00E02CD1" w:rsidP="00E02CD1">
      <w:pPr>
        <w:pStyle w:val="question"/>
        <w:keepLines/>
        <w:widowControl w:val="0"/>
        <w:spacing w:before="120"/>
      </w:pPr>
      <w:r w:rsidRPr="003B5206">
        <w:t>Q.</w:t>
      </w:r>
      <w:r w:rsidRPr="003B5206">
        <w:tab/>
        <w:t xml:space="preserve">What costs are identified as customer-related in </w:t>
      </w:r>
      <w:r w:rsidR="00C6667C">
        <w:t>PSE’s gas</w:t>
      </w:r>
      <w:r w:rsidRPr="003B5206">
        <w:t xml:space="preserve"> cost of service study?</w:t>
      </w:r>
    </w:p>
    <w:p w:rsidR="00E02CD1" w:rsidRPr="003B5206" w:rsidRDefault="00E02CD1" w:rsidP="00E02CD1">
      <w:pPr>
        <w:pStyle w:val="answer"/>
        <w:widowControl w:val="0"/>
      </w:pPr>
      <w:r w:rsidRPr="003B5206">
        <w:t>A.</w:t>
      </w:r>
      <w:r w:rsidRPr="003B5206">
        <w:tab/>
        <w:t xml:space="preserve">PSE’s </w:t>
      </w:r>
      <w:r w:rsidR="00C6667C">
        <w:t xml:space="preserve">gas </w:t>
      </w:r>
      <w:r w:rsidRPr="003B5206">
        <w:t>cost of service study includes the costs of service lines, meters and regulators and related installation, a portion of general plant, operating and maintenance costs associated with these plant items, customer accounts expenses, a portion of administrative and general costs, and related taxes.</w:t>
      </w:r>
    </w:p>
    <w:p w:rsidR="00E02CD1" w:rsidRPr="003B5206" w:rsidRDefault="00E02CD1" w:rsidP="00E02CD1">
      <w:pPr>
        <w:pStyle w:val="question"/>
        <w:keepLines/>
        <w:widowControl w:val="0"/>
        <w:spacing w:before="120"/>
      </w:pPr>
      <w:r w:rsidRPr="003B5206">
        <w:t>Q.</w:t>
      </w:r>
      <w:r w:rsidRPr="003B5206">
        <w:tab/>
        <w:t xml:space="preserve">Do these customer-related costs include all fixed </w:t>
      </w:r>
      <w:r w:rsidR="00C6667C">
        <w:t xml:space="preserve">gas </w:t>
      </w:r>
      <w:r w:rsidRPr="003B5206">
        <w:t>delivery costs?</w:t>
      </w:r>
    </w:p>
    <w:p w:rsidR="00E02CD1" w:rsidRPr="003B5206" w:rsidRDefault="00E02CD1" w:rsidP="00E02CD1">
      <w:pPr>
        <w:pStyle w:val="answer"/>
        <w:widowControl w:val="0"/>
      </w:pPr>
      <w:r w:rsidRPr="003B5206">
        <w:t>A.</w:t>
      </w:r>
      <w:r w:rsidRPr="003B5206">
        <w:tab/>
        <w:t xml:space="preserve">No.  They only include those delivery costs that have been identified as customer-related in the </w:t>
      </w:r>
      <w:r w:rsidR="00C6667C">
        <w:t xml:space="preserve">gas </w:t>
      </w:r>
      <w:r w:rsidRPr="003B5206">
        <w:t>cost of service study.  Most other delivery costs have been identified as demand-related, which means they vary with the capacity of the distribution system, although most of these costs will continue to be recovered through volumetric rates under PSE’s proposal.  These costs are also fixed, but they are not included in the $</w:t>
      </w:r>
      <w:r w:rsidR="00C5786C">
        <w:t>15.62</w:t>
      </w:r>
      <w:r w:rsidRPr="003B5206">
        <w:t xml:space="preserve"> per month of customer-related costs.  If all fixed </w:t>
      </w:r>
      <w:r w:rsidR="00C6667C">
        <w:t xml:space="preserve">gas </w:t>
      </w:r>
      <w:r w:rsidRPr="003B5206">
        <w:t xml:space="preserve">distribution costs were included in a monthly basic charge the rate would be considerably higher. </w:t>
      </w:r>
    </w:p>
    <w:p w:rsidR="00B45BFA" w:rsidRDefault="00B45BFA" w:rsidP="00E02CD1">
      <w:pPr>
        <w:pStyle w:val="question"/>
        <w:keepLines/>
        <w:widowControl w:val="0"/>
        <w:spacing w:before="120"/>
      </w:pPr>
    </w:p>
    <w:p w:rsidR="00E02CD1" w:rsidRPr="003B5206" w:rsidRDefault="00E02CD1" w:rsidP="00E02CD1">
      <w:pPr>
        <w:pStyle w:val="question"/>
        <w:keepLines/>
        <w:widowControl w:val="0"/>
        <w:spacing w:before="120"/>
      </w:pPr>
      <w:r w:rsidRPr="003B5206">
        <w:lastRenderedPageBreak/>
        <w:t>Q.</w:t>
      </w:r>
      <w:r w:rsidRPr="003B5206">
        <w:tab/>
        <w:t xml:space="preserve">What changes does PSE propose to the residential </w:t>
      </w:r>
      <w:r w:rsidR="00C6667C">
        <w:t xml:space="preserve">gas </w:t>
      </w:r>
      <w:r w:rsidRPr="003B5206">
        <w:t xml:space="preserve">basic charge? </w:t>
      </w:r>
    </w:p>
    <w:p w:rsidR="00E02CD1" w:rsidRPr="003B5206" w:rsidRDefault="00E02CD1" w:rsidP="00E02CD1">
      <w:pPr>
        <w:pStyle w:val="answer"/>
        <w:widowControl w:val="0"/>
      </w:pPr>
      <w:r w:rsidRPr="003B5206">
        <w:t>A.</w:t>
      </w:r>
      <w:r w:rsidRPr="003B5206">
        <w:tab/>
        <w:t xml:space="preserve">Applying the proposed equal percentage increase to the residential class will increase the monthly basic charge to </w:t>
      </w:r>
      <w:r w:rsidRPr="00AE3CC8">
        <w:t>$</w:t>
      </w:r>
      <w:r w:rsidR="00A67509" w:rsidRPr="00AE3CC8">
        <w:t>11.00</w:t>
      </w:r>
      <w:r w:rsidRPr="003B5206">
        <w:t xml:space="preserve"> from its current rate of $10.</w:t>
      </w:r>
      <w:r w:rsidR="00C6667C">
        <w:t>34</w:t>
      </w:r>
      <w:r w:rsidR="0043239C">
        <w:t xml:space="preserve">, or $10.29 including </w:t>
      </w:r>
      <w:r w:rsidR="005642B7">
        <w:t xml:space="preserve">the </w:t>
      </w:r>
      <w:r w:rsidR="0043239C">
        <w:t>Schedule 141</w:t>
      </w:r>
      <w:r w:rsidR="005642B7">
        <w:t xml:space="preserve"> rate decrease for natural gas</w:t>
      </w:r>
      <w:r w:rsidRPr="003B5206">
        <w:t>.</w:t>
      </w:r>
    </w:p>
    <w:p w:rsidR="0043239C" w:rsidRDefault="0043239C" w:rsidP="00E02CD1">
      <w:pPr>
        <w:pStyle w:val="question"/>
        <w:keepLines/>
        <w:widowControl w:val="0"/>
        <w:spacing w:before="120"/>
      </w:pPr>
      <w:bookmarkStart w:id="152" w:name="RANGE!A2:F9"/>
      <w:bookmarkEnd w:id="152"/>
      <w:r>
        <w:t>Q.</w:t>
      </w:r>
      <w:r>
        <w:tab/>
        <w:t>Is this proposed increase reasonable?</w:t>
      </w:r>
    </w:p>
    <w:p w:rsidR="0043239C" w:rsidRDefault="0043239C" w:rsidP="0043239C">
      <w:pPr>
        <w:pStyle w:val="answer"/>
      </w:pPr>
      <w:r>
        <w:t>A.</w:t>
      </w:r>
      <w:r>
        <w:tab/>
        <w:t xml:space="preserve">Yes, </w:t>
      </w:r>
      <w:r w:rsidR="005642B7">
        <w:t xml:space="preserve">this increase is reasonable </w:t>
      </w:r>
      <w:r>
        <w:t>for many of the same reasons the proposed increase to the residential electric basic charge is reasonable.</w:t>
      </w:r>
    </w:p>
    <w:p w:rsidR="0043239C" w:rsidRDefault="0043239C" w:rsidP="0043239C">
      <w:pPr>
        <w:pStyle w:val="answer"/>
        <w:ind w:firstLine="0"/>
        <w:rPr>
          <w:rFonts w:eastAsia="SimSun"/>
        </w:rPr>
      </w:pPr>
      <w:r>
        <w:rPr>
          <w:rFonts w:eastAsia="SimSun"/>
        </w:rPr>
        <w:t xml:space="preserve">First, the current overall residential basic monthly charge of $10.29 per month, inclusive of Schedule 141, is based on a test year ending June 2012.  So, as with the electric </w:t>
      </w:r>
      <w:r w:rsidR="005642B7">
        <w:rPr>
          <w:rFonts w:eastAsia="SimSun"/>
        </w:rPr>
        <w:t xml:space="preserve">basic </w:t>
      </w:r>
      <w:r>
        <w:rPr>
          <w:rFonts w:eastAsia="SimSun"/>
        </w:rPr>
        <w:t xml:space="preserve">charge, it is reasonable to expect there would have been cost growth in the intervening time.  </w:t>
      </w:r>
    </w:p>
    <w:p w:rsidR="0043239C" w:rsidRDefault="00132447" w:rsidP="0043239C">
      <w:pPr>
        <w:pStyle w:val="answer"/>
        <w:ind w:firstLine="0"/>
        <w:rPr>
          <w:rFonts w:eastAsia="SimSun"/>
        </w:rPr>
      </w:pPr>
      <w:r>
        <w:rPr>
          <w:rFonts w:eastAsia="SimSun"/>
        </w:rPr>
        <w:t>Second</w:t>
      </w:r>
      <w:r w:rsidR="0043239C">
        <w:rPr>
          <w:rFonts w:eastAsia="SimSun"/>
        </w:rPr>
        <w:t xml:space="preserve">, as noted earlier, PSE’s </w:t>
      </w:r>
      <w:r>
        <w:rPr>
          <w:rFonts w:eastAsia="SimSun"/>
        </w:rPr>
        <w:t xml:space="preserve">gas </w:t>
      </w:r>
      <w:r w:rsidR="0043239C">
        <w:rPr>
          <w:rFonts w:eastAsia="SimSun"/>
        </w:rPr>
        <w:t xml:space="preserve">cost of service study in this filing supports a basic charge </w:t>
      </w:r>
      <w:r w:rsidR="00A67509">
        <w:rPr>
          <w:rFonts w:eastAsia="SimSun"/>
        </w:rPr>
        <w:t xml:space="preserve">over </w:t>
      </w:r>
      <w:r w:rsidR="0043239C">
        <w:rPr>
          <w:rFonts w:eastAsia="SimSun"/>
        </w:rPr>
        <w:t>$</w:t>
      </w:r>
      <w:r w:rsidR="00C5786C">
        <w:rPr>
          <w:rFonts w:eastAsia="SimSun"/>
        </w:rPr>
        <w:t>5</w:t>
      </w:r>
      <w:r w:rsidR="0043239C">
        <w:rPr>
          <w:rFonts w:eastAsia="SimSun"/>
        </w:rPr>
        <w:t xml:space="preserve"> per month higher than </w:t>
      </w:r>
      <w:r w:rsidR="005642B7">
        <w:rPr>
          <w:rFonts w:eastAsia="SimSun"/>
        </w:rPr>
        <w:t xml:space="preserve">the basic charge </w:t>
      </w:r>
      <w:r w:rsidR="0043239C">
        <w:rPr>
          <w:rFonts w:eastAsia="SimSun"/>
        </w:rPr>
        <w:t xml:space="preserve">proposed in this filing.  </w:t>
      </w:r>
    </w:p>
    <w:p w:rsidR="0043239C" w:rsidRDefault="00132447" w:rsidP="0043239C">
      <w:pPr>
        <w:pStyle w:val="answer"/>
        <w:ind w:firstLine="0"/>
        <w:rPr>
          <w:rFonts w:eastAsia="SimSun"/>
        </w:rPr>
      </w:pPr>
      <w:r>
        <w:rPr>
          <w:rFonts w:eastAsia="SimSun"/>
        </w:rPr>
        <w:t>Third</w:t>
      </w:r>
      <w:r w:rsidR="0043239C">
        <w:rPr>
          <w:rFonts w:eastAsia="SimSun"/>
        </w:rPr>
        <w:t xml:space="preserve">, PSE has had a rate plan in effect since July 1, 2013 that provided for </w:t>
      </w:r>
      <w:r w:rsidR="00A67509">
        <w:rPr>
          <w:rFonts w:eastAsia="SimSun"/>
        </w:rPr>
        <w:t>2.2</w:t>
      </w:r>
      <w:r w:rsidR="0043239C">
        <w:rPr>
          <w:rFonts w:eastAsia="SimSun"/>
        </w:rPr>
        <w:t xml:space="preserve"> percent annual increases to allowed delivery revenue for </w:t>
      </w:r>
      <w:r w:rsidR="00A67509">
        <w:rPr>
          <w:rFonts w:eastAsia="SimSun"/>
        </w:rPr>
        <w:t xml:space="preserve">gas </w:t>
      </w:r>
      <w:r w:rsidR="0043239C">
        <w:rPr>
          <w:rFonts w:eastAsia="SimSun"/>
        </w:rPr>
        <w:t xml:space="preserve">service. However, as a compromise in the development of its decoupling mechanism, PSE has recovered 100 percent of these annual revenue increases through volumetric charges rather than being spread across all rate components, including the basic charge.  Had the </w:t>
      </w:r>
      <w:r w:rsidR="00A67509">
        <w:rPr>
          <w:rFonts w:eastAsia="SimSun"/>
        </w:rPr>
        <w:t>2.2</w:t>
      </w:r>
      <w:r w:rsidR="0043239C">
        <w:rPr>
          <w:rFonts w:eastAsia="SimSun"/>
        </w:rPr>
        <w:t xml:space="preserve"> percent increases been applied to </w:t>
      </w:r>
      <w:r w:rsidR="005642B7">
        <w:rPr>
          <w:rFonts w:eastAsia="SimSun"/>
        </w:rPr>
        <w:t xml:space="preserve">the </w:t>
      </w:r>
      <w:r w:rsidR="0043239C">
        <w:rPr>
          <w:rFonts w:eastAsia="SimSun"/>
        </w:rPr>
        <w:t>basic charge, the basic charge that will be in effect in 2017 would have been $</w:t>
      </w:r>
      <w:r w:rsidR="00A67509">
        <w:rPr>
          <w:rFonts w:eastAsia="SimSun"/>
        </w:rPr>
        <w:t>11.47</w:t>
      </w:r>
      <w:r w:rsidR="0043239C">
        <w:rPr>
          <w:rFonts w:eastAsia="SimSun"/>
        </w:rPr>
        <w:t xml:space="preserve"> per month.  </w:t>
      </w:r>
    </w:p>
    <w:p w:rsidR="0043239C" w:rsidRPr="0043239C" w:rsidRDefault="0043239C" w:rsidP="00A67509">
      <w:pPr>
        <w:pStyle w:val="answer"/>
        <w:ind w:firstLine="0"/>
      </w:pPr>
      <w:r>
        <w:rPr>
          <w:rFonts w:eastAsia="SimSun"/>
        </w:rPr>
        <w:lastRenderedPageBreak/>
        <w:t>A</w:t>
      </w:r>
      <w:r w:rsidR="00A67509">
        <w:rPr>
          <w:rFonts w:eastAsia="SimSun"/>
        </w:rPr>
        <w:t xml:space="preserve">gain, as in the case of the electric </w:t>
      </w:r>
      <w:r w:rsidR="005642B7">
        <w:rPr>
          <w:rFonts w:eastAsia="SimSun"/>
        </w:rPr>
        <w:t xml:space="preserve">basic </w:t>
      </w:r>
      <w:r w:rsidR="00A67509">
        <w:rPr>
          <w:rFonts w:eastAsia="SimSun"/>
        </w:rPr>
        <w:t>charge</w:t>
      </w:r>
      <w:r>
        <w:rPr>
          <w:rFonts w:eastAsia="SimSun"/>
        </w:rPr>
        <w:t>, in deference to the issues routinely raised by low-income and environmental advocates that argue for restraint on increases to the monthly basic residential charge, PSE is proposing a more modest increase</w:t>
      </w:r>
      <w:r w:rsidR="005642B7">
        <w:rPr>
          <w:rFonts w:eastAsia="SimSun"/>
        </w:rPr>
        <w:t xml:space="preserve"> than the increase that is supported by the gas cost of service study and the other factors discussed above</w:t>
      </w:r>
      <w:r>
        <w:rPr>
          <w:rFonts w:eastAsia="SimSun"/>
        </w:rPr>
        <w:t>.</w:t>
      </w:r>
    </w:p>
    <w:p w:rsidR="00E02CD1" w:rsidRPr="00C26681" w:rsidRDefault="00E02CD1" w:rsidP="00E02CD1">
      <w:pPr>
        <w:pStyle w:val="question"/>
        <w:keepLines/>
        <w:widowControl w:val="0"/>
        <w:spacing w:before="120"/>
      </w:pPr>
      <w:r w:rsidRPr="003B5206">
        <w:t>Q.</w:t>
      </w:r>
      <w:r w:rsidRPr="003B5206">
        <w:tab/>
        <w:t xml:space="preserve">How do PSE’s </w:t>
      </w:r>
      <w:r w:rsidR="0003603B">
        <w:t xml:space="preserve">residential gas </w:t>
      </w:r>
      <w:r w:rsidRPr="003B5206">
        <w:t>basic charges compare to</w:t>
      </w:r>
      <w:r w:rsidR="0038685C">
        <w:t xml:space="preserve"> the minimum monthly charges for residential customers </w:t>
      </w:r>
      <w:r w:rsidRPr="003B5206">
        <w:t xml:space="preserve">of other </w:t>
      </w:r>
      <w:r w:rsidRPr="00C26681">
        <w:t>utilities?</w:t>
      </w:r>
    </w:p>
    <w:p w:rsidR="00E02CD1" w:rsidRDefault="00E02CD1" w:rsidP="00E02CD1">
      <w:pPr>
        <w:pStyle w:val="answer"/>
        <w:widowControl w:val="0"/>
      </w:pPr>
      <w:r w:rsidRPr="00C26681">
        <w:t>A.</w:t>
      </w:r>
      <w:r w:rsidRPr="00C26681">
        <w:tab/>
        <w:t>Exhibit No. ___(J</w:t>
      </w:r>
      <w:r w:rsidR="00C6667C" w:rsidRPr="00C26681">
        <w:t>A</w:t>
      </w:r>
      <w:r w:rsidRPr="00C26681">
        <w:t>P-</w:t>
      </w:r>
      <w:r w:rsidR="003B5556" w:rsidRPr="00C26681">
        <w:fldChar w:fldCharType="begin"/>
      </w:r>
      <w:r w:rsidR="003B5556" w:rsidRPr="00C26681">
        <w:instrText xml:space="preserve"> REF _Ref441673127 \r \h </w:instrText>
      </w:r>
      <w:r w:rsidR="00525D2A" w:rsidRPr="00C26681">
        <w:instrText xml:space="preserve"> \* MERGEFORMAT </w:instrText>
      </w:r>
      <w:r w:rsidR="003B5556" w:rsidRPr="00C26681">
        <w:fldChar w:fldCharType="separate"/>
      </w:r>
      <w:r w:rsidR="0035666C">
        <w:t>26</w:t>
      </w:r>
      <w:r w:rsidR="003B5556" w:rsidRPr="00C26681">
        <w:fldChar w:fldCharType="end"/>
      </w:r>
      <w:r w:rsidR="009D1F78" w:rsidRPr="00C26681">
        <w:t>)</w:t>
      </w:r>
      <w:r w:rsidRPr="00C26681">
        <w:t xml:space="preserve"> contains a comparison of </w:t>
      </w:r>
      <w:r w:rsidR="0038685C">
        <w:t xml:space="preserve">the monthly minimum </w:t>
      </w:r>
      <w:r w:rsidRPr="00C26681">
        <w:t xml:space="preserve">charges and percentile rankings for residential service from </w:t>
      </w:r>
      <w:r w:rsidR="00E22C54">
        <w:t>92</w:t>
      </w:r>
      <w:r w:rsidRPr="00C26681">
        <w:t xml:space="preserve"> natural gas distribution utilities throughout the country.  Th</w:t>
      </w:r>
      <w:r w:rsidR="00C26681" w:rsidRPr="00C26681">
        <w:t>is</w:t>
      </w:r>
      <w:r w:rsidRPr="00C26681">
        <w:t xml:space="preserve"> data </w:t>
      </w:r>
      <w:r w:rsidR="00C26681" w:rsidRPr="00C26681">
        <w:t xml:space="preserve">was compiled by </w:t>
      </w:r>
      <w:r w:rsidRPr="00C26681">
        <w:t>the American Gas Association</w:t>
      </w:r>
      <w:r w:rsidR="00C26681" w:rsidRPr="00C26681">
        <w:t xml:space="preserve"> for its member utilities</w:t>
      </w:r>
      <w:r w:rsidRPr="00C26681">
        <w:t xml:space="preserve">.  These utilities represent all areas of the contiguous United States and are a comprehensive group for comparison purposes.  The average </w:t>
      </w:r>
      <w:r w:rsidR="00C26681" w:rsidRPr="00C26681">
        <w:t xml:space="preserve">gas residential </w:t>
      </w:r>
      <w:r w:rsidRPr="00C26681">
        <w:t>basic charge is $1</w:t>
      </w:r>
      <w:r w:rsidR="00E22C54">
        <w:t>5.07</w:t>
      </w:r>
      <w:r w:rsidRPr="00C26681">
        <w:t xml:space="preserve"> per month.  By comparison, PSE’s current residential basic charge of $10.</w:t>
      </w:r>
      <w:r w:rsidR="00C26681" w:rsidRPr="00C26681">
        <w:t>29</w:t>
      </w:r>
      <w:r w:rsidRPr="00C26681">
        <w:t xml:space="preserve"> per month is in the </w:t>
      </w:r>
      <w:r w:rsidR="00E22C54">
        <w:t>25</w:t>
      </w:r>
      <w:r w:rsidRPr="00C26681">
        <w:rPr>
          <w:vertAlign w:val="superscript"/>
        </w:rPr>
        <w:t>th</w:t>
      </w:r>
      <w:r w:rsidRPr="00C26681">
        <w:t xml:space="preserve"> percentile of the </w:t>
      </w:r>
      <w:r w:rsidR="00E22C54">
        <w:t>92</w:t>
      </w:r>
      <w:r w:rsidRPr="00C26681">
        <w:t xml:space="preserve"> companies.  In other words, </w:t>
      </w:r>
      <w:r w:rsidR="00C26681" w:rsidRPr="00C26681">
        <w:t>7</w:t>
      </w:r>
      <w:r w:rsidR="00E22C54">
        <w:t>5</w:t>
      </w:r>
      <w:r w:rsidRPr="00C26681">
        <w:t xml:space="preserve"> percent of the other </w:t>
      </w:r>
      <w:r w:rsidR="00C26681" w:rsidRPr="00C26681">
        <w:t xml:space="preserve">surveyed </w:t>
      </w:r>
      <w:r w:rsidRPr="00C26681">
        <w:t>gas distribution companies have residential basic charges higher than PSE’s charge.</w:t>
      </w:r>
      <w:r w:rsidR="00C26681" w:rsidRPr="00C26681">
        <w:t xml:space="preserve">  PSE’s</w:t>
      </w:r>
      <w:r w:rsidR="00C26681">
        <w:t xml:space="preserve"> proposed residential basic charge of $11.00 per month would only put PSE in the </w:t>
      </w:r>
      <w:r w:rsidR="00E22C54">
        <w:t>27</w:t>
      </w:r>
      <w:r w:rsidR="00C26681" w:rsidRPr="00C26681">
        <w:rPr>
          <w:vertAlign w:val="superscript"/>
        </w:rPr>
        <w:t>th</w:t>
      </w:r>
      <w:r w:rsidR="00C26681">
        <w:t xml:space="preserve"> percentile, with </w:t>
      </w:r>
      <w:r w:rsidR="00E22C54">
        <w:t>73</w:t>
      </w:r>
      <w:r w:rsidR="00C26681">
        <w:t xml:space="preserve"> percent of the other utilities still having higher basic charges.</w:t>
      </w:r>
    </w:p>
    <w:p w:rsidR="00E96B31" w:rsidRPr="003B5206" w:rsidRDefault="00E96B31" w:rsidP="00E96B31">
      <w:pPr>
        <w:pStyle w:val="question"/>
        <w:keepLines/>
        <w:widowControl w:val="0"/>
        <w:spacing w:before="120"/>
      </w:pPr>
      <w:r w:rsidRPr="003B5206">
        <w:t>Q.</w:t>
      </w:r>
      <w:r w:rsidRPr="003B5206">
        <w:tab/>
        <w:t>What are the proposed rates for</w:t>
      </w:r>
      <w:r>
        <w:t xml:space="preserve"> r</w:t>
      </w:r>
      <w:r w:rsidRPr="003B5206">
        <w:t xml:space="preserve">esidential </w:t>
      </w:r>
      <w:r>
        <w:t xml:space="preserve">gas </w:t>
      </w:r>
      <w:r w:rsidRPr="003B5206">
        <w:t>Schedule 23?</w:t>
      </w:r>
    </w:p>
    <w:p w:rsidR="00E96B31" w:rsidRPr="003B5206" w:rsidRDefault="00E96B31" w:rsidP="00E96B31">
      <w:pPr>
        <w:pStyle w:val="answer"/>
        <w:widowControl w:val="0"/>
      </w:pPr>
      <w:r w:rsidRPr="003B5206">
        <w:t>A.</w:t>
      </w:r>
      <w:r w:rsidRPr="003B5206">
        <w:tab/>
      </w:r>
      <w:r>
        <w:t xml:space="preserve">PSE proposes to increase the residential </w:t>
      </w:r>
      <w:r w:rsidRPr="003B5206">
        <w:t>basic charge from $10.</w:t>
      </w:r>
      <w:r>
        <w:t>34</w:t>
      </w:r>
      <w:r w:rsidRPr="003B5206">
        <w:t xml:space="preserve"> to $</w:t>
      </w:r>
      <w:r w:rsidR="00C26681" w:rsidRPr="00C26681">
        <w:t>11.00</w:t>
      </w:r>
      <w:r w:rsidRPr="003B5206">
        <w:t xml:space="preserve"> per month and the delivery charge from $0.3</w:t>
      </w:r>
      <w:r>
        <w:t>6492</w:t>
      </w:r>
      <w:r w:rsidRPr="003B5206">
        <w:t xml:space="preserve"> per therm to </w:t>
      </w:r>
      <w:r w:rsidR="00FB4B89">
        <w:t>$0.3</w:t>
      </w:r>
      <w:r w:rsidR="0038685C">
        <w:t>8012</w:t>
      </w:r>
      <w:r w:rsidR="00FB4B89">
        <w:t xml:space="preserve"> </w:t>
      </w:r>
      <w:r w:rsidRPr="003B5206">
        <w:t xml:space="preserve">per therm. </w:t>
      </w:r>
    </w:p>
    <w:p w:rsidR="00E96B31" w:rsidRPr="009075DC" w:rsidRDefault="00E96B31" w:rsidP="00E96B31">
      <w:pPr>
        <w:pStyle w:val="Heading3"/>
        <w:keepNext w:val="0"/>
        <w:keepLines w:val="0"/>
        <w:widowControl w:val="0"/>
        <w:rPr>
          <w:rFonts w:eastAsia="SimSun"/>
        </w:rPr>
      </w:pPr>
      <w:bookmarkStart w:id="153" w:name="_Toc471912965"/>
      <w:r w:rsidRPr="009075DC">
        <w:rPr>
          <w:rFonts w:eastAsia="SimSun"/>
          <w:u w:val="none"/>
        </w:rPr>
        <w:lastRenderedPageBreak/>
        <w:t>2.</w:t>
      </w:r>
      <w:r w:rsidRPr="009075DC">
        <w:rPr>
          <w:rFonts w:eastAsia="SimSun"/>
          <w:u w:val="none"/>
        </w:rPr>
        <w:tab/>
      </w:r>
      <w:r>
        <w:rPr>
          <w:rFonts w:eastAsia="SimSun"/>
        </w:rPr>
        <w:t>Non-Residential Gas Rate Design</w:t>
      </w:r>
      <w:bookmarkEnd w:id="153"/>
    </w:p>
    <w:p w:rsidR="008F2CAF" w:rsidRPr="003B5206" w:rsidRDefault="008F2CAF" w:rsidP="008F2CAF">
      <w:pPr>
        <w:pStyle w:val="question"/>
        <w:keepLines/>
        <w:widowControl w:val="0"/>
        <w:spacing w:before="120"/>
      </w:pPr>
      <w:r w:rsidRPr="003B5206">
        <w:t>Q.</w:t>
      </w:r>
      <w:r w:rsidRPr="003B5206">
        <w:tab/>
        <w:t xml:space="preserve">Does PSE propose any changes to its </w:t>
      </w:r>
      <w:r w:rsidR="00BD0976">
        <w:t xml:space="preserve">non-residential gas </w:t>
      </w:r>
      <w:r w:rsidR="000460D8">
        <w:t>rate design</w:t>
      </w:r>
      <w:r w:rsidRPr="003B5206">
        <w:t>?</w:t>
      </w:r>
    </w:p>
    <w:p w:rsidR="008F2CAF" w:rsidRDefault="008F2CAF" w:rsidP="008F2CAF">
      <w:pPr>
        <w:pStyle w:val="answer"/>
        <w:widowControl w:val="0"/>
        <w:rPr>
          <w:rFonts w:eastAsia="SimSun"/>
        </w:rPr>
      </w:pPr>
      <w:r w:rsidRPr="003B5206">
        <w:t>A.</w:t>
      </w:r>
      <w:r w:rsidRPr="003B5206">
        <w:tab/>
        <w:t xml:space="preserve">Yes.  </w:t>
      </w:r>
      <w:r w:rsidR="00BD0976">
        <w:t xml:space="preserve">PSE is proposing </w:t>
      </w:r>
      <w:r w:rsidR="00390F80">
        <w:t xml:space="preserve">two </w:t>
      </w:r>
      <w:r w:rsidR="00BD0976">
        <w:t xml:space="preserve">changes to its non-residential gas </w:t>
      </w:r>
      <w:r w:rsidR="000460D8">
        <w:t>rate design</w:t>
      </w:r>
      <w:r w:rsidR="00BD0976">
        <w:t xml:space="preserve">.  First, PSE proposes to better align demand charges for non-residential customers with the underlying demand related costs that they are intended to recover.  Second, </w:t>
      </w:r>
      <w:r w:rsidR="00390F80">
        <w:t xml:space="preserve">PSE </w:t>
      </w:r>
      <w:r w:rsidR="00BD0976" w:rsidRPr="00BD0976">
        <w:rPr>
          <w:rFonts w:eastAsia="SimSun"/>
        </w:rPr>
        <w:t xml:space="preserve">proposes </w:t>
      </w:r>
      <w:r w:rsidRPr="00BD0976">
        <w:rPr>
          <w:rFonts w:eastAsia="SimSun"/>
        </w:rPr>
        <w:t xml:space="preserve">to </w:t>
      </w:r>
      <w:r w:rsidR="00C11A4B">
        <w:rPr>
          <w:rFonts w:eastAsia="SimSun"/>
        </w:rPr>
        <w:t>update and realign its procurement charges to better reflect the recovery of these costs of supply</w:t>
      </w:r>
      <w:r w:rsidRPr="00BD0976">
        <w:rPr>
          <w:rFonts w:eastAsia="SimSun"/>
        </w:rPr>
        <w:t xml:space="preserve"> </w:t>
      </w:r>
    </w:p>
    <w:p w:rsidR="00BD0976" w:rsidRDefault="00BD0976" w:rsidP="000D7E04">
      <w:pPr>
        <w:pStyle w:val="Heading4"/>
        <w:rPr>
          <w:rFonts w:eastAsia="SimSun"/>
        </w:rPr>
      </w:pPr>
      <w:bookmarkStart w:id="154" w:name="_Toc471912966"/>
      <w:r>
        <w:rPr>
          <w:rFonts w:eastAsia="SimSun"/>
          <w:u w:val="none"/>
        </w:rPr>
        <w:t>i</w:t>
      </w:r>
      <w:r w:rsidRPr="009075DC">
        <w:rPr>
          <w:rFonts w:eastAsia="SimSun"/>
          <w:u w:val="none"/>
        </w:rPr>
        <w:t>.</w:t>
      </w:r>
      <w:r w:rsidRPr="009075DC">
        <w:rPr>
          <w:rFonts w:eastAsia="SimSun"/>
          <w:u w:val="none"/>
        </w:rPr>
        <w:tab/>
      </w:r>
      <w:r>
        <w:rPr>
          <w:rFonts w:eastAsia="SimSun"/>
        </w:rPr>
        <w:t>Non-Residential Gas Demand Charges</w:t>
      </w:r>
      <w:bookmarkEnd w:id="154"/>
    </w:p>
    <w:p w:rsidR="00514EB9" w:rsidRPr="009075DC" w:rsidRDefault="00514EB9" w:rsidP="00514EB9">
      <w:pPr>
        <w:pStyle w:val="question"/>
        <w:widowControl w:val="0"/>
        <w:rPr>
          <w:rFonts w:eastAsia="SimSun"/>
        </w:rPr>
      </w:pPr>
      <w:r w:rsidRPr="009075DC">
        <w:rPr>
          <w:rFonts w:eastAsia="SimSun"/>
        </w:rPr>
        <w:t>Q.</w:t>
      </w:r>
      <w:r w:rsidRPr="009075DC">
        <w:rPr>
          <w:rFonts w:eastAsia="SimSun"/>
        </w:rPr>
        <w:tab/>
      </w:r>
      <w:r w:rsidR="000969E2">
        <w:rPr>
          <w:rFonts w:eastAsia="SimSun"/>
        </w:rPr>
        <w:t>What are the current demand rates charged by PSE to non-residential gas customers</w:t>
      </w:r>
      <w:r>
        <w:rPr>
          <w:rFonts w:eastAsia="SimSun"/>
        </w:rPr>
        <w:t>?</w:t>
      </w:r>
    </w:p>
    <w:p w:rsidR="00514EB9" w:rsidRDefault="00514EB9" w:rsidP="00514EB9">
      <w:pPr>
        <w:pStyle w:val="answer"/>
        <w:widowControl w:val="0"/>
        <w:rPr>
          <w:rFonts w:eastAsia="SimSun"/>
        </w:rPr>
      </w:pPr>
      <w:r w:rsidRPr="009075DC">
        <w:rPr>
          <w:rFonts w:eastAsia="SimSun"/>
        </w:rPr>
        <w:t>A.</w:t>
      </w:r>
      <w:r w:rsidRPr="009075DC">
        <w:rPr>
          <w:rFonts w:eastAsia="SimSun"/>
        </w:rPr>
        <w:tab/>
      </w:r>
      <w:r w:rsidR="008B6B95">
        <w:rPr>
          <w:rFonts w:eastAsia="SimSun"/>
        </w:rPr>
        <w:t>Non-residential gas customers that have a demand charge on their bill all face the same base demand rate of $1.15 per therm per month.  Depending on the schedule, the billing determinant is based on either (a) their highest daily usage in therms per day from the most recent November 1 through March 31 winter period</w:t>
      </w:r>
      <w:r w:rsidR="00174A67">
        <w:rPr>
          <w:rFonts w:eastAsia="SimSun"/>
        </w:rPr>
        <w:t>,</w:t>
      </w:r>
      <w:r w:rsidR="008B6B95">
        <w:rPr>
          <w:rFonts w:eastAsia="SimSun"/>
        </w:rPr>
        <w:t xml:space="preserve"> or (b) the </w:t>
      </w:r>
      <w:r w:rsidR="009722A3">
        <w:rPr>
          <w:rFonts w:eastAsia="SimSun"/>
        </w:rPr>
        <w:t xml:space="preserve">maximum daily delivery of firm use gas as set forth in the </w:t>
      </w:r>
      <w:r w:rsidR="008B6B95">
        <w:rPr>
          <w:rFonts w:eastAsia="SimSun"/>
        </w:rPr>
        <w:t xml:space="preserve">customer’s </w:t>
      </w:r>
      <w:r w:rsidR="009722A3">
        <w:rPr>
          <w:rFonts w:eastAsia="SimSun"/>
        </w:rPr>
        <w:t>service agreement</w:t>
      </w:r>
      <w:r w:rsidR="008B6B95">
        <w:rPr>
          <w:rFonts w:eastAsia="SimSun"/>
        </w:rPr>
        <w:t>.</w:t>
      </w:r>
    </w:p>
    <w:p w:rsidR="000969E2" w:rsidRPr="009075DC" w:rsidRDefault="000969E2" w:rsidP="000969E2">
      <w:pPr>
        <w:pStyle w:val="question"/>
        <w:widowControl w:val="0"/>
        <w:rPr>
          <w:rFonts w:eastAsia="SimSun"/>
        </w:rPr>
      </w:pPr>
      <w:r w:rsidRPr="009075DC">
        <w:rPr>
          <w:rFonts w:eastAsia="SimSun"/>
        </w:rPr>
        <w:t>Q.</w:t>
      </w:r>
      <w:r w:rsidRPr="009075DC">
        <w:rPr>
          <w:rFonts w:eastAsia="SimSun"/>
        </w:rPr>
        <w:tab/>
      </w:r>
      <w:r>
        <w:rPr>
          <w:rFonts w:eastAsia="SimSun"/>
        </w:rPr>
        <w:t>What are PSE’s proposed demand rate charges for these customers?</w:t>
      </w:r>
    </w:p>
    <w:p w:rsidR="009722A3" w:rsidRDefault="000969E2" w:rsidP="000969E2">
      <w:pPr>
        <w:pStyle w:val="answer"/>
        <w:widowControl w:val="0"/>
        <w:rPr>
          <w:rFonts w:eastAsia="SimSun"/>
        </w:rPr>
      </w:pPr>
      <w:r w:rsidRPr="009075DC">
        <w:rPr>
          <w:rFonts w:eastAsia="SimSun"/>
        </w:rPr>
        <w:t>A.</w:t>
      </w:r>
      <w:r w:rsidRPr="009075DC">
        <w:rPr>
          <w:rFonts w:eastAsia="SimSun"/>
        </w:rPr>
        <w:tab/>
      </w:r>
      <w:r w:rsidR="009722A3">
        <w:rPr>
          <w:rFonts w:eastAsia="SimSun"/>
        </w:rPr>
        <w:t xml:space="preserve">PSE is proposing to charge different demand charges for different pairs of non-residential gas rate schedules.  These proposed rates are summarized in </w:t>
      </w:r>
      <w:r w:rsidR="009722A3" w:rsidRPr="009722A3">
        <w:rPr>
          <w:rFonts w:eastAsia="SimSun"/>
        </w:rPr>
        <w:fldChar w:fldCharType="begin"/>
      </w:r>
      <w:r w:rsidR="009722A3" w:rsidRPr="009722A3">
        <w:rPr>
          <w:rFonts w:eastAsia="SimSun"/>
        </w:rPr>
        <w:instrText xml:space="preserve"> REF _Ref441835342 \h  \* MERGEFORMAT </w:instrText>
      </w:r>
      <w:r w:rsidR="009722A3" w:rsidRPr="009722A3">
        <w:rPr>
          <w:rFonts w:eastAsia="SimSun"/>
        </w:rPr>
      </w:r>
      <w:r w:rsidR="009722A3" w:rsidRPr="009722A3">
        <w:rPr>
          <w:rFonts w:eastAsia="SimSun"/>
        </w:rPr>
        <w:fldChar w:fldCharType="separate"/>
      </w:r>
      <w:r w:rsidR="0035666C" w:rsidRPr="0035666C">
        <w:t xml:space="preserve">Table </w:t>
      </w:r>
      <w:r w:rsidR="0035666C" w:rsidRPr="0035666C">
        <w:rPr>
          <w:noProof/>
        </w:rPr>
        <w:t>11</w:t>
      </w:r>
      <w:r w:rsidR="009722A3" w:rsidRPr="009722A3">
        <w:rPr>
          <w:rFonts w:eastAsia="SimSun"/>
        </w:rPr>
        <w:fldChar w:fldCharType="end"/>
      </w:r>
      <w:r w:rsidR="009722A3">
        <w:rPr>
          <w:rFonts w:eastAsia="SimSun"/>
        </w:rPr>
        <w:t xml:space="preserve"> below.  </w:t>
      </w:r>
    </w:p>
    <w:p w:rsidR="009722A3" w:rsidRPr="00260028" w:rsidRDefault="009722A3" w:rsidP="009722A3">
      <w:pPr>
        <w:pStyle w:val="answer"/>
        <w:keepNext/>
        <w:keepLines/>
        <w:spacing w:after="60" w:line="240" w:lineRule="auto"/>
        <w:ind w:left="1080" w:right="1080" w:firstLine="0"/>
        <w:jc w:val="center"/>
        <w:rPr>
          <w:b/>
        </w:rPr>
      </w:pPr>
      <w:bookmarkStart w:id="155" w:name="_Ref441835342"/>
      <w:r w:rsidRPr="00260028">
        <w:rPr>
          <w:b/>
        </w:rPr>
        <w:lastRenderedPageBreak/>
        <w:t xml:space="preserve">Table </w:t>
      </w:r>
      <w:r w:rsidRPr="00260028">
        <w:rPr>
          <w:b/>
        </w:rPr>
        <w:fldChar w:fldCharType="begin"/>
      </w:r>
      <w:r w:rsidRPr="00260028">
        <w:rPr>
          <w:b/>
        </w:rPr>
        <w:instrText xml:space="preserve"> SEQ Table \* ARABIC </w:instrText>
      </w:r>
      <w:r w:rsidRPr="00260028">
        <w:rPr>
          <w:b/>
        </w:rPr>
        <w:fldChar w:fldCharType="separate"/>
      </w:r>
      <w:r w:rsidR="0035666C">
        <w:rPr>
          <w:b/>
          <w:noProof/>
        </w:rPr>
        <w:t>11</w:t>
      </w:r>
      <w:r w:rsidRPr="00260028">
        <w:rPr>
          <w:b/>
        </w:rPr>
        <w:fldChar w:fldCharType="end"/>
      </w:r>
      <w:bookmarkEnd w:id="155"/>
      <w:r w:rsidRPr="00260028">
        <w:rPr>
          <w:b/>
        </w:rPr>
        <w:t xml:space="preserve"> - Proposed </w:t>
      </w:r>
      <w:r>
        <w:rPr>
          <w:b/>
        </w:rPr>
        <w:t xml:space="preserve">Non-Residential </w:t>
      </w:r>
      <w:r w:rsidRPr="00260028">
        <w:rPr>
          <w:b/>
        </w:rPr>
        <w:t xml:space="preserve">Gas </w:t>
      </w:r>
      <w:r>
        <w:rPr>
          <w:b/>
        </w:rPr>
        <w:t>Demand Charges</w:t>
      </w:r>
    </w:p>
    <w:tbl>
      <w:tblPr>
        <w:tblpPr w:leftFromText="180" w:rightFromText="180" w:vertAnchor="text" w:horzAnchor="margin" w:tblpXSpec="center" w:tblpY="314"/>
        <w:tblW w:w="8406" w:type="dxa"/>
        <w:tblLayout w:type="fixed"/>
        <w:tblLook w:val="0000" w:firstRow="0" w:lastRow="0" w:firstColumn="0" w:lastColumn="0" w:noHBand="0" w:noVBand="0"/>
      </w:tblPr>
      <w:tblGrid>
        <w:gridCol w:w="3168"/>
        <w:gridCol w:w="2070"/>
        <w:gridCol w:w="1530"/>
        <w:gridCol w:w="1638"/>
      </w:tblGrid>
      <w:tr w:rsidR="009722A3" w:rsidRPr="009075DC" w:rsidTr="00220BA5">
        <w:trPr>
          <w:cantSplit/>
          <w:trHeight w:val="769"/>
        </w:trPr>
        <w:tc>
          <w:tcPr>
            <w:tcW w:w="3168" w:type="dxa"/>
            <w:tcBorders>
              <w:top w:val="single" w:sz="4" w:space="0" w:color="auto"/>
              <w:bottom w:val="single" w:sz="4" w:space="0" w:color="auto"/>
            </w:tcBorders>
            <w:vAlign w:val="center"/>
          </w:tcPr>
          <w:p w:rsidR="009722A3" w:rsidRPr="009075DC" w:rsidRDefault="009722A3" w:rsidP="00220BA5">
            <w:pPr>
              <w:widowControl w:val="0"/>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2070" w:type="dxa"/>
            <w:tcBorders>
              <w:top w:val="single" w:sz="4" w:space="0" w:color="auto"/>
              <w:bottom w:val="single" w:sz="4" w:space="0" w:color="auto"/>
            </w:tcBorders>
            <w:vAlign w:val="center"/>
          </w:tcPr>
          <w:p w:rsidR="009722A3" w:rsidRPr="009075DC" w:rsidRDefault="009722A3" w:rsidP="00220BA5">
            <w:pPr>
              <w:widowControl w:val="0"/>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530" w:type="dxa"/>
            <w:tcBorders>
              <w:top w:val="single" w:sz="4" w:space="0" w:color="auto"/>
              <w:bottom w:val="single" w:sz="4" w:space="0" w:color="auto"/>
            </w:tcBorders>
            <w:vAlign w:val="center"/>
          </w:tcPr>
          <w:p w:rsidR="009722A3" w:rsidRPr="009075DC" w:rsidRDefault="009722A3" w:rsidP="00220BA5">
            <w:pPr>
              <w:widowControl w:val="0"/>
              <w:spacing w:beforeLines="20" w:before="48" w:afterLines="20" w:after="48" w:line="240" w:lineRule="auto"/>
              <w:ind w:firstLine="0"/>
              <w:jc w:val="center"/>
              <w:rPr>
                <w:rFonts w:eastAsia="SimSun"/>
                <w:b/>
                <w:bCs/>
                <w:szCs w:val="24"/>
              </w:rPr>
            </w:pPr>
            <w:r>
              <w:rPr>
                <w:rFonts w:eastAsia="SimSun"/>
                <w:b/>
                <w:bCs/>
                <w:szCs w:val="24"/>
              </w:rPr>
              <w:t>Current Demand Charge</w:t>
            </w:r>
          </w:p>
        </w:tc>
        <w:tc>
          <w:tcPr>
            <w:tcW w:w="1638" w:type="dxa"/>
            <w:tcBorders>
              <w:top w:val="single" w:sz="4" w:space="0" w:color="auto"/>
              <w:bottom w:val="single" w:sz="4" w:space="0" w:color="auto"/>
            </w:tcBorders>
            <w:vAlign w:val="center"/>
          </w:tcPr>
          <w:p w:rsidR="009722A3" w:rsidRPr="009075DC" w:rsidRDefault="009722A3" w:rsidP="009722A3">
            <w:pPr>
              <w:widowControl w:val="0"/>
              <w:spacing w:beforeLines="20" w:before="48" w:afterLines="20" w:after="48" w:line="240" w:lineRule="auto"/>
              <w:ind w:firstLine="0"/>
              <w:jc w:val="center"/>
              <w:rPr>
                <w:rFonts w:eastAsia="SimSun"/>
                <w:b/>
                <w:bCs/>
                <w:szCs w:val="24"/>
              </w:rPr>
            </w:pPr>
            <w:r>
              <w:rPr>
                <w:rFonts w:eastAsia="SimSun"/>
                <w:b/>
                <w:bCs/>
                <w:szCs w:val="24"/>
              </w:rPr>
              <w:t>Proposed Demand Charge</w:t>
            </w:r>
          </w:p>
        </w:tc>
      </w:tr>
      <w:tr w:rsidR="009722A3" w:rsidRPr="001D2B74" w:rsidTr="00220BA5">
        <w:trPr>
          <w:cantSplit/>
          <w:trHeight w:val="312"/>
        </w:trPr>
        <w:tc>
          <w:tcPr>
            <w:tcW w:w="3168" w:type="dxa"/>
            <w:vAlign w:val="bottom"/>
          </w:tcPr>
          <w:p w:rsidR="009722A3" w:rsidRPr="003B5206" w:rsidRDefault="009722A3" w:rsidP="00220BA5">
            <w:pPr>
              <w:pStyle w:val="answer"/>
              <w:keepNext/>
              <w:spacing w:before="60" w:after="60" w:line="240" w:lineRule="auto"/>
              <w:ind w:left="0" w:firstLine="0"/>
            </w:pPr>
            <w:r>
              <w:t>Large Volume</w:t>
            </w:r>
          </w:p>
        </w:tc>
        <w:tc>
          <w:tcPr>
            <w:tcW w:w="2070" w:type="dxa"/>
          </w:tcPr>
          <w:p w:rsidR="009722A3" w:rsidRPr="00683198" w:rsidRDefault="009722A3" w:rsidP="00220BA5">
            <w:pPr>
              <w:pStyle w:val="answer"/>
              <w:keepNext/>
              <w:spacing w:before="60" w:after="60" w:line="240" w:lineRule="auto"/>
              <w:ind w:left="0" w:firstLine="0"/>
              <w:jc w:val="center"/>
            </w:pPr>
            <w:r w:rsidRPr="00683198">
              <w:t>41/41T</w:t>
            </w:r>
          </w:p>
        </w:tc>
        <w:tc>
          <w:tcPr>
            <w:tcW w:w="1530" w:type="dxa"/>
            <w:vAlign w:val="bottom"/>
          </w:tcPr>
          <w:p w:rsidR="009722A3" w:rsidRPr="009722A3" w:rsidRDefault="009722A3" w:rsidP="00220BA5">
            <w:pPr>
              <w:pStyle w:val="answer"/>
              <w:keepNext/>
              <w:spacing w:before="60" w:after="60" w:line="240" w:lineRule="auto"/>
              <w:ind w:left="0" w:firstLine="0"/>
              <w:jc w:val="center"/>
            </w:pPr>
            <w:r w:rsidRPr="009722A3">
              <w:t>$1.15</w:t>
            </w:r>
          </w:p>
        </w:tc>
        <w:tc>
          <w:tcPr>
            <w:tcW w:w="1638" w:type="dxa"/>
            <w:vAlign w:val="bottom"/>
          </w:tcPr>
          <w:p w:rsidR="009722A3" w:rsidRPr="00FB4B89" w:rsidRDefault="009722A3" w:rsidP="00C5786C">
            <w:pPr>
              <w:pStyle w:val="answer"/>
              <w:keepNext/>
              <w:spacing w:before="60" w:after="60" w:line="240" w:lineRule="auto"/>
              <w:ind w:left="0" w:firstLine="0"/>
              <w:jc w:val="center"/>
            </w:pPr>
            <w:r w:rsidRPr="00FB4B89">
              <w:t>$</w:t>
            </w:r>
            <w:r w:rsidR="00FB4B89" w:rsidRPr="00FB4B89">
              <w:t>1.</w:t>
            </w:r>
            <w:r w:rsidR="00C50E6D">
              <w:t>1</w:t>
            </w:r>
            <w:r w:rsidR="00C5786C">
              <w:t>7</w:t>
            </w:r>
          </w:p>
        </w:tc>
      </w:tr>
      <w:tr w:rsidR="009722A3" w:rsidRPr="001D2B74" w:rsidTr="00220BA5">
        <w:trPr>
          <w:cantSplit/>
          <w:trHeight w:val="324"/>
        </w:trPr>
        <w:tc>
          <w:tcPr>
            <w:tcW w:w="3168" w:type="dxa"/>
            <w:vAlign w:val="bottom"/>
          </w:tcPr>
          <w:p w:rsidR="009722A3" w:rsidRPr="003B5206" w:rsidRDefault="009722A3" w:rsidP="00220BA5">
            <w:pPr>
              <w:pStyle w:val="answer"/>
              <w:keepNext/>
              <w:spacing w:before="60" w:after="60" w:line="240" w:lineRule="auto"/>
              <w:ind w:left="0" w:firstLine="0"/>
            </w:pPr>
            <w:r>
              <w:t>Interruptible</w:t>
            </w:r>
          </w:p>
        </w:tc>
        <w:tc>
          <w:tcPr>
            <w:tcW w:w="2070" w:type="dxa"/>
          </w:tcPr>
          <w:p w:rsidR="009722A3" w:rsidRPr="00683198" w:rsidRDefault="009722A3" w:rsidP="00220BA5">
            <w:pPr>
              <w:pStyle w:val="answer"/>
              <w:keepNext/>
              <w:spacing w:before="60" w:after="60" w:line="240" w:lineRule="auto"/>
              <w:ind w:left="0" w:firstLine="0"/>
              <w:jc w:val="center"/>
            </w:pPr>
            <w:r w:rsidRPr="00683198">
              <w:t>85/85T</w:t>
            </w:r>
          </w:p>
        </w:tc>
        <w:tc>
          <w:tcPr>
            <w:tcW w:w="1530" w:type="dxa"/>
            <w:vAlign w:val="bottom"/>
          </w:tcPr>
          <w:p w:rsidR="009722A3" w:rsidRPr="009722A3" w:rsidRDefault="009722A3" w:rsidP="00220BA5">
            <w:pPr>
              <w:pStyle w:val="answer"/>
              <w:keepNext/>
              <w:spacing w:before="60" w:after="60" w:line="240" w:lineRule="auto"/>
              <w:ind w:left="0" w:firstLine="0"/>
              <w:jc w:val="center"/>
            </w:pPr>
            <w:r w:rsidRPr="009722A3">
              <w:t>$1.15</w:t>
            </w:r>
          </w:p>
        </w:tc>
        <w:tc>
          <w:tcPr>
            <w:tcW w:w="1638" w:type="dxa"/>
            <w:vAlign w:val="bottom"/>
          </w:tcPr>
          <w:p w:rsidR="009722A3" w:rsidRPr="00FB4B89" w:rsidRDefault="009722A3" w:rsidP="00C50E6D">
            <w:pPr>
              <w:pStyle w:val="answer"/>
              <w:keepNext/>
              <w:spacing w:before="60" w:after="60" w:line="240" w:lineRule="auto"/>
              <w:ind w:left="0" w:firstLine="0"/>
              <w:jc w:val="center"/>
            </w:pPr>
            <w:r w:rsidRPr="00FB4B89">
              <w:t>$</w:t>
            </w:r>
            <w:r w:rsidR="00FB4B89" w:rsidRPr="00FB4B89">
              <w:t>1.</w:t>
            </w:r>
            <w:r w:rsidR="00C50E6D">
              <w:t>20</w:t>
            </w:r>
          </w:p>
        </w:tc>
      </w:tr>
      <w:tr w:rsidR="009722A3" w:rsidRPr="001D2B74" w:rsidTr="00220BA5">
        <w:trPr>
          <w:cantSplit/>
          <w:trHeight w:val="324"/>
        </w:trPr>
        <w:tc>
          <w:tcPr>
            <w:tcW w:w="3168" w:type="dxa"/>
            <w:vAlign w:val="bottom"/>
          </w:tcPr>
          <w:p w:rsidR="009722A3" w:rsidRPr="003B5206" w:rsidRDefault="009722A3" w:rsidP="00220BA5">
            <w:pPr>
              <w:pStyle w:val="answer"/>
              <w:keepNext/>
              <w:spacing w:before="60" w:after="60" w:line="240" w:lineRule="auto"/>
              <w:ind w:left="0" w:firstLine="0"/>
            </w:pPr>
            <w:r w:rsidRPr="003B5206">
              <w:t xml:space="preserve">Limited </w:t>
            </w:r>
            <w:r>
              <w:t>Interruptible</w:t>
            </w:r>
          </w:p>
        </w:tc>
        <w:tc>
          <w:tcPr>
            <w:tcW w:w="2070" w:type="dxa"/>
          </w:tcPr>
          <w:p w:rsidR="009722A3" w:rsidRPr="00683198" w:rsidRDefault="009722A3" w:rsidP="00220BA5">
            <w:pPr>
              <w:pStyle w:val="answer"/>
              <w:keepNext/>
              <w:spacing w:before="60" w:after="60" w:line="240" w:lineRule="auto"/>
              <w:ind w:left="0" w:firstLine="0"/>
              <w:jc w:val="center"/>
            </w:pPr>
            <w:r w:rsidRPr="00683198">
              <w:t>86/86T</w:t>
            </w:r>
          </w:p>
        </w:tc>
        <w:tc>
          <w:tcPr>
            <w:tcW w:w="1530" w:type="dxa"/>
            <w:vAlign w:val="bottom"/>
          </w:tcPr>
          <w:p w:rsidR="009722A3" w:rsidRPr="009722A3" w:rsidRDefault="009722A3" w:rsidP="00220BA5">
            <w:pPr>
              <w:pStyle w:val="answer"/>
              <w:keepNext/>
              <w:spacing w:before="60" w:after="60" w:line="240" w:lineRule="auto"/>
              <w:ind w:left="0" w:firstLine="0"/>
              <w:jc w:val="center"/>
            </w:pPr>
            <w:r w:rsidRPr="009722A3">
              <w:t>$1.15</w:t>
            </w:r>
          </w:p>
        </w:tc>
        <w:tc>
          <w:tcPr>
            <w:tcW w:w="1638" w:type="dxa"/>
            <w:vAlign w:val="bottom"/>
          </w:tcPr>
          <w:p w:rsidR="009722A3" w:rsidRPr="00FB4B89" w:rsidRDefault="009722A3" w:rsidP="00C50E6D">
            <w:pPr>
              <w:pStyle w:val="answer"/>
              <w:keepNext/>
              <w:spacing w:before="60" w:after="60" w:line="240" w:lineRule="auto"/>
              <w:ind w:left="0" w:firstLine="0"/>
              <w:jc w:val="center"/>
            </w:pPr>
            <w:r w:rsidRPr="00FB4B89">
              <w:t>$</w:t>
            </w:r>
            <w:r w:rsidR="00C50E6D">
              <w:t>1.21</w:t>
            </w:r>
          </w:p>
        </w:tc>
      </w:tr>
      <w:tr w:rsidR="009722A3" w:rsidRPr="001D2B74" w:rsidTr="009722A3">
        <w:trPr>
          <w:cantSplit/>
          <w:trHeight w:val="300"/>
        </w:trPr>
        <w:tc>
          <w:tcPr>
            <w:tcW w:w="3168" w:type="dxa"/>
            <w:vAlign w:val="bottom"/>
          </w:tcPr>
          <w:p w:rsidR="009722A3" w:rsidRPr="003B5206" w:rsidRDefault="009722A3" w:rsidP="00220BA5">
            <w:pPr>
              <w:pStyle w:val="answer"/>
              <w:keepNext/>
              <w:spacing w:before="60" w:after="60" w:line="240" w:lineRule="auto"/>
              <w:ind w:left="0" w:firstLine="0"/>
            </w:pPr>
            <w:r w:rsidRPr="003B5206">
              <w:t>Non-exclusive I</w:t>
            </w:r>
            <w:r>
              <w:t>nterruptible</w:t>
            </w:r>
          </w:p>
        </w:tc>
        <w:tc>
          <w:tcPr>
            <w:tcW w:w="2070" w:type="dxa"/>
          </w:tcPr>
          <w:p w:rsidR="009722A3" w:rsidRPr="00683198" w:rsidRDefault="009722A3" w:rsidP="00220BA5">
            <w:pPr>
              <w:pStyle w:val="answer"/>
              <w:keepNext/>
              <w:spacing w:before="60" w:after="60" w:line="240" w:lineRule="auto"/>
              <w:ind w:left="0" w:firstLine="0"/>
              <w:jc w:val="center"/>
            </w:pPr>
            <w:r w:rsidRPr="00683198">
              <w:t>87/87T</w:t>
            </w:r>
          </w:p>
        </w:tc>
        <w:tc>
          <w:tcPr>
            <w:tcW w:w="1530" w:type="dxa"/>
            <w:vAlign w:val="bottom"/>
          </w:tcPr>
          <w:p w:rsidR="009722A3" w:rsidRPr="009722A3" w:rsidRDefault="009722A3" w:rsidP="00220BA5">
            <w:pPr>
              <w:pStyle w:val="answer"/>
              <w:keepNext/>
              <w:spacing w:before="60" w:after="60" w:line="240" w:lineRule="auto"/>
              <w:ind w:left="0" w:firstLine="0"/>
              <w:jc w:val="center"/>
            </w:pPr>
            <w:r w:rsidRPr="009722A3">
              <w:t>$1.15</w:t>
            </w:r>
          </w:p>
        </w:tc>
        <w:tc>
          <w:tcPr>
            <w:tcW w:w="1638" w:type="dxa"/>
            <w:vAlign w:val="bottom"/>
          </w:tcPr>
          <w:p w:rsidR="009722A3" w:rsidRPr="00FB4B89" w:rsidRDefault="009722A3" w:rsidP="00C50E6D">
            <w:pPr>
              <w:pStyle w:val="answer"/>
              <w:keepNext/>
              <w:spacing w:before="60" w:after="60" w:line="240" w:lineRule="auto"/>
              <w:ind w:left="0" w:firstLine="0"/>
              <w:jc w:val="center"/>
            </w:pPr>
            <w:r w:rsidRPr="00FB4B89">
              <w:t>$</w:t>
            </w:r>
            <w:r w:rsidR="00C50E6D">
              <w:t>1.38</w:t>
            </w:r>
          </w:p>
        </w:tc>
      </w:tr>
      <w:tr w:rsidR="009722A3" w:rsidRPr="001D2B74" w:rsidTr="009722A3">
        <w:trPr>
          <w:cantSplit/>
          <w:trHeight w:val="324"/>
        </w:trPr>
        <w:tc>
          <w:tcPr>
            <w:tcW w:w="3168" w:type="dxa"/>
            <w:tcBorders>
              <w:bottom w:val="single" w:sz="4" w:space="0" w:color="auto"/>
            </w:tcBorders>
            <w:vAlign w:val="bottom"/>
          </w:tcPr>
          <w:p w:rsidR="009722A3" w:rsidRPr="003B5206" w:rsidRDefault="009722A3" w:rsidP="00220BA5">
            <w:pPr>
              <w:pStyle w:val="answer"/>
              <w:keepNext/>
              <w:spacing w:before="60" w:after="60" w:line="240" w:lineRule="auto"/>
              <w:ind w:left="0" w:firstLine="0"/>
            </w:pPr>
            <w:r w:rsidRPr="003B5206">
              <w:t xml:space="preserve">Special Contracts </w:t>
            </w:r>
          </w:p>
        </w:tc>
        <w:tc>
          <w:tcPr>
            <w:tcW w:w="2070" w:type="dxa"/>
            <w:tcBorders>
              <w:bottom w:val="single" w:sz="4" w:space="0" w:color="auto"/>
            </w:tcBorders>
          </w:tcPr>
          <w:p w:rsidR="009722A3" w:rsidRPr="00683198" w:rsidRDefault="009722A3" w:rsidP="00220BA5">
            <w:pPr>
              <w:pStyle w:val="answer"/>
              <w:keepNext/>
              <w:spacing w:before="60" w:after="60" w:line="240" w:lineRule="auto"/>
              <w:ind w:left="0" w:firstLine="0"/>
              <w:jc w:val="center"/>
            </w:pPr>
          </w:p>
        </w:tc>
        <w:tc>
          <w:tcPr>
            <w:tcW w:w="1530" w:type="dxa"/>
            <w:tcBorders>
              <w:bottom w:val="single" w:sz="4" w:space="0" w:color="auto"/>
            </w:tcBorders>
            <w:vAlign w:val="bottom"/>
          </w:tcPr>
          <w:p w:rsidR="009722A3" w:rsidRPr="009722A3" w:rsidRDefault="007E1502" w:rsidP="00220BA5">
            <w:pPr>
              <w:pStyle w:val="answer"/>
              <w:keepNext/>
              <w:spacing w:before="60" w:after="60" w:line="240" w:lineRule="auto"/>
              <w:ind w:left="0" w:firstLine="0"/>
              <w:jc w:val="center"/>
            </w:pPr>
            <w:r>
              <w:t>Per contract</w:t>
            </w:r>
          </w:p>
        </w:tc>
        <w:tc>
          <w:tcPr>
            <w:tcW w:w="1638" w:type="dxa"/>
            <w:tcBorders>
              <w:bottom w:val="single" w:sz="4" w:space="0" w:color="auto"/>
            </w:tcBorders>
            <w:vAlign w:val="bottom"/>
          </w:tcPr>
          <w:p w:rsidR="009722A3" w:rsidRPr="00FB4B89" w:rsidRDefault="007E1502" w:rsidP="00C50E6D">
            <w:pPr>
              <w:pStyle w:val="answer"/>
              <w:keepNext/>
              <w:spacing w:before="60" w:after="60" w:line="240" w:lineRule="auto"/>
              <w:ind w:left="0" w:firstLine="0"/>
              <w:jc w:val="center"/>
            </w:pPr>
            <w:r>
              <w:t>Per Contract</w:t>
            </w:r>
          </w:p>
        </w:tc>
      </w:tr>
    </w:tbl>
    <w:p w:rsidR="000969E2" w:rsidRDefault="000969E2" w:rsidP="000969E2">
      <w:pPr>
        <w:pStyle w:val="answer"/>
        <w:widowControl w:val="0"/>
        <w:rPr>
          <w:rFonts w:eastAsia="SimSun"/>
        </w:rPr>
      </w:pPr>
    </w:p>
    <w:p w:rsidR="000969E2" w:rsidRPr="009075DC" w:rsidRDefault="000969E2" w:rsidP="000969E2">
      <w:pPr>
        <w:pStyle w:val="question"/>
        <w:widowControl w:val="0"/>
        <w:rPr>
          <w:rFonts w:eastAsia="SimSun"/>
        </w:rPr>
      </w:pPr>
      <w:r w:rsidRPr="009075DC">
        <w:rPr>
          <w:rFonts w:eastAsia="SimSun"/>
        </w:rPr>
        <w:t>Q.</w:t>
      </w:r>
      <w:r w:rsidRPr="009075DC">
        <w:rPr>
          <w:rFonts w:eastAsia="SimSun"/>
        </w:rPr>
        <w:tab/>
      </w:r>
      <w:r>
        <w:rPr>
          <w:rFonts w:eastAsia="SimSun"/>
        </w:rPr>
        <w:t xml:space="preserve">Why is PSE proposing to </w:t>
      </w:r>
      <w:r w:rsidR="00540997">
        <w:rPr>
          <w:rFonts w:eastAsia="SimSun"/>
        </w:rPr>
        <w:t xml:space="preserve">differentiate </w:t>
      </w:r>
      <w:r>
        <w:rPr>
          <w:rFonts w:eastAsia="SimSun"/>
        </w:rPr>
        <w:t>the demand charges for non-residential gas customers?</w:t>
      </w:r>
    </w:p>
    <w:p w:rsidR="000969E2" w:rsidRDefault="000969E2" w:rsidP="000969E2">
      <w:pPr>
        <w:pStyle w:val="answer"/>
        <w:widowControl w:val="0"/>
        <w:rPr>
          <w:rFonts w:eastAsia="SimSun"/>
        </w:rPr>
      </w:pPr>
      <w:r w:rsidRPr="009075DC">
        <w:rPr>
          <w:rFonts w:eastAsia="SimSun"/>
        </w:rPr>
        <w:t>A.</w:t>
      </w:r>
      <w:r w:rsidRPr="009075DC">
        <w:rPr>
          <w:rFonts w:eastAsia="SimSun"/>
        </w:rPr>
        <w:tab/>
      </w:r>
      <w:r w:rsidR="00540997">
        <w:rPr>
          <w:rFonts w:eastAsia="SimSun"/>
        </w:rPr>
        <w:t xml:space="preserve">Beyond the fact </w:t>
      </w:r>
      <w:r w:rsidR="00540997" w:rsidRPr="00540997">
        <w:rPr>
          <w:rFonts w:eastAsia="SimSun"/>
        </w:rPr>
        <w:t>that d</w:t>
      </w:r>
      <w:r w:rsidRPr="00540997">
        <w:rPr>
          <w:rFonts w:eastAsia="SimSun"/>
        </w:rPr>
        <w:t>emand charges are generally too low</w:t>
      </w:r>
      <w:r w:rsidR="00540997" w:rsidRPr="00540997">
        <w:rPr>
          <w:rFonts w:eastAsia="SimSun"/>
        </w:rPr>
        <w:t xml:space="preserve"> overall,</w:t>
      </w:r>
      <w:r w:rsidRPr="00540997">
        <w:rPr>
          <w:rFonts w:eastAsia="SimSun"/>
        </w:rPr>
        <w:t xml:space="preserve"> the demand-related costs vary between </w:t>
      </w:r>
      <w:r w:rsidR="00540997" w:rsidRPr="00540997">
        <w:rPr>
          <w:rFonts w:eastAsia="SimSun"/>
        </w:rPr>
        <w:t xml:space="preserve">these </w:t>
      </w:r>
      <w:r w:rsidRPr="00540997">
        <w:rPr>
          <w:rFonts w:eastAsia="SimSun"/>
        </w:rPr>
        <w:t>rate schedules.</w:t>
      </w:r>
      <w:r w:rsidR="00540997">
        <w:rPr>
          <w:rFonts w:eastAsia="SimSun"/>
        </w:rPr>
        <w:t xml:space="preserve">  PSE is proposing to move each customer class’s demand charges closer to recovering their demand-related costs.</w:t>
      </w:r>
    </w:p>
    <w:p w:rsidR="00540997" w:rsidRPr="009075DC" w:rsidRDefault="00540997" w:rsidP="00540997">
      <w:pPr>
        <w:pStyle w:val="question"/>
        <w:widowControl w:val="0"/>
        <w:rPr>
          <w:rFonts w:eastAsia="SimSun"/>
        </w:rPr>
      </w:pPr>
      <w:r w:rsidRPr="009075DC">
        <w:rPr>
          <w:rFonts w:eastAsia="SimSun"/>
        </w:rPr>
        <w:t>Q.</w:t>
      </w:r>
      <w:r w:rsidRPr="009075DC">
        <w:rPr>
          <w:rFonts w:eastAsia="SimSun"/>
        </w:rPr>
        <w:tab/>
      </w:r>
      <w:r>
        <w:rPr>
          <w:rFonts w:eastAsia="SimSun"/>
        </w:rPr>
        <w:t>Is PSE proposing to move each customer class’s demand charge fully to its cost of service?</w:t>
      </w:r>
    </w:p>
    <w:p w:rsidR="00540997" w:rsidRDefault="00540997" w:rsidP="00540997">
      <w:pPr>
        <w:pStyle w:val="answer"/>
        <w:widowControl w:val="0"/>
        <w:rPr>
          <w:rFonts w:eastAsia="SimSun"/>
        </w:rPr>
      </w:pPr>
      <w:r w:rsidRPr="009075DC">
        <w:rPr>
          <w:rFonts w:eastAsia="SimSun"/>
        </w:rPr>
        <w:t>A.</w:t>
      </w:r>
      <w:r w:rsidRPr="009075DC">
        <w:rPr>
          <w:rFonts w:eastAsia="SimSun"/>
        </w:rPr>
        <w:tab/>
      </w:r>
      <w:r>
        <w:rPr>
          <w:rFonts w:eastAsia="SimSun"/>
        </w:rPr>
        <w:t>No.  There is a significant variation in demand-related costs for each customer class, with certain classes having much higher demand-related costs than others depending largely on the level of firm use present in the schedule</w:t>
      </w:r>
      <w:r w:rsidRPr="009075DC">
        <w:rPr>
          <w:rFonts w:eastAsia="SimSun"/>
        </w:rPr>
        <w:t>.</w:t>
      </w:r>
      <w:r>
        <w:rPr>
          <w:rFonts w:eastAsia="SimSun"/>
        </w:rPr>
        <w:t xml:space="preserve"> However, given these significant variations, PSE is proposing to move demand rates incremental</w:t>
      </w:r>
      <w:r w:rsidR="00FA7E08">
        <w:rPr>
          <w:rFonts w:eastAsia="SimSun"/>
        </w:rPr>
        <w:t>ly</w:t>
      </w:r>
      <w:r>
        <w:rPr>
          <w:rFonts w:eastAsia="SimSun"/>
        </w:rPr>
        <w:t xml:space="preserve"> closer to demand costs.</w:t>
      </w:r>
      <w:r w:rsidR="001E60E6">
        <w:rPr>
          <w:rFonts w:eastAsia="SimSun"/>
        </w:rPr>
        <w:t xml:space="preserve">  Specifically, </w:t>
      </w:r>
      <w:r w:rsidR="00FA7E08">
        <w:rPr>
          <w:rFonts w:eastAsia="SimSun"/>
        </w:rPr>
        <w:t xml:space="preserve">in the interest of gradualism, </w:t>
      </w:r>
      <w:r w:rsidR="001E60E6">
        <w:rPr>
          <w:rFonts w:eastAsia="SimSun"/>
        </w:rPr>
        <w:t xml:space="preserve">PSE is proposing to move the demand charges for all customers </w:t>
      </w:r>
      <w:r w:rsidR="007A5685">
        <w:rPr>
          <w:rFonts w:eastAsia="SimSun"/>
        </w:rPr>
        <w:t>25 percent</w:t>
      </w:r>
      <w:r w:rsidR="001E60E6">
        <w:rPr>
          <w:rFonts w:eastAsia="SimSun"/>
        </w:rPr>
        <w:t xml:space="preserve"> closer to their full demand-related costs.</w:t>
      </w:r>
      <w:r w:rsidR="007E1502">
        <w:rPr>
          <w:rFonts w:eastAsia="SimSun"/>
        </w:rPr>
        <w:t xml:space="preserve">  The one exception is for the Special Contract </w:t>
      </w:r>
      <w:r w:rsidR="007E1502">
        <w:rPr>
          <w:rFonts w:eastAsia="SimSun"/>
        </w:rPr>
        <w:lastRenderedPageBreak/>
        <w:t>class whose demand charges are set contractually.</w:t>
      </w:r>
      <w:r w:rsidR="001E60E6">
        <w:rPr>
          <w:rFonts w:eastAsia="SimSun"/>
        </w:rPr>
        <w:t xml:space="preserve">  </w:t>
      </w:r>
    </w:p>
    <w:p w:rsidR="00514EB9" w:rsidRPr="009075DC" w:rsidRDefault="00514EB9" w:rsidP="00514EB9">
      <w:pPr>
        <w:pStyle w:val="question"/>
        <w:widowControl w:val="0"/>
        <w:rPr>
          <w:rFonts w:eastAsia="SimSun"/>
        </w:rPr>
      </w:pPr>
      <w:r w:rsidRPr="009075DC">
        <w:rPr>
          <w:rFonts w:eastAsia="SimSun"/>
        </w:rPr>
        <w:t>Q.</w:t>
      </w:r>
      <w:r w:rsidRPr="009075DC">
        <w:rPr>
          <w:rFonts w:eastAsia="SimSun"/>
        </w:rPr>
        <w:tab/>
      </w:r>
      <w:r w:rsidR="000969E2">
        <w:rPr>
          <w:rFonts w:eastAsia="SimSun"/>
        </w:rPr>
        <w:t>What are the impacts of the proposed changes</w:t>
      </w:r>
      <w:r w:rsidR="008B3D6F">
        <w:rPr>
          <w:rFonts w:eastAsia="SimSun"/>
        </w:rPr>
        <w:t xml:space="preserve"> to the demand charges</w:t>
      </w:r>
      <w:r w:rsidR="000969E2">
        <w:rPr>
          <w:rFonts w:eastAsia="SimSun"/>
        </w:rPr>
        <w:t xml:space="preserve"> on PSE’s non-residential gas customers</w:t>
      </w:r>
      <w:r>
        <w:rPr>
          <w:rFonts w:eastAsia="SimSun"/>
        </w:rPr>
        <w:t>?</w:t>
      </w:r>
    </w:p>
    <w:p w:rsidR="00514EB9" w:rsidRDefault="00514EB9" w:rsidP="00514EB9">
      <w:pPr>
        <w:pStyle w:val="answer"/>
        <w:widowControl w:val="0"/>
        <w:rPr>
          <w:rFonts w:eastAsia="SimSun"/>
        </w:rPr>
      </w:pPr>
      <w:r w:rsidRPr="009075DC">
        <w:rPr>
          <w:rFonts w:eastAsia="SimSun"/>
        </w:rPr>
        <w:t>A.</w:t>
      </w:r>
      <w:r w:rsidRPr="009075DC">
        <w:rPr>
          <w:rFonts w:eastAsia="SimSun"/>
        </w:rPr>
        <w:tab/>
      </w:r>
      <w:r w:rsidR="00FC5E02">
        <w:rPr>
          <w:rFonts w:eastAsia="SimSun"/>
        </w:rPr>
        <w:t xml:space="preserve">Generally speaking, customers with better load factors or that use less firm service will benefit.  </w:t>
      </w:r>
      <w:r w:rsidR="007E1502">
        <w:rPr>
          <w:rFonts w:eastAsia="SimSun"/>
        </w:rPr>
        <w:t>The proposed changes</w:t>
      </w:r>
      <w:r w:rsidR="00FC5E02">
        <w:rPr>
          <w:rFonts w:eastAsia="SimSun"/>
        </w:rPr>
        <w:t xml:space="preserve"> may also provide an incentive for more interruptible use, which may benefit all gas customers by potentially deferring new capacity investments</w:t>
      </w:r>
    </w:p>
    <w:p w:rsidR="008B3D6F" w:rsidRDefault="008B3D6F" w:rsidP="008B3D6F">
      <w:pPr>
        <w:pStyle w:val="Heading4"/>
        <w:rPr>
          <w:rFonts w:eastAsia="SimSun"/>
        </w:rPr>
      </w:pPr>
      <w:bookmarkStart w:id="156" w:name="_Toc471912967"/>
      <w:r>
        <w:rPr>
          <w:rFonts w:eastAsia="SimSun"/>
          <w:u w:val="none"/>
        </w:rPr>
        <w:t>ii</w:t>
      </w:r>
      <w:r w:rsidRPr="009075DC">
        <w:rPr>
          <w:rFonts w:eastAsia="SimSun"/>
          <w:u w:val="none"/>
        </w:rPr>
        <w:t>.</w:t>
      </w:r>
      <w:r w:rsidRPr="009075DC">
        <w:rPr>
          <w:rFonts w:eastAsia="SimSun"/>
          <w:u w:val="none"/>
        </w:rPr>
        <w:tab/>
      </w:r>
      <w:r>
        <w:rPr>
          <w:rFonts w:eastAsia="SimSun"/>
        </w:rPr>
        <w:t>Non-Residential Firm Sales Procurement Charge</w:t>
      </w:r>
      <w:bookmarkEnd w:id="156"/>
    </w:p>
    <w:p w:rsidR="008B3D6F" w:rsidRDefault="008B3D6F" w:rsidP="008B3D6F">
      <w:pPr>
        <w:pStyle w:val="question"/>
        <w:widowControl w:val="0"/>
        <w:rPr>
          <w:rFonts w:eastAsia="SimSun"/>
        </w:rPr>
      </w:pPr>
      <w:r>
        <w:rPr>
          <w:rFonts w:eastAsia="SimSun"/>
        </w:rPr>
        <w:t>Q.</w:t>
      </w:r>
      <w:r>
        <w:rPr>
          <w:rFonts w:eastAsia="SimSun"/>
        </w:rPr>
        <w:tab/>
        <w:t>What is the purpose of PSE’s Gas Procurement Charge?</w:t>
      </w:r>
    </w:p>
    <w:p w:rsidR="008B3D6F" w:rsidRPr="00FA7423" w:rsidRDefault="008B3D6F" w:rsidP="008B3D6F">
      <w:pPr>
        <w:pStyle w:val="question"/>
        <w:widowControl w:val="0"/>
        <w:rPr>
          <w:rFonts w:eastAsia="SimSun"/>
          <w:b w:val="0"/>
        </w:rPr>
      </w:pPr>
      <w:r w:rsidRPr="00FA7423">
        <w:rPr>
          <w:rFonts w:eastAsia="SimSun"/>
          <w:b w:val="0"/>
        </w:rPr>
        <w:t>A.</w:t>
      </w:r>
      <w:r w:rsidRPr="00FA7423">
        <w:rPr>
          <w:rFonts w:eastAsia="SimSun"/>
          <w:b w:val="0"/>
        </w:rPr>
        <w:tab/>
      </w:r>
      <w:r>
        <w:rPr>
          <w:rFonts w:eastAsia="SimSun"/>
          <w:b w:val="0"/>
        </w:rPr>
        <w:t xml:space="preserve">This charge is intended to recover the cost associated with procuring and managing gas supply for sales customers.  It is also intended to recover the cost associated with PSE’s storage facilities used to manage gas supply for its sales customers. </w:t>
      </w:r>
    </w:p>
    <w:p w:rsidR="008B3D6F" w:rsidRPr="00FA7423" w:rsidRDefault="008B3D6F" w:rsidP="008B3D6F">
      <w:pPr>
        <w:pStyle w:val="answer"/>
        <w:rPr>
          <w:rFonts w:eastAsia="SimSun"/>
          <w:b/>
        </w:rPr>
      </w:pPr>
      <w:r w:rsidRPr="00FA7423">
        <w:rPr>
          <w:rFonts w:eastAsia="SimSun"/>
          <w:b/>
        </w:rPr>
        <w:t>Q.</w:t>
      </w:r>
      <w:r w:rsidRPr="00FA7423">
        <w:rPr>
          <w:rFonts w:eastAsia="SimSun"/>
          <w:b/>
        </w:rPr>
        <w:tab/>
        <w:t>To whom does this charge currently apply?</w:t>
      </w:r>
    </w:p>
    <w:p w:rsidR="008B3D6F" w:rsidRPr="00FA7423" w:rsidRDefault="008B3D6F" w:rsidP="008B3D6F">
      <w:pPr>
        <w:pStyle w:val="answer"/>
        <w:rPr>
          <w:rFonts w:eastAsia="SimSun"/>
        </w:rPr>
      </w:pPr>
      <w:r>
        <w:rPr>
          <w:rFonts w:eastAsia="SimSun"/>
        </w:rPr>
        <w:t>A.</w:t>
      </w:r>
      <w:r>
        <w:rPr>
          <w:rFonts w:eastAsia="SimSun"/>
        </w:rPr>
        <w:tab/>
        <w:t>This charge currently applies to non-residential gas customers served under gas Schedules 85, 86 and 87.  This charge was first implemented in 2005 as part of PSE’s 2004 GRC.  Prior to that time, these costs were recovered from all customers through base rates.</w:t>
      </w:r>
    </w:p>
    <w:p w:rsidR="00B45BFA" w:rsidRDefault="00B45BFA" w:rsidP="008B3D6F">
      <w:pPr>
        <w:pStyle w:val="question"/>
        <w:widowControl w:val="0"/>
        <w:rPr>
          <w:rFonts w:eastAsia="SimSun"/>
        </w:rPr>
      </w:pPr>
    </w:p>
    <w:p w:rsidR="00B45BFA" w:rsidRDefault="00B45BFA" w:rsidP="008B3D6F">
      <w:pPr>
        <w:pStyle w:val="question"/>
        <w:widowControl w:val="0"/>
        <w:rPr>
          <w:rFonts w:eastAsia="SimSun"/>
        </w:rPr>
      </w:pPr>
    </w:p>
    <w:p w:rsidR="008B3D6F" w:rsidRDefault="008B3D6F" w:rsidP="008B3D6F">
      <w:pPr>
        <w:pStyle w:val="question"/>
        <w:widowControl w:val="0"/>
        <w:rPr>
          <w:rFonts w:eastAsia="SimSun"/>
        </w:rPr>
      </w:pPr>
      <w:r w:rsidRPr="009075DC">
        <w:rPr>
          <w:rFonts w:eastAsia="SimSun"/>
        </w:rPr>
        <w:lastRenderedPageBreak/>
        <w:t>Q.</w:t>
      </w:r>
      <w:r w:rsidRPr="009075DC">
        <w:rPr>
          <w:rFonts w:eastAsia="SimSun"/>
        </w:rPr>
        <w:tab/>
      </w:r>
      <w:r>
        <w:rPr>
          <w:rFonts w:eastAsia="SimSun"/>
        </w:rPr>
        <w:t>What change is PSE proposing with regard to this charge?</w:t>
      </w:r>
    </w:p>
    <w:p w:rsidR="008B3D6F" w:rsidRDefault="008B3D6F" w:rsidP="008B3D6F">
      <w:pPr>
        <w:pStyle w:val="answer"/>
        <w:rPr>
          <w:rFonts w:eastAsia="SimSun"/>
        </w:rPr>
      </w:pPr>
      <w:r>
        <w:rPr>
          <w:rFonts w:eastAsia="SimSun"/>
        </w:rPr>
        <w:t>A.</w:t>
      </w:r>
      <w:r>
        <w:rPr>
          <w:rFonts w:eastAsia="SimSun"/>
        </w:rPr>
        <w:tab/>
        <w:t>PSE proposes to extend the application of this charge to non-residential customers served under Schedules 31 and 41.  Simultaneously, PSE proposes to eliminate the Gas Procurement Credit for customers served under Schedule 31T and 41T. PSE also proposes to update the Gas Procurement Charge to reflect current costs for each schedule to which it applies.</w:t>
      </w:r>
    </w:p>
    <w:p w:rsidR="008B3D6F" w:rsidRPr="00FA7423" w:rsidRDefault="008B3D6F" w:rsidP="008B3D6F">
      <w:pPr>
        <w:pStyle w:val="answer"/>
        <w:rPr>
          <w:rFonts w:eastAsia="SimSun"/>
          <w:b/>
        </w:rPr>
      </w:pPr>
      <w:r w:rsidRPr="00FA7423">
        <w:rPr>
          <w:rFonts w:eastAsia="SimSun"/>
          <w:b/>
        </w:rPr>
        <w:t>Q.</w:t>
      </w:r>
      <w:r w:rsidRPr="00FA7423">
        <w:rPr>
          <w:rFonts w:eastAsia="SimSun"/>
          <w:b/>
        </w:rPr>
        <w:tab/>
        <w:t>Why is PSE proposing th</w:t>
      </w:r>
      <w:r>
        <w:rPr>
          <w:rFonts w:eastAsia="SimSun"/>
          <w:b/>
        </w:rPr>
        <w:t>ese</w:t>
      </w:r>
      <w:r w:rsidRPr="00FA7423">
        <w:rPr>
          <w:rFonts w:eastAsia="SimSun"/>
          <w:b/>
        </w:rPr>
        <w:t xml:space="preserve"> change</w:t>
      </w:r>
      <w:r>
        <w:rPr>
          <w:rFonts w:eastAsia="SimSun"/>
          <w:b/>
        </w:rPr>
        <w:t>s</w:t>
      </w:r>
      <w:r w:rsidRPr="00FA7423">
        <w:rPr>
          <w:rFonts w:eastAsia="SimSun"/>
          <w:b/>
        </w:rPr>
        <w:t>?</w:t>
      </w:r>
    </w:p>
    <w:p w:rsidR="00082010" w:rsidRDefault="008B3D6F" w:rsidP="008B3D6F">
      <w:pPr>
        <w:pStyle w:val="answer"/>
        <w:rPr>
          <w:rFonts w:eastAsia="SimSun"/>
        </w:rPr>
      </w:pPr>
      <w:r>
        <w:rPr>
          <w:rFonts w:eastAsia="SimSun"/>
        </w:rPr>
        <w:t>A.</w:t>
      </w:r>
      <w:r>
        <w:rPr>
          <w:rFonts w:eastAsia="SimSun"/>
        </w:rPr>
        <w:tab/>
        <w:t>PSE is proposing t</w:t>
      </w:r>
      <w:r w:rsidR="00F87670">
        <w:rPr>
          <w:rFonts w:eastAsia="SimSun"/>
        </w:rPr>
        <w:t>o add t</w:t>
      </w:r>
      <w:r>
        <w:rPr>
          <w:rFonts w:eastAsia="SimSun"/>
        </w:rPr>
        <w:t xml:space="preserve">his charge </w:t>
      </w:r>
      <w:r w:rsidR="00F87670">
        <w:rPr>
          <w:rFonts w:eastAsia="SimSun"/>
        </w:rPr>
        <w:t>to the bills of Schedule 31 and 41 to align better with the rate structure of the interruptible sales schedules that have a similar charge.  As currently applied, it is confusing to explain why firm transportation customers get a credit for these procurement costs while interruptible sales customers receive a charge.</w:t>
      </w:r>
      <w:r>
        <w:rPr>
          <w:rFonts w:eastAsia="SimSun"/>
        </w:rPr>
        <w:t xml:space="preserve">  When this charge was originally proposed in PSE’s 2004 GRC, it was intended to recover the associated supply-related costs only from sales customers so that the</w:t>
      </w:r>
      <w:r w:rsidR="00603A47">
        <w:rPr>
          <w:rFonts w:eastAsia="SimSun"/>
        </w:rPr>
        <w:t>se costs were not</w:t>
      </w:r>
      <w:r>
        <w:rPr>
          <w:rFonts w:eastAsia="SimSun"/>
        </w:rPr>
        <w:t xml:space="preserve"> borne by transportation customers who did not receive the services associated with these costs.  </w:t>
      </w:r>
    </w:p>
    <w:p w:rsidR="008B3D6F" w:rsidRPr="00FA7423" w:rsidRDefault="008B3D6F" w:rsidP="00082010">
      <w:pPr>
        <w:pStyle w:val="answer"/>
        <w:ind w:firstLine="0"/>
        <w:rPr>
          <w:rFonts w:eastAsia="SimSun"/>
        </w:rPr>
      </w:pPr>
      <w:r>
        <w:rPr>
          <w:rFonts w:eastAsia="SimSun"/>
        </w:rPr>
        <w:t xml:space="preserve">When </w:t>
      </w:r>
      <w:r w:rsidR="003E05B7">
        <w:rPr>
          <w:rFonts w:eastAsia="SimSun"/>
        </w:rPr>
        <w:t xml:space="preserve">PSE’s </w:t>
      </w:r>
      <w:r>
        <w:rPr>
          <w:rFonts w:eastAsia="SimSun"/>
        </w:rPr>
        <w:t xml:space="preserve">then-current transportation Schedule 57 was reorganized in </w:t>
      </w:r>
      <w:r w:rsidR="003E05B7">
        <w:rPr>
          <w:rFonts w:eastAsia="SimSun"/>
        </w:rPr>
        <w:t xml:space="preserve">its </w:t>
      </w:r>
      <w:r>
        <w:rPr>
          <w:rFonts w:eastAsia="SimSun"/>
        </w:rPr>
        <w:t>2007 GRC into the current set of parallel rate schedules (i.e., Schedules 31T, 41T, 85T, 86T and 87T),</w:t>
      </w:r>
      <w:r w:rsidR="00041701">
        <w:rPr>
          <w:rFonts w:eastAsia="SimSun"/>
        </w:rPr>
        <w:t xml:space="preserve"> PSE’s cost of service studies retained the pairing of sales and transportation customers (e.g., Schedule 85 and 85T) to maintain consistent delivery rates for each pairing</w:t>
      </w:r>
      <w:r w:rsidR="00082010">
        <w:rPr>
          <w:rFonts w:eastAsia="SimSun"/>
        </w:rPr>
        <w:t xml:space="preserve"> of parallel schedules</w:t>
      </w:r>
      <w:r w:rsidR="00041701">
        <w:rPr>
          <w:rFonts w:eastAsia="SimSun"/>
        </w:rPr>
        <w:t>.</w:t>
      </w:r>
      <w:r w:rsidR="00082010">
        <w:rPr>
          <w:rFonts w:eastAsia="SimSun"/>
        </w:rPr>
        <w:t xml:space="preserve"> To ensure that the new Schedules 85T, 86T and 87T did not bear the supply-related costs associated with</w:t>
      </w:r>
      <w:r>
        <w:rPr>
          <w:rFonts w:eastAsia="SimSun"/>
        </w:rPr>
        <w:t xml:space="preserve"> the procurement charge</w:t>
      </w:r>
      <w:r w:rsidR="00082010">
        <w:rPr>
          <w:rFonts w:eastAsia="SimSun"/>
        </w:rPr>
        <w:t>, they were only recovered from their parallel</w:t>
      </w:r>
      <w:r>
        <w:rPr>
          <w:rFonts w:eastAsia="SimSun"/>
        </w:rPr>
        <w:t xml:space="preserve"> Schedules </w:t>
      </w:r>
      <w:r>
        <w:rPr>
          <w:rFonts w:eastAsia="SimSun"/>
        </w:rPr>
        <w:lastRenderedPageBreak/>
        <w:t xml:space="preserve">85, 86 and 87.  </w:t>
      </w:r>
      <w:r w:rsidR="00082010">
        <w:rPr>
          <w:rFonts w:eastAsia="SimSun"/>
        </w:rPr>
        <w:t>However, two other transportation schedules were also created in the 2007 GRC (i.e., Schedules 31T and 41T) that did</w:t>
      </w:r>
      <w:r w:rsidR="00603A47">
        <w:rPr>
          <w:rFonts w:eastAsia="SimSun"/>
        </w:rPr>
        <w:t xml:space="preserve"> no</w:t>
      </w:r>
      <w:r w:rsidR="00082010">
        <w:rPr>
          <w:rFonts w:eastAsia="SimSun"/>
        </w:rPr>
        <w:t>t receive the same treatment.  The result has been that, since that time, Schedules 31T and 41T have been absorbing these costs in their delivery charges.</w:t>
      </w:r>
      <w:r w:rsidR="00082010">
        <w:rPr>
          <w:rStyle w:val="FootnoteReference"/>
          <w:rFonts w:eastAsia="SimSun"/>
        </w:rPr>
        <w:footnoteReference w:id="27"/>
      </w:r>
      <w:r w:rsidR="00082010">
        <w:rPr>
          <w:rFonts w:eastAsia="SimSun"/>
        </w:rPr>
        <w:t xml:space="preserve">  </w:t>
      </w:r>
      <w:r w:rsidR="00F87670">
        <w:rPr>
          <w:rFonts w:eastAsia="SimSun"/>
        </w:rPr>
        <w:t xml:space="preserve">The current proposal simply </w:t>
      </w:r>
      <w:r w:rsidR="00082010">
        <w:rPr>
          <w:rFonts w:eastAsia="SimSun"/>
        </w:rPr>
        <w:t xml:space="preserve">corrects this oversight by extending </w:t>
      </w:r>
      <w:r w:rsidR="00C52206">
        <w:rPr>
          <w:rFonts w:eastAsia="SimSun"/>
        </w:rPr>
        <w:t>the procurement charge</w:t>
      </w:r>
      <w:r w:rsidR="00F87670">
        <w:rPr>
          <w:rFonts w:eastAsia="SimSun"/>
        </w:rPr>
        <w:t xml:space="preserve"> to </w:t>
      </w:r>
      <w:r w:rsidR="00082010">
        <w:rPr>
          <w:rFonts w:eastAsia="SimSun"/>
        </w:rPr>
        <w:t>Schedules 31 and 41 so that the procurement-related costs that are allocated to their respective cost of service classes are not absorbed into the shared delivery charges of their paired transportation schedules</w:t>
      </w:r>
      <w:r w:rsidR="00F87670">
        <w:rPr>
          <w:rFonts w:eastAsia="SimSun"/>
        </w:rPr>
        <w:t>.</w:t>
      </w:r>
    </w:p>
    <w:p w:rsidR="008B3D6F" w:rsidRPr="009075DC" w:rsidRDefault="008B3D6F" w:rsidP="008B3D6F">
      <w:pPr>
        <w:pStyle w:val="question"/>
        <w:widowControl w:val="0"/>
        <w:rPr>
          <w:rFonts w:eastAsia="SimSun"/>
        </w:rPr>
      </w:pPr>
      <w:r w:rsidRPr="009075DC">
        <w:rPr>
          <w:rFonts w:eastAsia="SimSun"/>
        </w:rPr>
        <w:t>Q.</w:t>
      </w:r>
      <w:r w:rsidRPr="009075DC">
        <w:rPr>
          <w:rFonts w:eastAsia="SimSun"/>
        </w:rPr>
        <w:tab/>
      </w:r>
      <w:r>
        <w:rPr>
          <w:rFonts w:eastAsia="SimSun"/>
        </w:rPr>
        <w:t>How is the proposed storage charge being calculated?</w:t>
      </w:r>
    </w:p>
    <w:p w:rsidR="008B3D6F" w:rsidRDefault="008B3D6F" w:rsidP="008B3D6F">
      <w:pPr>
        <w:pStyle w:val="answer"/>
        <w:widowControl w:val="0"/>
        <w:rPr>
          <w:rFonts w:eastAsia="SimSun"/>
        </w:rPr>
      </w:pPr>
      <w:r w:rsidRPr="009075DC">
        <w:rPr>
          <w:rFonts w:eastAsia="SimSun"/>
        </w:rPr>
        <w:t>A.</w:t>
      </w:r>
      <w:r w:rsidRPr="009075DC">
        <w:rPr>
          <w:rFonts w:eastAsia="SimSun"/>
        </w:rPr>
        <w:tab/>
      </w:r>
      <w:r>
        <w:rPr>
          <w:rFonts w:eastAsia="SimSun"/>
        </w:rPr>
        <w:t xml:space="preserve">PSE is extending the current methodology for calculating this charge to customers served under Schedules 31 and 41.  In simple terms, these rates are calculated by first identifying the allocated gas supply and storage costs </w:t>
      </w:r>
      <w:r w:rsidR="003E05B7">
        <w:rPr>
          <w:rFonts w:eastAsia="SimSun"/>
        </w:rPr>
        <w:t xml:space="preserve">allocated </w:t>
      </w:r>
      <w:r>
        <w:rPr>
          <w:rFonts w:eastAsia="SimSun"/>
        </w:rPr>
        <w:t xml:space="preserve">to each rate group, subtracting certain cost associated with gas balancing and dividing the total by the group’s pro forma </w:t>
      </w:r>
      <w:r w:rsidR="00A10F73">
        <w:rPr>
          <w:rFonts w:eastAsia="SimSun"/>
        </w:rPr>
        <w:t xml:space="preserve">sales </w:t>
      </w:r>
      <w:r>
        <w:rPr>
          <w:rFonts w:eastAsia="SimSun"/>
        </w:rPr>
        <w:t>therm</w:t>
      </w:r>
      <w:r w:rsidR="00A10F73">
        <w:rPr>
          <w:rFonts w:eastAsia="SimSun"/>
        </w:rPr>
        <w:t>s</w:t>
      </w:r>
      <w:r w:rsidRPr="009075DC">
        <w:rPr>
          <w:rFonts w:eastAsia="SimSun"/>
        </w:rPr>
        <w:t>.</w:t>
      </w:r>
      <w:r>
        <w:rPr>
          <w:rFonts w:eastAsia="SimSun"/>
        </w:rPr>
        <w:t xml:space="preserve">  These calculations are summarized in Exhibit No.___(JAP-</w:t>
      </w:r>
      <w:r>
        <w:rPr>
          <w:rFonts w:eastAsia="SimSun"/>
        </w:rPr>
        <w:fldChar w:fldCharType="begin"/>
      </w:r>
      <w:r>
        <w:rPr>
          <w:rFonts w:eastAsia="SimSun"/>
        </w:rPr>
        <w:instrText xml:space="preserve"> REF _Ref441837380 \r \h </w:instrText>
      </w:r>
      <w:r>
        <w:rPr>
          <w:rFonts w:eastAsia="SimSun"/>
        </w:rPr>
      </w:r>
      <w:r>
        <w:rPr>
          <w:rFonts w:eastAsia="SimSun"/>
        </w:rPr>
        <w:fldChar w:fldCharType="separate"/>
      </w:r>
      <w:r w:rsidR="0035666C">
        <w:rPr>
          <w:rFonts w:eastAsia="SimSun"/>
        </w:rPr>
        <w:t>27</w:t>
      </w:r>
      <w:r>
        <w:rPr>
          <w:rFonts w:eastAsia="SimSun"/>
        </w:rPr>
        <w:fldChar w:fldCharType="end"/>
      </w:r>
      <w:r>
        <w:rPr>
          <w:rFonts w:eastAsia="SimSun"/>
        </w:rPr>
        <w:t>).</w:t>
      </w:r>
    </w:p>
    <w:p w:rsidR="003B5280" w:rsidRPr="003B5206" w:rsidRDefault="003B5280" w:rsidP="003B5280">
      <w:pPr>
        <w:pStyle w:val="Heading2"/>
        <w:spacing w:before="240" w:after="320"/>
      </w:pPr>
      <w:bookmarkStart w:id="157" w:name="_Toc294362343"/>
      <w:bookmarkStart w:id="158" w:name="_Toc471912968"/>
      <w:r w:rsidRPr="003B5206">
        <w:rPr>
          <w:u w:val="none"/>
        </w:rPr>
        <w:t>C.</w:t>
      </w:r>
      <w:r w:rsidRPr="003B5206">
        <w:rPr>
          <w:u w:val="none"/>
        </w:rPr>
        <w:tab/>
      </w:r>
      <w:r w:rsidRPr="003B5206">
        <w:t>Bill Impacts</w:t>
      </w:r>
      <w:bookmarkEnd w:id="157"/>
      <w:bookmarkEnd w:id="158"/>
    </w:p>
    <w:p w:rsidR="00C004F0" w:rsidRPr="009075DC" w:rsidRDefault="00C004F0" w:rsidP="00C004F0">
      <w:pPr>
        <w:pStyle w:val="question"/>
        <w:widowControl w:val="0"/>
        <w:rPr>
          <w:rFonts w:eastAsia="SimSun"/>
        </w:rPr>
      </w:pPr>
      <w:r w:rsidRPr="009075DC">
        <w:rPr>
          <w:rFonts w:eastAsia="SimSun"/>
        </w:rPr>
        <w:t>Q.</w:t>
      </w:r>
      <w:r w:rsidRPr="009075DC">
        <w:rPr>
          <w:rFonts w:eastAsia="SimSun"/>
        </w:rPr>
        <w:tab/>
      </w:r>
      <w:r>
        <w:rPr>
          <w:rFonts w:eastAsia="SimSun"/>
        </w:rPr>
        <w:t>What are the impacts of PSE’s proposed gas rates in this case?</w:t>
      </w:r>
    </w:p>
    <w:p w:rsidR="00C004F0" w:rsidRDefault="00C004F0" w:rsidP="00C004F0">
      <w:pPr>
        <w:pStyle w:val="answer"/>
        <w:widowControl w:val="0"/>
        <w:rPr>
          <w:rFonts w:eastAsia="SimSun"/>
        </w:rPr>
      </w:pPr>
      <w:r w:rsidRPr="009075DC">
        <w:rPr>
          <w:rFonts w:eastAsia="SimSun"/>
        </w:rPr>
        <w:t>A.</w:t>
      </w:r>
      <w:r w:rsidRPr="009075DC">
        <w:rPr>
          <w:rFonts w:eastAsia="SimSun"/>
        </w:rPr>
        <w:tab/>
      </w:r>
      <w:r>
        <w:rPr>
          <w:rFonts w:eastAsia="SimSun"/>
        </w:rPr>
        <w:t xml:space="preserve">As with the electric bill impacts, this calculation is slightly more complicated than in previous rate cases.  As with electric rates, several gas rider schedules will be </w:t>
      </w:r>
      <w:r>
        <w:rPr>
          <w:rFonts w:eastAsia="SimSun"/>
        </w:rPr>
        <w:lastRenderedPageBreak/>
        <w:t>reset concurrent with the effective date of new base</w:t>
      </w:r>
      <w:r w:rsidR="007C14BE">
        <w:rPr>
          <w:rFonts w:eastAsia="SimSun"/>
        </w:rPr>
        <w:t xml:space="preserve"> gas</w:t>
      </w:r>
      <w:r>
        <w:rPr>
          <w:rFonts w:eastAsia="SimSun"/>
        </w:rPr>
        <w:t xml:space="preserve"> rates resulting from this rate case.  Specifically, the impacts of the base </w:t>
      </w:r>
      <w:r w:rsidR="007C14BE">
        <w:rPr>
          <w:rFonts w:eastAsia="SimSun"/>
        </w:rPr>
        <w:t xml:space="preserve">gas </w:t>
      </w:r>
      <w:r>
        <w:rPr>
          <w:rFonts w:eastAsia="SimSun"/>
        </w:rPr>
        <w:t xml:space="preserve">rate changes must be added to the impacts of </w:t>
      </w:r>
      <w:r w:rsidR="007C14BE">
        <w:rPr>
          <w:rFonts w:eastAsia="SimSun"/>
        </w:rPr>
        <w:t xml:space="preserve">gas </w:t>
      </w:r>
      <w:r>
        <w:rPr>
          <w:rFonts w:eastAsia="SimSun"/>
        </w:rPr>
        <w:t>rate changes associated with the concurrent changes to PSE’s Schedule 141 (Expedited Rate Filing), Schedule 142 (Revenue Decoupling Adjustment Mechanism) and Schedule 149 (Cost Recovery Mechanism)</w:t>
      </w:r>
      <w:r w:rsidRPr="009075DC">
        <w:rPr>
          <w:rFonts w:eastAsia="SimSun"/>
        </w:rPr>
        <w:t>.</w:t>
      </w:r>
      <w:r>
        <w:rPr>
          <w:rFonts w:eastAsia="SimSun"/>
        </w:rPr>
        <w:t xml:space="preserve">  The combined impact of these changes, based on rates currently in effect, is presented below in </w:t>
      </w:r>
      <w:r>
        <w:rPr>
          <w:rFonts w:eastAsia="SimSun"/>
        </w:rPr>
        <w:fldChar w:fldCharType="begin"/>
      </w:r>
      <w:r>
        <w:rPr>
          <w:rFonts w:eastAsia="SimSun"/>
        </w:rPr>
        <w:instrText xml:space="preserve"> REF _Ref441674523 \h </w:instrText>
      </w:r>
      <w:r>
        <w:rPr>
          <w:rFonts w:eastAsia="SimSun"/>
        </w:rPr>
      </w:r>
      <w:r>
        <w:rPr>
          <w:rFonts w:eastAsia="SimSun"/>
        </w:rPr>
        <w:fldChar w:fldCharType="separate"/>
      </w:r>
      <w:r w:rsidR="0035666C" w:rsidRPr="009075DC">
        <w:rPr>
          <w:rFonts w:eastAsia="SimSun"/>
          <w:szCs w:val="24"/>
        </w:rPr>
        <w:t xml:space="preserve">Table </w:t>
      </w:r>
      <w:r w:rsidR="0035666C">
        <w:rPr>
          <w:rFonts w:eastAsia="SimSun"/>
          <w:noProof/>
          <w:szCs w:val="24"/>
        </w:rPr>
        <w:t>12</w:t>
      </w:r>
      <w:r>
        <w:rPr>
          <w:rFonts w:eastAsia="SimSun"/>
        </w:rPr>
        <w:fldChar w:fldCharType="end"/>
      </w:r>
      <w:r>
        <w:rPr>
          <w:rFonts w:eastAsia="SimSun"/>
        </w:rPr>
        <w:t>.  Exhibit No.___(JAP-</w:t>
      </w:r>
      <w:r>
        <w:rPr>
          <w:rFonts w:eastAsia="SimSun"/>
        </w:rPr>
        <w:fldChar w:fldCharType="begin"/>
      </w:r>
      <w:r>
        <w:rPr>
          <w:rFonts w:eastAsia="SimSun"/>
        </w:rPr>
        <w:instrText xml:space="preserve"> REF _Ref441674600 \r \h </w:instrText>
      </w:r>
      <w:r>
        <w:rPr>
          <w:rFonts w:eastAsia="SimSun"/>
        </w:rPr>
      </w:r>
      <w:r>
        <w:rPr>
          <w:rFonts w:eastAsia="SimSun"/>
        </w:rPr>
        <w:fldChar w:fldCharType="separate"/>
      </w:r>
      <w:r w:rsidR="0035666C">
        <w:rPr>
          <w:rFonts w:eastAsia="SimSun"/>
        </w:rPr>
        <w:t>28</w:t>
      </w:r>
      <w:r>
        <w:rPr>
          <w:rFonts w:eastAsia="SimSun"/>
        </w:rPr>
        <w:fldChar w:fldCharType="end"/>
      </w:r>
      <w:r>
        <w:rPr>
          <w:rFonts w:eastAsia="SimSun"/>
        </w:rPr>
        <w:t>) presents the contributions made by each of the base and rider rate changes to the overall bill impact. Note, however, that it is expected that rates within Schedule 142 will be updated on May 1, 201</w:t>
      </w:r>
      <w:r w:rsidR="00B46243">
        <w:rPr>
          <w:rFonts w:eastAsia="SimSun"/>
        </w:rPr>
        <w:t>7</w:t>
      </w:r>
      <w:r>
        <w:rPr>
          <w:rFonts w:eastAsia="SimSun"/>
        </w:rPr>
        <w:t xml:space="preserve"> and rates within Schedule 149 will be updated on November 1, 201</w:t>
      </w:r>
      <w:r w:rsidR="00B46243">
        <w:rPr>
          <w:rFonts w:eastAsia="SimSun"/>
        </w:rPr>
        <w:t>7</w:t>
      </w:r>
      <w:r>
        <w:rPr>
          <w:rFonts w:eastAsia="SimSun"/>
        </w:rPr>
        <w:t>.  So, the ultimate impacts to customer bills at the time of the compliance filing for this case will be different than those shown below.</w:t>
      </w:r>
    </w:p>
    <w:p w:rsidR="00C004F0" w:rsidRPr="00E96E4D" w:rsidRDefault="00C004F0" w:rsidP="00C004F0">
      <w:pPr>
        <w:pStyle w:val="Caption"/>
        <w:keepNext/>
        <w:jc w:val="center"/>
        <w:rPr>
          <w:rFonts w:eastAsia="SimSun"/>
          <w:sz w:val="24"/>
          <w:szCs w:val="24"/>
          <w:lang w:eastAsia="zh-CN"/>
        </w:rPr>
      </w:pPr>
      <w:bookmarkStart w:id="159" w:name="_Ref441674523"/>
      <w:r w:rsidRPr="009075DC">
        <w:rPr>
          <w:rFonts w:eastAsia="SimSun"/>
          <w:sz w:val="24"/>
          <w:szCs w:val="24"/>
          <w:lang w:eastAsia="zh-CN"/>
        </w:rPr>
        <w:t xml:space="preserve">Table </w:t>
      </w:r>
      <w:r w:rsidRPr="009075DC">
        <w:rPr>
          <w:rFonts w:eastAsia="SimSun"/>
          <w:sz w:val="24"/>
          <w:szCs w:val="24"/>
          <w:lang w:eastAsia="zh-CN"/>
        </w:rPr>
        <w:fldChar w:fldCharType="begin"/>
      </w:r>
      <w:r w:rsidRPr="009075DC">
        <w:rPr>
          <w:rFonts w:eastAsia="SimSun"/>
          <w:sz w:val="24"/>
          <w:szCs w:val="24"/>
          <w:lang w:eastAsia="zh-CN"/>
        </w:rPr>
        <w:instrText xml:space="preserve"> SEQ Table \* ARABIC </w:instrText>
      </w:r>
      <w:r w:rsidRPr="009075DC">
        <w:rPr>
          <w:rFonts w:eastAsia="SimSun"/>
          <w:sz w:val="24"/>
          <w:szCs w:val="24"/>
          <w:lang w:eastAsia="zh-CN"/>
        </w:rPr>
        <w:fldChar w:fldCharType="separate"/>
      </w:r>
      <w:r w:rsidR="0035666C">
        <w:rPr>
          <w:rFonts w:eastAsia="SimSun"/>
          <w:noProof/>
          <w:sz w:val="24"/>
          <w:szCs w:val="24"/>
          <w:lang w:eastAsia="zh-CN"/>
        </w:rPr>
        <w:t>12</w:t>
      </w:r>
      <w:r w:rsidRPr="009075DC">
        <w:rPr>
          <w:rFonts w:eastAsia="SimSun"/>
          <w:sz w:val="24"/>
          <w:szCs w:val="24"/>
          <w:lang w:eastAsia="zh-CN"/>
        </w:rPr>
        <w:fldChar w:fldCharType="end"/>
      </w:r>
      <w:bookmarkEnd w:id="159"/>
      <w:r w:rsidRPr="009075DC">
        <w:rPr>
          <w:rFonts w:eastAsia="SimSun"/>
          <w:sz w:val="24"/>
          <w:szCs w:val="24"/>
          <w:lang w:eastAsia="zh-CN"/>
        </w:rPr>
        <w:t xml:space="preserve"> </w:t>
      </w:r>
      <w:r>
        <w:rPr>
          <w:rFonts w:eastAsia="SimSun"/>
          <w:sz w:val="24"/>
          <w:szCs w:val="24"/>
          <w:lang w:eastAsia="zh-CN"/>
        </w:rPr>
        <w:t>–</w:t>
      </w:r>
      <w:r w:rsidRPr="009075DC">
        <w:rPr>
          <w:rFonts w:eastAsia="SimSun"/>
          <w:sz w:val="24"/>
          <w:szCs w:val="24"/>
          <w:lang w:eastAsia="zh-CN"/>
        </w:rPr>
        <w:t xml:space="preserve"> </w:t>
      </w:r>
      <w:r>
        <w:rPr>
          <w:rFonts w:eastAsia="SimSun"/>
          <w:sz w:val="24"/>
          <w:szCs w:val="24"/>
          <w:lang w:eastAsia="zh-CN"/>
        </w:rPr>
        <w:t>Estimated Gas</w:t>
      </w:r>
      <w:r w:rsidRPr="009075DC">
        <w:rPr>
          <w:rFonts w:eastAsia="SimSun"/>
          <w:sz w:val="24"/>
          <w:szCs w:val="24"/>
          <w:lang w:eastAsia="zh-CN"/>
        </w:rPr>
        <w:t xml:space="preserve"> </w:t>
      </w:r>
      <w:r>
        <w:rPr>
          <w:rFonts w:eastAsia="SimSun"/>
          <w:sz w:val="24"/>
          <w:szCs w:val="24"/>
          <w:lang w:eastAsia="zh-CN"/>
        </w:rPr>
        <w:t>Bill</w:t>
      </w:r>
      <w:r w:rsidRPr="009075DC">
        <w:rPr>
          <w:rFonts w:eastAsia="SimSun"/>
          <w:sz w:val="24"/>
          <w:szCs w:val="24"/>
          <w:lang w:eastAsia="zh-CN"/>
        </w:rPr>
        <w:t xml:space="preserve"> </w:t>
      </w:r>
      <w:r>
        <w:rPr>
          <w:rFonts w:eastAsia="SimSun"/>
          <w:sz w:val="24"/>
          <w:szCs w:val="24"/>
          <w:lang w:eastAsia="zh-CN"/>
        </w:rPr>
        <w:t>Impacts from Proposed Base and Rider Rates</w:t>
      </w:r>
    </w:p>
    <w:tbl>
      <w:tblPr>
        <w:tblpPr w:leftFromText="180" w:rightFromText="180" w:vertAnchor="text" w:horzAnchor="margin" w:tblpXSpec="center" w:tblpY="314"/>
        <w:tblW w:w="7038" w:type="dxa"/>
        <w:tblLayout w:type="fixed"/>
        <w:tblLook w:val="0000" w:firstRow="0" w:lastRow="0" w:firstColumn="0" w:lastColumn="0" w:noHBand="0" w:noVBand="0"/>
      </w:tblPr>
      <w:tblGrid>
        <w:gridCol w:w="3528"/>
        <w:gridCol w:w="2142"/>
        <w:gridCol w:w="1368"/>
      </w:tblGrid>
      <w:tr w:rsidR="00587E33" w:rsidRPr="009075DC" w:rsidTr="008F2DD6">
        <w:trPr>
          <w:cantSplit/>
          <w:trHeight w:val="769"/>
        </w:trPr>
        <w:tc>
          <w:tcPr>
            <w:tcW w:w="3528" w:type="dxa"/>
            <w:tcBorders>
              <w:top w:val="single" w:sz="4" w:space="0" w:color="auto"/>
              <w:bottom w:val="single" w:sz="4" w:space="0" w:color="auto"/>
            </w:tcBorders>
            <w:vAlign w:val="center"/>
          </w:tcPr>
          <w:p w:rsidR="00587E33" w:rsidRPr="009075DC" w:rsidRDefault="00587E33" w:rsidP="008F2DD6">
            <w:pPr>
              <w:widowControl w:val="0"/>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2142" w:type="dxa"/>
            <w:tcBorders>
              <w:top w:val="single" w:sz="4" w:space="0" w:color="auto"/>
              <w:bottom w:val="single" w:sz="4" w:space="0" w:color="auto"/>
            </w:tcBorders>
            <w:vAlign w:val="center"/>
          </w:tcPr>
          <w:p w:rsidR="00587E33" w:rsidRPr="009075DC" w:rsidRDefault="00587E33" w:rsidP="008F2DD6">
            <w:pPr>
              <w:widowControl w:val="0"/>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368" w:type="dxa"/>
            <w:tcBorders>
              <w:top w:val="single" w:sz="4" w:space="0" w:color="auto"/>
              <w:bottom w:val="single" w:sz="4" w:space="0" w:color="auto"/>
            </w:tcBorders>
            <w:vAlign w:val="center"/>
          </w:tcPr>
          <w:p w:rsidR="00587E33" w:rsidRPr="009075DC" w:rsidRDefault="00587E33" w:rsidP="008F2DD6">
            <w:pPr>
              <w:widowControl w:val="0"/>
              <w:spacing w:beforeLines="20" w:before="48" w:afterLines="20" w:after="48" w:line="240" w:lineRule="auto"/>
              <w:ind w:firstLine="0"/>
              <w:jc w:val="center"/>
              <w:rPr>
                <w:rFonts w:eastAsia="SimSun"/>
                <w:b/>
                <w:bCs/>
                <w:szCs w:val="24"/>
              </w:rPr>
            </w:pPr>
            <w:r>
              <w:rPr>
                <w:rFonts w:eastAsia="SimSun"/>
                <w:b/>
                <w:bCs/>
                <w:szCs w:val="24"/>
              </w:rPr>
              <w:t>Overall Impact</w:t>
            </w:r>
          </w:p>
        </w:tc>
      </w:tr>
      <w:tr w:rsidR="00587E33" w:rsidRPr="001D2B74" w:rsidTr="008F2DD6">
        <w:trPr>
          <w:cantSplit/>
          <w:trHeight w:val="312"/>
        </w:trPr>
        <w:tc>
          <w:tcPr>
            <w:tcW w:w="3528" w:type="dxa"/>
            <w:vAlign w:val="bottom"/>
          </w:tcPr>
          <w:p w:rsidR="00587E33" w:rsidRPr="003B5206" w:rsidRDefault="00587E33" w:rsidP="008F2DD6">
            <w:pPr>
              <w:pStyle w:val="answer"/>
              <w:keepNext/>
              <w:spacing w:before="60" w:after="60" w:line="240" w:lineRule="auto"/>
              <w:ind w:left="0" w:firstLine="0"/>
            </w:pPr>
            <w:r w:rsidRPr="003B5206">
              <w:t>Re</w:t>
            </w:r>
            <w:r>
              <w:t>sidential</w:t>
            </w:r>
          </w:p>
        </w:tc>
        <w:tc>
          <w:tcPr>
            <w:tcW w:w="2142" w:type="dxa"/>
          </w:tcPr>
          <w:p w:rsidR="00587E33" w:rsidRPr="00683198" w:rsidRDefault="00587E33" w:rsidP="008F2DD6">
            <w:pPr>
              <w:pStyle w:val="answer"/>
              <w:keepNext/>
              <w:spacing w:before="60" w:after="60" w:line="240" w:lineRule="auto"/>
              <w:ind w:left="0" w:firstLine="0"/>
              <w:jc w:val="center"/>
            </w:pPr>
            <w:r w:rsidRPr="00683198">
              <w:t>16/23/53</w:t>
            </w:r>
          </w:p>
        </w:tc>
        <w:tc>
          <w:tcPr>
            <w:tcW w:w="1368" w:type="dxa"/>
            <w:vAlign w:val="bottom"/>
          </w:tcPr>
          <w:p w:rsidR="00587E33" w:rsidRPr="00B46243" w:rsidRDefault="00587E33" w:rsidP="008F2DD6">
            <w:pPr>
              <w:pStyle w:val="answer"/>
              <w:keepNext/>
              <w:spacing w:before="60" w:after="60" w:line="240" w:lineRule="auto"/>
              <w:ind w:left="0" w:firstLine="0"/>
              <w:jc w:val="center"/>
            </w:pPr>
            <w:r>
              <w:t>-2.9</w:t>
            </w:r>
            <w:r w:rsidRPr="00B46243">
              <w:t>%</w:t>
            </w:r>
          </w:p>
        </w:tc>
      </w:tr>
      <w:tr w:rsidR="00587E33" w:rsidRPr="001D2B74" w:rsidTr="008F2DD6">
        <w:trPr>
          <w:cantSplit/>
          <w:trHeight w:val="337"/>
        </w:trPr>
        <w:tc>
          <w:tcPr>
            <w:tcW w:w="3528" w:type="dxa"/>
            <w:vAlign w:val="bottom"/>
          </w:tcPr>
          <w:p w:rsidR="00587E33" w:rsidRPr="003B5206" w:rsidRDefault="00587E33" w:rsidP="008F2DD6">
            <w:pPr>
              <w:pStyle w:val="answer"/>
              <w:keepNext/>
              <w:spacing w:before="60" w:after="60" w:line="240" w:lineRule="auto"/>
              <w:ind w:left="0" w:firstLine="0"/>
            </w:pPr>
            <w:r w:rsidRPr="003B5206">
              <w:t>Commercial &amp; In</w:t>
            </w:r>
            <w:r>
              <w:t>dustrial</w:t>
            </w:r>
          </w:p>
        </w:tc>
        <w:tc>
          <w:tcPr>
            <w:tcW w:w="2142" w:type="dxa"/>
          </w:tcPr>
          <w:p w:rsidR="00587E33" w:rsidRPr="00683198" w:rsidRDefault="00587E33" w:rsidP="008F2DD6">
            <w:pPr>
              <w:pStyle w:val="answer"/>
              <w:keepNext/>
              <w:spacing w:before="60" w:after="60" w:line="240" w:lineRule="auto"/>
              <w:ind w:left="0" w:firstLine="0"/>
              <w:jc w:val="center"/>
            </w:pPr>
            <w:r>
              <w:t>31/31T</w:t>
            </w:r>
          </w:p>
        </w:tc>
        <w:tc>
          <w:tcPr>
            <w:tcW w:w="1368" w:type="dxa"/>
            <w:vAlign w:val="bottom"/>
          </w:tcPr>
          <w:p w:rsidR="00587E33" w:rsidRPr="00B46243" w:rsidRDefault="00587E33" w:rsidP="008F2DD6">
            <w:pPr>
              <w:pStyle w:val="answer"/>
              <w:keepNext/>
              <w:spacing w:before="60" w:after="60" w:line="240" w:lineRule="auto"/>
              <w:ind w:left="0" w:firstLine="0"/>
              <w:jc w:val="center"/>
            </w:pPr>
            <w:r>
              <w:t>-1.0</w:t>
            </w:r>
            <w:r w:rsidRPr="00B46243">
              <w:t>%</w:t>
            </w:r>
          </w:p>
        </w:tc>
      </w:tr>
      <w:tr w:rsidR="00587E33" w:rsidRPr="001D2B74" w:rsidTr="008F2DD6">
        <w:trPr>
          <w:cantSplit/>
          <w:trHeight w:val="312"/>
        </w:trPr>
        <w:tc>
          <w:tcPr>
            <w:tcW w:w="3528" w:type="dxa"/>
            <w:vAlign w:val="bottom"/>
          </w:tcPr>
          <w:p w:rsidR="00587E33" w:rsidRPr="003B5206" w:rsidRDefault="00587E33" w:rsidP="008F2DD6">
            <w:pPr>
              <w:pStyle w:val="answer"/>
              <w:keepNext/>
              <w:spacing w:before="60" w:after="60" w:line="240" w:lineRule="auto"/>
              <w:ind w:left="0" w:firstLine="0"/>
            </w:pPr>
            <w:r>
              <w:t>Large Volume</w:t>
            </w:r>
          </w:p>
        </w:tc>
        <w:tc>
          <w:tcPr>
            <w:tcW w:w="2142" w:type="dxa"/>
          </w:tcPr>
          <w:p w:rsidR="00587E33" w:rsidRPr="00683198" w:rsidRDefault="00587E33" w:rsidP="008F2DD6">
            <w:pPr>
              <w:pStyle w:val="answer"/>
              <w:keepNext/>
              <w:spacing w:before="60" w:after="60" w:line="240" w:lineRule="auto"/>
              <w:ind w:left="0" w:firstLine="0"/>
              <w:jc w:val="center"/>
            </w:pPr>
            <w:r w:rsidRPr="00683198">
              <w:t>41/41T</w:t>
            </w:r>
          </w:p>
        </w:tc>
        <w:tc>
          <w:tcPr>
            <w:tcW w:w="1368" w:type="dxa"/>
            <w:vAlign w:val="bottom"/>
          </w:tcPr>
          <w:p w:rsidR="00587E33" w:rsidRPr="00B46243" w:rsidRDefault="00587E33" w:rsidP="008F2DD6">
            <w:pPr>
              <w:pStyle w:val="answer"/>
              <w:keepNext/>
              <w:spacing w:before="60" w:after="60" w:line="240" w:lineRule="auto"/>
              <w:ind w:left="0" w:firstLine="0"/>
              <w:jc w:val="center"/>
            </w:pPr>
            <w:r w:rsidRPr="00B46243">
              <w:t>-0.</w:t>
            </w:r>
            <w:r>
              <w:t>9</w:t>
            </w:r>
            <w:r w:rsidRPr="00B46243">
              <w:t>%</w:t>
            </w:r>
          </w:p>
        </w:tc>
      </w:tr>
      <w:tr w:rsidR="00587E33" w:rsidRPr="001D2B74" w:rsidTr="008F2DD6">
        <w:trPr>
          <w:cantSplit/>
          <w:trHeight w:val="324"/>
        </w:trPr>
        <w:tc>
          <w:tcPr>
            <w:tcW w:w="3528" w:type="dxa"/>
            <w:vAlign w:val="bottom"/>
          </w:tcPr>
          <w:p w:rsidR="00587E33" w:rsidRPr="003B5206" w:rsidRDefault="00587E33" w:rsidP="008F2DD6">
            <w:pPr>
              <w:pStyle w:val="answer"/>
              <w:keepNext/>
              <w:spacing w:before="60" w:after="60" w:line="240" w:lineRule="auto"/>
              <w:ind w:left="0" w:firstLine="0"/>
            </w:pPr>
            <w:r>
              <w:t>Interruptible</w:t>
            </w:r>
          </w:p>
        </w:tc>
        <w:tc>
          <w:tcPr>
            <w:tcW w:w="2142" w:type="dxa"/>
          </w:tcPr>
          <w:p w:rsidR="00587E33" w:rsidRPr="00683198" w:rsidRDefault="00587E33" w:rsidP="008F2DD6">
            <w:pPr>
              <w:pStyle w:val="answer"/>
              <w:keepNext/>
              <w:spacing w:before="60" w:after="60" w:line="240" w:lineRule="auto"/>
              <w:ind w:left="0" w:firstLine="0"/>
              <w:jc w:val="center"/>
            </w:pPr>
            <w:r w:rsidRPr="00683198">
              <w:t>85/85T</w:t>
            </w:r>
          </w:p>
        </w:tc>
        <w:tc>
          <w:tcPr>
            <w:tcW w:w="1368" w:type="dxa"/>
            <w:vAlign w:val="bottom"/>
          </w:tcPr>
          <w:p w:rsidR="00587E33" w:rsidRPr="00B46243" w:rsidRDefault="00587E33" w:rsidP="008F2DD6">
            <w:pPr>
              <w:pStyle w:val="answer"/>
              <w:keepNext/>
              <w:spacing w:before="60" w:after="60" w:line="240" w:lineRule="auto"/>
              <w:ind w:left="0" w:firstLine="0"/>
              <w:jc w:val="center"/>
            </w:pPr>
            <w:r w:rsidRPr="00B46243">
              <w:t>-</w:t>
            </w:r>
            <w:r>
              <w:t>2.7</w:t>
            </w:r>
            <w:r w:rsidRPr="00B46243">
              <w:t>%</w:t>
            </w:r>
          </w:p>
        </w:tc>
      </w:tr>
      <w:tr w:rsidR="00587E33" w:rsidRPr="001D2B74" w:rsidTr="008F2DD6">
        <w:trPr>
          <w:cantSplit/>
          <w:trHeight w:val="324"/>
        </w:trPr>
        <w:tc>
          <w:tcPr>
            <w:tcW w:w="3528" w:type="dxa"/>
            <w:vAlign w:val="bottom"/>
          </w:tcPr>
          <w:p w:rsidR="00587E33" w:rsidRPr="003B5206" w:rsidRDefault="00587E33" w:rsidP="008F2DD6">
            <w:pPr>
              <w:pStyle w:val="answer"/>
              <w:keepNext/>
              <w:spacing w:before="60" w:after="60" w:line="240" w:lineRule="auto"/>
              <w:ind w:left="0" w:firstLine="0"/>
            </w:pPr>
            <w:r w:rsidRPr="003B5206">
              <w:t xml:space="preserve">Limited </w:t>
            </w:r>
            <w:r>
              <w:t>Interruptible</w:t>
            </w:r>
          </w:p>
        </w:tc>
        <w:tc>
          <w:tcPr>
            <w:tcW w:w="2142" w:type="dxa"/>
          </w:tcPr>
          <w:p w:rsidR="00587E33" w:rsidRPr="00683198" w:rsidRDefault="00587E33" w:rsidP="008F2DD6">
            <w:pPr>
              <w:pStyle w:val="answer"/>
              <w:keepNext/>
              <w:spacing w:before="60" w:after="60" w:line="240" w:lineRule="auto"/>
              <w:ind w:left="0" w:firstLine="0"/>
              <w:jc w:val="center"/>
            </w:pPr>
            <w:r w:rsidRPr="00683198">
              <w:t>86/86T</w:t>
            </w:r>
          </w:p>
        </w:tc>
        <w:tc>
          <w:tcPr>
            <w:tcW w:w="1368" w:type="dxa"/>
            <w:vAlign w:val="bottom"/>
          </w:tcPr>
          <w:p w:rsidR="00587E33" w:rsidRPr="00B46243" w:rsidRDefault="00587E33" w:rsidP="008F2DD6">
            <w:pPr>
              <w:pStyle w:val="answer"/>
              <w:keepNext/>
              <w:spacing w:before="60" w:after="60" w:line="240" w:lineRule="auto"/>
              <w:ind w:left="0" w:firstLine="0"/>
              <w:jc w:val="center"/>
            </w:pPr>
            <w:r w:rsidRPr="00B46243">
              <w:t>-</w:t>
            </w:r>
            <w:r>
              <w:t>1.5</w:t>
            </w:r>
            <w:r w:rsidRPr="00B46243">
              <w:t>%</w:t>
            </w:r>
          </w:p>
        </w:tc>
      </w:tr>
      <w:tr w:rsidR="00587E33" w:rsidRPr="001D2B74" w:rsidTr="008F2DD6">
        <w:trPr>
          <w:cantSplit/>
          <w:trHeight w:val="300"/>
        </w:trPr>
        <w:tc>
          <w:tcPr>
            <w:tcW w:w="3528" w:type="dxa"/>
            <w:vAlign w:val="bottom"/>
          </w:tcPr>
          <w:p w:rsidR="00587E33" w:rsidRPr="003B5206" w:rsidRDefault="00587E33" w:rsidP="008F2DD6">
            <w:pPr>
              <w:pStyle w:val="answer"/>
              <w:keepNext/>
              <w:spacing w:before="60" w:after="60" w:line="240" w:lineRule="auto"/>
              <w:ind w:left="0" w:firstLine="0"/>
            </w:pPr>
            <w:r w:rsidRPr="003B5206">
              <w:t>Non-exclusive I</w:t>
            </w:r>
            <w:r>
              <w:t>nterruptible</w:t>
            </w:r>
          </w:p>
        </w:tc>
        <w:tc>
          <w:tcPr>
            <w:tcW w:w="2142" w:type="dxa"/>
          </w:tcPr>
          <w:p w:rsidR="00587E33" w:rsidRPr="00683198" w:rsidRDefault="00587E33" w:rsidP="008F2DD6">
            <w:pPr>
              <w:pStyle w:val="answer"/>
              <w:keepNext/>
              <w:spacing w:before="60" w:after="60" w:line="240" w:lineRule="auto"/>
              <w:ind w:left="0" w:firstLine="0"/>
              <w:jc w:val="center"/>
            </w:pPr>
            <w:r w:rsidRPr="00683198">
              <w:t>87/87T</w:t>
            </w:r>
          </w:p>
        </w:tc>
        <w:tc>
          <w:tcPr>
            <w:tcW w:w="1368" w:type="dxa"/>
            <w:vAlign w:val="bottom"/>
          </w:tcPr>
          <w:p w:rsidR="00587E33" w:rsidRPr="00B46243" w:rsidRDefault="00587E33" w:rsidP="008F2DD6">
            <w:pPr>
              <w:pStyle w:val="answer"/>
              <w:keepNext/>
              <w:spacing w:before="60" w:after="60" w:line="240" w:lineRule="auto"/>
              <w:ind w:left="0" w:firstLine="0"/>
              <w:jc w:val="center"/>
            </w:pPr>
            <w:r>
              <w:t>-2.3</w:t>
            </w:r>
            <w:r w:rsidRPr="00B46243">
              <w:t>%</w:t>
            </w:r>
          </w:p>
        </w:tc>
      </w:tr>
      <w:tr w:rsidR="00587E33" w:rsidRPr="001D2B74" w:rsidTr="008F2DD6">
        <w:trPr>
          <w:cantSplit/>
          <w:trHeight w:val="324"/>
        </w:trPr>
        <w:tc>
          <w:tcPr>
            <w:tcW w:w="3528" w:type="dxa"/>
            <w:vAlign w:val="bottom"/>
          </w:tcPr>
          <w:p w:rsidR="00587E33" w:rsidRPr="003B5206" w:rsidRDefault="00587E33" w:rsidP="008F2DD6">
            <w:pPr>
              <w:pStyle w:val="answer"/>
              <w:keepNext/>
              <w:spacing w:before="60" w:after="60" w:line="240" w:lineRule="auto"/>
              <w:ind w:left="0" w:firstLine="0"/>
            </w:pPr>
            <w:r w:rsidRPr="003B5206">
              <w:t xml:space="preserve">Special Contracts </w:t>
            </w:r>
          </w:p>
        </w:tc>
        <w:tc>
          <w:tcPr>
            <w:tcW w:w="2142" w:type="dxa"/>
          </w:tcPr>
          <w:p w:rsidR="00587E33" w:rsidRPr="00683198" w:rsidRDefault="00587E33" w:rsidP="008F2DD6">
            <w:pPr>
              <w:pStyle w:val="answer"/>
              <w:keepNext/>
              <w:spacing w:before="60" w:after="60" w:line="240" w:lineRule="auto"/>
              <w:ind w:left="0" w:firstLine="0"/>
              <w:jc w:val="center"/>
            </w:pPr>
          </w:p>
        </w:tc>
        <w:tc>
          <w:tcPr>
            <w:tcW w:w="1368" w:type="dxa"/>
            <w:vAlign w:val="bottom"/>
          </w:tcPr>
          <w:p w:rsidR="00587E33" w:rsidRPr="00B46243" w:rsidRDefault="00587E33" w:rsidP="008F2DD6">
            <w:pPr>
              <w:pStyle w:val="answer"/>
              <w:keepNext/>
              <w:spacing w:before="60" w:after="60" w:line="240" w:lineRule="auto"/>
              <w:ind w:left="0" w:firstLine="0"/>
              <w:jc w:val="center"/>
            </w:pPr>
            <w:r>
              <w:t>0.7</w:t>
            </w:r>
            <w:r w:rsidRPr="00B46243">
              <w:t>%</w:t>
            </w:r>
          </w:p>
        </w:tc>
      </w:tr>
      <w:tr w:rsidR="00587E33" w:rsidRPr="001D2B74" w:rsidTr="008F2DD6">
        <w:trPr>
          <w:cantSplit/>
          <w:trHeight w:val="324"/>
        </w:trPr>
        <w:tc>
          <w:tcPr>
            <w:tcW w:w="3528" w:type="dxa"/>
            <w:tcBorders>
              <w:bottom w:val="single" w:sz="4" w:space="0" w:color="auto"/>
            </w:tcBorders>
            <w:vAlign w:val="bottom"/>
          </w:tcPr>
          <w:p w:rsidR="00587E33" w:rsidRPr="003B5206" w:rsidRDefault="00587E33" w:rsidP="008F2DD6">
            <w:pPr>
              <w:pStyle w:val="answer"/>
              <w:spacing w:before="60" w:after="60" w:line="240" w:lineRule="auto"/>
              <w:ind w:left="0" w:firstLine="0"/>
            </w:pPr>
            <w:r w:rsidRPr="003B5206">
              <w:t>Rentals</w:t>
            </w:r>
          </w:p>
        </w:tc>
        <w:tc>
          <w:tcPr>
            <w:tcW w:w="2142" w:type="dxa"/>
            <w:tcBorders>
              <w:bottom w:val="single" w:sz="4" w:space="0" w:color="auto"/>
            </w:tcBorders>
          </w:tcPr>
          <w:p w:rsidR="00587E33" w:rsidRPr="00683198" w:rsidRDefault="00587E33" w:rsidP="008F2DD6">
            <w:pPr>
              <w:pStyle w:val="answer"/>
              <w:spacing w:before="60" w:after="60" w:line="240" w:lineRule="auto"/>
              <w:ind w:left="0" w:firstLine="0"/>
              <w:jc w:val="center"/>
            </w:pPr>
            <w:r w:rsidRPr="00683198">
              <w:t>71/72/74</w:t>
            </w:r>
          </w:p>
        </w:tc>
        <w:tc>
          <w:tcPr>
            <w:tcW w:w="1368" w:type="dxa"/>
            <w:tcBorders>
              <w:bottom w:val="single" w:sz="4" w:space="0" w:color="auto"/>
            </w:tcBorders>
            <w:vAlign w:val="bottom"/>
          </w:tcPr>
          <w:p w:rsidR="00587E33" w:rsidRPr="00B46243" w:rsidRDefault="00587E33" w:rsidP="008F2DD6">
            <w:pPr>
              <w:pStyle w:val="answer"/>
              <w:spacing w:before="60" w:after="60" w:line="240" w:lineRule="auto"/>
              <w:ind w:left="0" w:firstLine="0"/>
              <w:jc w:val="center"/>
            </w:pPr>
            <w:r w:rsidRPr="00B46243">
              <w:t>-</w:t>
            </w:r>
            <w:r>
              <w:t>9.6</w:t>
            </w:r>
            <w:r w:rsidRPr="00B46243">
              <w:t>%</w:t>
            </w:r>
          </w:p>
        </w:tc>
      </w:tr>
      <w:tr w:rsidR="00587E33" w:rsidRPr="009075DC" w:rsidTr="008F2DD6">
        <w:trPr>
          <w:cantSplit/>
          <w:trHeight w:val="425"/>
        </w:trPr>
        <w:tc>
          <w:tcPr>
            <w:tcW w:w="3528" w:type="dxa"/>
            <w:tcBorders>
              <w:top w:val="single" w:sz="4" w:space="0" w:color="auto"/>
              <w:bottom w:val="single" w:sz="4" w:space="0" w:color="auto"/>
            </w:tcBorders>
            <w:vAlign w:val="bottom"/>
          </w:tcPr>
          <w:p w:rsidR="00587E33" w:rsidRPr="00683198" w:rsidRDefault="00587E33" w:rsidP="008F2DD6">
            <w:pPr>
              <w:pStyle w:val="answer"/>
              <w:spacing w:before="60" w:after="60" w:line="240" w:lineRule="auto"/>
              <w:ind w:left="0" w:firstLine="0"/>
              <w:rPr>
                <w:b/>
              </w:rPr>
            </w:pPr>
            <w:r w:rsidRPr="00683198">
              <w:rPr>
                <w:b/>
              </w:rPr>
              <w:t>Total/System Average</w:t>
            </w:r>
          </w:p>
        </w:tc>
        <w:tc>
          <w:tcPr>
            <w:tcW w:w="2142" w:type="dxa"/>
            <w:tcBorders>
              <w:top w:val="single" w:sz="4" w:space="0" w:color="auto"/>
              <w:bottom w:val="single" w:sz="4" w:space="0" w:color="auto"/>
            </w:tcBorders>
          </w:tcPr>
          <w:p w:rsidR="00587E33" w:rsidRPr="00683198" w:rsidRDefault="00587E33" w:rsidP="008F2DD6">
            <w:pPr>
              <w:pStyle w:val="answer"/>
              <w:spacing w:before="60" w:after="60" w:line="240" w:lineRule="auto"/>
              <w:ind w:left="0" w:firstLine="0"/>
              <w:jc w:val="center"/>
              <w:rPr>
                <w:b/>
                <w:highlight w:val="yellow"/>
              </w:rPr>
            </w:pPr>
          </w:p>
        </w:tc>
        <w:tc>
          <w:tcPr>
            <w:tcW w:w="1368" w:type="dxa"/>
            <w:tcBorders>
              <w:top w:val="single" w:sz="4" w:space="0" w:color="auto"/>
              <w:bottom w:val="single" w:sz="4" w:space="0" w:color="auto"/>
            </w:tcBorders>
            <w:vAlign w:val="bottom"/>
          </w:tcPr>
          <w:p w:rsidR="00587E33" w:rsidRPr="00B46243" w:rsidRDefault="00587E33" w:rsidP="008F2DD6">
            <w:pPr>
              <w:pStyle w:val="answer"/>
              <w:spacing w:before="60" w:after="60" w:line="240" w:lineRule="auto"/>
              <w:ind w:left="0" w:firstLine="0"/>
              <w:jc w:val="center"/>
              <w:rPr>
                <w:b/>
              </w:rPr>
            </w:pPr>
            <w:r>
              <w:rPr>
                <w:b/>
              </w:rPr>
              <w:t>-2.4</w:t>
            </w:r>
            <w:r w:rsidRPr="00B46243">
              <w:rPr>
                <w:b/>
              </w:rPr>
              <w:t>%</w:t>
            </w:r>
          </w:p>
        </w:tc>
      </w:tr>
    </w:tbl>
    <w:p w:rsidR="00587E33" w:rsidRDefault="00587E33" w:rsidP="00C004F0">
      <w:pPr>
        <w:pStyle w:val="question"/>
        <w:widowControl w:val="0"/>
        <w:rPr>
          <w:rFonts w:eastAsia="SimSun"/>
        </w:rPr>
      </w:pPr>
    </w:p>
    <w:p w:rsidR="00587E33" w:rsidRDefault="00587E33" w:rsidP="00C004F0">
      <w:pPr>
        <w:pStyle w:val="question"/>
        <w:widowControl w:val="0"/>
        <w:rPr>
          <w:rFonts w:eastAsia="SimSun"/>
        </w:rPr>
      </w:pPr>
    </w:p>
    <w:p w:rsidR="00587E33" w:rsidRDefault="00587E33" w:rsidP="00587E33">
      <w:pPr>
        <w:pStyle w:val="answer"/>
        <w:rPr>
          <w:rFonts w:eastAsia="SimSun"/>
        </w:rPr>
      </w:pPr>
    </w:p>
    <w:p w:rsidR="00587E33" w:rsidRDefault="00587E33" w:rsidP="00587E33">
      <w:pPr>
        <w:pStyle w:val="answer"/>
        <w:rPr>
          <w:rFonts w:eastAsia="SimSun"/>
        </w:rPr>
      </w:pPr>
    </w:p>
    <w:p w:rsidR="00587E33" w:rsidRPr="00587E33" w:rsidRDefault="00587E33" w:rsidP="00587E33">
      <w:pPr>
        <w:pStyle w:val="answer"/>
        <w:rPr>
          <w:rFonts w:eastAsia="SimSun"/>
        </w:rPr>
      </w:pPr>
    </w:p>
    <w:p w:rsidR="00587E33" w:rsidRDefault="00587E33" w:rsidP="00C004F0">
      <w:pPr>
        <w:pStyle w:val="question"/>
        <w:widowControl w:val="0"/>
        <w:rPr>
          <w:rFonts w:eastAsia="SimSun"/>
        </w:rPr>
      </w:pPr>
    </w:p>
    <w:p w:rsidR="00587E33" w:rsidRDefault="00587E33" w:rsidP="00C004F0">
      <w:pPr>
        <w:pStyle w:val="question"/>
        <w:widowControl w:val="0"/>
        <w:rPr>
          <w:rFonts w:eastAsia="SimSun"/>
        </w:rPr>
      </w:pPr>
    </w:p>
    <w:p w:rsidR="00C004F0" w:rsidRPr="009075DC" w:rsidRDefault="00C004F0" w:rsidP="00C004F0">
      <w:pPr>
        <w:pStyle w:val="question"/>
        <w:widowControl w:val="0"/>
        <w:rPr>
          <w:rFonts w:eastAsia="SimSun"/>
        </w:rPr>
      </w:pPr>
      <w:r w:rsidRPr="009075DC">
        <w:rPr>
          <w:rFonts w:eastAsia="SimSun"/>
        </w:rPr>
        <w:lastRenderedPageBreak/>
        <w:t>Q.</w:t>
      </w:r>
      <w:r w:rsidRPr="009075DC">
        <w:rPr>
          <w:rFonts w:eastAsia="SimSun"/>
        </w:rPr>
        <w:tab/>
      </w:r>
      <w:r>
        <w:rPr>
          <w:rFonts w:eastAsia="SimSun"/>
        </w:rPr>
        <w:t>Please summarize the impacts shown above.</w:t>
      </w:r>
    </w:p>
    <w:p w:rsidR="00C004F0" w:rsidRDefault="00C004F0" w:rsidP="00C004F0">
      <w:pPr>
        <w:pStyle w:val="answer"/>
        <w:widowControl w:val="0"/>
        <w:rPr>
          <w:rFonts w:eastAsia="SimSun"/>
        </w:rPr>
      </w:pPr>
      <w:r w:rsidRPr="009075DC">
        <w:rPr>
          <w:rFonts w:eastAsia="SimSun"/>
        </w:rPr>
        <w:t>A.</w:t>
      </w:r>
      <w:r w:rsidRPr="009075DC">
        <w:rPr>
          <w:rFonts w:eastAsia="SimSun"/>
        </w:rPr>
        <w:tab/>
      </w:r>
      <w:r w:rsidR="00011F34">
        <w:rPr>
          <w:rFonts w:eastAsia="SimSun"/>
        </w:rPr>
        <w:t>The results above show an overall estimated rate decrease of 2.4 percent based on the schedules proposed to be updated as part of this general rate case.  Most customer classes will experience rate decreases between one and three percent.  The two exceptions are Special Contracts, that would experience a 0.7 percent increase and Rentals, which would experience a 9.6 percent decrease</w:t>
      </w:r>
      <w:r w:rsidRPr="009075DC">
        <w:rPr>
          <w:rFonts w:eastAsia="SimSun"/>
        </w:rPr>
        <w:t>.</w:t>
      </w:r>
    </w:p>
    <w:p w:rsidR="003B5280" w:rsidRPr="003B5206" w:rsidRDefault="003B5280" w:rsidP="003B5280">
      <w:pPr>
        <w:pStyle w:val="Heading2"/>
        <w:spacing w:after="320"/>
        <w:rPr>
          <w:u w:val="none"/>
        </w:rPr>
      </w:pPr>
      <w:bookmarkStart w:id="160" w:name="_Toc294362344"/>
      <w:bookmarkStart w:id="161" w:name="_Toc471912969"/>
      <w:r w:rsidRPr="003B5206">
        <w:rPr>
          <w:u w:val="none"/>
        </w:rPr>
        <w:t>D.</w:t>
      </w:r>
      <w:r w:rsidRPr="003B5206">
        <w:rPr>
          <w:u w:val="none"/>
        </w:rPr>
        <w:tab/>
      </w:r>
      <w:r w:rsidR="00390F80" w:rsidRPr="00390F80">
        <w:t xml:space="preserve">Other </w:t>
      </w:r>
      <w:r w:rsidRPr="00390F80">
        <w:t>Tariff</w:t>
      </w:r>
      <w:r w:rsidRPr="003B5206">
        <w:t xml:space="preserve"> Changes</w:t>
      </w:r>
      <w:bookmarkEnd w:id="160"/>
      <w:bookmarkEnd w:id="161"/>
    </w:p>
    <w:p w:rsidR="00390F80" w:rsidRPr="003B5206" w:rsidRDefault="00390F80" w:rsidP="00390F80">
      <w:pPr>
        <w:pStyle w:val="question"/>
        <w:keepLines/>
        <w:widowControl w:val="0"/>
        <w:spacing w:before="120"/>
      </w:pPr>
      <w:r w:rsidRPr="003B5206">
        <w:t>Q.</w:t>
      </w:r>
      <w:r w:rsidRPr="003B5206">
        <w:tab/>
        <w:t xml:space="preserve">Does PSE propose any other changes to its </w:t>
      </w:r>
      <w:r>
        <w:t xml:space="preserve">base </w:t>
      </w:r>
      <w:r w:rsidRPr="003B5206">
        <w:t>natural gas tariffs</w:t>
      </w:r>
      <w:r>
        <w:t xml:space="preserve"> for non-residential gas customers</w:t>
      </w:r>
      <w:r w:rsidRPr="003B5206">
        <w:t>?</w:t>
      </w:r>
    </w:p>
    <w:p w:rsidR="00390F80" w:rsidRDefault="00390F80" w:rsidP="00390F80">
      <w:pPr>
        <w:pStyle w:val="answer"/>
        <w:widowControl w:val="0"/>
        <w:rPr>
          <w:rFonts w:eastAsia="SimSun"/>
        </w:rPr>
      </w:pPr>
      <w:r w:rsidRPr="003B5206">
        <w:t>A.</w:t>
      </w:r>
      <w:r w:rsidRPr="003B5206">
        <w:tab/>
        <w:t xml:space="preserve">Yes.  </w:t>
      </w:r>
      <w:r>
        <w:t xml:space="preserve">PSE is proposing three changes to its base natural gas tariffs for non-residential gas customers.  First, PSE </w:t>
      </w:r>
      <w:r w:rsidRPr="003B5206">
        <w:t xml:space="preserve">proposes to implement annual </w:t>
      </w:r>
      <w:r>
        <w:t xml:space="preserve">maximum </w:t>
      </w:r>
      <w:r w:rsidRPr="003B5206">
        <w:t xml:space="preserve">volume </w:t>
      </w:r>
      <w:r>
        <w:t xml:space="preserve">limitations </w:t>
      </w:r>
      <w:r w:rsidRPr="003B5206">
        <w:t>on Schedules 41</w:t>
      </w:r>
      <w:r>
        <w:t xml:space="preserve"> and</w:t>
      </w:r>
      <w:r w:rsidRPr="003B5206">
        <w:t xml:space="preserve"> 41T</w:t>
      </w:r>
      <w:r>
        <w:t xml:space="preserve">, effectively requiring customers </w:t>
      </w:r>
      <w:r w:rsidR="008B3D6F">
        <w:t xml:space="preserve">exceeding these volume limits </w:t>
      </w:r>
      <w:r>
        <w:t xml:space="preserve">to take service on Schedule 85 or 85T.   Second, and related to the </w:t>
      </w:r>
      <w:r w:rsidR="008B3D6F">
        <w:t>first</w:t>
      </w:r>
      <w:r>
        <w:t xml:space="preserve">, PSE proposes to </w:t>
      </w:r>
      <w:r w:rsidR="005468D3">
        <w:t xml:space="preserve">eliminate the existing </w:t>
      </w:r>
      <w:r>
        <w:t>annual minimum load charge on</w:t>
      </w:r>
      <w:r w:rsidRPr="003B5206">
        <w:t xml:space="preserve"> </w:t>
      </w:r>
      <w:r w:rsidR="007C14BE">
        <w:t xml:space="preserve">Schedules </w:t>
      </w:r>
      <w:r w:rsidRPr="003B5206">
        <w:t>85 and 85T</w:t>
      </w:r>
      <w:r w:rsidRPr="00BD0976">
        <w:t>.</w:t>
      </w:r>
      <w:r w:rsidRPr="00BD0976">
        <w:rPr>
          <w:rFonts w:eastAsia="SimSun"/>
        </w:rPr>
        <w:t xml:space="preserve"> </w:t>
      </w:r>
      <w:r>
        <w:rPr>
          <w:rFonts w:eastAsia="SimSun"/>
        </w:rPr>
        <w:t xml:space="preserve">Third, to ease the transition of customers from Schedules 41 or 41T to Schedules 85 or 85T, PSE proposes to charge fully-firm customers on Schedules 85 and 85T based on their actual demands and to relieve gas sales customers receiving fully-firm service of the obligation to sign a separate customer agreement for service under these schedules.  </w:t>
      </w:r>
      <w:r w:rsidRPr="00BD0976">
        <w:rPr>
          <w:rFonts w:eastAsia="SimSun"/>
        </w:rPr>
        <w:t xml:space="preserve">  </w:t>
      </w:r>
    </w:p>
    <w:p w:rsidR="00B45BFA" w:rsidRDefault="00B45BFA" w:rsidP="00C216CC">
      <w:pPr>
        <w:pStyle w:val="answer"/>
        <w:rPr>
          <w:rFonts w:eastAsia="SimSun"/>
        </w:rPr>
      </w:pPr>
    </w:p>
    <w:p w:rsidR="00B45BFA" w:rsidRDefault="00B45BFA" w:rsidP="00C216CC">
      <w:pPr>
        <w:pStyle w:val="answer"/>
        <w:rPr>
          <w:rFonts w:eastAsia="SimSun"/>
        </w:rPr>
      </w:pPr>
    </w:p>
    <w:p w:rsidR="00390F80" w:rsidRPr="009075DC" w:rsidRDefault="000D7E04" w:rsidP="00390F80">
      <w:pPr>
        <w:pStyle w:val="Heading3"/>
        <w:keepNext w:val="0"/>
        <w:keepLines w:val="0"/>
        <w:widowControl w:val="0"/>
        <w:rPr>
          <w:rFonts w:eastAsia="SimSun"/>
        </w:rPr>
      </w:pPr>
      <w:bookmarkStart w:id="162" w:name="_Toc471912970"/>
      <w:r>
        <w:rPr>
          <w:rFonts w:eastAsia="SimSun"/>
          <w:u w:val="none"/>
        </w:rPr>
        <w:lastRenderedPageBreak/>
        <w:t>1</w:t>
      </w:r>
      <w:r w:rsidR="00390F80" w:rsidRPr="009075DC">
        <w:rPr>
          <w:rFonts w:eastAsia="SimSun"/>
          <w:u w:val="none"/>
        </w:rPr>
        <w:t>.</w:t>
      </w:r>
      <w:r w:rsidR="00390F80" w:rsidRPr="009075DC">
        <w:rPr>
          <w:rFonts w:eastAsia="SimSun"/>
          <w:u w:val="none"/>
        </w:rPr>
        <w:tab/>
      </w:r>
      <w:r w:rsidR="00390F80">
        <w:rPr>
          <w:rFonts w:eastAsia="SimSun"/>
        </w:rPr>
        <w:t>Schedule 41 and 41T Maximum Volumes</w:t>
      </w:r>
      <w:bookmarkEnd w:id="162"/>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What are the current eligibility standards for service under Schedules 41 and 41T?</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Customers served under th</w:t>
      </w:r>
      <w:r w:rsidR="00B62B61">
        <w:rPr>
          <w:rFonts w:eastAsia="SimSun"/>
        </w:rPr>
        <w:t>ese</w:t>
      </w:r>
      <w:r>
        <w:rPr>
          <w:rFonts w:eastAsia="SimSun"/>
        </w:rPr>
        <w:t xml:space="preserve"> schedule</w:t>
      </w:r>
      <w:r w:rsidR="00B62B61">
        <w:rPr>
          <w:rFonts w:eastAsia="SimSun"/>
        </w:rPr>
        <w:t>s</w:t>
      </w:r>
      <w:r>
        <w:rPr>
          <w:rFonts w:eastAsia="SimSun"/>
        </w:rPr>
        <w:t xml:space="preserve"> must have either had a minimum of 12,000 therms of use over the previous 12-consecutive month period or, if the customer is new to PSE, the eligibility standard requires that this customer be expected to use 12,000 therms over the initial 12-consecutive month period.  There is no maximum usage threshold for service under this schedule.</w:t>
      </w:r>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Why is PSE now proposing to add a maximum usage threshold for service under this schedule?</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 xml:space="preserve">Customers currently served under Schedule 41 and 41T that exceed the minimum threshold for eligibility under Schedule 85 or 85T are paying </w:t>
      </w:r>
      <w:r w:rsidR="00882659">
        <w:rPr>
          <w:rFonts w:eastAsia="SimSun"/>
        </w:rPr>
        <w:t xml:space="preserve">rates that are different </w:t>
      </w:r>
      <w:r>
        <w:rPr>
          <w:rFonts w:eastAsia="SimSun"/>
        </w:rPr>
        <w:t xml:space="preserve">for firm service than they would </w:t>
      </w:r>
      <w:r w:rsidR="00603A47">
        <w:rPr>
          <w:rFonts w:eastAsia="SimSun"/>
        </w:rPr>
        <w:t xml:space="preserve">pay </w:t>
      </w:r>
      <w:r>
        <w:rPr>
          <w:rFonts w:eastAsia="SimSun"/>
        </w:rPr>
        <w:t xml:space="preserve">under Schedules 85 or 85T.  There is no sound policy reason for customers on different schedules that are receiving </w:t>
      </w:r>
      <w:r w:rsidR="00985F35">
        <w:rPr>
          <w:rFonts w:eastAsia="SimSun"/>
        </w:rPr>
        <w:t xml:space="preserve">substantially </w:t>
      </w:r>
      <w:r>
        <w:rPr>
          <w:rFonts w:eastAsia="SimSun"/>
        </w:rPr>
        <w:t xml:space="preserve">the same service (i.e., fully firm gas delivery service) to pay different rates.  In fact, </w:t>
      </w:r>
      <w:r w:rsidR="00612331">
        <w:rPr>
          <w:rFonts w:eastAsia="SimSun"/>
        </w:rPr>
        <w:t>state law prohibits</w:t>
      </w:r>
      <w:r>
        <w:rPr>
          <w:rFonts w:eastAsia="SimSun"/>
        </w:rPr>
        <w:t xml:space="preserve"> such discriminatory pricing.</w:t>
      </w:r>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How many customers currently served under Schedules 41 or 41T are eligible for service under Schedules 85 or 85T?</w:t>
      </w:r>
    </w:p>
    <w:p w:rsidR="00390F80" w:rsidRDefault="00390F80" w:rsidP="00390F80">
      <w:pPr>
        <w:pStyle w:val="answer"/>
        <w:widowControl w:val="0"/>
        <w:rPr>
          <w:rFonts w:eastAsia="SimSun"/>
        </w:rPr>
      </w:pPr>
      <w:r w:rsidRPr="009075DC">
        <w:rPr>
          <w:rFonts w:eastAsia="SimSun"/>
        </w:rPr>
        <w:t>A.</w:t>
      </w:r>
      <w:r w:rsidRPr="009075DC">
        <w:rPr>
          <w:rFonts w:eastAsia="SimSun"/>
        </w:rPr>
        <w:tab/>
      </w:r>
      <w:r w:rsidR="007547FF">
        <w:rPr>
          <w:rFonts w:eastAsia="SimSun"/>
        </w:rPr>
        <w:t xml:space="preserve">Based on test year usage and customer statistics, </w:t>
      </w:r>
      <w:r w:rsidR="00C5786C">
        <w:rPr>
          <w:rFonts w:eastAsia="SimSun"/>
        </w:rPr>
        <w:t>92</w:t>
      </w:r>
      <w:r w:rsidR="007547FF">
        <w:rPr>
          <w:rFonts w:eastAsia="SimSun"/>
        </w:rPr>
        <w:t xml:space="preserve"> customers served under Schedules 41 or 41T are also eligible for service under Schedules 85 and 85T</w:t>
      </w:r>
      <w:r w:rsidRPr="009075DC">
        <w:rPr>
          <w:rFonts w:eastAsia="SimSun"/>
        </w:rPr>
        <w:t>.</w:t>
      </w:r>
    </w:p>
    <w:p w:rsidR="00390F80" w:rsidRPr="009075DC" w:rsidRDefault="00390F80" w:rsidP="00390F80">
      <w:pPr>
        <w:pStyle w:val="question"/>
        <w:widowControl w:val="0"/>
        <w:rPr>
          <w:rFonts w:eastAsia="SimSun"/>
        </w:rPr>
      </w:pPr>
      <w:r w:rsidRPr="009075DC">
        <w:rPr>
          <w:rFonts w:eastAsia="SimSun"/>
        </w:rPr>
        <w:lastRenderedPageBreak/>
        <w:t>Q.</w:t>
      </w:r>
      <w:r w:rsidRPr="009075DC">
        <w:rPr>
          <w:rFonts w:eastAsia="SimSun"/>
        </w:rPr>
        <w:tab/>
      </w:r>
      <w:r>
        <w:rPr>
          <w:rFonts w:eastAsia="SimSun"/>
        </w:rPr>
        <w:t xml:space="preserve">If their rates would be lower, why aren’t these eligible PSE customers </w:t>
      </w:r>
      <w:r w:rsidR="00985F35">
        <w:rPr>
          <w:rFonts w:eastAsia="SimSun"/>
        </w:rPr>
        <w:t xml:space="preserve">requesting to </w:t>
      </w:r>
      <w:r>
        <w:rPr>
          <w:rFonts w:eastAsia="SimSun"/>
        </w:rPr>
        <w:t>switch from Schedules 41 and 41 to Schedules 85 or 85T?</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This isn’t clear.  One issue may be the annual minimum load charge that is currently assessed under Schedules 85 and 85T</w:t>
      </w:r>
      <w:r w:rsidRPr="009075DC">
        <w:rPr>
          <w:rFonts w:eastAsia="SimSun"/>
        </w:rPr>
        <w:t>.</w:t>
      </w:r>
      <w:r>
        <w:rPr>
          <w:rFonts w:eastAsia="SimSun"/>
        </w:rPr>
        <w:t xml:space="preserve">  However, </w:t>
      </w:r>
      <w:r w:rsidR="00985F35">
        <w:rPr>
          <w:rFonts w:eastAsia="SimSun"/>
        </w:rPr>
        <w:t xml:space="preserve">it appears that the minimum load charge </w:t>
      </w:r>
      <w:r>
        <w:rPr>
          <w:rFonts w:eastAsia="SimSun"/>
        </w:rPr>
        <w:t xml:space="preserve">would only </w:t>
      </w:r>
      <w:r w:rsidR="007547FF">
        <w:rPr>
          <w:rFonts w:eastAsia="SimSun"/>
        </w:rPr>
        <w:t xml:space="preserve">impact </w:t>
      </w:r>
      <w:r>
        <w:rPr>
          <w:rFonts w:eastAsia="SimSun"/>
        </w:rPr>
        <w:t xml:space="preserve">a small subset of eligible customers. It may also be related to the fact that moving to Schedule 85 or 85T requires a separate customer agreement and a specified level of contract demand, whereas service under Schedule 41 or 41T </w:t>
      </w:r>
      <w:r w:rsidR="007547FF">
        <w:rPr>
          <w:rFonts w:eastAsia="SimSun"/>
        </w:rPr>
        <w:t xml:space="preserve">requires no such customer agreement and customers </w:t>
      </w:r>
      <w:r>
        <w:rPr>
          <w:rFonts w:eastAsia="SimSun"/>
        </w:rPr>
        <w:t>are only charged for what they use</w:t>
      </w:r>
      <w:r w:rsidR="00985F35" w:rsidRPr="00985F35">
        <w:rPr>
          <w:rFonts w:eastAsia="SimSun"/>
        </w:rPr>
        <w:t xml:space="preserve"> </w:t>
      </w:r>
      <w:r w:rsidR="00985F35">
        <w:rPr>
          <w:rFonts w:eastAsia="SimSun"/>
        </w:rPr>
        <w:t>under these firm schedules</w:t>
      </w:r>
      <w:r>
        <w:rPr>
          <w:rFonts w:eastAsia="SimSun"/>
        </w:rPr>
        <w:t xml:space="preserve">, not for the capacity that they have reserved.  Whatever the reason, they are making choices that </w:t>
      </w:r>
      <w:r w:rsidR="00985F35">
        <w:rPr>
          <w:rFonts w:eastAsia="SimSun"/>
        </w:rPr>
        <w:t xml:space="preserve">don’t </w:t>
      </w:r>
      <w:r w:rsidR="007547FF">
        <w:rPr>
          <w:rFonts w:eastAsia="SimSun"/>
        </w:rPr>
        <w:t xml:space="preserve">appear to be </w:t>
      </w:r>
      <w:r>
        <w:rPr>
          <w:rFonts w:eastAsia="SimSun"/>
        </w:rPr>
        <w:t>financially advantageous.</w:t>
      </w:r>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Should it be PSE’s responsibility to make these choices for its non-residential gas customers?</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 xml:space="preserve">Yes.  While choices about whether to take sales or transportation service and whether to take firm or interruptible service should be completely left to the customer, once those choices are made it is better rate policy to not promote rate structures that create winners or losers </w:t>
      </w:r>
      <w:r w:rsidR="007547FF">
        <w:rPr>
          <w:rFonts w:eastAsia="SimSun"/>
        </w:rPr>
        <w:t xml:space="preserve">among otherwise identical customers </w:t>
      </w:r>
      <w:r>
        <w:rPr>
          <w:rFonts w:eastAsia="SimSun"/>
        </w:rPr>
        <w:t>simply because of the particular tariff under which they take service. It has been our experience in talking with customers that, for all but a handful of the largest and most sophisticated customers</w:t>
      </w:r>
      <w:r w:rsidR="00612331">
        <w:rPr>
          <w:rFonts w:eastAsia="SimSun"/>
        </w:rPr>
        <w:t>,</w:t>
      </w:r>
      <w:r>
        <w:rPr>
          <w:rFonts w:eastAsia="SimSun"/>
        </w:rPr>
        <w:t xml:space="preserve"> they simply don’t have the time or expertise to choose between schedules that offer essentially the same service.  PSE’s proposal </w:t>
      </w:r>
      <w:r>
        <w:rPr>
          <w:rFonts w:eastAsia="SimSun"/>
        </w:rPr>
        <w:lastRenderedPageBreak/>
        <w:t>relieves our customers of this burden</w:t>
      </w:r>
      <w:r w:rsidR="00985F35">
        <w:rPr>
          <w:rFonts w:eastAsia="SimSun"/>
        </w:rPr>
        <w:t xml:space="preserve"> in this particular instance</w:t>
      </w:r>
      <w:r>
        <w:rPr>
          <w:rFonts w:eastAsia="SimSun"/>
        </w:rPr>
        <w:t>.</w:t>
      </w:r>
      <w:r w:rsidR="00C236BE">
        <w:rPr>
          <w:rStyle w:val="FootnoteReference"/>
          <w:rFonts w:eastAsia="SimSun"/>
        </w:rPr>
        <w:footnoteReference w:id="28"/>
      </w:r>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How would PSE’s proposal to set a maximum usage threshold on Schedules 41 and 41T work in practice?</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It would operate very much like the non-residential electric schedules operate, where customers often mu</w:t>
      </w:r>
      <w:r w:rsidR="007547FF">
        <w:rPr>
          <w:rFonts w:eastAsia="SimSun"/>
        </w:rPr>
        <w:t>st</w:t>
      </w:r>
      <w:r>
        <w:rPr>
          <w:rFonts w:eastAsia="SimSun"/>
        </w:rPr>
        <w:t xml:space="preserve"> fall within minimum and maximum usage thresholds to qualify for the schedule under which they are served.  In practice, the customer’s usage would be evaluated on a rolling 12-month basis to determine ongoing eligibility and customers would be </w:t>
      </w:r>
      <w:r w:rsidR="007547FF">
        <w:rPr>
          <w:rFonts w:eastAsia="SimSun"/>
        </w:rPr>
        <w:t xml:space="preserve">automatically </w:t>
      </w:r>
      <w:r>
        <w:rPr>
          <w:rFonts w:eastAsia="SimSun"/>
        </w:rPr>
        <w:t>moved to the appropriate schedules when they are no longer eligible</w:t>
      </w:r>
      <w:r w:rsidRPr="009075DC">
        <w:rPr>
          <w:rFonts w:eastAsia="SimSun"/>
        </w:rPr>
        <w:t>.</w:t>
      </w:r>
      <w:r>
        <w:rPr>
          <w:rStyle w:val="FootnoteReference"/>
          <w:rFonts w:eastAsia="SimSun"/>
        </w:rPr>
        <w:footnoteReference w:id="29"/>
      </w:r>
      <w:r>
        <w:rPr>
          <w:rFonts w:eastAsia="SimSun"/>
        </w:rPr>
        <w:t xml:space="preserve">  For customers that are moved from Schedule 41 to 85, no service agreement will be required and they will continue to be billed on actual usage, rather than contract demand. The only difference they will see is the Schedule 85 rates.  Similarly, for customers that are moved from Schedule 41T to 85T, their existing service agreements will be rolled over to service under Schedule 85T and, as with the sales customers, they will continue to be billed on actual usage, rather than contract demand.</w:t>
      </w:r>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 xml:space="preserve">Is the proposed migration of Schedule 41 and 41T customers to Schedules 85 and 85T reflected in PSE’s </w:t>
      </w:r>
      <w:r w:rsidR="00255B54">
        <w:rPr>
          <w:rFonts w:eastAsia="SimSun"/>
        </w:rPr>
        <w:t>pro forma</w:t>
      </w:r>
      <w:r>
        <w:rPr>
          <w:rFonts w:eastAsia="SimSun"/>
        </w:rPr>
        <w:t xml:space="preserve"> revenues?</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 xml:space="preserve">Yes, as discussed in the section on gas </w:t>
      </w:r>
      <w:r w:rsidR="00255B54">
        <w:rPr>
          <w:rFonts w:eastAsia="SimSun"/>
        </w:rPr>
        <w:t>pro forma</w:t>
      </w:r>
      <w:r>
        <w:rPr>
          <w:rFonts w:eastAsia="SimSun"/>
        </w:rPr>
        <w:t xml:space="preserve"> revenue, this is one of the </w:t>
      </w:r>
      <w:r>
        <w:rPr>
          <w:rFonts w:eastAsia="SimSun"/>
        </w:rPr>
        <w:lastRenderedPageBreak/>
        <w:t xml:space="preserve">adjustments made to </w:t>
      </w:r>
      <w:r w:rsidR="00255B54">
        <w:rPr>
          <w:rFonts w:eastAsia="SimSun"/>
        </w:rPr>
        <w:t>pro forma</w:t>
      </w:r>
      <w:r>
        <w:rPr>
          <w:rFonts w:eastAsia="SimSun"/>
        </w:rPr>
        <w:t xml:space="preserve"> revenue</w:t>
      </w:r>
      <w:r w:rsidRPr="009075DC">
        <w:rPr>
          <w:rFonts w:eastAsia="SimSun"/>
        </w:rPr>
        <w:t>.</w:t>
      </w:r>
    </w:p>
    <w:p w:rsidR="00390F80" w:rsidRPr="009075DC" w:rsidRDefault="000D7E04" w:rsidP="00390F80">
      <w:pPr>
        <w:pStyle w:val="Heading3"/>
        <w:keepNext w:val="0"/>
        <w:keepLines w:val="0"/>
        <w:widowControl w:val="0"/>
        <w:rPr>
          <w:rFonts w:eastAsia="SimSun"/>
        </w:rPr>
      </w:pPr>
      <w:bookmarkStart w:id="163" w:name="_Toc471912971"/>
      <w:r>
        <w:rPr>
          <w:rFonts w:eastAsia="SimSun"/>
          <w:u w:val="none"/>
        </w:rPr>
        <w:t>2</w:t>
      </w:r>
      <w:r w:rsidR="00390F80" w:rsidRPr="009075DC">
        <w:rPr>
          <w:rFonts w:eastAsia="SimSun"/>
          <w:u w:val="none"/>
        </w:rPr>
        <w:t>.</w:t>
      </w:r>
      <w:r w:rsidR="00390F80" w:rsidRPr="009075DC">
        <w:rPr>
          <w:rFonts w:eastAsia="SimSun"/>
          <w:u w:val="none"/>
        </w:rPr>
        <w:tab/>
      </w:r>
      <w:r w:rsidR="00390F80">
        <w:rPr>
          <w:rFonts w:eastAsia="SimSun"/>
        </w:rPr>
        <w:t>Schedule 85 and 85T Annual Minimum Load Charge</w:t>
      </w:r>
      <w:bookmarkEnd w:id="163"/>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How is the Annual Minimum Load Charge currently calculated for Schedules 85 and 85T?</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 xml:space="preserve">The Annual Minimum Load Charge is calculated as the positive difference between the Minimum Annual Therms less actual total annual therms delivered multiplied by the initial block of the total </w:t>
      </w:r>
      <w:r w:rsidR="00A10F73">
        <w:rPr>
          <w:rFonts w:eastAsia="SimSun"/>
        </w:rPr>
        <w:t xml:space="preserve">interruptible delivery service charge or total </w:t>
      </w:r>
      <w:r>
        <w:rPr>
          <w:rFonts w:eastAsia="SimSun"/>
        </w:rPr>
        <w:t xml:space="preserve">transportation service commodity charge.  This calculation is performed on each anniversary of the effective date of the customer’s service agreement under this schedule.  The Minimum Annual Therms is currently set at 180,000 therms per year.  </w:t>
      </w:r>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What change is PSE proposing to this calculation?</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 xml:space="preserve">PSE is proposing to </w:t>
      </w:r>
      <w:r w:rsidR="005468D3">
        <w:rPr>
          <w:rFonts w:eastAsia="SimSun"/>
        </w:rPr>
        <w:t xml:space="preserve">eliminate </w:t>
      </w:r>
      <w:r>
        <w:rPr>
          <w:rFonts w:eastAsia="SimSun"/>
        </w:rPr>
        <w:t>the Minimum Annual Therms used to calculate the Annual Minimum Load Charge.</w:t>
      </w:r>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sidR="005468D3">
        <w:rPr>
          <w:rFonts w:eastAsia="SimSun"/>
        </w:rPr>
        <w:t>Why is PSE proposing to eliminate this charge</w:t>
      </w:r>
      <w:r>
        <w:rPr>
          <w:rFonts w:eastAsia="SimSun"/>
        </w:rPr>
        <w:t>?</w:t>
      </w:r>
    </w:p>
    <w:p w:rsidR="00390F80" w:rsidRDefault="00390F80" w:rsidP="00390F80">
      <w:pPr>
        <w:pStyle w:val="answer"/>
        <w:widowControl w:val="0"/>
        <w:rPr>
          <w:rFonts w:eastAsia="SimSun"/>
        </w:rPr>
      </w:pPr>
      <w:r w:rsidRPr="009075DC">
        <w:rPr>
          <w:rFonts w:eastAsia="SimSun"/>
        </w:rPr>
        <w:t>A.</w:t>
      </w:r>
      <w:r w:rsidRPr="009075DC">
        <w:rPr>
          <w:rFonts w:eastAsia="SimSun"/>
        </w:rPr>
        <w:tab/>
      </w:r>
      <w:r w:rsidR="005468D3">
        <w:rPr>
          <w:rFonts w:eastAsia="SimSun"/>
        </w:rPr>
        <w:t xml:space="preserve">With PSE’s proposal that customers </w:t>
      </w:r>
      <w:r>
        <w:rPr>
          <w:rFonts w:eastAsia="SimSun"/>
        </w:rPr>
        <w:t xml:space="preserve"> maintain at least 150,000 therms of annual usage to qualify for service under Schedules 85 or 85T</w:t>
      </w:r>
      <w:r w:rsidR="005468D3">
        <w:rPr>
          <w:rFonts w:eastAsia="SimSun"/>
        </w:rPr>
        <w:t xml:space="preserve">, there is no longer a need to charge them for usage under this level.  Originally, this minimum charge was meant as an economic incentive for customers </w:t>
      </w:r>
      <w:r w:rsidR="00572A1B">
        <w:rPr>
          <w:rFonts w:eastAsia="SimSun"/>
        </w:rPr>
        <w:t>to only elect service under these</w:t>
      </w:r>
      <w:r w:rsidR="005468D3">
        <w:rPr>
          <w:rFonts w:eastAsia="SimSun"/>
        </w:rPr>
        <w:t xml:space="preserve"> schedule</w:t>
      </w:r>
      <w:r w:rsidR="00572A1B">
        <w:rPr>
          <w:rFonts w:eastAsia="SimSun"/>
        </w:rPr>
        <w:t>s</w:t>
      </w:r>
      <w:r w:rsidR="005468D3">
        <w:rPr>
          <w:rFonts w:eastAsia="SimSun"/>
        </w:rPr>
        <w:t xml:space="preserve"> when they were sufficiently large enough for the lower rates on this schedule to outweigh the</w:t>
      </w:r>
      <w:r w:rsidR="00572A1B">
        <w:rPr>
          <w:rFonts w:eastAsia="SimSun"/>
        </w:rPr>
        <w:t>ir</w:t>
      </w:r>
      <w:r w:rsidR="005468D3">
        <w:rPr>
          <w:rFonts w:eastAsia="SimSun"/>
        </w:rPr>
        <w:t xml:space="preserve"> potential minimum charges. As discussed above, PSE </w:t>
      </w:r>
      <w:r w:rsidR="005468D3">
        <w:rPr>
          <w:rFonts w:eastAsia="SimSun"/>
        </w:rPr>
        <w:lastRenderedPageBreak/>
        <w:t xml:space="preserve">has found evidence that non-economic choices continue to be made. </w:t>
      </w:r>
      <w:r w:rsidR="00572A1B">
        <w:rPr>
          <w:rFonts w:eastAsia="SimSun"/>
        </w:rPr>
        <w:t xml:space="preserve">Moreover, implementing this charge would seem unnecessarily punitive when </w:t>
      </w:r>
      <w:r w:rsidR="00603A47">
        <w:rPr>
          <w:rFonts w:eastAsia="SimSun"/>
        </w:rPr>
        <w:t>customers</w:t>
      </w:r>
      <w:r w:rsidR="00572A1B">
        <w:rPr>
          <w:rFonts w:eastAsia="SimSun"/>
        </w:rPr>
        <w:t xml:space="preserve"> are already being removed from service under the schedule.</w:t>
      </w:r>
      <w:r w:rsidR="005468D3">
        <w:rPr>
          <w:rFonts w:eastAsia="SimSun"/>
        </w:rPr>
        <w:t xml:space="preserve"> So, in concert with its proposal to require a minimum level of usage to be eligible for service under these schedules, PSE is also proposing to </w:t>
      </w:r>
      <w:r w:rsidR="00572A1B">
        <w:rPr>
          <w:rFonts w:eastAsia="SimSun"/>
        </w:rPr>
        <w:t>re</w:t>
      </w:r>
      <w:r w:rsidR="005468D3">
        <w:rPr>
          <w:rFonts w:eastAsia="SimSun"/>
        </w:rPr>
        <w:t xml:space="preserve">move </w:t>
      </w:r>
      <w:r w:rsidR="00F86385">
        <w:rPr>
          <w:rFonts w:eastAsia="SimSun"/>
        </w:rPr>
        <w:t xml:space="preserve">this </w:t>
      </w:r>
      <w:r w:rsidR="00572A1B">
        <w:rPr>
          <w:rFonts w:eastAsia="SimSun"/>
        </w:rPr>
        <w:t>unneeded charge</w:t>
      </w:r>
      <w:r w:rsidRPr="009075DC">
        <w:rPr>
          <w:rFonts w:eastAsia="SimSun"/>
        </w:rPr>
        <w:t>.</w:t>
      </w:r>
      <w:r>
        <w:rPr>
          <w:rFonts w:eastAsia="SimSun"/>
        </w:rPr>
        <w:t xml:space="preserve"> </w:t>
      </w:r>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How many customers are expected to be impacted by this change?</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 xml:space="preserve">For the test year, only </w:t>
      </w:r>
      <w:r w:rsidR="00C5786C">
        <w:rPr>
          <w:rFonts w:eastAsia="SimSun"/>
        </w:rPr>
        <w:t>nine</w:t>
      </w:r>
      <w:r>
        <w:rPr>
          <w:rFonts w:eastAsia="SimSun"/>
        </w:rPr>
        <w:t xml:space="preserve"> customers were impacted</w:t>
      </w:r>
      <w:r w:rsidR="00603A47">
        <w:rPr>
          <w:rFonts w:eastAsia="SimSun"/>
        </w:rPr>
        <w:t>,</w:t>
      </w:r>
      <w:r>
        <w:rPr>
          <w:rFonts w:eastAsia="SimSun"/>
        </w:rPr>
        <w:t xml:space="preserve"> and the total bill impact was </w:t>
      </w:r>
      <w:r w:rsidR="00C80B6B">
        <w:rPr>
          <w:rFonts w:eastAsia="SimSun"/>
        </w:rPr>
        <w:t>$</w:t>
      </w:r>
      <w:r w:rsidR="00C5786C">
        <w:rPr>
          <w:rFonts w:eastAsia="SimSun"/>
        </w:rPr>
        <w:t>66,190</w:t>
      </w:r>
      <w:r>
        <w:rPr>
          <w:rFonts w:eastAsia="SimSun"/>
        </w:rPr>
        <w:t xml:space="preserve"> combined for all customers</w:t>
      </w:r>
      <w:r w:rsidRPr="009075DC">
        <w:rPr>
          <w:rFonts w:eastAsia="SimSun"/>
        </w:rPr>
        <w:t>.</w:t>
      </w:r>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 xml:space="preserve">Has PSE reflected the impact of this change in its </w:t>
      </w:r>
      <w:r w:rsidR="00255B54">
        <w:rPr>
          <w:rFonts w:eastAsia="SimSun"/>
        </w:rPr>
        <w:t>pro forma</w:t>
      </w:r>
      <w:r>
        <w:rPr>
          <w:rFonts w:eastAsia="SimSun"/>
        </w:rPr>
        <w:t xml:space="preserve"> revenues?</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 xml:space="preserve">No.  </w:t>
      </w:r>
      <w:r w:rsidR="00971C72">
        <w:rPr>
          <w:rFonts w:eastAsia="SimSun"/>
        </w:rPr>
        <w:t xml:space="preserve">Given this very small amount of potential revenue, no specific adjustments were made to pro forma revenue for this proposed change. </w:t>
      </w:r>
    </w:p>
    <w:p w:rsidR="00390F80" w:rsidRPr="009075DC" w:rsidRDefault="000D7E04" w:rsidP="00390F80">
      <w:pPr>
        <w:pStyle w:val="Heading3"/>
        <w:keepNext w:val="0"/>
        <w:keepLines w:val="0"/>
        <w:widowControl w:val="0"/>
        <w:rPr>
          <w:rFonts w:eastAsia="SimSun"/>
        </w:rPr>
      </w:pPr>
      <w:bookmarkStart w:id="164" w:name="_Toc471912972"/>
      <w:r>
        <w:rPr>
          <w:rFonts w:eastAsia="SimSun"/>
          <w:u w:val="none"/>
        </w:rPr>
        <w:t>3</w:t>
      </w:r>
      <w:r w:rsidR="00390F80" w:rsidRPr="009075DC">
        <w:rPr>
          <w:rFonts w:eastAsia="SimSun"/>
          <w:u w:val="none"/>
        </w:rPr>
        <w:t>.</w:t>
      </w:r>
      <w:r w:rsidR="00390F80" w:rsidRPr="009075DC">
        <w:rPr>
          <w:rFonts w:eastAsia="SimSun"/>
          <w:u w:val="none"/>
        </w:rPr>
        <w:tab/>
      </w:r>
      <w:r w:rsidR="00390F80">
        <w:rPr>
          <w:rFonts w:eastAsia="SimSun"/>
        </w:rPr>
        <w:t>Schedule 85 and 85T Demand Charge for Firm Service</w:t>
      </w:r>
      <w:bookmarkEnd w:id="164"/>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Is PSE proposing any other changes to Schedules 85 and 85T to accommodate its proposed changes to Schedules 41 and 41T?</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Yes, Schedules 85 and 85T will both have a proposed provision in the pricing section of these tariffs to allow for the billing of demand charges for fully firm customers based on actual demands</w:t>
      </w:r>
      <w:r w:rsidR="00740802">
        <w:rPr>
          <w:rStyle w:val="FootnoteReference"/>
          <w:rFonts w:eastAsia="SimSun"/>
        </w:rPr>
        <w:footnoteReference w:id="30"/>
      </w:r>
      <w:r>
        <w:rPr>
          <w:rFonts w:eastAsia="SimSun"/>
        </w:rPr>
        <w:t xml:space="preserve"> rather than contract demands.  These proposed changes have been included as part of the proposed tariff revisions in </w:t>
      </w:r>
      <w:r>
        <w:rPr>
          <w:rFonts w:eastAsia="SimSun"/>
        </w:rPr>
        <w:lastRenderedPageBreak/>
        <w:t>Exhibit No.___(JAP-</w:t>
      </w:r>
      <w:r w:rsidR="003B5556">
        <w:rPr>
          <w:rFonts w:eastAsia="SimSun"/>
        </w:rPr>
        <w:fldChar w:fldCharType="begin"/>
      </w:r>
      <w:r w:rsidR="003B5556">
        <w:rPr>
          <w:rFonts w:eastAsia="SimSun"/>
        </w:rPr>
        <w:instrText xml:space="preserve"> REF _Ref441673197 \r \h </w:instrText>
      </w:r>
      <w:r w:rsidR="003B5556">
        <w:rPr>
          <w:rFonts w:eastAsia="SimSun"/>
        </w:rPr>
      </w:r>
      <w:r w:rsidR="003B5556">
        <w:rPr>
          <w:rFonts w:eastAsia="SimSun"/>
        </w:rPr>
        <w:fldChar w:fldCharType="separate"/>
      </w:r>
      <w:r w:rsidR="0035666C">
        <w:rPr>
          <w:rFonts w:eastAsia="SimSun"/>
        </w:rPr>
        <w:t>25</w:t>
      </w:r>
      <w:r w:rsidR="003B5556">
        <w:rPr>
          <w:rFonts w:eastAsia="SimSun"/>
        </w:rPr>
        <w:fldChar w:fldCharType="end"/>
      </w:r>
      <w:r>
        <w:rPr>
          <w:rFonts w:eastAsia="SimSun"/>
        </w:rPr>
        <w:t>)</w:t>
      </w:r>
      <w:r w:rsidRPr="009075DC">
        <w:rPr>
          <w:rFonts w:eastAsia="SimSun"/>
        </w:rPr>
        <w:t>.</w:t>
      </w:r>
    </w:p>
    <w:p w:rsidR="00390F80" w:rsidRPr="009075DC" w:rsidRDefault="00390F80" w:rsidP="00390F80">
      <w:pPr>
        <w:pStyle w:val="question"/>
        <w:widowControl w:val="0"/>
        <w:rPr>
          <w:rFonts w:eastAsia="SimSun"/>
        </w:rPr>
      </w:pPr>
      <w:r w:rsidRPr="009075DC">
        <w:rPr>
          <w:rFonts w:eastAsia="SimSun"/>
        </w:rPr>
        <w:t>Q.</w:t>
      </w:r>
      <w:r w:rsidRPr="009075DC">
        <w:rPr>
          <w:rFonts w:eastAsia="SimSun"/>
        </w:rPr>
        <w:tab/>
      </w:r>
      <w:r>
        <w:rPr>
          <w:rFonts w:eastAsia="SimSun"/>
        </w:rPr>
        <w:t>Why is PSE making this proposal?</w:t>
      </w:r>
    </w:p>
    <w:p w:rsidR="00390F80" w:rsidRDefault="00390F80" w:rsidP="00390F80">
      <w:pPr>
        <w:pStyle w:val="answer"/>
        <w:widowControl w:val="0"/>
        <w:rPr>
          <w:rFonts w:eastAsia="SimSun"/>
        </w:rPr>
      </w:pPr>
      <w:r w:rsidRPr="009075DC">
        <w:rPr>
          <w:rFonts w:eastAsia="SimSun"/>
        </w:rPr>
        <w:t>A.</w:t>
      </w:r>
      <w:r w:rsidRPr="009075DC">
        <w:rPr>
          <w:rFonts w:eastAsia="SimSun"/>
        </w:rPr>
        <w:tab/>
      </w:r>
      <w:r>
        <w:rPr>
          <w:rFonts w:eastAsia="SimSun"/>
        </w:rPr>
        <w:t xml:space="preserve">The intent of this proposal is to facilitate transitions between Schedules 41 or 41T to Schedules 85 or 85T, both from the customer and </w:t>
      </w:r>
      <w:r w:rsidR="006A192F">
        <w:rPr>
          <w:rFonts w:eastAsia="SimSun"/>
        </w:rPr>
        <w:t xml:space="preserve">Company </w:t>
      </w:r>
      <w:r>
        <w:rPr>
          <w:rFonts w:eastAsia="SimSun"/>
        </w:rPr>
        <w:t>perspective.  From the customer perspective, fully firm customers will continue to be charged for monthly demands on the same basis regardless of the schedules</w:t>
      </w:r>
      <w:r w:rsidRPr="009075DC">
        <w:rPr>
          <w:rFonts w:eastAsia="SimSun"/>
        </w:rPr>
        <w:t>.</w:t>
      </w:r>
      <w:r>
        <w:rPr>
          <w:rFonts w:eastAsia="SimSun"/>
        </w:rPr>
        <w:t xml:space="preserve">  From the customer’s and </w:t>
      </w:r>
      <w:r w:rsidR="006A192F">
        <w:rPr>
          <w:rFonts w:eastAsia="SimSun"/>
        </w:rPr>
        <w:t xml:space="preserve">Company’s </w:t>
      </w:r>
      <w:r>
        <w:rPr>
          <w:rFonts w:eastAsia="SimSun"/>
        </w:rPr>
        <w:t xml:space="preserve">perspective, allowing fully firm gas sales customers to be charged for monthly demands </w:t>
      </w:r>
      <w:r w:rsidR="00072512">
        <w:rPr>
          <w:rFonts w:eastAsia="SimSun"/>
        </w:rPr>
        <w:t xml:space="preserve">based </w:t>
      </w:r>
      <w:r>
        <w:rPr>
          <w:rFonts w:eastAsia="SimSun"/>
        </w:rPr>
        <w:t xml:space="preserve">on actual </w:t>
      </w:r>
      <w:r w:rsidR="00740802">
        <w:rPr>
          <w:rFonts w:eastAsia="SimSun"/>
        </w:rPr>
        <w:t>demands</w:t>
      </w:r>
      <w:r>
        <w:rPr>
          <w:rFonts w:eastAsia="SimSun"/>
        </w:rPr>
        <w:t xml:space="preserve">, rather than contract demands, eliminates the need for a service agreement, reducing the </w:t>
      </w:r>
      <w:r w:rsidR="00971C72">
        <w:rPr>
          <w:rFonts w:eastAsia="SimSun"/>
        </w:rPr>
        <w:t xml:space="preserve">potential </w:t>
      </w:r>
      <w:r>
        <w:rPr>
          <w:rFonts w:eastAsia="SimSun"/>
        </w:rPr>
        <w:t>administrative complexity to both parties of providing service to these customers under Schedule 85.</w:t>
      </w:r>
    </w:p>
    <w:p w:rsidR="00F8418D" w:rsidRPr="009075DC" w:rsidRDefault="00955F63" w:rsidP="000F0D40">
      <w:pPr>
        <w:pStyle w:val="Heading1"/>
        <w:keepNext w:val="0"/>
        <w:keepLines w:val="0"/>
        <w:widowControl w:val="0"/>
        <w:rPr>
          <w:rFonts w:eastAsia="SimSun"/>
        </w:rPr>
      </w:pPr>
      <w:bookmarkStart w:id="165" w:name="_Ref438126572"/>
      <w:bookmarkStart w:id="166" w:name="_Ref438128884"/>
      <w:bookmarkStart w:id="167" w:name="_Toc471912973"/>
      <w:r>
        <w:rPr>
          <w:rFonts w:eastAsia="SimSun"/>
        </w:rPr>
        <w:t>IX</w:t>
      </w:r>
      <w:r w:rsidR="00F8418D" w:rsidRPr="009075DC">
        <w:rPr>
          <w:rFonts w:eastAsia="SimSun"/>
        </w:rPr>
        <w:t>.</w:t>
      </w:r>
      <w:r w:rsidR="00F8418D" w:rsidRPr="009075DC">
        <w:rPr>
          <w:rFonts w:eastAsia="SimSun"/>
        </w:rPr>
        <w:tab/>
      </w:r>
      <w:r w:rsidR="00E9070E">
        <w:rPr>
          <w:rFonts w:eastAsia="SimSun"/>
        </w:rPr>
        <w:t>REVIEW OF AND PROPOSED CHANGES TO PSE’S ELECTRIC AND GAS DECOUPLING MECHANISMS</w:t>
      </w:r>
      <w:bookmarkEnd w:id="165"/>
      <w:bookmarkEnd w:id="166"/>
      <w:bookmarkEnd w:id="167"/>
    </w:p>
    <w:p w:rsidR="00FF4648" w:rsidRDefault="00FF4648" w:rsidP="00FF4648">
      <w:pPr>
        <w:pStyle w:val="Heading2"/>
        <w:keepNext w:val="0"/>
        <w:keepLines w:val="0"/>
        <w:widowControl w:val="0"/>
        <w:spacing w:before="240" w:after="240"/>
        <w:rPr>
          <w:rFonts w:eastAsia="SimSun"/>
        </w:rPr>
      </w:pPr>
      <w:bookmarkStart w:id="168" w:name="_Toc471912974"/>
      <w:r w:rsidRPr="009075DC">
        <w:rPr>
          <w:rFonts w:eastAsia="SimSun"/>
          <w:u w:val="none"/>
        </w:rPr>
        <w:t>A.</w:t>
      </w:r>
      <w:r w:rsidRPr="009075DC">
        <w:rPr>
          <w:rFonts w:eastAsia="SimSun"/>
          <w:u w:val="none"/>
        </w:rPr>
        <w:tab/>
      </w:r>
      <w:r w:rsidRPr="009075DC">
        <w:rPr>
          <w:rFonts w:eastAsia="SimSun"/>
        </w:rPr>
        <w:t>Overview</w:t>
      </w:r>
      <w:r>
        <w:rPr>
          <w:rFonts w:eastAsia="SimSun"/>
        </w:rPr>
        <w:t xml:space="preserve"> of </w:t>
      </w:r>
      <w:r w:rsidR="0051419C">
        <w:rPr>
          <w:rFonts w:eastAsia="SimSun"/>
        </w:rPr>
        <w:t xml:space="preserve">Existing </w:t>
      </w:r>
      <w:r>
        <w:rPr>
          <w:rFonts w:eastAsia="SimSun"/>
        </w:rPr>
        <w:t>Mechanisms</w:t>
      </w:r>
      <w:bookmarkEnd w:id="168"/>
    </w:p>
    <w:p w:rsidR="0026017D" w:rsidRPr="009075DC" w:rsidRDefault="0026017D" w:rsidP="0026017D">
      <w:pPr>
        <w:pStyle w:val="question"/>
        <w:widowControl w:val="0"/>
        <w:rPr>
          <w:rFonts w:eastAsia="SimSun"/>
        </w:rPr>
      </w:pPr>
      <w:r w:rsidRPr="009075DC">
        <w:rPr>
          <w:rFonts w:eastAsia="SimSun"/>
        </w:rPr>
        <w:t>Q.</w:t>
      </w:r>
      <w:r w:rsidRPr="009075DC">
        <w:rPr>
          <w:rFonts w:eastAsia="SimSun"/>
        </w:rPr>
        <w:tab/>
      </w:r>
      <w:r w:rsidR="00C75CDD">
        <w:rPr>
          <w:rFonts w:eastAsia="SimSun"/>
        </w:rPr>
        <w:t>What is a revenue decoupling mechanism</w:t>
      </w:r>
      <w:r w:rsidR="003A3FD8">
        <w:rPr>
          <w:rFonts w:eastAsia="SimSun"/>
        </w:rPr>
        <w:t xml:space="preserve"> and what is its purpose</w:t>
      </w:r>
      <w:r>
        <w:rPr>
          <w:rFonts w:eastAsia="SimSun"/>
        </w:rPr>
        <w:t>?</w:t>
      </w:r>
    </w:p>
    <w:p w:rsidR="0026017D" w:rsidRDefault="0026017D" w:rsidP="0026017D">
      <w:pPr>
        <w:pStyle w:val="answer"/>
        <w:widowControl w:val="0"/>
        <w:rPr>
          <w:rFonts w:eastAsia="SimSun"/>
        </w:rPr>
      </w:pPr>
      <w:r w:rsidRPr="009075DC">
        <w:rPr>
          <w:rFonts w:eastAsia="SimSun"/>
        </w:rPr>
        <w:t>A.</w:t>
      </w:r>
      <w:r w:rsidRPr="009075DC">
        <w:rPr>
          <w:rFonts w:eastAsia="SimSun"/>
        </w:rPr>
        <w:tab/>
      </w:r>
      <w:r w:rsidR="006F0EC2">
        <w:rPr>
          <w:rFonts w:eastAsia="SimSun"/>
        </w:rPr>
        <w:t xml:space="preserve">As described in the Commission’s </w:t>
      </w:r>
      <w:r w:rsidR="006F0EC2" w:rsidRPr="00193732">
        <w:rPr>
          <w:i/>
        </w:rPr>
        <w:t>Report and Policy Statement on Regulatory Mechanisms, Including Decoupling, To Encourage Utilities To Meet Or Exceed Their Conservation Targets</w:t>
      </w:r>
      <w:r w:rsidR="006F0EC2">
        <w:rPr>
          <w:rStyle w:val="FootnoteReference"/>
          <w:i/>
        </w:rPr>
        <w:footnoteReference w:id="31"/>
      </w:r>
      <w:r w:rsidR="006F0EC2" w:rsidRPr="00193732">
        <w:rPr>
          <w:i/>
        </w:rPr>
        <w:t xml:space="preserve"> </w:t>
      </w:r>
      <w:r w:rsidR="006F0EC2" w:rsidRPr="00990FFC">
        <w:t>("</w:t>
      </w:r>
      <w:r w:rsidR="006F0EC2">
        <w:t xml:space="preserve">Decoupling </w:t>
      </w:r>
      <w:r w:rsidR="006F0EC2" w:rsidRPr="00D2154D">
        <w:t>Polic</w:t>
      </w:r>
      <w:r w:rsidR="006F0EC2" w:rsidRPr="00BD4BAF">
        <w:rPr>
          <w:szCs w:val="24"/>
        </w:rPr>
        <w:t xml:space="preserve">y Statement"), decoupling is “a means to separate a utility’s recovery of costs and return from the amount of </w:t>
      </w:r>
      <w:r w:rsidR="006F0EC2" w:rsidRPr="00BD4BAF">
        <w:rPr>
          <w:szCs w:val="24"/>
        </w:rPr>
        <w:lastRenderedPageBreak/>
        <w:t>energy it sells</w:t>
      </w:r>
      <w:r w:rsidR="006F0EC2" w:rsidRPr="00BD4BAF">
        <w:rPr>
          <w:rFonts w:eastAsia="SimSun"/>
          <w:szCs w:val="24"/>
        </w:rPr>
        <w:t>.”</w:t>
      </w:r>
      <w:r w:rsidR="006F0EC2" w:rsidRPr="00BD4BAF">
        <w:rPr>
          <w:rStyle w:val="FootnoteReference"/>
          <w:rFonts w:eastAsia="SimSun"/>
          <w:szCs w:val="16"/>
        </w:rPr>
        <w:footnoteReference w:id="32"/>
      </w:r>
      <w:r w:rsidR="006F0EC2" w:rsidRPr="00BD4BAF">
        <w:rPr>
          <w:rFonts w:eastAsia="SimSun"/>
          <w:szCs w:val="24"/>
        </w:rPr>
        <w:t xml:space="preserve">  As the Commission noted in its order originally approving PSE’s mechanism</w:t>
      </w:r>
      <w:r w:rsidR="00BD4BAF" w:rsidRPr="00BD4BAF">
        <w:rPr>
          <w:rFonts w:eastAsia="SimSun"/>
          <w:szCs w:val="24"/>
        </w:rPr>
        <w:t>s</w:t>
      </w:r>
      <w:r w:rsidR="006F0EC2" w:rsidRPr="00BD4BAF">
        <w:rPr>
          <w:rFonts w:eastAsia="SimSun"/>
          <w:szCs w:val="24"/>
        </w:rPr>
        <w:t xml:space="preserve">, </w:t>
      </w:r>
      <w:r w:rsidR="00BD4BAF" w:rsidRPr="00BD4BAF">
        <w:rPr>
          <w:rFonts w:eastAsia="SimSun"/>
          <w:szCs w:val="24"/>
        </w:rPr>
        <w:t xml:space="preserve">decoupling </w:t>
      </w:r>
      <w:r w:rsidR="006F0EC2" w:rsidRPr="00BD4BAF">
        <w:rPr>
          <w:rFonts w:eastAsia="SimSun"/>
          <w:szCs w:val="24"/>
        </w:rPr>
        <w:t>“</w:t>
      </w:r>
      <w:r w:rsidR="00BD4BAF" w:rsidRPr="00BD4BAF">
        <w:rPr>
          <w:szCs w:val="24"/>
        </w:rPr>
        <w:t>removes the so-called throughput incentive, thus promoting PSE’s more aggressive pursuit of cost-effective conservation.</w:t>
      </w:r>
      <w:r w:rsidR="00BD4BAF">
        <w:rPr>
          <w:szCs w:val="24"/>
        </w:rPr>
        <w:t>”</w:t>
      </w:r>
      <w:r w:rsidR="00BD4BAF">
        <w:rPr>
          <w:rStyle w:val="FootnoteReference"/>
          <w:szCs w:val="24"/>
        </w:rPr>
        <w:footnoteReference w:id="33"/>
      </w:r>
      <w:r w:rsidR="00BD4BAF" w:rsidRPr="00BD4BAF">
        <w:rPr>
          <w:rFonts w:eastAsia="SimSun"/>
        </w:rPr>
        <w:t xml:space="preserve">  </w:t>
      </w:r>
    </w:p>
    <w:p w:rsidR="0026017D" w:rsidRPr="009075DC" w:rsidRDefault="0026017D" w:rsidP="0026017D">
      <w:pPr>
        <w:pStyle w:val="question"/>
        <w:widowControl w:val="0"/>
        <w:rPr>
          <w:rFonts w:eastAsia="SimSun"/>
        </w:rPr>
      </w:pPr>
      <w:r w:rsidRPr="009075DC">
        <w:rPr>
          <w:rFonts w:eastAsia="SimSun"/>
        </w:rPr>
        <w:t>Q.</w:t>
      </w:r>
      <w:r w:rsidRPr="009075DC">
        <w:rPr>
          <w:rFonts w:eastAsia="SimSun"/>
        </w:rPr>
        <w:tab/>
      </w:r>
      <w:r w:rsidR="003A3FD8">
        <w:rPr>
          <w:rFonts w:eastAsia="SimSun"/>
        </w:rPr>
        <w:t>How do PSE’s revenue decoupling mechanisms</w:t>
      </w:r>
      <w:r w:rsidR="00D6728D">
        <w:rPr>
          <w:rFonts w:eastAsia="SimSun"/>
        </w:rPr>
        <w:t xml:space="preserve"> generally</w:t>
      </w:r>
      <w:r w:rsidR="003A3FD8">
        <w:rPr>
          <w:rFonts w:eastAsia="SimSun"/>
        </w:rPr>
        <w:t xml:space="preserve"> operate</w:t>
      </w:r>
      <w:r>
        <w:rPr>
          <w:rFonts w:eastAsia="SimSun"/>
        </w:rPr>
        <w:t>?</w:t>
      </w:r>
    </w:p>
    <w:p w:rsidR="0026017D" w:rsidRDefault="0026017D" w:rsidP="0026017D">
      <w:pPr>
        <w:pStyle w:val="answer"/>
        <w:widowControl w:val="0"/>
        <w:rPr>
          <w:rFonts w:eastAsia="SimSun"/>
        </w:rPr>
      </w:pPr>
      <w:r w:rsidRPr="009075DC">
        <w:rPr>
          <w:rFonts w:eastAsia="SimSun"/>
        </w:rPr>
        <w:t>A.</w:t>
      </w:r>
      <w:r w:rsidRPr="009075DC">
        <w:rPr>
          <w:rFonts w:eastAsia="SimSun"/>
        </w:rPr>
        <w:tab/>
      </w:r>
      <w:r w:rsidR="0024042B">
        <w:rPr>
          <w:rFonts w:eastAsia="SimSun"/>
        </w:rPr>
        <w:t xml:space="preserve">Like many decoupling mechanisms approved for other utilities, PSE’s mechanism links its allowed revenue to the number of customers it serves.  It also </w:t>
      </w:r>
      <w:r w:rsidR="00971C72">
        <w:rPr>
          <w:rFonts w:eastAsia="SimSun"/>
        </w:rPr>
        <w:t xml:space="preserve">currently </w:t>
      </w:r>
      <w:r w:rsidR="0024042B">
        <w:rPr>
          <w:rFonts w:eastAsia="SimSun"/>
        </w:rPr>
        <w:t>pertains only to PSE’s delivery system costs, not the cost of supply.  Specifically, PSE’s mechanism</w:t>
      </w:r>
      <w:r w:rsidR="006C1BFE">
        <w:rPr>
          <w:rFonts w:eastAsia="SimSun"/>
        </w:rPr>
        <w:t>s</w:t>
      </w:r>
      <w:r w:rsidR="0024042B">
        <w:rPr>
          <w:rFonts w:eastAsia="SimSun"/>
        </w:rPr>
        <w:t xml:space="preserve"> calculate the Company’s allowed delivery revenue as the product of its monthly allowed delivery revenue per customer multiplied by the number of customers served in each month and for each decoupling rate group.  Ea</w:t>
      </w:r>
      <w:r w:rsidR="0024042B" w:rsidRPr="0024042B">
        <w:rPr>
          <w:rFonts w:eastAsia="SimSun"/>
        </w:rPr>
        <w:t>ch month</w:t>
      </w:r>
      <w:r w:rsidR="0024042B">
        <w:rPr>
          <w:rFonts w:eastAsia="SimSun"/>
        </w:rPr>
        <w:t xml:space="preserve"> and for each decoupling rate group</w:t>
      </w:r>
      <w:r w:rsidR="0024042B" w:rsidRPr="0024042B">
        <w:rPr>
          <w:rFonts w:eastAsia="SimSun"/>
        </w:rPr>
        <w:t>, PSE defers the</w:t>
      </w:r>
      <w:r w:rsidR="003A3FD8" w:rsidRPr="0024042B">
        <w:rPr>
          <w:rFonts w:eastAsia="SimSun"/>
        </w:rPr>
        <w:t xml:space="preserve"> difference between</w:t>
      </w:r>
      <w:r w:rsidR="0024042B" w:rsidRPr="0024042B">
        <w:rPr>
          <w:rFonts w:eastAsia="SimSun"/>
        </w:rPr>
        <w:t xml:space="preserve"> its</w:t>
      </w:r>
      <w:r w:rsidR="003A3FD8" w:rsidRPr="0024042B">
        <w:rPr>
          <w:rFonts w:eastAsia="SimSun"/>
        </w:rPr>
        <w:t xml:space="preserve"> allowed</w:t>
      </w:r>
      <w:r w:rsidR="0024042B" w:rsidRPr="0024042B">
        <w:rPr>
          <w:rFonts w:eastAsia="SimSun"/>
        </w:rPr>
        <w:t xml:space="preserve"> delivery</w:t>
      </w:r>
      <w:r w:rsidR="003A3FD8" w:rsidRPr="0024042B">
        <w:rPr>
          <w:rFonts w:eastAsia="SimSun"/>
        </w:rPr>
        <w:t xml:space="preserve"> revenue and actual delivery revenue</w:t>
      </w:r>
      <w:r w:rsidR="00D6728D" w:rsidRPr="0024042B">
        <w:rPr>
          <w:rFonts w:eastAsia="SimSun"/>
        </w:rPr>
        <w:t>, including effects of weather</w:t>
      </w:r>
      <w:r w:rsidR="0024042B" w:rsidRPr="0024042B">
        <w:rPr>
          <w:rFonts w:eastAsia="SimSun"/>
        </w:rPr>
        <w:t>, and true</w:t>
      </w:r>
      <w:r w:rsidR="006B16C0">
        <w:rPr>
          <w:rFonts w:eastAsia="SimSun"/>
        </w:rPr>
        <w:t>s</w:t>
      </w:r>
      <w:r w:rsidR="00400E04">
        <w:rPr>
          <w:rFonts w:eastAsia="SimSun"/>
        </w:rPr>
        <w:t xml:space="preserve"> up</w:t>
      </w:r>
      <w:r w:rsidR="0024042B" w:rsidRPr="0024042B">
        <w:rPr>
          <w:rFonts w:eastAsia="SimSun"/>
        </w:rPr>
        <w:t xml:space="preserve"> this amount </w:t>
      </w:r>
      <w:r w:rsidR="00400E04">
        <w:rPr>
          <w:rFonts w:eastAsia="SimSun"/>
        </w:rPr>
        <w:t xml:space="preserve">in </w:t>
      </w:r>
      <w:r w:rsidR="003A3FD8" w:rsidRPr="0024042B">
        <w:rPr>
          <w:rFonts w:eastAsia="SimSun"/>
        </w:rPr>
        <w:t>the following year</w:t>
      </w:r>
      <w:r w:rsidR="006B16C0">
        <w:rPr>
          <w:rFonts w:eastAsia="SimSun"/>
        </w:rPr>
        <w:t xml:space="preserve"> in the Company’s annual Schedule 142 rate filing</w:t>
      </w:r>
      <w:r w:rsidRPr="0024042B">
        <w:rPr>
          <w:rFonts w:eastAsia="SimSun"/>
        </w:rPr>
        <w:t>.</w:t>
      </w:r>
      <w:r w:rsidR="003A3FD8" w:rsidRPr="0024042B">
        <w:rPr>
          <w:rFonts w:eastAsia="SimSun"/>
        </w:rPr>
        <w:t xml:space="preserve"> </w:t>
      </w:r>
      <w:r w:rsidR="0024042B" w:rsidRPr="0024042B">
        <w:rPr>
          <w:rFonts w:eastAsia="SimSun"/>
        </w:rPr>
        <w:t>Allowed delivery revenue per customer is shaped by month to, ideally, minimize fluctuations in the monthly deferrals. Also noteworthy is that PSE’s a</w:t>
      </w:r>
      <w:r w:rsidR="003A3FD8" w:rsidRPr="0024042B">
        <w:rPr>
          <w:rFonts w:eastAsia="SimSun"/>
        </w:rPr>
        <w:t xml:space="preserve">llowed </w:t>
      </w:r>
      <w:r w:rsidR="0024042B" w:rsidRPr="0024042B">
        <w:rPr>
          <w:rFonts w:eastAsia="SimSun"/>
        </w:rPr>
        <w:t xml:space="preserve">delivery </w:t>
      </w:r>
      <w:r w:rsidR="003A3FD8" w:rsidRPr="0024042B">
        <w:rPr>
          <w:rFonts w:eastAsia="SimSun"/>
        </w:rPr>
        <w:t xml:space="preserve">revenue per customer </w:t>
      </w:r>
      <w:r w:rsidR="00400E04">
        <w:rPr>
          <w:rFonts w:eastAsia="SimSun"/>
        </w:rPr>
        <w:t xml:space="preserve">has </w:t>
      </w:r>
      <w:r w:rsidR="003A3FD8" w:rsidRPr="0024042B">
        <w:rPr>
          <w:rFonts w:eastAsia="SimSun"/>
        </w:rPr>
        <w:t>grow</w:t>
      </w:r>
      <w:r w:rsidR="00400E04">
        <w:rPr>
          <w:rFonts w:eastAsia="SimSun"/>
        </w:rPr>
        <w:t>n</w:t>
      </w:r>
      <w:r w:rsidR="003A3FD8" w:rsidRPr="0024042B">
        <w:rPr>
          <w:rFonts w:eastAsia="SimSun"/>
        </w:rPr>
        <w:t xml:space="preserve"> annual</w:t>
      </w:r>
      <w:r w:rsidR="000E3483" w:rsidRPr="0024042B">
        <w:rPr>
          <w:rFonts w:eastAsia="SimSun"/>
        </w:rPr>
        <w:t>ly</w:t>
      </w:r>
      <w:r w:rsidR="003A3FD8" w:rsidRPr="0024042B">
        <w:rPr>
          <w:rFonts w:eastAsia="SimSun"/>
        </w:rPr>
        <w:t xml:space="preserve"> by </w:t>
      </w:r>
      <w:r w:rsidR="0024042B" w:rsidRPr="0024042B">
        <w:rPr>
          <w:rFonts w:eastAsia="SimSun"/>
        </w:rPr>
        <w:t>a “</w:t>
      </w:r>
      <w:r w:rsidR="003A3FD8" w:rsidRPr="0024042B">
        <w:rPr>
          <w:rFonts w:eastAsia="SimSun"/>
        </w:rPr>
        <w:t>K-factor</w:t>
      </w:r>
      <w:r w:rsidR="0024042B" w:rsidRPr="0024042B">
        <w:rPr>
          <w:rFonts w:eastAsia="SimSun"/>
        </w:rPr>
        <w:t xml:space="preserve">” (3.0 percent for electric customers and 2.2 percent for gas customers). </w:t>
      </w:r>
      <w:r w:rsidR="0024042B">
        <w:rPr>
          <w:rFonts w:eastAsia="SimSun"/>
          <w:highlight w:val="yellow"/>
        </w:rPr>
        <w:t xml:space="preserve"> </w:t>
      </w:r>
    </w:p>
    <w:p w:rsidR="00885F68" w:rsidRPr="009075DC" w:rsidRDefault="00885F68" w:rsidP="00885F68">
      <w:pPr>
        <w:pStyle w:val="question"/>
        <w:widowControl w:val="0"/>
        <w:rPr>
          <w:rFonts w:eastAsia="SimSun"/>
        </w:rPr>
      </w:pPr>
      <w:r w:rsidRPr="009075DC">
        <w:rPr>
          <w:rFonts w:eastAsia="SimSun"/>
        </w:rPr>
        <w:t>Q.</w:t>
      </w:r>
      <w:r w:rsidRPr="009075DC">
        <w:rPr>
          <w:rFonts w:eastAsia="SimSun"/>
        </w:rPr>
        <w:tab/>
      </w:r>
      <w:r w:rsidR="003A3FD8">
        <w:rPr>
          <w:rFonts w:eastAsia="SimSun"/>
        </w:rPr>
        <w:t xml:space="preserve">What rate classes </w:t>
      </w:r>
      <w:r w:rsidR="0024042B">
        <w:rPr>
          <w:rFonts w:eastAsia="SimSun"/>
        </w:rPr>
        <w:t>are in each of</w:t>
      </w:r>
      <w:r w:rsidR="003A3FD8">
        <w:rPr>
          <w:rFonts w:eastAsia="SimSun"/>
        </w:rPr>
        <w:t xml:space="preserve"> </w:t>
      </w:r>
      <w:r w:rsidR="0024042B">
        <w:rPr>
          <w:rFonts w:eastAsia="SimSun"/>
        </w:rPr>
        <w:t>the decoupling</w:t>
      </w:r>
      <w:r w:rsidR="003A3FD8">
        <w:rPr>
          <w:rFonts w:eastAsia="SimSun"/>
        </w:rPr>
        <w:t xml:space="preserve"> mechanisms</w:t>
      </w:r>
      <w:r w:rsidR="0024042B">
        <w:rPr>
          <w:rFonts w:eastAsia="SimSun"/>
        </w:rPr>
        <w:t>’ rate groups</w:t>
      </w:r>
      <w:r>
        <w:rPr>
          <w:rFonts w:eastAsia="SimSun"/>
        </w:rPr>
        <w:t>?</w:t>
      </w:r>
    </w:p>
    <w:p w:rsidR="0002428B" w:rsidRDefault="00885F68" w:rsidP="00885F68">
      <w:pPr>
        <w:pStyle w:val="answer"/>
        <w:widowControl w:val="0"/>
        <w:rPr>
          <w:rFonts w:eastAsia="SimSun"/>
        </w:rPr>
      </w:pPr>
      <w:r w:rsidRPr="009075DC">
        <w:rPr>
          <w:rFonts w:eastAsia="SimSun"/>
        </w:rPr>
        <w:lastRenderedPageBreak/>
        <w:t>A.</w:t>
      </w:r>
      <w:r w:rsidRPr="009075DC">
        <w:rPr>
          <w:rFonts w:eastAsia="SimSun"/>
        </w:rPr>
        <w:tab/>
      </w:r>
      <w:r w:rsidR="0024042B">
        <w:rPr>
          <w:rFonts w:eastAsia="SimSun"/>
        </w:rPr>
        <w:t xml:space="preserve">For the electric decoupling mechanism, there are currently four rate groups: </w:t>
      </w:r>
      <w:r w:rsidR="000373BB">
        <w:rPr>
          <w:rFonts w:eastAsia="SimSun"/>
        </w:rPr>
        <w:t xml:space="preserve">(i) </w:t>
      </w:r>
      <w:r w:rsidR="0024042B">
        <w:rPr>
          <w:rFonts w:eastAsia="SimSun"/>
        </w:rPr>
        <w:t xml:space="preserve">Residential, </w:t>
      </w:r>
      <w:r w:rsidR="000373BB">
        <w:rPr>
          <w:rFonts w:eastAsia="SimSun"/>
        </w:rPr>
        <w:t xml:space="preserve">(ii) </w:t>
      </w:r>
      <w:r w:rsidR="0024042B">
        <w:rPr>
          <w:rFonts w:eastAsia="SimSun"/>
        </w:rPr>
        <w:t xml:space="preserve">Schedules 12 and 26, </w:t>
      </w:r>
      <w:r w:rsidR="000373BB">
        <w:rPr>
          <w:rFonts w:eastAsia="SimSun"/>
        </w:rPr>
        <w:t xml:space="preserve">(iii) </w:t>
      </w:r>
      <w:r w:rsidR="0024042B">
        <w:rPr>
          <w:rFonts w:eastAsia="SimSun"/>
        </w:rPr>
        <w:t xml:space="preserve">Schedules </w:t>
      </w:r>
      <w:r w:rsidR="0002428B">
        <w:rPr>
          <w:rFonts w:eastAsia="SimSun"/>
        </w:rPr>
        <w:t xml:space="preserve">10 and 31, and </w:t>
      </w:r>
      <w:r w:rsidR="000373BB">
        <w:rPr>
          <w:rFonts w:eastAsia="SimSun"/>
        </w:rPr>
        <w:t xml:space="preserve">(iv) </w:t>
      </w:r>
      <w:r w:rsidR="0002428B">
        <w:rPr>
          <w:rFonts w:eastAsia="SimSun"/>
        </w:rPr>
        <w:t xml:space="preserve">a group comprised of Schedules 8, 11, 24, 25, 29, 40, 43, </w:t>
      </w:r>
      <w:r w:rsidR="00556BD8">
        <w:rPr>
          <w:rFonts w:eastAsia="SimSun"/>
        </w:rPr>
        <w:t>4</w:t>
      </w:r>
      <w:r w:rsidR="0002428B">
        <w:rPr>
          <w:rFonts w:eastAsia="SimSun"/>
        </w:rPr>
        <w:t xml:space="preserve">6 and 49.  </w:t>
      </w:r>
      <w:r w:rsidR="00436552">
        <w:rPr>
          <w:rFonts w:eastAsia="SimSun"/>
        </w:rPr>
        <w:t>As discussed in more detail below, i</w:t>
      </w:r>
      <w:r w:rsidR="0002428B">
        <w:rPr>
          <w:rFonts w:eastAsia="SimSun"/>
        </w:rPr>
        <w:t xml:space="preserve">t is worth noting that Schedules 10, 12, 26 and 31 were originally included in the same rate group as the other non-residential customers. However, as part of a settlement related to petitions for reconsideration of the </w:t>
      </w:r>
      <w:r w:rsidR="005B1227">
        <w:rPr>
          <w:rFonts w:eastAsia="SimSun"/>
        </w:rPr>
        <w:t xml:space="preserve">Commission’s </w:t>
      </w:r>
      <w:r w:rsidR="000373BB">
        <w:rPr>
          <w:rFonts w:eastAsia="SimSun"/>
        </w:rPr>
        <w:t xml:space="preserve">original </w:t>
      </w:r>
      <w:r w:rsidR="005B1227">
        <w:rPr>
          <w:rFonts w:eastAsia="SimSun"/>
        </w:rPr>
        <w:t xml:space="preserve">approval of the </w:t>
      </w:r>
      <w:r w:rsidR="0002428B">
        <w:rPr>
          <w:rFonts w:eastAsia="SimSun"/>
        </w:rPr>
        <w:t>decoupling mechanism</w:t>
      </w:r>
      <w:r w:rsidR="005B1227">
        <w:rPr>
          <w:rFonts w:eastAsia="SimSun"/>
        </w:rPr>
        <w:t>s</w:t>
      </w:r>
      <w:r w:rsidR="0002428B">
        <w:rPr>
          <w:rFonts w:eastAsia="SimSun"/>
        </w:rPr>
        <w:t>, the new rate groups were formed and certain concurrent rate design changes were approved</w:t>
      </w:r>
      <w:r w:rsidR="006C1BFE">
        <w:rPr>
          <w:rFonts w:eastAsia="SimSun"/>
        </w:rPr>
        <w:t xml:space="preserve"> and went into effect beginning January 1, 2014</w:t>
      </w:r>
      <w:r w:rsidR="0002428B">
        <w:rPr>
          <w:rFonts w:eastAsia="SimSun"/>
        </w:rPr>
        <w:t>.</w:t>
      </w:r>
      <w:r w:rsidR="0002428B">
        <w:rPr>
          <w:rStyle w:val="FootnoteReference"/>
          <w:rFonts w:eastAsia="SimSun"/>
        </w:rPr>
        <w:footnoteReference w:id="34"/>
      </w:r>
      <w:r w:rsidR="0002428B">
        <w:rPr>
          <w:rFonts w:eastAsia="SimSun"/>
        </w:rPr>
        <w:t xml:space="preserve">  The rate design changes increased demand charges for these customers so that the decoupling mechanism could use demand charge revenue as the basis for determining their actual delivery revenue used in the decoupling deferral calculation.</w:t>
      </w:r>
      <w:r w:rsidR="0002428B">
        <w:rPr>
          <w:rStyle w:val="FootnoteReference"/>
          <w:rFonts w:eastAsia="SimSun"/>
        </w:rPr>
        <w:footnoteReference w:id="35"/>
      </w:r>
      <w:r w:rsidR="0002428B">
        <w:rPr>
          <w:rFonts w:eastAsia="SimSun"/>
        </w:rPr>
        <w:t xml:space="preserve">   </w:t>
      </w:r>
    </w:p>
    <w:p w:rsidR="00885F68" w:rsidRDefault="0002428B" w:rsidP="0002428B">
      <w:pPr>
        <w:pStyle w:val="answer"/>
        <w:widowControl w:val="0"/>
        <w:ind w:firstLine="0"/>
        <w:rPr>
          <w:rFonts w:eastAsia="SimSun"/>
        </w:rPr>
      </w:pPr>
      <w:r>
        <w:rPr>
          <w:rFonts w:eastAsia="SimSun"/>
        </w:rPr>
        <w:t>For PSE’s gas decoupling mechanism there are currently</w:t>
      </w:r>
      <w:r w:rsidR="006C1BFE">
        <w:rPr>
          <w:rFonts w:eastAsia="SimSun"/>
        </w:rPr>
        <w:t xml:space="preserve"> two rate groups: Residential and Non-Residential, which currently include customers served under Schedules 31, 31T, 41, 41T, 86 and 86T.  </w:t>
      </w:r>
      <w:r w:rsidR="00436552">
        <w:rPr>
          <w:rFonts w:eastAsia="SimSun"/>
        </w:rPr>
        <w:t xml:space="preserve">As also discussed further below, </w:t>
      </w:r>
      <w:r w:rsidR="00CB52AF">
        <w:rPr>
          <w:rFonts w:eastAsia="SimSun"/>
        </w:rPr>
        <w:t xml:space="preserve">customers in </w:t>
      </w:r>
      <w:r w:rsidR="006C1BFE">
        <w:rPr>
          <w:rFonts w:eastAsia="SimSun"/>
        </w:rPr>
        <w:t xml:space="preserve">Schedules 85, 85T, 87 and 87T were included in the </w:t>
      </w:r>
      <w:r w:rsidR="00971C72">
        <w:rPr>
          <w:rFonts w:eastAsia="SimSun"/>
        </w:rPr>
        <w:t xml:space="preserve">gas decoupling </w:t>
      </w:r>
      <w:r w:rsidR="006C1BFE">
        <w:rPr>
          <w:rFonts w:eastAsia="SimSun"/>
        </w:rPr>
        <w:t>mechanism for the first six month</w:t>
      </w:r>
      <w:r>
        <w:rPr>
          <w:rFonts w:eastAsia="SimSun"/>
        </w:rPr>
        <w:t xml:space="preserve"> </w:t>
      </w:r>
      <w:r w:rsidR="006C1BFE">
        <w:rPr>
          <w:rFonts w:eastAsia="SimSun"/>
        </w:rPr>
        <w:t xml:space="preserve">of its operation and, as a result of the settlement of the petitions for reconsideration of the original order approving PSE’s decoupling mechanism, were excluded from the gas decoupling mechanism </w:t>
      </w:r>
      <w:r w:rsidR="006C1BFE">
        <w:rPr>
          <w:rFonts w:eastAsia="SimSun"/>
        </w:rPr>
        <w:lastRenderedPageBreak/>
        <w:t>effective January 1, 2014.</w:t>
      </w:r>
      <w:r w:rsidR="006C1BFE">
        <w:rPr>
          <w:rStyle w:val="FootnoteReference"/>
          <w:rFonts w:eastAsia="SimSun"/>
        </w:rPr>
        <w:footnoteReference w:id="36"/>
      </w:r>
      <w:r w:rsidR="0024042B">
        <w:rPr>
          <w:rFonts w:eastAsia="SimSun"/>
        </w:rPr>
        <w:t xml:space="preserve">  </w:t>
      </w:r>
    </w:p>
    <w:p w:rsidR="00885F68" w:rsidRPr="009075DC" w:rsidRDefault="00885F68" w:rsidP="00885F68">
      <w:pPr>
        <w:pStyle w:val="question"/>
        <w:widowControl w:val="0"/>
        <w:rPr>
          <w:rFonts w:eastAsia="SimSun"/>
        </w:rPr>
      </w:pPr>
      <w:r w:rsidRPr="009075DC">
        <w:rPr>
          <w:rFonts w:eastAsia="SimSun"/>
        </w:rPr>
        <w:t>Q.</w:t>
      </w:r>
      <w:r w:rsidRPr="009075DC">
        <w:rPr>
          <w:rFonts w:eastAsia="SimSun"/>
        </w:rPr>
        <w:tab/>
      </w:r>
      <w:r w:rsidR="006C1BFE">
        <w:rPr>
          <w:rFonts w:eastAsia="SimSun"/>
        </w:rPr>
        <w:t xml:space="preserve">Are there any </w:t>
      </w:r>
      <w:r w:rsidR="003A3FD8">
        <w:rPr>
          <w:rFonts w:eastAsia="SimSun"/>
        </w:rPr>
        <w:t>customer protections in place with PSE’s decoupling mechanisms</w:t>
      </w:r>
      <w:r>
        <w:rPr>
          <w:rFonts w:eastAsia="SimSun"/>
        </w:rPr>
        <w:t>?</w:t>
      </w:r>
    </w:p>
    <w:p w:rsidR="00885F68" w:rsidRPr="003A3FD8" w:rsidRDefault="00885F68" w:rsidP="00885F68">
      <w:pPr>
        <w:pStyle w:val="question"/>
        <w:widowControl w:val="0"/>
        <w:rPr>
          <w:rFonts w:eastAsia="SimSun"/>
          <w:b w:val="0"/>
        </w:rPr>
      </w:pPr>
      <w:r w:rsidRPr="003A3FD8">
        <w:rPr>
          <w:rFonts w:eastAsia="SimSun"/>
          <w:b w:val="0"/>
        </w:rPr>
        <w:t>A.</w:t>
      </w:r>
      <w:r w:rsidRPr="003A3FD8">
        <w:rPr>
          <w:rFonts w:eastAsia="SimSun"/>
          <w:b w:val="0"/>
        </w:rPr>
        <w:tab/>
      </w:r>
      <w:r w:rsidR="006C1BFE">
        <w:rPr>
          <w:rFonts w:eastAsia="SimSun"/>
          <w:b w:val="0"/>
        </w:rPr>
        <w:t xml:space="preserve">Yes.  As part of the approval of its decoupling mechanisms, PSE proposed and the Commission approved (with minor modification) an Earnings Test, a Rate Test, increased funding for low-income customers and a condition to conduct a </w:t>
      </w:r>
      <w:r w:rsidR="00461E19">
        <w:rPr>
          <w:rFonts w:eastAsia="SimSun"/>
          <w:b w:val="0"/>
        </w:rPr>
        <w:t>third-party</w:t>
      </w:r>
      <w:r w:rsidR="006C1BFE">
        <w:rPr>
          <w:rFonts w:eastAsia="SimSun"/>
          <w:b w:val="0"/>
        </w:rPr>
        <w:t xml:space="preserve"> review of these mechanisms on or before the filing of the Company’s next GRC.  The Earnings Test shares 50 percent of the amount PSE earns in excess of its authorized 7.77 percent </w:t>
      </w:r>
      <w:r w:rsidR="000373BB">
        <w:rPr>
          <w:rFonts w:eastAsia="SimSun"/>
          <w:b w:val="0"/>
        </w:rPr>
        <w:t xml:space="preserve">rate of </w:t>
      </w:r>
      <w:r w:rsidR="006C1BFE">
        <w:rPr>
          <w:rFonts w:eastAsia="SimSun"/>
          <w:b w:val="0"/>
        </w:rPr>
        <w:t>return.</w:t>
      </w:r>
      <w:r w:rsidR="006C1BFE">
        <w:rPr>
          <w:rStyle w:val="FootnoteReference"/>
          <w:rFonts w:eastAsia="SimSun"/>
          <w:b w:val="0"/>
        </w:rPr>
        <w:footnoteReference w:id="37"/>
      </w:r>
      <w:r w:rsidR="006C1BFE">
        <w:rPr>
          <w:rFonts w:eastAsia="SimSun"/>
          <w:b w:val="0"/>
        </w:rPr>
        <w:t xml:space="preserve">  The Rate Test ensures that customers will not experience more than a </w:t>
      </w:r>
      <w:r w:rsidR="00A35C7F">
        <w:rPr>
          <w:rFonts w:eastAsia="SimSun"/>
          <w:b w:val="0"/>
        </w:rPr>
        <w:t xml:space="preserve">three </w:t>
      </w:r>
      <w:r w:rsidR="006C1BFE">
        <w:rPr>
          <w:rFonts w:eastAsia="SimSun"/>
          <w:b w:val="0"/>
        </w:rPr>
        <w:t>percent increase in rates each year as a result of the decoupling mechanism.</w:t>
      </w:r>
      <w:r w:rsidR="001E6B0B">
        <w:rPr>
          <w:rStyle w:val="FootnoteReference"/>
          <w:rFonts w:eastAsia="SimSun"/>
          <w:b w:val="0"/>
        </w:rPr>
        <w:footnoteReference w:id="38"/>
      </w:r>
      <w:r w:rsidR="006C1BFE">
        <w:rPr>
          <w:rFonts w:eastAsia="SimSun"/>
          <w:b w:val="0"/>
        </w:rPr>
        <w:t xml:space="preserve">  </w:t>
      </w:r>
      <w:r w:rsidR="001E6B0B">
        <w:rPr>
          <w:rFonts w:eastAsia="SimSun"/>
          <w:b w:val="0"/>
        </w:rPr>
        <w:t xml:space="preserve">Low-income customers received </w:t>
      </w:r>
      <w:r w:rsidR="005B1227">
        <w:rPr>
          <w:rFonts w:eastAsia="SimSun"/>
          <w:b w:val="0"/>
        </w:rPr>
        <w:t xml:space="preserve">a </w:t>
      </w:r>
      <w:r w:rsidR="001E6B0B">
        <w:rPr>
          <w:rFonts w:eastAsia="SimSun"/>
          <w:b w:val="0"/>
        </w:rPr>
        <w:t xml:space="preserve">$1 million </w:t>
      </w:r>
      <w:r w:rsidR="005B1227">
        <w:rPr>
          <w:rFonts w:eastAsia="SimSun"/>
          <w:b w:val="0"/>
        </w:rPr>
        <w:t>increase</w:t>
      </w:r>
      <w:r w:rsidR="001E6B0B">
        <w:rPr>
          <w:rFonts w:eastAsia="SimSun"/>
          <w:b w:val="0"/>
        </w:rPr>
        <w:t xml:space="preserve"> in </w:t>
      </w:r>
      <w:r w:rsidR="005B1227">
        <w:rPr>
          <w:rFonts w:eastAsia="SimSun"/>
          <w:b w:val="0"/>
        </w:rPr>
        <w:t xml:space="preserve">annual </w:t>
      </w:r>
      <w:r w:rsidR="001E6B0B">
        <w:rPr>
          <w:rFonts w:eastAsia="SimSun"/>
          <w:b w:val="0"/>
        </w:rPr>
        <w:t xml:space="preserve">bill assistance, as well as an additional $500,000 in </w:t>
      </w:r>
      <w:r w:rsidR="000373BB">
        <w:rPr>
          <w:rFonts w:eastAsia="SimSun"/>
          <w:b w:val="0"/>
        </w:rPr>
        <w:t xml:space="preserve">annual </w:t>
      </w:r>
      <w:r w:rsidR="001E6B0B">
        <w:rPr>
          <w:rFonts w:eastAsia="SimSun"/>
          <w:b w:val="0"/>
        </w:rPr>
        <w:t xml:space="preserve">low-income weatherization funding and an additional $100,000 per year of shareholder funding for these weatherization programs.  Finally, PSE committed to conducting a </w:t>
      </w:r>
      <w:r w:rsidR="00461E19">
        <w:rPr>
          <w:rFonts w:eastAsia="SimSun"/>
          <w:b w:val="0"/>
        </w:rPr>
        <w:t>third-party</w:t>
      </w:r>
      <w:r w:rsidR="001E6B0B">
        <w:rPr>
          <w:rFonts w:eastAsia="SimSun"/>
          <w:b w:val="0"/>
        </w:rPr>
        <w:t xml:space="preserve"> review of its decoupling mechanism to review its </w:t>
      </w:r>
      <w:r w:rsidR="001E6B0B">
        <w:rPr>
          <w:rFonts w:eastAsia="SimSun"/>
          <w:b w:val="0"/>
        </w:rPr>
        <w:lastRenderedPageBreak/>
        <w:t>operation, impacts on bills and conservation achievement and to potentially identify any unintended consequences associated with either decoupling mechanism.  This review is discussed later in this testimony.</w:t>
      </w:r>
    </w:p>
    <w:p w:rsidR="003A3FD8" w:rsidRPr="009075DC" w:rsidRDefault="003A3FD8" w:rsidP="003A3FD8">
      <w:pPr>
        <w:pStyle w:val="question"/>
        <w:widowControl w:val="0"/>
        <w:rPr>
          <w:rFonts w:eastAsia="SimSun"/>
        </w:rPr>
      </w:pPr>
      <w:r w:rsidRPr="009075DC">
        <w:rPr>
          <w:rFonts w:eastAsia="SimSun"/>
        </w:rPr>
        <w:t>Q.</w:t>
      </w:r>
      <w:r w:rsidRPr="009075DC">
        <w:rPr>
          <w:rFonts w:eastAsia="SimSun"/>
        </w:rPr>
        <w:tab/>
      </w:r>
      <w:r>
        <w:rPr>
          <w:rFonts w:eastAsia="SimSun"/>
        </w:rPr>
        <w:t xml:space="preserve">What other </w:t>
      </w:r>
      <w:r w:rsidR="00D6728D">
        <w:rPr>
          <w:rFonts w:eastAsia="SimSun"/>
        </w:rPr>
        <w:t xml:space="preserve">benefits </w:t>
      </w:r>
      <w:r>
        <w:rPr>
          <w:rFonts w:eastAsia="SimSun"/>
        </w:rPr>
        <w:t xml:space="preserve">have </w:t>
      </w:r>
      <w:r w:rsidR="00D6728D">
        <w:rPr>
          <w:rFonts w:eastAsia="SimSun"/>
        </w:rPr>
        <w:t xml:space="preserve">customers received </w:t>
      </w:r>
      <w:r>
        <w:rPr>
          <w:rFonts w:eastAsia="SimSun"/>
        </w:rPr>
        <w:t xml:space="preserve">as a result of </w:t>
      </w:r>
      <w:r w:rsidR="00D6728D">
        <w:rPr>
          <w:rFonts w:eastAsia="SimSun"/>
        </w:rPr>
        <w:t xml:space="preserve">PSE’s </w:t>
      </w:r>
      <w:r>
        <w:rPr>
          <w:rFonts w:eastAsia="SimSun"/>
        </w:rPr>
        <w:t>decoupling mechanisms?</w:t>
      </w:r>
    </w:p>
    <w:p w:rsidR="003A3FD8" w:rsidRDefault="003A3FD8" w:rsidP="003A3FD8">
      <w:pPr>
        <w:pStyle w:val="answer"/>
        <w:widowControl w:val="0"/>
        <w:rPr>
          <w:rFonts w:eastAsia="SimSun"/>
        </w:rPr>
      </w:pPr>
      <w:r w:rsidRPr="009075DC">
        <w:rPr>
          <w:rFonts w:eastAsia="SimSun"/>
        </w:rPr>
        <w:t>A.</w:t>
      </w:r>
      <w:r w:rsidRPr="009075DC">
        <w:rPr>
          <w:rFonts w:eastAsia="SimSun"/>
        </w:rPr>
        <w:tab/>
      </w:r>
      <w:r w:rsidR="00436552">
        <w:rPr>
          <w:rFonts w:eastAsia="SimSun"/>
        </w:rPr>
        <w:t xml:space="preserve">PSE customers received additional benefit from the approval of the Company’s decoupling mechanisms through more conservation.  Specifically, PSE committed to achieving five percent more conservation </w:t>
      </w:r>
      <w:r w:rsidR="00CB52AF">
        <w:rPr>
          <w:rFonts w:eastAsia="SimSun"/>
        </w:rPr>
        <w:t xml:space="preserve">than </w:t>
      </w:r>
      <w:r w:rsidR="00436552">
        <w:rPr>
          <w:rFonts w:eastAsia="SimSun"/>
        </w:rPr>
        <w:t xml:space="preserve">required </w:t>
      </w:r>
      <w:r w:rsidR="00CB52AF">
        <w:rPr>
          <w:rFonts w:eastAsia="SimSun"/>
        </w:rPr>
        <w:t xml:space="preserve">by RCW 19.285 </w:t>
      </w:r>
      <w:r w:rsidR="00436552">
        <w:rPr>
          <w:rFonts w:eastAsia="SimSun"/>
        </w:rPr>
        <w:t>in each two-year reporting biennium.  In addition, PSE committed to participat</w:t>
      </w:r>
      <w:r w:rsidR="00CB52AF">
        <w:rPr>
          <w:rFonts w:eastAsia="SimSun"/>
        </w:rPr>
        <w:t>e</w:t>
      </w:r>
      <w:r w:rsidR="00436552">
        <w:rPr>
          <w:rFonts w:eastAsia="SimSun"/>
        </w:rPr>
        <w:t xml:space="preserve"> in a gas market transformation study that was </w:t>
      </w:r>
      <w:r w:rsidR="006338CF">
        <w:rPr>
          <w:rFonts w:eastAsia="SimSun"/>
        </w:rPr>
        <w:t xml:space="preserve">proposed </w:t>
      </w:r>
      <w:r w:rsidR="00436552">
        <w:rPr>
          <w:rFonts w:eastAsia="SimSun"/>
        </w:rPr>
        <w:t>by the Northwest Energy Efficiency Alliance (“NEEA”).</w:t>
      </w:r>
    </w:p>
    <w:p w:rsidR="00436552" w:rsidRPr="00436552" w:rsidRDefault="00436552" w:rsidP="003A3FD8">
      <w:pPr>
        <w:pStyle w:val="answer"/>
        <w:widowControl w:val="0"/>
        <w:rPr>
          <w:rFonts w:eastAsia="SimSun"/>
          <w:b/>
        </w:rPr>
      </w:pPr>
      <w:r w:rsidRPr="00436552">
        <w:rPr>
          <w:rFonts w:eastAsia="SimSun"/>
          <w:b/>
        </w:rPr>
        <w:t>Q.</w:t>
      </w:r>
      <w:r w:rsidRPr="00436552">
        <w:rPr>
          <w:rFonts w:eastAsia="SimSun"/>
          <w:b/>
        </w:rPr>
        <w:tab/>
        <w:t>Did PSE follow through on these conservation-related commitments?</w:t>
      </w:r>
    </w:p>
    <w:p w:rsidR="00436552" w:rsidRDefault="00436552" w:rsidP="003A3FD8">
      <w:pPr>
        <w:pStyle w:val="answer"/>
        <w:widowControl w:val="0"/>
        <w:rPr>
          <w:rFonts w:eastAsia="SimSun"/>
        </w:rPr>
      </w:pPr>
      <w:r>
        <w:rPr>
          <w:rFonts w:eastAsia="SimSun"/>
        </w:rPr>
        <w:t>A.</w:t>
      </w:r>
      <w:r>
        <w:rPr>
          <w:rFonts w:eastAsia="SimSun"/>
        </w:rPr>
        <w:tab/>
        <w:t xml:space="preserve">Yes. </w:t>
      </w:r>
      <w:r w:rsidR="00F00047">
        <w:rPr>
          <w:rFonts w:eastAsia="SimSun"/>
        </w:rPr>
        <w:t xml:space="preserve"> </w:t>
      </w:r>
      <w:r w:rsidR="00844ABF">
        <w:rPr>
          <w:rFonts w:eastAsia="SimSun"/>
        </w:rPr>
        <w:t xml:space="preserve">In the amended decoupling petition, PSE committed to </w:t>
      </w:r>
      <w:r w:rsidR="00392E3B">
        <w:rPr>
          <w:rFonts w:eastAsia="SimSun"/>
        </w:rPr>
        <w:t xml:space="preserve">exceed its statutory </w:t>
      </w:r>
      <w:r w:rsidR="00B0263C" w:rsidRPr="00610C82">
        <w:rPr>
          <w:rFonts w:eastAsia="SimSun"/>
        </w:rPr>
        <w:t xml:space="preserve">electric conservation </w:t>
      </w:r>
      <w:r w:rsidR="00392E3B">
        <w:rPr>
          <w:rFonts w:eastAsia="SimSun"/>
        </w:rPr>
        <w:t xml:space="preserve">achievement by </w:t>
      </w:r>
      <w:r w:rsidR="00A35C7F">
        <w:rPr>
          <w:rFonts w:eastAsia="SimSun"/>
        </w:rPr>
        <w:t xml:space="preserve">five </w:t>
      </w:r>
      <w:r w:rsidR="00392E3B">
        <w:rPr>
          <w:rFonts w:eastAsia="SimSun"/>
        </w:rPr>
        <w:t xml:space="preserve">percent.  </w:t>
      </w:r>
      <w:r w:rsidR="00844ABF">
        <w:rPr>
          <w:rFonts w:eastAsia="SimSun"/>
        </w:rPr>
        <w:t xml:space="preserve">As reported in its </w:t>
      </w:r>
      <w:r w:rsidR="006338CF">
        <w:rPr>
          <w:rFonts w:eastAsia="SimSun"/>
        </w:rPr>
        <w:t>2014-2015 Biennial C</w:t>
      </w:r>
      <w:r w:rsidR="00844ABF">
        <w:rPr>
          <w:rFonts w:eastAsia="SimSun"/>
        </w:rPr>
        <w:t xml:space="preserve">onservation </w:t>
      </w:r>
      <w:r w:rsidR="006338CF">
        <w:rPr>
          <w:rFonts w:eastAsia="SimSun"/>
        </w:rPr>
        <w:t>R</w:t>
      </w:r>
      <w:r w:rsidR="00844ABF">
        <w:rPr>
          <w:rFonts w:eastAsia="SimSun"/>
        </w:rPr>
        <w:t>eport</w:t>
      </w:r>
      <w:r w:rsidR="00392E3B">
        <w:rPr>
          <w:rFonts w:eastAsia="SimSun"/>
        </w:rPr>
        <w:t xml:space="preserve">, PSE exceeded this </w:t>
      </w:r>
      <w:r w:rsidR="00872887">
        <w:rPr>
          <w:rFonts w:eastAsia="SimSun"/>
        </w:rPr>
        <w:t xml:space="preserve">statutory requirement </w:t>
      </w:r>
      <w:r w:rsidR="00B0263C" w:rsidRPr="00610C82">
        <w:rPr>
          <w:rFonts w:eastAsia="SimSun"/>
        </w:rPr>
        <w:t xml:space="preserve">by </w:t>
      </w:r>
      <w:r w:rsidR="00392E3B" w:rsidRPr="00392E3B">
        <w:rPr>
          <w:rFonts w:eastAsia="SimSun"/>
        </w:rPr>
        <w:t xml:space="preserve">over </w:t>
      </w:r>
      <w:r w:rsidR="00872887">
        <w:rPr>
          <w:rFonts w:eastAsia="SimSun"/>
        </w:rPr>
        <w:t xml:space="preserve">eight </w:t>
      </w:r>
      <w:r w:rsidR="00D1284F">
        <w:rPr>
          <w:rFonts w:eastAsia="SimSun"/>
        </w:rPr>
        <w:t>percent</w:t>
      </w:r>
      <w:r w:rsidR="00B0263C" w:rsidRPr="00392E3B">
        <w:rPr>
          <w:rFonts w:eastAsia="SimSun"/>
        </w:rPr>
        <w:t xml:space="preserve">. </w:t>
      </w:r>
      <w:r w:rsidR="00610C82" w:rsidRPr="00392E3B">
        <w:rPr>
          <w:rFonts w:eastAsia="SimSun"/>
        </w:rPr>
        <w:t xml:space="preserve"> </w:t>
      </w:r>
      <w:r w:rsidR="00610C82" w:rsidRPr="00610C82">
        <w:rPr>
          <w:rFonts w:eastAsia="SimSun"/>
        </w:rPr>
        <w:t xml:space="preserve">PSE has also built its </w:t>
      </w:r>
      <w:r w:rsidR="00127342">
        <w:rPr>
          <w:rFonts w:eastAsia="SimSun"/>
        </w:rPr>
        <w:t>five</w:t>
      </w:r>
      <w:r w:rsidR="00610C82" w:rsidRPr="00610C82">
        <w:rPr>
          <w:rFonts w:eastAsia="SimSun"/>
        </w:rPr>
        <w:t xml:space="preserve"> percent commitment into its 2016-17 Biennial Conservation Plan.  This </w:t>
      </w:r>
      <w:r w:rsidR="00844ABF">
        <w:rPr>
          <w:rFonts w:eastAsia="SimSun"/>
        </w:rPr>
        <w:t xml:space="preserve">will result in </w:t>
      </w:r>
      <w:r w:rsidR="00610C82" w:rsidRPr="00610C82">
        <w:rPr>
          <w:rFonts w:eastAsia="SimSun"/>
        </w:rPr>
        <w:t xml:space="preserve">an additional 27,993 MWh </w:t>
      </w:r>
      <w:r w:rsidR="00844ABF">
        <w:rPr>
          <w:rFonts w:eastAsia="SimSun"/>
        </w:rPr>
        <w:t xml:space="preserve">of conservation savings </w:t>
      </w:r>
      <w:r w:rsidR="00610C82" w:rsidRPr="00610C82">
        <w:rPr>
          <w:rFonts w:eastAsia="SimSun"/>
        </w:rPr>
        <w:t>over this biennial period.</w:t>
      </w:r>
      <w:r w:rsidR="00392E3B">
        <w:rPr>
          <w:rStyle w:val="FootnoteReference"/>
          <w:rFonts w:eastAsia="SimSun"/>
        </w:rPr>
        <w:footnoteReference w:id="39"/>
      </w:r>
      <w:r w:rsidR="00610C82" w:rsidRPr="00610C82">
        <w:rPr>
          <w:rFonts w:eastAsia="SimSun"/>
        </w:rPr>
        <w:t xml:space="preserve">  </w:t>
      </w:r>
      <w:r w:rsidR="00B0263C" w:rsidRPr="00610C82">
        <w:rPr>
          <w:rFonts w:eastAsia="SimSun"/>
        </w:rPr>
        <w:t xml:space="preserve">In addition, PSE fulfilled its </w:t>
      </w:r>
      <w:r w:rsidR="00872887">
        <w:rPr>
          <w:rFonts w:eastAsia="SimSun"/>
        </w:rPr>
        <w:t xml:space="preserve">natural gas </w:t>
      </w:r>
      <w:r w:rsidR="00B0263C" w:rsidRPr="00610C82">
        <w:rPr>
          <w:rFonts w:eastAsia="SimSun"/>
        </w:rPr>
        <w:t xml:space="preserve">commitment to participate </w:t>
      </w:r>
      <w:r w:rsidRPr="00610C82">
        <w:rPr>
          <w:rFonts w:eastAsia="SimSun"/>
        </w:rPr>
        <w:t>in NEEA</w:t>
      </w:r>
      <w:r w:rsidR="00B0263C" w:rsidRPr="00610C82">
        <w:rPr>
          <w:rFonts w:eastAsia="SimSun"/>
        </w:rPr>
        <w:t>’s recent</w:t>
      </w:r>
      <w:r w:rsidRPr="00610C82">
        <w:rPr>
          <w:rFonts w:eastAsia="SimSun"/>
        </w:rPr>
        <w:t xml:space="preserve"> </w:t>
      </w:r>
      <w:r w:rsidR="00B0263C" w:rsidRPr="00610C82">
        <w:rPr>
          <w:rFonts w:eastAsia="SimSun"/>
        </w:rPr>
        <w:t xml:space="preserve">gas market </w:t>
      </w:r>
      <w:r w:rsidR="00B0263C" w:rsidRPr="00610C82">
        <w:rPr>
          <w:rFonts w:eastAsia="SimSun"/>
        </w:rPr>
        <w:lastRenderedPageBreak/>
        <w:t>transformation efforts</w:t>
      </w:r>
      <w:r w:rsidRPr="00610C82">
        <w:rPr>
          <w:rFonts w:eastAsia="SimSun"/>
        </w:rPr>
        <w:t>.</w:t>
      </w:r>
      <w:r>
        <w:rPr>
          <w:rFonts w:eastAsia="SimSun"/>
        </w:rPr>
        <w:t xml:space="preserve"> </w:t>
      </w:r>
    </w:p>
    <w:p w:rsidR="00B0263C" w:rsidRDefault="00B0263C" w:rsidP="003A3FD8">
      <w:pPr>
        <w:pStyle w:val="question"/>
        <w:widowControl w:val="0"/>
        <w:rPr>
          <w:rFonts w:eastAsia="SimSun"/>
        </w:rPr>
      </w:pPr>
      <w:r>
        <w:rPr>
          <w:rFonts w:eastAsia="SimSun"/>
        </w:rPr>
        <w:t>Q.</w:t>
      </w:r>
      <w:r>
        <w:rPr>
          <w:rFonts w:eastAsia="SimSun"/>
        </w:rPr>
        <w:tab/>
        <w:t xml:space="preserve">Please </w:t>
      </w:r>
      <w:r w:rsidR="00610C82">
        <w:rPr>
          <w:rFonts w:eastAsia="SimSun"/>
        </w:rPr>
        <w:t xml:space="preserve">explain more about </w:t>
      </w:r>
      <w:r>
        <w:rPr>
          <w:rFonts w:eastAsia="SimSun"/>
        </w:rPr>
        <w:t>how PSE fulfilled its commitment regarding the NEEA gas market transformation effort.</w:t>
      </w:r>
    </w:p>
    <w:p w:rsidR="00B0263C" w:rsidRDefault="00B0263C" w:rsidP="003A3FD8">
      <w:pPr>
        <w:pStyle w:val="question"/>
        <w:widowControl w:val="0"/>
        <w:rPr>
          <w:rFonts w:eastAsia="SimSun"/>
          <w:b w:val="0"/>
        </w:rPr>
      </w:pPr>
      <w:r>
        <w:rPr>
          <w:rFonts w:eastAsia="SimSun"/>
          <w:b w:val="0"/>
        </w:rPr>
        <w:t>A.</w:t>
      </w:r>
      <w:r>
        <w:rPr>
          <w:rFonts w:eastAsia="SimSun"/>
          <w:b w:val="0"/>
        </w:rPr>
        <w:tab/>
      </w:r>
      <w:r w:rsidR="00610C82" w:rsidRPr="00610C82">
        <w:rPr>
          <w:rFonts w:eastAsia="SimSun"/>
          <w:b w:val="0"/>
        </w:rPr>
        <w:t xml:space="preserve">PSE </w:t>
      </w:r>
      <w:r w:rsidR="00392E3B">
        <w:rPr>
          <w:rFonts w:eastAsia="SimSun"/>
          <w:b w:val="0"/>
        </w:rPr>
        <w:t>i</w:t>
      </w:r>
      <w:r w:rsidR="00610C82" w:rsidRPr="00610C82">
        <w:rPr>
          <w:rFonts w:eastAsia="SimSun"/>
          <w:b w:val="0"/>
        </w:rPr>
        <w:t xml:space="preserve">s </w:t>
      </w:r>
      <w:r w:rsidR="00610C82">
        <w:rPr>
          <w:rFonts w:eastAsia="SimSun"/>
          <w:b w:val="0"/>
        </w:rPr>
        <w:t xml:space="preserve">actively involved in this effort.  For example, it </w:t>
      </w:r>
      <w:r w:rsidR="00392E3B">
        <w:rPr>
          <w:rFonts w:eastAsia="SimSun"/>
          <w:b w:val="0"/>
        </w:rPr>
        <w:t>i</w:t>
      </w:r>
      <w:r w:rsidR="00610C82">
        <w:rPr>
          <w:rFonts w:eastAsia="SimSun"/>
          <w:b w:val="0"/>
        </w:rPr>
        <w:t xml:space="preserve">s a major funder of this initiative, </w:t>
      </w:r>
      <w:r w:rsidR="00392E3B">
        <w:rPr>
          <w:rFonts w:eastAsia="SimSun"/>
          <w:b w:val="0"/>
        </w:rPr>
        <w:t>committing to contribute</w:t>
      </w:r>
      <w:r w:rsidR="00610C82">
        <w:rPr>
          <w:rFonts w:eastAsia="SimSun"/>
          <w:b w:val="0"/>
        </w:rPr>
        <w:t xml:space="preserve"> $7.6 million or (41 percent) of the </w:t>
      </w:r>
      <w:r w:rsidR="00872887">
        <w:rPr>
          <w:rFonts w:eastAsia="SimSun"/>
          <w:b w:val="0"/>
        </w:rPr>
        <w:t xml:space="preserve">initiative </w:t>
      </w:r>
      <w:r w:rsidR="00610C82">
        <w:rPr>
          <w:rFonts w:eastAsia="SimSun"/>
          <w:b w:val="0"/>
        </w:rPr>
        <w:t>costs.  PSE also helped develop the related business plan, committee governance and measure selection</w:t>
      </w:r>
      <w:r w:rsidR="00392E3B">
        <w:rPr>
          <w:rFonts w:eastAsia="SimSun"/>
          <w:b w:val="0"/>
        </w:rPr>
        <w:t xml:space="preserve"> for this initiative</w:t>
      </w:r>
      <w:r w:rsidR="00610C82">
        <w:rPr>
          <w:rFonts w:eastAsia="SimSun"/>
          <w:b w:val="0"/>
        </w:rPr>
        <w:t>.</w:t>
      </w:r>
      <w:r w:rsidR="00610C82">
        <w:rPr>
          <w:rFonts w:eastAsia="SimSun"/>
        </w:rPr>
        <w:t xml:space="preserve"> </w:t>
      </w:r>
      <w:r w:rsidR="00610C82" w:rsidRPr="00610C82">
        <w:rPr>
          <w:rFonts w:eastAsia="SimSun"/>
          <w:b w:val="0"/>
        </w:rPr>
        <w:t>It</w:t>
      </w:r>
      <w:r w:rsidR="00610C82">
        <w:rPr>
          <w:rFonts w:eastAsia="SimSun"/>
        </w:rPr>
        <w:t xml:space="preserve"> </w:t>
      </w:r>
      <w:r w:rsidR="00610C82" w:rsidRPr="00610C82">
        <w:rPr>
          <w:rFonts w:eastAsia="SimSun"/>
          <w:b w:val="0"/>
        </w:rPr>
        <w:t>also participates</w:t>
      </w:r>
      <w:r w:rsidR="00610C82">
        <w:rPr>
          <w:rFonts w:eastAsia="SimSun"/>
          <w:b w:val="0"/>
        </w:rPr>
        <w:t xml:space="preserve"> on NEEA’s Natural Gas Advisory Committee.</w:t>
      </w:r>
    </w:p>
    <w:p w:rsidR="00610C82" w:rsidRPr="00616BDC" w:rsidRDefault="00610C82" w:rsidP="00610C82">
      <w:pPr>
        <w:pStyle w:val="answer"/>
        <w:rPr>
          <w:rFonts w:eastAsia="SimSun"/>
          <w:b/>
        </w:rPr>
      </w:pPr>
      <w:r w:rsidRPr="00616BDC">
        <w:rPr>
          <w:rFonts w:eastAsia="SimSun"/>
          <w:b/>
        </w:rPr>
        <w:t>Q.</w:t>
      </w:r>
      <w:r w:rsidRPr="00616BDC">
        <w:rPr>
          <w:rFonts w:eastAsia="SimSun"/>
          <w:b/>
        </w:rPr>
        <w:tab/>
        <w:t>Has there been any tangible results from this effort?</w:t>
      </w:r>
    </w:p>
    <w:p w:rsidR="00610C82" w:rsidRPr="00610C82" w:rsidRDefault="00610C82" w:rsidP="00610C82">
      <w:pPr>
        <w:pStyle w:val="answer"/>
        <w:rPr>
          <w:rFonts w:eastAsia="SimSun"/>
        </w:rPr>
      </w:pPr>
      <w:r>
        <w:rPr>
          <w:rFonts w:eastAsia="SimSun"/>
        </w:rPr>
        <w:t>A.</w:t>
      </w:r>
      <w:r>
        <w:rPr>
          <w:rFonts w:eastAsia="SimSun"/>
        </w:rPr>
        <w:tab/>
        <w:t>Yes.  The</w:t>
      </w:r>
      <w:r w:rsidR="00872887">
        <w:rPr>
          <w:rFonts w:eastAsia="SimSun"/>
        </w:rPr>
        <w:t xml:space="preserve"> business plan is well into the implementation phase and the</w:t>
      </w:r>
      <w:r>
        <w:rPr>
          <w:rFonts w:eastAsia="SimSun"/>
        </w:rPr>
        <w:t xml:space="preserve"> committee selected five measures that it believe</w:t>
      </w:r>
      <w:r w:rsidR="00392E3B">
        <w:rPr>
          <w:rFonts w:eastAsia="SimSun"/>
        </w:rPr>
        <w:t>s</w:t>
      </w:r>
      <w:r>
        <w:rPr>
          <w:rFonts w:eastAsia="SimSun"/>
        </w:rPr>
        <w:t xml:space="preserve"> to have the best chance of impacting the market over the next few years.  These include gas-fired heat pump water heaters</w:t>
      </w:r>
      <w:r w:rsidR="00616BDC">
        <w:rPr>
          <w:rFonts w:eastAsia="SimSun"/>
        </w:rPr>
        <w:t>;</w:t>
      </w:r>
      <w:r>
        <w:rPr>
          <w:rFonts w:eastAsia="SimSun"/>
        </w:rPr>
        <w:t xml:space="preserve"> hearth products, combination space/water heating systems</w:t>
      </w:r>
      <w:r w:rsidR="00616BDC">
        <w:rPr>
          <w:rFonts w:eastAsia="SimSun"/>
        </w:rPr>
        <w:t>;</w:t>
      </w:r>
      <w:r>
        <w:rPr>
          <w:rFonts w:eastAsia="SimSun"/>
        </w:rPr>
        <w:t xml:space="preserve"> rooftop</w:t>
      </w:r>
      <w:r w:rsidR="00616BDC">
        <w:rPr>
          <w:rFonts w:eastAsia="SimSun"/>
        </w:rPr>
        <w:t xml:space="preserve"> heating, ventilation and air conditioning</w:t>
      </w:r>
      <w:r>
        <w:rPr>
          <w:rFonts w:eastAsia="SimSun"/>
        </w:rPr>
        <w:t xml:space="preserve"> </w:t>
      </w:r>
      <w:r w:rsidR="00616BDC">
        <w:rPr>
          <w:rFonts w:eastAsia="SimSun"/>
        </w:rPr>
        <w:t>(“</w:t>
      </w:r>
      <w:r>
        <w:rPr>
          <w:rFonts w:eastAsia="SimSun"/>
        </w:rPr>
        <w:t>HVAC</w:t>
      </w:r>
      <w:r w:rsidR="00616BDC">
        <w:rPr>
          <w:rFonts w:eastAsia="SimSun"/>
        </w:rPr>
        <w:t>”)</w:t>
      </w:r>
      <w:r>
        <w:rPr>
          <w:rFonts w:eastAsia="SimSun"/>
        </w:rPr>
        <w:t xml:space="preserve"> system</w:t>
      </w:r>
      <w:r w:rsidR="00616BDC">
        <w:rPr>
          <w:rFonts w:eastAsia="SimSun"/>
        </w:rPr>
        <w:t>s;</w:t>
      </w:r>
      <w:r>
        <w:rPr>
          <w:rFonts w:eastAsia="SimSun"/>
        </w:rPr>
        <w:t xml:space="preserve"> and gas clothes dryers.  </w:t>
      </w:r>
    </w:p>
    <w:p w:rsidR="003A3FD8" w:rsidRPr="009075DC" w:rsidRDefault="003A3FD8" w:rsidP="003A3FD8">
      <w:pPr>
        <w:pStyle w:val="question"/>
        <w:widowControl w:val="0"/>
        <w:rPr>
          <w:rFonts w:eastAsia="SimSun"/>
        </w:rPr>
      </w:pPr>
      <w:r w:rsidRPr="009075DC">
        <w:rPr>
          <w:rFonts w:eastAsia="SimSun"/>
        </w:rPr>
        <w:t>Q.</w:t>
      </w:r>
      <w:r w:rsidRPr="009075DC">
        <w:rPr>
          <w:rFonts w:eastAsia="SimSun"/>
        </w:rPr>
        <w:tab/>
      </w:r>
      <w:r w:rsidR="00436552">
        <w:rPr>
          <w:rFonts w:eastAsia="SimSun"/>
        </w:rPr>
        <w:t>Can you please summarize again the several changes that w</w:t>
      </w:r>
      <w:r w:rsidR="00D6728D">
        <w:rPr>
          <w:rFonts w:eastAsia="SimSun"/>
        </w:rPr>
        <w:t>ere made to PSE’s decoupling mechanisms since they were originally approved in 2013</w:t>
      </w:r>
      <w:r>
        <w:rPr>
          <w:rFonts w:eastAsia="SimSun"/>
        </w:rPr>
        <w:t>?</w:t>
      </w:r>
    </w:p>
    <w:p w:rsidR="003A3FD8" w:rsidRDefault="003A3FD8" w:rsidP="003A3FD8">
      <w:pPr>
        <w:pStyle w:val="answer"/>
        <w:widowControl w:val="0"/>
        <w:rPr>
          <w:rFonts w:eastAsia="SimSun"/>
        </w:rPr>
      </w:pPr>
      <w:r w:rsidRPr="009075DC">
        <w:rPr>
          <w:rFonts w:eastAsia="SimSun"/>
        </w:rPr>
        <w:t>A.</w:t>
      </w:r>
      <w:r w:rsidRPr="009075DC">
        <w:rPr>
          <w:rFonts w:eastAsia="SimSun"/>
        </w:rPr>
        <w:tab/>
      </w:r>
      <w:r w:rsidR="00D6728D">
        <w:rPr>
          <w:rFonts w:eastAsia="SimSun"/>
        </w:rPr>
        <w:t>Yes</w:t>
      </w:r>
      <w:r w:rsidR="00B57BEC">
        <w:rPr>
          <w:rFonts w:eastAsia="SimSun"/>
        </w:rPr>
        <w:t xml:space="preserve">, </w:t>
      </w:r>
      <w:r w:rsidR="00436552">
        <w:rPr>
          <w:rFonts w:eastAsia="SimSun"/>
        </w:rPr>
        <w:t xml:space="preserve">as mentioned above, </w:t>
      </w:r>
      <w:r w:rsidR="00B57BEC">
        <w:rPr>
          <w:rFonts w:eastAsia="SimSun"/>
        </w:rPr>
        <w:t>the current mechanisms have already evolved somewhat since their original approval in 2013</w:t>
      </w:r>
      <w:r w:rsidR="00D6728D">
        <w:rPr>
          <w:rFonts w:eastAsia="SimSun"/>
        </w:rPr>
        <w:t xml:space="preserve">.  Schedules </w:t>
      </w:r>
      <w:r w:rsidR="00DE4F77">
        <w:rPr>
          <w:rFonts w:eastAsia="SimSun"/>
        </w:rPr>
        <w:t xml:space="preserve">10, 12, </w:t>
      </w:r>
      <w:r w:rsidR="00D6728D">
        <w:rPr>
          <w:rFonts w:eastAsia="SimSun"/>
        </w:rPr>
        <w:t xml:space="preserve">26 and 31 were moved into separate electric decoupling rate groups.  Schedules 85/85T and 87/87T were removed from </w:t>
      </w:r>
      <w:r w:rsidR="00B83055">
        <w:rPr>
          <w:rFonts w:eastAsia="SimSun"/>
        </w:rPr>
        <w:t xml:space="preserve">the gas </w:t>
      </w:r>
      <w:r w:rsidR="00D6728D">
        <w:rPr>
          <w:rFonts w:eastAsia="SimSun"/>
        </w:rPr>
        <w:t>decoupling</w:t>
      </w:r>
      <w:r w:rsidR="00B83055">
        <w:rPr>
          <w:rFonts w:eastAsia="SimSun"/>
        </w:rPr>
        <w:t xml:space="preserve"> mechanism</w:t>
      </w:r>
      <w:r w:rsidR="00D6728D">
        <w:rPr>
          <w:rFonts w:eastAsia="SimSun"/>
        </w:rPr>
        <w:t xml:space="preserve">.  </w:t>
      </w:r>
      <w:r w:rsidR="00436552">
        <w:rPr>
          <w:rFonts w:eastAsia="SimSun"/>
        </w:rPr>
        <w:t>In addition, the c</w:t>
      </w:r>
      <w:r w:rsidR="00D6728D">
        <w:rPr>
          <w:rFonts w:eastAsia="SimSun"/>
        </w:rPr>
        <w:t xml:space="preserve">alculation of “actual” margin revenue was corrected to remove revenue </w:t>
      </w:r>
      <w:r w:rsidR="00D6728D">
        <w:rPr>
          <w:rFonts w:eastAsia="SimSun"/>
        </w:rPr>
        <w:lastRenderedPageBreak/>
        <w:t>associated with the amortization of prior year deferrals</w:t>
      </w:r>
      <w:r w:rsidRPr="009075DC">
        <w:rPr>
          <w:rFonts w:eastAsia="SimSun"/>
        </w:rPr>
        <w:t>.</w:t>
      </w:r>
      <w:r w:rsidR="00B83055">
        <w:rPr>
          <w:rStyle w:val="FootnoteReference"/>
          <w:rFonts w:eastAsia="SimSun"/>
        </w:rPr>
        <w:footnoteReference w:id="40"/>
      </w:r>
    </w:p>
    <w:p w:rsidR="003A3FD8" w:rsidRPr="009075DC" w:rsidRDefault="003A3FD8" w:rsidP="003A3FD8">
      <w:pPr>
        <w:pStyle w:val="question"/>
        <w:widowControl w:val="0"/>
        <w:rPr>
          <w:rFonts w:eastAsia="SimSun"/>
        </w:rPr>
      </w:pPr>
      <w:r w:rsidRPr="009075DC">
        <w:rPr>
          <w:rFonts w:eastAsia="SimSun"/>
        </w:rPr>
        <w:t>Q.</w:t>
      </w:r>
      <w:r w:rsidRPr="009075DC">
        <w:rPr>
          <w:rFonts w:eastAsia="SimSun"/>
        </w:rPr>
        <w:tab/>
      </w:r>
      <w:r w:rsidR="00B57BEC">
        <w:rPr>
          <w:rFonts w:eastAsia="SimSun"/>
        </w:rPr>
        <w:t>Why were Schedules 26 and 31 moved to separate electric decoupling rate groups</w:t>
      </w:r>
      <w:r>
        <w:rPr>
          <w:rFonts w:eastAsia="SimSun"/>
        </w:rPr>
        <w:t>?</w:t>
      </w:r>
    </w:p>
    <w:p w:rsidR="003A3FD8" w:rsidRDefault="003A3FD8" w:rsidP="003A3FD8">
      <w:pPr>
        <w:pStyle w:val="answer"/>
        <w:widowControl w:val="0"/>
        <w:rPr>
          <w:rFonts w:eastAsia="SimSun"/>
        </w:rPr>
      </w:pPr>
      <w:r w:rsidRPr="009075DC">
        <w:rPr>
          <w:rFonts w:eastAsia="SimSun"/>
        </w:rPr>
        <w:t>A.</w:t>
      </w:r>
      <w:r w:rsidRPr="009075DC">
        <w:rPr>
          <w:rFonts w:eastAsia="SimSun"/>
        </w:rPr>
        <w:tab/>
      </w:r>
      <w:r w:rsidR="006874DF">
        <w:rPr>
          <w:rFonts w:eastAsia="SimSun"/>
        </w:rPr>
        <w:t>In their petition for reconsideration of Order 7 in the Decoupling Case, advocates for customers served under these schedules called for a rate design alternative to decoupling.  Specifically, they called for higher demand charges (with revenue neutral reductions in energy charges) to address PSE’s fixed cost recovery challenges, theorizing that these charges produced more fixed revenue.  PSE argued that demand charges, while producing more stable revenues than energy charges, were still subject to variation and, importantly, the impacts of conservation</w:t>
      </w:r>
      <w:r w:rsidR="006874DF" w:rsidRPr="006874DF">
        <w:rPr>
          <w:rFonts w:eastAsia="SimSun"/>
        </w:rPr>
        <w:t>.  The a</w:t>
      </w:r>
      <w:r w:rsidR="00B57BEC" w:rsidRPr="006874DF">
        <w:rPr>
          <w:rFonts w:eastAsia="SimSun"/>
        </w:rPr>
        <w:t>pproved change was a compromise</w:t>
      </w:r>
      <w:r w:rsidR="006874DF" w:rsidRPr="006874DF">
        <w:rPr>
          <w:rFonts w:eastAsia="SimSun"/>
        </w:rPr>
        <w:t>,</w:t>
      </w:r>
      <w:r w:rsidR="00B57BEC" w:rsidRPr="006874DF">
        <w:rPr>
          <w:rFonts w:eastAsia="SimSun"/>
        </w:rPr>
        <w:t xml:space="preserve"> where demand charges were increased and the </w:t>
      </w:r>
      <w:r w:rsidR="00F74892">
        <w:rPr>
          <w:rFonts w:eastAsia="SimSun"/>
        </w:rPr>
        <w:t xml:space="preserve">decoupling </w:t>
      </w:r>
      <w:r w:rsidR="00B57BEC" w:rsidRPr="006874DF">
        <w:rPr>
          <w:rFonts w:eastAsia="SimSun"/>
        </w:rPr>
        <w:t xml:space="preserve">deferrals were calculated based on </w:t>
      </w:r>
      <w:r w:rsidR="006874DF" w:rsidRPr="006874DF">
        <w:rPr>
          <w:rFonts w:eastAsia="SimSun"/>
        </w:rPr>
        <w:t xml:space="preserve">actual </w:t>
      </w:r>
      <w:r w:rsidR="00B57BEC" w:rsidRPr="006874DF">
        <w:rPr>
          <w:rFonts w:eastAsia="SimSun"/>
        </w:rPr>
        <w:t xml:space="preserve">delivery revenue recovered from demand charges rather than energy sales.  </w:t>
      </w:r>
      <w:r w:rsidR="006874DF" w:rsidRPr="006874DF">
        <w:rPr>
          <w:rFonts w:eastAsia="SimSun"/>
        </w:rPr>
        <w:t>To the extent that a</w:t>
      </w:r>
      <w:r w:rsidR="00B57BEC" w:rsidRPr="006874DF">
        <w:rPr>
          <w:rFonts w:eastAsia="SimSun"/>
        </w:rPr>
        <w:t>dvocates for these customer</w:t>
      </w:r>
      <w:r w:rsidR="006874DF">
        <w:rPr>
          <w:rFonts w:eastAsia="SimSun"/>
        </w:rPr>
        <w:t>s</w:t>
      </w:r>
      <w:r w:rsidR="00B57BEC" w:rsidRPr="006874DF">
        <w:rPr>
          <w:rFonts w:eastAsia="SimSun"/>
        </w:rPr>
        <w:t xml:space="preserve"> </w:t>
      </w:r>
      <w:r w:rsidR="006874DF" w:rsidRPr="006874DF">
        <w:rPr>
          <w:rFonts w:eastAsia="SimSun"/>
        </w:rPr>
        <w:t>were cor</w:t>
      </w:r>
      <w:r w:rsidR="006874DF">
        <w:rPr>
          <w:rFonts w:eastAsia="SimSun"/>
        </w:rPr>
        <w:t>rect</w:t>
      </w:r>
      <w:r w:rsidR="006874DF" w:rsidRPr="006874DF">
        <w:rPr>
          <w:rFonts w:eastAsia="SimSun"/>
        </w:rPr>
        <w:t xml:space="preserve"> in their claims that </w:t>
      </w:r>
      <w:r w:rsidR="00B57BEC" w:rsidRPr="006874DF">
        <w:rPr>
          <w:rFonts w:eastAsia="SimSun"/>
        </w:rPr>
        <w:t>demand charge</w:t>
      </w:r>
      <w:r w:rsidR="006874DF">
        <w:rPr>
          <w:rFonts w:eastAsia="SimSun"/>
        </w:rPr>
        <w:t xml:space="preserve"> revenue</w:t>
      </w:r>
      <w:r w:rsidR="00B57BEC" w:rsidRPr="006874DF">
        <w:rPr>
          <w:rFonts w:eastAsia="SimSun"/>
        </w:rPr>
        <w:t>s were “fixed</w:t>
      </w:r>
      <w:r w:rsidR="006874DF" w:rsidRPr="006874DF">
        <w:rPr>
          <w:rFonts w:eastAsia="SimSun"/>
        </w:rPr>
        <w:t xml:space="preserve">,” </w:t>
      </w:r>
      <w:r w:rsidR="00B57BEC" w:rsidRPr="006874DF">
        <w:rPr>
          <w:rFonts w:eastAsia="SimSun"/>
        </w:rPr>
        <w:t>there would be little or no decoupling deferrals</w:t>
      </w:r>
      <w:r w:rsidR="006874DF" w:rsidRPr="006874DF">
        <w:rPr>
          <w:rFonts w:eastAsia="SimSun"/>
        </w:rPr>
        <w:t xml:space="preserve"> and, hence, no material impact from their inclusion in standalone decoupling rate groups</w:t>
      </w:r>
      <w:r w:rsidRPr="006874DF">
        <w:rPr>
          <w:rFonts w:eastAsia="SimSun"/>
        </w:rPr>
        <w:t>.</w:t>
      </w:r>
      <w:r w:rsidR="00B57BEC" w:rsidRPr="006874DF">
        <w:rPr>
          <w:rFonts w:eastAsia="SimSun"/>
        </w:rPr>
        <w:t xml:space="preserve">  </w:t>
      </w:r>
      <w:r w:rsidR="00DE4F77" w:rsidRPr="00DE4F77">
        <w:rPr>
          <w:rFonts w:eastAsia="SimSun"/>
        </w:rPr>
        <w:t>However</w:t>
      </w:r>
      <w:r w:rsidR="0056302F" w:rsidRPr="00DE4F77">
        <w:rPr>
          <w:rFonts w:eastAsia="SimSun"/>
        </w:rPr>
        <w:t>, these decoupling rate groups still generated revenue deferrals due to low</w:t>
      </w:r>
      <w:r w:rsidR="00182226" w:rsidRPr="00DE4F77">
        <w:rPr>
          <w:rFonts w:eastAsia="SimSun"/>
        </w:rPr>
        <w:t>er</w:t>
      </w:r>
      <w:r w:rsidR="0056302F" w:rsidRPr="00DE4F77">
        <w:rPr>
          <w:rFonts w:eastAsia="SimSun"/>
        </w:rPr>
        <w:t xml:space="preserve"> billed demands</w:t>
      </w:r>
      <w:r w:rsidR="00182226" w:rsidRPr="00DE4F77">
        <w:rPr>
          <w:rFonts w:eastAsia="SimSun"/>
        </w:rPr>
        <w:t xml:space="preserve"> per customer</w:t>
      </w:r>
      <w:r w:rsidR="0056302F" w:rsidRPr="00DE4F77">
        <w:rPr>
          <w:rFonts w:eastAsia="SimSun"/>
        </w:rPr>
        <w:t>.</w:t>
      </w:r>
      <w:r w:rsidR="00DE4F77" w:rsidRPr="00DE4F77">
        <w:rPr>
          <w:rStyle w:val="FootnoteReference"/>
          <w:rFonts w:eastAsia="SimSun"/>
        </w:rPr>
        <w:footnoteReference w:id="41"/>
      </w:r>
      <w:r w:rsidR="00CB52AF" w:rsidRPr="00DE4F77">
        <w:rPr>
          <w:rFonts w:eastAsia="SimSun"/>
        </w:rPr>
        <w:t xml:space="preserve">  As such</w:t>
      </w:r>
      <w:r w:rsidR="00CB52AF">
        <w:rPr>
          <w:rFonts w:eastAsia="SimSun"/>
        </w:rPr>
        <w:t xml:space="preserve">, and as discussed below, </w:t>
      </w:r>
      <w:r w:rsidR="00CB52AF">
        <w:rPr>
          <w:rFonts w:eastAsia="SimSun"/>
        </w:rPr>
        <w:lastRenderedPageBreak/>
        <w:t>PSE proposes that these customers continue to be included in the electric decoupling mechanism.</w:t>
      </w:r>
    </w:p>
    <w:p w:rsidR="003A3FD8" w:rsidRPr="009075DC" w:rsidRDefault="003A3FD8" w:rsidP="003A3FD8">
      <w:pPr>
        <w:pStyle w:val="question"/>
        <w:widowControl w:val="0"/>
        <w:rPr>
          <w:rFonts w:eastAsia="SimSun"/>
        </w:rPr>
      </w:pPr>
      <w:r w:rsidRPr="009075DC">
        <w:rPr>
          <w:rFonts w:eastAsia="SimSun"/>
        </w:rPr>
        <w:t>Q.</w:t>
      </w:r>
      <w:r w:rsidRPr="009075DC">
        <w:rPr>
          <w:rFonts w:eastAsia="SimSun"/>
        </w:rPr>
        <w:tab/>
      </w:r>
      <w:r w:rsidR="0056302F">
        <w:rPr>
          <w:rFonts w:eastAsia="SimSun"/>
        </w:rPr>
        <w:t xml:space="preserve">Why were the sales and transportation </w:t>
      </w:r>
      <w:r w:rsidR="00182226">
        <w:rPr>
          <w:rFonts w:eastAsia="SimSun"/>
        </w:rPr>
        <w:t xml:space="preserve">customers served under </w:t>
      </w:r>
      <w:r w:rsidR="0056302F">
        <w:rPr>
          <w:rFonts w:eastAsia="SimSun"/>
        </w:rPr>
        <w:t>Schedules 85 and 87 removed from the gas decoupling mechanism</w:t>
      </w:r>
      <w:r>
        <w:rPr>
          <w:rFonts w:eastAsia="SimSun"/>
        </w:rPr>
        <w:t>?</w:t>
      </w:r>
    </w:p>
    <w:p w:rsidR="003A3FD8" w:rsidRDefault="003A3FD8" w:rsidP="003A3FD8">
      <w:pPr>
        <w:pStyle w:val="answer"/>
        <w:widowControl w:val="0"/>
        <w:rPr>
          <w:rFonts w:eastAsia="SimSun"/>
        </w:rPr>
      </w:pPr>
      <w:r w:rsidRPr="009075DC">
        <w:rPr>
          <w:rFonts w:eastAsia="SimSun"/>
        </w:rPr>
        <w:t>A.</w:t>
      </w:r>
      <w:r w:rsidRPr="009075DC">
        <w:rPr>
          <w:rFonts w:eastAsia="SimSun"/>
        </w:rPr>
        <w:tab/>
      </w:r>
      <w:r w:rsidR="0056302F" w:rsidRPr="006874DF">
        <w:rPr>
          <w:rFonts w:eastAsia="SimSun"/>
        </w:rPr>
        <w:t xml:space="preserve">As discussed in Order </w:t>
      </w:r>
      <w:r w:rsidR="006874DF" w:rsidRPr="006874DF">
        <w:rPr>
          <w:rFonts w:eastAsia="SimSun"/>
        </w:rPr>
        <w:t>9</w:t>
      </w:r>
      <w:r w:rsidR="0056302F" w:rsidRPr="006874DF">
        <w:rPr>
          <w:rFonts w:eastAsia="SimSun"/>
        </w:rPr>
        <w:t xml:space="preserve"> in the </w:t>
      </w:r>
      <w:r w:rsidR="006874DF" w:rsidRPr="006874DF">
        <w:rPr>
          <w:rFonts w:eastAsia="SimSun"/>
        </w:rPr>
        <w:t>D</w:t>
      </w:r>
      <w:r w:rsidR="0056302F" w:rsidRPr="006874DF">
        <w:rPr>
          <w:rFonts w:eastAsia="SimSun"/>
        </w:rPr>
        <w:t xml:space="preserve">ecoupling </w:t>
      </w:r>
      <w:r w:rsidR="006874DF" w:rsidRPr="006874DF">
        <w:rPr>
          <w:rFonts w:eastAsia="SimSun"/>
        </w:rPr>
        <w:t>Case</w:t>
      </w:r>
      <w:r w:rsidR="0056302F" w:rsidRPr="006874DF">
        <w:rPr>
          <w:rFonts w:eastAsia="SimSun"/>
        </w:rPr>
        <w:t xml:space="preserve">, the marginal volumetric revenue associated with these customers is so low that variations in </w:t>
      </w:r>
      <w:r w:rsidR="006874DF" w:rsidRPr="006874DF">
        <w:rPr>
          <w:rFonts w:eastAsia="SimSun"/>
        </w:rPr>
        <w:t xml:space="preserve">their average </w:t>
      </w:r>
      <w:r w:rsidR="0056302F" w:rsidRPr="006874DF">
        <w:rPr>
          <w:rFonts w:eastAsia="SimSun"/>
        </w:rPr>
        <w:t>use</w:t>
      </w:r>
      <w:r w:rsidR="006874DF" w:rsidRPr="006874DF">
        <w:rPr>
          <w:rFonts w:eastAsia="SimSun"/>
        </w:rPr>
        <w:t xml:space="preserve"> per customer</w:t>
      </w:r>
      <w:r w:rsidR="0056302F" w:rsidRPr="006874DF">
        <w:rPr>
          <w:rFonts w:eastAsia="SimSun"/>
        </w:rPr>
        <w:t xml:space="preserve"> do not generate significant deviations in revenue.</w:t>
      </w:r>
      <w:r w:rsidR="00182226">
        <w:rPr>
          <w:rStyle w:val="FootnoteReference"/>
          <w:rFonts w:eastAsia="SimSun"/>
        </w:rPr>
        <w:footnoteReference w:id="42"/>
      </w:r>
      <w:r w:rsidR="0056302F" w:rsidRPr="006874DF">
        <w:rPr>
          <w:rFonts w:eastAsia="SimSun"/>
        </w:rPr>
        <w:t xml:space="preserve">  </w:t>
      </w:r>
      <w:r w:rsidR="006874DF" w:rsidRPr="006874DF">
        <w:rPr>
          <w:rFonts w:eastAsia="SimSun"/>
        </w:rPr>
        <w:t>With only a very modest throughput incentive</w:t>
      </w:r>
      <w:r w:rsidR="0056302F" w:rsidRPr="006874DF">
        <w:rPr>
          <w:rFonts w:eastAsia="SimSun"/>
        </w:rPr>
        <w:t>, PSE agreed to propose</w:t>
      </w:r>
      <w:r w:rsidR="006874DF" w:rsidRPr="006874DF">
        <w:rPr>
          <w:rFonts w:eastAsia="SimSun"/>
        </w:rPr>
        <w:t>, and the Commission subsequently approved,</w:t>
      </w:r>
      <w:r w:rsidR="0056302F" w:rsidRPr="006874DF">
        <w:rPr>
          <w:rFonts w:eastAsia="SimSun"/>
        </w:rPr>
        <w:t xml:space="preserve"> that they be excluded from the </w:t>
      </w:r>
      <w:r w:rsidR="006874DF" w:rsidRPr="006874DF">
        <w:rPr>
          <w:rFonts w:eastAsia="SimSun"/>
        </w:rPr>
        <w:t xml:space="preserve">gas decoupling </w:t>
      </w:r>
      <w:r w:rsidR="0056302F" w:rsidRPr="006874DF">
        <w:rPr>
          <w:rFonts w:eastAsia="SimSun"/>
        </w:rPr>
        <w:t>mechanism</w:t>
      </w:r>
      <w:r w:rsidRPr="006874DF">
        <w:rPr>
          <w:rFonts w:eastAsia="SimSun"/>
        </w:rPr>
        <w:t>.</w:t>
      </w:r>
    </w:p>
    <w:p w:rsidR="00FF4648" w:rsidRPr="009075DC" w:rsidRDefault="00FF4648" w:rsidP="00FF4648">
      <w:pPr>
        <w:pStyle w:val="question"/>
        <w:widowControl w:val="0"/>
        <w:rPr>
          <w:rFonts w:eastAsia="SimSun"/>
        </w:rPr>
      </w:pPr>
      <w:r w:rsidRPr="009075DC">
        <w:rPr>
          <w:rFonts w:eastAsia="SimSun"/>
        </w:rPr>
        <w:t>Q.</w:t>
      </w:r>
      <w:r w:rsidRPr="009075DC">
        <w:rPr>
          <w:rFonts w:eastAsia="SimSun"/>
        </w:rPr>
        <w:tab/>
      </w:r>
      <w:r w:rsidR="0056302F">
        <w:rPr>
          <w:rFonts w:eastAsia="SimSun"/>
        </w:rPr>
        <w:t>Please explain the correction made to the original calculation of actual margin revenue</w:t>
      </w:r>
      <w:r w:rsidR="00967449">
        <w:rPr>
          <w:rFonts w:eastAsia="SimSun"/>
        </w:rPr>
        <w:t>.</w:t>
      </w:r>
    </w:p>
    <w:p w:rsidR="00FF4648" w:rsidRDefault="00FF4648" w:rsidP="00FF4648">
      <w:pPr>
        <w:pStyle w:val="answer"/>
        <w:widowControl w:val="0"/>
        <w:rPr>
          <w:rFonts w:eastAsia="SimSun"/>
        </w:rPr>
      </w:pPr>
      <w:r w:rsidRPr="009075DC">
        <w:rPr>
          <w:rFonts w:eastAsia="SimSun"/>
        </w:rPr>
        <w:t>A.</w:t>
      </w:r>
      <w:r w:rsidRPr="009075DC">
        <w:rPr>
          <w:rFonts w:eastAsia="SimSun"/>
        </w:rPr>
        <w:tab/>
      </w:r>
      <w:r w:rsidR="006874DF">
        <w:rPr>
          <w:rFonts w:eastAsia="SimSun"/>
        </w:rPr>
        <w:t xml:space="preserve">In the original construction of PSE’s decoupling mechanisms, the derivation of actual delivery revenue included both the actual revenue required to recover its delivery costs, but also the revenue required to </w:t>
      </w:r>
      <w:r w:rsidR="00182226">
        <w:rPr>
          <w:rFonts w:eastAsia="SimSun"/>
        </w:rPr>
        <w:t>amortize</w:t>
      </w:r>
      <w:r w:rsidR="006874DF">
        <w:rPr>
          <w:rFonts w:eastAsia="SimSun"/>
        </w:rPr>
        <w:t xml:space="preserve"> past differences between allowed and actual delivery revenue.  </w:t>
      </w:r>
      <w:r w:rsidR="0051291A">
        <w:rPr>
          <w:rFonts w:eastAsia="SimSun"/>
        </w:rPr>
        <w:t xml:space="preserve">This calculation created a problem of circularity where current year deferrals were impacted by the amortization of prior year deferrals.  Since PSE’s decoupling mechanisms initially had no deferral to true-up, this problem of circularity went undetected when originally approved. </w:t>
      </w:r>
      <w:r w:rsidR="0051291A">
        <w:rPr>
          <w:rFonts w:eastAsia="SimSun"/>
        </w:rPr>
        <w:lastRenderedPageBreak/>
        <w:t xml:space="preserve">However, as PSE began work on its decoupling true-up filing in </w:t>
      </w:r>
      <w:r w:rsidR="00DE4F77">
        <w:rPr>
          <w:rFonts w:eastAsia="SimSun"/>
        </w:rPr>
        <w:t xml:space="preserve">early </w:t>
      </w:r>
      <w:r w:rsidR="0051291A">
        <w:rPr>
          <w:rFonts w:eastAsia="SimSun"/>
        </w:rPr>
        <w:t xml:space="preserve">2015, this issue was </w:t>
      </w:r>
      <w:r w:rsidR="00F74892">
        <w:rPr>
          <w:rFonts w:eastAsia="SimSun"/>
        </w:rPr>
        <w:t>discovered</w:t>
      </w:r>
      <w:r w:rsidR="0051291A">
        <w:rPr>
          <w:rFonts w:eastAsia="SimSun"/>
        </w:rPr>
        <w:t>.  On March 31, 2015, PSE filed</w:t>
      </w:r>
      <w:r w:rsidR="0076163B">
        <w:rPr>
          <w:rFonts w:eastAsia="SimSun"/>
        </w:rPr>
        <w:t xml:space="preserve"> in the decoupling docket</w:t>
      </w:r>
      <w:r w:rsidR="0051291A">
        <w:rPr>
          <w:rFonts w:eastAsia="SimSun"/>
        </w:rPr>
        <w:t xml:space="preserve"> to correct this issue, removing the amortization of prior year deferrals in the calculation of current year deferrals, and it was approved by the Commission in Order 14 on April 22, 2015.  The net effect of this correction reduced</w:t>
      </w:r>
      <w:r w:rsidR="0076163B">
        <w:rPr>
          <w:rFonts w:eastAsia="SimSun"/>
        </w:rPr>
        <w:t xml:space="preserve"> the</w:t>
      </w:r>
      <w:r w:rsidR="0051291A">
        <w:rPr>
          <w:rFonts w:eastAsia="SimSun"/>
        </w:rPr>
        <w:t xml:space="preserve"> rates to customers </w:t>
      </w:r>
      <w:r w:rsidR="0076163B">
        <w:rPr>
          <w:rFonts w:eastAsia="SimSun"/>
        </w:rPr>
        <w:t>that became effective May 1, 2015</w:t>
      </w:r>
      <w:r w:rsidR="00B3467C">
        <w:rPr>
          <w:rFonts w:eastAsia="SimSun"/>
        </w:rPr>
        <w:t>; the corrected rates were</w:t>
      </w:r>
      <w:r w:rsidR="0076163B">
        <w:rPr>
          <w:rFonts w:eastAsia="SimSun"/>
        </w:rPr>
        <w:t xml:space="preserve"> </w:t>
      </w:r>
      <w:r w:rsidR="0051291A">
        <w:rPr>
          <w:rFonts w:eastAsia="SimSun"/>
        </w:rPr>
        <w:t>$12 million lower than they would have been without this correct</w:t>
      </w:r>
      <w:r w:rsidR="00DE4F77">
        <w:rPr>
          <w:rFonts w:eastAsia="SimSun"/>
        </w:rPr>
        <w:t>ion</w:t>
      </w:r>
      <w:r w:rsidR="0051291A">
        <w:rPr>
          <w:rFonts w:eastAsia="SimSun"/>
        </w:rPr>
        <w:t xml:space="preserve">. </w:t>
      </w:r>
    </w:p>
    <w:p w:rsidR="00FF4648" w:rsidRDefault="00FF4648" w:rsidP="00FF4648">
      <w:pPr>
        <w:pStyle w:val="Heading2"/>
        <w:keepNext w:val="0"/>
        <w:keepLines w:val="0"/>
        <w:widowControl w:val="0"/>
        <w:spacing w:before="240" w:after="240"/>
        <w:rPr>
          <w:rFonts w:eastAsia="SimSun"/>
        </w:rPr>
      </w:pPr>
      <w:bookmarkStart w:id="169" w:name="_Toc471912975"/>
      <w:r>
        <w:rPr>
          <w:rFonts w:eastAsia="SimSun"/>
          <w:u w:val="none"/>
        </w:rPr>
        <w:t>B</w:t>
      </w:r>
      <w:r w:rsidRPr="009075DC">
        <w:rPr>
          <w:rFonts w:eastAsia="SimSun"/>
          <w:u w:val="none"/>
        </w:rPr>
        <w:t>.</w:t>
      </w:r>
      <w:r w:rsidRPr="009075DC">
        <w:rPr>
          <w:rFonts w:eastAsia="SimSun"/>
          <w:u w:val="none"/>
        </w:rPr>
        <w:tab/>
      </w:r>
      <w:r>
        <w:rPr>
          <w:rFonts w:eastAsia="SimSun"/>
        </w:rPr>
        <w:t xml:space="preserve">Review of </w:t>
      </w:r>
      <w:r w:rsidR="00B57BEC">
        <w:rPr>
          <w:rFonts w:eastAsia="SimSun"/>
        </w:rPr>
        <w:t xml:space="preserve">Operation of the </w:t>
      </w:r>
      <w:r w:rsidR="00B0164A">
        <w:rPr>
          <w:rFonts w:eastAsia="SimSun"/>
        </w:rPr>
        <w:t xml:space="preserve">Decoupling </w:t>
      </w:r>
      <w:r>
        <w:rPr>
          <w:rFonts w:eastAsia="SimSun"/>
        </w:rPr>
        <w:t>Mechanisms</w:t>
      </w:r>
      <w:bookmarkEnd w:id="169"/>
    </w:p>
    <w:p w:rsidR="0026017D" w:rsidRPr="009075DC" w:rsidRDefault="0026017D" w:rsidP="0026017D">
      <w:pPr>
        <w:pStyle w:val="question"/>
        <w:widowControl w:val="0"/>
        <w:rPr>
          <w:rFonts w:eastAsia="SimSun"/>
        </w:rPr>
      </w:pPr>
      <w:r w:rsidRPr="009075DC">
        <w:rPr>
          <w:rFonts w:eastAsia="SimSun"/>
        </w:rPr>
        <w:t>Q.</w:t>
      </w:r>
      <w:r w:rsidRPr="009075DC">
        <w:rPr>
          <w:rFonts w:eastAsia="SimSun"/>
        </w:rPr>
        <w:tab/>
      </w:r>
      <w:r w:rsidR="00B0164A">
        <w:rPr>
          <w:rFonts w:eastAsia="SimSun"/>
        </w:rPr>
        <w:t>How have the electric and gas decoupling mechanisms generally performed</w:t>
      </w:r>
      <w:r>
        <w:rPr>
          <w:rFonts w:eastAsia="SimSun"/>
        </w:rPr>
        <w:t>?</w:t>
      </w:r>
    </w:p>
    <w:p w:rsidR="0026017D" w:rsidRDefault="0026017D" w:rsidP="0026017D">
      <w:pPr>
        <w:pStyle w:val="answer"/>
        <w:widowControl w:val="0"/>
        <w:rPr>
          <w:rFonts w:eastAsia="SimSun"/>
        </w:rPr>
      </w:pPr>
      <w:r w:rsidRPr="009075DC">
        <w:rPr>
          <w:rFonts w:eastAsia="SimSun"/>
        </w:rPr>
        <w:t>A.</w:t>
      </w:r>
      <w:r w:rsidRPr="009075DC">
        <w:rPr>
          <w:rFonts w:eastAsia="SimSun"/>
        </w:rPr>
        <w:tab/>
      </w:r>
      <w:r w:rsidR="00B0164A" w:rsidRPr="00911D1B">
        <w:rPr>
          <w:rFonts w:eastAsia="SimSun"/>
        </w:rPr>
        <w:t xml:space="preserve">With the exception of the correction to the calculation of actual </w:t>
      </w:r>
      <w:r w:rsidR="00911D1B" w:rsidRPr="00911D1B">
        <w:rPr>
          <w:rFonts w:eastAsia="SimSun"/>
        </w:rPr>
        <w:t>delivery</w:t>
      </w:r>
      <w:r w:rsidR="00B0164A" w:rsidRPr="00911D1B">
        <w:rPr>
          <w:rFonts w:eastAsia="SimSun"/>
        </w:rPr>
        <w:t xml:space="preserve"> revenue above, the mechanisms have generally performed consistent with expectations.  However, given the particularly unusual weather experienced in PSE’s service area since approval of these mechanisms, there have been a few lessons learned along the way</w:t>
      </w:r>
      <w:r w:rsidRPr="00911D1B">
        <w:rPr>
          <w:rFonts w:eastAsia="SimSun"/>
        </w:rPr>
        <w:t>.</w:t>
      </w:r>
    </w:p>
    <w:p w:rsidR="0026017D" w:rsidRPr="009075DC" w:rsidRDefault="0026017D" w:rsidP="0026017D">
      <w:pPr>
        <w:pStyle w:val="question"/>
        <w:widowControl w:val="0"/>
        <w:rPr>
          <w:rFonts w:eastAsia="SimSun"/>
        </w:rPr>
      </w:pPr>
      <w:r w:rsidRPr="009075DC">
        <w:rPr>
          <w:rFonts w:eastAsia="SimSun"/>
        </w:rPr>
        <w:t>Q.</w:t>
      </w:r>
      <w:r w:rsidRPr="009075DC">
        <w:rPr>
          <w:rFonts w:eastAsia="SimSun"/>
        </w:rPr>
        <w:tab/>
      </w:r>
      <w:r w:rsidR="00B0164A">
        <w:rPr>
          <w:rFonts w:eastAsia="SimSun"/>
        </w:rPr>
        <w:t xml:space="preserve">What lessons have you learned in </w:t>
      </w:r>
      <w:r w:rsidR="00E920C8">
        <w:rPr>
          <w:rFonts w:eastAsia="SimSun"/>
        </w:rPr>
        <w:t>PSE’s</w:t>
      </w:r>
      <w:r w:rsidR="00B0164A">
        <w:rPr>
          <w:rFonts w:eastAsia="SimSun"/>
        </w:rPr>
        <w:t xml:space="preserve"> </w:t>
      </w:r>
      <w:r w:rsidR="00003CCA">
        <w:rPr>
          <w:rFonts w:eastAsia="SimSun"/>
        </w:rPr>
        <w:t xml:space="preserve">three </w:t>
      </w:r>
      <w:r w:rsidR="00B0164A">
        <w:rPr>
          <w:rFonts w:eastAsia="SimSun"/>
        </w:rPr>
        <w:t>and a half years of experience with these mechanisms</w:t>
      </w:r>
      <w:r>
        <w:rPr>
          <w:rFonts w:eastAsia="SimSun"/>
        </w:rPr>
        <w:t>?</w:t>
      </w:r>
    </w:p>
    <w:p w:rsidR="00FD1025" w:rsidRDefault="0026017D" w:rsidP="0026017D">
      <w:pPr>
        <w:pStyle w:val="answer"/>
        <w:widowControl w:val="0"/>
        <w:rPr>
          <w:rFonts w:eastAsia="SimSun"/>
        </w:rPr>
      </w:pPr>
      <w:r w:rsidRPr="009075DC">
        <w:rPr>
          <w:rFonts w:eastAsia="SimSun"/>
        </w:rPr>
        <w:t>A.</w:t>
      </w:r>
      <w:r w:rsidRPr="009075DC">
        <w:rPr>
          <w:rFonts w:eastAsia="SimSun"/>
        </w:rPr>
        <w:tab/>
      </w:r>
      <w:r w:rsidR="0010268D">
        <w:rPr>
          <w:rFonts w:eastAsia="SimSun"/>
        </w:rPr>
        <w:t>As expect</w:t>
      </w:r>
      <w:r w:rsidR="004B0A53">
        <w:rPr>
          <w:rFonts w:eastAsia="SimSun"/>
        </w:rPr>
        <w:t>ed</w:t>
      </w:r>
      <w:r w:rsidR="00E920C8">
        <w:rPr>
          <w:rFonts w:eastAsia="SimSun"/>
        </w:rPr>
        <w:t xml:space="preserve"> when piloting </w:t>
      </w:r>
      <w:r w:rsidR="0010268D">
        <w:rPr>
          <w:rFonts w:eastAsia="SimSun"/>
        </w:rPr>
        <w:t>new rate mechanism</w:t>
      </w:r>
      <w:r w:rsidR="00E920C8">
        <w:rPr>
          <w:rFonts w:eastAsia="SimSun"/>
        </w:rPr>
        <w:t>s</w:t>
      </w:r>
      <w:r w:rsidR="0010268D">
        <w:rPr>
          <w:rFonts w:eastAsia="SimSun"/>
        </w:rPr>
        <w:t xml:space="preserve">, there are bound to be a few lessons learned along the way.  </w:t>
      </w:r>
      <w:r w:rsidR="00E920C8">
        <w:rPr>
          <w:rFonts w:eastAsia="SimSun"/>
        </w:rPr>
        <w:t>Some of the most noteworthy</w:t>
      </w:r>
      <w:r w:rsidR="00FD1025">
        <w:rPr>
          <w:rFonts w:eastAsia="SimSun"/>
        </w:rPr>
        <w:t xml:space="preserve"> include the following.</w:t>
      </w:r>
    </w:p>
    <w:p w:rsidR="00FD1025" w:rsidRPr="00FD1025" w:rsidRDefault="00003CCA" w:rsidP="00756AAC">
      <w:pPr>
        <w:pStyle w:val="answer"/>
        <w:widowControl w:val="0"/>
        <w:numPr>
          <w:ilvl w:val="0"/>
          <w:numId w:val="30"/>
        </w:numPr>
        <w:rPr>
          <w:rFonts w:eastAsia="SimSun"/>
        </w:rPr>
      </w:pPr>
      <w:r>
        <w:rPr>
          <w:rFonts w:eastAsia="SimSun"/>
        </w:rPr>
        <w:t xml:space="preserve">Rate Test: </w:t>
      </w:r>
      <w:r w:rsidR="00DE4F77">
        <w:rPr>
          <w:rFonts w:eastAsia="SimSun"/>
        </w:rPr>
        <w:t xml:space="preserve">With sustained warm </w:t>
      </w:r>
      <w:r w:rsidR="006E4E94">
        <w:rPr>
          <w:rFonts w:eastAsia="SimSun"/>
        </w:rPr>
        <w:t xml:space="preserve">winter </w:t>
      </w:r>
      <w:r w:rsidR="00DE4F77">
        <w:rPr>
          <w:rFonts w:eastAsia="SimSun"/>
        </w:rPr>
        <w:t>weather, d</w:t>
      </w:r>
      <w:r w:rsidR="00B0164A" w:rsidRPr="00FD1025">
        <w:rPr>
          <w:rFonts w:eastAsia="SimSun"/>
        </w:rPr>
        <w:t xml:space="preserve">eferrals can grow </w:t>
      </w:r>
      <w:r w:rsidR="00DE4F77">
        <w:rPr>
          <w:rFonts w:eastAsia="SimSun"/>
        </w:rPr>
        <w:t xml:space="preserve">rapidly, triggering </w:t>
      </w:r>
      <w:r w:rsidR="00B0164A" w:rsidRPr="00FD1025">
        <w:rPr>
          <w:rFonts w:eastAsia="SimSun"/>
        </w:rPr>
        <w:t xml:space="preserve">the </w:t>
      </w:r>
      <w:r w:rsidR="006E4E94">
        <w:rPr>
          <w:rFonts w:eastAsia="SimSun"/>
        </w:rPr>
        <w:t>three</w:t>
      </w:r>
      <w:r w:rsidR="00B0164A" w:rsidRPr="00FD1025">
        <w:rPr>
          <w:rFonts w:eastAsia="SimSun"/>
        </w:rPr>
        <w:t xml:space="preserve"> percent </w:t>
      </w:r>
      <w:r w:rsidR="00461E19">
        <w:rPr>
          <w:rFonts w:eastAsia="SimSun"/>
        </w:rPr>
        <w:t>Rate Test</w:t>
      </w:r>
      <w:r w:rsidR="006F5553">
        <w:rPr>
          <w:rFonts w:eastAsia="SimSun"/>
        </w:rPr>
        <w:t xml:space="preserve"> and lead</w:t>
      </w:r>
      <w:r w:rsidR="006E4E94">
        <w:rPr>
          <w:rFonts w:eastAsia="SimSun"/>
        </w:rPr>
        <w:t>ing</w:t>
      </w:r>
      <w:r w:rsidR="006F5553">
        <w:rPr>
          <w:rFonts w:eastAsia="SimSun"/>
        </w:rPr>
        <w:t xml:space="preserve"> to </w:t>
      </w:r>
      <w:r w:rsidR="006E4E94">
        <w:rPr>
          <w:rFonts w:eastAsia="SimSun"/>
        </w:rPr>
        <w:t xml:space="preserve">lower </w:t>
      </w:r>
      <w:r w:rsidR="006F5553">
        <w:rPr>
          <w:rFonts w:eastAsia="SimSun"/>
        </w:rPr>
        <w:t xml:space="preserve">current year </w:t>
      </w:r>
      <w:r w:rsidR="006F5553">
        <w:rPr>
          <w:rFonts w:eastAsia="SimSun"/>
        </w:rPr>
        <w:lastRenderedPageBreak/>
        <w:t>revenue</w:t>
      </w:r>
      <w:r w:rsidR="00B0164A" w:rsidRPr="00FD1025">
        <w:rPr>
          <w:rFonts w:eastAsia="SimSun"/>
        </w:rPr>
        <w:t>.</w:t>
      </w:r>
      <w:r w:rsidR="008C4AE3" w:rsidRPr="00FD1025">
        <w:rPr>
          <w:rFonts w:eastAsia="SimSun"/>
        </w:rPr>
        <w:t xml:space="preserve"> </w:t>
      </w:r>
    </w:p>
    <w:p w:rsidR="00FD1025" w:rsidRPr="00FD1025" w:rsidRDefault="006E4E94" w:rsidP="00756AAC">
      <w:pPr>
        <w:pStyle w:val="answer"/>
        <w:widowControl w:val="0"/>
        <w:numPr>
          <w:ilvl w:val="0"/>
          <w:numId w:val="30"/>
        </w:numPr>
        <w:rPr>
          <w:rFonts w:eastAsia="SimSun"/>
        </w:rPr>
      </w:pPr>
      <w:r>
        <w:rPr>
          <w:rFonts w:eastAsia="SimSun"/>
        </w:rPr>
        <w:t xml:space="preserve">Earnings Test: </w:t>
      </w:r>
      <w:r w:rsidR="008C4AE3" w:rsidRPr="00FD1025">
        <w:rPr>
          <w:rFonts w:eastAsia="SimSun"/>
        </w:rPr>
        <w:t>PSE</w:t>
      </w:r>
      <w:r w:rsidR="00FD1025" w:rsidRPr="00FD1025">
        <w:rPr>
          <w:rFonts w:eastAsia="SimSun"/>
        </w:rPr>
        <w:t>’s Earnings Test</w:t>
      </w:r>
      <w:r w:rsidR="008C4AE3" w:rsidRPr="00FD1025">
        <w:rPr>
          <w:rFonts w:eastAsia="SimSun"/>
        </w:rPr>
        <w:t xml:space="preserve"> has been returning revenue to customers even though </w:t>
      </w:r>
      <w:r w:rsidR="00FD1025" w:rsidRPr="00FD1025">
        <w:rPr>
          <w:rFonts w:eastAsia="SimSun"/>
        </w:rPr>
        <w:t xml:space="preserve">the Company </w:t>
      </w:r>
      <w:r w:rsidR="008C4AE3" w:rsidRPr="00FD1025">
        <w:rPr>
          <w:rFonts w:eastAsia="SimSun"/>
        </w:rPr>
        <w:t>has not generally been exceeding it</w:t>
      </w:r>
      <w:r w:rsidR="00CC63B9">
        <w:rPr>
          <w:rFonts w:eastAsia="SimSun"/>
        </w:rPr>
        <w:t>s</w:t>
      </w:r>
      <w:r w:rsidR="008C4AE3" w:rsidRPr="00FD1025">
        <w:rPr>
          <w:rFonts w:eastAsia="SimSun"/>
        </w:rPr>
        <w:t xml:space="preserve"> authorized ROE.</w:t>
      </w:r>
      <w:r w:rsidR="00B0164A" w:rsidRPr="00FD1025">
        <w:rPr>
          <w:rFonts w:eastAsia="SimSun"/>
        </w:rPr>
        <w:t xml:space="preserve"> </w:t>
      </w:r>
    </w:p>
    <w:p w:rsidR="0026017D" w:rsidRDefault="006E4E94" w:rsidP="00756AAC">
      <w:pPr>
        <w:pStyle w:val="answer"/>
        <w:widowControl w:val="0"/>
        <w:numPr>
          <w:ilvl w:val="0"/>
          <w:numId w:val="30"/>
        </w:numPr>
        <w:rPr>
          <w:rFonts w:eastAsia="SimSun"/>
        </w:rPr>
      </w:pPr>
      <w:r>
        <w:rPr>
          <w:rFonts w:eastAsia="SimSun"/>
        </w:rPr>
        <w:t xml:space="preserve">Rate Groupings: </w:t>
      </w:r>
      <w:r w:rsidR="00B0164A" w:rsidRPr="00FD1025">
        <w:rPr>
          <w:rFonts w:eastAsia="SimSun"/>
        </w:rPr>
        <w:t>Certain</w:t>
      </w:r>
      <w:r w:rsidR="00FD1025" w:rsidRPr="00FD1025">
        <w:rPr>
          <w:rFonts w:eastAsia="SimSun"/>
        </w:rPr>
        <w:t xml:space="preserve"> decoupling rate</w:t>
      </w:r>
      <w:r w:rsidR="00B0164A" w:rsidRPr="00FD1025">
        <w:rPr>
          <w:rFonts w:eastAsia="SimSun"/>
        </w:rPr>
        <w:t xml:space="preserve"> groups that are currently aggregated could reasonably be disaggregated to address some potential cost shifting</w:t>
      </w:r>
      <w:r w:rsidR="00CB52AF" w:rsidRPr="00FD1025">
        <w:rPr>
          <w:rFonts w:eastAsia="SimSun"/>
        </w:rPr>
        <w:t xml:space="preserve"> </w:t>
      </w:r>
      <w:r w:rsidR="00FD1025" w:rsidRPr="00FD1025">
        <w:rPr>
          <w:rFonts w:eastAsia="SimSun"/>
        </w:rPr>
        <w:t xml:space="preserve">that may be </w:t>
      </w:r>
      <w:r w:rsidR="00CB52AF" w:rsidRPr="00FD1025">
        <w:rPr>
          <w:rFonts w:eastAsia="SimSun"/>
        </w:rPr>
        <w:t>occurring</w:t>
      </w:r>
      <w:r w:rsidR="00B0164A" w:rsidRPr="00FD1025">
        <w:rPr>
          <w:rFonts w:eastAsia="SimSun"/>
        </w:rPr>
        <w:t xml:space="preserve"> between rate schedules</w:t>
      </w:r>
      <w:r w:rsidR="00CB52AF" w:rsidRPr="00FD1025">
        <w:rPr>
          <w:rFonts w:eastAsia="SimSun"/>
        </w:rPr>
        <w:t xml:space="preserve"> within the decoupling mechanisms</w:t>
      </w:r>
      <w:r w:rsidR="00B0164A" w:rsidRPr="00FD1025">
        <w:rPr>
          <w:rFonts w:eastAsia="SimSun"/>
        </w:rPr>
        <w:t>.</w:t>
      </w:r>
    </w:p>
    <w:p w:rsidR="006E4E94" w:rsidRPr="00FD1025" w:rsidRDefault="006E4E94" w:rsidP="006E4E94">
      <w:pPr>
        <w:pStyle w:val="answer"/>
        <w:widowControl w:val="0"/>
        <w:ind w:firstLine="0"/>
        <w:rPr>
          <w:rFonts w:eastAsia="SimSun"/>
        </w:rPr>
      </w:pPr>
      <w:r>
        <w:rPr>
          <w:rFonts w:eastAsia="SimSun"/>
        </w:rPr>
        <w:t>These three issues are discussed in more detail below. I also make recommendations for changes to the decoupling mechanism based on these, and other, factors later in my testimony.</w:t>
      </w:r>
    </w:p>
    <w:p w:rsidR="00E74183" w:rsidRPr="009075DC" w:rsidRDefault="00E74183" w:rsidP="00E74183">
      <w:pPr>
        <w:pStyle w:val="Heading3"/>
        <w:keepNext w:val="0"/>
        <w:keepLines w:val="0"/>
        <w:widowControl w:val="0"/>
        <w:rPr>
          <w:rFonts w:eastAsia="SimSun"/>
        </w:rPr>
      </w:pPr>
      <w:bookmarkStart w:id="170" w:name="_Toc471912976"/>
      <w:r>
        <w:rPr>
          <w:rFonts w:eastAsia="SimSun"/>
          <w:u w:val="none"/>
        </w:rPr>
        <w:t>1</w:t>
      </w:r>
      <w:r w:rsidRPr="009075DC">
        <w:rPr>
          <w:rFonts w:eastAsia="SimSun"/>
          <w:u w:val="none"/>
        </w:rPr>
        <w:t>.</w:t>
      </w:r>
      <w:r w:rsidRPr="009075DC">
        <w:rPr>
          <w:rFonts w:eastAsia="SimSun"/>
          <w:u w:val="none"/>
        </w:rPr>
        <w:tab/>
      </w:r>
      <w:r>
        <w:rPr>
          <w:rFonts w:eastAsia="SimSun"/>
        </w:rPr>
        <w:t xml:space="preserve">Rate Test </w:t>
      </w:r>
      <w:r w:rsidR="00F5297A">
        <w:rPr>
          <w:rFonts w:eastAsia="SimSun"/>
        </w:rPr>
        <w:t>Challenges</w:t>
      </w:r>
      <w:bookmarkEnd w:id="170"/>
    </w:p>
    <w:p w:rsidR="00FF4648" w:rsidRPr="009075DC" w:rsidRDefault="00FF4648" w:rsidP="00FF4648">
      <w:pPr>
        <w:pStyle w:val="question"/>
        <w:widowControl w:val="0"/>
        <w:rPr>
          <w:rFonts w:eastAsia="SimSun"/>
        </w:rPr>
      </w:pPr>
      <w:r w:rsidRPr="009075DC">
        <w:rPr>
          <w:rFonts w:eastAsia="SimSun"/>
        </w:rPr>
        <w:t>Q.</w:t>
      </w:r>
      <w:r w:rsidRPr="009075DC">
        <w:rPr>
          <w:rFonts w:eastAsia="SimSun"/>
        </w:rPr>
        <w:tab/>
      </w:r>
      <w:r w:rsidR="00D82F5E">
        <w:rPr>
          <w:rFonts w:eastAsia="SimSun"/>
        </w:rPr>
        <w:t xml:space="preserve">Please explain more about the challenges created by the </w:t>
      </w:r>
      <w:r w:rsidR="00545CA3">
        <w:rPr>
          <w:rFonts w:eastAsia="SimSun"/>
        </w:rPr>
        <w:t>three</w:t>
      </w:r>
      <w:r w:rsidR="00D82F5E">
        <w:rPr>
          <w:rFonts w:eastAsia="SimSun"/>
        </w:rPr>
        <w:t xml:space="preserve"> percent </w:t>
      </w:r>
      <w:r w:rsidR="00461E19">
        <w:rPr>
          <w:rFonts w:eastAsia="SimSun"/>
        </w:rPr>
        <w:t>Rate Test</w:t>
      </w:r>
      <w:r w:rsidR="00D82F5E">
        <w:rPr>
          <w:rFonts w:eastAsia="SimSun"/>
        </w:rPr>
        <w:t>.</w:t>
      </w:r>
    </w:p>
    <w:p w:rsidR="006F5553" w:rsidRDefault="00FF4648" w:rsidP="00FF4648">
      <w:pPr>
        <w:pStyle w:val="answer"/>
        <w:widowControl w:val="0"/>
        <w:rPr>
          <w:rFonts w:eastAsia="SimSun"/>
        </w:rPr>
      </w:pPr>
      <w:r w:rsidRPr="009075DC">
        <w:rPr>
          <w:rFonts w:eastAsia="SimSun"/>
        </w:rPr>
        <w:t>A.</w:t>
      </w:r>
      <w:r w:rsidRPr="009075DC">
        <w:rPr>
          <w:rFonts w:eastAsia="SimSun"/>
        </w:rPr>
        <w:tab/>
      </w:r>
      <w:r w:rsidR="00545CA3">
        <w:rPr>
          <w:rFonts w:eastAsia="SimSun"/>
        </w:rPr>
        <w:t xml:space="preserve">The intent of the </w:t>
      </w:r>
      <w:r w:rsidR="00461E19">
        <w:rPr>
          <w:rFonts w:eastAsia="SimSun"/>
        </w:rPr>
        <w:t>Rate Test</w:t>
      </w:r>
      <w:r w:rsidR="00545CA3">
        <w:rPr>
          <w:rFonts w:eastAsia="SimSun"/>
        </w:rPr>
        <w:t xml:space="preserve"> was to mitigate potential rate volatility associated with PSE’s decoupling mechanisms. In operation, to the extent that decoupling-related rate adjustments would exceed </w:t>
      </w:r>
      <w:r w:rsidR="003C64DB">
        <w:rPr>
          <w:rFonts w:eastAsia="SimSun"/>
        </w:rPr>
        <w:t>three</w:t>
      </w:r>
      <w:r w:rsidR="00E74183">
        <w:rPr>
          <w:rFonts w:eastAsia="SimSun"/>
        </w:rPr>
        <w:t xml:space="preserve"> </w:t>
      </w:r>
      <w:r w:rsidR="00545CA3">
        <w:rPr>
          <w:rFonts w:eastAsia="SimSun"/>
        </w:rPr>
        <w:t xml:space="preserve">percent, </w:t>
      </w:r>
      <w:r w:rsidR="006F5553">
        <w:rPr>
          <w:rFonts w:eastAsia="SimSun"/>
        </w:rPr>
        <w:t xml:space="preserve">PSE limits the amortization of prior year deferrals to limit </w:t>
      </w:r>
      <w:r w:rsidR="00545CA3">
        <w:rPr>
          <w:rFonts w:eastAsia="SimSun"/>
        </w:rPr>
        <w:t xml:space="preserve">the rate increase to three percent and </w:t>
      </w:r>
      <w:r w:rsidR="006F5553">
        <w:rPr>
          <w:rFonts w:eastAsia="SimSun"/>
        </w:rPr>
        <w:t xml:space="preserve">recovers </w:t>
      </w:r>
      <w:r w:rsidR="00545CA3">
        <w:rPr>
          <w:rFonts w:eastAsia="SimSun"/>
        </w:rPr>
        <w:t>any unrecovered amounts in subsequent rate periods.  The challenge created by this approach to mitigating rate volatility arise</w:t>
      </w:r>
      <w:r w:rsidR="006F5553">
        <w:rPr>
          <w:rFonts w:eastAsia="SimSun"/>
        </w:rPr>
        <w:t>s</w:t>
      </w:r>
      <w:r w:rsidR="00545CA3">
        <w:rPr>
          <w:rFonts w:eastAsia="SimSun"/>
        </w:rPr>
        <w:t xml:space="preserve"> when</w:t>
      </w:r>
      <w:r w:rsidR="00DE4F77">
        <w:rPr>
          <w:rFonts w:eastAsia="SimSun"/>
        </w:rPr>
        <w:t xml:space="preserve"> the Rate Test is triggered and deferrals are left on the balance sheet increasing the likelihood that they will not</w:t>
      </w:r>
      <w:r w:rsidR="00545CA3">
        <w:rPr>
          <w:rFonts w:eastAsia="SimSun"/>
        </w:rPr>
        <w:t xml:space="preserve"> be recovered within a 24 month period.  </w:t>
      </w:r>
    </w:p>
    <w:p w:rsidR="006F5553" w:rsidRPr="006F5553" w:rsidRDefault="006F5553" w:rsidP="00FF4648">
      <w:pPr>
        <w:pStyle w:val="answer"/>
        <w:widowControl w:val="0"/>
        <w:rPr>
          <w:rFonts w:eastAsia="SimSun"/>
          <w:b/>
        </w:rPr>
      </w:pPr>
      <w:r w:rsidRPr="006F5553">
        <w:rPr>
          <w:rFonts w:eastAsia="SimSun"/>
          <w:b/>
        </w:rPr>
        <w:lastRenderedPageBreak/>
        <w:t>Q.</w:t>
      </w:r>
      <w:r w:rsidRPr="006F5553">
        <w:rPr>
          <w:rFonts w:eastAsia="SimSun"/>
          <w:b/>
        </w:rPr>
        <w:tab/>
        <w:t>Why is this a problem?</w:t>
      </w:r>
    </w:p>
    <w:p w:rsidR="00FF4648" w:rsidRDefault="006F5553" w:rsidP="00FF4648">
      <w:pPr>
        <w:pStyle w:val="answer"/>
        <w:widowControl w:val="0"/>
        <w:rPr>
          <w:rFonts w:eastAsia="SimSun"/>
        </w:rPr>
      </w:pPr>
      <w:r>
        <w:rPr>
          <w:rFonts w:eastAsia="SimSun"/>
        </w:rPr>
        <w:t>A.</w:t>
      </w:r>
      <w:r>
        <w:rPr>
          <w:rFonts w:eastAsia="SimSun"/>
        </w:rPr>
        <w:tab/>
      </w:r>
      <w:r w:rsidR="00545CA3">
        <w:rPr>
          <w:rFonts w:eastAsia="SimSun"/>
        </w:rPr>
        <w:t>Generally accepted accounting practice</w:t>
      </w:r>
      <w:r w:rsidR="003E5299">
        <w:rPr>
          <w:rFonts w:eastAsia="SimSun"/>
        </w:rPr>
        <w:t xml:space="preserve"> (“GAAP”) </w:t>
      </w:r>
      <w:r w:rsidR="00545CA3">
        <w:rPr>
          <w:rFonts w:eastAsia="SimSun"/>
        </w:rPr>
        <w:t xml:space="preserve">requires revenue to be recovered within 24 months of the time they are accrued to be recognized as current year revenue.  Due to this requirement, </w:t>
      </w:r>
      <w:r>
        <w:rPr>
          <w:rFonts w:eastAsia="SimSun"/>
        </w:rPr>
        <w:t>an</w:t>
      </w:r>
      <w:r w:rsidR="003C64DB">
        <w:rPr>
          <w:rFonts w:eastAsia="SimSun"/>
        </w:rPr>
        <w:t>d given the significant deferred</w:t>
      </w:r>
      <w:r>
        <w:rPr>
          <w:rFonts w:eastAsia="SimSun"/>
        </w:rPr>
        <w:t xml:space="preserve"> balances that have accumulated for certain decoupling rate groups, </w:t>
      </w:r>
      <w:r w:rsidR="00545CA3">
        <w:rPr>
          <w:rFonts w:eastAsia="SimSun"/>
        </w:rPr>
        <w:t xml:space="preserve">PSE </w:t>
      </w:r>
      <w:r w:rsidR="003C64DB">
        <w:rPr>
          <w:rFonts w:eastAsia="SimSun"/>
        </w:rPr>
        <w:t xml:space="preserve">could not recognize </w:t>
      </w:r>
      <w:r w:rsidR="00CE07DC">
        <w:rPr>
          <w:rFonts w:eastAsia="SimSun"/>
        </w:rPr>
        <w:t>$10.</w:t>
      </w:r>
      <w:r w:rsidR="00DF5C77">
        <w:rPr>
          <w:rFonts w:eastAsia="SimSun"/>
        </w:rPr>
        <w:t>0</w:t>
      </w:r>
      <w:r w:rsidR="00CE07DC">
        <w:rPr>
          <w:rFonts w:eastAsia="SimSun"/>
        </w:rPr>
        <w:t xml:space="preserve"> </w:t>
      </w:r>
      <w:r w:rsidR="00545CA3">
        <w:rPr>
          <w:rFonts w:eastAsia="SimSun"/>
        </w:rPr>
        <w:t xml:space="preserve">million </w:t>
      </w:r>
      <w:r w:rsidR="003C64DB">
        <w:rPr>
          <w:rFonts w:eastAsia="SimSun"/>
        </w:rPr>
        <w:t xml:space="preserve">as </w:t>
      </w:r>
      <w:r w:rsidR="00545CA3">
        <w:rPr>
          <w:rFonts w:eastAsia="SimSun"/>
        </w:rPr>
        <w:t xml:space="preserve">revenue </w:t>
      </w:r>
      <w:r w:rsidR="00CE07DC">
        <w:rPr>
          <w:rFonts w:eastAsia="SimSun"/>
        </w:rPr>
        <w:t xml:space="preserve">for calendar year 2015 </w:t>
      </w:r>
      <w:r w:rsidR="00545CA3">
        <w:rPr>
          <w:rFonts w:eastAsia="SimSun"/>
        </w:rPr>
        <w:t xml:space="preserve">even though </w:t>
      </w:r>
      <w:r>
        <w:rPr>
          <w:rFonts w:eastAsia="SimSun"/>
        </w:rPr>
        <w:t xml:space="preserve">the </w:t>
      </w:r>
      <w:r w:rsidR="003C64DB">
        <w:rPr>
          <w:rFonts w:eastAsia="SimSun"/>
        </w:rPr>
        <w:t xml:space="preserve">revenue </w:t>
      </w:r>
      <w:r w:rsidR="00545CA3">
        <w:rPr>
          <w:rFonts w:eastAsia="SimSun"/>
        </w:rPr>
        <w:t xml:space="preserve">was “allowed” for recovery by the Commission through the allowed revenue per customer.  By extension, </w:t>
      </w:r>
      <w:r w:rsidR="003C64DB">
        <w:rPr>
          <w:rFonts w:eastAsia="SimSun"/>
        </w:rPr>
        <w:t xml:space="preserve">not being able to recognize these revenues in 2015 also </w:t>
      </w:r>
      <w:r w:rsidR="00545CA3">
        <w:rPr>
          <w:rFonts w:eastAsia="SimSun"/>
        </w:rPr>
        <w:t xml:space="preserve">reduced recognized earnings for the utility.  These </w:t>
      </w:r>
      <w:r w:rsidR="003C64DB">
        <w:rPr>
          <w:rFonts w:eastAsia="SimSun"/>
        </w:rPr>
        <w:t xml:space="preserve">unrecognized earnings </w:t>
      </w:r>
      <w:r w:rsidR="00545CA3">
        <w:rPr>
          <w:rFonts w:eastAsia="SimSun"/>
        </w:rPr>
        <w:t>were not foreseen when PSE’s decoupling mechanisms were originally proposed</w:t>
      </w:r>
      <w:r>
        <w:rPr>
          <w:rFonts w:eastAsia="SimSun"/>
        </w:rPr>
        <w:t xml:space="preserve"> and </w:t>
      </w:r>
      <w:r w:rsidR="00E74183">
        <w:rPr>
          <w:rFonts w:eastAsia="SimSun"/>
        </w:rPr>
        <w:t xml:space="preserve">this outcome </w:t>
      </w:r>
      <w:r>
        <w:rPr>
          <w:rFonts w:eastAsia="SimSun"/>
        </w:rPr>
        <w:t>run</w:t>
      </w:r>
      <w:r w:rsidR="00E74183">
        <w:rPr>
          <w:rFonts w:eastAsia="SimSun"/>
        </w:rPr>
        <w:t>s</w:t>
      </w:r>
      <w:r>
        <w:rPr>
          <w:rFonts w:eastAsia="SimSun"/>
        </w:rPr>
        <w:t xml:space="preserve"> counter to addressing the Company’s throughput incentive.  Indeed, under this scenario, PSE would welcome higher loads to absorb the decoupling deferrals that </w:t>
      </w:r>
      <w:r w:rsidR="003E5299">
        <w:rPr>
          <w:rFonts w:eastAsia="SimSun"/>
        </w:rPr>
        <w:t xml:space="preserve">the Company </w:t>
      </w:r>
      <w:r w:rsidR="003C64DB">
        <w:rPr>
          <w:rFonts w:eastAsia="SimSun"/>
        </w:rPr>
        <w:t xml:space="preserve">cannot recognize as current year revenue </w:t>
      </w:r>
      <w:r w:rsidR="003E5299">
        <w:rPr>
          <w:rFonts w:eastAsia="SimSun"/>
        </w:rPr>
        <w:t>under GAAP rules</w:t>
      </w:r>
      <w:r w:rsidR="00545CA3">
        <w:rPr>
          <w:rFonts w:eastAsia="SimSun"/>
        </w:rPr>
        <w:t>.</w:t>
      </w:r>
    </w:p>
    <w:p w:rsidR="00E74183" w:rsidRPr="009075DC" w:rsidRDefault="00E74183" w:rsidP="00E74183">
      <w:pPr>
        <w:pStyle w:val="Heading3"/>
        <w:keepNext w:val="0"/>
        <w:keepLines w:val="0"/>
        <w:widowControl w:val="0"/>
        <w:rPr>
          <w:rFonts w:eastAsia="SimSun"/>
        </w:rPr>
      </w:pPr>
      <w:bookmarkStart w:id="171" w:name="_Toc471912977"/>
      <w:r>
        <w:rPr>
          <w:rFonts w:eastAsia="SimSun"/>
          <w:u w:val="none"/>
        </w:rPr>
        <w:t>2</w:t>
      </w:r>
      <w:r w:rsidRPr="009075DC">
        <w:rPr>
          <w:rFonts w:eastAsia="SimSun"/>
          <w:u w:val="none"/>
        </w:rPr>
        <w:t>.</w:t>
      </w:r>
      <w:r w:rsidRPr="009075DC">
        <w:rPr>
          <w:rFonts w:eastAsia="SimSun"/>
          <w:u w:val="none"/>
        </w:rPr>
        <w:tab/>
      </w:r>
      <w:r>
        <w:rPr>
          <w:rFonts w:eastAsia="SimSun"/>
        </w:rPr>
        <w:t xml:space="preserve">Earnings Test </w:t>
      </w:r>
      <w:r w:rsidR="00F5297A">
        <w:rPr>
          <w:rFonts w:eastAsia="SimSun"/>
        </w:rPr>
        <w:t>Challenge</w:t>
      </w:r>
      <w:r>
        <w:rPr>
          <w:rFonts w:eastAsia="SimSun"/>
        </w:rPr>
        <w:t>s</w:t>
      </w:r>
      <w:bookmarkEnd w:id="171"/>
    </w:p>
    <w:p w:rsidR="00E84C08" w:rsidRDefault="00E84C08" w:rsidP="00CB52AF">
      <w:pPr>
        <w:pStyle w:val="question"/>
        <w:widowControl w:val="0"/>
        <w:rPr>
          <w:rFonts w:eastAsia="SimSun"/>
        </w:rPr>
      </w:pPr>
      <w:r>
        <w:rPr>
          <w:rFonts w:eastAsia="SimSun"/>
        </w:rPr>
        <w:t>Q.</w:t>
      </w:r>
      <w:r>
        <w:rPr>
          <w:rFonts w:eastAsia="SimSun"/>
        </w:rPr>
        <w:tab/>
        <w:t>Has PSE experienced other issues with the application of this Earnings Test?</w:t>
      </w:r>
    </w:p>
    <w:p w:rsidR="00E84C08" w:rsidRDefault="00E84C08" w:rsidP="00CB52AF">
      <w:pPr>
        <w:pStyle w:val="question"/>
        <w:widowControl w:val="0"/>
        <w:rPr>
          <w:rFonts w:eastAsia="SimSun"/>
          <w:b w:val="0"/>
        </w:rPr>
      </w:pPr>
      <w:r w:rsidRPr="00E84C08">
        <w:rPr>
          <w:rFonts w:eastAsia="SimSun"/>
          <w:b w:val="0"/>
        </w:rPr>
        <w:t>A.</w:t>
      </w:r>
      <w:r w:rsidRPr="00E84C08">
        <w:rPr>
          <w:rFonts w:eastAsia="SimSun"/>
          <w:b w:val="0"/>
        </w:rPr>
        <w:tab/>
        <w:t>Yes, these are discussed in the Prefiled Direct Testimony of Daniel A. Doyle, Exhibit No.___(DAD-1T).</w:t>
      </w:r>
      <w:r w:rsidR="00D07D2C">
        <w:rPr>
          <w:rFonts w:eastAsia="SimSun"/>
          <w:b w:val="0"/>
        </w:rPr>
        <w:t xml:space="preserve">  However, they have been referenced here for the sake of increased clarity as to PSE’s proposed changes to its decoupling mechanisms. As noted in Mr. Doyle’s testimony, PSE proposes to continue to the use of an Earnings Test, but </w:t>
      </w:r>
      <w:r w:rsidR="00D07D2C" w:rsidRPr="00D07D2C">
        <w:rPr>
          <w:rFonts w:eastAsia="SimSun"/>
          <w:b w:val="0"/>
        </w:rPr>
        <w:t xml:space="preserve">recommends that, for revenue sharing purposes, all normalizing adjustments to actual results be excluded and all conforming </w:t>
      </w:r>
      <w:r w:rsidR="00D07D2C" w:rsidRPr="00D07D2C">
        <w:rPr>
          <w:rFonts w:eastAsia="SimSun"/>
          <w:b w:val="0"/>
        </w:rPr>
        <w:lastRenderedPageBreak/>
        <w:t>adjustments be retained for calculating operating income.</w:t>
      </w:r>
      <w:r w:rsidR="00D07D2C">
        <w:rPr>
          <w:rStyle w:val="FootnoteReference"/>
          <w:rFonts w:eastAsia="SimSun"/>
          <w:b w:val="0"/>
        </w:rPr>
        <w:footnoteReference w:id="43"/>
      </w:r>
      <w:r w:rsidR="00D07D2C" w:rsidRPr="00D07D2C">
        <w:rPr>
          <w:rFonts w:eastAsia="SimSun"/>
          <w:b w:val="0"/>
        </w:rPr>
        <w:t xml:space="preserve"> </w:t>
      </w:r>
    </w:p>
    <w:p w:rsidR="00E74183" w:rsidRPr="009075DC" w:rsidRDefault="00DD68D1" w:rsidP="00E74183">
      <w:pPr>
        <w:pStyle w:val="Heading3"/>
        <w:keepNext w:val="0"/>
        <w:keepLines w:val="0"/>
        <w:widowControl w:val="0"/>
        <w:rPr>
          <w:rFonts w:eastAsia="SimSun"/>
        </w:rPr>
      </w:pPr>
      <w:bookmarkStart w:id="172" w:name="_Toc471912978"/>
      <w:r>
        <w:rPr>
          <w:rFonts w:eastAsia="SimSun"/>
          <w:u w:val="none"/>
        </w:rPr>
        <w:t>3</w:t>
      </w:r>
      <w:r w:rsidR="00E74183" w:rsidRPr="009075DC">
        <w:rPr>
          <w:rFonts w:eastAsia="SimSun"/>
          <w:u w:val="none"/>
        </w:rPr>
        <w:t>.</w:t>
      </w:r>
      <w:r w:rsidR="00E74183" w:rsidRPr="009075DC">
        <w:rPr>
          <w:rFonts w:eastAsia="SimSun"/>
          <w:u w:val="none"/>
        </w:rPr>
        <w:tab/>
      </w:r>
      <w:r w:rsidR="00E74183">
        <w:rPr>
          <w:rFonts w:eastAsia="SimSun"/>
        </w:rPr>
        <w:t>Opportunities to Improve Rate Groupings</w:t>
      </w:r>
      <w:bookmarkEnd w:id="172"/>
    </w:p>
    <w:p w:rsidR="00CB52AF" w:rsidRPr="009075DC" w:rsidRDefault="00CB52AF" w:rsidP="00CB52AF">
      <w:pPr>
        <w:pStyle w:val="question"/>
        <w:widowControl w:val="0"/>
        <w:rPr>
          <w:rFonts w:eastAsia="SimSun"/>
        </w:rPr>
      </w:pPr>
      <w:r w:rsidRPr="009075DC">
        <w:rPr>
          <w:rFonts w:eastAsia="SimSun"/>
        </w:rPr>
        <w:t>Q.</w:t>
      </w:r>
      <w:r w:rsidRPr="009075DC">
        <w:rPr>
          <w:rFonts w:eastAsia="SimSun"/>
        </w:rPr>
        <w:tab/>
      </w:r>
      <w:r>
        <w:rPr>
          <w:rFonts w:eastAsia="SimSun"/>
        </w:rPr>
        <w:t xml:space="preserve">Please </w:t>
      </w:r>
      <w:r w:rsidR="0010268D">
        <w:rPr>
          <w:rFonts w:eastAsia="SimSun"/>
        </w:rPr>
        <w:t>explain how the decoupling rate groups could be rearranged to reasonably reduce potential cost shifting</w:t>
      </w:r>
      <w:r>
        <w:rPr>
          <w:rFonts w:eastAsia="SimSun"/>
        </w:rPr>
        <w:t>.</w:t>
      </w:r>
    </w:p>
    <w:p w:rsidR="00550EF4" w:rsidRDefault="00CB52AF" w:rsidP="00CB52AF">
      <w:pPr>
        <w:pStyle w:val="answer"/>
        <w:widowControl w:val="0"/>
        <w:rPr>
          <w:rFonts w:eastAsia="SimSun"/>
        </w:rPr>
      </w:pPr>
      <w:r w:rsidRPr="009075DC">
        <w:rPr>
          <w:rFonts w:eastAsia="SimSun"/>
        </w:rPr>
        <w:t>A.</w:t>
      </w:r>
      <w:r w:rsidRPr="009075DC">
        <w:rPr>
          <w:rFonts w:eastAsia="SimSun"/>
        </w:rPr>
        <w:tab/>
      </w:r>
      <w:r w:rsidR="00550EF4">
        <w:rPr>
          <w:rFonts w:eastAsia="SimSun"/>
        </w:rPr>
        <w:t>As discussed earlier, a certain amount of rearranging of the decoupling rate groups has already occurred since the inception of these mechanisms.  However,</w:t>
      </w:r>
      <w:r w:rsidR="00C07B3D">
        <w:rPr>
          <w:rFonts w:eastAsia="SimSun"/>
        </w:rPr>
        <w:t xml:space="preserve"> recognizing that it may </w:t>
      </w:r>
      <w:r w:rsidR="0044097A">
        <w:rPr>
          <w:rFonts w:eastAsia="SimSun"/>
        </w:rPr>
        <w:t xml:space="preserve">also </w:t>
      </w:r>
      <w:r w:rsidR="00C07B3D">
        <w:rPr>
          <w:rFonts w:eastAsia="SimSun"/>
        </w:rPr>
        <w:t>slightly increase the potential for greater decoupling-related rate volatility,</w:t>
      </w:r>
      <w:r w:rsidR="00550EF4">
        <w:rPr>
          <w:rFonts w:eastAsia="SimSun"/>
        </w:rPr>
        <w:t xml:space="preserve"> a few additional changes may be warranted to reduce potential cost shifting.</w:t>
      </w:r>
      <w:r w:rsidR="00C07B3D">
        <w:rPr>
          <w:rFonts w:eastAsia="SimSun"/>
        </w:rPr>
        <w:t xml:space="preserve">  </w:t>
      </w:r>
      <w:r w:rsidR="00550EF4">
        <w:rPr>
          <w:rFonts w:eastAsia="SimSun"/>
        </w:rPr>
        <w:t xml:space="preserve">  </w:t>
      </w:r>
    </w:p>
    <w:p w:rsidR="00CB52AF" w:rsidRDefault="00550EF4" w:rsidP="00550EF4">
      <w:pPr>
        <w:pStyle w:val="answer"/>
        <w:widowControl w:val="0"/>
        <w:ind w:firstLine="0"/>
        <w:rPr>
          <w:rFonts w:eastAsia="SimSun"/>
        </w:rPr>
      </w:pPr>
      <w:r>
        <w:rPr>
          <w:rFonts w:eastAsia="SimSun"/>
        </w:rPr>
        <w:t xml:space="preserve">First, advocates for customers served under electric Schedules 40, 46 and 49 vigorously fought </w:t>
      </w:r>
      <w:r w:rsidR="0044097A">
        <w:rPr>
          <w:rFonts w:eastAsia="SimSun"/>
        </w:rPr>
        <w:t xml:space="preserve">against </w:t>
      </w:r>
      <w:r w:rsidR="00F74892">
        <w:rPr>
          <w:rFonts w:eastAsia="SimSun"/>
        </w:rPr>
        <w:t xml:space="preserve">their inclusion </w:t>
      </w:r>
      <w:r>
        <w:rPr>
          <w:rFonts w:eastAsia="SimSun"/>
        </w:rPr>
        <w:t>in PSE’s electric decoupling mechanism</w:t>
      </w:r>
      <w:r w:rsidR="0044097A">
        <w:rPr>
          <w:rFonts w:eastAsia="SimSun"/>
        </w:rPr>
        <w:t xml:space="preserve"> when originally proposed</w:t>
      </w:r>
      <w:r w:rsidR="00CB52AF" w:rsidRPr="009075DC">
        <w:rPr>
          <w:rFonts w:eastAsia="SimSun"/>
        </w:rPr>
        <w:t>.</w:t>
      </w:r>
      <w:r>
        <w:rPr>
          <w:rFonts w:eastAsia="SimSun"/>
        </w:rPr>
        <w:t xml:space="preserve">  </w:t>
      </w:r>
      <w:r w:rsidR="00F74892">
        <w:rPr>
          <w:rFonts w:eastAsia="SimSun"/>
        </w:rPr>
        <w:t>T</w:t>
      </w:r>
      <w:r>
        <w:rPr>
          <w:rFonts w:eastAsia="SimSun"/>
        </w:rPr>
        <w:t xml:space="preserve">hey were unwilling to discuss the potential for separate rate group treatment at a time when other customer groups proposed and were granted such treatment (e.g., for customers served under Schedules 26 and 31).  The </w:t>
      </w:r>
      <w:r w:rsidR="00336842">
        <w:rPr>
          <w:rFonts w:eastAsia="SimSun"/>
        </w:rPr>
        <w:t xml:space="preserve">unfortunate </w:t>
      </w:r>
      <w:r>
        <w:rPr>
          <w:rFonts w:eastAsia="SimSun"/>
        </w:rPr>
        <w:t>outcome was that very large electric customers were combined into a single rate group with the smallest non-residential customers.  Given the very significant operational and usage characteristic</w:t>
      </w:r>
      <w:r w:rsidR="00336842">
        <w:rPr>
          <w:rFonts w:eastAsia="SimSun"/>
        </w:rPr>
        <w:t xml:space="preserve"> difference</w:t>
      </w:r>
      <w:r>
        <w:rPr>
          <w:rFonts w:eastAsia="SimSun"/>
        </w:rPr>
        <w:t xml:space="preserve">s of PSE’s largest and smallest non-residential customer groups, it is apparent that these groups, at a minimum, should be disaggregated.  </w:t>
      </w:r>
    </w:p>
    <w:p w:rsidR="00550EF4" w:rsidRDefault="00550EF4" w:rsidP="00550EF4">
      <w:pPr>
        <w:pStyle w:val="answer"/>
        <w:widowControl w:val="0"/>
        <w:ind w:firstLine="0"/>
        <w:rPr>
          <w:rFonts w:eastAsia="SimSun"/>
        </w:rPr>
      </w:pPr>
      <w:r>
        <w:rPr>
          <w:rFonts w:eastAsia="SimSun"/>
        </w:rPr>
        <w:t xml:space="preserve">Second, even among the smaller non-commercial customer groups, those that are </w:t>
      </w:r>
      <w:r>
        <w:rPr>
          <w:rFonts w:eastAsia="SimSun"/>
        </w:rPr>
        <w:lastRenderedPageBreak/>
        <w:t xml:space="preserve">served under PSE’s small commercial electric and gas rate schedules, </w:t>
      </w:r>
      <w:r w:rsidR="00336842">
        <w:rPr>
          <w:rFonts w:eastAsia="SimSun"/>
        </w:rPr>
        <w:t xml:space="preserve">electric </w:t>
      </w:r>
      <w:r>
        <w:rPr>
          <w:rFonts w:eastAsia="SimSun"/>
        </w:rPr>
        <w:t xml:space="preserve">Schedule 24 and </w:t>
      </w:r>
      <w:r w:rsidR="00336842">
        <w:rPr>
          <w:rFonts w:eastAsia="SimSun"/>
        </w:rPr>
        <w:t xml:space="preserve">gas Schedule </w:t>
      </w:r>
      <w:r>
        <w:rPr>
          <w:rFonts w:eastAsia="SimSun"/>
        </w:rPr>
        <w:t xml:space="preserve">31, respectively, tend to dominate the results for the rest of the customers in their decoupling rate groups.  For that reason, </w:t>
      </w:r>
      <w:r w:rsidR="00C07B3D">
        <w:rPr>
          <w:rFonts w:eastAsia="SimSun"/>
        </w:rPr>
        <w:t>and the fact that the sheer size of these customer groups is large enough to justify a separate decoupling rate group, these two small commercial classes could reasonably be separated from other non-residential customers in the decoupling rate groups.</w:t>
      </w:r>
    </w:p>
    <w:p w:rsidR="00F74892" w:rsidRPr="00F233B1" w:rsidRDefault="00F74892" w:rsidP="00F74892">
      <w:pPr>
        <w:pStyle w:val="answer"/>
        <w:widowControl w:val="0"/>
        <w:rPr>
          <w:rFonts w:eastAsia="SimSun"/>
          <w:b/>
        </w:rPr>
      </w:pPr>
      <w:r w:rsidRPr="00F233B1">
        <w:rPr>
          <w:rFonts w:eastAsia="SimSun"/>
          <w:b/>
        </w:rPr>
        <w:t>Q.</w:t>
      </w:r>
      <w:r w:rsidRPr="00F233B1">
        <w:rPr>
          <w:rFonts w:eastAsia="SimSun"/>
          <w:b/>
        </w:rPr>
        <w:tab/>
        <w:t>Do you have any analysis to support the rearrangement of the decoupling rate groups?</w:t>
      </w:r>
    </w:p>
    <w:p w:rsidR="00F233B1" w:rsidRDefault="00F74892" w:rsidP="00F74892">
      <w:pPr>
        <w:pStyle w:val="answer"/>
        <w:widowControl w:val="0"/>
        <w:rPr>
          <w:rFonts w:eastAsia="SimSun"/>
        </w:rPr>
      </w:pPr>
      <w:r>
        <w:rPr>
          <w:rFonts w:eastAsia="SimSun"/>
        </w:rPr>
        <w:t>A.</w:t>
      </w:r>
      <w:r>
        <w:rPr>
          <w:rFonts w:eastAsia="SimSun"/>
        </w:rPr>
        <w:tab/>
      </w:r>
      <w:r w:rsidR="00F233B1">
        <w:rPr>
          <w:rFonts w:eastAsia="SimSun"/>
        </w:rPr>
        <w:t xml:space="preserve">Yes, this is provided below in </w:t>
      </w:r>
      <w:r w:rsidR="00F233B1">
        <w:rPr>
          <w:rFonts w:eastAsia="SimSun"/>
        </w:rPr>
        <w:fldChar w:fldCharType="begin"/>
      </w:r>
      <w:r w:rsidR="00F233B1">
        <w:rPr>
          <w:rFonts w:eastAsia="SimSun"/>
        </w:rPr>
        <w:instrText xml:space="preserve"> REF _Ref445373757 \h </w:instrText>
      </w:r>
      <w:r w:rsidR="00F233B1">
        <w:rPr>
          <w:rFonts w:eastAsia="SimSun"/>
        </w:rPr>
      </w:r>
      <w:r w:rsidR="00F233B1">
        <w:rPr>
          <w:rFonts w:eastAsia="SimSun"/>
        </w:rPr>
        <w:fldChar w:fldCharType="separate"/>
      </w:r>
      <w:r w:rsidR="0035666C" w:rsidRPr="00F233B1">
        <w:rPr>
          <w:szCs w:val="24"/>
        </w:rPr>
        <w:t xml:space="preserve">Table </w:t>
      </w:r>
      <w:r w:rsidR="0035666C">
        <w:rPr>
          <w:noProof/>
          <w:szCs w:val="24"/>
        </w:rPr>
        <w:t>13</w:t>
      </w:r>
      <w:r w:rsidR="00F233B1">
        <w:rPr>
          <w:rFonts w:eastAsia="SimSun"/>
        </w:rPr>
        <w:fldChar w:fldCharType="end"/>
      </w:r>
      <w:r w:rsidR="00F233B1">
        <w:rPr>
          <w:rFonts w:eastAsia="SimSun"/>
        </w:rPr>
        <w:t xml:space="preserve">.  </w:t>
      </w:r>
    </w:p>
    <w:p w:rsidR="00F233B1" w:rsidRPr="00F233B1" w:rsidRDefault="00F233B1" w:rsidP="00F233B1">
      <w:pPr>
        <w:pStyle w:val="Caption"/>
        <w:keepNext/>
        <w:jc w:val="center"/>
        <w:rPr>
          <w:sz w:val="24"/>
          <w:szCs w:val="24"/>
        </w:rPr>
      </w:pPr>
      <w:bookmarkStart w:id="173" w:name="_Ref445373757"/>
      <w:r w:rsidRPr="00F233B1">
        <w:rPr>
          <w:sz w:val="24"/>
          <w:szCs w:val="24"/>
        </w:rPr>
        <w:lastRenderedPageBreak/>
        <w:t xml:space="preserve">Table </w:t>
      </w:r>
      <w:r w:rsidRPr="00F233B1">
        <w:rPr>
          <w:sz w:val="24"/>
          <w:szCs w:val="24"/>
        </w:rPr>
        <w:fldChar w:fldCharType="begin"/>
      </w:r>
      <w:r w:rsidRPr="00F233B1">
        <w:rPr>
          <w:sz w:val="24"/>
          <w:szCs w:val="24"/>
        </w:rPr>
        <w:instrText xml:space="preserve"> SEQ Table \* ARABIC </w:instrText>
      </w:r>
      <w:r w:rsidRPr="00F233B1">
        <w:rPr>
          <w:sz w:val="24"/>
          <w:szCs w:val="24"/>
        </w:rPr>
        <w:fldChar w:fldCharType="separate"/>
      </w:r>
      <w:r w:rsidR="0035666C">
        <w:rPr>
          <w:noProof/>
          <w:sz w:val="24"/>
          <w:szCs w:val="24"/>
        </w:rPr>
        <w:t>13</w:t>
      </w:r>
      <w:r w:rsidRPr="00F233B1">
        <w:rPr>
          <w:sz w:val="24"/>
          <w:szCs w:val="24"/>
        </w:rPr>
        <w:fldChar w:fldCharType="end"/>
      </w:r>
      <w:bookmarkEnd w:id="173"/>
      <w:r w:rsidRPr="00F233B1">
        <w:rPr>
          <w:sz w:val="24"/>
          <w:szCs w:val="24"/>
        </w:rPr>
        <w:t xml:space="preserve"> – Change in Use Per Customer </w:t>
      </w:r>
      <w:r w:rsidR="00DF5C77">
        <w:rPr>
          <w:sz w:val="24"/>
          <w:szCs w:val="24"/>
        </w:rPr>
        <w:t>by Rate Schedule from ERF Test Year Levels</w:t>
      </w:r>
    </w:p>
    <w:p w:rsidR="00F233B1" w:rsidRDefault="00DF5C77" w:rsidP="00DF5C77">
      <w:pPr>
        <w:pStyle w:val="answer"/>
        <w:widowControl w:val="0"/>
        <w:ind w:firstLine="0"/>
        <w:jc w:val="center"/>
        <w:rPr>
          <w:rFonts w:eastAsia="SimSun"/>
        </w:rPr>
      </w:pPr>
      <w:r w:rsidRPr="00DF5C77">
        <w:rPr>
          <w:rFonts w:eastAsia="SimSun"/>
          <w:noProof/>
          <w:lang w:eastAsia="en-US"/>
        </w:rPr>
        <w:drawing>
          <wp:inline distT="0" distB="0" distL="0" distR="0" wp14:anchorId="75A31006" wp14:editId="0BAAAE85">
            <wp:extent cx="5115251" cy="52673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8944" cy="5271128"/>
                    </a:xfrm>
                    <a:prstGeom prst="rect">
                      <a:avLst/>
                    </a:prstGeom>
                    <a:noFill/>
                    <a:ln>
                      <a:noFill/>
                    </a:ln>
                  </pic:spPr>
                </pic:pic>
              </a:graphicData>
            </a:graphic>
          </wp:inline>
        </w:drawing>
      </w:r>
    </w:p>
    <w:p w:rsidR="00F233B1" w:rsidRPr="00F233B1" w:rsidRDefault="00F233B1" w:rsidP="00F233B1">
      <w:pPr>
        <w:pStyle w:val="answer"/>
        <w:widowControl w:val="0"/>
        <w:rPr>
          <w:rFonts w:eastAsia="SimSun"/>
          <w:b/>
        </w:rPr>
      </w:pPr>
      <w:r w:rsidRPr="00F233B1">
        <w:rPr>
          <w:rFonts w:eastAsia="SimSun"/>
          <w:b/>
        </w:rPr>
        <w:t>Q.</w:t>
      </w:r>
      <w:r w:rsidRPr="00F233B1">
        <w:rPr>
          <w:rFonts w:eastAsia="SimSun"/>
          <w:b/>
        </w:rPr>
        <w:tab/>
      </w:r>
      <w:r>
        <w:rPr>
          <w:rFonts w:eastAsia="SimSun"/>
          <w:b/>
        </w:rPr>
        <w:t xml:space="preserve">What do the results in </w:t>
      </w:r>
      <w:r w:rsidR="008A70F5" w:rsidRPr="008A70F5">
        <w:rPr>
          <w:rFonts w:eastAsia="SimSun"/>
          <w:b/>
        </w:rPr>
        <w:fldChar w:fldCharType="begin"/>
      </w:r>
      <w:r w:rsidR="008A70F5" w:rsidRPr="008A70F5">
        <w:rPr>
          <w:rFonts w:eastAsia="SimSun"/>
          <w:b/>
        </w:rPr>
        <w:instrText xml:space="preserve"> REF _Ref445373757 \h  \* MERGEFORMAT </w:instrText>
      </w:r>
      <w:r w:rsidR="008A70F5" w:rsidRPr="008A70F5">
        <w:rPr>
          <w:rFonts w:eastAsia="SimSun"/>
          <w:b/>
        </w:rPr>
      </w:r>
      <w:r w:rsidR="008A70F5" w:rsidRPr="008A70F5">
        <w:rPr>
          <w:rFonts w:eastAsia="SimSun"/>
          <w:b/>
        </w:rPr>
        <w:fldChar w:fldCharType="separate"/>
      </w:r>
      <w:r w:rsidR="0035666C" w:rsidRPr="0035666C">
        <w:rPr>
          <w:b/>
          <w:szCs w:val="24"/>
        </w:rPr>
        <w:t xml:space="preserve">Table </w:t>
      </w:r>
      <w:r w:rsidR="0035666C" w:rsidRPr="0035666C">
        <w:rPr>
          <w:b/>
          <w:noProof/>
          <w:szCs w:val="24"/>
        </w:rPr>
        <w:t>13</w:t>
      </w:r>
      <w:r w:rsidR="008A70F5" w:rsidRPr="008A70F5">
        <w:rPr>
          <w:rFonts w:eastAsia="SimSun"/>
          <w:b/>
        </w:rPr>
        <w:fldChar w:fldCharType="end"/>
      </w:r>
      <w:r w:rsidR="008A70F5">
        <w:rPr>
          <w:rFonts w:eastAsia="SimSun"/>
          <w:b/>
        </w:rPr>
        <w:t xml:space="preserve"> </w:t>
      </w:r>
      <w:r>
        <w:rPr>
          <w:rFonts w:eastAsia="SimSun"/>
          <w:b/>
        </w:rPr>
        <w:t>show</w:t>
      </w:r>
      <w:r w:rsidRPr="00F233B1">
        <w:rPr>
          <w:rFonts w:eastAsia="SimSun"/>
          <w:b/>
        </w:rPr>
        <w:t>?</w:t>
      </w:r>
    </w:p>
    <w:p w:rsidR="008A70F5" w:rsidRDefault="00F233B1" w:rsidP="008A70F5">
      <w:pPr>
        <w:pStyle w:val="answer"/>
        <w:widowControl w:val="0"/>
        <w:rPr>
          <w:rFonts w:eastAsia="SimSun"/>
        </w:rPr>
      </w:pPr>
      <w:r>
        <w:rPr>
          <w:rFonts w:eastAsia="SimSun"/>
        </w:rPr>
        <w:t>A.</w:t>
      </w:r>
      <w:r>
        <w:rPr>
          <w:rFonts w:eastAsia="SimSun"/>
        </w:rPr>
        <w:tab/>
      </w:r>
      <w:r w:rsidR="008A70F5">
        <w:rPr>
          <w:rFonts w:eastAsia="SimSun"/>
        </w:rPr>
        <w:t xml:space="preserve">Note that the need for decoupling is largely driven by </w:t>
      </w:r>
      <w:r w:rsidR="00336842">
        <w:rPr>
          <w:rFonts w:eastAsia="SimSun"/>
        </w:rPr>
        <w:t xml:space="preserve">changes </w:t>
      </w:r>
      <w:r w:rsidR="008A70F5">
        <w:rPr>
          <w:rFonts w:eastAsia="SimSun"/>
        </w:rPr>
        <w:t xml:space="preserve">in use per customer </w:t>
      </w:r>
      <w:r w:rsidR="00476A1F">
        <w:rPr>
          <w:rFonts w:eastAsia="SimSun"/>
        </w:rPr>
        <w:t xml:space="preserve">from test year levels </w:t>
      </w:r>
      <w:r w:rsidR="008A70F5">
        <w:rPr>
          <w:rFonts w:eastAsia="SimSun"/>
        </w:rPr>
        <w:t xml:space="preserve">and, as noted earlier, it is appropriate to group customers with relatively similar use per customer to mitigate potential cost shifting.  </w:t>
      </w:r>
      <w:r w:rsidR="008A70F5">
        <w:rPr>
          <w:rFonts w:eastAsia="SimSun"/>
        </w:rPr>
        <w:fldChar w:fldCharType="begin"/>
      </w:r>
      <w:r w:rsidR="008A70F5">
        <w:rPr>
          <w:rFonts w:eastAsia="SimSun"/>
        </w:rPr>
        <w:instrText xml:space="preserve"> REF _Ref445373757 \h </w:instrText>
      </w:r>
      <w:r w:rsidR="008A70F5">
        <w:rPr>
          <w:rFonts w:eastAsia="SimSun"/>
        </w:rPr>
      </w:r>
      <w:r w:rsidR="008A70F5">
        <w:rPr>
          <w:rFonts w:eastAsia="SimSun"/>
        </w:rPr>
        <w:fldChar w:fldCharType="separate"/>
      </w:r>
      <w:r w:rsidR="0035666C" w:rsidRPr="00F233B1">
        <w:rPr>
          <w:szCs w:val="24"/>
        </w:rPr>
        <w:t xml:space="preserve">Table </w:t>
      </w:r>
      <w:r w:rsidR="0035666C">
        <w:rPr>
          <w:noProof/>
          <w:szCs w:val="24"/>
        </w:rPr>
        <w:t>13</w:t>
      </w:r>
      <w:r w:rsidR="008A70F5">
        <w:rPr>
          <w:rFonts w:eastAsia="SimSun"/>
        </w:rPr>
        <w:fldChar w:fldCharType="end"/>
      </w:r>
      <w:r w:rsidR="008A70F5">
        <w:rPr>
          <w:rFonts w:eastAsia="SimSun"/>
        </w:rPr>
        <w:t xml:space="preserve"> details the change in actual annual use per customer for the years ending June 2014</w:t>
      </w:r>
      <w:r w:rsidR="00476A1F">
        <w:rPr>
          <w:rFonts w:eastAsia="SimSun"/>
        </w:rPr>
        <w:t>,</w:t>
      </w:r>
      <w:r w:rsidR="008A70F5">
        <w:rPr>
          <w:rFonts w:eastAsia="SimSun"/>
        </w:rPr>
        <w:t xml:space="preserve"> 2015</w:t>
      </w:r>
      <w:r w:rsidR="00476A1F">
        <w:rPr>
          <w:rFonts w:eastAsia="SimSun"/>
        </w:rPr>
        <w:t xml:space="preserve"> and 2016</w:t>
      </w:r>
      <w:r w:rsidR="008A70F5">
        <w:rPr>
          <w:rFonts w:eastAsia="SimSun"/>
        </w:rPr>
        <w:t xml:space="preserve"> compared to the ERF test year</w:t>
      </w:r>
      <w:r w:rsidR="00336842">
        <w:rPr>
          <w:rFonts w:eastAsia="SimSun"/>
        </w:rPr>
        <w:t xml:space="preserve"> that set the baseline for the </w:t>
      </w:r>
      <w:r w:rsidR="00336842">
        <w:rPr>
          <w:rFonts w:eastAsia="SimSun"/>
        </w:rPr>
        <w:lastRenderedPageBreak/>
        <w:t>decoupling mechanisms</w:t>
      </w:r>
      <w:r w:rsidR="008A70F5">
        <w:rPr>
          <w:rFonts w:eastAsia="SimSun"/>
        </w:rPr>
        <w:t xml:space="preserve">.  </w:t>
      </w:r>
    </w:p>
    <w:p w:rsidR="008A70F5" w:rsidRDefault="008A70F5" w:rsidP="008A70F5">
      <w:pPr>
        <w:pStyle w:val="answer"/>
        <w:widowControl w:val="0"/>
        <w:ind w:firstLine="0"/>
        <w:rPr>
          <w:rFonts w:eastAsia="SimSun"/>
        </w:rPr>
      </w:pPr>
      <w:r>
        <w:rPr>
          <w:rFonts w:eastAsia="SimSun"/>
        </w:rPr>
        <w:t>For electric non-residential customers, actual use per customer for Schedules 8</w:t>
      </w:r>
      <w:r w:rsidR="007B330C">
        <w:rPr>
          <w:rFonts w:eastAsia="SimSun"/>
        </w:rPr>
        <w:t>,</w:t>
      </w:r>
      <w:r>
        <w:rPr>
          <w:rFonts w:eastAsia="SimSun"/>
        </w:rPr>
        <w:t xml:space="preserve"> 24</w:t>
      </w:r>
      <w:r w:rsidR="007B330C">
        <w:rPr>
          <w:rFonts w:eastAsia="SimSun"/>
        </w:rPr>
        <w:t>, 29 and 35</w:t>
      </w:r>
      <w:r>
        <w:rPr>
          <w:rFonts w:eastAsia="SimSun"/>
        </w:rPr>
        <w:t xml:space="preserve"> have actually risen slightly from test year levels</w:t>
      </w:r>
      <w:r w:rsidR="007B330C">
        <w:rPr>
          <w:rFonts w:eastAsia="SimSun"/>
        </w:rPr>
        <w:t>.  Actual use per customer for Schedules 11 and 25 has been relatively close to test year levels with usage in the first year slightly over test year levels and usage during the next two years slightly below test year levels.  Lastly, actual use per customer for Schedule 43 has been below test year levels,</w:t>
      </w:r>
      <w:r>
        <w:rPr>
          <w:rFonts w:eastAsia="SimSun"/>
        </w:rPr>
        <w:t xml:space="preserve"> while use per customer for Schedules 40, 46 and 49 has declined significantly.  The results from the last t</w:t>
      </w:r>
      <w:r w:rsidR="007B330C">
        <w:rPr>
          <w:rFonts w:eastAsia="SimSun"/>
        </w:rPr>
        <w:t>hree</w:t>
      </w:r>
      <w:r>
        <w:rPr>
          <w:rFonts w:eastAsia="SimSun"/>
        </w:rPr>
        <w:t xml:space="preserve"> years support the argument that, not only should they remain in the decoupling mechanism, customers served under Schedules 40, 46 and 49 should be in their own rate group to reduce cost shifting to other customer groups.  </w:t>
      </w:r>
    </w:p>
    <w:p w:rsidR="00F233B1" w:rsidRDefault="008A70F5" w:rsidP="008A70F5">
      <w:pPr>
        <w:pStyle w:val="answer"/>
        <w:widowControl w:val="0"/>
        <w:ind w:firstLine="0"/>
        <w:rPr>
          <w:rFonts w:eastAsia="SimSun"/>
        </w:rPr>
      </w:pPr>
      <w:r>
        <w:rPr>
          <w:rFonts w:eastAsia="SimSun"/>
        </w:rPr>
        <w:t>For gas non-residential customers, actual use per customer for Schedules 41and 86T was</w:t>
      </w:r>
      <w:r w:rsidR="007B330C">
        <w:rPr>
          <w:rFonts w:eastAsia="SimSun"/>
        </w:rPr>
        <w:t xml:space="preserve"> significantly</w:t>
      </w:r>
      <w:r>
        <w:rPr>
          <w:rFonts w:eastAsia="SimSun"/>
        </w:rPr>
        <w:t xml:space="preserve"> higher than test year levels for the first </w:t>
      </w:r>
      <w:r w:rsidR="007B330C">
        <w:rPr>
          <w:rFonts w:eastAsia="SimSun"/>
        </w:rPr>
        <w:t>three</w:t>
      </w:r>
      <w:r>
        <w:rPr>
          <w:rFonts w:eastAsia="SimSun"/>
        </w:rPr>
        <w:t xml:space="preserve"> years of the decoupling mechanism.  For Schedule 31, use per customer was higher for the first year but lower than test year levels for the </w:t>
      </w:r>
      <w:r w:rsidR="007B330C">
        <w:rPr>
          <w:rFonts w:eastAsia="SimSun"/>
        </w:rPr>
        <w:t>next two years</w:t>
      </w:r>
      <w:r>
        <w:rPr>
          <w:rFonts w:eastAsia="SimSun"/>
        </w:rPr>
        <w:t xml:space="preserve">.  </w:t>
      </w:r>
      <w:r w:rsidR="007B330C">
        <w:rPr>
          <w:rFonts w:eastAsia="SimSun"/>
        </w:rPr>
        <w:t xml:space="preserve">For Schedule 41T, use per customer has been relatively close to test year levels with slightly lower use in the first two years and slightly higher in the last year.  Actual use per customer for Schedule 86 has been significantly lower than test year levels.  </w:t>
      </w:r>
      <w:r>
        <w:rPr>
          <w:rFonts w:eastAsia="SimSun"/>
        </w:rPr>
        <w:t>As discussed above, since Schedules 31 and 31T tend to dominate the results in the current non-residential gas decoupling group, the use per customer results indicate that putting these schedules into their own rate group would help minimize potential cost shifting.</w:t>
      </w:r>
      <w:r w:rsidR="00F233B1">
        <w:rPr>
          <w:rFonts w:eastAsia="SimSun"/>
        </w:rPr>
        <w:t xml:space="preserve">  </w:t>
      </w:r>
    </w:p>
    <w:p w:rsidR="00BA4435" w:rsidRPr="008A70F5" w:rsidRDefault="00F74892" w:rsidP="009B5733">
      <w:pPr>
        <w:pStyle w:val="Heading3"/>
        <w:rPr>
          <w:rFonts w:eastAsia="SimSun"/>
        </w:rPr>
      </w:pPr>
      <w:r w:rsidRPr="009B5733">
        <w:rPr>
          <w:rFonts w:eastAsia="SimSun"/>
          <w:u w:val="none"/>
        </w:rPr>
        <w:lastRenderedPageBreak/>
        <w:tab/>
      </w:r>
      <w:bookmarkStart w:id="174" w:name="_Toc471912979"/>
      <w:r w:rsidR="00DD68D1" w:rsidRPr="009B5733">
        <w:rPr>
          <w:rFonts w:eastAsia="SimSun"/>
          <w:u w:val="none"/>
        </w:rPr>
        <w:t>4</w:t>
      </w:r>
      <w:r w:rsidR="00BA4435" w:rsidRPr="009B5733">
        <w:rPr>
          <w:rFonts w:eastAsia="SimSun"/>
          <w:u w:val="none"/>
        </w:rPr>
        <w:t>.</w:t>
      </w:r>
      <w:r w:rsidR="00BA4435" w:rsidRPr="009B5733">
        <w:rPr>
          <w:rFonts w:eastAsia="SimSun"/>
          <w:u w:val="none"/>
        </w:rPr>
        <w:tab/>
      </w:r>
      <w:r w:rsidR="00BA4435" w:rsidRPr="008A70F5">
        <w:rPr>
          <w:rFonts w:eastAsia="SimSun"/>
        </w:rPr>
        <w:t>Third Party Review of Decoupling Mechanisms</w:t>
      </w:r>
      <w:bookmarkEnd w:id="174"/>
    </w:p>
    <w:p w:rsidR="00B0164A" w:rsidRPr="009075DC" w:rsidRDefault="00B0164A" w:rsidP="00B0164A">
      <w:pPr>
        <w:pStyle w:val="question"/>
        <w:widowControl w:val="0"/>
        <w:rPr>
          <w:rFonts w:eastAsia="SimSun"/>
        </w:rPr>
      </w:pPr>
      <w:r w:rsidRPr="009075DC">
        <w:rPr>
          <w:rFonts w:eastAsia="SimSun"/>
        </w:rPr>
        <w:t>Q.</w:t>
      </w:r>
      <w:r w:rsidRPr="009075DC">
        <w:rPr>
          <w:rFonts w:eastAsia="SimSun"/>
        </w:rPr>
        <w:tab/>
      </w:r>
      <w:r w:rsidR="00C07B3D">
        <w:rPr>
          <w:rFonts w:eastAsia="SimSun"/>
        </w:rPr>
        <w:t xml:space="preserve">Were there any other lessons learned as a result of </w:t>
      </w:r>
      <w:r w:rsidR="00D82F5E">
        <w:rPr>
          <w:rFonts w:eastAsia="SimSun"/>
        </w:rPr>
        <w:t>PSE</w:t>
      </w:r>
      <w:r w:rsidR="00C07B3D">
        <w:rPr>
          <w:rFonts w:eastAsia="SimSun"/>
        </w:rPr>
        <w:t xml:space="preserve">’s </w:t>
      </w:r>
      <w:r w:rsidR="00D82F5E">
        <w:rPr>
          <w:rFonts w:eastAsia="SimSun"/>
        </w:rPr>
        <w:t xml:space="preserve">obligation to have a </w:t>
      </w:r>
      <w:r w:rsidR="00461E19">
        <w:rPr>
          <w:rFonts w:eastAsia="SimSun"/>
        </w:rPr>
        <w:t>third-party</w:t>
      </w:r>
      <w:r w:rsidR="00D82F5E">
        <w:rPr>
          <w:rFonts w:eastAsia="SimSun"/>
        </w:rPr>
        <w:t xml:space="preserve"> review of its decoupling mechanisms</w:t>
      </w:r>
      <w:r>
        <w:rPr>
          <w:rFonts w:eastAsia="SimSun"/>
        </w:rPr>
        <w:t>?</w:t>
      </w:r>
    </w:p>
    <w:p w:rsidR="00B0164A" w:rsidRDefault="00B0164A" w:rsidP="00B0164A">
      <w:pPr>
        <w:pStyle w:val="answer"/>
        <w:widowControl w:val="0"/>
        <w:rPr>
          <w:rFonts w:eastAsia="SimSun"/>
        </w:rPr>
      </w:pPr>
      <w:r w:rsidRPr="009075DC">
        <w:rPr>
          <w:rFonts w:eastAsia="SimSun"/>
        </w:rPr>
        <w:t>A.</w:t>
      </w:r>
      <w:r w:rsidRPr="009075DC">
        <w:rPr>
          <w:rFonts w:eastAsia="SimSun"/>
        </w:rPr>
        <w:tab/>
      </w:r>
      <w:r w:rsidR="00D82F5E">
        <w:rPr>
          <w:rFonts w:eastAsia="SimSun"/>
        </w:rPr>
        <w:t>Yes, a copy of this report is provided in Exhibit No.___(JAP-</w:t>
      </w:r>
      <w:r w:rsidR="00D82F5E">
        <w:rPr>
          <w:rFonts w:eastAsia="SimSun"/>
        </w:rPr>
        <w:fldChar w:fldCharType="begin"/>
      </w:r>
      <w:r w:rsidR="00D82F5E">
        <w:rPr>
          <w:rFonts w:eastAsia="SimSun"/>
        </w:rPr>
        <w:instrText xml:space="preserve"> REF _Ref441848050 \r \h </w:instrText>
      </w:r>
      <w:r w:rsidR="00D82F5E">
        <w:rPr>
          <w:rFonts w:eastAsia="SimSun"/>
        </w:rPr>
      </w:r>
      <w:r w:rsidR="00D82F5E">
        <w:rPr>
          <w:rFonts w:eastAsia="SimSun"/>
        </w:rPr>
        <w:fldChar w:fldCharType="separate"/>
      </w:r>
      <w:r w:rsidR="0035666C">
        <w:rPr>
          <w:rFonts w:eastAsia="SimSun"/>
        </w:rPr>
        <w:t>29</w:t>
      </w:r>
      <w:r w:rsidR="00D82F5E">
        <w:rPr>
          <w:rFonts w:eastAsia="SimSun"/>
        </w:rPr>
        <w:fldChar w:fldCharType="end"/>
      </w:r>
      <w:r w:rsidR="00D82F5E">
        <w:rPr>
          <w:rFonts w:eastAsia="SimSun"/>
        </w:rPr>
        <w:t>)</w:t>
      </w:r>
      <w:r w:rsidRPr="009075DC">
        <w:rPr>
          <w:rFonts w:eastAsia="SimSun"/>
        </w:rPr>
        <w:t>.</w:t>
      </w:r>
      <w:r w:rsidR="00D82F5E">
        <w:rPr>
          <w:rFonts w:eastAsia="SimSun"/>
        </w:rPr>
        <w:t xml:space="preserve">  The lead author was H. Gil Peach &amp; Associates LLC, with assistance from Forefront Economics, Inc. and Joseph Associates, Inc.</w:t>
      </w:r>
      <w:r w:rsidR="00864D19">
        <w:rPr>
          <w:rFonts w:eastAsia="SimSun"/>
        </w:rPr>
        <w:t xml:space="preserve">  Hereafter this will be referred to as the Gil Peach Report.</w:t>
      </w:r>
    </w:p>
    <w:p w:rsidR="00CC216D" w:rsidRPr="009075DC" w:rsidRDefault="00CC216D" w:rsidP="00CC216D">
      <w:pPr>
        <w:pStyle w:val="question"/>
        <w:widowControl w:val="0"/>
        <w:rPr>
          <w:rFonts w:eastAsia="SimSun"/>
        </w:rPr>
      </w:pPr>
      <w:r w:rsidRPr="009075DC">
        <w:rPr>
          <w:rFonts w:eastAsia="SimSun"/>
        </w:rPr>
        <w:t>Q.</w:t>
      </w:r>
      <w:r w:rsidRPr="009075DC">
        <w:rPr>
          <w:rFonts w:eastAsia="SimSun"/>
        </w:rPr>
        <w:tab/>
      </w:r>
      <w:r>
        <w:rPr>
          <w:rFonts w:eastAsia="SimSun"/>
        </w:rPr>
        <w:t>What period was covered by this report?</w:t>
      </w:r>
    </w:p>
    <w:p w:rsidR="00CC216D" w:rsidRDefault="00CC216D" w:rsidP="00CC216D">
      <w:pPr>
        <w:pStyle w:val="answer"/>
        <w:widowControl w:val="0"/>
        <w:rPr>
          <w:rFonts w:eastAsia="SimSun"/>
        </w:rPr>
      </w:pPr>
      <w:r w:rsidRPr="009075DC">
        <w:rPr>
          <w:rFonts w:eastAsia="SimSun"/>
        </w:rPr>
        <w:t>A.</w:t>
      </w:r>
      <w:r w:rsidRPr="009075DC">
        <w:rPr>
          <w:rFonts w:eastAsia="SimSun"/>
        </w:rPr>
        <w:tab/>
      </w:r>
      <w:r>
        <w:rPr>
          <w:rFonts w:eastAsia="SimSun"/>
        </w:rPr>
        <w:t>The Gil Peach Report covered the t</w:t>
      </w:r>
      <w:r w:rsidR="00336842">
        <w:rPr>
          <w:rFonts w:eastAsia="SimSun"/>
        </w:rPr>
        <w:t>hree</w:t>
      </w:r>
      <w:r>
        <w:rPr>
          <w:rFonts w:eastAsia="SimSun"/>
        </w:rPr>
        <w:t>-year period between July 1, 2013, when the mechanisms were originally approved, and June 30, 201</w:t>
      </w:r>
      <w:r w:rsidR="00336842">
        <w:rPr>
          <w:rFonts w:eastAsia="SimSun"/>
        </w:rPr>
        <w:t>6</w:t>
      </w:r>
      <w:r w:rsidRPr="009075DC">
        <w:rPr>
          <w:rFonts w:eastAsia="SimSun"/>
        </w:rPr>
        <w:t>.</w:t>
      </w:r>
      <w:r w:rsidR="00336842">
        <w:rPr>
          <w:rStyle w:val="FootnoteReference"/>
          <w:rFonts w:eastAsia="SimSun"/>
        </w:rPr>
        <w:footnoteReference w:id="44"/>
      </w:r>
    </w:p>
    <w:p w:rsidR="00864D19" w:rsidRDefault="00864D19" w:rsidP="00B0164A">
      <w:pPr>
        <w:pStyle w:val="question"/>
        <w:widowControl w:val="0"/>
        <w:rPr>
          <w:rFonts w:eastAsia="SimSun"/>
        </w:rPr>
      </w:pPr>
      <w:r>
        <w:rPr>
          <w:rFonts w:eastAsia="SimSun"/>
        </w:rPr>
        <w:t>Q.</w:t>
      </w:r>
      <w:r>
        <w:rPr>
          <w:rFonts w:eastAsia="SimSun"/>
        </w:rPr>
        <w:tab/>
        <w:t>What issues did the Gil Peach Report address?</w:t>
      </w:r>
    </w:p>
    <w:p w:rsidR="00864D19" w:rsidRDefault="00864D19" w:rsidP="00B0164A">
      <w:pPr>
        <w:pStyle w:val="question"/>
        <w:widowControl w:val="0"/>
        <w:rPr>
          <w:rFonts w:eastAsia="SimSun"/>
          <w:b w:val="0"/>
        </w:rPr>
      </w:pPr>
      <w:r w:rsidRPr="00864D19">
        <w:rPr>
          <w:rFonts w:eastAsia="SimSun"/>
          <w:b w:val="0"/>
        </w:rPr>
        <w:t>A.</w:t>
      </w:r>
      <w:r w:rsidRPr="00864D19">
        <w:rPr>
          <w:rFonts w:eastAsia="SimSun"/>
          <w:b w:val="0"/>
        </w:rPr>
        <w:tab/>
        <w:t xml:space="preserve">The </w:t>
      </w:r>
      <w:r>
        <w:rPr>
          <w:rFonts w:eastAsia="SimSun"/>
          <w:b w:val="0"/>
        </w:rPr>
        <w:t>Gil Peach Report addressed the following s</w:t>
      </w:r>
      <w:r w:rsidR="005A662D">
        <w:rPr>
          <w:rFonts w:eastAsia="SimSun"/>
          <w:b w:val="0"/>
        </w:rPr>
        <w:t>even</w:t>
      </w:r>
      <w:r>
        <w:rPr>
          <w:rFonts w:eastAsia="SimSun"/>
          <w:b w:val="0"/>
        </w:rPr>
        <w:t xml:space="preserve"> basic issues:</w:t>
      </w:r>
    </w:p>
    <w:p w:rsidR="00864D19" w:rsidRDefault="00864D19" w:rsidP="00756AAC">
      <w:pPr>
        <w:pStyle w:val="answer"/>
        <w:numPr>
          <w:ilvl w:val="2"/>
          <w:numId w:val="31"/>
        </w:numPr>
        <w:rPr>
          <w:rFonts w:eastAsia="SimSun"/>
        </w:rPr>
      </w:pPr>
      <w:r>
        <w:rPr>
          <w:rFonts w:eastAsia="SimSun"/>
        </w:rPr>
        <w:t>Were the decoupling deferrals and rates calculated in accordance with the Commission Order?</w:t>
      </w:r>
    </w:p>
    <w:p w:rsidR="00864D19" w:rsidRDefault="00864D19" w:rsidP="00756AAC">
      <w:pPr>
        <w:pStyle w:val="answer"/>
        <w:numPr>
          <w:ilvl w:val="2"/>
          <w:numId w:val="31"/>
        </w:numPr>
        <w:rPr>
          <w:rFonts w:eastAsia="SimSun"/>
        </w:rPr>
      </w:pPr>
      <w:r>
        <w:rPr>
          <w:rFonts w:eastAsia="SimSun"/>
        </w:rPr>
        <w:t>What were the impacts of the decoupling tariff tracker adjustments?</w:t>
      </w:r>
    </w:p>
    <w:p w:rsidR="00864D19" w:rsidRDefault="00864D19" w:rsidP="00756AAC">
      <w:pPr>
        <w:pStyle w:val="answer"/>
        <w:numPr>
          <w:ilvl w:val="2"/>
          <w:numId w:val="31"/>
        </w:numPr>
        <w:rPr>
          <w:rFonts w:eastAsia="SimSun"/>
        </w:rPr>
      </w:pPr>
      <w:r>
        <w:rPr>
          <w:rFonts w:eastAsia="SimSun"/>
        </w:rPr>
        <w:t>What were the impacts of the decoupling mechanisms on low-income residential customers?</w:t>
      </w:r>
    </w:p>
    <w:p w:rsidR="00864D19" w:rsidRDefault="00864D19" w:rsidP="00756AAC">
      <w:pPr>
        <w:pStyle w:val="answer"/>
        <w:numPr>
          <w:ilvl w:val="2"/>
          <w:numId w:val="31"/>
        </w:numPr>
        <w:rPr>
          <w:rFonts w:eastAsia="SimSun"/>
        </w:rPr>
      </w:pPr>
      <w:r>
        <w:rPr>
          <w:rFonts w:eastAsia="SimSun"/>
        </w:rPr>
        <w:lastRenderedPageBreak/>
        <w:t>Were there any conclusive trends in conservation program performance associated with the decoupling mechanisms?</w:t>
      </w:r>
    </w:p>
    <w:p w:rsidR="00864D19" w:rsidRDefault="00864D19" w:rsidP="00756AAC">
      <w:pPr>
        <w:pStyle w:val="answer"/>
        <w:numPr>
          <w:ilvl w:val="2"/>
          <w:numId w:val="31"/>
        </w:numPr>
        <w:rPr>
          <w:rFonts w:eastAsia="SimSun"/>
        </w:rPr>
      </w:pPr>
      <w:r>
        <w:rPr>
          <w:rFonts w:eastAsia="SimSun"/>
        </w:rPr>
        <w:t>Were there any adverse impact</w:t>
      </w:r>
      <w:r w:rsidR="00573849">
        <w:rPr>
          <w:rFonts w:eastAsia="SimSun"/>
        </w:rPr>
        <w:t>s</w:t>
      </w:r>
      <w:r>
        <w:rPr>
          <w:rFonts w:eastAsia="SimSun"/>
        </w:rPr>
        <w:t xml:space="preserve"> associated with decoupling?</w:t>
      </w:r>
    </w:p>
    <w:p w:rsidR="00573849" w:rsidRDefault="00573849" w:rsidP="00756AAC">
      <w:pPr>
        <w:pStyle w:val="answer"/>
        <w:numPr>
          <w:ilvl w:val="2"/>
          <w:numId w:val="31"/>
        </w:numPr>
        <w:rPr>
          <w:rFonts w:eastAsia="SimSun"/>
        </w:rPr>
      </w:pPr>
      <w:r>
        <w:rPr>
          <w:rFonts w:eastAsia="SimSun"/>
        </w:rPr>
        <w:t>Given the growth in deferred revenue for residential natural gas service, when are these likely to be recovered in rates and what are the likely impacts?</w:t>
      </w:r>
    </w:p>
    <w:p w:rsidR="00864D19" w:rsidRPr="00864D19" w:rsidRDefault="00864D19" w:rsidP="00756AAC">
      <w:pPr>
        <w:pStyle w:val="answer"/>
        <w:numPr>
          <w:ilvl w:val="2"/>
          <w:numId w:val="31"/>
        </w:numPr>
        <w:rPr>
          <w:rFonts w:eastAsia="SimSun"/>
        </w:rPr>
      </w:pPr>
      <w:r>
        <w:rPr>
          <w:rFonts w:eastAsia="SimSun"/>
        </w:rPr>
        <w:t>Were there any impacts on the conservation achievement for customers served under electric Schedules 26 and 31?</w:t>
      </w:r>
    </w:p>
    <w:p w:rsidR="00B0164A" w:rsidRPr="009075DC" w:rsidRDefault="00B0164A" w:rsidP="00864D19">
      <w:pPr>
        <w:pStyle w:val="question"/>
        <w:widowControl w:val="0"/>
        <w:rPr>
          <w:rFonts w:eastAsia="SimSun"/>
        </w:rPr>
      </w:pPr>
      <w:r w:rsidRPr="009075DC">
        <w:rPr>
          <w:rFonts w:eastAsia="SimSun"/>
        </w:rPr>
        <w:t>Q.</w:t>
      </w:r>
      <w:r w:rsidRPr="009075DC">
        <w:rPr>
          <w:rFonts w:eastAsia="SimSun"/>
        </w:rPr>
        <w:tab/>
      </w:r>
      <w:r w:rsidR="00864D19">
        <w:rPr>
          <w:rFonts w:eastAsia="SimSun"/>
        </w:rPr>
        <w:t>According to the Gil Peach Report, were PSE’s decoupling deferrals and rates calculated in accordance with Commission Orders</w:t>
      </w:r>
      <w:r>
        <w:rPr>
          <w:rFonts w:eastAsia="SimSun"/>
        </w:rPr>
        <w:t>?</w:t>
      </w:r>
    </w:p>
    <w:p w:rsidR="00B0164A" w:rsidRDefault="00B0164A" w:rsidP="00B0164A">
      <w:pPr>
        <w:pStyle w:val="answer"/>
        <w:widowControl w:val="0"/>
        <w:rPr>
          <w:rFonts w:eastAsia="SimSun"/>
        </w:rPr>
      </w:pPr>
      <w:r w:rsidRPr="009075DC">
        <w:rPr>
          <w:rFonts w:eastAsia="SimSun"/>
        </w:rPr>
        <w:t>A.</w:t>
      </w:r>
      <w:r w:rsidRPr="009075DC">
        <w:rPr>
          <w:rFonts w:eastAsia="SimSun"/>
        </w:rPr>
        <w:tab/>
      </w:r>
      <w:r w:rsidR="00864D19">
        <w:rPr>
          <w:rFonts w:eastAsia="SimSun"/>
        </w:rPr>
        <w:t>Yes.  The Gil Peach Report</w:t>
      </w:r>
      <w:r w:rsidR="00D242CA">
        <w:rPr>
          <w:rFonts w:eastAsia="SimSun"/>
        </w:rPr>
        <w:t xml:space="preserve"> confirms that PSE calculated its decoupling rates and deferrals in accordance with Commission orders</w:t>
      </w:r>
      <w:r w:rsidRPr="009075DC">
        <w:rPr>
          <w:rFonts w:eastAsia="SimSun"/>
        </w:rPr>
        <w:t>.</w:t>
      </w:r>
    </w:p>
    <w:p w:rsidR="00864D19" w:rsidRPr="009075DC" w:rsidRDefault="00864D19" w:rsidP="00864D19">
      <w:pPr>
        <w:pStyle w:val="question"/>
        <w:widowControl w:val="0"/>
        <w:rPr>
          <w:rFonts w:eastAsia="SimSun"/>
        </w:rPr>
      </w:pPr>
      <w:r w:rsidRPr="009075DC">
        <w:rPr>
          <w:rFonts w:eastAsia="SimSun"/>
        </w:rPr>
        <w:t>Q.</w:t>
      </w:r>
      <w:r w:rsidRPr="009075DC">
        <w:rPr>
          <w:rFonts w:eastAsia="SimSun"/>
        </w:rPr>
        <w:tab/>
      </w:r>
      <w:r w:rsidR="00D242CA">
        <w:rPr>
          <w:rFonts w:eastAsia="SimSun"/>
        </w:rPr>
        <w:t>According to the Gil Peach Report, what were the overall impacts of the decoupling tariff tracker adjustments</w:t>
      </w:r>
      <w:r>
        <w:rPr>
          <w:rFonts w:eastAsia="SimSun"/>
        </w:rPr>
        <w:t>?</w:t>
      </w:r>
    </w:p>
    <w:p w:rsidR="00864D19" w:rsidRDefault="00864D19" w:rsidP="00864D19">
      <w:pPr>
        <w:pStyle w:val="answer"/>
        <w:widowControl w:val="0"/>
        <w:rPr>
          <w:rFonts w:eastAsia="SimSun"/>
        </w:rPr>
      </w:pPr>
      <w:r w:rsidRPr="009075DC">
        <w:rPr>
          <w:rFonts w:eastAsia="SimSun"/>
        </w:rPr>
        <w:t>A.</w:t>
      </w:r>
      <w:r w:rsidRPr="009075DC">
        <w:rPr>
          <w:rFonts w:eastAsia="SimSun"/>
        </w:rPr>
        <w:tab/>
      </w:r>
      <w:r w:rsidR="00D242CA">
        <w:rPr>
          <w:rFonts w:eastAsia="SimSun"/>
        </w:rPr>
        <w:t xml:space="preserve">The Gil Peach Report finds that the overall impacts so far have been small for electric customers and </w:t>
      </w:r>
      <w:r w:rsidR="008E005F">
        <w:rPr>
          <w:rFonts w:eastAsia="SimSun"/>
        </w:rPr>
        <w:t xml:space="preserve">most </w:t>
      </w:r>
      <w:r w:rsidR="00D242CA">
        <w:rPr>
          <w:rFonts w:eastAsia="SimSun"/>
        </w:rPr>
        <w:t>natural gas customers</w:t>
      </w:r>
      <w:r w:rsidR="00EA1534">
        <w:rPr>
          <w:rFonts w:eastAsia="SimSun"/>
        </w:rPr>
        <w:t>, with rate increases generally below the three percent cap associated with the Rate Test</w:t>
      </w:r>
      <w:r w:rsidRPr="009075DC">
        <w:rPr>
          <w:rFonts w:eastAsia="SimSun"/>
        </w:rPr>
        <w:t>.</w:t>
      </w:r>
      <w:r w:rsidR="00443445">
        <w:rPr>
          <w:rStyle w:val="FootnoteReference"/>
          <w:rFonts w:eastAsia="SimSun"/>
        </w:rPr>
        <w:footnoteReference w:id="45"/>
      </w:r>
      <w:r w:rsidR="00D242CA">
        <w:rPr>
          <w:rFonts w:eastAsia="SimSun"/>
        </w:rPr>
        <w:t xml:space="preserve">  However, the report note</w:t>
      </w:r>
      <w:r w:rsidR="00EA1534">
        <w:rPr>
          <w:rFonts w:eastAsia="SimSun"/>
        </w:rPr>
        <w:t>s</w:t>
      </w:r>
      <w:r w:rsidR="00D242CA">
        <w:rPr>
          <w:rFonts w:eastAsia="SimSun"/>
        </w:rPr>
        <w:t xml:space="preserve"> that </w:t>
      </w:r>
      <w:r w:rsidR="008E005F">
        <w:rPr>
          <w:rFonts w:eastAsia="SimSun"/>
        </w:rPr>
        <w:t xml:space="preserve">the </w:t>
      </w:r>
      <w:r w:rsidR="00EA1534">
        <w:rPr>
          <w:rFonts w:eastAsia="SimSun"/>
        </w:rPr>
        <w:t xml:space="preserve">three percent </w:t>
      </w:r>
      <w:r w:rsidR="00C83D1D">
        <w:rPr>
          <w:rFonts w:eastAsia="SimSun"/>
        </w:rPr>
        <w:t xml:space="preserve">cap associated with the Rate Test </w:t>
      </w:r>
      <w:r w:rsidR="008E005F">
        <w:rPr>
          <w:rFonts w:eastAsia="SimSun"/>
        </w:rPr>
        <w:t xml:space="preserve">was </w:t>
      </w:r>
      <w:r w:rsidR="00EA1534">
        <w:rPr>
          <w:rFonts w:eastAsia="SimSun"/>
        </w:rPr>
        <w:t xml:space="preserve">exceeded </w:t>
      </w:r>
      <w:r w:rsidR="008E005F">
        <w:rPr>
          <w:rFonts w:eastAsia="SimSun"/>
        </w:rPr>
        <w:t>three times over the three</w:t>
      </w:r>
      <w:r w:rsidR="00EA1534">
        <w:rPr>
          <w:rFonts w:eastAsia="SimSun"/>
        </w:rPr>
        <w:t>-</w:t>
      </w:r>
      <w:r w:rsidR="008E005F">
        <w:rPr>
          <w:rFonts w:eastAsia="SimSun"/>
        </w:rPr>
        <w:t xml:space="preserve">year evaluation, once for electric Schedules 10 &amp; 31 and </w:t>
      </w:r>
      <w:r w:rsidR="008E005F">
        <w:rPr>
          <w:rFonts w:eastAsia="SimSun"/>
        </w:rPr>
        <w:lastRenderedPageBreak/>
        <w:t xml:space="preserve">twice for gas residential </w:t>
      </w:r>
      <w:r w:rsidR="007B330C">
        <w:rPr>
          <w:rFonts w:eastAsia="SimSun"/>
        </w:rPr>
        <w:t>S</w:t>
      </w:r>
      <w:r w:rsidR="008E005F">
        <w:rPr>
          <w:rFonts w:eastAsia="SimSun"/>
        </w:rPr>
        <w:t xml:space="preserve">chedule 23. </w:t>
      </w:r>
      <w:r w:rsidR="00443445">
        <w:rPr>
          <w:rFonts w:eastAsia="SimSun"/>
        </w:rPr>
        <w:t xml:space="preserve"> By limiting the rate increases to three percent for residential customers in these instances</w:t>
      </w:r>
      <w:r w:rsidR="008E005F">
        <w:rPr>
          <w:rFonts w:eastAsia="SimSun"/>
        </w:rPr>
        <w:t>, the deferred balances for gas residential customers ha</w:t>
      </w:r>
      <w:r w:rsidR="00EA1534">
        <w:rPr>
          <w:rFonts w:eastAsia="SimSun"/>
        </w:rPr>
        <w:t>ve</w:t>
      </w:r>
      <w:r w:rsidR="008E005F">
        <w:rPr>
          <w:rFonts w:eastAsia="SimSun"/>
        </w:rPr>
        <w:t xml:space="preserve"> reached </w:t>
      </w:r>
      <w:r w:rsidR="00EA1534">
        <w:rPr>
          <w:rFonts w:eastAsia="SimSun"/>
        </w:rPr>
        <w:t xml:space="preserve">such </w:t>
      </w:r>
      <w:r w:rsidR="008E005F">
        <w:rPr>
          <w:rFonts w:eastAsia="SimSun"/>
        </w:rPr>
        <w:t>a level</w:t>
      </w:r>
      <w:r w:rsidR="00EA1534">
        <w:rPr>
          <w:rFonts w:eastAsia="SimSun"/>
        </w:rPr>
        <w:t>, due to the unusually warm winters experienced over the evaluation period,</w:t>
      </w:r>
      <w:r w:rsidR="008E005F">
        <w:rPr>
          <w:rFonts w:eastAsia="SimSun"/>
        </w:rPr>
        <w:t xml:space="preserve"> that </w:t>
      </w:r>
      <w:r w:rsidR="00EA1534">
        <w:rPr>
          <w:rFonts w:eastAsia="SimSun"/>
        </w:rPr>
        <w:t>the report recommends</w:t>
      </w:r>
      <w:r w:rsidR="008E005F">
        <w:rPr>
          <w:rFonts w:eastAsia="SimSun"/>
        </w:rPr>
        <w:t xml:space="preserve"> that the Rate Test for </w:t>
      </w:r>
      <w:r w:rsidR="00EA1534">
        <w:rPr>
          <w:rFonts w:eastAsia="SimSun"/>
        </w:rPr>
        <w:t xml:space="preserve">gas residential </w:t>
      </w:r>
      <w:r w:rsidR="008E005F">
        <w:rPr>
          <w:rFonts w:eastAsia="SimSun"/>
        </w:rPr>
        <w:t xml:space="preserve">customers be increased from the current three percent </w:t>
      </w:r>
      <w:r w:rsidR="00C83D1D">
        <w:rPr>
          <w:rFonts w:eastAsia="SimSun"/>
        </w:rPr>
        <w:t xml:space="preserve">cap </w:t>
      </w:r>
      <w:r w:rsidR="008E005F">
        <w:rPr>
          <w:rFonts w:eastAsia="SimSun"/>
        </w:rPr>
        <w:t xml:space="preserve">to </w:t>
      </w:r>
      <w:r w:rsidR="00C83D1D">
        <w:rPr>
          <w:rFonts w:eastAsia="SimSun"/>
        </w:rPr>
        <w:t xml:space="preserve">a </w:t>
      </w:r>
      <w:r w:rsidR="008E005F">
        <w:rPr>
          <w:rFonts w:eastAsia="SimSun"/>
        </w:rPr>
        <w:t>five percent</w:t>
      </w:r>
      <w:r w:rsidR="00C83D1D">
        <w:rPr>
          <w:rFonts w:eastAsia="SimSun"/>
        </w:rPr>
        <w:t xml:space="preserve"> cap</w:t>
      </w:r>
      <w:r w:rsidR="00EA1534">
        <w:rPr>
          <w:rFonts w:eastAsia="SimSun"/>
        </w:rPr>
        <w:t>.  This would allow for a more accelerated amortization of their accumulated deferred revenue balances</w:t>
      </w:r>
      <w:r w:rsidR="00D242CA">
        <w:rPr>
          <w:rFonts w:eastAsia="SimSun"/>
        </w:rPr>
        <w:t>.</w:t>
      </w:r>
    </w:p>
    <w:p w:rsidR="00864D19" w:rsidRPr="009075DC" w:rsidRDefault="00864D19" w:rsidP="00864D19">
      <w:pPr>
        <w:pStyle w:val="question"/>
        <w:widowControl w:val="0"/>
        <w:rPr>
          <w:rFonts w:eastAsia="SimSun"/>
        </w:rPr>
      </w:pPr>
      <w:r w:rsidRPr="009075DC">
        <w:rPr>
          <w:rFonts w:eastAsia="SimSun"/>
        </w:rPr>
        <w:t>Q.</w:t>
      </w:r>
      <w:r w:rsidRPr="009075DC">
        <w:rPr>
          <w:rFonts w:eastAsia="SimSun"/>
        </w:rPr>
        <w:tab/>
      </w:r>
      <w:r w:rsidR="00D242CA">
        <w:rPr>
          <w:rFonts w:eastAsia="SimSun"/>
        </w:rPr>
        <w:t>What did the Gil Peach Report conclude regarding the impact of the decoupling mechanisms on low-income customers</w:t>
      </w:r>
      <w:r>
        <w:rPr>
          <w:rFonts w:eastAsia="SimSun"/>
        </w:rPr>
        <w:t>?</w:t>
      </w:r>
    </w:p>
    <w:p w:rsidR="00864D19" w:rsidRDefault="00864D19" w:rsidP="00864D19">
      <w:pPr>
        <w:pStyle w:val="answer"/>
        <w:widowControl w:val="0"/>
        <w:rPr>
          <w:rFonts w:eastAsia="SimSun"/>
        </w:rPr>
      </w:pPr>
      <w:r w:rsidRPr="009075DC">
        <w:rPr>
          <w:rFonts w:eastAsia="SimSun"/>
        </w:rPr>
        <w:t>A.</w:t>
      </w:r>
      <w:r w:rsidRPr="009075DC">
        <w:rPr>
          <w:rFonts w:eastAsia="SimSun"/>
        </w:rPr>
        <w:tab/>
      </w:r>
      <w:r w:rsidR="00D242CA">
        <w:rPr>
          <w:rFonts w:eastAsia="SimSun"/>
        </w:rPr>
        <w:t>As with the overall impacts, the report finds the decoupling mechanisms to have a very small impact on low-income customers, where these customers were defined to be those customers that received bill assistance from PSE during the evaluation period</w:t>
      </w:r>
      <w:r w:rsidRPr="009075DC">
        <w:rPr>
          <w:rFonts w:eastAsia="SimSun"/>
        </w:rPr>
        <w:t>.</w:t>
      </w:r>
      <w:r w:rsidR="00D242CA">
        <w:rPr>
          <w:rFonts w:eastAsia="SimSun"/>
        </w:rPr>
        <w:t xml:space="preserve">  However, during the evaluation period, the report also concluded that low-income customers saw changes to their conservation funding</w:t>
      </w:r>
      <w:r w:rsidR="00F80FF6">
        <w:rPr>
          <w:rFonts w:eastAsia="SimSun"/>
        </w:rPr>
        <w:t xml:space="preserve">, with significantly more funding for electric conservation and less for gas conservation (largely due to the diminished cost-effectiveness of </w:t>
      </w:r>
      <w:r w:rsidR="00603A47">
        <w:rPr>
          <w:rFonts w:eastAsia="SimSun"/>
        </w:rPr>
        <w:t>natural gas conservation</w:t>
      </w:r>
      <w:r w:rsidR="00F80FF6">
        <w:rPr>
          <w:rFonts w:eastAsia="SimSun"/>
        </w:rPr>
        <w:t xml:space="preserve"> programs given the continued downward trends in natural gas prices)</w:t>
      </w:r>
      <w:r w:rsidR="00D242CA">
        <w:rPr>
          <w:rFonts w:eastAsia="SimSun"/>
        </w:rPr>
        <w:t xml:space="preserve">.  </w:t>
      </w:r>
    </w:p>
    <w:p w:rsidR="00864D19" w:rsidRPr="009075DC" w:rsidRDefault="00864D19" w:rsidP="00864D19">
      <w:pPr>
        <w:pStyle w:val="question"/>
        <w:widowControl w:val="0"/>
        <w:rPr>
          <w:rFonts w:eastAsia="SimSun"/>
        </w:rPr>
      </w:pPr>
      <w:r w:rsidRPr="009075DC">
        <w:rPr>
          <w:rFonts w:eastAsia="SimSun"/>
        </w:rPr>
        <w:t>Q.</w:t>
      </w:r>
      <w:r w:rsidRPr="009075DC">
        <w:rPr>
          <w:rFonts w:eastAsia="SimSun"/>
        </w:rPr>
        <w:tab/>
      </w:r>
      <w:r w:rsidR="00D242CA">
        <w:rPr>
          <w:rFonts w:eastAsia="SimSun"/>
        </w:rPr>
        <w:t>Did the Gil Peach Report find any conclusive trends in conservation program performance during the evaluation period</w:t>
      </w:r>
      <w:r>
        <w:rPr>
          <w:rFonts w:eastAsia="SimSun"/>
        </w:rPr>
        <w:t>?</w:t>
      </w:r>
    </w:p>
    <w:p w:rsidR="00864D19" w:rsidRDefault="00864D19" w:rsidP="00864D19">
      <w:pPr>
        <w:pStyle w:val="answer"/>
        <w:widowControl w:val="0"/>
        <w:rPr>
          <w:rFonts w:eastAsia="SimSun"/>
        </w:rPr>
      </w:pPr>
      <w:r w:rsidRPr="009075DC">
        <w:rPr>
          <w:rFonts w:eastAsia="SimSun"/>
        </w:rPr>
        <w:t>A.</w:t>
      </w:r>
      <w:r w:rsidRPr="009075DC">
        <w:rPr>
          <w:rFonts w:eastAsia="SimSun"/>
        </w:rPr>
        <w:tab/>
      </w:r>
      <w:r w:rsidR="009D6790">
        <w:rPr>
          <w:rFonts w:eastAsia="SimSun"/>
        </w:rPr>
        <w:t>It did not.  Rather, it found overall stable performance of PSE’s conservation programs during the evaluation period</w:t>
      </w:r>
      <w:r w:rsidR="009A10FB">
        <w:rPr>
          <w:rFonts w:eastAsia="SimSun"/>
        </w:rPr>
        <w:t xml:space="preserve"> and </w:t>
      </w:r>
      <w:r w:rsidR="00603A47">
        <w:rPr>
          <w:rFonts w:eastAsia="SimSun"/>
        </w:rPr>
        <w:t>views</w:t>
      </w:r>
      <w:r w:rsidR="009A10FB">
        <w:rPr>
          <w:rFonts w:eastAsia="SimSun"/>
        </w:rPr>
        <w:t xml:space="preserve"> the removal of the throughput </w:t>
      </w:r>
      <w:r w:rsidR="009A10FB">
        <w:rPr>
          <w:rFonts w:eastAsia="SimSun"/>
        </w:rPr>
        <w:lastRenderedPageBreak/>
        <w:t>incentive as a positive step in removing barriers to energy efficiency performance</w:t>
      </w:r>
      <w:r w:rsidRPr="009075DC">
        <w:rPr>
          <w:rFonts w:eastAsia="SimSun"/>
        </w:rPr>
        <w:t>.</w:t>
      </w:r>
    </w:p>
    <w:p w:rsidR="00864D19" w:rsidRPr="009075DC" w:rsidRDefault="00864D19" w:rsidP="00864D19">
      <w:pPr>
        <w:pStyle w:val="question"/>
        <w:widowControl w:val="0"/>
        <w:rPr>
          <w:rFonts w:eastAsia="SimSun"/>
        </w:rPr>
      </w:pPr>
      <w:r w:rsidRPr="009075DC">
        <w:rPr>
          <w:rFonts w:eastAsia="SimSun"/>
        </w:rPr>
        <w:t>Q.</w:t>
      </w:r>
      <w:r w:rsidRPr="009075DC">
        <w:rPr>
          <w:rFonts w:eastAsia="SimSun"/>
        </w:rPr>
        <w:tab/>
      </w:r>
      <w:r w:rsidR="009D6790">
        <w:rPr>
          <w:rFonts w:eastAsia="SimSun"/>
        </w:rPr>
        <w:t>Did the Gil Peach Report find any adverse impacts associated with PSE’s decoupling mechanism</w:t>
      </w:r>
      <w:r>
        <w:rPr>
          <w:rFonts w:eastAsia="SimSun"/>
        </w:rPr>
        <w:t>?</w:t>
      </w:r>
    </w:p>
    <w:p w:rsidR="00864D19" w:rsidRDefault="00864D19" w:rsidP="00A41041">
      <w:pPr>
        <w:pStyle w:val="answer"/>
        <w:widowControl w:val="0"/>
        <w:rPr>
          <w:rFonts w:eastAsia="SimSun"/>
        </w:rPr>
      </w:pPr>
      <w:r w:rsidRPr="009075DC">
        <w:rPr>
          <w:rFonts w:eastAsia="SimSun"/>
        </w:rPr>
        <w:t>A.</w:t>
      </w:r>
      <w:r w:rsidRPr="009075DC">
        <w:rPr>
          <w:rFonts w:eastAsia="SimSun"/>
        </w:rPr>
        <w:tab/>
      </w:r>
      <w:r w:rsidR="00846025">
        <w:rPr>
          <w:rFonts w:eastAsia="SimSun"/>
        </w:rPr>
        <w:t xml:space="preserve">The report did not identify any adverse impacts, </w:t>
      </w:r>
      <w:r w:rsidR="009A10FB">
        <w:rPr>
          <w:rFonts w:eastAsia="SimSun"/>
        </w:rPr>
        <w:t xml:space="preserve">although </w:t>
      </w:r>
      <w:r w:rsidR="00846025">
        <w:rPr>
          <w:rFonts w:eastAsia="SimSun"/>
        </w:rPr>
        <w:t>it</w:t>
      </w:r>
      <w:r w:rsidR="00A41041">
        <w:rPr>
          <w:rFonts w:eastAsia="SimSun"/>
        </w:rPr>
        <w:t xml:space="preserve"> </w:t>
      </w:r>
      <w:r w:rsidR="009A10FB">
        <w:rPr>
          <w:rFonts w:eastAsia="SimSun"/>
        </w:rPr>
        <w:t>acknowledged that this may be a matter of perspective</w:t>
      </w:r>
      <w:r w:rsidR="009D6790">
        <w:rPr>
          <w:rFonts w:eastAsia="SimSun"/>
        </w:rPr>
        <w:t xml:space="preserve">. </w:t>
      </w:r>
      <w:r w:rsidR="009A10FB">
        <w:rPr>
          <w:rFonts w:eastAsia="SimSun"/>
        </w:rPr>
        <w:t xml:space="preserve"> The report noted concerns over the growing deferred balances for gas residential customers, but then goes on to note that the mechanism is operating as </w:t>
      </w:r>
      <w:r w:rsidR="00A41041">
        <w:rPr>
          <w:rFonts w:eastAsia="SimSun"/>
        </w:rPr>
        <w:t>planned</w:t>
      </w:r>
      <w:r w:rsidR="009A10FB">
        <w:rPr>
          <w:rFonts w:eastAsia="SimSun"/>
        </w:rPr>
        <w:t xml:space="preserve">. </w:t>
      </w:r>
      <w:r w:rsidR="009D6790">
        <w:rPr>
          <w:rFonts w:eastAsia="SimSun"/>
        </w:rPr>
        <w:t xml:space="preserve"> It </w:t>
      </w:r>
      <w:r w:rsidR="00A41041">
        <w:rPr>
          <w:rFonts w:eastAsia="SimSun"/>
        </w:rPr>
        <w:t xml:space="preserve">also </w:t>
      </w:r>
      <w:r w:rsidR="009D6790">
        <w:rPr>
          <w:rFonts w:eastAsia="SimSun"/>
        </w:rPr>
        <w:t>found PSE’s overall service quality metrics to be satisfactory</w:t>
      </w:r>
      <w:r w:rsidR="00A41041">
        <w:rPr>
          <w:rFonts w:eastAsia="SimSun"/>
        </w:rPr>
        <w:t>, while also noting that certain metrics were out of range for 2015.  The report interpreted those events as being due to weather events, but suggested that they be watched for 2016 and 2017 to be sure they were in-fact one-time events</w:t>
      </w:r>
      <w:r w:rsidRPr="009075DC">
        <w:rPr>
          <w:rFonts w:eastAsia="SimSun"/>
        </w:rPr>
        <w:t>.</w:t>
      </w:r>
      <w:r w:rsidR="009D6790">
        <w:rPr>
          <w:rFonts w:eastAsia="SimSun"/>
        </w:rPr>
        <w:t xml:space="preserve"> </w:t>
      </w:r>
      <w:r w:rsidR="00A41041">
        <w:rPr>
          <w:rFonts w:eastAsia="SimSun"/>
        </w:rPr>
        <w:t>Finally, th</w:t>
      </w:r>
      <w:r w:rsidR="009D6790">
        <w:rPr>
          <w:rFonts w:eastAsia="SimSun"/>
        </w:rPr>
        <w:t>e report call</w:t>
      </w:r>
      <w:r w:rsidR="00A41041">
        <w:rPr>
          <w:rFonts w:eastAsia="SimSun"/>
        </w:rPr>
        <w:t>ed</w:t>
      </w:r>
      <w:r w:rsidR="009D6790">
        <w:rPr>
          <w:rFonts w:eastAsia="SimSun"/>
        </w:rPr>
        <w:t xml:space="preserve"> out improved attitudes of executive management towards exceeding its conservation targets and slowing growth in O&amp;M costs as possible beneficial impacts associated with the decoupling mechanism and rate plan.</w:t>
      </w:r>
    </w:p>
    <w:p w:rsidR="00573849" w:rsidRPr="009075DC" w:rsidRDefault="00573849" w:rsidP="00573849">
      <w:pPr>
        <w:pStyle w:val="question"/>
        <w:widowControl w:val="0"/>
        <w:rPr>
          <w:rFonts w:eastAsia="SimSun"/>
        </w:rPr>
      </w:pPr>
      <w:r w:rsidRPr="009075DC">
        <w:rPr>
          <w:rFonts w:eastAsia="SimSun"/>
        </w:rPr>
        <w:t>Q.</w:t>
      </w:r>
      <w:r w:rsidRPr="009075DC">
        <w:rPr>
          <w:rFonts w:eastAsia="SimSun"/>
        </w:rPr>
        <w:tab/>
      </w:r>
      <w:r>
        <w:rPr>
          <w:rFonts w:eastAsia="SimSun"/>
        </w:rPr>
        <w:t xml:space="preserve">What did the Gil Peach </w:t>
      </w:r>
      <w:r w:rsidR="00B45BFA">
        <w:rPr>
          <w:rFonts w:eastAsia="SimSun"/>
        </w:rPr>
        <w:t>R</w:t>
      </w:r>
      <w:r>
        <w:rPr>
          <w:rFonts w:eastAsia="SimSun"/>
        </w:rPr>
        <w:t>eport conclude about the growing balance of deferred revenues for residential natural gas service?</w:t>
      </w:r>
    </w:p>
    <w:p w:rsidR="00573849" w:rsidRDefault="00573849" w:rsidP="00573849">
      <w:pPr>
        <w:pStyle w:val="answer"/>
        <w:widowControl w:val="0"/>
        <w:rPr>
          <w:rFonts w:eastAsia="SimSun"/>
        </w:rPr>
      </w:pPr>
      <w:r w:rsidRPr="009075DC">
        <w:rPr>
          <w:rFonts w:eastAsia="SimSun"/>
        </w:rPr>
        <w:t>A.</w:t>
      </w:r>
      <w:r w:rsidRPr="009075DC">
        <w:rPr>
          <w:rFonts w:eastAsia="SimSun"/>
        </w:rPr>
        <w:tab/>
      </w:r>
      <w:r w:rsidR="00A41041">
        <w:rPr>
          <w:rFonts w:eastAsia="SimSun"/>
        </w:rPr>
        <w:t xml:space="preserve">The report suggests that these growing balances may be a potential problem for both the customers in this rate group and for PSE and recommends adjusting the Rate Test upward from </w:t>
      </w:r>
      <w:r w:rsidR="00C25F56">
        <w:rPr>
          <w:rFonts w:eastAsia="SimSun"/>
        </w:rPr>
        <w:t xml:space="preserve">a </w:t>
      </w:r>
      <w:r w:rsidR="00A41041">
        <w:rPr>
          <w:rFonts w:eastAsia="SimSun"/>
        </w:rPr>
        <w:t xml:space="preserve">three percent </w:t>
      </w:r>
      <w:r w:rsidR="00C25F56">
        <w:rPr>
          <w:rFonts w:eastAsia="SimSun"/>
        </w:rPr>
        <w:t xml:space="preserve">cap </w:t>
      </w:r>
      <w:r w:rsidR="00A41041">
        <w:rPr>
          <w:rFonts w:eastAsia="SimSun"/>
        </w:rPr>
        <w:t xml:space="preserve">to </w:t>
      </w:r>
      <w:r w:rsidR="00C25F56">
        <w:rPr>
          <w:rFonts w:eastAsia="SimSun"/>
        </w:rPr>
        <w:t xml:space="preserve">a </w:t>
      </w:r>
      <w:r w:rsidR="00A41041">
        <w:rPr>
          <w:rFonts w:eastAsia="SimSun"/>
        </w:rPr>
        <w:t xml:space="preserve">five percent </w:t>
      </w:r>
      <w:r w:rsidR="00C25F56">
        <w:rPr>
          <w:rFonts w:eastAsia="SimSun"/>
        </w:rPr>
        <w:t>cap.  This will allow</w:t>
      </w:r>
      <w:r w:rsidR="00FD7BB7">
        <w:rPr>
          <w:rFonts w:eastAsia="SimSun"/>
        </w:rPr>
        <w:t xml:space="preserve"> the decoupling mechanism </w:t>
      </w:r>
      <w:r w:rsidR="00A41041">
        <w:rPr>
          <w:rFonts w:eastAsia="SimSun"/>
        </w:rPr>
        <w:t xml:space="preserve">to clear balances in most years while still </w:t>
      </w:r>
      <w:r w:rsidR="00FD7BB7">
        <w:rPr>
          <w:rFonts w:eastAsia="SimSun"/>
        </w:rPr>
        <w:t xml:space="preserve">protecting </w:t>
      </w:r>
      <w:r w:rsidR="00A41041">
        <w:rPr>
          <w:rFonts w:eastAsia="SimSun"/>
        </w:rPr>
        <w:t xml:space="preserve">customers </w:t>
      </w:r>
      <w:r w:rsidR="00FD7BB7">
        <w:rPr>
          <w:rFonts w:eastAsia="SimSun"/>
        </w:rPr>
        <w:t xml:space="preserve">from </w:t>
      </w:r>
      <w:r w:rsidR="00A41041">
        <w:rPr>
          <w:rFonts w:eastAsia="SimSun"/>
        </w:rPr>
        <w:t>extreme rate changes</w:t>
      </w:r>
      <w:r w:rsidR="00FD7BB7">
        <w:rPr>
          <w:rFonts w:eastAsia="SimSun"/>
        </w:rPr>
        <w:t>.  It will also</w:t>
      </w:r>
      <w:r w:rsidR="00A41041">
        <w:rPr>
          <w:rFonts w:eastAsia="SimSun"/>
        </w:rPr>
        <w:t xml:space="preserve"> better align incurred costs and </w:t>
      </w:r>
      <w:r w:rsidR="00A41041">
        <w:rPr>
          <w:rFonts w:eastAsia="SimSun"/>
        </w:rPr>
        <w:lastRenderedPageBreak/>
        <w:t>revenue collection</w:t>
      </w:r>
      <w:r w:rsidRPr="009075DC">
        <w:rPr>
          <w:rFonts w:eastAsia="SimSun"/>
        </w:rPr>
        <w:t>.</w:t>
      </w:r>
    </w:p>
    <w:p w:rsidR="00B0164A" w:rsidRPr="009075DC" w:rsidRDefault="00B0164A" w:rsidP="00B0164A">
      <w:pPr>
        <w:pStyle w:val="question"/>
        <w:widowControl w:val="0"/>
        <w:rPr>
          <w:rFonts w:eastAsia="SimSun"/>
        </w:rPr>
      </w:pPr>
      <w:r w:rsidRPr="009075DC">
        <w:rPr>
          <w:rFonts w:eastAsia="SimSun"/>
        </w:rPr>
        <w:t>Q.</w:t>
      </w:r>
      <w:r w:rsidRPr="009075DC">
        <w:rPr>
          <w:rFonts w:eastAsia="SimSun"/>
        </w:rPr>
        <w:tab/>
      </w:r>
      <w:r w:rsidR="009D6790">
        <w:rPr>
          <w:rFonts w:eastAsia="SimSun"/>
        </w:rPr>
        <w:t xml:space="preserve">Did the Gil Peach </w:t>
      </w:r>
      <w:r w:rsidR="00B45BFA">
        <w:rPr>
          <w:rFonts w:eastAsia="SimSun"/>
        </w:rPr>
        <w:t>R</w:t>
      </w:r>
      <w:r w:rsidR="009D6790">
        <w:rPr>
          <w:rFonts w:eastAsia="SimSun"/>
        </w:rPr>
        <w:t>eport find any impact on conservation achievement for customers served under electric Schedules 26 or 31</w:t>
      </w:r>
      <w:r>
        <w:rPr>
          <w:rFonts w:eastAsia="SimSun"/>
        </w:rPr>
        <w:t>?</w:t>
      </w:r>
    </w:p>
    <w:p w:rsidR="00B0164A" w:rsidRDefault="00B0164A" w:rsidP="00B0164A">
      <w:pPr>
        <w:pStyle w:val="answer"/>
        <w:widowControl w:val="0"/>
        <w:rPr>
          <w:rFonts w:eastAsia="SimSun"/>
        </w:rPr>
      </w:pPr>
      <w:r w:rsidRPr="009075DC">
        <w:rPr>
          <w:rFonts w:eastAsia="SimSun"/>
        </w:rPr>
        <w:t>A.</w:t>
      </w:r>
      <w:r w:rsidRPr="009075DC">
        <w:rPr>
          <w:rFonts w:eastAsia="SimSun"/>
        </w:rPr>
        <w:tab/>
      </w:r>
      <w:r w:rsidR="009D6790">
        <w:rPr>
          <w:rFonts w:eastAsia="SimSun"/>
        </w:rPr>
        <w:t>No. The report concluded that conservation for these customers proceeded as business as usual</w:t>
      </w:r>
      <w:r w:rsidRPr="009075DC">
        <w:rPr>
          <w:rFonts w:eastAsia="SimSun"/>
        </w:rPr>
        <w:t>.</w:t>
      </w:r>
    </w:p>
    <w:p w:rsidR="00CE07DC" w:rsidRPr="009075DC" w:rsidRDefault="00CE07DC" w:rsidP="00CE07DC">
      <w:pPr>
        <w:pStyle w:val="Heading3"/>
        <w:keepNext w:val="0"/>
        <w:keepLines w:val="0"/>
        <w:widowControl w:val="0"/>
        <w:rPr>
          <w:rFonts w:eastAsia="SimSun"/>
        </w:rPr>
      </w:pPr>
      <w:bookmarkStart w:id="175" w:name="_Toc444267431"/>
      <w:bookmarkStart w:id="176" w:name="_Toc471912980"/>
      <w:r>
        <w:rPr>
          <w:rFonts w:eastAsia="SimSun"/>
          <w:u w:val="none"/>
        </w:rPr>
        <w:t>5</w:t>
      </w:r>
      <w:r w:rsidRPr="009075DC">
        <w:rPr>
          <w:rFonts w:eastAsia="SimSun"/>
          <w:u w:val="none"/>
        </w:rPr>
        <w:t>.</w:t>
      </w:r>
      <w:r w:rsidRPr="009075DC">
        <w:rPr>
          <w:rFonts w:eastAsia="SimSun"/>
          <w:u w:val="none"/>
        </w:rPr>
        <w:tab/>
      </w:r>
      <w:r>
        <w:rPr>
          <w:rFonts w:eastAsia="SimSun"/>
        </w:rPr>
        <w:t>Other Lessons Learned About Existing Decoupling Mechanisms</w:t>
      </w:r>
      <w:bookmarkEnd w:id="175"/>
      <w:bookmarkEnd w:id="176"/>
    </w:p>
    <w:p w:rsidR="00CE07DC" w:rsidRPr="009075DC" w:rsidRDefault="00CE07DC" w:rsidP="00CE07DC">
      <w:pPr>
        <w:pStyle w:val="question"/>
        <w:widowControl w:val="0"/>
        <w:rPr>
          <w:rFonts w:eastAsia="SimSun"/>
        </w:rPr>
      </w:pPr>
      <w:r w:rsidRPr="009075DC">
        <w:rPr>
          <w:rFonts w:eastAsia="SimSun"/>
        </w:rPr>
        <w:t>Q.</w:t>
      </w:r>
      <w:r w:rsidRPr="009075DC">
        <w:rPr>
          <w:rFonts w:eastAsia="SimSun"/>
        </w:rPr>
        <w:tab/>
      </w:r>
      <w:r>
        <w:rPr>
          <w:rFonts w:eastAsia="SimSun"/>
        </w:rPr>
        <w:t>Were there other lessons learned by PSE over the course of its experience with its decoupling mechanisms?</w:t>
      </w:r>
    </w:p>
    <w:p w:rsidR="00CE07DC" w:rsidRDefault="00CE07DC" w:rsidP="00CE07DC">
      <w:pPr>
        <w:pStyle w:val="answer"/>
        <w:widowControl w:val="0"/>
        <w:rPr>
          <w:rFonts w:eastAsia="SimSun"/>
        </w:rPr>
      </w:pPr>
      <w:r w:rsidRPr="009075DC">
        <w:rPr>
          <w:rFonts w:eastAsia="SimSun"/>
        </w:rPr>
        <w:t>A.</w:t>
      </w:r>
      <w:r w:rsidRPr="009075DC">
        <w:rPr>
          <w:rFonts w:eastAsia="SimSun"/>
        </w:rPr>
        <w:tab/>
      </w:r>
      <w:r>
        <w:rPr>
          <w:rFonts w:eastAsia="SimSun"/>
        </w:rPr>
        <w:t xml:space="preserve">Yes.  </w:t>
      </w:r>
      <w:r w:rsidR="00984A44">
        <w:rPr>
          <w:rFonts w:eastAsia="SimSun"/>
        </w:rPr>
        <w:t xml:space="preserve">As </w:t>
      </w:r>
      <w:r w:rsidR="000C480A">
        <w:rPr>
          <w:rFonts w:eastAsia="SimSun"/>
        </w:rPr>
        <w:t xml:space="preserve">illustrated in </w:t>
      </w:r>
      <w:r w:rsidR="000C480A">
        <w:rPr>
          <w:rFonts w:eastAsia="SimSun"/>
        </w:rPr>
        <w:fldChar w:fldCharType="begin"/>
      </w:r>
      <w:r w:rsidR="000C480A">
        <w:rPr>
          <w:rFonts w:eastAsia="SimSun"/>
        </w:rPr>
        <w:instrText xml:space="preserve"> REF _Ref445373757 \h </w:instrText>
      </w:r>
      <w:r w:rsidR="000C480A">
        <w:rPr>
          <w:rFonts w:eastAsia="SimSun"/>
        </w:rPr>
      </w:r>
      <w:r w:rsidR="000C480A">
        <w:rPr>
          <w:rFonts w:eastAsia="SimSun"/>
        </w:rPr>
        <w:fldChar w:fldCharType="separate"/>
      </w:r>
      <w:r w:rsidR="0035666C" w:rsidRPr="00F233B1">
        <w:rPr>
          <w:szCs w:val="24"/>
        </w:rPr>
        <w:t xml:space="preserve">Table </w:t>
      </w:r>
      <w:r w:rsidR="0035666C">
        <w:rPr>
          <w:noProof/>
          <w:szCs w:val="24"/>
        </w:rPr>
        <w:t>13</w:t>
      </w:r>
      <w:r w:rsidR="000C480A">
        <w:rPr>
          <w:rFonts w:eastAsia="SimSun"/>
        </w:rPr>
        <w:fldChar w:fldCharType="end"/>
      </w:r>
      <w:r w:rsidR="000C480A">
        <w:rPr>
          <w:rFonts w:eastAsia="SimSun"/>
        </w:rPr>
        <w:t xml:space="preserve"> </w:t>
      </w:r>
      <w:r>
        <w:rPr>
          <w:rFonts w:eastAsia="SimSun"/>
        </w:rPr>
        <w:t>above, PSE has observed that the customers whose revenues are decoupled from kW demands, rather than kWh sales,</w:t>
      </w:r>
      <w:r w:rsidR="000C480A">
        <w:rPr>
          <w:rStyle w:val="FootnoteReference"/>
          <w:rFonts w:eastAsia="SimSun"/>
        </w:rPr>
        <w:footnoteReference w:id="46"/>
      </w:r>
      <w:r>
        <w:rPr>
          <w:rFonts w:eastAsia="SimSun"/>
        </w:rPr>
        <w:t xml:space="preserve"> have still experienced </w:t>
      </w:r>
      <w:r w:rsidR="000C480A">
        <w:rPr>
          <w:rFonts w:eastAsia="SimSun"/>
        </w:rPr>
        <w:t xml:space="preserve">changes </w:t>
      </w:r>
      <w:r>
        <w:rPr>
          <w:rFonts w:eastAsia="SimSun"/>
        </w:rPr>
        <w:t xml:space="preserve">in kW demands per customer </w:t>
      </w:r>
      <w:r w:rsidR="007B330C">
        <w:rPr>
          <w:rFonts w:eastAsia="SimSun"/>
        </w:rPr>
        <w:t xml:space="preserve">from test year levels </w:t>
      </w:r>
      <w:r>
        <w:rPr>
          <w:rFonts w:eastAsia="SimSun"/>
        </w:rPr>
        <w:t xml:space="preserve">over the course of the electric decoupling mechanism.  This suggests that </w:t>
      </w:r>
      <w:r w:rsidR="000C480A">
        <w:rPr>
          <w:rFonts w:eastAsia="SimSun"/>
        </w:rPr>
        <w:t xml:space="preserve">a throughput incentive would still exist in the absence of decoupling and, therefore, </w:t>
      </w:r>
      <w:r>
        <w:rPr>
          <w:rFonts w:eastAsia="SimSun"/>
        </w:rPr>
        <w:t>continuing to include these customers within the electric decoupling mechanism is appropriate</w:t>
      </w:r>
      <w:r w:rsidRPr="009075DC">
        <w:rPr>
          <w:rFonts w:eastAsia="SimSun"/>
        </w:rPr>
        <w:t>.</w:t>
      </w:r>
    </w:p>
    <w:p w:rsidR="00F46C9B" w:rsidRDefault="00F46C9B" w:rsidP="00F46C9B">
      <w:pPr>
        <w:pStyle w:val="Heading2"/>
        <w:keepNext w:val="0"/>
        <w:keepLines w:val="0"/>
        <w:widowControl w:val="0"/>
        <w:spacing w:before="240" w:after="240"/>
        <w:rPr>
          <w:rFonts w:eastAsia="SimSun"/>
        </w:rPr>
      </w:pPr>
      <w:bookmarkStart w:id="177" w:name="_Toc471912981"/>
      <w:r>
        <w:rPr>
          <w:rFonts w:eastAsia="SimSun"/>
          <w:u w:val="none"/>
        </w:rPr>
        <w:t>C</w:t>
      </w:r>
      <w:r w:rsidRPr="009075DC">
        <w:rPr>
          <w:rFonts w:eastAsia="SimSun"/>
          <w:u w:val="none"/>
        </w:rPr>
        <w:t>.</w:t>
      </w:r>
      <w:r w:rsidRPr="009075DC">
        <w:rPr>
          <w:rFonts w:eastAsia="SimSun"/>
          <w:u w:val="none"/>
        </w:rPr>
        <w:tab/>
      </w:r>
      <w:r>
        <w:rPr>
          <w:rFonts w:eastAsia="SimSun"/>
        </w:rPr>
        <w:t>Proposed Changes to Mechanisms</w:t>
      </w:r>
      <w:bookmarkEnd w:id="177"/>
    </w:p>
    <w:p w:rsidR="008F3187" w:rsidRPr="009075DC" w:rsidRDefault="008F3187" w:rsidP="008F3187">
      <w:pPr>
        <w:pStyle w:val="question"/>
        <w:widowControl w:val="0"/>
        <w:rPr>
          <w:rFonts w:eastAsia="SimSun"/>
        </w:rPr>
      </w:pPr>
      <w:r w:rsidRPr="009075DC">
        <w:rPr>
          <w:rFonts w:eastAsia="SimSun"/>
        </w:rPr>
        <w:t>Q.</w:t>
      </w:r>
      <w:r w:rsidRPr="009075DC">
        <w:rPr>
          <w:rFonts w:eastAsia="SimSun"/>
        </w:rPr>
        <w:tab/>
      </w:r>
      <w:r>
        <w:rPr>
          <w:rFonts w:eastAsia="SimSun"/>
        </w:rPr>
        <w:t>Is PSE proposing to continue its electric and gas decoupling mechanisms?</w:t>
      </w:r>
    </w:p>
    <w:p w:rsidR="008F3187" w:rsidRDefault="008F3187" w:rsidP="008F3187">
      <w:pPr>
        <w:pStyle w:val="answer"/>
        <w:widowControl w:val="0"/>
        <w:rPr>
          <w:rFonts w:eastAsia="SimSun"/>
        </w:rPr>
      </w:pPr>
      <w:r w:rsidRPr="009075DC">
        <w:rPr>
          <w:rFonts w:eastAsia="SimSun"/>
        </w:rPr>
        <w:t>A.</w:t>
      </w:r>
      <w:r w:rsidRPr="009075DC">
        <w:rPr>
          <w:rFonts w:eastAsia="SimSun"/>
        </w:rPr>
        <w:tab/>
      </w:r>
      <w:r>
        <w:rPr>
          <w:rFonts w:eastAsia="SimSun"/>
        </w:rPr>
        <w:t xml:space="preserve">Yes, it is.  Despite some of the challenges noted above, the mechanisms have </w:t>
      </w:r>
      <w:r>
        <w:rPr>
          <w:rFonts w:eastAsia="SimSun"/>
        </w:rPr>
        <w:lastRenderedPageBreak/>
        <w:t>generally performed well</w:t>
      </w:r>
      <w:r w:rsidR="0054761B">
        <w:rPr>
          <w:rFonts w:eastAsia="SimSun"/>
        </w:rPr>
        <w:t>.</w:t>
      </w:r>
      <w:r>
        <w:rPr>
          <w:rFonts w:eastAsia="SimSun"/>
        </w:rPr>
        <w:t xml:space="preserve"> </w:t>
      </w:r>
      <w:r w:rsidR="0054761B">
        <w:rPr>
          <w:rFonts w:eastAsia="SimSun"/>
        </w:rPr>
        <w:t xml:space="preserve">Mitigating </w:t>
      </w:r>
      <w:r>
        <w:rPr>
          <w:rFonts w:eastAsia="SimSun"/>
        </w:rPr>
        <w:t xml:space="preserve">PSE’s throughput incentive, particularly in a time of </w:t>
      </w:r>
      <w:r w:rsidR="00540E13">
        <w:rPr>
          <w:rFonts w:eastAsia="SimSun"/>
        </w:rPr>
        <w:t xml:space="preserve">continued </w:t>
      </w:r>
      <w:r>
        <w:rPr>
          <w:rFonts w:eastAsia="SimSun"/>
        </w:rPr>
        <w:t>stagnant load growth</w:t>
      </w:r>
      <w:r w:rsidR="0054761B">
        <w:rPr>
          <w:rFonts w:eastAsia="SimSun"/>
        </w:rPr>
        <w:t>, continues to be in the public interest, and PSE proposes to continue the decoupling mechanisms</w:t>
      </w:r>
      <w:r w:rsidRPr="009075DC">
        <w:rPr>
          <w:rFonts w:eastAsia="SimSun"/>
        </w:rPr>
        <w:t>.</w:t>
      </w:r>
    </w:p>
    <w:p w:rsidR="00BB2842" w:rsidRPr="009075DC" w:rsidRDefault="00BB2842" w:rsidP="00BB2842">
      <w:pPr>
        <w:pStyle w:val="question"/>
        <w:widowControl w:val="0"/>
        <w:rPr>
          <w:rFonts w:eastAsia="SimSun"/>
        </w:rPr>
      </w:pPr>
      <w:r w:rsidRPr="009075DC">
        <w:rPr>
          <w:rFonts w:eastAsia="SimSun"/>
        </w:rPr>
        <w:t>Q.</w:t>
      </w:r>
      <w:r w:rsidRPr="009075DC">
        <w:rPr>
          <w:rFonts w:eastAsia="SimSun"/>
        </w:rPr>
        <w:tab/>
      </w:r>
      <w:r>
        <w:rPr>
          <w:rFonts w:eastAsia="SimSun"/>
        </w:rPr>
        <w:t>Has PSE prepared exhibits illustrating the proposed calculations for the new electric and gas decoupling mechanisms?</w:t>
      </w:r>
    </w:p>
    <w:p w:rsidR="00BB2842" w:rsidRDefault="00BB2842" w:rsidP="00BB2842">
      <w:pPr>
        <w:pStyle w:val="answer"/>
        <w:widowControl w:val="0"/>
        <w:rPr>
          <w:rFonts w:eastAsia="SimSun"/>
        </w:rPr>
      </w:pPr>
      <w:r w:rsidRPr="009075DC">
        <w:rPr>
          <w:rFonts w:eastAsia="SimSun"/>
        </w:rPr>
        <w:t>A.</w:t>
      </w:r>
      <w:r w:rsidRPr="009075DC">
        <w:rPr>
          <w:rFonts w:eastAsia="SimSun"/>
        </w:rPr>
        <w:tab/>
      </w:r>
      <w:r>
        <w:rPr>
          <w:rFonts w:eastAsia="SimSun"/>
        </w:rPr>
        <w:t>Yes.  Calculations associated with PSE’s electric decoupling mechanism are provided in Exhibit No.___(JAP-</w:t>
      </w:r>
      <w:r>
        <w:rPr>
          <w:rFonts w:eastAsia="SimSun"/>
        </w:rPr>
        <w:fldChar w:fldCharType="begin"/>
      </w:r>
      <w:r>
        <w:rPr>
          <w:rFonts w:eastAsia="SimSun"/>
        </w:rPr>
        <w:instrText xml:space="preserve"> REF _Ref442873130 \r \h </w:instrText>
      </w:r>
      <w:r>
        <w:rPr>
          <w:rFonts w:eastAsia="SimSun"/>
        </w:rPr>
      </w:r>
      <w:r>
        <w:rPr>
          <w:rFonts w:eastAsia="SimSun"/>
        </w:rPr>
        <w:fldChar w:fldCharType="separate"/>
      </w:r>
      <w:r w:rsidR="0035666C">
        <w:rPr>
          <w:rFonts w:eastAsia="SimSun"/>
        </w:rPr>
        <w:t>30</w:t>
      </w:r>
      <w:r>
        <w:rPr>
          <w:rFonts w:eastAsia="SimSun"/>
        </w:rPr>
        <w:fldChar w:fldCharType="end"/>
      </w:r>
      <w:r>
        <w:rPr>
          <w:rFonts w:eastAsia="SimSun"/>
        </w:rPr>
        <w:t>).  Calculations associated with PSE’s gas decoupling mechanism are provided in Exhibit No.___(JAP-</w:t>
      </w:r>
      <w:r>
        <w:rPr>
          <w:rFonts w:eastAsia="SimSun"/>
        </w:rPr>
        <w:fldChar w:fldCharType="begin"/>
      </w:r>
      <w:r>
        <w:rPr>
          <w:rFonts w:eastAsia="SimSun"/>
        </w:rPr>
        <w:instrText xml:space="preserve"> REF _Ref442873137 \r \h </w:instrText>
      </w:r>
      <w:r>
        <w:rPr>
          <w:rFonts w:eastAsia="SimSun"/>
        </w:rPr>
      </w:r>
      <w:r>
        <w:rPr>
          <w:rFonts w:eastAsia="SimSun"/>
        </w:rPr>
        <w:fldChar w:fldCharType="separate"/>
      </w:r>
      <w:r w:rsidR="0035666C">
        <w:rPr>
          <w:rFonts w:eastAsia="SimSun"/>
        </w:rPr>
        <w:t>31</w:t>
      </w:r>
      <w:r>
        <w:rPr>
          <w:rFonts w:eastAsia="SimSun"/>
        </w:rPr>
        <w:fldChar w:fldCharType="end"/>
      </w:r>
      <w:r>
        <w:rPr>
          <w:rFonts w:eastAsia="SimSun"/>
        </w:rPr>
        <w:t xml:space="preserve">).  </w:t>
      </w:r>
    </w:p>
    <w:p w:rsidR="0026017D" w:rsidRPr="009075DC" w:rsidRDefault="0026017D" w:rsidP="0026017D">
      <w:pPr>
        <w:pStyle w:val="question"/>
        <w:widowControl w:val="0"/>
        <w:rPr>
          <w:rFonts w:eastAsia="SimSun"/>
        </w:rPr>
      </w:pPr>
      <w:r w:rsidRPr="009075DC">
        <w:rPr>
          <w:rFonts w:eastAsia="SimSun"/>
        </w:rPr>
        <w:t>Q.</w:t>
      </w:r>
      <w:r w:rsidRPr="009075DC">
        <w:rPr>
          <w:rFonts w:eastAsia="SimSun"/>
        </w:rPr>
        <w:tab/>
      </w:r>
      <w:r w:rsidR="00D04E42">
        <w:rPr>
          <w:rFonts w:eastAsia="SimSun"/>
        </w:rPr>
        <w:t xml:space="preserve">Given all that </w:t>
      </w:r>
      <w:r w:rsidR="00846025">
        <w:rPr>
          <w:rFonts w:eastAsia="SimSun"/>
        </w:rPr>
        <w:t>PSE has</w:t>
      </w:r>
      <w:r w:rsidR="00D04E42">
        <w:rPr>
          <w:rFonts w:eastAsia="SimSun"/>
        </w:rPr>
        <w:t xml:space="preserve"> learned and observed since the</w:t>
      </w:r>
      <w:r w:rsidR="00846025">
        <w:rPr>
          <w:rFonts w:eastAsia="SimSun"/>
        </w:rPr>
        <w:t xml:space="preserve"> decoupling mechanisms </w:t>
      </w:r>
      <w:r w:rsidR="00D04E42">
        <w:rPr>
          <w:rFonts w:eastAsia="SimSun"/>
        </w:rPr>
        <w:t xml:space="preserve">were approved, what </w:t>
      </w:r>
      <w:r w:rsidR="003D03FF">
        <w:rPr>
          <w:rFonts w:eastAsia="SimSun"/>
        </w:rPr>
        <w:t xml:space="preserve">changes </w:t>
      </w:r>
      <w:r w:rsidR="00846025">
        <w:rPr>
          <w:rFonts w:eastAsia="SimSun"/>
        </w:rPr>
        <w:t>is PSE</w:t>
      </w:r>
      <w:r w:rsidR="00D04E42">
        <w:rPr>
          <w:rFonts w:eastAsia="SimSun"/>
        </w:rPr>
        <w:t xml:space="preserve"> proposing to </w:t>
      </w:r>
      <w:r w:rsidR="00846025">
        <w:rPr>
          <w:rFonts w:eastAsia="SimSun"/>
        </w:rPr>
        <w:t>its</w:t>
      </w:r>
      <w:r w:rsidR="00D04E42">
        <w:rPr>
          <w:rFonts w:eastAsia="SimSun"/>
        </w:rPr>
        <w:t xml:space="preserve"> decoupling mechanisms</w:t>
      </w:r>
      <w:r>
        <w:rPr>
          <w:rFonts w:eastAsia="SimSun"/>
        </w:rPr>
        <w:t>?</w:t>
      </w:r>
    </w:p>
    <w:p w:rsidR="0026017D" w:rsidRDefault="0026017D" w:rsidP="0026017D">
      <w:pPr>
        <w:pStyle w:val="answer"/>
        <w:widowControl w:val="0"/>
        <w:rPr>
          <w:rFonts w:eastAsia="SimSun"/>
        </w:rPr>
      </w:pPr>
      <w:r w:rsidRPr="009075DC">
        <w:rPr>
          <w:rFonts w:eastAsia="SimSun"/>
        </w:rPr>
        <w:t>A.</w:t>
      </w:r>
      <w:r w:rsidRPr="009075DC">
        <w:rPr>
          <w:rFonts w:eastAsia="SimSun"/>
        </w:rPr>
        <w:tab/>
      </w:r>
      <w:r w:rsidR="00260FEF">
        <w:rPr>
          <w:rFonts w:eastAsia="SimSun"/>
        </w:rPr>
        <w:t xml:space="preserve">There are </w:t>
      </w:r>
      <w:r w:rsidR="00A635F6">
        <w:rPr>
          <w:rFonts w:eastAsia="SimSun"/>
        </w:rPr>
        <w:t>four</w:t>
      </w:r>
      <w:r w:rsidR="00260FEF">
        <w:rPr>
          <w:rFonts w:eastAsia="SimSun"/>
        </w:rPr>
        <w:t xml:space="preserve"> significant changes being proposed to the decoupling mechanisms.  </w:t>
      </w:r>
      <w:r w:rsidR="00F5297A">
        <w:rPr>
          <w:rFonts w:eastAsia="SimSun"/>
        </w:rPr>
        <w:t xml:space="preserve">First, PSE proposes </w:t>
      </w:r>
      <w:r w:rsidR="00533B23">
        <w:rPr>
          <w:rFonts w:eastAsia="SimSun"/>
        </w:rPr>
        <w:t xml:space="preserve">to move </w:t>
      </w:r>
      <w:r w:rsidR="00F5297A">
        <w:rPr>
          <w:rFonts w:eastAsia="SimSun"/>
        </w:rPr>
        <w:t xml:space="preserve">its </w:t>
      </w:r>
      <w:r w:rsidR="00533B23">
        <w:rPr>
          <w:rFonts w:eastAsia="SimSun"/>
        </w:rPr>
        <w:t xml:space="preserve">fixed </w:t>
      </w:r>
      <w:r w:rsidR="00AB6B68">
        <w:rPr>
          <w:rFonts w:eastAsia="SimSun"/>
        </w:rPr>
        <w:t xml:space="preserve">power </w:t>
      </w:r>
      <w:r w:rsidR="00533B23">
        <w:rPr>
          <w:rFonts w:eastAsia="SimSun"/>
        </w:rPr>
        <w:t>costs into the electric decoupling mechanism</w:t>
      </w:r>
      <w:r w:rsidR="00243C0C">
        <w:rPr>
          <w:rFonts w:eastAsia="SimSun"/>
        </w:rPr>
        <w:t xml:space="preserve">.  </w:t>
      </w:r>
      <w:r w:rsidR="00C21220">
        <w:rPr>
          <w:rFonts w:eastAsia="SimSun"/>
        </w:rPr>
        <w:t xml:space="preserve">Second, PSE proposes to realign its non-residential </w:t>
      </w:r>
      <w:r w:rsidR="00F5297A">
        <w:rPr>
          <w:rFonts w:eastAsia="SimSun"/>
        </w:rPr>
        <w:t>electric and natural gas decoupling rate groups</w:t>
      </w:r>
      <w:r w:rsidR="00F5297A" w:rsidRPr="009075DC">
        <w:rPr>
          <w:rFonts w:eastAsia="SimSun"/>
        </w:rPr>
        <w:t>.</w:t>
      </w:r>
      <w:r w:rsidR="00F5297A">
        <w:rPr>
          <w:rFonts w:eastAsia="SimSun"/>
        </w:rPr>
        <w:t xml:space="preserve">  </w:t>
      </w:r>
      <w:r w:rsidR="00C21220">
        <w:rPr>
          <w:rFonts w:eastAsia="SimSun"/>
        </w:rPr>
        <w:t xml:space="preserve">Third, PSE proposes to change the operation of the decoupling Rate Tests.  Fourth, PSE proposes </w:t>
      </w:r>
      <w:r w:rsidR="008F3187">
        <w:rPr>
          <w:rFonts w:eastAsia="SimSun"/>
        </w:rPr>
        <w:t xml:space="preserve">to modify the operation of the </w:t>
      </w:r>
      <w:r w:rsidR="00C21220">
        <w:rPr>
          <w:rFonts w:eastAsia="SimSun"/>
        </w:rPr>
        <w:t xml:space="preserve">decoupling </w:t>
      </w:r>
      <w:r w:rsidR="008F3187">
        <w:rPr>
          <w:rFonts w:eastAsia="SimSun"/>
        </w:rPr>
        <w:t>Earnings Test</w:t>
      </w:r>
      <w:r w:rsidR="00C21220">
        <w:rPr>
          <w:rFonts w:eastAsia="SimSun"/>
        </w:rPr>
        <w:t>s</w:t>
      </w:r>
      <w:r w:rsidR="008F3187">
        <w:rPr>
          <w:rFonts w:eastAsia="SimSun"/>
        </w:rPr>
        <w:t xml:space="preserve">.  </w:t>
      </w:r>
      <w:r w:rsidR="00846025">
        <w:rPr>
          <w:rFonts w:eastAsia="SimSun"/>
        </w:rPr>
        <w:t>T</w:t>
      </w:r>
      <w:r w:rsidR="00A635F6">
        <w:rPr>
          <w:rFonts w:eastAsia="SimSun"/>
        </w:rPr>
        <w:t xml:space="preserve">he </w:t>
      </w:r>
      <w:r w:rsidR="00846025">
        <w:rPr>
          <w:rFonts w:eastAsia="SimSun"/>
        </w:rPr>
        <w:t xml:space="preserve">remainder </w:t>
      </w:r>
      <w:r w:rsidR="00433CB2">
        <w:rPr>
          <w:rFonts w:eastAsia="SimSun"/>
        </w:rPr>
        <w:t xml:space="preserve">of the </w:t>
      </w:r>
      <w:r w:rsidR="00A635F6">
        <w:rPr>
          <w:rFonts w:eastAsia="SimSun"/>
        </w:rPr>
        <w:t xml:space="preserve">proposed changes to the </w:t>
      </w:r>
      <w:r w:rsidR="00846025">
        <w:rPr>
          <w:rFonts w:eastAsia="SimSun"/>
        </w:rPr>
        <w:t xml:space="preserve">decoupling </w:t>
      </w:r>
      <w:r w:rsidR="00A635F6">
        <w:rPr>
          <w:rFonts w:eastAsia="SimSun"/>
        </w:rPr>
        <w:t xml:space="preserve">mechanisms </w:t>
      </w:r>
      <w:r w:rsidR="00D04E42">
        <w:rPr>
          <w:rFonts w:eastAsia="SimSun"/>
        </w:rPr>
        <w:t>a</w:t>
      </w:r>
      <w:r w:rsidR="00846025">
        <w:rPr>
          <w:rFonts w:eastAsia="SimSun"/>
        </w:rPr>
        <w:t>re</w:t>
      </w:r>
      <w:r w:rsidR="00D04E42">
        <w:rPr>
          <w:rFonts w:eastAsia="SimSun"/>
        </w:rPr>
        <w:t xml:space="preserve"> essentially housekeeping changes intended to improve the </w:t>
      </w:r>
      <w:r w:rsidR="000C56F0">
        <w:rPr>
          <w:rFonts w:eastAsia="SimSun"/>
        </w:rPr>
        <w:t xml:space="preserve">operation </w:t>
      </w:r>
      <w:r w:rsidR="00D04E42">
        <w:rPr>
          <w:rFonts w:eastAsia="SimSun"/>
        </w:rPr>
        <w:t>of these mechanisms with little or no impact on customers</w:t>
      </w:r>
      <w:r w:rsidR="00A635F6">
        <w:rPr>
          <w:rFonts w:eastAsia="SimSun"/>
        </w:rPr>
        <w:t xml:space="preserve"> or their rates</w:t>
      </w:r>
      <w:r w:rsidR="00D04E42">
        <w:rPr>
          <w:rFonts w:eastAsia="SimSun"/>
        </w:rPr>
        <w:t xml:space="preserve">.  </w:t>
      </w:r>
    </w:p>
    <w:p w:rsidR="00CA6C90" w:rsidRDefault="00CA6C90" w:rsidP="00C216CC">
      <w:pPr>
        <w:pStyle w:val="answer"/>
        <w:rPr>
          <w:rFonts w:eastAsia="SimSun"/>
        </w:rPr>
      </w:pPr>
    </w:p>
    <w:p w:rsidR="00C21220" w:rsidRPr="009075DC" w:rsidRDefault="00C21220" w:rsidP="00C21220">
      <w:pPr>
        <w:pStyle w:val="Heading3"/>
        <w:keepNext w:val="0"/>
        <w:keepLines w:val="0"/>
        <w:widowControl w:val="0"/>
        <w:rPr>
          <w:rFonts w:eastAsia="SimSun"/>
        </w:rPr>
      </w:pPr>
      <w:bookmarkStart w:id="178" w:name="_Toc471912982"/>
      <w:r>
        <w:rPr>
          <w:rFonts w:eastAsia="SimSun"/>
          <w:u w:val="none"/>
        </w:rPr>
        <w:lastRenderedPageBreak/>
        <w:t>1</w:t>
      </w:r>
      <w:r w:rsidRPr="009075DC">
        <w:rPr>
          <w:rFonts w:eastAsia="SimSun"/>
          <w:u w:val="none"/>
        </w:rPr>
        <w:t>.</w:t>
      </w:r>
      <w:r w:rsidRPr="009075DC">
        <w:rPr>
          <w:rFonts w:eastAsia="SimSun"/>
          <w:u w:val="none"/>
        </w:rPr>
        <w:tab/>
      </w:r>
      <w:r>
        <w:rPr>
          <w:rFonts w:eastAsia="SimSun"/>
        </w:rPr>
        <w:t xml:space="preserve">Move Fixed </w:t>
      </w:r>
      <w:r w:rsidR="00AB6B68">
        <w:rPr>
          <w:rFonts w:eastAsia="SimSun"/>
        </w:rPr>
        <w:t xml:space="preserve">Power </w:t>
      </w:r>
      <w:r>
        <w:rPr>
          <w:rFonts w:eastAsia="SimSun"/>
        </w:rPr>
        <w:t xml:space="preserve">Costs into </w:t>
      </w:r>
      <w:r w:rsidR="00B55D6C">
        <w:rPr>
          <w:rFonts w:eastAsia="SimSun"/>
        </w:rPr>
        <w:t xml:space="preserve">the </w:t>
      </w:r>
      <w:r>
        <w:rPr>
          <w:rFonts w:eastAsia="SimSun"/>
        </w:rPr>
        <w:t xml:space="preserve">Electric </w:t>
      </w:r>
      <w:r w:rsidR="00B55D6C">
        <w:rPr>
          <w:rFonts w:eastAsia="SimSun"/>
        </w:rPr>
        <w:t xml:space="preserve">Decoupling </w:t>
      </w:r>
      <w:r>
        <w:rPr>
          <w:rFonts w:eastAsia="SimSun"/>
        </w:rPr>
        <w:t>Mechanism</w:t>
      </w:r>
      <w:bookmarkEnd w:id="178"/>
    </w:p>
    <w:p w:rsidR="00C21220" w:rsidRPr="009075DC" w:rsidRDefault="00C21220" w:rsidP="00C21220">
      <w:pPr>
        <w:pStyle w:val="question"/>
        <w:widowControl w:val="0"/>
        <w:rPr>
          <w:rFonts w:eastAsia="SimSun"/>
        </w:rPr>
      </w:pPr>
      <w:r w:rsidRPr="009075DC">
        <w:rPr>
          <w:rFonts w:eastAsia="SimSun"/>
        </w:rPr>
        <w:t>Q.</w:t>
      </w:r>
      <w:r w:rsidRPr="009075DC">
        <w:rPr>
          <w:rFonts w:eastAsia="SimSun"/>
        </w:rPr>
        <w:tab/>
      </w:r>
      <w:r>
        <w:rPr>
          <w:rFonts w:eastAsia="SimSun"/>
        </w:rPr>
        <w:t xml:space="preserve">Why is PSE proposing to move fixed </w:t>
      </w:r>
      <w:r w:rsidR="00AB6B68">
        <w:rPr>
          <w:rFonts w:eastAsia="SimSun"/>
        </w:rPr>
        <w:t xml:space="preserve">power </w:t>
      </w:r>
      <w:r>
        <w:rPr>
          <w:rFonts w:eastAsia="SimSun"/>
        </w:rPr>
        <w:t>costs into its electric decoupling mechanism?</w:t>
      </w:r>
    </w:p>
    <w:p w:rsidR="00980A58" w:rsidRDefault="00C21220" w:rsidP="00C21220">
      <w:pPr>
        <w:pStyle w:val="question"/>
        <w:widowControl w:val="0"/>
        <w:rPr>
          <w:rFonts w:eastAsia="SimSun"/>
          <w:b w:val="0"/>
        </w:rPr>
      </w:pPr>
      <w:r w:rsidRPr="00260FEF">
        <w:rPr>
          <w:rFonts w:eastAsia="SimSun"/>
          <w:b w:val="0"/>
        </w:rPr>
        <w:t>A.</w:t>
      </w:r>
      <w:r w:rsidRPr="00260FEF">
        <w:rPr>
          <w:rFonts w:eastAsia="SimSun"/>
          <w:b w:val="0"/>
        </w:rPr>
        <w:tab/>
      </w:r>
      <w:r>
        <w:rPr>
          <w:rFonts w:eastAsia="SimSun"/>
          <w:b w:val="0"/>
        </w:rPr>
        <w:t xml:space="preserve">This proposal is the result of the </w:t>
      </w:r>
      <w:r w:rsidR="00ED300B">
        <w:rPr>
          <w:rFonts w:eastAsia="SimSun"/>
          <w:b w:val="0"/>
        </w:rPr>
        <w:t xml:space="preserve">PCA </w:t>
      </w:r>
      <w:r>
        <w:rPr>
          <w:rFonts w:eastAsia="SimSun"/>
          <w:b w:val="0"/>
        </w:rPr>
        <w:t xml:space="preserve">settlement stipulation </w:t>
      </w:r>
      <w:r w:rsidR="000C480A">
        <w:rPr>
          <w:rFonts w:eastAsia="SimSun"/>
          <w:b w:val="0"/>
        </w:rPr>
        <w:t xml:space="preserve">approved </w:t>
      </w:r>
      <w:r>
        <w:rPr>
          <w:rFonts w:eastAsia="SimSun"/>
          <w:b w:val="0"/>
        </w:rPr>
        <w:t xml:space="preserve">in Docket UE-130617, in which the parties agreed that if PSE’s electric decoupling mechanism continues after its review in this </w:t>
      </w:r>
      <w:r w:rsidR="000C480A">
        <w:rPr>
          <w:rFonts w:eastAsia="SimSun"/>
          <w:b w:val="0"/>
        </w:rPr>
        <w:t xml:space="preserve">general </w:t>
      </w:r>
      <w:r>
        <w:rPr>
          <w:rFonts w:eastAsia="SimSun"/>
          <w:b w:val="0"/>
        </w:rPr>
        <w:t>rate case that the mechanism would include</w:t>
      </w:r>
      <w:r w:rsidR="00D97E81">
        <w:rPr>
          <w:rFonts w:eastAsia="SimSun"/>
          <w:b w:val="0"/>
        </w:rPr>
        <w:t xml:space="preserve"> the recovery of</w:t>
      </w:r>
      <w:r>
        <w:rPr>
          <w:rFonts w:eastAsia="SimSun"/>
          <w:b w:val="0"/>
        </w:rPr>
        <w:t xml:space="preserve"> fixed </w:t>
      </w:r>
      <w:r w:rsidR="00AB6B68">
        <w:rPr>
          <w:rFonts w:eastAsia="SimSun"/>
          <w:b w:val="0"/>
        </w:rPr>
        <w:t xml:space="preserve">power </w:t>
      </w:r>
      <w:r>
        <w:rPr>
          <w:rFonts w:eastAsia="SimSun"/>
          <w:b w:val="0"/>
        </w:rPr>
        <w:t>costs in addition to delivery costs</w:t>
      </w:r>
      <w:r w:rsidR="000C480A">
        <w:rPr>
          <w:rFonts w:eastAsia="SimSun"/>
          <w:b w:val="0"/>
        </w:rPr>
        <w:t xml:space="preserve">.  Including fixed </w:t>
      </w:r>
      <w:r w:rsidR="00AB6B68">
        <w:rPr>
          <w:rFonts w:eastAsia="SimSun"/>
          <w:b w:val="0"/>
        </w:rPr>
        <w:t xml:space="preserve">power </w:t>
      </w:r>
      <w:r w:rsidR="000C480A">
        <w:rPr>
          <w:rFonts w:eastAsia="SimSun"/>
          <w:b w:val="0"/>
        </w:rPr>
        <w:t>costs in the electric decoupling mechanism further eliminates PSE’s throughput incentive for electric service</w:t>
      </w:r>
      <w:r w:rsidRPr="00260FEF">
        <w:rPr>
          <w:rFonts w:eastAsia="SimSun"/>
          <w:b w:val="0"/>
        </w:rPr>
        <w:t xml:space="preserve">. </w:t>
      </w:r>
      <w:r>
        <w:rPr>
          <w:rFonts w:eastAsia="SimSun"/>
          <w:b w:val="0"/>
        </w:rPr>
        <w:t xml:space="preserve">As PSE is proposing to continue its electric decoupling mechanism in this case, it is also proposing to move fixed </w:t>
      </w:r>
      <w:r w:rsidR="00AB6B68">
        <w:rPr>
          <w:rFonts w:eastAsia="SimSun"/>
          <w:b w:val="0"/>
        </w:rPr>
        <w:t xml:space="preserve">power </w:t>
      </w:r>
      <w:r>
        <w:rPr>
          <w:rFonts w:eastAsia="SimSun"/>
          <w:b w:val="0"/>
        </w:rPr>
        <w:t xml:space="preserve">costs into the mechanisms in accordance with the </w:t>
      </w:r>
      <w:r w:rsidR="00ED300B">
        <w:rPr>
          <w:rFonts w:eastAsia="SimSun"/>
          <w:b w:val="0"/>
        </w:rPr>
        <w:t xml:space="preserve">settlement </w:t>
      </w:r>
      <w:r>
        <w:rPr>
          <w:rFonts w:eastAsia="SimSun"/>
          <w:b w:val="0"/>
        </w:rPr>
        <w:t>stipulation.</w:t>
      </w:r>
    </w:p>
    <w:p w:rsidR="00980A58" w:rsidRPr="009075DC" w:rsidRDefault="00980A58" w:rsidP="00980A58">
      <w:pPr>
        <w:pStyle w:val="question"/>
        <w:widowControl w:val="0"/>
        <w:rPr>
          <w:rFonts w:eastAsia="SimSun"/>
        </w:rPr>
      </w:pPr>
      <w:r w:rsidRPr="009075DC">
        <w:rPr>
          <w:rFonts w:eastAsia="SimSun"/>
        </w:rPr>
        <w:t>Q.</w:t>
      </w:r>
      <w:r w:rsidRPr="009075DC">
        <w:rPr>
          <w:rFonts w:eastAsia="SimSun"/>
        </w:rPr>
        <w:tab/>
      </w:r>
      <w:r>
        <w:rPr>
          <w:rFonts w:eastAsia="SimSun"/>
        </w:rPr>
        <w:t xml:space="preserve">When does the settlement stipulation approved in Docket UE-130617 require PSE to remove fixed </w:t>
      </w:r>
      <w:r w:rsidR="00AB6B68">
        <w:rPr>
          <w:rFonts w:eastAsia="SimSun"/>
        </w:rPr>
        <w:t xml:space="preserve">power </w:t>
      </w:r>
      <w:r>
        <w:rPr>
          <w:rFonts w:eastAsia="SimSun"/>
        </w:rPr>
        <w:t>costs from the PCA mechanism?</w:t>
      </w:r>
    </w:p>
    <w:p w:rsidR="00980A58" w:rsidRPr="00260FEF" w:rsidRDefault="00980A58" w:rsidP="00980A58">
      <w:pPr>
        <w:pStyle w:val="question"/>
        <w:widowControl w:val="0"/>
        <w:rPr>
          <w:rFonts w:eastAsia="SimSun"/>
          <w:b w:val="0"/>
        </w:rPr>
      </w:pPr>
      <w:r w:rsidRPr="00260FEF">
        <w:rPr>
          <w:rFonts w:eastAsia="SimSun"/>
          <w:b w:val="0"/>
        </w:rPr>
        <w:t>A.</w:t>
      </w:r>
      <w:r w:rsidRPr="00260FEF">
        <w:rPr>
          <w:rFonts w:eastAsia="SimSun"/>
          <w:b w:val="0"/>
        </w:rPr>
        <w:tab/>
      </w:r>
      <w:r>
        <w:rPr>
          <w:rFonts w:eastAsia="SimSun"/>
          <w:b w:val="0"/>
        </w:rPr>
        <w:t xml:space="preserve">Item 4 of page 7 of the settlement stipulation requires PSE to remove fixed </w:t>
      </w:r>
      <w:r w:rsidR="00AB6B68">
        <w:rPr>
          <w:rFonts w:eastAsia="SimSun"/>
          <w:b w:val="0"/>
        </w:rPr>
        <w:t xml:space="preserve">power </w:t>
      </w:r>
      <w:r>
        <w:rPr>
          <w:rFonts w:eastAsia="SimSun"/>
          <w:b w:val="0"/>
        </w:rPr>
        <w:t>costs from the PCA mechanism on January 1, 2017</w:t>
      </w:r>
      <w:r w:rsidRPr="00362FF9">
        <w:t xml:space="preserve"> </w:t>
      </w:r>
      <w:r>
        <w:rPr>
          <w:b w:val="0"/>
        </w:rPr>
        <w:t xml:space="preserve">and allowed PSE to file an </w:t>
      </w:r>
      <w:r w:rsidRPr="00362FF9">
        <w:rPr>
          <w:rFonts w:eastAsia="SimSun"/>
          <w:b w:val="0"/>
        </w:rPr>
        <w:t>accounting petition to request deferral of revenue variances associated with the recovery</w:t>
      </w:r>
      <w:r>
        <w:rPr>
          <w:rFonts w:eastAsia="SimSun"/>
          <w:b w:val="0"/>
        </w:rPr>
        <w:t xml:space="preserve"> </w:t>
      </w:r>
      <w:r w:rsidRPr="00362FF9">
        <w:rPr>
          <w:rFonts w:eastAsia="SimSun"/>
          <w:b w:val="0"/>
        </w:rPr>
        <w:t xml:space="preserve">of </w:t>
      </w:r>
      <w:r w:rsidR="00ED300B">
        <w:rPr>
          <w:rFonts w:eastAsia="SimSun"/>
          <w:b w:val="0"/>
        </w:rPr>
        <w:t>f</w:t>
      </w:r>
      <w:r w:rsidR="00ED300B" w:rsidRPr="00362FF9">
        <w:rPr>
          <w:rFonts w:eastAsia="SimSun"/>
          <w:b w:val="0"/>
        </w:rPr>
        <w:t xml:space="preserve">ixed </w:t>
      </w:r>
      <w:r w:rsidR="00AB6B68">
        <w:rPr>
          <w:rFonts w:eastAsia="SimSun"/>
          <w:b w:val="0"/>
        </w:rPr>
        <w:t xml:space="preserve">power </w:t>
      </w:r>
      <w:r w:rsidR="00ED300B">
        <w:rPr>
          <w:rFonts w:eastAsia="SimSun"/>
          <w:b w:val="0"/>
        </w:rPr>
        <w:t xml:space="preserve">costs </w:t>
      </w:r>
      <w:r>
        <w:rPr>
          <w:rFonts w:eastAsia="SimSun"/>
          <w:b w:val="0"/>
        </w:rPr>
        <w:t>to bridge the</w:t>
      </w:r>
      <w:r w:rsidRPr="00362FF9">
        <w:rPr>
          <w:rFonts w:eastAsia="SimSun"/>
          <w:b w:val="0"/>
        </w:rPr>
        <w:t xml:space="preserve"> period between implementation of the</w:t>
      </w:r>
      <w:r>
        <w:rPr>
          <w:rFonts w:eastAsia="SimSun"/>
          <w:b w:val="0"/>
        </w:rPr>
        <w:t xml:space="preserve"> </w:t>
      </w:r>
      <w:r w:rsidRPr="00362FF9">
        <w:rPr>
          <w:rFonts w:eastAsia="SimSun"/>
          <w:b w:val="0"/>
        </w:rPr>
        <w:t>changes to the PCA mechanism on January 1, 2017 and the start of the rate year for</w:t>
      </w:r>
      <w:r>
        <w:rPr>
          <w:rFonts w:eastAsia="SimSun"/>
          <w:b w:val="0"/>
        </w:rPr>
        <w:t xml:space="preserve"> </w:t>
      </w:r>
      <w:r w:rsidRPr="00362FF9">
        <w:rPr>
          <w:rFonts w:eastAsia="SimSun"/>
          <w:b w:val="0"/>
        </w:rPr>
        <w:t>PSE's next general rate case</w:t>
      </w:r>
      <w:r>
        <w:rPr>
          <w:rFonts w:eastAsia="SimSun"/>
          <w:b w:val="0"/>
        </w:rPr>
        <w:t>.</w:t>
      </w:r>
    </w:p>
    <w:p w:rsidR="00980A58" w:rsidRPr="009075DC" w:rsidRDefault="00980A58" w:rsidP="00980A58">
      <w:pPr>
        <w:pStyle w:val="question"/>
        <w:widowControl w:val="0"/>
        <w:rPr>
          <w:rFonts w:eastAsia="SimSun"/>
        </w:rPr>
      </w:pPr>
      <w:r w:rsidRPr="009075DC">
        <w:rPr>
          <w:rFonts w:eastAsia="SimSun"/>
        </w:rPr>
        <w:lastRenderedPageBreak/>
        <w:t>Q.</w:t>
      </w:r>
      <w:r w:rsidRPr="009075DC">
        <w:rPr>
          <w:rFonts w:eastAsia="SimSun"/>
        </w:rPr>
        <w:tab/>
      </w:r>
      <w:r>
        <w:rPr>
          <w:rFonts w:eastAsia="SimSun"/>
        </w:rPr>
        <w:t xml:space="preserve">Did PSE file for an accounting petition to defer revenues associated with the recovery of </w:t>
      </w:r>
      <w:r w:rsidR="00ED300B">
        <w:rPr>
          <w:rFonts w:eastAsia="SimSun"/>
        </w:rPr>
        <w:t xml:space="preserve">fixed </w:t>
      </w:r>
      <w:r w:rsidR="00AB6B68">
        <w:rPr>
          <w:rFonts w:eastAsia="SimSun"/>
        </w:rPr>
        <w:t xml:space="preserve">power </w:t>
      </w:r>
      <w:r w:rsidR="00ED300B">
        <w:rPr>
          <w:rFonts w:eastAsia="SimSun"/>
        </w:rPr>
        <w:t>costs</w:t>
      </w:r>
      <w:r>
        <w:rPr>
          <w:rFonts w:eastAsia="SimSun"/>
        </w:rPr>
        <w:t>?</w:t>
      </w:r>
    </w:p>
    <w:p w:rsidR="00980A58" w:rsidRPr="00260FEF" w:rsidRDefault="00980A58" w:rsidP="00980A58">
      <w:pPr>
        <w:pStyle w:val="question"/>
        <w:widowControl w:val="0"/>
        <w:rPr>
          <w:rFonts w:eastAsia="SimSun"/>
          <w:b w:val="0"/>
        </w:rPr>
      </w:pPr>
      <w:r w:rsidRPr="00260FEF">
        <w:rPr>
          <w:rFonts w:eastAsia="SimSun"/>
          <w:b w:val="0"/>
        </w:rPr>
        <w:t>A.</w:t>
      </w:r>
      <w:r w:rsidRPr="00260FEF">
        <w:rPr>
          <w:rFonts w:eastAsia="SimSun"/>
          <w:b w:val="0"/>
        </w:rPr>
        <w:tab/>
      </w:r>
      <w:r>
        <w:rPr>
          <w:rFonts w:eastAsia="SimSun"/>
          <w:b w:val="0"/>
        </w:rPr>
        <w:t xml:space="preserve">Yes, on September 30, 2016 PSE filed an accounting petition to defer </w:t>
      </w:r>
      <w:r w:rsidR="006A7F43">
        <w:rPr>
          <w:rFonts w:eastAsia="SimSun"/>
          <w:b w:val="0"/>
        </w:rPr>
        <w:t xml:space="preserve">revenue variances associated with </w:t>
      </w:r>
      <w:r>
        <w:rPr>
          <w:rFonts w:eastAsia="SimSun"/>
          <w:b w:val="0"/>
        </w:rPr>
        <w:t xml:space="preserve">fixed </w:t>
      </w:r>
      <w:r w:rsidR="00AB6B68">
        <w:rPr>
          <w:rFonts w:eastAsia="SimSun"/>
          <w:b w:val="0"/>
        </w:rPr>
        <w:t xml:space="preserve">power </w:t>
      </w:r>
      <w:r>
        <w:rPr>
          <w:rFonts w:eastAsia="SimSun"/>
          <w:b w:val="0"/>
        </w:rPr>
        <w:t>costs.  On November 10, 2016 the Commission approved the petition which allows PSE to defer these revenues until December 31, 2017 when rates from this GRC go into effect.</w:t>
      </w:r>
    </w:p>
    <w:p w:rsidR="00980A58" w:rsidRPr="009075DC" w:rsidRDefault="00980A58" w:rsidP="00980A58">
      <w:pPr>
        <w:pStyle w:val="question"/>
        <w:widowControl w:val="0"/>
        <w:rPr>
          <w:rFonts w:eastAsia="SimSun"/>
        </w:rPr>
      </w:pPr>
      <w:r w:rsidRPr="009075DC">
        <w:rPr>
          <w:rFonts w:eastAsia="SimSun"/>
        </w:rPr>
        <w:t>Q.</w:t>
      </w:r>
      <w:r w:rsidRPr="009075DC">
        <w:rPr>
          <w:rFonts w:eastAsia="SimSun"/>
        </w:rPr>
        <w:tab/>
      </w:r>
      <w:r>
        <w:rPr>
          <w:rFonts w:eastAsia="SimSun"/>
        </w:rPr>
        <w:t xml:space="preserve">How does PSE propose to allocate these amounts deferred for calendar year 2017 to the decoupling groups if the decoupling of fixed </w:t>
      </w:r>
      <w:r w:rsidR="00AB6B68">
        <w:rPr>
          <w:rFonts w:eastAsia="SimSun"/>
        </w:rPr>
        <w:t xml:space="preserve">power </w:t>
      </w:r>
      <w:r>
        <w:rPr>
          <w:rFonts w:eastAsia="SimSun"/>
        </w:rPr>
        <w:t>costs is approved in this case?</w:t>
      </w:r>
    </w:p>
    <w:p w:rsidR="00980A58" w:rsidRPr="00980A58" w:rsidRDefault="00980A58" w:rsidP="00980A58">
      <w:pPr>
        <w:pStyle w:val="answer"/>
        <w:rPr>
          <w:rFonts w:eastAsia="SimSun"/>
        </w:rPr>
      </w:pPr>
      <w:r w:rsidRPr="00260FEF">
        <w:rPr>
          <w:rFonts w:eastAsia="SimSun"/>
        </w:rPr>
        <w:t>A.</w:t>
      </w:r>
      <w:r w:rsidRPr="00260FEF">
        <w:rPr>
          <w:rFonts w:eastAsia="SimSun"/>
        </w:rPr>
        <w:tab/>
      </w:r>
      <w:r>
        <w:rPr>
          <w:rFonts w:eastAsia="SimSun"/>
        </w:rPr>
        <w:t xml:space="preserve">Consistent with </w:t>
      </w:r>
      <w:r w:rsidR="00A962D0">
        <w:rPr>
          <w:rFonts w:eastAsia="SimSun"/>
        </w:rPr>
        <w:t xml:space="preserve">the way </w:t>
      </w:r>
      <w:r>
        <w:rPr>
          <w:rFonts w:eastAsia="SimSun"/>
        </w:rPr>
        <w:t>power costs are normally allocated in its general rate cases, PSE proposes to allocate the total deferred amount as of December 31, 2017 or whenever rates from this GRC go into effect to the decoupling groups using their relative contributions to the “peak credit” allocation factor in effect during the year. This factor is the one approved by the Commission in Docket UE-141368</w:t>
      </w:r>
      <w:r w:rsidR="00906383">
        <w:rPr>
          <w:rFonts w:eastAsia="SimSun"/>
        </w:rPr>
        <w:t xml:space="preserve">.  It </w:t>
      </w:r>
      <w:r>
        <w:rPr>
          <w:rFonts w:eastAsia="SimSun"/>
        </w:rPr>
        <w:t xml:space="preserve"> is reflected in Exhibit No.___(JAP-5</w:t>
      </w:r>
      <w:r w:rsidR="00B45BFA">
        <w:rPr>
          <w:rFonts w:eastAsia="SimSun"/>
        </w:rPr>
        <w:t>C</w:t>
      </w:r>
      <w:r>
        <w:rPr>
          <w:rFonts w:eastAsia="SimSun"/>
        </w:rPr>
        <w:t>).</w:t>
      </w:r>
    </w:p>
    <w:p w:rsidR="00C21220" w:rsidRPr="009075DC" w:rsidRDefault="00C21220" w:rsidP="00C21220">
      <w:pPr>
        <w:pStyle w:val="question"/>
        <w:widowControl w:val="0"/>
        <w:rPr>
          <w:rFonts w:eastAsia="SimSun"/>
        </w:rPr>
      </w:pPr>
      <w:r w:rsidRPr="009075DC">
        <w:rPr>
          <w:rFonts w:eastAsia="SimSun"/>
        </w:rPr>
        <w:t>Q.</w:t>
      </w:r>
      <w:r w:rsidRPr="009075DC">
        <w:rPr>
          <w:rFonts w:eastAsia="SimSun"/>
        </w:rPr>
        <w:tab/>
      </w:r>
      <w:r>
        <w:rPr>
          <w:rFonts w:eastAsia="SimSun"/>
        </w:rPr>
        <w:t xml:space="preserve">How </w:t>
      </w:r>
      <w:r w:rsidR="000C480A">
        <w:rPr>
          <w:rFonts w:eastAsia="SimSun"/>
        </w:rPr>
        <w:t xml:space="preserve">does PSE propose to </w:t>
      </w:r>
      <w:r w:rsidR="007B5128">
        <w:rPr>
          <w:rFonts w:eastAsia="SimSun"/>
        </w:rPr>
        <w:t xml:space="preserve">add </w:t>
      </w:r>
      <w:r>
        <w:rPr>
          <w:rFonts w:eastAsia="SimSun"/>
        </w:rPr>
        <w:t xml:space="preserve">fixed </w:t>
      </w:r>
      <w:r w:rsidR="00AB6B68">
        <w:rPr>
          <w:rFonts w:eastAsia="SimSun"/>
        </w:rPr>
        <w:t xml:space="preserve">power </w:t>
      </w:r>
      <w:r>
        <w:rPr>
          <w:rFonts w:eastAsia="SimSun"/>
        </w:rPr>
        <w:t xml:space="preserve">costs </w:t>
      </w:r>
      <w:r w:rsidR="007B5128">
        <w:rPr>
          <w:rFonts w:eastAsia="SimSun"/>
        </w:rPr>
        <w:t>to</w:t>
      </w:r>
      <w:r>
        <w:rPr>
          <w:rFonts w:eastAsia="SimSun"/>
        </w:rPr>
        <w:t xml:space="preserve"> its proposed electric decoupling mechanism?</w:t>
      </w:r>
    </w:p>
    <w:p w:rsidR="00C21220" w:rsidRPr="00260FEF" w:rsidRDefault="00C21220" w:rsidP="00C21220">
      <w:pPr>
        <w:pStyle w:val="question"/>
        <w:widowControl w:val="0"/>
        <w:rPr>
          <w:rFonts w:eastAsia="SimSun"/>
          <w:b w:val="0"/>
        </w:rPr>
      </w:pPr>
      <w:r w:rsidRPr="00260FEF">
        <w:rPr>
          <w:rFonts w:eastAsia="SimSun"/>
          <w:b w:val="0"/>
        </w:rPr>
        <w:t>A.</w:t>
      </w:r>
      <w:r w:rsidRPr="00260FEF">
        <w:rPr>
          <w:rFonts w:eastAsia="SimSun"/>
          <w:b w:val="0"/>
        </w:rPr>
        <w:tab/>
      </w:r>
      <w:r>
        <w:rPr>
          <w:rFonts w:eastAsia="SimSun"/>
          <w:b w:val="0"/>
        </w:rPr>
        <w:t xml:space="preserve">PSE’s fixed </w:t>
      </w:r>
      <w:r w:rsidR="00AB6B68">
        <w:rPr>
          <w:rFonts w:eastAsia="SimSun"/>
          <w:b w:val="0"/>
        </w:rPr>
        <w:t xml:space="preserve">power </w:t>
      </w:r>
      <w:r>
        <w:rPr>
          <w:rFonts w:eastAsia="SimSun"/>
          <w:b w:val="0"/>
        </w:rPr>
        <w:t>costs have been included in the proposed electric decoupling mechanism</w:t>
      </w:r>
      <w:r w:rsidR="007B5128">
        <w:rPr>
          <w:rFonts w:eastAsia="SimSun"/>
          <w:b w:val="0"/>
        </w:rPr>
        <w:t xml:space="preserve"> in this case</w:t>
      </w:r>
      <w:r>
        <w:rPr>
          <w:rFonts w:eastAsia="SimSun"/>
          <w:b w:val="0"/>
        </w:rPr>
        <w:t>, but have been kept as a distinct cost category from the delivery costs in the calculation of Allowed Revenue per Customer</w:t>
      </w:r>
      <w:r w:rsidRPr="00260FEF">
        <w:rPr>
          <w:rFonts w:eastAsia="SimSun"/>
          <w:b w:val="0"/>
        </w:rPr>
        <w:t>.</w:t>
      </w:r>
      <w:r>
        <w:rPr>
          <w:rFonts w:eastAsia="SimSun"/>
          <w:b w:val="0"/>
        </w:rPr>
        <w:t xml:space="preserve"> </w:t>
      </w:r>
      <w:r w:rsidR="00622E2B">
        <w:rPr>
          <w:rFonts w:eastAsia="SimSun"/>
          <w:b w:val="0"/>
        </w:rPr>
        <w:t xml:space="preserve"> </w:t>
      </w:r>
      <w:r w:rsidR="0089595B">
        <w:rPr>
          <w:rFonts w:eastAsia="SimSun"/>
          <w:b w:val="0"/>
        </w:rPr>
        <w:t xml:space="preserve">This calculation is illustrated on page </w:t>
      </w:r>
      <w:r w:rsidR="00906383">
        <w:rPr>
          <w:rFonts w:eastAsia="SimSun"/>
          <w:b w:val="0"/>
        </w:rPr>
        <w:t xml:space="preserve">one </w:t>
      </w:r>
      <w:r w:rsidR="0089595B">
        <w:rPr>
          <w:rFonts w:eastAsia="SimSun"/>
          <w:b w:val="0"/>
        </w:rPr>
        <w:t>of Exhibit No.__(JAP-</w:t>
      </w:r>
      <w:r w:rsidR="0089595B">
        <w:rPr>
          <w:rFonts w:eastAsia="SimSun"/>
          <w:b w:val="0"/>
        </w:rPr>
        <w:fldChar w:fldCharType="begin"/>
      </w:r>
      <w:r w:rsidR="0089595B">
        <w:rPr>
          <w:rFonts w:eastAsia="SimSun"/>
          <w:b w:val="0"/>
        </w:rPr>
        <w:instrText xml:space="preserve"> REF _Ref442873130 \r \h </w:instrText>
      </w:r>
      <w:r w:rsidR="0089595B">
        <w:rPr>
          <w:rFonts w:eastAsia="SimSun"/>
          <w:b w:val="0"/>
        </w:rPr>
      </w:r>
      <w:r w:rsidR="0089595B">
        <w:rPr>
          <w:rFonts w:eastAsia="SimSun"/>
          <w:b w:val="0"/>
        </w:rPr>
        <w:fldChar w:fldCharType="separate"/>
      </w:r>
      <w:r w:rsidR="0035666C">
        <w:rPr>
          <w:rFonts w:eastAsia="SimSun"/>
          <w:b w:val="0"/>
        </w:rPr>
        <w:t>30</w:t>
      </w:r>
      <w:r w:rsidR="0089595B">
        <w:rPr>
          <w:rFonts w:eastAsia="SimSun"/>
          <w:b w:val="0"/>
        </w:rPr>
        <w:fldChar w:fldCharType="end"/>
      </w:r>
      <w:r w:rsidR="0089595B">
        <w:rPr>
          <w:rFonts w:eastAsia="SimSun"/>
          <w:b w:val="0"/>
        </w:rPr>
        <w:t>)</w:t>
      </w:r>
    </w:p>
    <w:p w:rsidR="00C21220" w:rsidRPr="009075DC" w:rsidRDefault="00C21220" w:rsidP="00C21220">
      <w:pPr>
        <w:pStyle w:val="question"/>
        <w:widowControl w:val="0"/>
        <w:rPr>
          <w:rFonts w:eastAsia="SimSun"/>
        </w:rPr>
      </w:pPr>
      <w:r w:rsidRPr="009075DC">
        <w:rPr>
          <w:rFonts w:eastAsia="SimSun"/>
        </w:rPr>
        <w:lastRenderedPageBreak/>
        <w:t>Q.</w:t>
      </w:r>
      <w:r w:rsidRPr="009075DC">
        <w:rPr>
          <w:rFonts w:eastAsia="SimSun"/>
        </w:rPr>
        <w:tab/>
      </w:r>
      <w:r>
        <w:rPr>
          <w:rFonts w:eastAsia="SimSun"/>
        </w:rPr>
        <w:t xml:space="preserve">Why </w:t>
      </w:r>
      <w:r w:rsidR="007B5128">
        <w:rPr>
          <w:rFonts w:eastAsia="SimSun"/>
        </w:rPr>
        <w:t>did PSE</w:t>
      </w:r>
      <w:r>
        <w:rPr>
          <w:rFonts w:eastAsia="SimSun"/>
        </w:rPr>
        <w:t xml:space="preserve"> propose</w:t>
      </w:r>
      <w:r w:rsidR="007B5128">
        <w:rPr>
          <w:rFonts w:eastAsia="SimSun"/>
        </w:rPr>
        <w:t xml:space="preserve"> to</w:t>
      </w:r>
      <w:r>
        <w:rPr>
          <w:rFonts w:eastAsia="SimSun"/>
        </w:rPr>
        <w:t xml:space="preserve"> calculate a separate allowed revenue per customer for production costs</w:t>
      </w:r>
      <w:r w:rsidR="007B5128">
        <w:rPr>
          <w:rFonts w:eastAsia="SimSun"/>
        </w:rPr>
        <w:t xml:space="preserve"> in its electric decoupling mechanism</w:t>
      </w:r>
      <w:r>
        <w:rPr>
          <w:rFonts w:eastAsia="SimSun"/>
        </w:rPr>
        <w:t>?</w:t>
      </w:r>
    </w:p>
    <w:p w:rsidR="00C21220" w:rsidRPr="00260FEF" w:rsidRDefault="00C21220" w:rsidP="00C21220">
      <w:pPr>
        <w:pStyle w:val="question"/>
        <w:widowControl w:val="0"/>
        <w:rPr>
          <w:rFonts w:eastAsia="SimSun"/>
          <w:b w:val="0"/>
        </w:rPr>
      </w:pPr>
      <w:r w:rsidRPr="00260FEF">
        <w:rPr>
          <w:rFonts w:eastAsia="SimSun"/>
          <w:b w:val="0"/>
        </w:rPr>
        <w:t>A.</w:t>
      </w:r>
      <w:r w:rsidRPr="00260FEF">
        <w:rPr>
          <w:rFonts w:eastAsia="SimSun"/>
          <w:b w:val="0"/>
        </w:rPr>
        <w:tab/>
      </w:r>
      <w:r>
        <w:rPr>
          <w:rFonts w:eastAsia="SimSun"/>
          <w:b w:val="0"/>
        </w:rPr>
        <w:t xml:space="preserve">PSE will continue to have the ability to file power cost only rate cases (“PCORCs”) in the future.  Keeping the portion of allowed revenue tied to production costs separate from those tied to delivery costs allows PSE’s electric decoupling mechanism to be transparently updated </w:t>
      </w:r>
      <w:r w:rsidR="00410F83">
        <w:rPr>
          <w:rFonts w:eastAsia="SimSun"/>
          <w:b w:val="0"/>
        </w:rPr>
        <w:t xml:space="preserve">at the time of </w:t>
      </w:r>
      <w:r>
        <w:rPr>
          <w:rFonts w:eastAsia="SimSun"/>
          <w:b w:val="0"/>
        </w:rPr>
        <w:t>a</w:t>
      </w:r>
      <w:r w:rsidR="00410F83">
        <w:rPr>
          <w:rFonts w:eastAsia="SimSun"/>
          <w:b w:val="0"/>
        </w:rPr>
        <w:t xml:space="preserve"> compliance filing in a</w:t>
      </w:r>
      <w:r>
        <w:rPr>
          <w:rFonts w:eastAsia="SimSun"/>
          <w:b w:val="0"/>
        </w:rPr>
        <w:t xml:space="preserve"> PCORC</w:t>
      </w:r>
      <w:r w:rsidRPr="00260FEF">
        <w:rPr>
          <w:rFonts w:eastAsia="SimSun"/>
          <w:b w:val="0"/>
        </w:rPr>
        <w:t>.</w:t>
      </w:r>
      <w:r>
        <w:rPr>
          <w:rFonts w:eastAsia="SimSun"/>
          <w:b w:val="0"/>
        </w:rPr>
        <w:t xml:space="preserve">  </w:t>
      </w:r>
    </w:p>
    <w:p w:rsidR="00C21220" w:rsidRPr="009075DC" w:rsidRDefault="00C21220" w:rsidP="00C21220">
      <w:pPr>
        <w:pStyle w:val="question"/>
        <w:widowControl w:val="0"/>
        <w:rPr>
          <w:rFonts w:eastAsia="SimSun"/>
        </w:rPr>
      </w:pPr>
      <w:r w:rsidRPr="009075DC">
        <w:rPr>
          <w:rFonts w:eastAsia="SimSun"/>
        </w:rPr>
        <w:t>Q.</w:t>
      </w:r>
      <w:r w:rsidRPr="009075DC">
        <w:rPr>
          <w:rFonts w:eastAsia="SimSun"/>
        </w:rPr>
        <w:tab/>
      </w:r>
      <w:r>
        <w:rPr>
          <w:rFonts w:eastAsia="SimSun"/>
        </w:rPr>
        <w:t xml:space="preserve">Is moving fixed </w:t>
      </w:r>
      <w:r w:rsidR="00AB6B68">
        <w:rPr>
          <w:rFonts w:eastAsia="SimSun"/>
        </w:rPr>
        <w:t xml:space="preserve">power </w:t>
      </w:r>
      <w:r>
        <w:rPr>
          <w:rFonts w:eastAsia="SimSun"/>
        </w:rPr>
        <w:t>costs into PSE’s electric decoupling mechanism in the public interest?</w:t>
      </w:r>
    </w:p>
    <w:p w:rsidR="00C21220" w:rsidRPr="00260FEF" w:rsidRDefault="00C21220" w:rsidP="00C21220">
      <w:pPr>
        <w:pStyle w:val="question"/>
        <w:widowControl w:val="0"/>
        <w:rPr>
          <w:rFonts w:eastAsia="SimSun"/>
          <w:b w:val="0"/>
        </w:rPr>
      </w:pPr>
      <w:r w:rsidRPr="00260FEF">
        <w:rPr>
          <w:rFonts w:eastAsia="SimSun"/>
          <w:b w:val="0"/>
        </w:rPr>
        <w:t>A.</w:t>
      </w:r>
      <w:r w:rsidRPr="00260FEF">
        <w:rPr>
          <w:rFonts w:eastAsia="SimSun"/>
          <w:b w:val="0"/>
        </w:rPr>
        <w:tab/>
      </w:r>
      <w:r>
        <w:rPr>
          <w:rFonts w:eastAsia="SimSun"/>
          <w:b w:val="0"/>
        </w:rPr>
        <w:t xml:space="preserve">Yes.  PSE continues to have a throughput incentive associated with the recovery of fixed </w:t>
      </w:r>
      <w:r w:rsidR="00AB6B68">
        <w:rPr>
          <w:rFonts w:eastAsia="SimSun"/>
          <w:b w:val="0"/>
        </w:rPr>
        <w:t xml:space="preserve">power </w:t>
      </w:r>
      <w:r>
        <w:rPr>
          <w:rFonts w:eastAsia="SimSun"/>
          <w:b w:val="0"/>
        </w:rPr>
        <w:t>costs.  Placing the recovery of these costs in the electric decoupling mechanism removes this significant throughput incentive for PSE</w:t>
      </w:r>
      <w:r w:rsidRPr="00260FEF">
        <w:rPr>
          <w:rFonts w:eastAsia="SimSun"/>
          <w:b w:val="0"/>
        </w:rPr>
        <w:t>.</w:t>
      </w:r>
    </w:p>
    <w:p w:rsidR="00C21220" w:rsidRPr="009075DC" w:rsidRDefault="00C21220" w:rsidP="00C21220">
      <w:pPr>
        <w:pStyle w:val="Heading3"/>
        <w:keepNext w:val="0"/>
        <w:keepLines w:val="0"/>
        <w:widowControl w:val="0"/>
        <w:rPr>
          <w:rFonts w:eastAsia="SimSun"/>
        </w:rPr>
      </w:pPr>
      <w:bookmarkStart w:id="179" w:name="_Toc471912983"/>
      <w:r>
        <w:rPr>
          <w:rFonts w:eastAsia="SimSun"/>
          <w:u w:val="none"/>
        </w:rPr>
        <w:t>2</w:t>
      </w:r>
      <w:r w:rsidRPr="009075DC">
        <w:rPr>
          <w:rFonts w:eastAsia="SimSun"/>
          <w:u w:val="none"/>
        </w:rPr>
        <w:t>.</w:t>
      </w:r>
      <w:r w:rsidRPr="009075DC">
        <w:rPr>
          <w:rFonts w:eastAsia="SimSun"/>
          <w:u w:val="none"/>
        </w:rPr>
        <w:tab/>
      </w:r>
      <w:r>
        <w:rPr>
          <w:rFonts w:eastAsia="SimSun"/>
        </w:rPr>
        <w:t>Reorganize Non-Residential Decoupling Rate Groups</w:t>
      </w:r>
      <w:bookmarkEnd w:id="179"/>
    </w:p>
    <w:p w:rsidR="00D04E42" w:rsidRPr="009075DC" w:rsidRDefault="00D04E42" w:rsidP="00D04E42">
      <w:pPr>
        <w:pStyle w:val="question"/>
        <w:widowControl w:val="0"/>
        <w:rPr>
          <w:rFonts w:eastAsia="SimSun"/>
        </w:rPr>
      </w:pPr>
      <w:r w:rsidRPr="009075DC">
        <w:rPr>
          <w:rFonts w:eastAsia="SimSun"/>
        </w:rPr>
        <w:t>Q.</w:t>
      </w:r>
      <w:r w:rsidRPr="009075DC">
        <w:rPr>
          <w:rFonts w:eastAsia="SimSun"/>
        </w:rPr>
        <w:tab/>
      </w:r>
      <w:r>
        <w:rPr>
          <w:rFonts w:eastAsia="SimSun"/>
        </w:rPr>
        <w:t>What changes are you proposing to the electric decoupling rate groups?</w:t>
      </w:r>
    </w:p>
    <w:p w:rsidR="00D04E42" w:rsidRDefault="00D04E42" w:rsidP="00D04E42">
      <w:pPr>
        <w:pStyle w:val="answer"/>
        <w:widowControl w:val="0"/>
        <w:rPr>
          <w:rFonts w:eastAsia="SimSun"/>
        </w:rPr>
      </w:pPr>
      <w:r w:rsidRPr="009075DC">
        <w:rPr>
          <w:rFonts w:eastAsia="SimSun"/>
        </w:rPr>
        <w:t>A.</w:t>
      </w:r>
      <w:r w:rsidRPr="009075DC">
        <w:rPr>
          <w:rFonts w:eastAsia="SimSun"/>
        </w:rPr>
        <w:tab/>
      </w:r>
      <w:r>
        <w:rPr>
          <w:rFonts w:eastAsia="SimSun"/>
        </w:rPr>
        <w:t>PSE proposes to further disaggregate its non-residential electric decoupling rate groups to improve their homogeneity</w:t>
      </w:r>
      <w:r w:rsidRPr="009075DC">
        <w:rPr>
          <w:rFonts w:eastAsia="SimSun"/>
        </w:rPr>
        <w:t>.</w:t>
      </w:r>
      <w:r>
        <w:rPr>
          <w:rFonts w:eastAsia="SimSun"/>
        </w:rPr>
        <w:t xml:space="preserve"> As noted earlier, the non-residential electric rate groups include</w:t>
      </w:r>
      <w:r w:rsidR="00410F83">
        <w:rPr>
          <w:rFonts w:eastAsia="SimSun"/>
        </w:rPr>
        <w:t xml:space="preserve"> one for</w:t>
      </w:r>
      <w:r>
        <w:rPr>
          <w:rFonts w:eastAsia="SimSun"/>
        </w:rPr>
        <w:t xml:space="preserve"> </w:t>
      </w:r>
      <w:r w:rsidR="00AF3257">
        <w:rPr>
          <w:rFonts w:eastAsia="SimSun"/>
        </w:rPr>
        <w:t xml:space="preserve">customers served under </w:t>
      </w:r>
      <w:r>
        <w:rPr>
          <w:rFonts w:eastAsia="SimSun"/>
        </w:rPr>
        <w:t xml:space="preserve">Schedules 12 and 26, another </w:t>
      </w:r>
      <w:r w:rsidR="00410F83">
        <w:rPr>
          <w:rFonts w:eastAsia="SimSun"/>
        </w:rPr>
        <w:t xml:space="preserve">for </w:t>
      </w:r>
      <w:r w:rsidR="00AF3257">
        <w:rPr>
          <w:rFonts w:eastAsia="SimSun"/>
        </w:rPr>
        <w:t xml:space="preserve">customers served under </w:t>
      </w:r>
      <w:r>
        <w:rPr>
          <w:rFonts w:eastAsia="SimSun"/>
        </w:rPr>
        <w:t xml:space="preserve">Schedules 10 and 31 and a third that </w:t>
      </w:r>
      <w:r w:rsidR="00AF3257">
        <w:rPr>
          <w:rFonts w:eastAsia="SimSun"/>
        </w:rPr>
        <w:t>combines</w:t>
      </w:r>
      <w:r>
        <w:rPr>
          <w:rFonts w:eastAsia="SimSun"/>
        </w:rPr>
        <w:t xml:space="preserve"> the </w:t>
      </w:r>
      <w:r>
        <w:rPr>
          <w:rFonts w:eastAsia="SimSun"/>
        </w:rPr>
        <w:lastRenderedPageBreak/>
        <w:t>remaining non-residential rate schedules into one group.</w:t>
      </w:r>
      <w:r w:rsidR="007B5128">
        <w:rPr>
          <w:rStyle w:val="FootnoteReference"/>
          <w:rFonts w:eastAsia="SimSun"/>
        </w:rPr>
        <w:footnoteReference w:id="47"/>
      </w:r>
      <w:r>
        <w:rPr>
          <w:rFonts w:eastAsia="SimSun"/>
        </w:rPr>
        <w:t xml:space="preserve"> PSE proposes to separate this last rate group into </w:t>
      </w:r>
      <w:r w:rsidR="0095467F">
        <w:rPr>
          <w:rFonts w:eastAsia="SimSun"/>
        </w:rPr>
        <w:t>three groups: one that would include customer</w:t>
      </w:r>
      <w:r w:rsidR="00410F83">
        <w:rPr>
          <w:rFonts w:eastAsia="SimSun"/>
        </w:rPr>
        <w:t>s</w:t>
      </w:r>
      <w:r w:rsidR="0095467F">
        <w:rPr>
          <w:rFonts w:eastAsia="SimSun"/>
        </w:rPr>
        <w:t xml:space="preserve"> served under </w:t>
      </w:r>
      <w:r>
        <w:rPr>
          <w:rFonts w:eastAsia="SimSun"/>
        </w:rPr>
        <w:t>Schedules 8 and 24</w:t>
      </w:r>
      <w:r w:rsidR="00846025">
        <w:rPr>
          <w:rFonts w:eastAsia="SimSun"/>
        </w:rPr>
        <w:t>;</w:t>
      </w:r>
      <w:r w:rsidR="0095467F">
        <w:rPr>
          <w:rFonts w:eastAsia="SimSun"/>
        </w:rPr>
        <w:t xml:space="preserve"> another that includes customers served under Schedules 40, 46 and 49</w:t>
      </w:r>
      <w:r w:rsidR="00846025">
        <w:rPr>
          <w:rFonts w:eastAsia="SimSun"/>
        </w:rPr>
        <w:t>;</w:t>
      </w:r>
      <w:r w:rsidR="0095467F">
        <w:rPr>
          <w:rFonts w:eastAsia="SimSun"/>
        </w:rPr>
        <w:t xml:space="preserve"> and another that includes all the remaining non-residential rate schedules that are currently in PSE’s electric decoupling mechanism. </w:t>
      </w:r>
    </w:p>
    <w:p w:rsidR="00D04E42" w:rsidRPr="009075DC" w:rsidRDefault="00D04E42" w:rsidP="00D04E42">
      <w:pPr>
        <w:pStyle w:val="question"/>
        <w:widowControl w:val="0"/>
        <w:rPr>
          <w:rFonts w:eastAsia="SimSun"/>
        </w:rPr>
      </w:pPr>
      <w:r w:rsidRPr="009075DC">
        <w:rPr>
          <w:rFonts w:eastAsia="SimSun"/>
        </w:rPr>
        <w:t>Q.</w:t>
      </w:r>
      <w:r w:rsidRPr="009075DC">
        <w:rPr>
          <w:rFonts w:eastAsia="SimSun"/>
        </w:rPr>
        <w:tab/>
      </w:r>
      <w:r w:rsidR="0095467F">
        <w:rPr>
          <w:rFonts w:eastAsia="SimSun"/>
        </w:rPr>
        <w:t>How do these proposed non-residential rate groups improve the functioning of PSE’s electric decoupling mechanism</w:t>
      </w:r>
      <w:r>
        <w:rPr>
          <w:rFonts w:eastAsia="SimSun"/>
        </w:rPr>
        <w:t>?</w:t>
      </w:r>
    </w:p>
    <w:p w:rsidR="00D04E42" w:rsidRDefault="00D04E42" w:rsidP="00D04E42">
      <w:pPr>
        <w:pStyle w:val="answer"/>
        <w:widowControl w:val="0"/>
        <w:rPr>
          <w:rFonts w:eastAsia="SimSun"/>
        </w:rPr>
      </w:pPr>
      <w:r w:rsidRPr="009075DC">
        <w:rPr>
          <w:rFonts w:eastAsia="SimSun"/>
        </w:rPr>
        <w:t>A.</w:t>
      </w:r>
      <w:r w:rsidRPr="009075DC">
        <w:rPr>
          <w:rFonts w:eastAsia="SimSun"/>
        </w:rPr>
        <w:tab/>
      </w:r>
      <w:r w:rsidR="0095467F">
        <w:rPr>
          <w:rFonts w:eastAsia="SimSun"/>
        </w:rPr>
        <w:t>The increase</w:t>
      </w:r>
      <w:r w:rsidR="007B5128">
        <w:rPr>
          <w:rFonts w:eastAsia="SimSun"/>
        </w:rPr>
        <w:t>d</w:t>
      </w:r>
      <w:r w:rsidR="0095467F">
        <w:rPr>
          <w:rFonts w:eastAsia="SimSun"/>
        </w:rPr>
        <w:t xml:space="preserve"> homogeneity of the groups </w:t>
      </w:r>
      <w:r w:rsidR="007B5128">
        <w:rPr>
          <w:rFonts w:eastAsia="SimSun"/>
        </w:rPr>
        <w:t>mitigates</w:t>
      </w:r>
      <w:r w:rsidR="0095467F">
        <w:rPr>
          <w:rFonts w:eastAsia="SimSun"/>
        </w:rPr>
        <w:t xml:space="preserve"> some of the cross subsidies discussed earlier in my testimony</w:t>
      </w:r>
      <w:r w:rsidRPr="009075DC">
        <w:rPr>
          <w:rFonts w:eastAsia="SimSun"/>
        </w:rPr>
        <w:t>.</w:t>
      </w:r>
      <w:r w:rsidR="007B5128">
        <w:rPr>
          <w:rStyle w:val="FootnoteReference"/>
          <w:rFonts w:eastAsia="SimSun"/>
        </w:rPr>
        <w:footnoteReference w:id="48"/>
      </w:r>
      <w:r w:rsidR="0095467F">
        <w:rPr>
          <w:rFonts w:eastAsia="SimSun"/>
        </w:rPr>
        <w:t xml:space="preserve"> </w:t>
      </w:r>
      <w:r w:rsidR="005A2318">
        <w:rPr>
          <w:rFonts w:eastAsia="SimSun"/>
        </w:rPr>
        <w:t xml:space="preserve"> </w:t>
      </w:r>
      <w:r w:rsidR="0095467F">
        <w:rPr>
          <w:rFonts w:eastAsia="SimSun"/>
        </w:rPr>
        <w:t>At a minimum, Schedules 40, 46 and 49 should be treated as a separate rate group, given their significantly different</w:t>
      </w:r>
      <w:r w:rsidR="007E4303">
        <w:rPr>
          <w:rFonts w:eastAsia="SimSun"/>
        </w:rPr>
        <w:t xml:space="preserve"> load and</w:t>
      </w:r>
      <w:r w:rsidR="0095467F">
        <w:rPr>
          <w:rFonts w:eastAsia="SimSun"/>
        </w:rPr>
        <w:t xml:space="preserve"> service characteristics.  PSE proposes to separate customers in Schedules 8 and 24 </w:t>
      </w:r>
      <w:r w:rsidR="001235E4">
        <w:rPr>
          <w:rFonts w:eastAsia="SimSun"/>
        </w:rPr>
        <w:t xml:space="preserve">due to their far smaller use per customer </w:t>
      </w:r>
      <w:r w:rsidR="0095467F">
        <w:rPr>
          <w:rFonts w:eastAsia="SimSun"/>
        </w:rPr>
        <w:t>and</w:t>
      </w:r>
      <w:r w:rsidR="007E4303">
        <w:rPr>
          <w:rFonts w:eastAsia="SimSun"/>
        </w:rPr>
        <w:t xml:space="preserve"> because</w:t>
      </w:r>
      <w:r w:rsidR="0095467F">
        <w:rPr>
          <w:rFonts w:eastAsia="SimSun"/>
        </w:rPr>
        <w:t xml:space="preserve"> these customers are so great in number and aggregate load that they tend to dominate the overall results for the</w:t>
      </w:r>
      <w:r w:rsidR="00FA1491">
        <w:rPr>
          <w:rFonts w:eastAsia="SimSun"/>
        </w:rPr>
        <w:t xml:space="preserve"> existing</w:t>
      </w:r>
      <w:r w:rsidR="0095467F">
        <w:rPr>
          <w:rFonts w:eastAsia="SimSun"/>
        </w:rPr>
        <w:t xml:space="preserve"> </w:t>
      </w:r>
      <w:r w:rsidR="00FA1491">
        <w:rPr>
          <w:rFonts w:eastAsia="SimSun"/>
        </w:rPr>
        <w:t xml:space="preserve">non-residential </w:t>
      </w:r>
      <w:r w:rsidR="0095467F">
        <w:rPr>
          <w:rFonts w:eastAsia="SimSun"/>
        </w:rPr>
        <w:t xml:space="preserve">group. </w:t>
      </w:r>
    </w:p>
    <w:p w:rsidR="00E764C6" w:rsidRPr="009075DC" w:rsidRDefault="00E764C6" w:rsidP="00E764C6">
      <w:pPr>
        <w:pStyle w:val="question"/>
        <w:widowControl w:val="0"/>
        <w:rPr>
          <w:rFonts w:eastAsia="SimSun"/>
        </w:rPr>
      </w:pPr>
      <w:r w:rsidRPr="009075DC">
        <w:rPr>
          <w:rFonts w:eastAsia="SimSun"/>
        </w:rPr>
        <w:t>Q.</w:t>
      </w:r>
      <w:r w:rsidRPr="009075DC">
        <w:rPr>
          <w:rFonts w:eastAsia="SimSun"/>
        </w:rPr>
        <w:tab/>
      </w:r>
      <w:r>
        <w:rPr>
          <w:rFonts w:eastAsia="SimSun"/>
        </w:rPr>
        <w:t xml:space="preserve">Are there any other reasons why Schedules 40, 46 and 49 should continue to </w:t>
      </w:r>
      <w:r>
        <w:rPr>
          <w:rFonts w:eastAsia="SimSun"/>
        </w:rPr>
        <w:lastRenderedPageBreak/>
        <w:t>be in PSE’s electric decoupling mechanism?</w:t>
      </w:r>
    </w:p>
    <w:p w:rsidR="00E764C6" w:rsidRDefault="00E764C6" w:rsidP="00E764C6">
      <w:pPr>
        <w:pStyle w:val="answer"/>
        <w:widowControl w:val="0"/>
        <w:rPr>
          <w:rFonts w:eastAsia="SimSun"/>
        </w:rPr>
      </w:pPr>
      <w:r w:rsidRPr="009075DC">
        <w:rPr>
          <w:rFonts w:eastAsia="SimSun"/>
        </w:rPr>
        <w:t>A.</w:t>
      </w:r>
      <w:r w:rsidRPr="009075DC">
        <w:rPr>
          <w:rFonts w:eastAsia="SimSun"/>
        </w:rPr>
        <w:tab/>
      </w:r>
      <w:r w:rsidR="00E37E5D">
        <w:rPr>
          <w:rFonts w:eastAsia="SimSun"/>
        </w:rPr>
        <w:t>T</w:t>
      </w:r>
      <w:r>
        <w:rPr>
          <w:rFonts w:eastAsia="SimSun"/>
        </w:rPr>
        <w:t xml:space="preserve">hese schedules have been experiencing </w:t>
      </w:r>
      <w:r w:rsidR="007E4303">
        <w:rPr>
          <w:rFonts w:eastAsia="SimSun"/>
        </w:rPr>
        <w:t xml:space="preserve">significant </w:t>
      </w:r>
      <w:r>
        <w:rPr>
          <w:rFonts w:eastAsia="SimSun"/>
        </w:rPr>
        <w:t>declines in electric use per customer</w:t>
      </w:r>
      <w:r w:rsidRPr="009075DC">
        <w:rPr>
          <w:rFonts w:eastAsia="SimSun"/>
        </w:rPr>
        <w:t>.</w:t>
      </w:r>
      <w:r>
        <w:rPr>
          <w:rFonts w:eastAsia="SimSun"/>
        </w:rPr>
        <w:t xml:space="preserve"> </w:t>
      </w:r>
      <w:r w:rsidR="00E37E5D">
        <w:rPr>
          <w:rFonts w:eastAsia="SimSun"/>
        </w:rPr>
        <w:t xml:space="preserve"> </w:t>
      </w:r>
      <w:r w:rsidR="004E4D21">
        <w:rPr>
          <w:rFonts w:eastAsia="SimSun"/>
        </w:rPr>
        <w:t xml:space="preserve">This can be seen in </w:t>
      </w:r>
      <w:r w:rsidR="004E4D21">
        <w:rPr>
          <w:rFonts w:eastAsia="SimSun"/>
        </w:rPr>
        <w:fldChar w:fldCharType="begin"/>
      </w:r>
      <w:r w:rsidR="004E4D21">
        <w:rPr>
          <w:rFonts w:eastAsia="SimSun"/>
        </w:rPr>
        <w:instrText xml:space="preserve"> REF _Ref445373757 \h </w:instrText>
      </w:r>
      <w:r w:rsidR="004E4D21">
        <w:rPr>
          <w:rFonts w:eastAsia="SimSun"/>
        </w:rPr>
      </w:r>
      <w:r w:rsidR="004E4D21">
        <w:rPr>
          <w:rFonts w:eastAsia="SimSun"/>
        </w:rPr>
        <w:fldChar w:fldCharType="separate"/>
      </w:r>
      <w:r w:rsidR="0035666C" w:rsidRPr="00F233B1">
        <w:rPr>
          <w:szCs w:val="24"/>
        </w:rPr>
        <w:t xml:space="preserve">Table </w:t>
      </w:r>
      <w:r w:rsidR="0035666C">
        <w:rPr>
          <w:noProof/>
          <w:szCs w:val="24"/>
        </w:rPr>
        <w:t>13</w:t>
      </w:r>
      <w:r w:rsidR="004E4D21">
        <w:rPr>
          <w:rFonts w:eastAsia="SimSun"/>
        </w:rPr>
        <w:fldChar w:fldCharType="end"/>
      </w:r>
      <w:r w:rsidR="004E4D21">
        <w:rPr>
          <w:rFonts w:eastAsia="SimSun"/>
        </w:rPr>
        <w:t xml:space="preserve"> above, where customers served under Schedule 40 are shown to have over 22 percent lower use per customer in the third year of the decoupling mechanism (i.e., July 2015 through June 2016) relative to the use per customer that was present in the test year used to set the baseline decoupling allowed delivery revenue per customer (i.e., July 2011 through June 2012).  Similarly, this table shows that average use per customer was approximately 18 percent lower over the same period for customers served under Schedules 46 and 49.  </w:t>
      </w:r>
      <w:r>
        <w:rPr>
          <w:rFonts w:eastAsia="SimSun"/>
        </w:rPr>
        <w:t>Therefore, keeping these customers within the electric decoupling mechanism would address the continued</w:t>
      </w:r>
      <w:r w:rsidR="00FA1491">
        <w:rPr>
          <w:rFonts w:eastAsia="SimSun"/>
        </w:rPr>
        <w:t xml:space="preserve"> revenue erosion created by this declining use per customer and the associated </w:t>
      </w:r>
      <w:r>
        <w:rPr>
          <w:rFonts w:eastAsia="SimSun"/>
        </w:rPr>
        <w:t>throughput incentive that exists for PSE in providing service to these customers.</w:t>
      </w:r>
    </w:p>
    <w:p w:rsidR="0095467F" w:rsidRPr="009075DC" w:rsidRDefault="0095467F" w:rsidP="0095467F">
      <w:pPr>
        <w:pStyle w:val="question"/>
        <w:widowControl w:val="0"/>
        <w:rPr>
          <w:rFonts w:eastAsia="SimSun"/>
        </w:rPr>
      </w:pPr>
      <w:r w:rsidRPr="009075DC">
        <w:rPr>
          <w:rFonts w:eastAsia="SimSun"/>
        </w:rPr>
        <w:t>Q.</w:t>
      </w:r>
      <w:r w:rsidRPr="009075DC">
        <w:rPr>
          <w:rFonts w:eastAsia="SimSun"/>
        </w:rPr>
        <w:tab/>
      </w:r>
      <w:r>
        <w:rPr>
          <w:rFonts w:eastAsia="SimSun"/>
        </w:rPr>
        <w:t xml:space="preserve">If separating these rate schedules into their own rate groups mitigates cross subsidies between schedules, why not simply create a separate rate group for each </w:t>
      </w:r>
      <w:r w:rsidR="007324FB">
        <w:rPr>
          <w:rFonts w:eastAsia="SimSun"/>
        </w:rPr>
        <w:t xml:space="preserve">non-residential </w:t>
      </w:r>
      <w:r>
        <w:rPr>
          <w:rFonts w:eastAsia="SimSun"/>
        </w:rPr>
        <w:t>rate schedule?</w:t>
      </w:r>
    </w:p>
    <w:p w:rsidR="0095467F" w:rsidRDefault="0095467F" w:rsidP="0095467F">
      <w:pPr>
        <w:pStyle w:val="answer"/>
        <w:widowControl w:val="0"/>
        <w:rPr>
          <w:rFonts w:eastAsia="SimSun"/>
        </w:rPr>
      </w:pPr>
      <w:r w:rsidRPr="009075DC">
        <w:rPr>
          <w:rFonts w:eastAsia="SimSun"/>
        </w:rPr>
        <w:t>A.</w:t>
      </w:r>
      <w:r w:rsidRPr="009075DC">
        <w:rPr>
          <w:rFonts w:eastAsia="SimSun"/>
        </w:rPr>
        <w:tab/>
      </w:r>
      <w:r w:rsidR="007324FB">
        <w:rPr>
          <w:rFonts w:eastAsia="SimSun"/>
        </w:rPr>
        <w:t xml:space="preserve">Doing so could create </w:t>
      </w:r>
      <w:r w:rsidR="007D2AFF">
        <w:rPr>
          <w:rFonts w:eastAsia="SimSun"/>
        </w:rPr>
        <w:t xml:space="preserve">the potential for </w:t>
      </w:r>
      <w:r w:rsidR="007324FB">
        <w:rPr>
          <w:rFonts w:eastAsia="SimSun"/>
        </w:rPr>
        <w:t>stronger swings in decoupling deferrals and, therefore, stronger swings in the associated annual rate true-ups</w:t>
      </w:r>
      <w:r w:rsidRPr="009075DC">
        <w:rPr>
          <w:rFonts w:eastAsia="SimSun"/>
        </w:rPr>
        <w:t>.</w:t>
      </w:r>
      <w:r w:rsidR="007324FB">
        <w:rPr>
          <w:rFonts w:eastAsia="SimSun"/>
        </w:rPr>
        <w:t xml:space="preserve"> PSE’s proposal strikes a balance between the competing objectives of minimizing cross subsidies and minimizing rate volatility</w:t>
      </w:r>
      <w:r w:rsidR="007D2AFF">
        <w:rPr>
          <w:rFonts w:eastAsia="SimSun"/>
        </w:rPr>
        <w:t>, both of which are important ratemaking considerations</w:t>
      </w:r>
      <w:r w:rsidR="007324FB">
        <w:rPr>
          <w:rFonts w:eastAsia="SimSun"/>
        </w:rPr>
        <w:t xml:space="preserve">.  </w:t>
      </w:r>
    </w:p>
    <w:p w:rsidR="0095467F" w:rsidRPr="009075DC" w:rsidRDefault="0095467F" w:rsidP="0095467F">
      <w:pPr>
        <w:pStyle w:val="question"/>
        <w:widowControl w:val="0"/>
        <w:rPr>
          <w:rFonts w:eastAsia="SimSun"/>
        </w:rPr>
      </w:pPr>
      <w:r w:rsidRPr="009075DC">
        <w:rPr>
          <w:rFonts w:eastAsia="SimSun"/>
        </w:rPr>
        <w:lastRenderedPageBreak/>
        <w:t>Q.</w:t>
      </w:r>
      <w:r w:rsidRPr="009075DC">
        <w:rPr>
          <w:rFonts w:eastAsia="SimSun"/>
        </w:rPr>
        <w:tab/>
      </w:r>
      <w:r w:rsidR="00E060DE">
        <w:rPr>
          <w:rFonts w:eastAsia="SimSun"/>
        </w:rPr>
        <w:t>What changes are you proposing to the gas decoupling rate groups</w:t>
      </w:r>
      <w:r>
        <w:rPr>
          <w:rFonts w:eastAsia="SimSun"/>
        </w:rPr>
        <w:t>?</w:t>
      </w:r>
    </w:p>
    <w:p w:rsidR="0095467F" w:rsidRDefault="0095467F" w:rsidP="0095467F">
      <w:pPr>
        <w:pStyle w:val="answer"/>
        <w:widowControl w:val="0"/>
        <w:rPr>
          <w:rFonts w:eastAsia="SimSun"/>
        </w:rPr>
      </w:pPr>
      <w:r w:rsidRPr="009075DC">
        <w:rPr>
          <w:rFonts w:eastAsia="SimSun"/>
        </w:rPr>
        <w:t>A.</w:t>
      </w:r>
      <w:r w:rsidRPr="009075DC">
        <w:rPr>
          <w:rFonts w:eastAsia="SimSun"/>
        </w:rPr>
        <w:tab/>
      </w:r>
      <w:r w:rsidR="00E060DE">
        <w:rPr>
          <w:rFonts w:eastAsia="SimSun"/>
        </w:rPr>
        <w:t>PSE is proposing to create a separate non-residential decoupling rate group composed of customers served under Schedules 31 and 31T.  All the remaining non-residential gas customers that are currently in the decoupling mechanism will remain in the same decoupling rate group.</w:t>
      </w:r>
      <w:r w:rsidR="00EE1EA9">
        <w:rPr>
          <w:rStyle w:val="FootnoteReference"/>
          <w:rFonts w:eastAsia="SimSun"/>
        </w:rPr>
        <w:footnoteReference w:id="49"/>
      </w:r>
      <w:r w:rsidR="00E060DE">
        <w:rPr>
          <w:rFonts w:eastAsia="SimSun"/>
        </w:rPr>
        <w:t xml:space="preserve">  </w:t>
      </w:r>
    </w:p>
    <w:p w:rsidR="0095467F" w:rsidRPr="009075DC" w:rsidRDefault="0095467F" w:rsidP="0095467F">
      <w:pPr>
        <w:pStyle w:val="question"/>
        <w:widowControl w:val="0"/>
        <w:rPr>
          <w:rFonts w:eastAsia="SimSun"/>
        </w:rPr>
      </w:pPr>
      <w:r w:rsidRPr="009075DC">
        <w:rPr>
          <w:rFonts w:eastAsia="SimSun"/>
        </w:rPr>
        <w:t>Q.</w:t>
      </w:r>
      <w:r w:rsidRPr="009075DC">
        <w:rPr>
          <w:rFonts w:eastAsia="SimSun"/>
        </w:rPr>
        <w:tab/>
      </w:r>
      <w:r w:rsidR="001235E4">
        <w:rPr>
          <w:rFonts w:eastAsia="SimSun"/>
        </w:rPr>
        <w:t>Why are you proposing to create these new non-residential decoupling rate groups</w:t>
      </w:r>
      <w:r>
        <w:rPr>
          <w:rFonts w:eastAsia="SimSun"/>
        </w:rPr>
        <w:t>?</w:t>
      </w:r>
    </w:p>
    <w:p w:rsidR="0095467F" w:rsidRDefault="0095467F" w:rsidP="0095467F">
      <w:pPr>
        <w:pStyle w:val="answer"/>
        <w:widowControl w:val="0"/>
        <w:rPr>
          <w:rFonts w:eastAsia="SimSun"/>
        </w:rPr>
      </w:pPr>
      <w:r w:rsidRPr="009075DC">
        <w:rPr>
          <w:rFonts w:eastAsia="SimSun"/>
        </w:rPr>
        <w:t>A.</w:t>
      </w:r>
      <w:r w:rsidRPr="009075DC">
        <w:rPr>
          <w:rFonts w:eastAsia="SimSun"/>
        </w:rPr>
        <w:tab/>
      </w:r>
      <w:r w:rsidR="001235E4">
        <w:rPr>
          <w:rFonts w:eastAsia="SimSun"/>
        </w:rPr>
        <w:t xml:space="preserve">Like the electric proposal, this proposal is intended to balance the competing objectives of minimizing cross subsidies while also mitigating rate volatility.  Also similar to the electric proposal, the </w:t>
      </w:r>
      <w:r w:rsidR="0080732C">
        <w:rPr>
          <w:rFonts w:eastAsia="SimSun"/>
        </w:rPr>
        <w:t xml:space="preserve">large number of </w:t>
      </w:r>
      <w:r w:rsidR="001235E4">
        <w:rPr>
          <w:rFonts w:eastAsia="SimSun"/>
        </w:rPr>
        <w:t>small commercial customers served under Schedules 31 and 31T tend to dominate the results for the rest of their existing decoupling rate group</w:t>
      </w:r>
      <w:r w:rsidRPr="009075DC">
        <w:rPr>
          <w:rFonts w:eastAsia="SimSun"/>
        </w:rPr>
        <w:t>.</w:t>
      </w:r>
      <w:r w:rsidR="007D38A6">
        <w:rPr>
          <w:rFonts w:eastAsia="SimSun"/>
        </w:rPr>
        <w:t xml:space="preserve">  The remaining customers in the non-residential decoupling rate group also have a use and revenue per customer</w:t>
      </w:r>
      <w:r w:rsidR="00EE1EA9">
        <w:rPr>
          <w:rFonts w:eastAsia="SimSun"/>
        </w:rPr>
        <w:t xml:space="preserve"> more similar to one another than to customers served under Schedules 31 and 31T</w:t>
      </w:r>
      <w:r w:rsidR="007D38A6">
        <w:rPr>
          <w:rFonts w:eastAsia="SimSun"/>
        </w:rPr>
        <w:t>.</w:t>
      </w:r>
    </w:p>
    <w:p w:rsidR="00BB2842" w:rsidRPr="009075DC" w:rsidRDefault="00BB2842" w:rsidP="00BB2842">
      <w:pPr>
        <w:pStyle w:val="question"/>
        <w:widowControl w:val="0"/>
        <w:rPr>
          <w:rFonts w:eastAsia="SimSun"/>
        </w:rPr>
      </w:pPr>
      <w:r w:rsidRPr="009075DC">
        <w:rPr>
          <w:rFonts w:eastAsia="SimSun"/>
        </w:rPr>
        <w:t>Q.</w:t>
      </w:r>
      <w:r w:rsidRPr="009075DC">
        <w:rPr>
          <w:rFonts w:eastAsia="SimSun"/>
        </w:rPr>
        <w:tab/>
      </w:r>
      <w:r>
        <w:rPr>
          <w:rFonts w:eastAsia="SimSun"/>
        </w:rPr>
        <w:t xml:space="preserve">How will the decoupling deferrals </w:t>
      </w:r>
      <w:r w:rsidR="00EE1EA9">
        <w:rPr>
          <w:rFonts w:eastAsia="SimSun"/>
        </w:rPr>
        <w:t xml:space="preserve">accumulated under the existing decoupling mechanism </w:t>
      </w:r>
      <w:r>
        <w:rPr>
          <w:rFonts w:eastAsia="SimSun"/>
        </w:rPr>
        <w:t>be treated for customer groups that are being reorganized?</w:t>
      </w:r>
    </w:p>
    <w:p w:rsidR="00E6776D" w:rsidRDefault="00BB2842" w:rsidP="0087325E">
      <w:pPr>
        <w:pStyle w:val="answer"/>
        <w:widowControl w:val="0"/>
        <w:rPr>
          <w:rFonts w:eastAsia="SimSun"/>
        </w:rPr>
      </w:pPr>
      <w:r w:rsidRPr="009075DC">
        <w:rPr>
          <w:rFonts w:eastAsia="SimSun"/>
        </w:rPr>
        <w:t>A.</w:t>
      </w:r>
      <w:r w:rsidRPr="009075DC">
        <w:rPr>
          <w:rFonts w:eastAsia="SimSun"/>
        </w:rPr>
        <w:tab/>
      </w:r>
      <w:r w:rsidR="00260C1E">
        <w:rPr>
          <w:rFonts w:eastAsia="SimSun"/>
        </w:rPr>
        <w:t>It will work m</w:t>
      </w:r>
      <w:r>
        <w:rPr>
          <w:rFonts w:eastAsia="SimSun"/>
        </w:rPr>
        <w:t xml:space="preserve">uch like it did when </w:t>
      </w:r>
      <w:r w:rsidR="00E6776D">
        <w:rPr>
          <w:rFonts w:eastAsia="SimSun"/>
        </w:rPr>
        <w:t xml:space="preserve">non-residential electric and gas decoupling rate </w:t>
      </w:r>
      <w:r>
        <w:rPr>
          <w:rFonts w:eastAsia="SimSun"/>
        </w:rPr>
        <w:t>groups were reorganized in 2014</w:t>
      </w:r>
      <w:r w:rsidR="007274CD">
        <w:rPr>
          <w:rFonts w:eastAsia="SimSun"/>
        </w:rPr>
        <w:t xml:space="preserve">.  </w:t>
      </w:r>
      <w:r>
        <w:rPr>
          <w:rFonts w:eastAsia="SimSun"/>
        </w:rPr>
        <w:t xml:space="preserve"> PSE proposes to allocate the decoupling deferrals</w:t>
      </w:r>
      <w:r w:rsidR="0089595B">
        <w:rPr>
          <w:rFonts w:eastAsia="SimSun"/>
        </w:rPr>
        <w:t>, interest and amortization balances</w:t>
      </w:r>
      <w:r>
        <w:rPr>
          <w:rFonts w:eastAsia="SimSun"/>
        </w:rPr>
        <w:t xml:space="preserve"> </w:t>
      </w:r>
      <w:r w:rsidR="007274CD">
        <w:rPr>
          <w:rFonts w:eastAsia="SimSun"/>
        </w:rPr>
        <w:t xml:space="preserve">accumulated in the existing rate </w:t>
      </w:r>
      <w:r w:rsidR="007274CD">
        <w:rPr>
          <w:rFonts w:eastAsia="SimSun"/>
        </w:rPr>
        <w:lastRenderedPageBreak/>
        <w:t xml:space="preserve">groups to the new rate groups </w:t>
      </w:r>
      <w:r>
        <w:rPr>
          <w:rFonts w:eastAsia="SimSun"/>
        </w:rPr>
        <w:t xml:space="preserve">in proportion to the </w:t>
      </w:r>
      <w:r w:rsidR="0087325E">
        <w:rPr>
          <w:rFonts w:eastAsia="SimSun"/>
        </w:rPr>
        <w:t xml:space="preserve">relative </w:t>
      </w:r>
      <w:r w:rsidR="00D065AC">
        <w:rPr>
          <w:rFonts w:eastAsia="SimSun"/>
        </w:rPr>
        <w:t xml:space="preserve">weather-normalized volumetric </w:t>
      </w:r>
      <w:r w:rsidR="0087325E">
        <w:rPr>
          <w:rFonts w:eastAsia="SimSun"/>
        </w:rPr>
        <w:t>delivery revenue for each group.  Since th</w:t>
      </w:r>
      <w:r w:rsidR="00B14DE9">
        <w:rPr>
          <w:rFonts w:eastAsia="SimSun"/>
        </w:rPr>
        <w:t>e final</w:t>
      </w:r>
      <w:r w:rsidR="0087325E">
        <w:rPr>
          <w:rFonts w:eastAsia="SimSun"/>
        </w:rPr>
        <w:t xml:space="preserve"> amount </w:t>
      </w:r>
      <w:r w:rsidR="00B14DE9">
        <w:rPr>
          <w:rFonts w:eastAsia="SimSun"/>
        </w:rPr>
        <w:t xml:space="preserve">to allocate </w:t>
      </w:r>
      <w:r w:rsidR="0087325E">
        <w:rPr>
          <w:rFonts w:eastAsia="SimSun"/>
        </w:rPr>
        <w:t>w</w:t>
      </w:r>
      <w:r w:rsidR="00846025">
        <w:rPr>
          <w:rFonts w:eastAsia="SimSun"/>
        </w:rPr>
        <w:t>ill not</w:t>
      </w:r>
      <w:r w:rsidR="0087325E">
        <w:rPr>
          <w:rFonts w:eastAsia="SimSun"/>
        </w:rPr>
        <w:t xml:space="preserve"> be known at the time of the compliance filing in this case</w:t>
      </w:r>
      <w:r w:rsidR="007274CD">
        <w:rPr>
          <w:rFonts w:eastAsia="SimSun"/>
        </w:rPr>
        <w:t xml:space="preserve"> (or even at its conclusion)</w:t>
      </w:r>
      <w:r w:rsidR="0087325E">
        <w:rPr>
          <w:rFonts w:eastAsia="SimSun"/>
        </w:rPr>
        <w:t xml:space="preserve">, </w:t>
      </w:r>
      <w:r w:rsidR="00D065AC">
        <w:rPr>
          <w:rFonts w:eastAsia="SimSun"/>
        </w:rPr>
        <w:t>t</w:t>
      </w:r>
      <w:r w:rsidR="0087325E">
        <w:rPr>
          <w:rFonts w:eastAsia="SimSun"/>
        </w:rPr>
        <w:t>h</w:t>
      </w:r>
      <w:r w:rsidR="00B14DE9">
        <w:rPr>
          <w:rFonts w:eastAsia="SimSun"/>
        </w:rPr>
        <w:t>e</w:t>
      </w:r>
      <w:r w:rsidR="0087325E">
        <w:rPr>
          <w:rFonts w:eastAsia="SimSun"/>
        </w:rPr>
        <w:t xml:space="preserve"> amounts </w:t>
      </w:r>
      <w:r w:rsidR="00B14DE9">
        <w:rPr>
          <w:rFonts w:eastAsia="SimSun"/>
        </w:rPr>
        <w:t xml:space="preserve">accrued in </w:t>
      </w:r>
      <w:r w:rsidR="0089595B">
        <w:rPr>
          <w:rFonts w:eastAsia="SimSun"/>
        </w:rPr>
        <w:t xml:space="preserve">calendar year </w:t>
      </w:r>
      <w:r w:rsidR="00B14DE9">
        <w:rPr>
          <w:rFonts w:eastAsia="SimSun"/>
        </w:rPr>
        <w:t>201</w:t>
      </w:r>
      <w:r w:rsidR="00505678">
        <w:rPr>
          <w:rFonts w:eastAsia="SimSun"/>
        </w:rPr>
        <w:t>7</w:t>
      </w:r>
      <w:r w:rsidR="00B14DE9">
        <w:rPr>
          <w:rFonts w:eastAsia="SimSun"/>
        </w:rPr>
        <w:t xml:space="preserve"> </w:t>
      </w:r>
      <w:r w:rsidR="0087325E">
        <w:rPr>
          <w:rFonts w:eastAsia="SimSun"/>
        </w:rPr>
        <w:t xml:space="preserve">will be transferred to new deferral accounts associated </w:t>
      </w:r>
      <w:r w:rsidR="0089595B">
        <w:rPr>
          <w:rFonts w:eastAsia="SimSun"/>
        </w:rPr>
        <w:t xml:space="preserve">with </w:t>
      </w:r>
      <w:r w:rsidR="0087325E">
        <w:rPr>
          <w:rFonts w:eastAsia="SimSun"/>
        </w:rPr>
        <w:t>the new decoupling rate groups and incorporated into new Schedule 142 rates at the time of PSE’s next regularly scheduled filing for rates effective May 1, 201</w:t>
      </w:r>
      <w:r w:rsidR="00505678">
        <w:rPr>
          <w:rFonts w:eastAsia="SimSun"/>
        </w:rPr>
        <w:t>8</w:t>
      </w:r>
      <w:r>
        <w:rPr>
          <w:rFonts w:eastAsia="SimSun"/>
        </w:rPr>
        <w:t xml:space="preserve">. </w:t>
      </w:r>
      <w:r w:rsidR="00B14DE9">
        <w:rPr>
          <w:rFonts w:eastAsia="SimSun"/>
        </w:rPr>
        <w:t xml:space="preserve"> </w:t>
      </w:r>
    </w:p>
    <w:p w:rsidR="007D7052" w:rsidRPr="009075DC" w:rsidRDefault="007D7052" w:rsidP="007D7052">
      <w:pPr>
        <w:pStyle w:val="question"/>
        <w:widowControl w:val="0"/>
        <w:rPr>
          <w:rFonts w:eastAsia="SimSun"/>
        </w:rPr>
      </w:pPr>
      <w:r w:rsidRPr="009075DC">
        <w:rPr>
          <w:rFonts w:eastAsia="SimSun"/>
        </w:rPr>
        <w:t>Q.</w:t>
      </w:r>
      <w:r w:rsidRPr="009075DC">
        <w:rPr>
          <w:rFonts w:eastAsia="SimSun"/>
        </w:rPr>
        <w:tab/>
      </w:r>
      <w:r>
        <w:rPr>
          <w:rFonts w:eastAsia="SimSun"/>
        </w:rPr>
        <w:t xml:space="preserve">How will any </w:t>
      </w:r>
      <w:r w:rsidR="00B55D6C">
        <w:rPr>
          <w:rFonts w:eastAsia="SimSun"/>
        </w:rPr>
        <w:t>e</w:t>
      </w:r>
      <w:r>
        <w:rPr>
          <w:rFonts w:eastAsia="SimSun"/>
        </w:rPr>
        <w:t xml:space="preserve">arnings </w:t>
      </w:r>
      <w:r w:rsidR="00B55D6C">
        <w:rPr>
          <w:rFonts w:eastAsia="SimSun"/>
        </w:rPr>
        <w:t>s</w:t>
      </w:r>
      <w:r>
        <w:rPr>
          <w:rFonts w:eastAsia="SimSun"/>
        </w:rPr>
        <w:t xml:space="preserve">haring for </w:t>
      </w:r>
      <w:r w:rsidR="00B55D6C">
        <w:rPr>
          <w:rFonts w:eastAsia="SimSun"/>
        </w:rPr>
        <w:t>c</w:t>
      </w:r>
      <w:r>
        <w:rPr>
          <w:rFonts w:eastAsia="SimSun"/>
        </w:rPr>
        <w:t xml:space="preserve">alendar </w:t>
      </w:r>
      <w:r w:rsidR="00B55D6C">
        <w:rPr>
          <w:rFonts w:eastAsia="SimSun"/>
        </w:rPr>
        <w:t>y</w:t>
      </w:r>
      <w:r>
        <w:rPr>
          <w:rFonts w:eastAsia="SimSun"/>
        </w:rPr>
        <w:t>ear 2017 be allocated to the reorganized customer groups?</w:t>
      </w:r>
    </w:p>
    <w:p w:rsidR="007D7052" w:rsidRDefault="007D7052" w:rsidP="007D7052">
      <w:pPr>
        <w:pStyle w:val="answer"/>
        <w:widowControl w:val="0"/>
        <w:rPr>
          <w:rFonts w:eastAsia="SimSun"/>
        </w:rPr>
      </w:pPr>
      <w:r w:rsidRPr="009075DC">
        <w:rPr>
          <w:rFonts w:eastAsia="SimSun"/>
        </w:rPr>
        <w:t>A.</w:t>
      </w:r>
      <w:r w:rsidRPr="009075DC">
        <w:rPr>
          <w:rFonts w:eastAsia="SimSun"/>
        </w:rPr>
        <w:tab/>
      </w:r>
      <w:r>
        <w:rPr>
          <w:rFonts w:eastAsia="SimSun"/>
        </w:rPr>
        <w:t>In the event there are any earnings sharing for calendar year 2017</w:t>
      </w:r>
      <w:r w:rsidR="00B55D6C">
        <w:rPr>
          <w:rFonts w:eastAsia="SimSun"/>
        </w:rPr>
        <w:t>,</w:t>
      </w:r>
      <w:r>
        <w:rPr>
          <w:rFonts w:eastAsia="SimSun"/>
        </w:rPr>
        <w:t xml:space="preserve"> an additional step will be necessary to allocate any sharing to the reorganized customer groups. The first step will be to allocate any sharing to the current decoupling groups using the current methodology that has been used in past annual filings (i.e., based on each group’s relative contribution to Allowed Revenue).  </w:t>
      </w:r>
      <w:r w:rsidR="00EA724E">
        <w:rPr>
          <w:rFonts w:eastAsia="SimSun"/>
        </w:rPr>
        <w:t xml:space="preserve">The second step will be </w:t>
      </w:r>
      <w:r>
        <w:rPr>
          <w:rFonts w:eastAsia="SimSun"/>
        </w:rPr>
        <w:t xml:space="preserve">to allocate any excess earnings allocated to the non-residential electric and gas customer groups (i.e., in the </w:t>
      </w:r>
      <w:r w:rsidR="00AB5F0F">
        <w:rPr>
          <w:rFonts w:eastAsia="SimSun"/>
        </w:rPr>
        <w:t xml:space="preserve">first step) </w:t>
      </w:r>
      <w:r>
        <w:rPr>
          <w:rFonts w:eastAsia="SimSun"/>
        </w:rPr>
        <w:t>to the new non-residential groups in proportion to the relative weather-normalized volumetric delivery revenue for each rate schedule in the new groups.  If there are any earnings sharing for calendar year 2017 this allocation would take place in the annual Schedule 142 rate filing for rates effective May 1, 2018.</w:t>
      </w:r>
    </w:p>
    <w:p w:rsidR="00C21220" w:rsidRPr="009075DC" w:rsidRDefault="004E65AF" w:rsidP="00C21220">
      <w:pPr>
        <w:pStyle w:val="Heading3"/>
        <w:keepNext w:val="0"/>
        <w:keepLines w:val="0"/>
        <w:widowControl w:val="0"/>
        <w:rPr>
          <w:rFonts w:eastAsia="SimSun"/>
        </w:rPr>
      </w:pPr>
      <w:bookmarkStart w:id="180" w:name="_Toc471912984"/>
      <w:r>
        <w:rPr>
          <w:rFonts w:eastAsia="SimSun"/>
          <w:u w:val="none"/>
        </w:rPr>
        <w:t>3</w:t>
      </w:r>
      <w:r w:rsidR="00C21220" w:rsidRPr="009075DC">
        <w:rPr>
          <w:rFonts w:eastAsia="SimSun"/>
          <w:u w:val="none"/>
        </w:rPr>
        <w:t>.</w:t>
      </w:r>
      <w:r w:rsidR="00C21220" w:rsidRPr="009075DC">
        <w:rPr>
          <w:rFonts w:eastAsia="SimSun"/>
          <w:u w:val="none"/>
        </w:rPr>
        <w:tab/>
      </w:r>
      <w:r w:rsidR="00C21220">
        <w:rPr>
          <w:rFonts w:eastAsia="SimSun"/>
        </w:rPr>
        <w:t>Modify the Calculation of the Decoupling Rate Tests</w:t>
      </w:r>
      <w:bookmarkEnd w:id="180"/>
    </w:p>
    <w:p w:rsidR="00C21220" w:rsidRPr="009075DC" w:rsidRDefault="00C21220" w:rsidP="00C21220">
      <w:pPr>
        <w:pStyle w:val="question"/>
        <w:widowControl w:val="0"/>
        <w:rPr>
          <w:rFonts w:eastAsia="SimSun"/>
        </w:rPr>
      </w:pPr>
      <w:r w:rsidRPr="009075DC">
        <w:rPr>
          <w:rFonts w:eastAsia="SimSun"/>
        </w:rPr>
        <w:t>Q.</w:t>
      </w:r>
      <w:r w:rsidRPr="009075DC">
        <w:rPr>
          <w:rFonts w:eastAsia="SimSun"/>
        </w:rPr>
        <w:tab/>
      </w:r>
      <w:r>
        <w:rPr>
          <w:rFonts w:eastAsia="SimSun"/>
        </w:rPr>
        <w:t>Please explain PSE’s proposed changes to the operation of the Rate Test.</w:t>
      </w:r>
    </w:p>
    <w:p w:rsidR="00C21220" w:rsidRDefault="00C21220" w:rsidP="00C21220">
      <w:pPr>
        <w:pStyle w:val="answer"/>
        <w:widowControl w:val="0"/>
        <w:rPr>
          <w:rFonts w:eastAsia="SimSun"/>
        </w:rPr>
      </w:pPr>
      <w:r w:rsidRPr="009075DC">
        <w:rPr>
          <w:rFonts w:eastAsia="SimSun"/>
        </w:rPr>
        <w:lastRenderedPageBreak/>
        <w:t>A.</w:t>
      </w:r>
      <w:r w:rsidRPr="009075DC">
        <w:rPr>
          <w:rFonts w:eastAsia="SimSun"/>
        </w:rPr>
        <w:tab/>
      </w:r>
      <w:r>
        <w:rPr>
          <w:rFonts w:eastAsia="SimSun"/>
        </w:rPr>
        <w:t xml:space="preserve">PSE proposes </w:t>
      </w:r>
      <w:r w:rsidR="007D7052">
        <w:rPr>
          <w:rFonts w:eastAsia="SimSun"/>
        </w:rPr>
        <w:t>two</w:t>
      </w:r>
      <w:r w:rsidR="0038793E">
        <w:rPr>
          <w:rFonts w:eastAsia="SimSun"/>
        </w:rPr>
        <w:t xml:space="preserve"> </w:t>
      </w:r>
      <w:r>
        <w:rPr>
          <w:rFonts w:eastAsia="SimSun"/>
        </w:rPr>
        <w:t>primary changes to the operation of the Rate Test.  First, PSE proposes to calculate the Rate Test using a baseline where “current” revenue (i.e., the basis for determining the percentage change in rates) is calculated as the product of current rates</w:t>
      </w:r>
      <w:r w:rsidR="00D065AC">
        <w:rPr>
          <w:rStyle w:val="FootnoteReference"/>
          <w:rFonts w:eastAsia="SimSun"/>
        </w:rPr>
        <w:footnoteReference w:id="50"/>
      </w:r>
      <w:r>
        <w:rPr>
          <w:rFonts w:eastAsia="SimSun"/>
        </w:rPr>
        <w:t xml:space="preserve"> </w:t>
      </w:r>
      <w:r w:rsidR="00D065AC">
        <w:rPr>
          <w:rFonts w:eastAsia="SimSun"/>
        </w:rPr>
        <w:t xml:space="preserve">and </w:t>
      </w:r>
      <w:r>
        <w:rPr>
          <w:rFonts w:eastAsia="SimSun"/>
        </w:rPr>
        <w:t>the weather</w:t>
      </w:r>
      <w:r w:rsidR="00D065AC">
        <w:rPr>
          <w:rFonts w:eastAsia="SimSun"/>
        </w:rPr>
        <w:t>-</w:t>
      </w:r>
      <w:r>
        <w:rPr>
          <w:rFonts w:eastAsia="SimSun"/>
        </w:rPr>
        <w:t>normalized billing determinants in the prior calendar year.  This is very similar to the way PSE develops its pro forma revenue in each rate case</w:t>
      </w:r>
      <w:r w:rsidR="00D065AC">
        <w:rPr>
          <w:rFonts w:eastAsia="SimSun"/>
        </w:rPr>
        <w:t xml:space="preserve"> and presents its bill impacts in its various annual rate filings</w:t>
      </w:r>
      <w:r>
        <w:rPr>
          <w:rFonts w:eastAsia="SimSun"/>
        </w:rPr>
        <w:t xml:space="preserve">.  Second, </w:t>
      </w:r>
      <w:r w:rsidR="005F411E">
        <w:rPr>
          <w:rFonts w:eastAsia="SimSun"/>
        </w:rPr>
        <w:t xml:space="preserve">PSE proposes to increase the </w:t>
      </w:r>
      <w:r w:rsidR="00D065AC">
        <w:rPr>
          <w:rFonts w:eastAsia="SimSun"/>
        </w:rPr>
        <w:t xml:space="preserve">Rate Test </w:t>
      </w:r>
      <w:r w:rsidR="005F411E">
        <w:rPr>
          <w:rFonts w:eastAsia="SimSun"/>
        </w:rPr>
        <w:t xml:space="preserve">trigger for the </w:t>
      </w:r>
      <w:r w:rsidR="00D065AC">
        <w:rPr>
          <w:rFonts w:eastAsia="SimSun"/>
        </w:rPr>
        <w:t xml:space="preserve">residential </w:t>
      </w:r>
      <w:r w:rsidR="005F411E">
        <w:rPr>
          <w:rFonts w:eastAsia="SimSun"/>
        </w:rPr>
        <w:t xml:space="preserve">gas </w:t>
      </w:r>
      <w:r w:rsidR="00D065AC">
        <w:rPr>
          <w:rFonts w:eastAsia="SimSun"/>
        </w:rPr>
        <w:t xml:space="preserve">customers in the gas </w:t>
      </w:r>
      <w:r w:rsidR="005F411E">
        <w:rPr>
          <w:rFonts w:eastAsia="SimSun"/>
        </w:rPr>
        <w:t xml:space="preserve">decoupling mechanism </w:t>
      </w:r>
      <w:r w:rsidR="0066300A">
        <w:rPr>
          <w:rFonts w:eastAsia="SimSun"/>
        </w:rPr>
        <w:t xml:space="preserve">and for all customers in the electric decoupling mechanism </w:t>
      </w:r>
      <w:r w:rsidR="005F411E">
        <w:rPr>
          <w:rFonts w:eastAsia="SimSun"/>
        </w:rPr>
        <w:t xml:space="preserve">from </w:t>
      </w:r>
      <w:r w:rsidR="000D74A2">
        <w:rPr>
          <w:rFonts w:eastAsia="SimSun"/>
        </w:rPr>
        <w:t xml:space="preserve">three </w:t>
      </w:r>
      <w:r w:rsidR="005F411E">
        <w:rPr>
          <w:rFonts w:eastAsia="SimSun"/>
        </w:rPr>
        <w:t xml:space="preserve">percent to </w:t>
      </w:r>
      <w:r w:rsidR="000D74A2">
        <w:rPr>
          <w:rFonts w:eastAsia="SimSun"/>
        </w:rPr>
        <w:t xml:space="preserve">five </w:t>
      </w:r>
      <w:r w:rsidR="005F411E">
        <w:rPr>
          <w:rFonts w:eastAsia="SimSun"/>
        </w:rPr>
        <w:t>percent.</w:t>
      </w:r>
      <w:r w:rsidR="0038793E">
        <w:rPr>
          <w:rFonts w:eastAsia="SimSun"/>
        </w:rPr>
        <w:t xml:space="preserve">  </w:t>
      </w:r>
    </w:p>
    <w:p w:rsidR="00C21220" w:rsidRPr="009075DC" w:rsidRDefault="00C21220" w:rsidP="00C21220">
      <w:pPr>
        <w:pStyle w:val="question"/>
        <w:widowControl w:val="0"/>
        <w:rPr>
          <w:rFonts w:eastAsia="SimSun"/>
        </w:rPr>
      </w:pPr>
      <w:r w:rsidRPr="009075DC">
        <w:rPr>
          <w:rFonts w:eastAsia="SimSun"/>
        </w:rPr>
        <w:t>Q.</w:t>
      </w:r>
      <w:r w:rsidRPr="009075DC">
        <w:rPr>
          <w:rFonts w:eastAsia="SimSun"/>
        </w:rPr>
        <w:tab/>
      </w:r>
      <w:r>
        <w:rPr>
          <w:rFonts w:eastAsia="SimSun"/>
        </w:rPr>
        <w:t>Please explain why PSE is proposing to change the way it calculates c</w:t>
      </w:r>
      <w:r w:rsidR="00846025">
        <w:rPr>
          <w:rFonts w:eastAsia="SimSun"/>
        </w:rPr>
        <w:t>urrent revenue in the Rate Test.</w:t>
      </w:r>
    </w:p>
    <w:p w:rsidR="0089595B" w:rsidRDefault="00C21220" w:rsidP="0089595B">
      <w:pPr>
        <w:pStyle w:val="answer"/>
        <w:widowControl w:val="0"/>
        <w:rPr>
          <w:rFonts w:eastAsia="SimSun"/>
        </w:rPr>
      </w:pPr>
      <w:r w:rsidRPr="009075DC">
        <w:rPr>
          <w:rFonts w:eastAsia="SimSun"/>
        </w:rPr>
        <w:t>A.</w:t>
      </w:r>
      <w:r w:rsidRPr="009075DC">
        <w:rPr>
          <w:rFonts w:eastAsia="SimSun"/>
        </w:rPr>
        <w:tab/>
      </w:r>
      <w:r w:rsidR="000D74A2">
        <w:rPr>
          <w:rFonts w:eastAsia="SimSun"/>
        </w:rPr>
        <w:t xml:space="preserve">PSE’s proposed change </w:t>
      </w:r>
      <w:r>
        <w:rPr>
          <w:rFonts w:eastAsia="SimSun"/>
        </w:rPr>
        <w:t xml:space="preserve">will make the </w:t>
      </w:r>
      <w:r w:rsidR="000D74A2">
        <w:rPr>
          <w:rFonts w:eastAsia="SimSun"/>
        </w:rPr>
        <w:t xml:space="preserve">Rate Test </w:t>
      </w:r>
      <w:r>
        <w:rPr>
          <w:rFonts w:eastAsia="SimSun"/>
        </w:rPr>
        <w:t xml:space="preserve">more </w:t>
      </w:r>
      <w:r w:rsidR="0089595B">
        <w:rPr>
          <w:rFonts w:eastAsia="SimSun"/>
        </w:rPr>
        <w:t xml:space="preserve">transparent </w:t>
      </w:r>
      <w:r>
        <w:rPr>
          <w:rFonts w:eastAsia="SimSun"/>
        </w:rPr>
        <w:t>and eas</w:t>
      </w:r>
      <w:r w:rsidR="005F411E">
        <w:rPr>
          <w:rFonts w:eastAsia="SimSun"/>
        </w:rPr>
        <w:t>ier</w:t>
      </w:r>
      <w:r>
        <w:rPr>
          <w:rFonts w:eastAsia="SimSun"/>
        </w:rPr>
        <w:t xml:space="preserve"> to calculate. </w:t>
      </w:r>
      <w:r w:rsidR="0089595B">
        <w:rPr>
          <w:rFonts w:eastAsia="SimSun"/>
        </w:rPr>
        <w:t xml:space="preserve">PSE currently uses normalized revenue from its </w:t>
      </w:r>
      <w:r w:rsidR="00433CB2">
        <w:rPr>
          <w:rFonts w:eastAsia="SimSun"/>
        </w:rPr>
        <w:t>Commission Basis Report (“</w:t>
      </w:r>
      <w:r w:rsidR="0089595B">
        <w:rPr>
          <w:rFonts w:eastAsia="SimSun"/>
        </w:rPr>
        <w:t>CBR</w:t>
      </w:r>
      <w:r w:rsidR="00433CB2">
        <w:rPr>
          <w:rFonts w:eastAsia="SimSun"/>
        </w:rPr>
        <w:t>”)</w:t>
      </w:r>
      <w:r w:rsidR="0089595B">
        <w:rPr>
          <w:rFonts w:eastAsia="SimSun"/>
        </w:rPr>
        <w:t xml:space="preserve"> as the basis for determining the </w:t>
      </w:r>
      <w:r w:rsidR="00461E19">
        <w:rPr>
          <w:rFonts w:eastAsia="SimSun"/>
        </w:rPr>
        <w:t>Rate Test</w:t>
      </w:r>
      <w:r w:rsidR="0089595B">
        <w:rPr>
          <w:rFonts w:eastAsia="SimSun"/>
        </w:rPr>
        <w:t xml:space="preserve">.  These revenues are not decomposed at the schedule level that is required to conduct the </w:t>
      </w:r>
      <w:r w:rsidR="00461E19">
        <w:rPr>
          <w:rFonts w:eastAsia="SimSun"/>
        </w:rPr>
        <w:t>Rate Test</w:t>
      </w:r>
      <w:r w:rsidR="0089595B">
        <w:rPr>
          <w:rFonts w:eastAsia="SimSun"/>
        </w:rPr>
        <w:t xml:space="preserve"> for each decoupling rate group and doing so requires considerable effort. Schedule 142 revenue embedded in these results must also be removed and replaced with a pro</w:t>
      </w:r>
      <w:r w:rsidR="004E0DE1">
        <w:rPr>
          <w:rFonts w:eastAsia="SimSun"/>
        </w:rPr>
        <w:t xml:space="preserve"> </w:t>
      </w:r>
      <w:r w:rsidR="0089595B">
        <w:rPr>
          <w:rFonts w:eastAsia="SimSun"/>
        </w:rPr>
        <w:t>formed level of revenues at current Schedule 142 revenue for each schedule.   Rather than perform these multiple steps, a more straight-forward and transparent approach is simply to multiply the weather</w:t>
      </w:r>
      <w:r w:rsidR="00464D88">
        <w:rPr>
          <w:rFonts w:eastAsia="SimSun"/>
        </w:rPr>
        <w:t>-</w:t>
      </w:r>
      <w:r w:rsidR="0089595B">
        <w:rPr>
          <w:rFonts w:eastAsia="SimSun"/>
        </w:rPr>
        <w:t xml:space="preserve">normalized billing determinants from </w:t>
      </w:r>
      <w:r w:rsidR="0089595B">
        <w:rPr>
          <w:rFonts w:eastAsia="SimSun"/>
        </w:rPr>
        <w:lastRenderedPageBreak/>
        <w:t xml:space="preserve">the CBR by the current rates, similar to </w:t>
      </w:r>
      <w:r w:rsidR="004E0DE1">
        <w:rPr>
          <w:rFonts w:eastAsia="SimSun"/>
        </w:rPr>
        <w:t xml:space="preserve">the way that </w:t>
      </w:r>
      <w:r w:rsidR="0089595B">
        <w:rPr>
          <w:rFonts w:eastAsia="SimSun"/>
        </w:rPr>
        <w:t>pro forma revenue is calculated.</w:t>
      </w:r>
      <w:r w:rsidR="008A70F5">
        <w:rPr>
          <w:rStyle w:val="FootnoteReference"/>
          <w:rFonts w:eastAsia="SimSun"/>
        </w:rPr>
        <w:footnoteReference w:id="51"/>
      </w:r>
      <w:r w:rsidR="0089595B">
        <w:rPr>
          <w:rFonts w:eastAsia="SimSun"/>
        </w:rPr>
        <w:t xml:space="preserve">    </w:t>
      </w:r>
    </w:p>
    <w:p w:rsidR="00C21220" w:rsidRPr="009075DC" w:rsidRDefault="00C21220" w:rsidP="00C21220">
      <w:pPr>
        <w:pStyle w:val="question"/>
        <w:widowControl w:val="0"/>
        <w:rPr>
          <w:rFonts w:eastAsia="SimSun"/>
        </w:rPr>
      </w:pPr>
      <w:r w:rsidRPr="009075DC">
        <w:rPr>
          <w:rFonts w:eastAsia="SimSun"/>
        </w:rPr>
        <w:t>Q.</w:t>
      </w:r>
      <w:r w:rsidRPr="009075DC">
        <w:rPr>
          <w:rFonts w:eastAsia="SimSun"/>
        </w:rPr>
        <w:tab/>
      </w:r>
      <w:r w:rsidR="00B0213C">
        <w:rPr>
          <w:rFonts w:eastAsia="SimSun"/>
        </w:rPr>
        <w:t>Why does PSE believe a higher Rate Test trigger</w:t>
      </w:r>
      <w:r w:rsidR="007D7052">
        <w:rPr>
          <w:rFonts w:eastAsia="SimSun"/>
        </w:rPr>
        <w:t xml:space="preserve"> for gas residential customers</w:t>
      </w:r>
      <w:r w:rsidR="00B0213C">
        <w:rPr>
          <w:rFonts w:eastAsia="SimSun"/>
        </w:rPr>
        <w:t xml:space="preserve"> is appropriate</w:t>
      </w:r>
      <w:r>
        <w:rPr>
          <w:rFonts w:eastAsia="SimSun"/>
        </w:rPr>
        <w:t>?</w:t>
      </w:r>
    </w:p>
    <w:p w:rsidR="00C21220" w:rsidRDefault="00C21220" w:rsidP="00C21220">
      <w:pPr>
        <w:pStyle w:val="answer"/>
        <w:widowControl w:val="0"/>
        <w:rPr>
          <w:rFonts w:eastAsia="SimSun"/>
        </w:rPr>
      </w:pPr>
      <w:r w:rsidRPr="009075DC">
        <w:rPr>
          <w:rFonts w:eastAsia="SimSun"/>
        </w:rPr>
        <w:t>A.</w:t>
      </w:r>
      <w:r w:rsidRPr="009075DC">
        <w:rPr>
          <w:rFonts w:eastAsia="SimSun"/>
        </w:rPr>
        <w:tab/>
      </w:r>
      <w:r w:rsidR="0066300A">
        <w:rPr>
          <w:rFonts w:eastAsia="SimSun"/>
        </w:rPr>
        <w:t>To date, gas residential customers have experienced very high levels of unamortized deferred revenues and setting a</w:t>
      </w:r>
      <w:r w:rsidR="004E0DE1">
        <w:rPr>
          <w:rFonts w:eastAsia="SimSun"/>
        </w:rPr>
        <w:t xml:space="preserve"> higher Rate Trigger</w:t>
      </w:r>
      <w:r w:rsidR="00B0213C">
        <w:rPr>
          <w:rFonts w:eastAsia="SimSun"/>
        </w:rPr>
        <w:t xml:space="preserve"> will better align cost causation and cost recovery</w:t>
      </w:r>
      <w:r w:rsidR="00792C58">
        <w:rPr>
          <w:rFonts w:eastAsia="SimSun"/>
        </w:rPr>
        <w:t>, and improve intergenerational equity</w:t>
      </w:r>
      <w:r w:rsidR="00B0213C">
        <w:rPr>
          <w:rFonts w:eastAsia="SimSun"/>
        </w:rPr>
        <w:t xml:space="preserve">.  </w:t>
      </w:r>
      <w:r w:rsidR="00057AE7">
        <w:rPr>
          <w:rFonts w:eastAsia="SimSun"/>
        </w:rPr>
        <w:t>The longer the deferred balances remain on the balance sheet</w:t>
      </w:r>
      <w:r w:rsidR="00B0213C">
        <w:rPr>
          <w:rFonts w:eastAsia="SimSun"/>
        </w:rPr>
        <w:t>, the less likely the customers who benefited from the deferred recovery of costs will be the customers that pay for those costs. In addition</w:t>
      </w:r>
      <w:r w:rsidR="00792C58">
        <w:rPr>
          <w:rFonts w:eastAsia="SimSun"/>
        </w:rPr>
        <w:t xml:space="preserve"> it is reasonable to believe that</w:t>
      </w:r>
      <w:r w:rsidR="00B0213C">
        <w:rPr>
          <w:rFonts w:eastAsia="SimSun"/>
        </w:rPr>
        <w:t xml:space="preserve">, the longer the period between cost causation and cost recovery, the more likely it will create customer confusion and dissatisfaction regarding </w:t>
      </w:r>
      <w:r w:rsidR="00792C58">
        <w:rPr>
          <w:rFonts w:eastAsia="SimSun"/>
        </w:rPr>
        <w:t xml:space="preserve">why </w:t>
      </w:r>
      <w:r w:rsidR="00B0213C">
        <w:rPr>
          <w:rFonts w:eastAsia="SimSun"/>
        </w:rPr>
        <w:t xml:space="preserve">rates </w:t>
      </w:r>
      <w:r w:rsidR="00792C58">
        <w:rPr>
          <w:rFonts w:eastAsia="SimSun"/>
        </w:rPr>
        <w:t>continue to be elevated for costs incurred in the past</w:t>
      </w:r>
      <w:r w:rsidRPr="009075DC">
        <w:rPr>
          <w:rFonts w:eastAsia="SimSun"/>
        </w:rPr>
        <w:t>.</w:t>
      </w:r>
      <w:r w:rsidR="00B0213C">
        <w:rPr>
          <w:rFonts w:eastAsia="SimSun"/>
        </w:rPr>
        <w:t xml:space="preserve">  </w:t>
      </w:r>
      <w:r w:rsidR="00464D88">
        <w:rPr>
          <w:rFonts w:eastAsia="SimSun"/>
        </w:rPr>
        <w:t>PSE’s proposal is also supported by the recommendations in the Gil Peach Report</w:t>
      </w:r>
      <w:r w:rsidR="007D7052">
        <w:rPr>
          <w:rFonts w:eastAsia="SimSun"/>
        </w:rPr>
        <w:t xml:space="preserve"> and analysis the Company has performed</w:t>
      </w:r>
      <w:r w:rsidR="00623EAD">
        <w:rPr>
          <w:rFonts w:eastAsia="SimSun"/>
        </w:rPr>
        <w:t>, which</w:t>
      </w:r>
      <w:r w:rsidR="007D7052">
        <w:rPr>
          <w:rFonts w:eastAsia="SimSun"/>
        </w:rPr>
        <w:t xml:space="preserve"> show </w:t>
      </w:r>
      <w:r w:rsidR="00623EAD">
        <w:rPr>
          <w:rFonts w:eastAsia="SimSun"/>
        </w:rPr>
        <w:t xml:space="preserve">that </w:t>
      </w:r>
      <w:r w:rsidR="006A7F43">
        <w:rPr>
          <w:rFonts w:eastAsia="SimSun"/>
        </w:rPr>
        <w:t xml:space="preserve">amortization rates could have been proposed to clear </w:t>
      </w:r>
      <w:r w:rsidR="00623EAD">
        <w:rPr>
          <w:rFonts w:eastAsia="SimSun"/>
        </w:rPr>
        <w:t>all</w:t>
      </w:r>
      <w:r w:rsidR="006A7F43">
        <w:rPr>
          <w:rFonts w:eastAsia="SimSun"/>
        </w:rPr>
        <w:t xml:space="preserve"> of</w:t>
      </w:r>
      <w:r w:rsidR="00623EAD">
        <w:rPr>
          <w:rFonts w:eastAsia="SimSun"/>
        </w:rPr>
        <w:t xml:space="preserve"> the </w:t>
      </w:r>
      <w:r w:rsidR="006A7F43">
        <w:rPr>
          <w:rFonts w:eastAsia="SimSun"/>
        </w:rPr>
        <w:t xml:space="preserve">decoupling-related </w:t>
      </w:r>
      <w:r w:rsidR="00623EAD">
        <w:rPr>
          <w:rFonts w:eastAsia="SimSun"/>
        </w:rPr>
        <w:t xml:space="preserve">gas residential deferrals in the 2015 and 2016 annual filings if </w:t>
      </w:r>
      <w:r w:rsidR="007D7052">
        <w:rPr>
          <w:rFonts w:eastAsia="SimSun"/>
        </w:rPr>
        <w:t xml:space="preserve">a </w:t>
      </w:r>
      <w:r w:rsidR="004E0DE1">
        <w:rPr>
          <w:rFonts w:eastAsia="SimSun"/>
        </w:rPr>
        <w:t xml:space="preserve">five </w:t>
      </w:r>
      <w:r w:rsidR="007D7052">
        <w:rPr>
          <w:rFonts w:eastAsia="SimSun"/>
        </w:rPr>
        <w:t xml:space="preserve">percent </w:t>
      </w:r>
      <w:r w:rsidR="004E0DE1">
        <w:rPr>
          <w:rFonts w:eastAsia="SimSun"/>
        </w:rPr>
        <w:t xml:space="preserve">cap </w:t>
      </w:r>
      <w:r w:rsidR="00623EAD">
        <w:rPr>
          <w:rFonts w:eastAsia="SimSun"/>
        </w:rPr>
        <w:t>on rate increases had been in place.</w:t>
      </w:r>
    </w:p>
    <w:p w:rsidR="0066300A" w:rsidRPr="00700AF8" w:rsidRDefault="0066300A" w:rsidP="0066300A">
      <w:pPr>
        <w:pStyle w:val="answer"/>
        <w:widowControl w:val="0"/>
        <w:rPr>
          <w:rFonts w:eastAsia="SimSun"/>
          <w:b/>
        </w:rPr>
      </w:pPr>
      <w:r w:rsidRPr="00700AF8">
        <w:rPr>
          <w:rFonts w:eastAsia="SimSun"/>
          <w:b/>
        </w:rPr>
        <w:t>Q.</w:t>
      </w:r>
      <w:r w:rsidRPr="00700AF8">
        <w:rPr>
          <w:rFonts w:eastAsia="SimSun"/>
          <w:b/>
        </w:rPr>
        <w:tab/>
      </w:r>
      <w:r w:rsidRPr="0066300A">
        <w:rPr>
          <w:rFonts w:eastAsia="SimSun"/>
          <w:b/>
        </w:rPr>
        <w:t xml:space="preserve">Why does PSE believe a higher Rate Test trigger for </w:t>
      </w:r>
      <w:r>
        <w:rPr>
          <w:rFonts w:eastAsia="SimSun"/>
          <w:b/>
        </w:rPr>
        <w:t xml:space="preserve">all </w:t>
      </w:r>
      <w:r w:rsidRPr="0066300A">
        <w:rPr>
          <w:rFonts w:eastAsia="SimSun"/>
          <w:b/>
        </w:rPr>
        <w:t xml:space="preserve">customers </w:t>
      </w:r>
      <w:r>
        <w:rPr>
          <w:rFonts w:eastAsia="SimSun"/>
          <w:b/>
        </w:rPr>
        <w:t xml:space="preserve">within the electric decoupling mechanism </w:t>
      </w:r>
      <w:r w:rsidRPr="0066300A">
        <w:rPr>
          <w:rFonts w:eastAsia="SimSun"/>
          <w:b/>
        </w:rPr>
        <w:t>is appropriate?</w:t>
      </w:r>
    </w:p>
    <w:p w:rsidR="0066300A" w:rsidRDefault="0066300A" w:rsidP="0066300A">
      <w:pPr>
        <w:pStyle w:val="answer"/>
        <w:widowControl w:val="0"/>
        <w:rPr>
          <w:rFonts w:eastAsia="SimSun"/>
        </w:rPr>
      </w:pPr>
      <w:r>
        <w:rPr>
          <w:rFonts w:eastAsia="SimSun"/>
        </w:rPr>
        <w:lastRenderedPageBreak/>
        <w:t>A.</w:t>
      </w:r>
      <w:r>
        <w:rPr>
          <w:rFonts w:eastAsia="SimSun"/>
        </w:rPr>
        <w:tab/>
        <w:t xml:space="preserve">While there has not been a significant historic problem with significant unamortized deferred revenue for customers within PSE’s electric decoupling mechanism, the addition of fixed power cost recovery to this mechanism may create the potential for future problems.  </w:t>
      </w:r>
      <w:r w:rsidR="00BA0156">
        <w:rPr>
          <w:rFonts w:eastAsia="SimSun"/>
        </w:rPr>
        <w:t xml:space="preserve">As will </w:t>
      </w:r>
      <w:r w:rsidR="006C3EAD">
        <w:rPr>
          <w:rFonts w:eastAsia="SimSun"/>
        </w:rPr>
        <w:t xml:space="preserve">be </w:t>
      </w:r>
      <w:r w:rsidR="00BA0156">
        <w:rPr>
          <w:rFonts w:eastAsia="SimSun"/>
        </w:rPr>
        <w:t>discussed in more detail later in this testimony, adding fixed power costs to the electric decoupling mechanism will almost double the allowed revenue recovered through th</w:t>
      </w:r>
      <w:r w:rsidR="006C3EAD">
        <w:rPr>
          <w:rFonts w:eastAsia="SimSun"/>
        </w:rPr>
        <w:t>e electric</w:t>
      </w:r>
      <w:r w:rsidR="00BA0156">
        <w:rPr>
          <w:rFonts w:eastAsia="SimSun"/>
        </w:rPr>
        <w:t xml:space="preserve"> mechanism.  This means that any variations in </w:t>
      </w:r>
      <w:r w:rsidR="006C3EAD">
        <w:rPr>
          <w:rFonts w:eastAsia="SimSun"/>
        </w:rPr>
        <w:t xml:space="preserve">electric </w:t>
      </w:r>
      <w:r w:rsidR="00BA0156">
        <w:rPr>
          <w:rFonts w:eastAsia="SimSun"/>
        </w:rPr>
        <w:t xml:space="preserve">customer use will have almost double the impact on potential rate impacts in the future.  </w:t>
      </w:r>
      <w:r w:rsidR="006C3EAD">
        <w:rPr>
          <w:rFonts w:eastAsia="SimSun"/>
        </w:rPr>
        <w:t>For example, i</w:t>
      </w:r>
      <w:r w:rsidR="00BA0156">
        <w:rPr>
          <w:rFonts w:eastAsia="SimSun"/>
        </w:rPr>
        <w:t xml:space="preserve">n May of 2015, the rate impacts to the Residential and Non-Residential Rate Groups in the electric decoupling mechanism were 2.9 percent and 2.4 percent, respectively.  It therefore stands to reason that, if fixed power costs were also included at that time, the impacts would have roughly doubled (using the rough proportionality of the proposal in this case).  While it is true that the Rate Plan also contributed to a portion of the historic </w:t>
      </w:r>
      <w:r w:rsidR="006C3EAD">
        <w:rPr>
          <w:rFonts w:eastAsia="SimSun"/>
        </w:rPr>
        <w:t xml:space="preserve">rate </w:t>
      </w:r>
      <w:r w:rsidR="00BA0156">
        <w:rPr>
          <w:rFonts w:eastAsia="SimSun"/>
        </w:rPr>
        <w:t xml:space="preserve">increases </w:t>
      </w:r>
      <w:r w:rsidR="006C3EAD">
        <w:rPr>
          <w:rFonts w:eastAsia="SimSun"/>
        </w:rPr>
        <w:t xml:space="preserve">and a similar plan </w:t>
      </w:r>
      <w:r w:rsidR="00BA0156">
        <w:rPr>
          <w:rFonts w:eastAsia="SimSun"/>
        </w:rPr>
        <w:t>will not be present in the propos</w:t>
      </w:r>
      <w:r w:rsidR="006C3EAD">
        <w:rPr>
          <w:rFonts w:eastAsia="SimSun"/>
        </w:rPr>
        <w:t>ed mechanisms in this case, the Rate Plan</w:t>
      </w:r>
      <w:r w:rsidR="00BA0156">
        <w:rPr>
          <w:rFonts w:eastAsia="SimSun"/>
        </w:rPr>
        <w:t xml:space="preserve"> </w:t>
      </w:r>
      <w:r w:rsidR="006C3EAD">
        <w:rPr>
          <w:rFonts w:eastAsia="SimSun"/>
        </w:rPr>
        <w:t xml:space="preserve">likely </w:t>
      </w:r>
      <w:r w:rsidR="00BA0156">
        <w:rPr>
          <w:rFonts w:eastAsia="SimSun"/>
        </w:rPr>
        <w:t>contribute</w:t>
      </w:r>
      <w:r w:rsidR="006C3EAD">
        <w:rPr>
          <w:rFonts w:eastAsia="SimSun"/>
        </w:rPr>
        <w:t>d</w:t>
      </w:r>
      <w:r w:rsidR="00BA0156">
        <w:rPr>
          <w:rFonts w:eastAsia="SimSun"/>
        </w:rPr>
        <w:t xml:space="preserve"> to approximately </w:t>
      </w:r>
      <w:r w:rsidR="00846025">
        <w:rPr>
          <w:rFonts w:eastAsia="SimSun"/>
        </w:rPr>
        <w:t>one</w:t>
      </w:r>
      <w:r w:rsidR="00BA0156">
        <w:rPr>
          <w:rFonts w:eastAsia="SimSun"/>
        </w:rPr>
        <w:t xml:space="preserve"> percent of the historic increase</w:t>
      </w:r>
      <w:r>
        <w:rPr>
          <w:rFonts w:eastAsia="SimSun"/>
        </w:rPr>
        <w:t>.</w:t>
      </w:r>
      <w:r w:rsidR="00BA0156">
        <w:rPr>
          <w:rFonts w:eastAsia="SimSun"/>
        </w:rPr>
        <w:t xml:space="preserve">  In summary, rather than wait until there is a problem, PSE proposes that the Commission heed the example experienced for gas residential customers and </w:t>
      </w:r>
      <w:r w:rsidR="006C3EAD">
        <w:rPr>
          <w:rFonts w:eastAsia="SimSun"/>
        </w:rPr>
        <w:t>consider a more liberal rate cap to help ameliorate similar concerns for electric customers in the future.</w:t>
      </w:r>
      <w:r>
        <w:rPr>
          <w:rFonts w:eastAsia="SimSun"/>
        </w:rPr>
        <w:t xml:space="preserve">  </w:t>
      </w:r>
    </w:p>
    <w:p w:rsidR="00ED58ED" w:rsidRPr="00700AF8" w:rsidRDefault="00ED58ED" w:rsidP="00ED58ED">
      <w:pPr>
        <w:pStyle w:val="answer"/>
        <w:widowControl w:val="0"/>
        <w:rPr>
          <w:rFonts w:eastAsia="SimSun"/>
          <w:b/>
        </w:rPr>
      </w:pPr>
      <w:r w:rsidRPr="00700AF8">
        <w:rPr>
          <w:rFonts w:eastAsia="SimSun"/>
          <w:b/>
        </w:rPr>
        <w:t>Q.</w:t>
      </w:r>
      <w:r w:rsidRPr="00700AF8">
        <w:rPr>
          <w:rFonts w:eastAsia="SimSun"/>
          <w:b/>
        </w:rPr>
        <w:tab/>
      </w:r>
      <w:r>
        <w:rPr>
          <w:rFonts w:eastAsia="SimSun"/>
          <w:b/>
        </w:rPr>
        <w:t xml:space="preserve">Is PSE proposing a minimum rate trigger for its Rate Test in order to amortize its deferred revenues? </w:t>
      </w:r>
    </w:p>
    <w:p w:rsidR="00ED58ED" w:rsidRDefault="00ED58ED" w:rsidP="00ED58ED">
      <w:pPr>
        <w:pStyle w:val="answer"/>
        <w:widowControl w:val="0"/>
        <w:rPr>
          <w:rFonts w:eastAsia="SimSun"/>
        </w:rPr>
      </w:pPr>
      <w:r>
        <w:rPr>
          <w:rFonts w:eastAsia="SimSun"/>
        </w:rPr>
        <w:t>A.</w:t>
      </w:r>
      <w:r>
        <w:rPr>
          <w:rFonts w:eastAsia="SimSun"/>
        </w:rPr>
        <w:tab/>
        <w:t xml:space="preserve">No.  While PSE is aware that PacifiCorp’s recently approved decoupling </w:t>
      </w:r>
      <w:r>
        <w:rPr>
          <w:rFonts w:eastAsia="SimSun"/>
        </w:rPr>
        <w:lastRenderedPageBreak/>
        <w:t>mechanism requires a minimum 2.5 percent rate trigger based on allowed revenue in order to begin amortizing deferrals in its annual rate filings, PSE is not proposing a similar minimum rate trigger percentage in order to amortize its decoupling deferrals.  PSE’s proposal will credit or surcharge the year end decoupling balances regardless of the size, but still subject to the Rate Test cap.</w:t>
      </w:r>
    </w:p>
    <w:p w:rsidR="00ED58ED" w:rsidRPr="00700AF8" w:rsidRDefault="00ED58ED" w:rsidP="00ED58ED">
      <w:pPr>
        <w:pStyle w:val="answer"/>
        <w:widowControl w:val="0"/>
        <w:rPr>
          <w:rFonts w:eastAsia="SimSun"/>
          <w:b/>
        </w:rPr>
      </w:pPr>
      <w:r w:rsidRPr="00700AF8">
        <w:rPr>
          <w:rFonts w:eastAsia="SimSun"/>
          <w:b/>
        </w:rPr>
        <w:t>Q.</w:t>
      </w:r>
      <w:r w:rsidRPr="00700AF8">
        <w:rPr>
          <w:rFonts w:eastAsia="SimSun"/>
          <w:b/>
        </w:rPr>
        <w:tab/>
      </w:r>
      <w:r>
        <w:rPr>
          <w:rFonts w:eastAsia="SimSun"/>
          <w:b/>
        </w:rPr>
        <w:t>Why is PSE not proposing a minimum rate trigger percentage to amortize deferred revenue</w:t>
      </w:r>
      <w:r w:rsidRPr="00700AF8">
        <w:rPr>
          <w:rFonts w:eastAsia="SimSun"/>
          <w:b/>
        </w:rPr>
        <w:t>?</w:t>
      </w:r>
    </w:p>
    <w:p w:rsidR="00ED58ED" w:rsidRDefault="00ED58ED" w:rsidP="00ED58ED">
      <w:pPr>
        <w:pStyle w:val="answer"/>
        <w:widowControl w:val="0"/>
        <w:rPr>
          <w:rFonts w:eastAsia="SimSun"/>
        </w:rPr>
      </w:pPr>
      <w:r>
        <w:rPr>
          <w:rFonts w:eastAsia="SimSun"/>
        </w:rPr>
        <w:t>A.</w:t>
      </w:r>
      <w:r>
        <w:rPr>
          <w:rFonts w:eastAsia="SimSun"/>
        </w:rPr>
        <w:tab/>
        <w:t xml:space="preserve">There are three main reasons why a minimum rate trigger percent is not appropriate for PSE.  </w:t>
      </w:r>
    </w:p>
    <w:p w:rsidR="00ED58ED" w:rsidRDefault="00ED58ED" w:rsidP="00ED58ED">
      <w:pPr>
        <w:pStyle w:val="answer"/>
        <w:widowControl w:val="0"/>
        <w:ind w:firstLine="0"/>
        <w:rPr>
          <w:rFonts w:eastAsia="SimSun"/>
        </w:rPr>
      </w:pPr>
      <w:r>
        <w:rPr>
          <w:rFonts w:eastAsia="SimSun"/>
        </w:rPr>
        <w:t xml:space="preserve">The first reason is the GAAP requirement mentioned earlier in my testimony that requires PSE to amortize accruals within 24 months from when they are recorded in order to classify the accruals as revenue in the current period.  Such a minimum rate trigger percent requirement will lead to more problems with this issue, with balances staying on PSE balance sheet longer and revenues being more likely to be recorded in periods other than when the deferrals took place.  </w:t>
      </w:r>
    </w:p>
    <w:p w:rsidR="00ED58ED" w:rsidRDefault="00ED58ED" w:rsidP="00ED58ED">
      <w:pPr>
        <w:pStyle w:val="answer"/>
        <w:widowControl w:val="0"/>
        <w:ind w:firstLine="0"/>
        <w:rPr>
          <w:rFonts w:eastAsia="SimSun"/>
        </w:rPr>
      </w:pPr>
      <w:r>
        <w:rPr>
          <w:rFonts w:eastAsia="SimSun"/>
        </w:rPr>
        <w:t xml:space="preserve">The second reason it is not appropriate is due to the intergenerational equity issues and potential customer confusion that it creates. The longer the deferred balances remain on PSE’s balance sheet, the less likely the customers who benefited from the deferred recovery of costs will be the customers that pay for those costs.  Moreover, the longer cost recovery is separated from cost incurrence, the more difficult it is for the average utility customer to relate their current bill to current </w:t>
      </w:r>
      <w:r w:rsidR="0008390F">
        <w:rPr>
          <w:rFonts w:eastAsia="SimSun"/>
        </w:rPr>
        <w:t xml:space="preserve">(or simply recent) </w:t>
      </w:r>
      <w:r>
        <w:rPr>
          <w:rFonts w:eastAsia="SimSun"/>
        </w:rPr>
        <w:t>use, which is generally what they expect.</w:t>
      </w:r>
    </w:p>
    <w:p w:rsidR="00ED58ED" w:rsidRDefault="00ED58ED" w:rsidP="00ED58ED">
      <w:pPr>
        <w:pStyle w:val="answer"/>
        <w:widowControl w:val="0"/>
        <w:ind w:firstLine="0"/>
        <w:rPr>
          <w:rFonts w:eastAsia="SimSun"/>
        </w:rPr>
      </w:pPr>
      <w:r>
        <w:rPr>
          <w:rFonts w:eastAsia="SimSun"/>
        </w:rPr>
        <w:lastRenderedPageBreak/>
        <w:t>Finally, if the interest in setting a minimum rate test trigger is to minimize rate changes for PSE customers, such a proposal would not make a material difference.  PSE has two other schedules, conservation and property tax that change rates annually on May 1</w:t>
      </w:r>
      <w:r w:rsidRPr="008433D4">
        <w:rPr>
          <w:rFonts w:eastAsia="SimSun"/>
          <w:vertAlign w:val="superscript"/>
        </w:rPr>
        <w:t>st</w:t>
      </w:r>
      <w:r>
        <w:rPr>
          <w:rFonts w:eastAsia="SimSun"/>
        </w:rPr>
        <w:t>, which is the same date that its decoupling rates change.  Since rates are very likely to change on the same day, it should make little difference to customers that yet another component of their bill is changing at the time.</w:t>
      </w:r>
    </w:p>
    <w:p w:rsidR="004E65AF" w:rsidRPr="009075DC" w:rsidRDefault="004E65AF" w:rsidP="004E65AF">
      <w:pPr>
        <w:pStyle w:val="Heading3"/>
        <w:keepNext w:val="0"/>
        <w:keepLines w:val="0"/>
        <w:widowControl w:val="0"/>
        <w:rPr>
          <w:rFonts w:eastAsia="SimSun"/>
        </w:rPr>
      </w:pPr>
      <w:bookmarkStart w:id="181" w:name="_Toc471912985"/>
      <w:r>
        <w:rPr>
          <w:rFonts w:eastAsia="SimSun"/>
          <w:u w:val="none"/>
        </w:rPr>
        <w:t>4</w:t>
      </w:r>
      <w:r w:rsidRPr="009075DC">
        <w:rPr>
          <w:rFonts w:eastAsia="SimSun"/>
          <w:u w:val="none"/>
        </w:rPr>
        <w:t>.</w:t>
      </w:r>
      <w:r w:rsidRPr="009075DC">
        <w:rPr>
          <w:rFonts w:eastAsia="SimSun"/>
          <w:u w:val="none"/>
        </w:rPr>
        <w:tab/>
      </w:r>
      <w:r>
        <w:rPr>
          <w:rFonts w:eastAsia="SimSun"/>
        </w:rPr>
        <w:t>Modify the Calculation of the Decoupling Earnings Tests</w:t>
      </w:r>
      <w:bookmarkEnd w:id="181"/>
    </w:p>
    <w:p w:rsidR="004E65AF" w:rsidRPr="009075DC" w:rsidRDefault="004E65AF" w:rsidP="004E65AF">
      <w:pPr>
        <w:pStyle w:val="question"/>
        <w:widowControl w:val="0"/>
        <w:rPr>
          <w:rFonts w:eastAsia="SimSun"/>
        </w:rPr>
      </w:pPr>
      <w:r w:rsidRPr="009075DC">
        <w:rPr>
          <w:rFonts w:eastAsia="SimSun"/>
        </w:rPr>
        <w:t>Q.</w:t>
      </w:r>
      <w:r w:rsidRPr="009075DC">
        <w:rPr>
          <w:rFonts w:eastAsia="SimSun"/>
        </w:rPr>
        <w:tab/>
      </w:r>
      <w:r>
        <w:rPr>
          <w:rFonts w:eastAsia="SimSun"/>
        </w:rPr>
        <w:t>What is PSE proposing to change about the decoupling Earnings Test?</w:t>
      </w:r>
    </w:p>
    <w:p w:rsidR="004E65AF" w:rsidRDefault="004E65AF" w:rsidP="004E65AF">
      <w:pPr>
        <w:pStyle w:val="answer"/>
        <w:widowControl w:val="0"/>
        <w:rPr>
          <w:rFonts w:eastAsia="SimSun"/>
        </w:rPr>
      </w:pPr>
      <w:r w:rsidRPr="009075DC">
        <w:rPr>
          <w:rFonts w:eastAsia="SimSun"/>
        </w:rPr>
        <w:t>A.</w:t>
      </w:r>
      <w:r w:rsidRPr="009075DC">
        <w:rPr>
          <w:rFonts w:eastAsia="SimSun"/>
        </w:rPr>
        <w:tab/>
      </w:r>
      <w:r w:rsidR="00D07D2C">
        <w:t xml:space="preserve">PSE proposes that, for revenue sharing purposes, all normalizing adjustments to actual results be excluded and all conforming adjustments be retained for calculating operating income. </w:t>
      </w:r>
      <w:r>
        <w:rPr>
          <w:rFonts w:eastAsia="SimSun"/>
        </w:rPr>
        <w:t xml:space="preserve">Please see the Direct Prefiled Testimony of Daniel A. Doyle, Exhibit No.___(DAD-1T) for </w:t>
      </w:r>
      <w:r w:rsidR="00DD1DCF">
        <w:rPr>
          <w:rFonts w:eastAsia="SimSun"/>
        </w:rPr>
        <w:t xml:space="preserve">a more detailed </w:t>
      </w:r>
      <w:r>
        <w:rPr>
          <w:rFonts w:eastAsia="SimSun"/>
        </w:rPr>
        <w:t>discussion of this issue and PSE’s proposed changes to the Earnings Test.</w:t>
      </w:r>
      <w:r w:rsidR="00D07D2C">
        <w:rPr>
          <w:rStyle w:val="FootnoteReference"/>
          <w:rFonts w:eastAsia="SimSun"/>
        </w:rPr>
        <w:footnoteReference w:id="52"/>
      </w:r>
    </w:p>
    <w:p w:rsidR="004E65AF" w:rsidRPr="009075DC" w:rsidRDefault="004E65AF" w:rsidP="004E65AF">
      <w:pPr>
        <w:pStyle w:val="question"/>
        <w:widowControl w:val="0"/>
        <w:rPr>
          <w:rFonts w:eastAsia="SimSun"/>
        </w:rPr>
      </w:pPr>
      <w:r w:rsidRPr="009075DC">
        <w:rPr>
          <w:rFonts w:eastAsia="SimSun"/>
        </w:rPr>
        <w:t>Q.</w:t>
      </w:r>
      <w:r w:rsidRPr="009075DC">
        <w:rPr>
          <w:rFonts w:eastAsia="SimSun"/>
        </w:rPr>
        <w:tab/>
      </w:r>
      <w:r w:rsidR="005B2405">
        <w:rPr>
          <w:rFonts w:eastAsia="SimSun"/>
        </w:rPr>
        <w:t>Is PSE proposing any other change to the application of its Earnings Test</w:t>
      </w:r>
      <w:r>
        <w:rPr>
          <w:rFonts w:eastAsia="SimSun"/>
        </w:rPr>
        <w:t>?</w:t>
      </w:r>
    </w:p>
    <w:p w:rsidR="004E65AF" w:rsidRDefault="004E65AF" w:rsidP="004E65AF">
      <w:pPr>
        <w:pStyle w:val="answer"/>
        <w:widowControl w:val="0"/>
        <w:rPr>
          <w:rFonts w:eastAsia="SimSun"/>
        </w:rPr>
      </w:pPr>
      <w:r w:rsidRPr="009075DC">
        <w:rPr>
          <w:rFonts w:eastAsia="SimSun"/>
        </w:rPr>
        <w:t>A.</w:t>
      </w:r>
      <w:r w:rsidRPr="009075DC">
        <w:rPr>
          <w:rFonts w:eastAsia="SimSun"/>
        </w:rPr>
        <w:tab/>
      </w:r>
      <w:r w:rsidR="005B2405">
        <w:rPr>
          <w:rFonts w:eastAsia="SimSun"/>
        </w:rPr>
        <w:t>Yes</w:t>
      </w:r>
      <w:r w:rsidRPr="009075DC">
        <w:rPr>
          <w:rFonts w:eastAsia="SimSun"/>
        </w:rPr>
        <w:t>.</w:t>
      </w:r>
      <w:r w:rsidR="005B2405">
        <w:rPr>
          <w:rFonts w:eastAsia="SimSun"/>
        </w:rPr>
        <w:t xml:space="preserve">  When the Earnings Test triggers</w:t>
      </w:r>
      <w:r w:rsidR="00DD1DCF">
        <w:rPr>
          <w:rFonts w:eastAsia="SimSun"/>
        </w:rPr>
        <w:t xml:space="preserve"> under the new decoupling mechanisms</w:t>
      </w:r>
      <w:r w:rsidR="005B2405">
        <w:rPr>
          <w:rFonts w:eastAsia="SimSun"/>
        </w:rPr>
        <w:t>, PSE is proposing to allocate the amount returned to customers in relation to their allowed revenue rather than based on their volumetric revenue.</w:t>
      </w:r>
    </w:p>
    <w:p w:rsidR="005B2405" w:rsidRPr="005B2405" w:rsidRDefault="005B2405" w:rsidP="004E65AF">
      <w:pPr>
        <w:pStyle w:val="answer"/>
        <w:widowControl w:val="0"/>
        <w:rPr>
          <w:rFonts w:eastAsia="SimSun"/>
          <w:b/>
        </w:rPr>
      </w:pPr>
      <w:r w:rsidRPr="005B2405">
        <w:rPr>
          <w:rFonts w:eastAsia="SimSun"/>
          <w:b/>
        </w:rPr>
        <w:t>Q.</w:t>
      </w:r>
      <w:r w:rsidRPr="005B2405">
        <w:rPr>
          <w:rFonts w:eastAsia="SimSun"/>
          <w:b/>
        </w:rPr>
        <w:tab/>
        <w:t>Why is PSE proposing this change?</w:t>
      </w:r>
    </w:p>
    <w:p w:rsidR="005B2405" w:rsidRDefault="005B2405" w:rsidP="004E65AF">
      <w:pPr>
        <w:pStyle w:val="answer"/>
        <w:widowControl w:val="0"/>
        <w:rPr>
          <w:rFonts w:eastAsia="SimSun"/>
        </w:rPr>
      </w:pPr>
      <w:r>
        <w:rPr>
          <w:rFonts w:eastAsia="SimSun"/>
        </w:rPr>
        <w:lastRenderedPageBreak/>
        <w:t>A.</w:t>
      </w:r>
      <w:r>
        <w:rPr>
          <w:rFonts w:eastAsia="SimSun"/>
        </w:rPr>
        <w:tab/>
        <w:t xml:space="preserve">PSE’s earnings in the year the Earnings Test triggers are a direct result of the allowed revenue that it books, rather than the level of volumetric revenue that it receives.  As a result, using allowed revenues to allocate Earnings Test refunds to customers will produce a result that is more aligned to their contributions to the revenues producing </w:t>
      </w:r>
      <w:r w:rsidR="004E0DE1">
        <w:rPr>
          <w:rFonts w:eastAsia="SimSun"/>
        </w:rPr>
        <w:t xml:space="preserve">the </w:t>
      </w:r>
      <w:r>
        <w:rPr>
          <w:rFonts w:eastAsia="SimSun"/>
        </w:rPr>
        <w:t xml:space="preserve">overearnings.  </w:t>
      </w:r>
    </w:p>
    <w:p w:rsidR="00C21220" w:rsidRPr="009075DC" w:rsidRDefault="00C21220" w:rsidP="00C21220">
      <w:pPr>
        <w:pStyle w:val="Heading3"/>
        <w:keepNext w:val="0"/>
        <w:keepLines w:val="0"/>
        <w:widowControl w:val="0"/>
        <w:rPr>
          <w:rFonts w:eastAsia="SimSun"/>
        </w:rPr>
      </w:pPr>
      <w:bookmarkStart w:id="182" w:name="_Toc471912986"/>
      <w:r>
        <w:rPr>
          <w:rFonts w:eastAsia="SimSun"/>
          <w:u w:val="none"/>
        </w:rPr>
        <w:t>5</w:t>
      </w:r>
      <w:r w:rsidRPr="009075DC">
        <w:rPr>
          <w:rFonts w:eastAsia="SimSun"/>
          <w:u w:val="none"/>
        </w:rPr>
        <w:t>.</w:t>
      </w:r>
      <w:r w:rsidRPr="009075DC">
        <w:rPr>
          <w:rFonts w:eastAsia="SimSun"/>
          <w:u w:val="none"/>
        </w:rPr>
        <w:tab/>
      </w:r>
      <w:r>
        <w:rPr>
          <w:rFonts w:eastAsia="SimSun"/>
        </w:rPr>
        <w:t>Other Proposed Changes to the Decoupling Calculations</w:t>
      </w:r>
      <w:bookmarkEnd w:id="182"/>
    </w:p>
    <w:p w:rsidR="0095467F" w:rsidRPr="009075DC" w:rsidRDefault="0095467F" w:rsidP="00037CE8">
      <w:pPr>
        <w:pStyle w:val="question"/>
        <w:widowControl w:val="0"/>
        <w:rPr>
          <w:rFonts w:eastAsia="SimSun"/>
        </w:rPr>
      </w:pPr>
      <w:r w:rsidRPr="009075DC">
        <w:rPr>
          <w:rFonts w:eastAsia="SimSun"/>
        </w:rPr>
        <w:t>Q.</w:t>
      </w:r>
      <w:r w:rsidRPr="009075DC">
        <w:rPr>
          <w:rFonts w:eastAsia="SimSun"/>
        </w:rPr>
        <w:tab/>
      </w:r>
      <w:r w:rsidR="004A390A">
        <w:rPr>
          <w:rFonts w:eastAsia="SimSun"/>
        </w:rPr>
        <w:t>Please discuss the other “housekeeping” changes that PSE is proposing to make for the gas decoupling mechanism</w:t>
      </w:r>
      <w:r w:rsidR="00846025">
        <w:rPr>
          <w:rFonts w:eastAsia="SimSun"/>
        </w:rPr>
        <w:t>.</w:t>
      </w:r>
    </w:p>
    <w:p w:rsidR="0095467F" w:rsidRDefault="0095467F" w:rsidP="0095467F">
      <w:pPr>
        <w:pStyle w:val="answer"/>
        <w:widowControl w:val="0"/>
        <w:rPr>
          <w:rFonts w:eastAsia="SimSun"/>
        </w:rPr>
      </w:pPr>
      <w:r w:rsidRPr="009075DC">
        <w:rPr>
          <w:rFonts w:eastAsia="SimSun"/>
        </w:rPr>
        <w:t>A.</w:t>
      </w:r>
      <w:r w:rsidRPr="009075DC">
        <w:rPr>
          <w:rFonts w:eastAsia="SimSun"/>
        </w:rPr>
        <w:tab/>
      </w:r>
      <w:r w:rsidR="00EA12D0">
        <w:rPr>
          <w:rFonts w:eastAsia="SimSun"/>
        </w:rPr>
        <w:t>The</w:t>
      </w:r>
      <w:r w:rsidR="00B14D9B">
        <w:rPr>
          <w:rFonts w:eastAsia="SimSun"/>
        </w:rPr>
        <w:t xml:space="preserve"> other</w:t>
      </w:r>
      <w:r w:rsidR="00EA12D0">
        <w:rPr>
          <w:rFonts w:eastAsia="SimSun"/>
        </w:rPr>
        <w:t xml:space="preserve"> </w:t>
      </w:r>
      <w:r w:rsidR="00B14D9B">
        <w:rPr>
          <w:rFonts w:eastAsia="SimSun"/>
        </w:rPr>
        <w:t>changes</w:t>
      </w:r>
      <w:r w:rsidR="008F3187">
        <w:rPr>
          <w:rFonts w:eastAsia="SimSun"/>
        </w:rPr>
        <w:t xml:space="preserve"> </w:t>
      </w:r>
      <w:r w:rsidR="00B14D9B">
        <w:rPr>
          <w:rFonts w:eastAsia="SimSun"/>
        </w:rPr>
        <w:t xml:space="preserve">PSE proposes for the </w:t>
      </w:r>
      <w:r w:rsidR="004D400A">
        <w:rPr>
          <w:rFonts w:eastAsia="SimSun"/>
        </w:rPr>
        <w:t>decoupling mechanism</w:t>
      </w:r>
      <w:r w:rsidR="00B14D9B">
        <w:rPr>
          <w:rFonts w:eastAsia="SimSun"/>
        </w:rPr>
        <w:t>s</w:t>
      </w:r>
      <w:r w:rsidR="004D400A">
        <w:rPr>
          <w:rFonts w:eastAsia="SimSun"/>
        </w:rPr>
        <w:t xml:space="preserve"> </w:t>
      </w:r>
      <w:r w:rsidR="00C9450A">
        <w:rPr>
          <w:rFonts w:eastAsia="SimSun"/>
        </w:rPr>
        <w:t xml:space="preserve">generally </w:t>
      </w:r>
      <w:r w:rsidR="007D7052">
        <w:rPr>
          <w:rFonts w:eastAsia="SimSun"/>
        </w:rPr>
        <w:t xml:space="preserve">relate to </w:t>
      </w:r>
      <w:r w:rsidR="00C9450A">
        <w:rPr>
          <w:rFonts w:eastAsia="SimSun"/>
        </w:rPr>
        <w:t>the calculation of actual margin revenue for the new non-residential gas rate group</w:t>
      </w:r>
      <w:r w:rsidRPr="009075DC">
        <w:rPr>
          <w:rFonts w:eastAsia="SimSun"/>
        </w:rPr>
        <w:t>.</w:t>
      </w:r>
    </w:p>
    <w:p w:rsidR="00700AF8" w:rsidRPr="00700AF8" w:rsidRDefault="00700AF8" w:rsidP="001023BE">
      <w:pPr>
        <w:pStyle w:val="answer"/>
        <w:widowControl w:val="0"/>
        <w:rPr>
          <w:rFonts w:eastAsia="SimSun"/>
          <w:b/>
        </w:rPr>
      </w:pPr>
      <w:r w:rsidRPr="00700AF8">
        <w:rPr>
          <w:rFonts w:eastAsia="SimSun"/>
          <w:b/>
        </w:rPr>
        <w:t>Q.</w:t>
      </w:r>
      <w:r w:rsidRPr="00700AF8">
        <w:rPr>
          <w:rFonts w:eastAsia="SimSun"/>
          <w:b/>
        </w:rPr>
        <w:tab/>
        <w:t>How does PSE currently calculate actual margin for non-residential gas customers in its decoupling mechanisms?</w:t>
      </w:r>
    </w:p>
    <w:p w:rsidR="00700AF8" w:rsidRDefault="00700AF8" w:rsidP="001023BE">
      <w:pPr>
        <w:pStyle w:val="answer"/>
        <w:widowControl w:val="0"/>
        <w:rPr>
          <w:rFonts w:eastAsia="SimSun"/>
        </w:rPr>
      </w:pPr>
      <w:r>
        <w:rPr>
          <w:rFonts w:eastAsia="SimSun"/>
        </w:rPr>
        <w:t>A.</w:t>
      </w:r>
      <w:r>
        <w:rPr>
          <w:rFonts w:eastAsia="SimSun"/>
        </w:rPr>
        <w:tab/>
        <w:t>Currently, PSE uses a blended average margin rate to determine the actual revenues upon which it calculates its decoupling deferrals</w:t>
      </w:r>
      <w:r w:rsidR="00057AE7">
        <w:rPr>
          <w:rFonts w:eastAsia="SimSun"/>
        </w:rPr>
        <w:t xml:space="preserve"> for these customers</w:t>
      </w:r>
      <w:r>
        <w:rPr>
          <w:rFonts w:eastAsia="SimSun"/>
        </w:rPr>
        <w:t>.</w:t>
      </w:r>
      <w:r w:rsidR="00057AE7">
        <w:rPr>
          <w:rFonts w:eastAsia="SimSun"/>
        </w:rPr>
        <w:t xml:space="preserve">  The blended rate is multiplied by actual therm volumes to calculate actual revenues.</w:t>
      </w:r>
    </w:p>
    <w:p w:rsidR="00700AF8" w:rsidRPr="00700AF8" w:rsidRDefault="00700AF8" w:rsidP="001023BE">
      <w:pPr>
        <w:pStyle w:val="answer"/>
        <w:widowControl w:val="0"/>
        <w:rPr>
          <w:rFonts w:eastAsia="SimSun"/>
          <w:b/>
        </w:rPr>
      </w:pPr>
      <w:r w:rsidRPr="00700AF8">
        <w:rPr>
          <w:rFonts w:eastAsia="SimSun"/>
          <w:b/>
        </w:rPr>
        <w:t xml:space="preserve">Q. </w:t>
      </w:r>
      <w:r w:rsidRPr="00700AF8">
        <w:rPr>
          <w:rFonts w:eastAsia="SimSun"/>
          <w:b/>
        </w:rPr>
        <w:tab/>
        <w:t>How is PSE proposing to change the calculation of actual margin for these non-residential gas customers in the decoupling mechanism?</w:t>
      </w:r>
    </w:p>
    <w:p w:rsidR="00700AF8" w:rsidRDefault="00700AF8" w:rsidP="001023BE">
      <w:pPr>
        <w:pStyle w:val="answer"/>
        <w:widowControl w:val="0"/>
        <w:rPr>
          <w:rFonts w:eastAsia="SimSun"/>
        </w:rPr>
      </w:pPr>
      <w:r>
        <w:rPr>
          <w:rFonts w:eastAsia="SimSun"/>
        </w:rPr>
        <w:t>A.</w:t>
      </w:r>
      <w:r>
        <w:rPr>
          <w:rFonts w:eastAsia="SimSun"/>
        </w:rPr>
        <w:tab/>
        <w:t>PSE is proposing to use the actual margin revenue for non-residential gas customers.</w:t>
      </w:r>
      <w:r w:rsidR="00057AE7">
        <w:rPr>
          <w:rFonts w:eastAsia="SimSun"/>
        </w:rPr>
        <w:t xml:space="preserve">  This would be accomplished by multiplying the actual </w:t>
      </w:r>
      <w:r w:rsidR="00A02DD0">
        <w:rPr>
          <w:rFonts w:eastAsia="SimSun"/>
        </w:rPr>
        <w:t>base</w:t>
      </w:r>
      <w:r w:rsidR="00057AE7">
        <w:rPr>
          <w:rFonts w:eastAsia="SimSun"/>
        </w:rPr>
        <w:t xml:space="preserve"> rates for </w:t>
      </w:r>
      <w:r w:rsidR="00057AE7">
        <w:rPr>
          <w:rFonts w:eastAsia="SimSun"/>
        </w:rPr>
        <w:lastRenderedPageBreak/>
        <w:t xml:space="preserve">both volumetric and demand charges by the </w:t>
      </w:r>
      <w:r w:rsidR="00B14D9B">
        <w:rPr>
          <w:rFonts w:eastAsia="SimSun"/>
        </w:rPr>
        <w:t>appropriate billing determinants</w:t>
      </w:r>
      <w:r w:rsidR="00057AE7">
        <w:rPr>
          <w:rFonts w:eastAsia="SimSun"/>
        </w:rPr>
        <w:t>.</w:t>
      </w:r>
    </w:p>
    <w:p w:rsidR="00700AF8" w:rsidRPr="00700AF8" w:rsidRDefault="00700AF8" w:rsidP="001023BE">
      <w:pPr>
        <w:pStyle w:val="answer"/>
        <w:widowControl w:val="0"/>
        <w:rPr>
          <w:rFonts w:eastAsia="SimSun"/>
          <w:b/>
        </w:rPr>
      </w:pPr>
      <w:r w:rsidRPr="00700AF8">
        <w:rPr>
          <w:rFonts w:eastAsia="SimSun"/>
          <w:b/>
        </w:rPr>
        <w:t>Q.</w:t>
      </w:r>
      <w:r w:rsidRPr="00700AF8">
        <w:rPr>
          <w:rFonts w:eastAsia="SimSun"/>
          <w:b/>
        </w:rPr>
        <w:tab/>
        <w:t>Why is PSE proposing this change?</w:t>
      </w:r>
    </w:p>
    <w:p w:rsidR="00700AF8" w:rsidRDefault="00700AF8" w:rsidP="001023BE">
      <w:pPr>
        <w:pStyle w:val="answer"/>
        <w:widowControl w:val="0"/>
        <w:rPr>
          <w:rFonts w:eastAsia="SimSun"/>
        </w:rPr>
      </w:pPr>
      <w:r>
        <w:rPr>
          <w:rFonts w:eastAsia="SimSun"/>
        </w:rPr>
        <w:t>A.</w:t>
      </w:r>
      <w:r>
        <w:rPr>
          <w:rFonts w:eastAsia="SimSun"/>
        </w:rPr>
        <w:tab/>
      </w:r>
      <w:r w:rsidR="00057AE7">
        <w:rPr>
          <w:rFonts w:eastAsia="SimSun"/>
        </w:rPr>
        <w:t>Doing so will produce more accurate results for these customers</w:t>
      </w:r>
      <w:r w:rsidR="00621388">
        <w:rPr>
          <w:rFonts w:eastAsia="SimSun"/>
        </w:rPr>
        <w:t>, since</w:t>
      </w:r>
      <w:r w:rsidR="00057AE7">
        <w:rPr>
          <w:rFonts w:eastAsia="SimSun"/>
        </w:rPr>
        <w:t xml:space="preserve"> the actual margin collected will be used to calculate deferrals.  The blended rate currently used to determine actual margin is calculated using the results from </w:t>
      </w:r>
      <w:r w:rsidR="00B14D9B">
        <w:rPr>
          <w:rFonts w:eastAsia="SimSun"/>
        </w:rPr>
        <w:t>PSE’s</w:t>
      </w:r>
      <w:r w:rsidR="00057AE7">
        <w:rPr>
          <w:rFonts w:eastAsia="SimSun"/>
        </w:rPr>
        <w:t xml:space="preserve"> last GRC and any changes in customers</w:t>
      </w:r>
      <w:r w:rsidR="00621388">
        <w:rPr>
          <w:rFonts w:eastAsia="SimSun"/>
        </w:rPr>
        <w:t>’</w:t>
      </w:r>
      <w:r w:rsidR="00057AE7">
        <w:rPr>
          <w:rFonts w:eastAsia="SimSun"/>
        </w:rPr>
        <w:t xml:space="preserve"> usage and demand charge patterns since the last GRC could produce </w:t>
      </w:r>
      <w:r w:rsidR="00621388">
        <w:rPr>
          <w:rFonts w:eastAsia="SimSun"/>
        </w:rPr>
        <w:t xml:space="preserve">results that deviate from the </w:t>
      </w:r>
      <w:r w:rsidR="00057AE7">
        <w:rPr>
          <w:rFonts w:eastAsia="SimSun"/>
        </w:rPr>
        <w:t>actual margin</w:t>
      </w:r>
      <w:r w:rsidR="00B14D9B">
        <w:rPr>
          <w:rFonts w:eastAsia="SimSun"/>
        </w:rPr>
        <w:t xml:space="preserve"> recovered since then</w:t>
      </w:r>
      <w:r w:rsidR="00057AE7">
        <w:rPr>
          <w:rFonts w:eastAsia="SimSun"/>
        </w:rPr>
        <w:t xml:space="preserve">. </w:t>
      </w:r>
      <w:r w:rsidR="00B31C09">
        <w:rPr>
          <w:rFonts w:eastAsia="SimSun"/>
        </w:rPr>
        <w:t xml:space="preserve"> </w:t>
      </w:r>
      <w:r w:rsidR="00057AE7">
        <w:rPr>
          <w:rFonts w:eastAsia="SimSun"/>
        </w:rPr>
        <w:t>For the amortization revenue calculation</w:t>
      </w:r>
      <w:r w:rsidR="00621388">
        <w:rPr>
          <w:rFonts w:eastAsia="SimSun"/>
        </w:rPr>
        <w:t>s</w:t>
      </w:r>
      <w:r w:rsidR="00057AE7">
        <w:rPr>
          <w:rFonts w:eastAsia="SimSun"/>
        </w:rPr>
        <w:t xml:space="preserve"> for these customers, PSE is already using this more granular calculation, so making this change would be consistent with how amortization amounts are calculated.  </w:t>
      </w:r>
    </w:p>
    <w:p w:rsidR="00C662FA" w:rsidRDefault="00C662FA" w:rsidP="00C662FA">
      <w:pPr>
        <w:pStyle w:val="Heading2"/>
        <w:keepNext w:val="0"/>
        <w:keepLines w:val="0"/>
        <w:widowControl w:val="0"/>
        <w:spacing w:before="240" w:after="240"/>
        <w:rPr>
          <w:rFonts w:eastAsia="SimSun"/>
        </w:rPr>
      </w:pPr>
      <w:bookmarkStart w:id="183" w:name="_Toc471912987"/>
      <w:r>
        <w:rPr>
          <w:rFonts w:eastAsia="SimSun"/>
          <w:u w:val="none"/>
        </w:rPr>
        <w:t>D</w:t>
      </w:r>
      <w:r w:rsidRPr="009075DC">
        <w:rPr>
          <w:rFonts w:eastAsia="SimSun"/>
          <w:u w:val="none"/>
        </w:rPr>
        <w:t>.</w:t>
      </w:r>
      <w:r w:rsidRPr="009075DC">
        <w:rPr>
          <w:rFonts w:eastAsia="SimSun"/>
          <w:u w:val="none"/>
        </w:rPr>
        <w:tab/>
      </w:r>
      <w:r>
        <w:rPr>
          <w:rFonts w:eastAsia="SimSun"/>
        </w:rPr>
        <w:t xml:space="preserve">Approval </w:t>
      </w:r>
      <w:r w:rsidRPr="00C662FA">
        <w:rPr>
          <w:rFonts w:eastAsia="SimSun"/>
        </w:rPr>
        <w:t xml:space="preserve">of </w:t>
      </w:r>
      <w:r w:rsidR="00A031E6">
        <w:rPr>
          <w:rFonts w:eastAsia="SimSun"/>
        </w:rPr>
        <w:t xml:space="preserve">the </w:t>
      </w:r>
      <w:r>
        <w:rPr>
          <w:rFonts w:eastAsia="SimSun"/>
        </w:rPr>
        <w:t xml:space="preserve">Modified </w:t>
      </w:r>
      <w:r w:rsidR="00B55D6C">
        <w:rPr>
          <w:rFonts w:eastAsia="SimSun"/>
        </w:rPr>
        <w:t xml:space="preserve">Decoupling </w:t>
      </w:r>
      <w:r>
        <w:rPr>
          <w:rFonts w:eastAsia="SimSun"/>
        </w:rPr>
        <w:t xml:space="preserve">Mechanisms is in </w:t>
      </w:r>
      <w:r w:rsidR="00A031E6">
        <w:rPr>
          <w:rFonts w:eastAsia="SimSun"/>
        </w:rPr>
        <w:t xml:space="preserve">the </w:t>
      </w:r>
      <w:r>
        <w:rPr>
          <w:rFonts w:eastAsia="SimSun"/>
        </w:rPr>
        <w:t>Public Interest</w:t>
      </w:r>
      <w:bookmarkEnd w:id="183"/>
      <w:r>
        <w:rPr>
          <w:rFonts w:eastAsia="SimSun"/>
        </w:rPr>
        <w:t xml:space="preserve"> </w:t>
      </w:r>
    </w:p>
    <w:p w:rsidR="00C662FA" w:rsidRPr="009075DC" w:rsidRDefault="00C662FA" w:rsidP="00C662FA">
      <w:pPr>
        <w:pStyle w:val="question"/>
        <w:widowControl w:val="0"/>
        <w:rPr>
          <w:rFonts w:eastAsia="SimSun"/>
        </w:rPr>
      </w:pPr>
      <w:r w:rsidRPr="009075DC">
        <w:rPr>
          <w:rFonts w:eastAsia="SimSun"/>
        </w:rPr>
        <w:t>Q.</w:t>
      </w:r>
      <w:r w:rsidRPr="009075DC">
        <w:rPr>
          <w:rFonts w:eastAsia="SimSun"/>
        </w:rPr>
        <w:tab/>
      </w:r>
      <w:r>
        <w:rPr>
          <w:rFonts w:eastAsia="SimSun"/>
        </w:rPr>
        <w:t>Do the proposed modified decoupling mechanisms still meet the goals outlined in the Commissions Decoupling Policy Statement?</w:t>
      </w:r>
    </w:p>
    <w:p w:rsidR="00C662FA" w:rsidRDefault="00C662FA" w:rsidP="00C662FA">
      <w:pPr>
        <w:pStyle w:val="answer"/>
        <w:widowControl w:val="0"/>
        <w:rPr>
          <w:rFonts w:eastAsia="SimSun"/>
        </w:rPr>
      </w:pPr>
      <w:r w:rsidRPr="009075DC">
        <w:rPr>
          <w:rFonts w:eastAsia="SimSun"/>
        </w:rPr>
        <w:t>A.</w:t>
      </w:r>
      <w:r w:rsidRPr="009075DC">
        <w:rPr>
          <w:rFonts w:eastAsia="SimSun"/>
        </w:rPr>
        <w:tab/>
      </w:r>
      <w:r>
        <w:rPr>
          <w:rFonts w:eastAsia="SimSun"/>
        </w:rPr>
        <w:t>Yes</w:t>
      </w:r>
      <w:r w:rsidRPr="009075DC">
        <w:rPr>
          <w:rFonts w:eastAsia="SimSun"/>
        </w:rPr>
        <w:t>.</w:t>
      </w:r>
      <w:r>
        <w:rPr>
          <w:rFonts w:eastAsia="SimSun"/>
        </w:rPr>
        <w:t xml:space="preserve">  Note first that the Gil Peach Report found that the mechanisms are operating as intended and have produced no material adverse impacts.  Second, PSE has only made minor modification to its existing decoupling mechanisms.  These modifications should improve the operation </w:t>
      </w:r>
      <w:r w:rsidR="00846025">
        <w:rPr>
          <w:rFonts w:eastAsia="SimSun"/>
        </w:rPr>
        <w:t xml:space="preserve">of the decoupling mechanisms </w:t>
      </w:r>
      <w:r>
        <w:rPr>
          <w:rFonts w:eastAsia="SimSun"/>
        </w:rPr>
        <w:t>and therefore further weigh in favor of being in the public interest</w:t>
      </w:r>
      <w:r w:rsidR="00A370FB">
        <w:rPr>
          <w:rFonts w:eastAsia="SimSun"/>
        </w:rPr>
        <w:t xml:space="preserve"> for the reasons outlined earlier in this testimony</w:t>
      </w:r>
      <w:r>
        <w:rPr>
          <w:rFonts w:eastAsia="SimSun"/>
        </w:rPr>
        <w:t>.</w:t>
      </w:r>
    </w:p>
    <w:p w:rsidR="00C662FA" w:rsidRPr="00C662FA" w:rsidRDefault="00C662FA" w:rsidP="00C662FA">
      <w:pPr>
        <w:pStyle w:val="answer"/>
        <w:widowControl w:val="0"/>
        <w:rPr>
          <w:rFonts w:eastAsia="SimSun"/>
          <w:b/>
        </w:rPr>
      </w:pPr>
      <w:r w:rsidRPr="00C662FA">
        <w:rPr>
          <w:rFonts w:eastAsia="SimSun"/>
          <w:b/>
        </w:rPr>
        <w:t>Q.</w:t>
      </w:r>
      <w:r w:rsidRPr="00C662FA">
        <w:rPr>
          <w:rFonts w:eastAsia="SimSun"/>
          <w:b/>
        </w:rPr>
        <w:tab/>
        <w:t xml:space="preserve">Please describe the basic </w:t>
      </w:r>
      <w:r w:rsidR="009973D1">
        <w:rPr>
          <w:rFonts w:eastAsia="SimSun"/>
          <w:b/>
        </w:rPr>
        <w:t xml:space="preserve">requirements and </w:t>
      </w:r>
      <w:r w:rsidRPr="00C662FA">
        <w:rPr>
          <w:rFonts w:eastAsia="SimSun"/>
          <w:b/>
        </w:rPr>
        <w:t>criteria the Commission has used to evaluate decoupling mechanisms</w:t>
      </w:r>
      <w:r>
        <w:rPr>
          <w:rFonts w:eastAsia="SimSun"/>
          <w:b/>
        </w:rPr>
        <w:t xml:space="preserve"> for their approval</w:t>
      </w:r>
      <w:r w:rsidRPr="00C662FA">
        <w:rPr>
          <w:rFonts w:eastAsia="SimSun"/>
          <w:b/>
        </w:rPr>
        <w:t>.</w:t>
      </w:r>
    </w:p>
    <w:p w:rsidR="00C662FA" w:rsidRDefault="00C662FA" w:rsidP="00C662FA">
      <w:pPr>
        <w:pStyle w:val="answer"/>
        <w:widowControl w:val="0"/>
        <w:rPr>
          <w:rFonts w:eastAsia="SimSun"/>
        </w:rPr>
      </w:pPr>
      <w:r>
        <w:rPr>
          <w:rFonts w:eastAsia="SimSun"/>
        </w:rPr>
        <w:lastRenderedPageBreak/>
        <w:t>A.</w:t>
      </w:r>
      <w:r>
        <w:rPr>
          <w:rFonts w:eastAsia="SimSun"/>
        </w:rPr>
        <w:tab/>
        <w:t xml:space="preserve">These </w:t>
      </w:r>
      <w:r w:rsidR="00846025">
        <w:rPr>
          <w:rFonts w:eastAsia="SimSun"/>
        </w:rPr>
        <w:t>requ</w:t>
      </w:r>
      <w:r w:rsidR="00433CB2">
        <w:rPr>
          <w:rFonts w:eastAsia="SimSun"/>
        </w:rPr>
        <w:t>i</w:t>
      </w:r>
      <w:r w:rsidR="00846025">
        <w:rPr>
          <w:rFonts w:eastAsia="SimSun"/>
        </w:rPr>
        <w:t xml:space="preserve">rements </w:t>
      </w:r>
      <w:r>
        <w:rPr>
          <w:rFonts w:eastAsia="SimSun"/>
        </w:rPr>
        <w:t xml:space="preserve">were outlined in </w:t>
      </w:r>
      <w:r w:rsidR="00846025">
        <w:rPr>
          <w:rFonts w:eastAsia="SimSun"/>
        </w:rPr>
        <w:t>the Commission’s</w:t>
      </w:r>
      <w:r>
        <w:rPr>
          <w:rFonts w:eastAsia="SimSun"/>
        </w:rPr>
        <w:t xml:space="preserve"> Decoupling Policy Statement and can be summarized as follows:</w:t>
      </w:r>
    </w:p>
    <w:p w:rsidR="009973D1" w:rsidRDefault="009973D1" w:rsidP="009973D1">
      <w:pPr>
        <w:pStyle w:val="Answer0"/>
        <w:spacing w:after="280" w:line="240" w:lineRule="auto"/>
        <w:ind w:left="1440" w:right="720"/>
        <w:rPr>
          <w:rFonts w:eastAsia="SimSun"/>
        </w:rPr>
      </w:pPr>
      <w:r>
        <w:rPr>
          <w:rFonts w:eastAsia="SimSun"/>
        </w:rPr>
        <w:t>1.</w:t>
      </w:r>
      <w:r>
        <w:rPr>
          <w:rFonts w:eastAsia="SimSun"/>
        </w:rPr>
        <w:tab/>
        <w:t>A description of the decoupling mechanism;</w:t>
      </w:r>
    </w:p>
    <w:p w:rsidR="009973D1" w:rsidRDefault="009973D1" w:rsidP="009973D1">
      <w:pPr>
        <w:pStyle w:val="Answer0"/>
        <w:spacing w:after="280" w:line="240" w:lineRule="auto"/>
        <w:ind w:left="1440" w:right="720"/>
        <w:rPr>
          <w:rFonts w:eastAsia="SimSun"/>
        </w:rPr>
      </w:pPr>
      <w:r>
        <w:rPr>
          <w:rFonts w:eastAsia="SimSun"/>
        </w:rPr>
        <w:t>2.</w:t>
      </w:r>
      <w:r>
        <w:rPr>
          <w:rFonts w:eastAsia="SimSun"/>
        </w:rPr>
        <w:tab/>
        <w:t>The impact of the mechanism on rate of return;</w:t>
      </w:r>
    </w:p>
    <w:p w:rsidR="009973D1" w:rsidRDefault="009973D1" w:rsidP="009973D1">
      <w:pPr>
        <w:pStyle w:val="Answer0"/>
        <w:spacing w:after="280" w:line="240" w:lineRule="auto"/>
        <w:ind w:left="1440" w:right="720"/>
        <w:rPr>
          <w:rFonts w:eastAsia="SimSun"/>
        </w:rPr>
      </w:pPr>
      <w:r>
        <w:rPr>
          <w:rFonts w:eastAsia="SimSun"/>
        </w:rPr>
        <w:t>3.</w:t>
      </w:r>
      <w:r>
        <w:rPr>
          <w:rFonts w:eastAsia="SimSun"/>
        </w:rPr>
        <w:tab/>
        <w:t>The earnings test proposed in association with the mechanism;</w:t>
      </w:r>
    </w:p>
    <w:p w:rsidR="009973D1" w:rsidRDefault="009973D1" w:rsidP="009973D1">
      <w:pPr>
        <w:pStyle w:val="Answer0"/>
        <w:spacing w:after="280" w:line="240" w:lineRule="auto"/>
        <w:ind w:left="1440" w:right="720"/>
        <w:rPr>
          <w:rFonts w:eastAsia="SimSun"/>
        </w:rPr>
      </w:pPr>
      <w:r>
        <w:rPr>
          <w:rFonts w:eastAsia="SimSun"/>
        </w:rPr>
        <w:t>4.</w:t>
      </w:r>
      <w:r>
        <w:rPr>
          <w:rFonts w:eastAsia="SimSun"/>
        </w:rPr>
        <w:tab/>
        <w:t>The accounting of off-system sales and avoided costs in association with the mechanism;</w:t>
      </w:r>
    </w:p>
    <w:p w:rsidR="009973D1" w:rsidRDefault="009973D1" w:rsidP="009973D1">
      <w:pPr>
        <w:pStyle w:val="Answer0"/>
        <w:spacing w:after="280" w:line="240" w:lineRule="auto"/>
        <w:ind w:left="1440" w:right="720"/>
        <w:rPr>
          <w:rFonts w:eastAsia="SimSun"/>
        </w:rPr>
      </w:pPr>
      <w:r>
        <w:rPr>
          <w:rFonts w:eastAsia="SimSun"/>
        </w:rPr>
        <w:t>5.</w:t>
      </w:r>
      <w:r>
        <w:rPr>
          <w:rFonts w:eastAsia="SimSun"/>
        </w:rPr>
        <w:tab/>
        <w:t>The applicability of the mechanism to customer classes;</w:t>
      </w:r>
    </w:p>
    <w:p w:rsidR="009973D1" w:rsidRDefault="009973D1" w:rsidP="009973D1">
      <w:pPr>
        <w:pStyle w:val="Answer0"/>
        <w:spacing w:after="280" w:line="240" w:lineRule="auto"/>
        <w:ind w:left="1440" w:right="720"/>
        <w:rPr>
          <w:rFonts w:eastAsia="SimSun"/>
        </w:rPr>
      </w:pPr>
      <w:r>
        <w:rPr>
          <w:rFonts w:eastAsia="SimSun"/>
        </w:rPr>
        <w:t>6.</w:t>
      </w:r>
      <w:r>
        <w:rPr>
          <w:rFonts w:eastAsia="SimSun"/>
        </w:rPr>
        <w:tab/>
        <w:t>The effects of weather in the mechanism;</w:t>
      </w:r>
    </w:p>
    <w:p w:rsidR="009973D1" w:rsidRDefault="009973D1" w:rsidP="009973D1">
      <w:pPr>
        <w:pStyle w:val="Answer0"/>
        <w:spacing w:after="280" w:line="240" w:lineRule="auto"/>
        <w:ind w:left="1440" w:right="720"/>
        <w:rPr>
          <w:rFonts w:eastAsia="SimSun"/>
        </w:rPr>
      </w:pPr>
      <w:r>
        <w:rPr>
          <w:rFonts w:eastAsia="SimSun"/>
        </w:rPr>
        <w:t>7.</w:t>
      </w:r>
      <w:r>
        <w:rPr>
          <w:rFonts w:eastAsia="SimSun"/>
        </w:rPr>
        <w:tab/>
        <w:t>Evidence of incremental conservation associated with the mechanism;</w:t>
      </w:r>
    </w:p>
    <w:p w:rsidR="009973D1" w:rsidRDefault="009973D1" w:rsidP="009973D1">
      <w:pPr>
        <w:pStyle w:val="Answer0"/>
        <w:spacing w:after="280" w:line="240" w:lineRule="auto"/>
        <w:ind w:left="1440" w:right="720"/>
        <w:rPr>
          <w:rFonts w:eastAsia="SimSun"/>
        </w:rPr>
      </w:pPr>
      <w:r>
        <w:rPr>
          <w:rFonts w:eastAsia="SimSun"/>
        </w:rPr>
        <w:t>8.</w:t>
      </w:r>
      <w:r>
        <w:rPr>
          <w:rFonts w:eastAsia="SimSun"/>
        </w:rPr>
        <w:tab/>
        <w:t>Effect of mechanism on low-income customers;</w:t>
      </w:r>
    </w:p>
    <w:p w:rsidR="009973D1" w:rsidRDefault="009973D1" w:rsidP="009973D1">
      <w:pPr>
        <w:pStyle w:val="Answer0"/>
        <w:spacing w:after="280" w:line="240" w:lineRule="auto"/>
        <w:ind w:left="1440" w:right="720"/>
        <w:rPr>
          <w:rFonts w:eastAsia="SimSun"/>
        </w:rPr>
      </w:pPr>
      <w:r>
        <w:rPr>
          <w:rFonts w:eastAsia="SimSun"/>
        </w:rPr>
        <w:t>9.</w:t>
      </w:r>
      <w:r>
        <w:rPr>
          <w:rFonts w:eastAsia="SimSun"/>
        </w:rPr>
        <w:tab/>
        <w:t>The proposed duration of the mechanism;</w:t>
      </w:r>
    </w:p>
    <w:p w:rsidR="009973D1" w:rsidRDefault="009973D1" w:rsidP="009973D1">
      <w:pPr>
        <w:pStyle w:val="Answer0"/>
        <w:spacing w:after="280" w:line="240" w:lineRule="auto"/>
        <w:ind w:left="1440" w:right="720"/>
        <w:rPr>
          <w:rFonts w:eastAsia="SimSun"/>
        </w:rPr>
      </w:pPr>
      <w:r>
        <w:rPr>
          <w:rFonts w:eastAsia="SimSun"/>
        </w:rPr>
        <w:t>10.</w:t>
      </w:r>
      <w:r>
        <w:rPr>
          <w:rFonts w:eastAsia="SimSun"/>
        </w:rPr>
        <w:tab/>
        <w:t>An evaluation report on the mechanism; and</w:t>
      </w:r>
    </w:p>
    <w:p w:rsidR="009973D1" w:rsidRPr="00734133" w:rsidRDefault="009973D1" w:rsidP="009973D1">
      <w:pPr>
        <w:pStyle w:val="Answer0"/>
        <w:spacing w:after="280" w:line="240" w:lineRule="auto"/>
        <w:ind w:left="1440" w:right="720"/>
      </w:pPr>
      <w:r>
        <w:rPr>
          <w:rFonts w:eastAsia="SimSun"/>
        </w:rPr>
        <w:t>11.</w:t>
      </w:r>
      <w:r>
        <w:rPr>
          <w:rFonts w:eastAsia="SimSun"/>
        </w:rPr>
        <w:tab/>
        <w:t>Other factors impacting the public interest.</w:t>
      </w:r>
    </w:p>
    <w:p w:rsidR="009973D1" w:rsidRPr="009075DC" w:rsidRDefault="009973D1" w:rsidP="009973D1">
      <w:pPr>
        <w:pStyle w:val="question"/>
        <w:rPr>
          <w:rFonts w:eastAsia="SimSun"/>
        </w:rPr>
      </w:pPr>
      <w:r w:rsidRPr="009075DC">
        <w:rPr>
          <w:rFonts w:eastAsia="SimSun"/>
        </w:rPr>
        <w:t>Q.</w:t>
      </w:r>
      <w:r w:rsidRPr="009075DC">
        <w:rPr>
          <w:rFonts w:eastAsia="SimSun"/>
        </w:rPr>
        <w:tab/>
      </w:r>
      <w:r>
        <w:rPr>
          <w:rFonts w:eastAsia="SimSun"/>
        </w:rPr>
        <w:t>Has your testimony already described the proposed modifications to the existing decoupling mechanisms</w:t>
      </w:r>
      <w:r w:rsidRPr="009075DC">
        <w:rPr>
          <w:rFonts w:eastAsia="SimSun"/>
        </w:rPr>
        <w:t>?</w:t>
      </w:r>
    </w:p>
    <w:p w:rsidR="009973D1" w:rsidRPr="009075DC" w:rsidRDefault="009973D1" w:rsidP="009973D1">
      <w:pPr>
        <w:pStyle w:val="answer"/>
        <w:rPr>
          <w:rFonts w:eastAsia="SimSun"/>
        </w:rPr>
      </w:pPr>
      <w:r w:rsidRPr="009075DC">
        <w:rPr>
          <w:rFonts w:eastAsia="SimSun"/>
        </w:rPr>
        <w:t>A.</w:t>
      </w:r>
      <w:r w:rsidRPr="009075DC">
        <w:rPr>
          <w:rFonts w:eastAsia="SimSun"/>
        </w:rPr>
        <w:tab/>
      </w:r>
      <w:r>
        <w:rPr>
          <w:rFonts w:eastAsia="SimSun"/>
        </w:rPr>
        <w:t>Yes</w:t>
      </w:r>
      <w:r w:rsidRPr="009075DC">
        <w:rPr>
          <w:rFonts w:eastAsia="SimSun"/>
        </w:rPr>
        <w:t xml:space="preserve">. </w:t>
      </w:r>
      <w:r w:rsidR="00846025">
        <w:rPr>
          <w:rFonts w:eastAsia="SimSun"/>
        </w:rPr>
        <w:t xml:space="preserve"> </w:t>
      </w:r>
      <w:r w:rsidR="00AB246C">
        <w:rPr>
          <w:rFonts w:eastAsia="SimSun"/>
        </w:rPr>
        <w:t xml:space="preserve">In general, the proposed mechanisms will operate in much the same fashion as the existing mechanisms where allowed and actual revenue will be compared on a monthly basis, with the deferrals accumulated each calendar year trued up beginning May of the following year.  The most significant differences will be the inclusion of fixed </w:t>
      </w:r>
      <w:r w:rsidR="00AB6B68">
        <w:rPr>
          <w:rFonts w:eastAsia="SimSun"/>
        </w:rPr>
        <w:t xml:space="preserve">power </w:t>
      </w:r>
      <w:r w:rsidR="00AB246C">
        <w:rPr>
          <w:rFonts w:eastAsia="SimSun"/>
        </w:rPr>
        <w:t>costs in the electric decoupling mechanism and a modest rearrangement of non-residential customers in the decoupling rate groups.</w:t>
      </w:r>
    </w:p>
    <w:p w:rsidR="009973D1" w:rsidRPr="009075DC" w:rsidRDefault="009973D1" w:rsidP="009973D1">
      <w:pPr>
        <w:pStyle w:val="question"/>
        <w:rPr>
          <w:rFonts w:eastAsia="SimSun"/>
        </w:rPr>
      </w:pPr>
      <w:r w:rsidRPr="009075DC">
        <w:rPr>
          <w:rFonts w:eastAsia="SimSun"/>
        </w:rPr>
        <w:lastRenderedPageBreak/>
        <w:t>Q.</w:t>
      </w:r>
      <w:r w:rsidRPr="009075DC">
        <w:rPr>
          <w:rFonts w:eastAsia="SimSun"/>
        </w:rPr>
        <w:tab/>
      </w:r>
      <w:r>
        <w:rPr>
          <w:rFonts w:eastAsia="SimSun"/>
        </w:rPr>
        <w:t>Has the Company evaluated the impact of the proposed mechanism on its rate of return</w:t>
      </w:r>
      <w:r w:rsidRPr="009075DC">
        <w:rPr>
          <w:rFonts w:eastAsia="SimSun"/>
        </w:rPr>
        <w:t>?</w:t>
      </w:r>
    </w:p>
    <w:p w:rsidR="00F57641" w:rsidRDefault="009973D1" w:rsidP="009973D1">
      <w:pPr>
        <w:pStyle w:val="answer"/>
        <w:rPr>
          <w:rFonts w:eastAsia="SimSun"/>
        </w:rPr>
      </w:pPr>
      <w:r w:rsidRPr="009075DC">
        <w:rPr>
          <w:rFonts w:eastAsia="SimSun"/>
        </w:rPr>
        <w:t>A.</w:t>
      </w:r>
      <w:r w:rsidRPr="009075DC">
        <w:rPr>
          <w:rFonts w:eastAsia="SimSun"/>
        </w:rPr>
        <w:tab/>
      </w:r>
      <w:r w:rsidRPr="00EB2E1C">
        <w:rPr>
          <w:rFonts w:eastAsia="SimSun"/>
        </w:rPr>
        <w:t>No</w:t>
      </w:r>
      <w:r>
        <w:rPr>
          <w:rFonts w:eastAsia="SimSun"/>
        </w:rPr>
        <w:t>.  This issue was discussed extensively in the remand of the Commission’s approval of PSE’s amended petition to approve its original decoupling mechanisms.  In Order</w:t>
      </w:r>
      <w:r w:rsidRPr="009075DC">
        <w:rPr>
          <w:rFonts w:eastAsia="SimSun"/>
        </w:rPr>
        <w:t xml:space="preserve"> </w:t>
      </w:r>
      <w:r>
        <w:rPr>
          <w:rFonts w:eastAsia="SimSun"/>
        </w:rPr>
        <w:t xml:space="preserve">15, the Final Order on Remand, in the </w:t>
      </w:r>
      <w:r w:rsidR="00967449">
        <w:rPr>
          <w:rFonts w:eastAsia="SimSun"/>
        </w:rPr>
        <w:t>D</w:t>
      </w:r>
      <w:r>
        <w:rPr>
          <w:rFonts w:eastAsia="SimSun"/>
        </w:rPr>
        <w:t xml:space="preserve">ecoupling </w:t>
      </w:r>
      <w:r w:rsidR="00967449">
        <w:rPr>
          <w:rFonts w:eastAsia="SimSun"/>
        </w:rPr>
        <w:t>C</w:t>
      </w:r>
      <w:r>
        <w:rPr>
          <w:rFonts w:eastAsia="SimSun"/>
        </w:rPr>
        <w:t xml:space="preserve">ase, the Commission devoted 16 pages to the evaluation of this issue.  </w:t>
      </w:r>
      <w:r w:rsidR="00F57641">
        <w:rPr>
          <w:rFonts w:eastAsia="SimSun"/>
        </w:rPr>
        <w:t>With regard to the impact of decoupling on a utilit</w:t>
      </w:r>
      <w:r w:rsidR="00846025">
        <w:rPr>
          <w:rFonts w:eastAsia="SimSun"/>
        </w:rPr>
        <w:t>y’s</w:t>
      </w:r>
      <w:r w:rsidR="00F57641">
        <w:rPr>
          <w:rFonts w:eastAsia="SimSun"/>
        </w:rPr>
        <w:t xml:space="preserve"> return on equity, the Commission </w:t>
      </w:r>
      <w:r w:rsidR="00DF1E8A">
        <w:rPr>
          <w:rFonts w:eastAsia="SimSun"/>
        </w:rPr>
        <w:t>determined</w:t>
      </w:r>
      <w:r w:rsidR="00F57641">
        <w:rPr>
          <w:rFonts w:eastAsia="SimSun"/>
        </w:rPr>
        <w:t xml:space="preserve">: </w:t>
      </w:r>
    </w:p>
    <w:p w:rsidR="009973D1" w:rsidRPr="00F57641" w:rsidRDefault="00F57641" w:rsidP="00E71B57">
      <w:pPr>
        <w:pStyle w:val="singleindent"/>
        <w:rPr>
          <w:rFonts w:eastAsia="SimSun"/>
        </w:rPr>
      </w:pPr>
      <w:r w:rsidRPr="00E71B57">
        <w:rPr>
          <w:rStyle w:val="singleChar1"/>
          <w:rFonts w:eastAsia="SimSun"/>
        </w:rPr>
        <w:t>We believe it is correct that cost of capital analysis cannot be expected to produce results that support measurement of decrements to ROE ostensibly due to approval of one risk mitigation mechanism or another.  Nor would cost of capital analysis be adequate to the task of identifying increments to ROE that might be considered due to some measure of additional risk a company takes on at some point in time.  The Commission has never tried to account separately in its ROE determinations for specific risks or risk mitigating factors, nor should it.  Circumstances in the industry today and modern regulatory practice that have led to a proliferation of risk reducing mechanisms being in place for utilities throughout the United States make it particularly inappropriate and unnecessary to consider such an undertaking.</w:t>
      </w:r>
      <w:r w:rsidR="00DF1E8A">
        <w:rPr>
          <w:rStyle w:val="FootnoteReference"/>
          <w:rFonts w:eastAsia="SimSun"/>
        </w:rPr>
        <w:footnoteReference w:id="53"/>
      </w:r>
    </w:p>
    <w:p w:rsidR="00F57641" w:rsidRDefault="00B31C09" w:rsidP="00F57641">
      <w:pPr>
        <w:pStyle w:val="answer"/>
        <w:ind w:firstLine="0"/>
        <w:rPr>
          <w:rFonts w:eastAsia="SimSun"/>
        </w:rPr>
      </w:pPr>
      <w:r>
        <w:rPr>
          <w:rFonts w:eastAsia="SimSun"/>
        </w:rPr>
        <w:t>The Commission</w:t>
      </w:r>
      <w:r w:rsidR="00F57641">
        <w:rPr>
          <w:rFonts w:eastAsia="SimSun"/>
        </w:rPr>
        <w:t xml:space="preserve"> conclude</w:t>
      </w:r>
      <w:r>
        <w:rPr>
          <w:rFonts w:eastAsia="SimSun"/>
        </w:rPr>
        <w:t>d</w:t>
      </w:r>
      <w:r w:rsidR="00F57641">
        <w:rPr>
          <w:rFonts w:eastAsia="SimSun"/>
        </w:rPr>
        <w:t>:</w:t>
      </w:r>
    </w:p>
    <w:p w:rsidR="00F57641" w:rsidRPr="00F57641" w:rsidRDefault="00F57641" w:rsidP="00E71B57">
      <w:pPr>
        <w:pStyle w:val="singleindent"/>
        <w:rPr>
          <w:rFonts w:eastAsia="SimSun"/>
        </w:rPr>
      </w:pPr>
      <w:r w:rsidRPr="00E71B57">
        <w:rPr>
          <w:rFonts w:eastAsia="SimSun"/>
        </w:rPr>
        <w:t xml:space="preserve">In sum, we find persuasive the expert opinions of Dr. Morin and Mr. Gorman and find that the risk reducing effect of decoupling is reflected adequately in the data derived from the companies in their respective proxy groups.  We reject the idea of a separate decrement to ROE to account for the same risk reduction.  We also find persuasive the point that cost of capital analysis cannot achieve the level of granularity necessary to support a discrete </w:t>
      </w:r>
      <w:r w:rsidRPr="00E71B57">
        <w:rPr>
          <w:rFonts w:eastAsia="SimSun"/>
        </w:rPr>
        <w:lastRenderedPageBreak/>
        <w:t>adjustment to ROE to account for particularized risks—up or down</w:t>
      </w:r>
      <w:r w:rsidRPr="00F57641">
        <w:rPr>
          <w:rFonts w:eastAsia="SimSun"/>
          <w:i/>
        </w:rPr>
        <w:t>.</w:t>
      </w:r>
      <w:r w:rsidRPr="00DF1E8A">
        <w:rPr>
          <w:rStyle w:val="FootnoteReference"/>
          <w:rFonts w:eastAsia="SimSun"/>
        </w:rPr>
        <w:footnoteReference w:id="54"/>
      </w:r>
    </w:p>
    <w:p w:rsidR="00F57641" w:rsidRDefault="00F57641" w:rsidP="009973D1">
      <w:pPr>
        <w:pStyle w:val="question"/>
        <w:rPr>
          <w:rFonts w:eastAsia="SimSun"/>
        </w:rPr>
      </w:pPr>
      <w:r>
        <w:rPr>
          <w:rFonts w:eastAsia="SimSun"/>
        </w:rPr>
        <w:t>Q.</w:t>
      </w:r>
      <w:r>
        <w:rPr>
          <w:rFonts w:eastAsia="SimSun"/>
        </w:rPr>
        <w:tab/>
        <w:t>Does the new proxy group used by PSE in this filing to determine its ROE adequately reflect the risk reducing effects of decoupling and other risk mitigation mechanisms?</w:t>
      </w:r>
    </w:p>
    <w:p w:rsidR="00F57641" w:rsidRPr="00F57641" w:rsidRDefault="00F57641" w:rsidP="00F57641">
      <w:pPr>
        <w:pStyle w:val="answer"/>
        <w:rPr>
          <w:rFonts w:eastAsia="SimSun"/>
        </w:rPr>
      </w:pPr>
      <w:r>
        <w:rPr>
          <w:rFonts w:eastAsia="SimSun"/>
        </w:rPr>
        <w:t>A.</w:t>
      </w:r>
      <w:r>
        <w:rPr>
          <w:rFonts w:eastAsia="SimSun"/>
        </w:rPr>
        <w:tab/>
        <w:t>Yes.  For further information, please see the Prefiled Direct Testimony of Dr. Roger E. Morin, Exhibit No._(REM-1T) and the Prefiled Direct Testimony of Mr. Daniel A. Doyle, Exhibit No.___(DAD-1T).</w:t>
      </w:r>
    </w:p>
    <w:p w:rsidR="009973D1" w:rsidRPr="009075DC" w:rsidRDefault="009973D1" w:rsidP="009973D1">
      <w:pPr>
        <w:pStyle w:val="question"/>
        <w:rPr>
          <w:rFonts w:eastAsia="SimSun"/>
        </w:rPr>
      </w:pPr>
      <w:r w:rsidRPr="009075DC">
        <w:rPr>
          <w:rFonts w:eastAsia="SimSun"/>
        </w:rPr>
        <w:t>Q.</w:t>
      </w:r>
      <w:r w:rsidRPr="009075DC">
        <w:rPr>
          <w:rFonts w:eastAsia="SimSun"/>
        </w:rPr>
        <w:tab/>
      </w:r>
      <w:r>
        <w:rPr>
          <w:rFonts w:eastAsia="SimSun"/>
        </w:rPr>
        <w:t>Is there a proposed earnings test associated with the proposed decoupling mechanisms</w:t>
      </w:r>
      <w:r w:rsidRPr="009075DC">
        <w:rPr>
          <w:rFonts w:eastAsia="SimSun"/>
        </w:rPr>
        <w:t>?</w:t>
      </w:r>
    </w:p>
    <w:p w:rsidR="009973D1" w:rsidRPr="009075DC" w:rsidRDefault="009973D1" w:rsidP="009973D1">
      <w:pPr>
        <w:pStyle w:val="answer"/>
        <w:rPr>
          <w:rFonts w:eastAsia="SimSun"/>
        </w:rPr>
      </w:pPr>
      <w:r w:rsidRPr="009075DC">
        <w:rPr>
          <w:rFonts w:eastAsia="SimSun"/>
        </w:rPr>
        <w:t>A.</w:t>
      </w:r>
      <w:r w:rsidRPr="009075DC">
        <w:rPr>
          <w:rFonts w:eastAsia="SimSun"/>
        </w:rPr>
        <w:tab/>
      </w:r>
      <w:r w:rsidR="00401D31">
        <w:rPr>
          <w:rFonts w:eastAsia="SimSun"/>
        </w:rPr>
        <w:t>Yes.  PSE has proposed an earnings test, albeit somewhat modified from the current test. For further information, please see the Prefiled Direct Testimony of Mr. Daniel A. Doyle, Exhibit No.___(DAD-1T)</w:t>
      </w:r>
      <w:r>
        <w:rPr>
          <w:rFonts w:eastAsia="SimSun"/>
        </w:rPr>
        <w:t xml:space="preserve">.  </w:t>
      </w:r>
    </w:p>
    <w:p w:rsidR="009973D1" w:rsidRPr="009075DC" w:rsidRDefault="009973D1" w:rsidP="009973D1">
      <w:pPr>
        <w:pStyle w:val="question"/>
        <w:rPr>
          <w:rFonts w:eastAsia="SimSun"/>
        </w:rPr>
      </w:pPr>
      <w:r w:rsidRPr="009075DC">
        <w:rPr>
          <w:rFonts w:eastAsia="SimSun"/>
        </w:rPr>
        <w:t>Q.</w:t>
      </w:r>
      <w:r w:rsidRPr="009075DC">
        <w:rPr>
          <w:rFonts w:eastAsia="SimSun"/>
        </w:rPr>
        <w:tab/>
      </w:r>
      <w:r>
        <w:rPr>
          <w:rFonts w:eastAsia="SimSun"/>
        </w:rPr>
        <w:t>Do the proposed decoupling mechanisms explicitly account for off-system sales and the associated avoided cost of wholesale power and gas supply</w:t>
      </w:r>
      <w:r w:rsidRPr="009075DC">
        <w:rPr>
          <w:rFonts w:eastAsia="SimSun"/>
        </w:rPr>
        <w:t>?</w:t>
      </w:r>
    </w:p>
    <w:p w:rsidR="009973D1" w:rsidRDefault="009973D1" w:rsidP="009973D1">
      <w:pPr>
        <w:pStyle w:val="answer"/>
        <w:widowControl w:val="0"/>
        <w:rPr>
          <w:rFonts w:eastAsia="SimSun"/>
        </w:rPr>
      </w:pPr>
      <w:r w:rsidRPr="009075DC">
        <w:rPr>
          <w:rFonts w:eastAsia="SimSun"/>
        </w:rPr>
        <w:t>A.</w:t>
      </w:r>
      <w:r w:rsidRPr="009075DC">
        <w:rPr>
          <w:rFonts w:eastAsia="SimSun"/>
        </w:rPr>
        <w:tab/>
      </w:r>
      <w:r w:rsidR="00401D31">
        <w:rPr>
          <w:rFonts w:eastAsia="SimSun"/>
        </w:rPr>
        <w:t xml:space="preserve">As was the case with the existing mechanisms, </w:t>
      </w:r>
      <w:r>
        <w:rPr>
          <w:rFonts w:eastAsia="SimSun"/>
        </w:rPr>
        <w:t xml:space="preserve">these issues are already sufficiently addressed in the Company’s PGA and PCA mechanisms. </w:t>
      </w:r>
      <w:r w:rsidR="00401D31">
        <w:rPr>
          <w:rFonts w:eastAsia="SimSun"/>
        </w:rPr>
        <w:t>PSE’s proposed modifications to the existing decoupling mechanisms do nothing to change this.</w:t>
      </w:r>
      <w:r>
        <w:rPr>
          <w:rFonts w:eastAsia="SimSun"/>
        </w:rPr>
        <w:t xml:space="preserve"> </w:t>
      </w:r>
    </w:p>
    <w:p w:rsidR="009973D1" w:rsidRPr="009075DC" w:rsidRDefault="009973D1" w:rsidP="009973D1">
      <w:pPr>
        <w:pStyle w:val="question"/>
        <w:rPr>
          <w:rFonts w:eastAsia="SimSun"/>
        </w:rPr>
      </w:pPr>
      <w:r w:rsidRPr="009075DC">
        <w:rPr>
          <w:rFonts w:eastAsia="SimSun"/>
        </w:rPr>
        <w:lastRenderedPageBreak/>
        <w:t>Q.</w:t>
      </w:r>
      <w:r w:rsidRPr="009075DC">
        <w:rPr>
          <w:rFonts w:eastAsia="SimSun"/>
        </w:rPr>
        <w:tab/>
      </w:r>
      <w:r>
        <w:rPr>
          <w:rFonts w:eastAsia="SimSun"/>
        </w:rPr>
        <w:t>Has your testimony already discussed which customers are affected by the decoupling proposals</w:t>
      </w:r>
      <w:r w:rsidRPr="009075DC">
        <w:rPr>
          <w:rFonts w:eastAsia="SimSun"/>
        </w:rPr>
        <w:t>?</w:t>
      </w:r>
    </w:p>
    <w:p w:rsidR="009973D1" w:rsidRPr="009075DC" w:rsidRDefault="009973D1" w:rsidP="009973D1">
      <w:pPr>
        <w:pStyle w:val="answer"/>
        <w:rPr>
          <w:rFonts w:eastAsia="SimSun"/>
        </w:rPr>
      </w:pPr>
      <w:r w:rsidRPr="009075DC">
        <w:rPr>
          <w:rFonts w:eastAsia="SimSun"/>
        </w:rPr>
        <w:t>A.</w:t>
      </w:r>
      <w:r w:rsidRPr="009075DC">
        <w:rPr>
          <w:rFonts w:eastAsia="SimSun"/>
        </w:rPr>
        <w:tab/>
      </w:r>
      <w:r>
        <w:rPr>
          <w:rFonts w:eastAsia="SimSun"/>
        </w:rPr>
        <w:t xml:space="preserve">Yes, this was discussed </w:t>
      </w:r>
      <w:r w:rsidR="00401D31">
        <w:rPr>
          <w:rFonts w:eastAsia="SimSun"/>
        </w:rPr>
        <w:t xml:space="preserve">earlier </w:t>
      </w:r>
      <w:r>
        <w:rPr>
          <w:rFonts w:eastAsia="SimSun"/>
        </w:rPr>
        <w:t xml:space="preserve">in </w:t>
      </w:r>
      <w:r w:rsidR="00401D31">
        <w:rPr>
          <w:rFonts w:eastAsia="SimSun"/>
        </w:rPr>
        <w:t xml:space="preserve">this section </w:t>
      </w:r>
      <w:r>
        <w:rPr>
          <w:rFonts w:eastAsia="SimSun"/>
        </w:rPr>
        <w:t xml:space="preserve">of my testimony. </w:t>
      </w:r>
      <w:r w:rsidRPr="009075DC">
        <w:rPr>
          <w:rFonts w:eastAsia="SimSun"/>
        </w:rPr>
        <w:t xml:space="preserve"> </w:t>
      </w:r>
      <w:r w:rsidR="00CF5213">
        <w:rPr>
          <w:rFonts w:eastAsia="SimSun"/>
        </w:rPr>
        <w:t xml:space="preserve">Noteworthy in this context, PSE is proposing to </w:t>
      </w:r>
      <w:r w:rsidR="00AB246C">
        <w:rPr>
          <w:rFonts w:eastAsia="SimSun"/>
        </w:rPr>
        <w:t xml:space="preserve">modestly rearrange the grouping of the non-residential customers in both mechanisms to reduce the potential for cross-subsidization between rate schedules while balancing the common interest to moderate the volatility in decoupling deferrals and the associated rates required to </w:t>
      </w:r>
      <w:r w:rsidR="00A373A2">
        <w:rPr>
          <w:rFonts w:eastAsia="SimSun"/>
        </w:rPr>
        <w:t>amortize them</w:t>
      </w:r>
      <w:r w:rsidR="00AB246C">
        <w:rPr>
          <w:rFonts w:eastAsia="SimSun"/>
        </w:rPr>
        <w:t>.  As such, the proposed modifications to these rate groups are improvements over the groupings in current mechanisms.</w:t>
      </w:r>
    </w:p>
    <w:p w:rsidR="009973D1" w:rsidRPr="009075DC" w:rsidRDefault="009973D1" w:rsidP="009973D1">
      <w:pPr>
        <w:pStyle w:val="question"/>
        <w:rPr>
          <w:rFonts w:eastAsia="SimSun"/>
        </w:rPr>
      </w:pPr>
      <w:r w:rsidRPr="009075DC">
        <w:rPr>
          <w:rFonts w:eastAsia="SimSun"/>
        </w:rPr>
        <w:t>Q.</w:t>
      </w:r>
      <w:r w:rsidRPr="009075DC">
        <w:rPr>
          <w:rFonts w:eastAsia="SimSun"/>
        </w:rPr>
        <w:tab/>
      </w:r>
      <w:r>
        <w:rPr>
          <w:rFonts w:eastAsia="SimSun"/>
        </w:rPr>
        <w:t>How are the effects of weather incorporated in the proposed decoupling mechanisms</w:t>
      </w:r>
      <w:r w:rsidRPr="009075DC">
        <w:rPr>
          <w:rFonts w:eastAsia="SimSun"/>
        </w:rPr>
        <w:t>?</w:t>
      </w:r>
    </w:p>
    <w:p w:rsidR="009973D1" w:rsidRPr="009075DC" w:rsidRDefault="009973D1" w:rsidP="009973D1">
      <w:pPr>
        <w:pStyle w:val="answer"/>
        <w:rPr>
          <w:rFonts w:eastAsia="SimSun"/>
        </w:rPr>
      </w:pPr>
      <w:r w:rsidRPr="009075DC">
        <w:rPr>
          <w:rFonts w:eastAsia="SimSun"/>
        </w:rPr>
        <w:t>A.</w:t>
      </w:r>
      <w:r w:rsidRPr="009075DC">
        <w:rPr>
          <w:rFonts w:eastAsia="SimSun"/>
        </w:rPr>
        <w:tab/>
      </w:r>
      <w:r>
        <w:rPr>
          <w:rFonts w:eastAsia="SimSun"/>
        </w:rPr>
        <w:t xml:space="preserve">As </w:t>
      </w:r>
      <w:r w:rsidR="00401D31">
        <w:rPr>
          <w:rFonts w:eastAsia="SimSun"/>
        </w:rPr>
        <w:t>with the existing mechanisms</w:t>
      </w:r>
      <w:r>
        <w:rPr>
          <w:rFonts w:eastAsia="SimSun"/>
        </w:rPr>
        <w:t xml:space="preserve">, </w:t>
      </w:r>
      <w:r w:rsidR="00401D31">
        <w:rPr>
          <w:rFonts w:eastAsia="SimSun"/>
        </w:rPr>
        <w:t xml:space="preserve">actual revenue </w:t>
      </w:r>
      <w:r>
        <w:rPr>
          <w:rFonts w:eastAsia="SimSun"/>
        </w:rPr>
        <w:t xml:space="preserve">used to determine the decoupling deferrals </w:t>
      </w:r>
      <w:r w:rsidR="00401D31">
        <w:rPr>
          <w:rFonts w:eastAsia="SimSun"/>
        </w:rPr>
        <w:t xml:space="preserve">in the proposed mechanisms </w:t>
      </w:r>
      <w:r>
        <w:rPr>
          <w:rFonts w:eastAsia="SimSun"/>
        </w:rPr>
        <w:t>will not be adjusted for the effects of weather</w:t>
      </w:r>
      <w:r w:rsidRPr="009075DC">
        <w:rPr>
          <w:rFonts w:eastAsia="SimSun"/>
        </w:rPr>
        <w:t xml:space="preserve">. </w:t>
      </w:r>
    </w:p>
    <w:p w:rsidR="009973D1" w:rsidRPr="009075DC" w:rsidRDefault="009973D1" w:rsidP="009973D1">
      <w:pPr>
        <w:pStyle w:val="question"/>
        <w:rPr>
          <w:rFonts w:eastAsia="SimSun"/>
        </w:rPr>
      </w:pPr>
      <w:r w:rsidRPr="009075DC">
        <w:rPr>
          <w:rFonts w:eastAsia="SimSun"/>
        </w:rPr>
        <w:t>Q.</w:t>
      </w:r>
      <w:r w:rsidRPr="009075DC">
        <w:rPr>
          <w:rFonts w:eastAsia="SimSun"/>
        </w:rPr>
        <w:tab/>
      </w:r>
      <w:r>
        <w:rPr>
          <w:rFonts w:eastAsia="SimSun"/>
        </w:rPr>
        <w:t>Will the proposed decoupling mechanisms produce additional conservation achievement on the part of the Company</w:t>
      </w:r>
      <w:r w:rsidRPr="009075DC">
        <w:rPr>
          <w:rFonts w:eastAsia="SimSun"/>
        </w:rPr>
        <w:t>?</w:t>
      </w:r>
    </w:p>
    <w:p w:rsidR="009973D1" w:rsidRDefault="009973D1" w:rsidP="009973D1">
      <w:pPr>
        <w:pStyle w:val="answer"/>
        <w:widowControl w:val="0"/>
        <w:rPr>
          <w:rFonts w:eastAsia="SimSun"/>
        </w:rPr>
      </w:pPr>
      <w:r w:rsidRPr="009075DC">
        <w:rPr>
          <w:rFonts w:eastAsia="SimSun"/>
        </w:rPr>
        <w:t>A.</w:t>
      </w:r>
      <w:r w:rsidRPr="009075DC">
        <w:rPr>
          <w:rFonts w:eastAsia="SimSun"/>
        </w:rPr>
        <w:tab/>
      </w:r>
      <w:r w:rsidR="00401D31">
        <w:rPr>
          <w:rFonts w:eastAsia="SimSun"/>
        </w:rPr>
        <w:t>As with the existing mechanisms, PSE proposes to continue its commitment to accelerate its</w:t>
      </w:r>
      <w:r>
        <w:rPr>
          <w:rFonts w:eastAsia="SimSun"/>
        </w:rPr>
        <w:t xml:space="preserve"> conservation </w:t>
      </w:r>
      <w:r w:rsidR="00401D31">
        <w:rPr>
          <w:rFonts w:eastAsia="SimSun"/>
        </w:rPr>
        <w:t xml:space="preserve">achievement </w:t>
      </w:r>
      <w:r>
        <w:rPr>
          <w:rFonts w:eastAsia="SimSun"/>
        </w:rPr>
        <w:t xml:space="preserve">five percent above the levels approved by the Commission for PSE's biennial conservation target and submit itself to penalties equivalent to those outlined in RCW 19.285 for failure to achieve these incremental savings.    </w:t>
      </w:r>
    </w:p>
    <w:p w:rsidR="009973D1" w:rsidRPr="009075DC" w:rsidRDefault="009973D1" w:rsidP="009973D1">
      <w:pPr>
        <w:pStyle w:val="answer"/>
        <w:rPr>
          <w:rFonts w:eastAsia="SimSun"/>
        </w:rPr>
      </w:pPr>
      <w:r>
        <w:rPr>
          <w:rFonts w:eastAsia="SimSun"/>
        </w:rPr>
        <w:lastRenderedPageBreak/>
        <w:tab/>
      </w:r>
      <w:r w:rsidR="00F45321">
        <w:rPr>
          <w:rFonts w:eastAsia="SimSun"/>
        </w:rPr>
        <w:t>Also, as with the existing mechanism, g</w:t>
      </w:r>
      <w:r>
        <w:rPr>
          <w:rFonts w:eastAsia="SimSun"/>
        </w:rPr>
        <w:t xml:space="preserve">iven </w:t>
      </w:r>
      <w:r w:rsidR="00F45321">
        <w:rPr>
          <w:rFonts w:eastAsia="SimSun"/>
        </w:rPr>
        <w:t xml:space="preserve">PSE’s </w:t>
      </w:r>
      <w:r w:rsidR="00401D31">
        <w:rPr>
          <w:rFonts w:eastAsia="SimSun"/>
        </w:rPr>
        <w:t xml:space="preserve">continued commitment </w:t>
      </w:r>
      <w:r>
        <w:rPr>
          <w:rFonts w:eastAsia="SimSun"/>
        </w:rPr>
        <w:t xml:space="preserve">to voluntarily </w:t>
      </w:r>
      <w:r w:rsidR="00401D31">
        <w:rPr>
          <w:rFonts w:eastAsia="SimSun"/>
        </w:rPr>
        <w:t xml:space="preserve">accelerate its conservation achievement beyond </w:t>
      </w:r>
      <w:r w:rsidR="00F45321">
        <w:rPr>
          <w:rFonts w:eastAsia="SimSun"/>
        </w:rPr>
        <w:t xml:space="preserve">its </w:t>
      </w:r>
      <w:r>
        <w:rPr>
          <w:rFonts w:eastAsia="SimSun"/>
        </w:rPr>
        <w:t>Commission</w:t>
      </w:r>
      <w:r w:rsidR="00F45321">
        <w:rPr>
          <w:rFonts w:eastAsia="SimSun"/>
        </w:rPr>
        <w:t>-approved</w:t>
      </w:r>
      <w:r>
        <w:rPr>
          <w:rFonts w:eastAsia="SimSun"/>
        </w:rPr>
        <w:t xml:space="preserve"> biennial conservation target, no further test of conservation achievement is being offered</w:t>
      </w:r>
      <w:r w:rsidR="00F45321">
        <w:rPr>
          <w:rFonts w:eastAsia="SimSun"/>
        </w:rPr>
        <w:t xml:space="preserve"> beyond its commitment to exceed these targets</w:t>
      </w:r>
      <w:r>
        <w:rPr>
          <w:rFonts w:eastAsia="SimSun"/>
        </w:rPr>
        <w:t xml:space="preserve">.   </w:t>
      </w:r>
    </w:p>
    <w:p w:rsidR="009973D1" w:rsidRPr="009075DC" w:rsidRDefault="009973D1" w:rsidP="009973D1">
      <w:pPr>
        <w:pStyle w:val="question"/>
        <w:rPr>
          <w:rFonts w:eastAsia="SimSun"/>
        </w:rPr>
      </w:pPr>
      <w:r w:rsidRPr="009075DC">
        <w:rPr>
          <w:rFonts w:eastAsia="SimSun"/>
        </w:rPr>
        <w:t>Q.</w:t>
      </w:r>
      <w:r w:rsidRPr="009075DC">
        <w:rPr>
          <w:rFonts w:eastAsia="SimSun"/>
        </w:rPr>
        <w:tab/>
      </w:r>
      <w:r>
        <w:rPr>
          <w:rFonts w:eastAsia="SimSun"/>
        </w:rPr>
        <w:t xml:space="preserve">Is the Company </w:t>
      </w:r>
      <w:r w:rsidR="00F45321">
        <w:rPr>
          <w:rFonts w:eastAsia="SimSun"/>
        </w:rPr>
        <w:t xml:space="preserve">making any further commitments regarding </w:t>
      </w:r>
      <w:r>
        <w:rPr>
          <w:rFonts w:eastAsia="SimSun"/>
        </w:rPr>
        <w:t xml:space="preserve">natural gas conservation achievement as part of </w:t>
      </w:r>
      <w:r w:rsidR="00F45321">
        <w:rPr>
          <w:rFonts w:eastAsia="SimSun"/>
        </w:rPr>
        <w:t xml:space="preserve">its current decoupling </w:t>
      </w:r>
      <w:r>
        <w:rPr>
          <w:rFonts w:eastAsia="SimSun"/>
        </w:rPr>
        <w:t>proposal</w:t>
      </w:r>
      <w:r w:rsidRPr="009075DC">
        <w:rPr>
          <w:rFonts w:eastAsia="SimSun"/>
        </w:rPr>
        <w:t>?</w:t>
      </w:r>
    </w:p>
    <w:p w:rsidR="009973D1" w:rsidRDefault="009973D1" w:rsidP="009973D1">
      <w:pPr>
        <w:pStyle w:val="answer"/>
        <w:rPr>
          <w:rFonts w:eastAsia="SimSun"/>
        </w:rPr>
      </w:pPr>
      <w:r w:rsidRPr="009075DC">
        <w:rPr>
          <w:rFonts w:eastAsia="SimSun"/>
        </w:rPr>
        <w:t>A.</w:t>
      </w:r>
      <w:r w:rsidRPr="009075DC">
        <w:rPr>
          <w:rFonts w:eastAsia="SimSun"/>
        </w:rPr>
        <w:tab/>
      </w:r>
      <w:r w:rsidR="00A02DD0">
        <w:rPr>
          <w:rFonts w:eastAsia="SimSun"/>
        </w:rPr>
        <w:t xml:space="preserve">PSE will commit to achieving </w:t>
      </w:r>
      <w:r w:rsidR="00872887">
        <w:rPr>
          <w:rFonts w:eastAsia="SimSun"/>
        </w:rPr>
        <w:t>five percent more natural gas conservation than required to meet guidance from the PSE Integrated Resource Plan over the same two-year reporting biennium</w:t>
      </w:r>
      <w:r w:rsidR="00A02DD0">
        <w:rPr>
          <w:rFonts w:eastAsia="SimSun"/>
        </w:rPr>
        <w:t xml:space="preserve"> as is used to determine compliance with the electrical conservation requirements in RCW 19.285</w:t>
      </w:r>
    </w:p>
    <w:p w:rsidR="00A02DD0" w:rsidRDefault="00A02DD0" w:rsidP="00A02DD0">
      <w:pPr>
        <w:pStyle w:val="question"/>
        <w:rPr>
          <w:rFonts w:eastAsia="SimSun"/>
        </w:rPr>
      </w:pPr>
      <w:r>
        <w:rPr>
          <w:rFonts w:eastAsia="SimSun"/>
        </w:rPr>
        <w:t>Q.</w:t>
      </w:r>
      <w:r>
        <w:rPr>
          <w:rFonts w:eastAsia="SimSun"/>
        </w:rPr>
        <w:tab/>
        <w:t>What would happen if PSE does not meet these decoupling-related gas conservation commitments?</w:t>
      </w:r>
    </w:p>
    <w:p w:rsidR="00A02DD0" w:rsidRPr="00A02DD0" w:rsidRDefault="00A02DD0" w:rsidP="00A02DD0">
      <w:pPr>
        <w:pStyle w:val="answer"/>
        <w:rPr>
          <w:rFonts w:eastAsia="SimSun"/>
        </w:rPr>
      </w:pPr>
      <w:r>
        <w:rPr>
          <w:rFonts w:eastAsia="SimSun"/>
        </w:rPr>
        <w:t>A.</w:t>
      </w:r>
      <w:r>
        <w:rPr>
          <w:rFonts w:eastAsia="SimSun"/>
        </w:rPr>
        <w:tab/>
        <w:t xml:space="preserve">PSE proposes to pay $20,000 for meeting between 4.5 percent and </w:t>
      </w:r>
      <w:r w:rsidR="009235FB">
        <w:rPr>
          <w:rFonts w:eastAsia="SimSun"/>
        </w:rPr>
        <w:t>5.0</w:t>
      </w:r>
      <w:r>
        <w:rPr>
          <w:rFonts w:eastAsia="SimSun"/>
        </w:rPr>
        <w:t xml:space="preserve"> percent of its incremental gas conservation commitment, $50,000 for meeting between 3.75 percent and 4.5 percent of its incremental commitment, and $75,000 for less than 3.75 percent of its incremental commitment. These penalties are structured after the existing penalties for gas </w:t>
      </w:r>
      <w:r w:rsidR="009235FB">
        <w:rPr>
          <w:rFonts w:eastAsia="SimSun"/>
        </w:rPr>
        <w:t xml:space="preserve">conservation </w:t>
      </w:r>
      <w:r>
        <w:rPr>
          <w:rFonts w:eastAsia="SimSun"/>
        </w:rPr>
        <w:t>performance, as outlined in the 2001 Stipulation Agreement in Docket UG-011571</w:t>
      </w:r>
      <w:r w:rsidR="009235FB">
        <w:rPr>
          <w:rFonts w:eastAsia="SimSun"/>
        </w:rPr>
        <w:t xml:space="preserve">, but with penalty amounts that are 10 percent of the corresponding levels that apply when it fails to meet its minimum requirements. </w:t>
      </w:r>
    </w:p>
    <w:p w:rsidR="009973D1" w:rsidRPr="009075DC" w:rsidRDefault="009973D1" w:rsidP="009973D1">
      <w:pPr>
        <w:pStyle w:val="question"/>
        <w:rPr>
          <w:rFonts w:eastAsia="SimSun"/>
        </w:rPr>
      </w:pPr>
      <w:r w:rsidRPr="009075DC">
        <w:rPr>
          <w:rFonts w:eastAsia="SimSun"/>
        </w:rPr>
        <w:t>Q.</w:t>
      </w:r>
      <w:r w:rsidRPr="009075DC">
        <w:rPr>
          <w:rFonts w:eastAsia="SimSun"/>
        </w:rPr>
        <w:tab/>
      </w:r>
      <w:r>
        <w:rPr>
          <w:rFonts w:eastAsia="SimSun"/>
        </w:rPr>
        <w:t>How will low-income customers be impacted by the decoupling proposals</w:t>
      </w:r>
      <w:r w:rsidRPr="009075DC">
        <w:rPr>
          <w:rFonts w:eastAsia="SimSun"/>
        </w:rPr>
        <w:t>?</w:t>
      </w:r>
    </w:p>
    <w:p w:rsidR="009973D1" w:rsidRPr="009075DC" w:rsidRDefault="009973D1" w:rsidP="009973D1">
      <w:pPr>
        <w:pStyle w:val="answer"/>
        <w:rPr>
          <w:rFonts w:eastAsia="SimSun"/>
        </w:rPr>
      </w:pPr>
      <w:r w:rsidRPr="009075DC">
        <w:rPr>
          <w:rFonts w:eastAsia="SimSun"/>
        </w:rPr>
        <w:lastRenderedPageBreak/>
        <w:t>A.</w:t>
      </w:r>
      <w:r w:rsidRPr="009075DC">
        <w:rPr>
          <w:rFonts w:eastAsia="SimSun"/>
        </w:rPr>
        <w:tab/>
      </w:r>
      <w:r w:rsidR="00507671">
        <w:rPr>
          <w:rFonts w:eastAsia="SimSun"/>
        </w:rPr>
        <w:t xml:space="preserve">As already noted in the Gil Peach Report, the bill impacts to customers receiving bill assistance from PSE have been minor.  In addition, PSE agreed to increase its funding for low-income weatherization by $500,000 per year as part of the original decoupling mechanisms.  PSE proposes </w:t>
      </w:r>
      <w:r w:rsidR="00DF1E8A">
        <w:rPr>
          <w:rFonts w:eastAsia="SimSun"/>
        </w:rPr>
        <w:t xml:space="preserve">to </w:t>
      </w:r>
      <w:r w:rsidR="00507671">
        <w:rPr>
          <w:rFonts w:eastAsia="SimSun"/>
        </w:rPr>
        <w:t>continue this higher funding level for the proposed mechanisms in this filing.</w:t>
      </w:r>
    </w:p>
    <w:p w:rsidR="009973D1" w:rsidRPr="009075DC" w:rsidRDefault="009973D1" w:rsidP="009973D1">
      <w:pPr>
        <w:pStyle w:val="question"/>
        <w:rPr>
          <w:rFonts w:eastAsia="SimSun"/>
        </w:rPr>
      </w:pPr>
      <w:r w:rsidRPr="009075DC">
        <w:rPr>
          <w:rFonts w:eastAsia="SimSun"/>
        </w:rPr>
        <w:t>Q.</w:t>
      </w:r>
      <w:r w:rsidRPr="009075DC">
        <w:rPr>
          <w:rFonts w:eastAsia="SimSun"/>
        </w:rPr>
        <w:tab/>
      </w:r>
      <w:r>
        <w:rPr>
          <w:rFonts w:eastAsia="SimSun"/>
        </w:rPr>
        <w:t xml:space="preserve">What is the proposed duration of the </w:t>
      </w:r>
      <w:r w:rsidR="00507671">
        <w:rPr>
          <w:rFonts w:eastAsia="SimSun"/>
        </w:rPr>
        <w:t xml:space="preserve">new </w:t>
      </w:r>
      <w:r>
        <w:rPr>
          <w:rFonts w:eastAsia="SimSun"/>
        </w:rPr>
        <w:t>decoupling mechanisms</w:t>
      </w:r>
      <w:r w:rsidR="00507671">
        <w:rPr>
          <w:rFonts w:eastAsia="SimSun"/>
        </w:rPr>
        <w:t xml:space="preserve"> proposed in this filing</w:t>
      </w:r>
      <w:r w:rsidRPr="009075DC">
        <w:rPr>
          <w:rFonts w:eastAsia="SimSun"/>
        </w:rPr>
        <w:t>?</w:t>
      </w:r>
    </w:p>
    <w:p w:rsidR="009973D1" w:rsidRPr="009075DC" w:rsidRDefault="009973D1" w:rsidP="009973D1">
      <w:pPr>
        <w:pStyle w:val="answer"/>
        <w:rPr>
          <w:rFonts w:eastAsia="SimSun"/>
        </w:rPr>
      </w:pPr>
      <w:r w:rsidRPr="009075DC">
        <w:rPr>
          <w:rFonts w:eastAsia="SimSun"/>
        </w:rPr>
        <w:t>A.</w:t>
      </w:r>
      <w:r w:rsidRPr="009075DC">
        <w:rPr>
          <w:rFonts w:eastAsia="SimSun"/>
        </w:rPr>
        <w:tab/>
      </w:r>
      <w:r w:rsidR="00507671">
        <w:t xml:space="preserve">PSE </w:t>
      </w:r>
      <w:r>
        <w:t>propose</w:t>
      </w:r>
      <w:r w:rsidR="00507671">
        <w:t>s</w:t>
      </w:r>
      <w:r>
        <w:t xml:space="preserve"> that th</w:t>
      </w:r>
      <w:r w:rsidR="00507671">
        <w:t>es</w:t>
      </w:r>
      <w:r>
        <w:t xml:space="preserve">e decoupling mechanisms </w:t>
      </w:r>
      <w:r w:rsidR="00507671">
        <w:t>become permanent and continue until such time PSE proposes, and the Commission approves, to have them discontinued</w:t>
      </w:r>
      <w:r w:rsidR="00DF1E8A">
        <w:t xml:space="preserve"> or modified</w:t>
      </w:r>
      <w:r w:rsidR="00507671">
        <w:t xml:space="preserve">.  </w:t>
      </w:r>
      <w:r w:rsidR="00754552">
        <w:t>With the significant growth in the use of decoupling mechanisms around the country, as well as in this state, and the lack of evidence that there are significant adverse impacts associated with these mechanisms, there is very little risk in the Commission approving the indefinite continuation of PSE’s decoupling mechanisms</w:t>
      </w:r>
      <w:r w:rsidR="00754552" w:rsidRPr="009075DC">
        <w:rPr>
          <w:rFonts w:eastAsia="SimSun"/>
        </w:rPr>
        <w:t xml:space="preserve">. </w:t>
      </w:r>
    </w:p>
    <w:p w:rsidR="009973D1" w:rsidRPr="009075DC" w:rsidRDefault="009973D1" w:rsidP="009973D1">
      <w:pPr>
        <w:pStyle w:val="question"/>
        <w:rPr>
          <w:rFonts w:eastAsia="SimSun"/>
        </w:rPr>
      </w:pPr>
      <w:r w:rsidRPr="009075DC">
        <w:rPr>
          <w:rFonts w:eastAsia="SimSun"/>
        </w:rPr>
        <w:t>Q.</w:t>
      </w:r>
      <w:r w:rsidRPr="009075DC">
        <w:rPr>
          <w:rFonts w:eastAsia="SimSun"/>
        </w:rPr>
        <w:tab/>
      </w:r>
      <w:r w:rsidR="00A373A2">
        <w:rPr>
          <w:rFonts w:eastAsia="SimSun"/>
        </w:rPr>
        <w:t xml:space="preserve">Is PSE proposing </w:t>
      </w:r>
      <w:r>
        <w:rPr>
          <w:rFonts w:eastAsia="SimSun"/>
        </w:rPr>
        <w:t>an</w:t>
      </w:r>
      <w:r w:rsidR="00507671">
        <w:rPr>
          <w:rFonts w:eastAsia="SimSun"/>
        </w:rPr>
        <w:t>other</w:t>
      </w:r>
      <w:r>
        <w:rPr>
          <w:rFonts w:eastAsia="SimSun"/>
        </w:rPr>
        <w:t xml:space="preserve"> </w:t>
      </w:r>
      <w:r w:rsidR="00507671">
        <w:rPr>
          <w:rFonts w:eastAsia="SimSun"/>
        </w:rPr>
        <w:t xml:space="preserve">third-party </w:t>
      </w:r>
      <w:r>
        <w:rPr>
          <w:rFonts w:eastAsia="SimSun"/>
        </w:rPr>
        <w:t>evaluation of the</w:t>
      </w:r>
      <w:r w:rsidR="00507671">
        <w:rPr>
          <w:rFonts w:eastAsia="SimSun"/>
        </w:rPr>
        <w:t xml:space="preserve"> newly</w:t>
      </w:r>
      <w:r>
        <w:rPr>
          <w:rFonts w:eastAsia="SimSun"/>
        </w:rPr>
        <w:t xml:space="preserve"> proposed decoupling mechanisms</w:t>
      </w:r>
      <w:r w:rsidRPr="009075DC">
        <w:rPr>
          <w:rFonts w:eastAsia="SimSun"/>
        </w:rPr>
        <w:t>?</w:t>
      </w:r>
    </w:p>
    <w:p w:rsidR="009973D1" w:rsidRPr="009075DC" w:rsidRDefault="009973D1" w:rsidP="009973D1">
      <w:pPr>
        <w:pStyle w:val="answer"/>
        <w:rPr>
          <w:rFonts w:eastAsia="SimSun"/>
        </w:rPr>
      </w:pPr>
      <w:r w:rsidRPr="009075DC">
        <w:rPr>
          <w:rFonts w:eastAsia="SimSun"/>
        </w:rPr>
        <w:t>A.</w:t>
      </w:r>
      <w:r w:rsidRPr="009075DC">
        <w:rPr>
          <w:rFonts w:eastAsia="SimSun"/>
        </w:rPr>
        <w:tab/>
      </w:r>
      <w:r w:rsidR="00507671">
        <w:rPr>
          <w:rFonts w:eastAsia="SimSun"/>
        </w:rPr>
        <w:t xml:space="preserve">No.  PSE does not believe that yet another </w:t>
      </w:r>
      <w:r w:rsidR="002B45F5">
        <w:rPr>
          <w:rFonts w:eastAsia="SimSun"/>
        </w:rPr>
        <w:t xml:space="preserve">third-party </w:t>
      </w:r>
      <w:r w:rsidR="00507671">
        <w:rPr>
          <w:rFonts w:eastAsia="SimSun"/>
        </w:rPr>
        <w:t xml:space="preserve">evaluation would materially influence the growing body of evidence that decoupling mechanisms are working as intended to remove utilities’ throughput incentive and </w:t>
      </w:r>
      <w:r w:rsidR="002B45F5">
        <w:rPr>
          <w:rFonts w:eastAsia="SimSun"/>
        </w:rPr>
        <w:t>their associated financial disincentives to support their customers’ conservation efforts</w:t>
      </w:r>
      <w:r>
        <w:rPr>
          <w:rFonts w:eastAsia="SimSun"/>
        </w:rPr>
        <w:t>.</w:t>
      </w:r>
      <w:r w:rsidR="002B45F5">
        <w:rPr>
          <w:rFonts w:eastAsia="SimSun"/>
        </w:rPr>
        <w:t xml:space="preserve">  </w:t>
      </w:r>
      <w:r w:rsidR="00D7575D">
        <w:rPr>
          <w:rFonts w:eastAsia="SimSun"/>
        </w:rPr>
        <w:t>I</w:t>
      </w:r>
      <w:r w:rsidR="002B45F5">
        <w:rPr>
          <w:rFonts w:eastAsia="SimSun"/>
        </w:rPr>
        <w:t xml:space="preserve">nterested </w:t>
      </w:r>
      <w:r w:rsidR="002B45F5">
        <w:rPr>
          <w:rFonts w:eastAsia="SimSun"/>
        </w:rPr>
        <w:lastRenderedPageBreak/>
        <w:t xml:space="preserve">stakeholders </w:t>
      </w:r>
      <w:r w:rsidR="00D7575D">
        <w:rPr>
          <w:rFonts w:eastAsia="SimSun"/>
        </w:rPr>
        <w:t>can</w:t>
      </w:r>
      <w:r w:rsidR="002B45F5">
        <w:rPr>
          <w:rFonts w:eastAsia="SimSun"/>
        </w:rPr>
        <w:t xml:space="preserve"> perform their own evaluations of these mechanisms from their unique perspectives as the mechanisms continue to be updated in the future.  </w:t>
      </w:r>
    </w:p>
    <w:p w:rsidR="009973D1" w:rsidRPr="009075DC" w:rsidRDefault="009973D1" w:rsidP="009973D1">
      <w:pPr>
        <w:pStyle w:val="question"/>
        <w:rPr>
          <w:rFonts w:eastAsia="SimSun"/>
        </w:rPr>
      </w:pPr>
      <w:r w:rsidRPr="009075DC">
        <w:rPr>
          <w:rFonts w:eastAsia="SimSun"/>
        </w:rPr>
        <w:t>Q.</w:t>
      </w:r>
      <w:r w:rsidRPr="009075DC">
        <w:rPr>
          <w:rFonts w:eastAsia="SimSun"/>
        </w:rPr>
        <w:tab/>
      </w:r>
      <w:r>
        <w:rPr>
          <w:rFonts w:eastAsia="SimSun"/>
        </w:rPr>
        <w:t>Are there any other factors to consider regarding the proposed decoupling mechanisms that weigh on whether their approval is in the public interest</w:t>
      </w:r>
      <w:r w:rsidRPr="009075DC">
        <w:rPr>
          <w:rFonts w:eastAsia="SimSun"/>
        </w:rPr>
        <w:t>?</w:t>
      </w:r>
    </w:p>
    <w:p w:rsidR="00C662FA" w:rsidRDefault="009973D1" w:rsidP="00CF5213">
      <w:pPr>
        <w:pStyle w:val="answer"/>
        <w:rPr>
          <w:rFonts w:eastAsia="SimSun"/>
        </w:rPr>
      </w:pPr>
      <w:r w:rsidRPr="009075DC">
        <w:rPr>
          <w:rFonts w:eastAsia="SimSun"/>
        </w:rPr>
        <w:t>A.</w:t>
      </w:r>
      <w:r w:rsidRPr="009075DC">
        <w:rPr>
          <w:rFonts w:eastAsia="SimSun"/>
        </w:rPr>
        <w:tab/>
      </w:r>
      <w:r w:rsidR="00CC1227">
        <w:rPr>
          <w:rFonts w:eastAsia="SimSun"/>
        </w:rPr>
        <w:t xml:space="preserve">Other than the factors discussed earlier in my testimony and the factors discussed by the Commission in Order 07, PSE is not aware of other factors impacting the public interest. </w:t>
      </w:r>
    </w:p>
    <w:p w:rsidR="003360EB" w:rsidRPr="009075DC" w:rsidRDefault="00FF4648" w:rsidP="003360EB">
      <w:pPr>
        <w:pStyle w:val="Heading1"/>
        <w:keepNext w:val="0"/>
        <w:keepLines w:val="0"/>
        <w:widowControl w:val="0"/>
        <w:rPr>
          <w:rFonts w:eastAsia="SimSun"/>
        </w:rPr>
      </w:pPr>
      <w:r w:rsidRPr="009075DC">
        <w:rPr>
          <w:rFonts w:eastAsia="SimSun"/>
        </w:rPr>
        <w:t xml:space="preserve"> </w:t>
      </w:r>
      <w:bookmarkStart w:id="184" w:name="_Toc471912988"/>
      <w:r w:rsidR="003360EB">
        <w:rPr>
          <w:rFonts w:eastAsia="SimSun"/>
        </w:rPr>
        <w:t>X</w:t>
      </w:r>
      <w:r w:rsidR="003360EB" w:rsidRPr="009075DC">
        <w:rPr>
          <w:rFonts w:eastAsia="SimSun"/>
        </w:rPr>
        <w:t>.</w:t>
      </w:r>
      <w:r w:rsidR="003360EB" w:rsidRPr="009075DC">
        <w:rPr>
          <w:rFonts w:eastAsia="SimSun"/>
        </w:rPr>
        <w:tab/>
      </w:r>
      <w:r w:rsidR="00DD1DCF">
        <w:rPr>
          <w:rFonts w:eastAsia="SimSun"/>
        </w:rPr>
        <w:t>ELECTRIC COST RECOVERY MECHANISM</w:t>
      </w:r>
      <w:bookmarkEnd w:id="184"/>
      <w:r w:rsidR="007D1FD1">
        <w:rPr>
          <w:rFonts w:eastAsia="SimSun"/>
        </w:rPr>
        <w:t xml:space="preserve"> </w:t>
      </w:r>
    </w:p>
    <w:p w:rsidR="00B67D2F" w:rsidRDefault="00B67D2F" w:rsidP="00B67D2F">
      <w:pPr>
        <w:autoSpaceDE w:val="0"/>
        <w:autoSpaceDN w:val="0"/>
        <w:adjustRightInd w:val="0"/>
        <w:spacing w:before="240" w:after="120" w:line="480" w:lineRule="auto"/>
        <w:ind w:firstLine="0"/>
        <w:rPr>
          <w:b/>
          <w:noProof/>
          <w:szCs w:val="24"/>
          <w:lang w:eastAsia="en-US"/>
        </w:rPr>
      </w:pPr>
      <w:r w:rsidRPr="00B67D2F">
        <w:rPr>
          <w:b/>
        </w:rPr>
        <w:t xml:space="preserve">Q.  </w:t>
      </w:r>
      <w:r w:rsidRPr="00B67D2F">
        <w:rPr>
          <w:b/>
        </w:rPr>
        <w:tab/>
      </w:r>
      <w:r>
        <w:rPr>
          <w:b/>
          <w:noProof/>
          <w:szCs w:val="24"/>
          <w:lang w:eastAsia="en-US"/>
        </w:rPr>
        <w:t>Why is PSE proposing an Electric Cost Recovery Mechanism?</w:t>
      </w:r>
    </w:p>
    <w:p w:rsidR="00B67D2F" w:rsidRPr="00B67D2F" w:rsidRDefault="00B67D2F" w:rsidP="00B67D2F">
      <w:pPr>
        <w:pStyle w:val="question"/>
        <w:widowControl w:val="0"/>
        <w:rPr>
          <w:b w:val="0"/>
          <w:bCs/>
          <w:szCs w:val="24"/>
        </w:rPr>
      </w:pPr>
      <w:r w:rsidRPr="00B67D2F">
        <w:rPr>
          <w:b w:val="0"/>
          <w:bCs/>
          <w:szCs w:val="24"/>
          <w:lang w:eastAsia="en-US"/>
        </w:rPr>
        <w:t>A.</w:t>
      </w:r>
      <w:r w:rsidRPr="00B67D2F">
        <w:rPr>
          <w:b w:val="0"/>
          <w:bCs/>
          <w:szCs w:val="24"/>
          <w:lang w:eastAsia="en-US"/>
        </w:rPr>
        <w:tab/>
        <w:t xml:space="preserve">As discussed in the </w:t>
      </w:r>
      <w:r>
        <w:rPr>
          <w:b w:val="0"/>
          <w:bCs/>
          <w:szCs w:val="24"/>
          <w:lang w:eastAsia="en-US"/>
        </w:rPr>
        <w:t>Prefiled Direct T</w:t>
      </w:r>
      <w:r w:rsidRPr="00B67D2F">
        <w:rPr>
          <w:b w:val="0"/>
          <w:bCs/>
          <w:szCs w:val="24"/>
          <w:lang w:eastAsia="en-US"/>
        </w:rPr>
        <w:t xml:space="preserve">estimonies of </w:t>
      </w:r>
      <w:r>
        <w:rPr>
          <w:b w:val="0"/>
          <w:bCs/>
          <w:szCs w:val="24"/>
          <w:lang w:eastAsia="en-US"/>
        </w:rPr>
        <w:t xml:space="preserve">Ms. </w:t>
      </w:r>
      <w:r w:rsidRPr="00B67D2F">
        <w:rPr>
          <w:b w:val="0"/>
          <w:bCs/>
          <w:szCs w:val="24"/>
          <w:lang w:eastAsia="en-US"/>
        </w:rPr>
        <w:t>Booga Gilbertson</w:t>
      </w:r>
      <w:r>
        <w:rPr>
          <w:b w:val="0"/>
          <w:bCs/>
          <w:szCs w:val="24"/>
          <w:lang w:eastAsia="en-US"/>
        </w:rPr>
        <w:t>, Exhibit No.___(BKG-1T)</w:t>
      </w:r>
      <w:r w:rsidRPr="00B67D2F">
        <w:rPr>
          <w:b w:val="0"/>
          <w:bCs/>
          <w:szCs w:val="24"/>
          <w:lang w:eastAsia="en-US"/>
        </w:rPr>
        <w:t xml:space="preserve"> and </w:t>
      </w:r>
      <w:r>
        <w:rPr>
          <w:b w:val="0"/>
          <w:bCs/>
          <w:szCs w:val="24"/>
          <w:lang w:eastAsia="en-US"/>
        </w:rPr>
        <w:t xml:space="preserve">Ms. </w:t>
      </w:r>
      <w:r w:rsidRPr="00B67D2F">
        <w:rPr>
          <w:b w:val="0"/>
          <w:bCs/>
          <w:szCs w:val="24"/>
          <w:lang w:eastAsia="en-US"/>
        </w:rPr>
        <w:t>Catherine A. Koch,</w:t>
      </w:r>
      <w:r>
        <w:rPr>
          <w:b w:val="0"/>
          <w:bCs/>
          <w:szCs w:val="24"/>
          <w:lang w:eastAsia="en-US"/>
        </w:rPr>
        <w:t xml:space="preserve"> Exhibit No.___(CAK-1T),</w:t>
      </w:r>
      <w:r w:rsidRPr="00B67D2F">
        <w:rPr>
          <w:b w:val="0"/>
          <w:bCs/>
          <w:szCs w:val="24"/>
          <w:lang w:eastAsia="en-US"/>
        </w:rPr>
        <w:t xml:space="preserve"> PSE is requesting an Electric Cost Recovery Mechanism (</w:t>
      </w:r>
      <w:r>
        <w:rPr>
          <w:b w:val="0"/>
          <w:bCs/>
          <w:szCs w:val="24"/>
          <w:lang w:eastAsia="en-US"/>
        </w:rPr>
        <w:t>“</w:t>
      </w:r>
      <w:r w:rsidRPr="00B67D2F">
        <w:rPr>
          <w:b w:val="0"/>
          <w:bCs/>
          <w:szCs w:val="24"/>
          <w:lang w:eastAsia="en-US"/>
        </w:rPr>
        <w:t>ECRM</w:t>
      </w:r>
      <w:r>
        <w:rPr>
          <w:b w:val="0"/>
          <w:bCs/>
          <w:szCs w:val="24"/>
          <w:lang w:eastAsia="en-US"/>
        </w:rPr>
        <w:t>”</w:t>
      </w:r>
      <w:r w:rsidRPr="00B67D2F">
        <w:rPr>
          <w:b w:val="0"/>
          <w:bCs/>
          <w:szCs w:val="24"/>
          <w:lang w:eastAsia="en-US"/>
        </w:rPr>
        <w:t xml:space="preserve">) in order to accelerate the replacement of </w:t>
      </w:r>
      <w:r w:rsidRPr="00B67D2F">
        <w:rPr>
          <w:b w:val="0"/>
          <w:bCs/>
          <w:szCs w:val="24"/>
        </w:rPr>
        <w:t>targeted reliability improvements intended to reduce the number and length of outages.</w:t>
      </w:r>
    </w:p>
    <w:p w:rsidR="00F01262" w:rsidRPr="009075DC" w:rsidRDefault="00F01262" w:rsidP="00B67D2F">
      <w:pPr>
        <w:pStyle w:val="question"/>
        <w:widowControl w:val="0"/>
        <w:rPr>
          <w:rFonts w:eastAsia="SimSun"/>
        </w:rPr>
      </w:pPr>
      <w:r w:rsidRPr="009075DC">
        <w:rPr>
          <w:rFonts w:eastAsia="SimSun"/>
        </w:rPr>
        <w:t>Q.</w:t>
      </w:r>
      <w:r w:rsidRPr="009075DC">
        <w:rPr>
          <w:rFonts w:eastAsia="SimSun"/>
        </w:rPr>
        <w:tab/>
      </w:r>
      <w:r w:rsidR="00B67D2F">
        <w:rPr>
          <w:rFonts w:eastAsia="SimSun"/>
        </w:rPr>
        <w:t>What is the estimated revenue requirement associated with the ECRM in the first year it is requested to go into effect?</w:t>
      </w:r>
    </w:p>
    <w:p w:rsidR="007E00FF" w:rsidRDefault="00F01262" w:rsidP="007E00FF">
      <w:pPr>
        <w:pStyle w:val="answer"/>
        <w:widowControl w:val="0"/>
        <w:rPr>
          <w:rFonts w:eastAsia="SimSun"/>
        </w:rPr>
      </w:pPr>
      <w:r w:rsidRPr="009075DC">
        <w:rPr>
          <w:rFonts w:eastAsia="SimSun"/>
        </w:rPr>
        <w:t>A.</w:t>
      </w:r>
      <w:r w:rsidRPr="009075DC">
        <w:rPr>
          <w:rFonts w:eastAsia="SimSun"/>
        </w:rPr>
        <w:tab/>
      </w:r>
      <w:r w:rsidR="00B67D2F">
        <w:rPr>
          <w:rFonts w:eastAsia="SimSun"/>
        </w:rPr>
        <w:t xml:space="preserve">As presented in Exhibit No___(KJB-9) and further discussed </w:t>
      </w:r>
      <w:r w:rsidR="00CC1227">
        <w:rPr>
          <w:rFonts w:eastAsia="SimSun"/>
        </w:rPr>
        <w:t xml:space="preserve">in </w:t>
      </w:r>
      <w:r w:rsidR="00B67D2F">
        <w:rPr>
          <w:rFonts w:eastAsia="SimSun"/>
        </w:rPr>
        <w:t>the Prefiled Direct Testimony of Katherine J. Barnard, Exhibit No.___(KJB-1T), the estimated revenue requirement associated with the ECRM in the first year is approximately $</w:t>
      </w:r>
      <w:r w:rsidR="00CB0501">
        <w:rPr>
          <w:rFonts w:eastAsia="SimSun"/>
        </w:rPr>
        <w:t>10.5</w:t>
      </w:r>
      <w:r w:rsidR="00B67D2F">
        <w:rPr>
          <w:rFonts w:eastAsia="SimSun"/>
        </w:rPr>
        <w:t xml:space="preserve"> million</w:t>
      </w:r>
      <w:r w:rsidR="009C6355" w:rsidRPr="004807DC">
        <w:rPr>
          <w:rFonts w:eastAsia="SimSun"/>
        </w:rPr>
        <w:t>.</w:t>
      </w:r>
    </w:p>
    <w:p w:rsidR="00B67D2F" w:rsidRPr="004807DC" w:rsidRDefault="00B67D2F" w:rsidP="00B67D2F">
      <w:pPr>
        <w:pStyle w:val="answer"/>
        <w:widowControl w:val="0"/>
        <w:rPr>
          <w:rFonts w:eastAsia="SimSun"/>
          <w:b/>
        </w:rPr>
      </w:pPr>
      <w:r w:rsidRPr="004807DC">
        <w:rPr>
          <w:rFonts w:eastAsia="SimSun"/>
          <w:b/>
        </w:rPr>
        <w:lastRenderedPageBreak/>
        <w:t>Q.</w:t>
      </w:r>
      <w:r w:rsidRPr="004807DC">
        <w:rPr>
          <w:rFonts w:eastAsia="SimSun"/>
          <w:b/>
        </w:rPr>
        <w:tab/>
      </w:r>
      <w:r>
        <w:rPr>
          <w:rFonts w:eastAsia="SimSun"/>
          <w:b/>
        </w:rPr>
        <w:t>How does PSE propose to allocate this revenue requirement among its electric customers?</w:t>
      </w:r>
    </w:p>
    <w:p w:rsidR="00B67D2F" w:rsidRDefault="00B67D2F" w:rsidP="00B67D2F">
      <w:pPr>
        <w:pStyle w:val="answer"/>
        <w:widowControl w:val="0"/>
        <w:rPr>
          <w:rFonts w:eastAsia="SimSun"/>
        </w:rPr>
      </w:pPr>
      <w:r w:rsidRPr="009075DC">
        <w:rPr>
          <w:rFonts w:eastAsia="SimSun"/>
        </w:rPr>
        <w:t>A.</w:t>
      </w:r>
      <w:r w:rsidRPr="009075DC">
        <w:rPr>
          <w:rFonts w:eastAsia="SimSun"/>
        </w:rPr>
        <w:tab/>
      </w:r>
      <w:r>
        <w:rPr>
          <w:rFonts w:eastAsia="SimSun"/>
        </w:rPr>
        <w:t>PSE proposes a two-step process to allocate these costs to its electric customers.  In the first step, the overall revenue requirement will be allocated between overhead and underground investments</w:t>
      </w:r>
      <w:r w:rsidR="00D00D4C">
        <w:rPr>
          <w:rFonts w:eastAsia="SimSun"/>
        </w:rPr>
        <w:t xml:space="preserve"> based on the relative capital investment in these two cost categories.  Next, the overhead and underground-related CRM revenue requirement are each allocated to electric customers based on </w:t>
      </w:r>
      <w:r w:rsidR="00E078C5">
        <w:rPr>
          <w:rFonts w:eastAsia="SimSun"/>
        </w:rPr>
        <w:t xml:space="preserve">the </w:t>
      </w:r>
      <w:r w:rsidR="00D00D4C">
        <w:rPr>
          <w:rFonts w:eastAsia="SimSun"/>
        </w:rPr>
        <w:t>load</w:t>
      </w:r>
      <w:r w:rsidR="00E078C5">
        <w:rPr>
          <w:rFonts w:eastAsia="SimSun"/>
        </w:rPr>
        <w:t>-weighted line miles associated with</w:t>
      </w:r>
      <w:r w:rsidR="00D00D4C">
        <w:rPr>
          <w:rFonts w:eastAsia="SimSun"/>
        </w:rPr>
        <w:t xml:space="preserve"> each type of distribution feeder</w:t>
      </w:r>
      <w:r w:rsidRPr="009075DC">
        <w:rPr>
          <w:rFonts w:eastAsia="SimSun"/>
        </w:rPr>
        <w:t>.</w:t>
      </w:r>
    </w:p>
    <w:p w:rsidR="00D00D4C" w:rsidRPr="004807DC" w:rsidRDefault="00D00D4C" w:rsidP="00D00D4C">
      <w:pPr>
        <w:pStyle w:val="answer"/>
        <w:widowControl w:val="0"/>
        <w:rPr>
          <w:rFonts w:eastAsia="SimSun"/>
          <w:b/>
        </w:rPr>
      </w:pPr>
      <w:r w:rsidRPr="004807DC">
        <w:rPr>
          <w:rFonts w:eastAsia="SimSun"/>
          <w:b/>
        </w:rPr>
        <w:t>Q.</w:t>
      </w:r>
      <w:r w:rsidRPr="004807DC">
        <w:rPr>
          <w:rFonts w:eastAsia="SimSun"/>
          <w:b/>
        </w:rPr>
        <w:tab/>
      </w:r>
      <w:r>
        <w:rPr>
          <w:rFonts w:eastAsia="SimSun"/>
          <w:b/>
        </w:rPr>
        <w:t>How does PSE propose to develop rates from these allocated costs</w:t>
      </w:r>
      <w:r w:rsidRPr="004807DC">
        <w:rPr>
          <w:rFonts w:eastAsia="SimSun"/>
          <w:b/>
        </w:rPr>
        <w:t>?</w:t>
      </w:r>
    </w:p>
    <w:p w:rsidR="00D00D4C" w:rsidRDefault="00D00D4C" w:rsidP="00D00D4C">
      <w:pPr>
        <w:pStyle w:val="answer"/>
        <w:widowControl w:val="0"/>
        <w:rPr>
          <w:rFonts w:eastAsia="SimSun"/>
        </w:rPr>
      </w:pPr>
      <w:r w:rsidRPr="009075DC">
        <w:rPr>
          <w:rFonts w:eastAsia="SimSun"/>
        </w:rPr>
        <w:t>A.</w:t>
      </w:r>
      <w:r w:rsidRPr="009075DC">
        <w:rPr>
          <w:rFonts w:eastAsia="SimSun"/>
        </w:rPr>
        <w:tab/>
      </w:r>
      <w:r>
        <w:rPr>
          <w:rFonts w:eastAsia="SimSun"/>
        </w:rPr>
        <w:t>PSE proposes to simply unitize the allocated costs based on test year loads and, much like most of its other adjusting price schedules, charge customers a single schedule-specific rate per kWh that would be applicable on all energy sales within the applicable rate schedules</w:t>
      </w:r>
      <w:r w:rsidRPr="009075DC">
        <w:rPr>
          <w:rFonts w:eastAsia="SimSun"/>
        </w:rPr>
        <w:t>.</w:t>
      </w:r>
    </w:p>
    <w:p w:rsidR="00B67D2F" w:rsidRPr="004807DC" w:rsidRDefault="00B67D2F" w:rsidP="00B67D2F">
      <w:pPr>
        <w:pStyle w:val="answer"/>
        <w:widowControl w:val="0"/>
        <w:rPr>
          <w:rFonts w:eastAsia="SimSun"/>
          <w:b/>
        </w:rPr>
      </w:pPr>
      <w:r w:rsidRPr="004807DC">
        <w:rPr>
          <w:rFonts w:eastAsia="SimSun"/>
          <w:b/>
        </w:rPr>
        <w:t>Q.</w:t>
      </w:r>
      <w:r w:rsidRPr="004807DC">
        <w:rPr>
          <w:rFonts w:eastAsia="SimSun"/>
          <w:b/>
        </w:rPr>
        <w:tab/>
      </w:r>
      <w:r w:rsidR="00D00D4C">
        <w:rPr>
          <w:rFonts w:eastAsia="SimSun"/>
          <w:b/>
        </w:rPr>
        <w:t>Has PSE developed an exhibit to show these calculations</w:t>
      </w:r>
      <w:r w:rsidRPr="004807DC">
        <w:rPr>
          <w:rFonts w:eastAsia="SimSun"/>
          <w:b/>
        </w:rPr>
        <w:t>?</w:t>
      </w:r>
    </w:p>
    <w:p w:rsidR="00B67D2F" w:rsidRDefault="00B67D2F" w:rsidP="00B67D2F">
      <w:pPr>
        <w:pStyle w:val="answer"/>
        <w:widowControl w:val="0"/>
        <w:rPr>
          <w:rFonts w:eastAsia="SimSun"/>
        </w:rPr>
      </w:pPr>
      <w:r w:rsidRPr="009075DC">
        <w:rPr>
          <w:rFonts w:eastAsia="SimSun"/>
        </w:rPr>
        <w:t>A.</w:t>
      </w:r>
      <w:r w:rsidRPr="009075DC">
        <w:rPr>
          <w:rFonts w:eastAsia="SimSun"/>
        </w:rPr>
        <w:tab/>
      </w:r>
      <w:r w:rsidR="00D00D4C">
        <w:rPr>
          <w:rFonts w:eastAsia="SimSun"/>
        </w:rPr>
        <w:t>Yes, it is provided in Exhibit No.____(JAP-</w:t>
      </w:r>
      <w:r w:rsidR="00D00D4C">
        <w:rPr>
          <w:rFonts w:eastAsia="SimSun"/>
        </w:rPr>
        <w:fldChar w:fldCharType="begin"/>
      </w:r>
      <w:r w:rsidR="00D00D4C">
        <w:rPr>
          <w:rFonts w:eastAsia="SimSun"/>
        </w:rPr>
        <w:instrText xml:space="preserve"> REF _Ref471025666 \r \h </w:instrText>
      </w:r>
      <w:r w:rsidR="00D00D4C">
        <w:rPr>
          <w:rFonts w:eastAsia="SimSun"/>
        </w:rPr>
      </w:r>
      <w:r w:rsidR="00D00D4C">
        <w:rPr>
          <w:rFonts w:eastAsia="SimSun"/>
        </w:rPr>
        <w:fldChar w:fldCharType="separate"/>
      </w:r>
      <w:r w:rsidR="0035666C">
        <w:rPr>
          <w:rFonts w:eastAsia="SimSun"/>
        </w:rPr>
        <w:t>32</w:t>
      </w:r>
      <w:r w:rsidR="00D00D4C">
        <w:rPr>
          <w:rFonts w:eastAsia="SimSun"/>
        </w:rPr>
        <w:fldChar w:fldCharType="end"/>
      </w:r>
      <w:r w:rsidR="00D00D4C">
        <w:rPr>
          <w:rFonts w:eastAsia="SimSun"/>
        </w:rPr>
        <w:t>)</w:t>
      </w:r>
      <w:r w:rsidRPr="009075DC">
        <w:rPr>
          <w:rFonts w:eastAsia="SimSun"/>
        </w:rPr>
        <w:t>.</w:t>
      </w:r>
    </w:p>
    <w:p w:rsidR="00B67D2F" w:rsidRPr="004807DC" w:rsidRDefault="00B67D2F" w:rsidP="00B67D2F">
      <w:pPr>
        <w:pStyle w:val="answer"/>
        <w:widowControl w:val="0"/>
        <w:rPr>
          <w:rFonts w:eastAsia="SimSun"/>
          <w:b/>
        </w:rPr>
      </w:pPr>
      <w:r w:rsidRPr="004807DC">
        <w:rPr>
          <w:rFonts w:eastAsia="SimSun"/>
          <w:b/>
        </w:rPr>
        <w:t>Q.</w:t>
      </w:r>
      <w:r w:rsidRPr="004807DC">
        <w:rPr>
          <w:rFonts w:eastAsia="SimSun"/>
          <w:b/>
        </w:rPr>
        <w:tab/>
      </w:r>
      <w:r w:rsidR="00D00D4C">
        <w:rPr>
          <w:rFonts w:eastAsia="SimSun"/>
          <w:b/>
        </w:rPr>
        <w:t>Please describe the calculations in Exhibit No.____(JAP-</w:t>
      </w:r>
      <w:r w:rsidR="00D00D4C">
        <w:rPr>
          <w:rFonts w:eastAsia="SimSun"/>
          <w:b/>
        </w:rPr>
        <w:fldChar w:fldCharType="begin"/>
      </w:r>
      <w:r w:rsidR="00D00D4C">
        <w:rPr>
          <w:rFonts w:eastAsia="SimSun"/>
          <w:b/>
        </w:rPr>
        <w:instrText xml:space="preserve"> REF _Ref471025666 \r \h </w:instrText>
      </w:r>
      <w:r w:rsidR="00D00D4C">
        <w:rPr>
          <w:rFonts w:eastAsia="SimSun"/>
          <w:b/>
        </w:rPr>
      </w:r>
      <w:r w:rsidR="00D00D4C">
        <w:rPr>
          <w:rFonts w:eastAsia="SimSun"/>
          <w:b/>
        </w:rPr>
        <w:fldChar w:fldCharType="separate"/>
      </w:r>
      <w:r w:rsidR="0035666C">
        <w:rPr>
          <w:rFonts w:eastAsia="SimSun"/>
          <w:b/>
        </w:rPr>
        <w:t>32</w:t>
      </w:r>
      <w:r w:rsidR="00D00D4C">
        <w:rPr>
          <w:rFonts w:eastAsia="SimSun"/>
          <w:b/>
        </w:rPr>
        <w:fldChar w:fldCharType="end"/>
      </w:r>
      <w:r w:rsidR="00D00D4C">
        <w:rPr>
          <w:rFonts w:eastAsia="SimSun"/>
          <w:b/>
        </w:rPr>
        <w:t>).</w:t>
      </w:r>
    </w:p>
    <w:p w:rsidR="00E078C5" w:rsidRDefault="00B67D2F" w:rsidP="00B67D2F">
      <w:pPr>
        <w:pStyle w:val="answer"/>
        <w:widowControl w:val="0"/>
        <w:rPr>
          <w:rFonts w:eastAsia="SimSun"/>
        </w:rPr>
      </w:pPr>
      <w:r w:rsidRPr="009075DC">
        <w:rPr>
          <w:rFonts w:eastAsia="SimSun"/>
        </w:rPr>
        <w:t>A.</w:t>
      </w:r>
      <w:r w:rsidRPr="009075DC">
        <w:rPr>
          <w:rFonts w:eastAsia="SimSun"/>
        </w:rPr>
        <w:tab/>
      </w:r>
      <w:r w:rsidR="00D00D4C">
        <w:rPr>
          <w:rFonts w:eastAsia="SimSun"/>
        </w:rPr>
        <w:t xml:space="preserve">As noted, the first step in the rate calculation is to allocate the revenue requirement between overhead and underground investment.  As shown in this exhibit, the proposed revenue requirement is predicated on </w:t>
      </w:r>
      <w:r w:rsidR="00E078C5">
        <w:rPr>
          <w:rFonts w:eastAsia="SimSun"/>
        </w:rPr>
        <w:t>approximately $28.6 million in overhead investment and $47.8 million in underground investment</w:t>
      </w:r>
      <w:r w:rsidRPr="009075DC">
        <w:rPr>
          <w:rFonts w:eastAsia="SimSun"/>
        </w:rPr>
        <w:t>.</w:t>
      </w:r>
      <w:r w:rsidR="00E078C5">
        <w:rPr>
          <w:rFonts w:eastAsia="SimSun"/>
        </w:rPr>
        <w:t xml:space="preserve">  So, the associated revenue requirement was proportionally split between overhead </w:t>
      </w:r>
      <w:r w:rsidR="00E078C5">
        <w:rPr>
          <w:rFonts w:eastAsia="SimSun"/>
        </w:rPr>
        <w:lastRenderedPageBreak/>
        <w:t>and underground investment, roughly $3.</w:t>
      </w:r>
      <w:r w:rsidR="00CB0501">
        <w:rPr>
          <w:rFonts w:eastAsia="SimSun"/>
        </w:rPr>
        <w:t>92</w:t>
      </w:r>
      <w:r w:rsidR="00E078C5">
        <w:rPr>
          <w:rFonts w:eastAsia="SimSun"/>
        </w:rPr>
        <w:t xml:space="preserve"> million to overhead and $</w:t>
      </w:r>
      <w:r w:rsidR="00CB0501">
        <w:rPr>
          <w:rFonts w:eastAsia="SimSun"/>
        </w:rPr>
        <w:t>6.56</w:t>
      </w:r>
      <w:r w:rsidR="00E078C5">
        <w:rPr>
          <w:rFonts w:eastAsia="SimSun"/>
        </w:rPr>
        <w:t xml:space="preserve"> million to underground.</w:t>
      </w:r>
    </w:p>
    <w:p w:rsidR="00B67D2F" w:rsidRDefault="00E078C5" w:rsidP="00E078C5">
      <w:pPr>
        <w:pStyle w:val="answer"/>
        <w:widowControl w:val="0"/>
        <w:ind w:firstLine="0"/>
        <w:rPr>
          <w:rFonts w:eastAsia="SimSun"/>
        </w:rPr>
      </w:pPr>
      <w:r>
        <w:rPr>
          <w:rFonts w:eastAsia="SimSun"/>
        </w:rPr>
        <w:t xml:space="preserve"> The overhead </w:t>
      </w:r>
      <w:r w:rsidR="00527418">
        <w:rPr>
          <w:rFonts w:eastAsia="SimSun"/>
        </w:rPr>
        <w:t xml:space="preserve">and underground </w:t>
      </w:r>
      <w:r>
        <w:rPr>
          <w:rFonts w:eastAsia="SimSun"/>
        </w:rPr>
        <w:t>revenue requirement</w:t>
      </w:r>
      <w:r w:rsidR="00527418">
        <w:rPr>
          <w:rFonts w:eastAsia="SimSun"/>
        </w:rPr>
        <w:t>s</w:t>
      </w:r>
      <w:r>
        <w:rPr>
          <w:rFonts w:eastAsia="SimSun"/>
        </w:rPr>
        <w:t xml:space="preserve"> </w:t>
      </w:r>
      <w:r w:rsidR="00527418">
        <w:rPr>
          <w:rFonts w:eastAsia="SimSun"/>
        </w:rPr>
        <w:t>were</w:t>
      </w:r>
      <w:r>
        <w:rPr>
          <w:rFonts w:eastAsia="SimSun"/>
        </w:rPr>
        <w:t xml:space="preserve"> allocated based on load-weighted line miles of facilities</w:t>
      </w:r>
      <w:r w:rsidR="00527418">
        <w:rPr>
          <w:rFonts w:eastAsia="SimSun"/>
        </w:rPr>
        <w:t xml:space="preserve"> being replaced</w:t>
      </w:r>
      <w:r>
        <w:rPr>
          <w:rFonts w:eastAsia="SimSun"/>
        </w:rPr>
        <w:t>.</w:t>
      </w:r>
      <w:r w:rsidR="00527418">
        <w:rPr>
          <w:rFonts w:eastAsia="SimSun"/>
        </w:rPr>
        <w:t xml:space="preserve">  These allocation factors were developed using the same programs used to allocate these facilities in PSE’s electric cost of service (see Section </w:t>
      </w:r>
      <w:r w:rsidR="003244FC">
        <w:rPr>
          <w:rFonts w:eastAsia="SimSun"/>
        </w:rPr>
        <w:t>IV.G.1</w:t>
      </w:r>
      <w:r w:rsidR="00527418">
        <w:rPr>
          <w:rFonts w:eastAsia="SimSun"/>
        </w:rPr>
        <w:t xml:space="preserve"> above for more discussion), but limiting the focus to only those circuits included in the replacement program and excluding the rest.  As a result, Exhibit No.___(JAP-</w:t>
      </w:r>
      <w:r w:rsidR="00527418">
        <w:rPr>
          <w:rFonts w:eastAsia="SimSun"/>
        </w:rPr>
        <w:fldChar w:fldCharType="begin"/>
      </w:r>
      <w:r w:rsidR="00527418">
        <w:rPr>
          <w:rFonts w:eastAsia="SimSun"/>
        </w:rPr>
        <w:instrText xml:space="preserve"> REF _Ref471025666 \r \h </w:instrText>
      </w:r>
      <w:r w:rsidR="00527418">
        <w:rPr>
          <w:rFonts w:eastAsia="SimSun"/>
        </w:rPr>
      </w:r>
      <w:r w:rsidR="00527418">
        <w:rPr>
          <w:rFonts w:eastAsia="SimSun"/>
        </w:rPr>
        <w:fldChar w:fldCharType="separate"/>
      </w:r>
      <w:r w:rsidR="0035666C">
        <w:rPr>
          <w:rFonts w:eastAsia="SimSun"/>
        </w:rPr>
        <w:t>32</w:t>
      </w:r>
      <w:r w:rsidR="00527418">
        <w:rPr>
          <w:rFonts w:eastAsia="SimSun"/>
        </w:rPr>
        <w:fldChar w:fldCharType="end"/>
      </w:r>
      <w:r w:rsidR="00527418">
        <w:rPr>
          <w:rFonts w:eastAsia="SimSun"/>
        </w:rPr>
        <w:t xml:space="preserve">) shows weighted line miles just over 1,000 miles for underground and overhead facilities versus the system level totals </w:t>
      </w:r>
      <w:r w:rsidR="00DB301E">
        <w:rPr>
          <w:rFonts w:eastAsia="SimSun"/>
        </w:rPr>
        <w:t xml:space="preserve">for each </w:t>
      </w:r>
      <w:r w:rsidR="00527418">
        <w:rPr>
          <w:rFonts w:eastAsia="SimSun"/>
        </w:rPr>
        <w:t xml:space="preserve">of over </w:t>
      </w:r>
      <w:r w:rsidR="00DB301E">
        <w:rPr>
          <w:rFonts w:eastAsia="SimSun"/>
        </w:rPr>
        <w:t>10</w:t>
      </w:r>
      <w:r w:rsidR="00527418">
        <w:rPr>
          <w:rFonts w:eastAsia="SimSun"/>
        </w:rPr>
        <w:t>,000 miles.</w:t>
      </w:r>
    </w:p>
    <w:p w:rsidR="00527418" w:rsidRDefault="00527418" w:rsidP="00E078C5">
      <w:pPr>
        <w:pStyle w:val="answer"/>
        <w:widowControl w:val="0"/>
        <w:ind w:firstLine="0"/>
        <w:rPr>
          <w:rFonts w:eastAsia="SimSun"/>
        </w:rPr>
      </w:pPr>
      <w:r>
        <w:rPr>
          <w:rFonts w:eastAsia="SimSun"/>
        </w:rPr>
        <w:t xml:space="preserve">The last step is to create the </w:t>
      </w:r>
      <w:r w:rsidR="00771ADE">
        <w:rPr>
          <w:rFonts w:eastAsia="SimSun"/>
        </w:rPr>
        <w:t>E</w:t>
      </w:r>
      <w:r>
        <w:rPr>
          <w:rFonts w:eastAsia="SimSun"/>
        </w:rPr>
        <w:t xml:space="preserve">CRM rates.  These rates were calculated by first summing the overhead and underground </w:t>
      </w:r>
      <w:r w:rsidR="00771ADE">
        <w:rPr>
          <w:rFonts w:eastAsia="SimSun"/>
        </w:rPr>
        <w:t>E</w:t>
      </w:r>
      <w:r>
        <w:rPr>
          <w:rFonts w:eastAsia="SimSun"/>
        </w:rPr>
        <w:t xml:space="preserve">CRM-related revenue requirement allocated for each class and then dividing by the test year energy sales for that class.  The resulting system average </w:t>
      </w:r>
      <w:r w:rsidR="00771ADE">
        <w:rPr>
          <w:rFonts w:eastAsia="SimSun"/>
        </w:rPr>
        <w:t>E</w:t>
      </w:r>
      <w:r>
        <w:rPr>
          <w:rFonts w:eastAsia="SimSun"/>
        </w:rPr>
        <w:t>CRM rate is $0.000</w:t>
      </w:r>
      <w:r w:rsidR="00C32CE6">
        <w:rPr>
          <w:rFonts w:eastAsia="SimSun"/>
        </w:rPr>
        <w:t>54</w:t>
      </w:r>
      <w:r>
        <w:rPr>
          <w:rFonts w:eastAsia="SimSun"/>
        </w:rPr>
        <w:t>1 per kWh, with wide variations among the classes ranging from $0.00</w:t>
      </w:r>
      <w:r w:rsidR="00C32CE6">
        <w:rPr>
          <w:rFonts w:eastAsia="SimSun"/>
        </w:rPr>
        <w:t>1010</w:t>
      </w:r>
      <w:r>
        <w:rPr>
          <w:rFonts w:eastAsia="SimSun"/>
        </w:rPr>
        <w:t xml:space="preserve"> per kWh for Schedule 43 to $0.0000</w:t>
      </w:r>
      <w:r w:rsidR="00C32CE6">
        <w:rPr>
          <w:rFonts w:eastAsia="SimSun"/>
        </w:rPr>
        <w:t>62</w:t>
      </w:r>
      <w:r>
        <w:rPr>
          <w:rFonts w:eastAsia="SimSun"/>
        </w:rPr>
        <w:t xml:space="preserve"> per kWh for Schedule </w:t>
      </w:r>
      <w:r w:rsidR="00C32CE6">
        <w:rPr>
          <w:rFonts w:eastAsia="SimSun"/>
        </w:rPr>
        <w:t>31</w:t>
      </w:r>
      <w:r>
        <w:rPr>
          <w:rFonts w:eastAsia="SimSun"/>
        </w:rPr>
        <w:t xml:space="preserve">.  </w:t>
      </w:r>
    </w:p>
    <w:p w:rsidR="007234D6" w:rsidRPr="004807DC" w:rsidRDefault="007234D6" w:rsidP="007234D6">
      <w:pPr>
        <w:pStyle w:val="answer"/>
        <w:widowControl w:val="0"/>
        <w:rPr>
          <w:rFonts w:eastAsia="SimSun"/>
          <w:b/>
        </w:rPr>
      </w:pPr>
      <w:r w:rsidRPr="004807DC">
        <w:rPr>
          <w:rFonts w:eastAsia="SimSun"/>
          <w:b/>
        </w:rPr>
        <w:t>Q.</w:t>
      </w:r>
      <w:r w:rsidRPr="004807DC">
        <w:rPr>
          <w:rFonts w:eastAsia="SimSun"/>
          <w:b/>
        </w:rPr>
        <w:tab/>
      </w:r>
      <w:r>
        <w:rPr>
          <w:rFonts w:eastAsia="SimSun"/>
          <w:b/>
        </w:rPr>
        <w:t>What are the rate impact</w:t>
      </w:r>
      <w:r w:rsidR="00D1284F">
        <w:rPr>
          <w:rFonts w:eastAsia="SimSun"/>
          <w:b/>
        </w:rPr>
        <w:t>s</w:t>
      </w:r>
      <w:r>
        <w:rPr>
          <w:rFonts w:eastAsia="SimSun"/>
          <w:b/>
        </w:rPr>
        <w:t xml:space="preserve"> from these estimated Electric CRM rates?</w:t>
      </w:r>
    </w:p>
    <w:p w:rsidR="001B79DB" w:rsidRDefault="007234D6" w:rsidP="001B79DB">
      <w:pPr>
        <w:pStyle w:val="answer"/>
        <w:widowControl w:val="0"/>
        <w:rPr>
          <w:rFonts w:eastAsia="SimSun"/>
        </w:rPr>
      </w:pPr>
      <w:r w:rsidRPr="009075DC">
        <w:rPr>
          <w:rFonts w:eastAsia="SimSun"/>
        </w:rPr>
        <w:t>A.</w:t>
      </w:r>
      <w:r w:rsidRPr="009075DC">
        <w:rPr>
          <w:rFonts w:eastAsia="SimSun"/>
        </w:rPr>
        <w:tab/>
      </w:r>
      <w:r>
        <w:rPr>
          <w:rFonts w:eastAsia="SimSun"/>
        </w:rPr>
        <w:t>These impacts are summarized in the table below.  For a typical electric residential customer using 900 kWh, the estimated impact is $0.</w:t>
      </w:r>
      <w:r w:rsidR="00DD0EA5">
        <w:rPr>
          <w:rFonts w:eastAsia="SimSun"/>
        </w:rPr>
        <w:t>72</w:t>
      </w:r>
      <w:r>
        <w:rPr>
          <w:rFonts w:eastAsia="SimSun"/>
        </w:rPr>
        <w:t xml:space="preserve"> per month.</w:t>
      </w:r>
    </w:p>
    <w:p w:rsidR="006149D5" w:rsidRDefault="006149D5" w:rsidP="001B79DB">
      <w:pPr>
        <w:pStyle w:val="Caption"/>
        <w:keepNext/>
        <w:jc w:val="center"/>
        <w:rPr>
          <w:sz w:val="24"/>
          <w:szCs w:val="24"/>
        </w:rPr>
      </w:pPr>
    </w:p>
    <w:p w:rsidR="001B79DB" w:rsidRPr="001B79DB" w:rsidRDefault="001B79DB" w:rsidP="001B79DB">
      <w:pPr>
        <w:pStyle w:val="Caption"/>
        <w:keepNext/>
        <w:jc w:val="center"/>
        <w:rPr>
          <w:sz w:val="24"/>
          <w:szCs w:val="24"/>
        </w:rPr>
      </w:pPr>
      <w:r w:rsidRPr="001B79DB">
        <w:rPr>
          <w:sz w:val="24"/>
          <w:szCs w:val="24"/>
        </w:rPr>
        <w:t xml:space="preserve">Table </w:t>
      </w:r>
      <w:r w:rsidRPr="001B79DB">
        <w:rPr>
          <w:sz w:val="24"/>
          <w:szCs w:val="24"/>
        </w:rPr>
        <w:fldChar w:fldCharType="begin"/>
      </w:r>
      <w:r w:rsidRPr="001B79DB">
        <w:rPr>
          <w:sz w:val="24"/>
          <w:szCs w:val="24"/>
        </w:rPr>
        <w:instrText xml:space="preserve"> SEQ Table \* ARABIC </w:instrText>
      </w:r>
      <w:r w:rsidRPr="001B79DB">
        <w:rPr>
          <w:sz w:val="24"/>
          <w:szCs w:val="24"/>
        </w:rPr>
        <w:fldChar w:fldCharType="separate"/>
      </w:r>
      <w:r w:rsidR="0035666C">
        <w:rPr>
          <w:noProof/>
          <w:sz w:val="24"/>
          <w:szCs w:val="24"/>
        </w:rPr>
        <w:t>14</w:t>
      </w:r>
      <w:r w:rsidRPr="001B79DB">
        <w:rPr>
          <w:sz w:val="24"/>
          <w:szCs w:val="24"/>
        </w:rPr>
        <w:fldChar w:fldCharType="end"/>
      </w:r>
      <w:r w:rsidRPr="001B79DB">
        <w:rPr>
          <w:sz w:val="24"/>
          <w:szCs w:val="24"/>
        </w:rPr>
        <w:t xml:space="preserve"> - Estimated Rate Impact of Electric CRM</w:t>
      </w:r>
    </w:p>
    <w:tbl>
      <w:tblPr>
        <w:tblpPr w:leftFromText="180" w:rightFromText="180" w:vertAnchor="text" w:horzAnchor="margin" w:tblpXSpec="center" w:tblpY="314"/>
        <w:tblW w:w="0" w:type="auto"/>
        <w:tblLayout w:type="fixed"/>
        <w:tblLook w:val="0000" w:firstRow="0" w:lastRow="0" w:firstColumn="0" w:lastColumn="0" w:noHBand="0" w:noVBand="0"/>
      </w:tblPr>
      <w:tblGrid>
        <w:gridCol w:w="3528"/>
        <w:gridCol w:w="1980"/>
        <w:gridCol w:w="2430"/>
      </w:tblGrid>
      <w:tr w:rsidR="001B79DB" w:rsidRPr="009075DC" w:rsidTr="001A4255">
        <w:trPr>
          <w:cantSplit/>
          <w:trHeight w:val="769"/>
        </w:trPr>
        <w:tc>
          <w:tcPr>
            <w:tcW w:w="3528" w:type="dxa"/>
            <w:tcBorders>
              <w:top w:val="single" w:sz="4" w:space="0" w:color="auto"/>
              <w:bottom w:val="single" w:sz="4" w:space="0" w:color="auto"/>
            </w:tcBorders>
            <w:vAlign w:val="center"/>
          </w:tcPr>
          <w:p w:rsidR="001B79DB" w:rsidRPr="009075DC" w:rsidRDefault="001B79DB" w:rsidP="007E36BD">
            <w:pPr>
              <w:widowControl w:val="0"/>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1980" w:type="dxa"/>
            <w:tcBorders>
              <w:top w:val="single" w:sz="4" w:space="0" w:color="auto"/>
              <w:bottom w:val="single" w:sz="4" w:space="0" w:color="auto"/>
            </w:tcBorders>
            <w:vAlign w:val="center"/>
          </w:tcPr>
          <w:p w:rsidR="001B79DB" w:rsidRPr="009075DC" w:rsidRDefault="001B79DB" w:rsidP="007E36BD">
            <w:pPr>
              <w:widowControl w:val="0"/>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2430" w:type="dxa"/>
            <w:tcBorders>
              <w:top w:val="single" w:sz="4" w:space="0" w:color="auto"/>
              <w:bottom w:val="single" w:sz="4" w:space="0" w:color="auto"/>
            </w:tcBorders>
            <w:vAlign w:val="center"/>
          </w:tcPr>
          <w:p w:rsidR="001B79DB" w:rsidRPr="009075DC" w:rsidRDefault="00463EFF" w:rsidP="00463EFF">
            <w:pPr>
              <w:widowControl w:val="0"/>
              <w:spacing w:beforeLines="20" w:before="48" w:afterLines="20" w:after="48" w:line="240" w:lineRule="auto"/>
              <w:ind w:firstLine="0"/>
              <w:jc w:val="center"/>
              <w:rPr>
                <w:rFonts w:eastAsia="SimSun"/>
                <w:b/>
                <w:bCs/>
                <w:szCs w:val="24"/>
              </w:rPr>
            </w:pPr>
            <w:r>
              <w:rPr>
                <w:rFonts w:eastAsia="SimSun"/>
                <w:b/>
                <w:bCs/>
                <w:szCs w:val="24"/>
              </w:rPr>
              <w:t>Estimat</w:t>
            </w:r>
            <w:r w:rsidR="001B79DB" w:rsidRPr="009075DC">
              <w:rPr>
                <w:rFonts w:eastAsia="SimSun"/>
                <w:b/>
                <w:bCs/>
                <w:szCs w:val="24"/>
              </w:rPr>
              <w:t>ed</w:t>
            </w:r>
            <w:r w:rsidR="001B79DB" w:rsidRPr="009075DC">
              <w:rPr>
                <w:rFonts w:eastAsia="SimSun"/>
                <w:b/>
                <w:bCs/>
                <w:szCs w:val="24"/>
              </w:rPr>
              <w:br/>
              <w:t>Rate Increase</w:t>
            </w:r>
          </w:p>
        </w:tc>
      </w:tr>
      <w:tr w:rsidR="001B79DB" w:rsidRPr="00B373B1" w:rsidTr="001A4255">
        <w:trPr>
          <w:cantSplit/>
          <w:trHeight w:val="324"/>
        </w:trPr>
        <w:tc>
          <w:tcPr>
            <w:tcW w:w="3528" w:type="dxa"/>
            <w:tcBorders>
              <w:top w:val="single" w:sz="4" w:space="0" w:color="auto"/>
            </w:tcBorders>
          </w:tcPr>
          <w:p w:rsidR="001B79DB" w:rsidRPr="009075DC" w:rsidRDefault="001B79DB" w:rsidP="007E36BD">
            <w:pPr>
              <w:widowControl w:val="0"/>
              <w:spacing w:beforeLines="20" w:before="48" w:afterLines="20" w:after="48" w:line="240" w:lineRule="auto"/>
              <w:ind w:firstLine="0"/>
              <w:rPr>
                <w:rFonts w:eastAsia="SimSun"/>
                <w:szCs w:val="24"/>
              </w:rPr>
            </w:pPr>
            <w:r w:rsidRPr="009075DC">
              <w:rPr>
                <w:rFonts w:eastAsia="SimSun"/>
                <w:szCs w:val="24"/>
              </w:rPr>
              <w:t>Residential</w:t>
            </w:r>
          </w:p>
        </w:tc>
        <w:tc>
          <w:tcPr>
            <w:tcW w:w="1980" w:type="dxa"/>
            <w:tcBorders>
              <w:top w:val="single" w:sz="4" w:space="0" w:color="auto"/>
            </w:tcBorders>
          </w:tcPr>
          <w:p w:rsidR="001B79DB" w:rsidRPr="009075DC" w:rsidRDefault="001B79DB" w:rsidP="007E36B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7</w:t>
            </w:r>
          </w:p>
        </w:tc>
        <w:tc>
          <w:tcPr>
            <w:tcW w:w="2430" w:type="dxa"/>
            <w:tcBorders>
              <w:top w:val="single" w:sz="4" w:space="0" w:color="auto"/>
            </w:tcBorders>
          </w:tcPr>
          <w:p w:rsidR="001B79DB" w:rsidRPr="00B373B1" w:rsidRDefault="001B79DB" w:rsidP="00CB0501">
            <w:pPr>
              <w:widowControl w:val="0"/>
              <w:tabs>
                <w:tab w:val="decimal" w:pos="252"/>
              </w:tabs>
              <w:spacing w:beforeLines="20" w:before="48" w:afterLines="20" w:after="48" w:line="240" w:lineRule="auto"/>
              <w:ind w:firstLine="0"/>
              <w:jc w:val="center"/>
              <w:rPr>
                <w:rFonts w:eastAsia="SimSun"/>
                <w:szCs w:val="24"/>
              </w:rPr>
            </w:pPr>
            <w:r>
              <w:rPr>
                <w:rFonts w:eastAsia="SimSun"/>
                <w:szCs w:val="24"/>
              </w:rPr>
              <w:t>0.</w:t>
            </w:r>
            <w:r w:rsidR="007E36BD">
              <w:rPr>
                <w:rFonts w:eastAsia="SimSun"/>
                <w:szCs w:val="24"/>
              </w:rPr>
              <w:t>7</w:t>
            </w:r>
            <w:r w:rsidR="00CB0501">
              <w:rPr>
                <w:rFonts w:eastAsia="SimSun"/>
                <w:szCs w:val="24"/>
              </w:rPr>
              <w:t>5</w:t>
            </w:r>
            <w:r w:rsidRPr="00B373B1">
              <w:rPr>
                <w:rFonts w:eastAsia="SimSun"/>
                <w:szCs w:val="24"/>
              </w:rPr>
              <w:t xml:space="preserve"> %</w:t>
            </w:r>
          </w:p>
        </w:tc>
      </w:tr>
      <w:tr w:rsidR="001B79DB" w:rsidRPr="00B373B1" w:rsidTr="001A4255">
        <w:trPr>
          <w:cantSplit/>
          <w:trHeight w:val="312"/>
        </w:trPr>
        <w:tc>
          <w:tcPr>
            <w:tcW w:w="3528" w:type="dxa"/>
          </w:tcPr>
          <w:p w:rsidR="001B79DB" w:rsidRPr="009075DC" w:rsidRDefault="001B79DB" w:rsidP="007E36BD">
            <w:pPr>
              <w:widowControl w:val="0"/>
              <w:spacing w:beforeLines="20" w:before="48" w:afterLines="20" w:after="48" w:line="240" w:lineRule="auto"/>
              <w:ind w:firstLine="0"/>
              <w:rPr>
                <w:rFonts w:eastAsia="SimSun"/>
                <w:szCs w:val="24"/>
              </w:rPr>
            </w:pPr>
            <w:r w:rsidRPr="009075DC">
              <w:rPr>
                <w:rFonts w:eastAsia="SimSun"/>
                <w:szCs w:val="24"/>
              </w:rPr>
              <w:t>General Service, &lt; 51 kW</w:t>
            </w:r>
          </w:p>
        </w:tc>
        <w:tc>
          <w:tcPr>
            <w:tcW w:w="1980" w:type="dxa"/>
          </w:tcPr>
          <w:p w:rsidR="001B79DB" w:rsidRPr="009075DC" w:rsidRDefault="001B79DB" w:rsidP="007E36B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8/</w:t>
            </w:r>
            <w:r w:rsidRPr="009075DC">
              <w:rPr>
                <w:rFonts w:eastAsia="SimSun"/>
                <w:szCs w:val="24"/>
              </w:rPr>
              <w:t>24</w:t>
            </w:r>
          </w:p>
        </w:tc>
        <w:tc>
          <w:tcPr>
            <w:tcW w:w="2430" w:type="dxa"/>
          </w:tcPr>
          <w:p w:rsidR="001B79DB" w:rsidRPr="00B373B1" w:rsidRDefault="001B79DB" w:rsidP="00CB0501">
            <w:pPr>
              <w:widowControl w:val="0"/>
              <w:tabs>
                <w:tab w:val="decimal" w:pos="252"/>
              </w:tabs>
              <w:spacing w:beforeLines="20" w:before="48" w:afterLines="20" w:after="48" w:line="240" w:lineRule="auto"/>
              <w:ind w:firstLine="0"/>
              <w:jc w:val="center"/>
              <w:rPr>
                <w:rFonts w:eastAsia="SimSun"/>
                <w:szCs w:val="24"/>
              </w:rPr>
            </w:pPr>
            <w:r>
              <w:rPr>
                <w:rFonts w:eastAsia="SimSun"/>
                <w:szCs w:val="24"/>
              </w:rPr>
              <w:t>0.</w:t>
            </w:r>
            <w:r w:rsidR="00CB0501">
              <w:rPr>
                <w:rFonts w:eastAsia="SimSun"/>
                <w:szCs w:val="24"/>
              </w:rPr>
              <w:t>39</w:t>
            </w:r>
            <w:r w:rsidRPr="00B373B1">
              <w:rPr>
                <w:rFonts w:eastAsia="SimSun"/>
                <w:szCs w:val="24"/>
              </w:rPr>
              <w:t xml:space="preserve"> %</w:t>
            </w:r>
          </w:p>
        </w:tc>
      </w:tr>
      <w:tr w:rsidR="001B79DB" w:rsidRPr="00B373B1" w:rsidTr="001A4255">
        <w:trPr>
          <w:cantSplit/>
          <w:trHeight w:val="337"/>
        </w:trPr>
        <w:tc>
          <w:tcPr>
            <w:tcW w:w="3528" w:type="dxa"/>
          </w:tcPr>
          <w:p w:rsidR="001B79DB" w:rsidRPr="009075DC" w:rsidRDefault="001B79DB" w:rsidP="007E36BD">
            <w:pPr>
              <w:widowControl w:val="0"/>
              <w:spacing w:beforeLines="20" w:before="48" w:afterLines="20" w:after="48" w:line="240" w:lineRule="auto"/>
              <w:ind w:firstLine="0"/>
              <w:rPr>
                <w:rFonts w:eastAsia="SimSun"/>
                <w:szCs w:val="24"/>
              </w:rPr>
            </w:pPr>
            <w:r w:rsidRPr="009075DC">
              <w:rPr>
                <w:rFonts w:eastAsia="SimSun"/>
                <w:szCs w:val="24"/>
              </w:rPr>
              <w:t>General Service, 51 - 350 kW</w:t>
            </w:r>
            <w:r w:rsidR="00E46085">
              <w:rPr>
                <w:rFonts w:eastAsia="SimSun"/>
                <w:szCs w:val="24"/>
              </w:rPr>
              <w:t>*</w:t>
            </w:r>
          </w:p>
        </w:tc>
        <w:tc>
          <w:tcPr>
            <w:tcW w:w="1980" w:type="dxa"/>
          </w:tcPr>
          <w:p w:rsidR="001B79DB" w:rsidRPr="009075DC" w:rsidRDefault="001B79DB" w:rsidP="009235FB">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11/</w:t>
            </w:r>
            <w:r w:rsidRPr="009075DC">
              <w:rPr>
                <w:rFonts w:eastAsia="SimSun"/>
                <w:szCs w:val="24"/>
              </w:rPr>
              <w:t>25</w:t>
            </w:r>
          </w:p>
        </w:tc>
        <w:tc>
          <w:tcPr>
            <w:tcW w:w="2430" w:type="dxa"/>
          </w:tcPr>
          <w:p w:rsidR="001B79DB" w:rsidRPr="00B373B1" w:rsidRDefault="001B79DB" w:rsidP="00CB0501">
            <w:pPr>
              <w:widowControl w:val="0"/>
              <w:tabs>
                <w:tab w:val="decimal" w:pos="252"/>
              </w:tabs>
              <w:spacing w:beforeLines="20" w:before="48" w:afterLines="20" w:after="48" w:line="240" w:lineRule="auto"/>
              <w:ind w:firstLine="0"/>
              <w:jc w:val="center"/>
              <w:rPr>
                <w:rFonts w:eastAsia="SimSun"/>
                <w:szCs w:val="24"/>
              </w:rPr>
            </w:pPr>
            <w:r>
              <w:rPr>
                <w:rFonts w:eastAsia="SimSun"/>
                <w:szCs w:val="24"/>
              </w:rPr>
              <w:t>0.</w:t>
            </w:r>
            <w:r w:rsidR="007E36BD">
              <w:rPr>
                <w:rFonts w:eastAsia="SimSun"/>
                <w:szCs w:val="24"/>
              </w:rPr>
              <w:t>2</w:t>
            </w:r>
            <w:r w:rsidR="00CB0501">
              <w:rPr>
                <w:rFonts w:eastAsia="SimSun"/>
                <w:szCs w:val="24"/>
              </w:rPr>
              <w:t>1</w:t>
            </w:r>
            <w:r w:rsidRPr="00B373B1">
              <w:rPr>
                <w:rFonts w:eastAsia="SimSun"/>
                <w:szCs w:val="24"/>
              </w:rPr>
              <w:t xml:space="preserve"> %</w:t>
            </w:r>
          </w:p>
        </w:tc>
      </w:tr>
      <w:tr w:rsidR="001B79DB" w:rsidRPr="00B373B1" w:rsidTr="001A4255">
        <w:trPr>
          <w:cantSplit/>
          <w:trHeight w:val="312"/>
        </w:trPr>
        <w:tc>
          <w:tcPr>
            <w:tcW w:w="3528" w:type="dxa"/>
          </w:tcPr>
          <w:p w:rsidR="001B79DB" w:rsidRPr="009075DC" w:rsidRDefault="001B79DB" w:rsidP="007E36BD">
            <w:pPr>
              <w:widowControl w:val="0"/>
              <w:spacing w:beforeLines="20" w:before="48" w:afterLines="20" w:after="48" w:line="240" w:lineRule="auto"/>
              <w:ind w:firstLine="0"/>
              <w:rPr>
                <w:rFonts w:eastAsia="SimSun"/>
                <w:szCs w:val="24"/>
              </w:rPr>
            </w:pPr>
            <w:r w:rsidRPr="009075DC">
              <w:rPr>
                <w:rFonts w:eastAsia="SimSun"/>
                <w:szCs w:val="24"/>
              </w:rPr>
              <w:t>General Service, &gt;350 kW</w:t>
            </w:r>
          </w:p>
        </w:tc>
        <w:tc>
          <w:tcPr>
            <w:tcW w:w="1980" w:type="dxa"/>
          </w:tcPr>
          <w:p w:rsidR="001B79DB" w:rsidRPr="009075DC" w:rsidRDefault="001B79DB" w:rsidP="007E36B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12/</w:t>
            </w:r>
            <w:r w:rsidRPr="009075DC">
              <w:rPr>
                <w:rFonts w:eastAsia="SimSun"/>
                <w:szCs w:val="24"/>
              </w:rPr>
              <w:t>26</w:t>
            </w:r>
          </w:p>
        </w:tc>
        <w:tc>
          <w:tcPr>
            <w:tcW w:w="2430" w:type="dxa"/>
          </w:tcPr>
          <w:p w:rsidR="001B79DB" w:rsidRPr="00B373B1" w:rsidRDefault="001B79DB"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0.</w:t>
            </w:r>
            <w:r w:rsidR="007E36BD">
              <w:rPr>
                <w:rFonts w:eastAsia="SimSun"/>
                <w:szCs w:val="24"/>
              </w:rPr>
              <w:t>11</w:t>
            </w:r>
            <w:r w:rsidRPr="00B373B1">
              <w:rPr>
                <w:rFonts w:eastAsia="SimSun"/>
                <w:szCs w:val="24"/>
              </w:rPr>
              <w:t xml:space="preserve"> %</w:t>
            </w:r>
          </w:p>
        </w:tc>
      </w:tr>
      <w:tr w:rsidR="001B79DB" w:rsidRPr="00B373B1" w:rsidTr="001A4255">
        <w:trPr>
          <w:cantSplit/>
          <w:trHeight w:val="324"/>
        </w:trPr>
        <w:tc>
          <w:tcPr>
            <w:tcW w:w="3528" w:type="dxa"/>
          </w:tcPr>
          <w:p w:rsidR="001B79DB" w:rsidRPr="009075DC" w:rsidRDefault="001B79DB" w:rsidP="007E36BD">
            <w:pPr>
              <w:widowControl w:val="0"/>
              <w:spacing w:beforeLines="20" w:before="48" w:afterLines="20" w:after="48" w:line="240" w:lineRule="auto"/>
              <w:ind w:firstLine="0"/>
              <w:rPr>
                <w:rFonts w:eastAsia="SimSun"/>
                <w:szCs w:val="24"/>
              </w:rPr>
            </w:pPr>
            <w:r w:rsidRPr="009075DC">
              <w:rPr>
                <w:rFonts w:eastAsia="SimSun"/>
                <w:szCs w:val="24"/>
              </w:rPr>
              <w:t>Primary Service</w:t>
            </w:r>
            <w:r>
              <w:rPr>
                <w:rFonts w:eastAsia="SimSun"/>
                <w:szCs w:val="24"/>
              </w:rPr>
              <w:t>, Gen &amp; Irr.</w:t>
            </w:r>
            <w:r w:rsidR="00E46085">
              <w:rPr>
                <w:rFonts w:eastAsia="SimSun"/>
                <w:szCs w:val="24"/>
              </w:rPr>
              <w:t>*</w:t>
            </w:r>
          </w:p>
        </w:tc>
        <w:tc>
          <w:tcPr>
            <w:tcW w:w="1980" w:type="dxa"/>
          </w:tcPr>
          <w:p w:rsidR="001B79DB" w:rsidRPr="009075DC" w:rsidRDefault="001B79DB" w:rsidP="007E36B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10/</w:t>
            </w:r>
            <w:r w:rsidRPr="009075DC">
              <w:rPr>
                <w:rFonts w:eastAsia="SimSun"/>
                <w:szCs w:val="24"/>
              </w:rPr>
              <w:t>31</w:t>
            </w:r>
          </w:p>
        </w:tc>
        <w:tc>
          <w:tcPr>
            <w:tcW w:w="2430" w:type="dxa"/>
          </w:tcPr>
          <w:p w:rsidR="001B79DB" w:rsidRPr="00B373B1" w:rsidRDefault="001B79DB" w:rsidP="00CB0501">
            <w:pPr>
              <w:widowControl w:val="0"/>
              <w:tabs>
                <w:tab w:val="decimal" w:pos="252"/>
              </w:tabs>
              <w:spacing w:beforeLines="20" w:before="48" w:afterLines="20" w:after="48" w:line="240" w:lineRule="auto"/>
              <w:ind w:firstLine="0"/>
              <w:jc w:val="center"/>
              <w:rPr>
                <w:rFonts w:eastAsia="SimSun"/>
                <w:szCs w:val="24"/>
              </w:rPr>
            </w:pPr>
            <w:r>
              <w:rPr>
                <w:rFonts w:eastAsia="SimSun"/>
                <w:szCs w:val="24"/>
              </w:rPr>
              <w:t>0.0</w:t>
            </w:r>
            <w:r w:rsidR="00CB0501">
              <w:rPr>
                <w:rFonts w:eastAsia="SimSun"/>
                <w:szCs w:val="24"/>
              </w:rPr>
              <w:t>7</w:t>
            </w:r>
            <w:r w:rsidRPr="00B373B1">
              <w:rPr>
                <w:rFonts w:eastAsia="SimSun"/>
                <w:szCs w:val="24"/>
              </w:rPr>
              <w:t xml:space="preserve"> %</w:t>
            </w:r>
          </w:p>
        </w:tc>
      </w:tr>
      <w:tr w:rsidR="001B79DB" w:rsidTr="001A4255">
        <w:trPr>
          <w:cantSplit/>
          <w:trHeight w:val="324"/>
        </w:trPr>
        <w:tc>
          <w:tcPr>
            <w:tcW w:w="3528" w:type="dxa"/>
          </w:tcPr>
          <w:p w:rsidR="001B79DB" w:rsidRPr="009075DC" w:rsidRDefault="001B79DB" w:rsidP="007E36BD">
            <w:pPr>
              <w:widowControl w:val="0"/>
              <w:spacing w:beforeLines="20" w:before="48" w:afterLines="20" w:after="48" w:line="240" w:lineRule="auto"/>
              <w:ind w:firstLine="0"/>
              <w:rPr>
                <w:rFonts w:eastAsia="SimSun"/>
                <w:szCs w:val="24"/>
              </w:rPr>
            </w:pPr>
            <w:r>
              <w:rPr>
                <w:rFonts w:eastAsia="SimSun"/>
                <w:szCs w:val="24"/>
              </w:rPr>
              <w:t>Primary Service, Schools</w:t>
            </w:r>
          </w:p>
        </w:tc>
        <w:tc>
          <w:tcPr>
            <w:tcW w:w="1980" w:type="dxa"/>
          </w:tcPr>
          <w:p w:rsidR="001B79DB" w:rsidRPr="009075DC" w:rsidRDefault="001B79DB" w:rsidP="007E36B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43</w:t>
            </w:r>
          </w:p>
        </w:tc>
        <w:tc>
          <w:tcPr>
            <w:tcW w:w="2430" w:type="dxa"/>
          </w:tcPr>
          <w:p w:rsidR="001B79DB" w:rsidRDefault="007E36BD" w:rsidP="00CB0501">
            <w:pPr>
              <w:widowControl w:val="0"/>
              <w:tabs>
                <w:tab w:val="decimal" w:pos="252"/>
              </w:tabs>
              <w:spacing w:beforeLines="20" w:before="48" w:afterLines="20" w:after="48" w:line="240" w:lineRule="auto"/>
              <w:ind w:firstLine="0"/>
              <w:jc w:val="center"/>
              <w:rPr>
                <w:rFonts w:eastAsia="SimSun"/>
                <w:szCs w:val="24"/>
              </w:rPr>
            </w:pPr>
            <w:r>
              <w:rPr>
                <w:rFonts w:eastAsia="SimSun"/>
                <w:szCs w:val="24"/>
              </w:rPr>
              <w:t>1.</w:t>
            </w:r>
            <w:r w:rsidR="00CB0501">
              <w:rPr>
                <w:rFonts w:eastAsia="SimSun"/>
                <w:szCs w:val="24"/>
              </w:rPr>
              <w:t>06</w:t>
            </w:r>
            <w:r w:rsidR="001B79DB">
              <w:rPr>
                <w:rFonts w:eastAsia="SimSun"/>
                <w:szCs w:val="24"/>
              </w:rPr>
              <w:t xml:space="preserve"> %</w:t>
            </w:r>
          </w:p>
        </w:tc>
      </w:tr>
      <w:tr w:rsidR="001B79DB" w:rsidRPr="00B373B1" w:rsidTr="001A4255">
        <w:trPr>
          <w:cantSplit/>
          <w:trHeight w:val="324"/>
        </w:trPr>
        <w:tc>
          <w:tcPr>
            <w:tcW w:w="3528" w:type="dxa"/>
          </w:tcPr>
          <w:p w:rsidR="001B79DB" w:rsidRPr="009075DC" w:rsidRDefault="001B79DB" w:rsidP="001B79DB">
            <w:pPr>
              <w:widowControl w:val="0"/>
              <w:spacing w:beforeLines="20" w:before="48" w:afterLines="20" w:after="48" w:line="240" w:lineRule="auto"/>
              <w:ind w:firstLine="0"/>
              <w:rPr>
                <w:rFonts w:eastAsia="SimSun"/>
                <w:szCs w:val="24"/>
              </w:rPr>
            </w:pPr>
            <w:r w:rsidRPr="009075DC">
              <w:rPr>
                <w:rFonts w:eastAsia="SimSun"/>
                <w:szCs w:val="24"/>
              </w:rPr>
              <w:t>Campus Rate</w:t>
            </w:r>
          </w:p>
        </w:tc>
        <w:tc>
          <w:tcPr>
            <w:tcW w:w="1980" w:type="dxa"/>
          </w:tcPr>
          <w:p w:rsidR="001B79DB" w:rsidRPr="009075DC" w:rsidRDefault="001B79DB" w:rsidP="007E36B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40</w:t>
            </w:r>
          </w:p>
        </w:tc>
        <w:tc>
          <w:tcPr>
            <w:tcW w:w="2430" w:type="dxa"/>
          </w:tcPr>
          <w:p w:rsidR="001B79DB" w:rsidRPr="00B373B1" w:rsidRDefault="001B79DB"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0.00</w:t>
            </w:r>
            <w:r w:rsidRPr="00B373B1">
              <w:rPr>
                <w:rFonts w:eastAsia="SimSun"/>
                <w:szCs w:val="24"/>
              </w:rPr>
              <w:t xml:space="preserve"> %</w:t>
            </w:r>
          </w:p>
        </w:tc>
      </w:tr>
      <w:tr w:rsidR="001B79DB" w:rsidRPr="00B373B1" w:rsidTr="001A4255">
        <w:trPr>
          <w:cantSplit/>
          <w:trHeight w:val="477"/>
        </w:trPr>
        <w:tc>
          <w:tcPr>
            <w:tcW w:w="3528" w:type="dxa"/>
          </w:tcPr>
          <w:p w:rsidR="001B79DB" w:rsidRPr="009075DC" w:rsidRDefault="001B79DB" w:rsidP="007E36BD">
            <w:pPr>
              <w:widowControl w:val="0"/>
              <w:spacing w:beforeLines="20" w:before="48" w:afterLines="20" w:after="48" w:line="240" w:lineRule="auto"/>
              <w:ind w:firstLine="0"/>
              <w:rPr>
                <w:rFonts w:eastAsia="SimSun"/>
                <w:szCs w:val="24"/>
              </w:rPr>
            </w:pPr>
            <w:r w:rsidRPr="009075DC">
              <w:rPr>
                <w:rFonts w:eastAsia="SimSun"/>
                <w:szCs w:val="24"/>
              </w:rPr>
              <w:t xml:space="preserve">High Voltage </w:t>
            </w:r>
          </w:p>
        </w:tc>
        <w:tc>
          <w:tcPr>
            <w:tcW w:w="1980" w:type="dxa"/>
          </w:tcPr>
          <w:p w:rsidR="001B79DB" w:rsidRPr="009075DC" w:rsidRDefault="001B79DB" w:rsidP="007E36BD">
            <w:pPr>
              <w:widowControl w:val="0"/>
              <w:tabs>
                <w:tab w:val="decimal" w:pos="342"/>
              </w:tabs>
              <w:spacing w:beforeLines="20" w:before="48" w:afterLines="20" w:after="48" w:line="240" w:lineRule="auto"/>
              <w:ind w:firstLine="0"/>
              <w:jc w:val="center"/>
              <w:rPr>
                <w:rFonts w:eastAsia="SimSun"/>
                <w:szCs w:val="24"/>
              </w:rPr>
            </w:pPr>
            <w:r w:rsidRPr="009075DC">
              <w:rPr>
                <w:rFonts w:eastAsia="SimSun"/>
                <w:szCs w:val="24"/>
              </w:rPr>
              <w:t>46/49</w:t>
            </w:r>
          </w:p>
        </w:tc>
        <w:tc>
          <w:tcPr>
            <w:tcW w:w="2430" w:type="dxa"/>
          </w:tcPr>
          <w:p w:rsidR="001B79DB" w:rsidRPr="00B373B1" w:rsidRDefault="001B79DB"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0.00</w:t>
            </w:r>
            <w:r w:rsidRPr="00B373B1">
              <w:rPr>
                <w:rFonts w:eastAsia="SimSun"/>
                <w:szCs w:val="24"/>
              </w:rPr>
              <w:t xml:space="preserve"> %</w:t>
            </w:r>
          </w:p>
        </w:tc>
      </w:tr>
      <w:tr w:rsidR="001B79DB" w:rsidRPr="00B373B1" w:rsidTr="001A4255">
        <w:trPr>
          <w:cantSplit/>
          <w:trHeight w:val="324"/>
        </w:trPr>
        <w:tc>
          <w:tcPr>
            <w:tcW w:w="3528" w:type="dxa"/>
          </w:tcPr>
          <w:p w:rsidR="001B79DB" w:rsidRPr="009075DC" w:rsidRDefault="001B79DB" w:rsidP="007E36BD">
            <w:pPr>
              <w:widowControl w:val="0"/>
              <w:spacing w:beforeLines="20" w:before="48" w:afterLines="20" w:after="48" w:line="240" w:lineRule="auto"/>
              <w:ind w:firstLine="0"/>
              <w:rPr>
                <w:rFonts w:eastAsia="SimSun"/>
                <w:szCs w:val="24"/>
              </w:rPr>
            </w:pPr>
            <w:r w:rsidRPr="009075DC">
              <w:rPr>
                <w:rFonts w:eastAsia="SimSun"/>
                <w:szCs w:val="24"/>
              </w:rPr>
              <w:t>Lighting Service</w:t>
            </w:r>
            <w:r w:rsidR="00463EFF">
              <w:rPr>
                <w:rFonts w:eastAsia="SimSun"/>
                <w:szCs w:val="24"/>
              </w:rPr>
              <w:t>*</w:t>
            </w:r>
            <w:r w:rsidR="00E46085">
              <w:rPr>
                <w:rFonts w:eastAsia="SimSun"/>
                <w:szCs w:val="24"/>
              </w:rPr>
              <w:t>*</w:t>
            </w:r>
          </w:p>
        </w:tc>
        <w:tc>
          <w:tcPr>
            <w:tcW w:w="1980" w:type="dxa"/>
          </w:tcPr>
          <w:p w:rsidR="001B79DB" w:rsidRPr="009075DC" w:rsidRDefault="009235FB" w:rsidP="007E36BD">
            <w:pPr>
              <w:widowControl w:val="0"/>
              <w:tabs>
                <w:tab w:val="decimal" w:pos="342"/>
              </w:tabs>
              <w:spacing w:beforeLines="20" w:before="48" w:afterLines="20" w:after="48" w:line="240" w:lineRule="auto"/>
              <w:ind w:firstLine="0"/>
              <w:jc w:val="center"/>
              <w:rPr>
                <w:rFonts w:eastAsia="SimSun"/>
                <w:szCs w:val="24"/>
              </w:rPr>
            </w:pPr>
            <w:r>
              <w:rPr>
                <w:rFonts w:eastAsia="SimSun"/>
                <w:szCs w:val="24"/>
              </w:rPr>
              <w:t>50</w:t>
            </w:r>
            <w:r w:rsidR="001B79DB" w:rsidRPr="009075DC">
              <w:rPr>
                <w:rFonts w:eastAsia="SimSun"/>
                <w:szCs w:val="24"/>
              </w:rPr>
              <w:t xml:space="preserve"> </w:t>
            </w:r>
            <w:r w:rsidR="001B79DB">
              <w:rPr>
                <w:rFonts w:eastAsia="SimSun"/>
                <w:szCs w:val="24"/>
              </w:rPr>
              <w:t>–</w:t>
            </w:r>
            <w:r w:rsidR="001B79DB" w:rsidRPr="009075DC">
              <w:rPr>
                <w:rFonts w:eastAsia="SimSun"/>
                <w:szCs w:val="24"/>
              </w:rPr>
              <w:t xml:space="preserve"> 59</w:t>
            </w:r>
          </w:p>
        </w:tc>
        <w:tc>
          <w:tcPr>
            <w:tcW w:w="2430" w:type="dxa"/>
          </w:tcPr>
          <w:p w:rsidR="001B79DB" w:rsidRPr="00B373B1" w:rsidRDefault="001B79DB" w:rsidP="007E36BD">
            <w:pPr>
              <w:widowControl w:val="0"/>
              <w:tabs>
                <w:tab w:val="decimal" w:pos="252"/>
              </w:tabs>
              <w:spacing w:beforeLines="20" w:before="48" w:afterLines="20" w:after="48" w:line="240" w:lineRule="auto"/>
              <w:ind w:firstLine="0"/>
              <w:jc w:val="center"/>
              <w:rPr>
                <w:rFonts w:eastAsia="SimSun"/>
              </w:rPr>
            </w:pPr>
            <w:r>
              <w:rPr>
                <w:rFonts w:eastAsia="SimSun"/>
                <w:szCs w:val="24"/>
              </w:rPr>
              <w:t>0.00</w:t>
            </w:r>
            <w:r w:rsidRPr="00B373B1">
              <w:rPr>
                <w:rFonts w:eastAsia="SimSun"/>
                <w:szCs w:val="24"/>
              </w:rPr>
              <w:t xml:space="preserve"> %</w:t>
            </w:r>
          </w:p>
        </w:tc>
      </w:tr>
      <w:tr w:rsidR="001B79DB" w:rsidRPr="00B373B1" w:rsidTr="001A4255">
        <w:trPr>
          <w:cantSplit/>
          <w:trHeight w:val="324"/>
        </w:trPr>
        <w:tc>
          <w:tcPr>
            <w:tcW w:w="3528" w:type="dxa"/>
            <w:tcBorders>
              <w:bottom w:val="single" w:sz="4" w:space="0" w:color="auto"/>
            </w:tcBorders>
          </w:tcPr>
          <w:p w:rsidR="001B79DB" w:rsidRPr="009075DC" w:rsidRDefault="001B79DB" w:rsidP="007E36BD">
            <w:pPr>
              <w:widowControl w:val="0"/>
              <w:spacing w:beforeLines="20" w:before="48" w:afterLines="20" w:after="48" w:line="240" w:lineRule="auto"/>
              <w:ind w:firstLine="0"/>
              <w:rPr>
                <w:rFonts w:eastAsia="SimSun"/>
              </w:rPr>
            </w:pPr>
            <w:r w:rsidRPr="009075DC">
              <w:rPr>
                <w:rFonts w:eastAsia="SimSun"/>
                <w:szCs w:val="24"/>
              </w:rPr>
              <w:t>Choice/Retail Wheeling</w:t>
            </w:r>
          </w:p>
        </w:tc>
        <w:tc>
          <w:tcPr>
            <w:tcW w:w="1980" w:type="dxa"/>
            <w:tcBorders>
              <w:bottom w:val="single" w:sz="4" w:space="0" w:color="auto"/>
            </w:tcBorders>
          </w:tcPr>
          <w:p w:rsidR="001B79DB" w:rsidRPr="009075DC" w:rsidRDefault="001B79DB" w:rsidP="007E36BD">
            <w:pPr>
              <w:widowControl w:val="0"/>
              <w:tabs>
                <w:tab w:val="decimal" w:pos="342"/>
              </w:tabs>
              <w:spacing w:beforeLines="20" w:before="48" w:afterLines="20" w:after="48" w:line="240" w:lineRule="auto"/>
              <w:ind w:firstLine="0"/>
              <w:jc w:val="center"/>
              <w:rPr>
                <w:rFonts w:eastAsia="SimSun"/>
              </w:rPr>
            </w:pPr>
            <w:r w:rsidRPr="009075DC">
              <w:rPr>
                <w:rFonts w:eastAsia="SimSun"/>
                <w:szCs w:val="24"/>
              </w:rPr>
              <w:t>448/449</w:t>
            </w:r>
          </w:p>
        </w:tc>
        <w:tc>
          <w:tcPr>
            <w:tcW w:w="2430" w:type="dxa"/>
            <w:tcBorders>
              <w:bottom w:val="single" w:sz="4" w:space="0" w:color="auto"/>
            </w:tcBorders>
          </w:tcPr>
          <w:p w:rsidR="001B79DB" w:rsidRPr="00B373B1" w:rsidRDefault="001B79DB" w:rsidP="007E36BD">
            <w:pPr>
              <w:widowControl w:val="0"/>
              <w:tabs>
                <w:tab w:val="decimal" w:pos="252"/>
              </w:tabs>
              <w:spacing w:beforeLines="20" w:before="48" w:afterLines="20" w:after="48" w:line="240" w:lineRule="auto"/>
              <w:ind w:firstLine="0"/>
              <w:jc w:val="center"/>
              <w:rPr>
                <w:rFonts w:eastAsia="SimSun"/>
                <w:szCs w:val="24"/>
              </w:rPr>
            </w:pPr>
            <w:r>
              <w:rPr>
                <w:rFonts w:eastAsia="SimSun"/>
                <w:szCs w:val="24"/>
              </w:rPr>
              <w:t>0.00</w:t>
            </w:r>
            <w:r w:rsidRPr="00B373B1">
              <w:rPr>
                <w:rFonts w:eastAsia="SimSun"/>
                <w:szCs w:val="24"/>
              </w:rPr>
              <w:t xml:space="preserve"> %</w:t>
            </w:r>
          </w:p>
        </w:tc>
      </w:tr>
      <w:tr w:rsidR="001B79DB" w:rsidRPr="00B373B1" w:rsidTr="001A4255">
        <w:trPr>
          <w:cantSplit/>
          <w:trHeight w:val="407"/>
        </w:trPr>
        <w:tc>
          <w:tcPr>
            <w:tcW w:w="3528" w:type="dxa"/>
            <w:tcBorders>
              <w:top w:val="single" w:sz="4" w:space="0" w:color="auto"/>
              <w:bottom w:val="single" w:sz="4" w:space="0" w:color="auto"/>
            </w:tcBorders>
          </w:tcPr>
          <w:p w:rsidR="001B79DB" w:rsidRPr="009075DC" w:rsidRDefault="001B79DB" w:rsidP="001A4255">
            <w:pPr>
              <w:widowControl w:val="0"/>
              <w:spacing w:beforeLines="20" w:before="48" w:afterLines="20" w:after="48" w:line="240" w:lineRule="auto"/>
              <w:ind w:firstLine="0"/>
              <w:rPr>
                <w:rFonts w:eastAsia="SimSun"/>
                <w:b/>
                <w:szCs w:val="24"/>
              </w:rPr>
            </w:pPr>
            <w:r w:rsidRPr="009075DC">
              <w:rPr>
                <w:rFonts w:eastAsia="SimSun"/>
                <w:b/>
                <w:szCs w:val="24"/>
              </w:rPr>
              <w:t>Total Jurisdictional Retail Sales</w:t>
            </w:r>
          </w:p>
        </w:tc>
        <w:tc>
          <w:tcPr>
            <w:tcW w:w="1980" w:type="dxa"/>
            <w:tcBorders>
              <w:top w:val="single" w:sz="4" w:space="0" w:color="auto"/>
              <w:bottom w:val="single" w:sz="4" w:space="0" w:color="auto"/>
            </w:tcBorders>
          </w:tcPr>
          <w:p w:rsidR="001B79DB" w:rsidRPr="009075DC" w:rsidRDefault="001B79DB" w:rsidP="007E36BD">
            <w:pPr>
              <w:widowControl w:val="0"/>
              <w:tabs>
                <w:tab w:val="decimal" w:pos="792"/>
              </w:tabs>
              <w:spacing w:beforeLines="20" w:before="48" w:afterLines="20" w:after="48" w:line="240" w:lineRule="auto"/>
              <w:ind w:firstLine="0"/>
              <w:rPr>
                <w:rFonts w:eastAsia="SimSun"/>
                <w:b/>
                <w:szCs w:val="24"/>
              </w:rPr>
            </w:pPr>
          </w:p>
        </w:tc>
        <w:tc>
          <w:tcPr>
            <w:tcW w:w="2430" w:type="dxa"/>
            <w:tcBorders>
              <w:top w:val="single" w:sz="4" w:space="0" w:color="auto"/>
              <w:bottom w:val="single" w:sz="4" w:space="0" w:color="auto"/>
            </w:tcBorders>
          </w:tcPr>
          <w:p w:rsidR="001B79DB" w:rsidRPr="00B373B1" w:rsidRDefault="001B79DB" w:rsidP="00CB0501">
            <w:pPr>
              <w:widowControl w:val="0"/>
              <w:tabs>
                <w:tab w:val="decimal" w:pos="252"/>
              </w:tabs>
              <w:spacing w:beforeLines="20" w:before="48" w:afterLines="20" w:after="48" w:line="240" w:lineRule="auto"/>
              <w:ind w:firstLine="0"/>
              <w:jc w:val="center"/>
              <w:rPr>
                <w:rFonts w:eastAsia="SimSun"/>
                <w:szCs w:val="24"/>
              </w:rPr>
            </w:pPr>
            <w:r>
              <w:rPr>
                <w:rFonts w:eastAsia="SimSun"/>
                <w:szCs w:val="24"/>
              </w:rPr>
              <w:t>0.</w:t>
            </w:r>
            <w:r w:rsidR="007E36BD">
              <w:rPr>
                <w:rFonts w:eastAsia="SimSun"/>
                <w:szCs w:val="24"/>
              </w:rPr>
              <w:t>5</w:t>
            </w:r>
            <w:r w:rsidR="00CB0501">
              <w:rPr>
                <w:rFonts w:eastAsia="SimSun"/>
                <w:szCs w:val="24"/>
              </w:rPr>
              <w:t>0</w:t>
            </w:r>
            <w:r w:rsidRPr="00B373B1">
              <w:rPr>
                <w:rFonts w:eastAsia="SimSun"/>
                <w:szCs w:val="24"/>
              </w:rPr>
              <w:t xml:space="preserve"> %</w:t>
            </w:r>
          </w:p>
        </w:tc>
      </w:tr>
      <w:tr w:rsidR="001A4255" w:rsidRPr="00B373B1" w:rsidTr="007E36BD">
        <w:trPr>
          <w:cantSplit/>
          <w:trHeight w:val="692"/>
        </w:trPr>
        <w:tc>
          <w:tcPr>
            <w:tcW w:w="7938" w:type="dxa"/>
            <w:gridSpan w:val="3"/>
            <w:tcBorders>
              <w:top w:val="single" w:sz="4" w:space="0" w:color="auto"/>
            </w:tcBorders>
          </w:tcPr>
          <w:p w:rsidR="00E46085" w:rsidRDefault="001A4255" w:rsidP="001A4255">
            <w:pPr>
              <w:widowControl w:val="0"/>
              <w:tabs>
                <w:tab w:val="decimal" w:pos="252"/>
              </w:tabs>
              <w:spacing w:beforeLines="20" w:before="48" w:afterLines="20" w:after="48" w:line="240" w:lineRule="auto"/>
              <w:ind w:firstLine="0"/>
              <w:rPr>
                <w:rFonts w:eastAsia="SimSun"/>
                <w:sz w:val="20"/>
              </w:rPr>
            </w:pPr>
            <w:r w:rsidRPr="001A4255">
              <w:rPr>
                <w:rFonts w:eastAsia="SimSun"/>
                <w:sz w:val="20"/>
              </w:rPr>
              <w:t xml:space="preserve">* </w:t>
            </w:r>
            <w:r w:rsidR="00E46085">
              <w:rPr>
                <w:rFonts w:eastAsia="SimSun"/>
                <w:sz w:val="20"/>
              </w:rPr>
              <w:t xml:space="preserve">Schedules </w:t>
            </w:r>
            <w:r w:rsidR="009235FB">
              <w:rPr>
                <w:rFonts w:eastAsia="SimSun"/>
                <w:sz w:val="20"/>
              </w:rPr>
              <w:t xml:space="preserve">7A, </w:t>
            </w:r>
            <w:r w:rsidR="00E46085">
              <w:rPr>
                <w:rFonts w:eastAsia="SimSun"/>
                <w:sz w:val="20"/>
              </w:rPr>
              <w:t>29</w:t>
            </w:r>
            <w:r w:rsidR="009235FB">
              <w:rPr>
                <w:rFonts w:eastAsia="SimSun"/>
                <w:sz w:val="20"/>
              </w:rPr>
              <w:t>,</w:t>
            </w:r>
            <w:r w:rsidR="00E46085">
              <w:rPr>
                <w:rFonts w:eastAsia="SimSun"/>
                <w:sz w:val="20"/>
              </w:rPr>
              <w:t xml:space="preserve"> and 35 will not see rate increases as part of this initial ECRM proposal.</w:t>
            </w:r>
          </w:p>
          <w:p w:rsidR="001A4255" w:rsidRPr="001A4255" w:rsidRDefault="00E46085" w:rsidP="001A4255">
            <w:pPr>
              <w:widowControl w:val="0"/>
              <w:tabs>
                <w:tab w:val="decimal" w:pos="252"/>
              </w:tabs>
              <w:spacing w:beforeLines="20" w:before="48" w:afterLines="20" w:after="48" w:line="240" w:lineRule="auto"/>
              <w:ind w:firstLine="0"/>
              <w:rPr>
                <w:rFonts w:eastAsia="SimSun"/>
                <w:sz w:val="20"/>
              </w:rPr>
            </w:pPr>
            <w:r>
              <w:rPr>
                <w:rFonts w:eastAsia="SimSun"/>
                <w:sz w:val="20"/>
              </w:rPr>
              <w:t xml:space="preserve">** </w:t>
            </w:r>
            <w:r w:rsidR="001A4255" w:rsidRPr="001A4255">
              <w:rPr>
                <w:rFonts w:eastAsia="SimSun"/>
                <w:sz w:val="20"/>
              </w:rPr>
              <w:t>As discussed below, PSE proposes not to implement ECRM rates for lighting.</w:t>
            </w:r>
          </w:p>
        </w:tc>
      </w:tr>
    </w:tbl>
    <w:p w:rsidR="00527418" w:rsidRPr="004807DC" w:rsidRDefault="00527418" w:rsidP="007234D6">
      <w:pPr>
        <w:pStyle w:val="answer"/>
        <w:widowControl w:val="0"/>
        <w:rPr>
          <w:rFonts w:eastAsia="SimSun"/>
          <w:b/>
        </w:rPr>
      </w:pPr>
      <w:r w:rsidRPr="004807DC">
        <w:rPr>
          <w:rFonts w:eastAsia="SimSun"/>
          <w:b/>
        </w:rPr>
        <w:t>Q.</w:t>
      </w:r>
      <w:r w:rsidRPr="004807DC">
        <w:rPr>
          <w:rFonts w:eastAsia="SimSun"/>
          <w:b/>
        </w:rPr>
        <w:tab/>
      </w:r>
      <w:r>
        <w:rPr>
          <w:rFonts w:eastAsia="SimSun"/>
          <w:b/>
        </w:rPr>
        <w:t xml:space="preserve">Please explain </w:t>
      </w:r>
      <w:r w:rsidR="00771ADE">
        <w:rPr>
          <w:rFonts w:eastAsia="SimSun"/>
          <w:b/>
        </w:rPr>
        <w:t>why there</w:t>
      </w:r>
      <w:r>
        <w:rPr>
          <w:rFonts w:eastAsia="SimSun"/>
          <w:b/>
        </w:rPr>
        <w:t xml:space="preserve"> is such a wide variation in proposed Electric CRM rates.</w:t>
      </w:r>
    </w:p>
    <w:p w:rsidR="00527418" w:rsidRDefault="00527418" w:rsidP="00527418">
      <w:pPr>
        <w:pStyle w:val="answer"/>
        <w:widowControl w:val="0"/>
        <w:rPr>
          <w:rFonts w:eastAsia="SimSun"/>
          <w:b/>
        </w:rPr>
      </w:pPr>
      <w:r w:rsidRPr="009075DC">
        <w:rPr>
          <w:rFonts w:eastAsia="SimSun"/>
        </w:rPr>
        <w:t>A.</w:t>
      </w:r>
      <w:r w:rsidRPr="009075DC">
        <w:rPr>
          <w:rFonts w:eastAsia="SimSun"/>
        </w:rPr>
        <w:tab/>
      </w:r>
      <w:r>
        <w:rPr>
          <w:rFonts w:eastAsia="SimSun"/>
        </w:rPr>
        <w:t xml:space="preserve">This is largely a function of </w:t>
      </w:r>
      <w:r w:rsidR="008244E3">
        <w:rPr>
          <w:rFonts w:eastAsia="SimSun"/>
        </w:rPr>
        <w:t>where the investments are being made and the customers served on those particular circuits.  The higher the load concentration of a particular customer class on the replaced circuits, the higher the allocated costs and, therefore, the higher the rate</w:t>
      </w:r>
      <w:r w:rsidRPr="009075DC">
        <w:rPr>
          <w:rFonts w:eastAsia="SimSun"/>
        </w:rPr>
        <w:t>.</w:t>
      </w:r>
      <w:r w:rsidR="008244E3">
        <w:rPr>
          <w:rFonts w:eastAsia="SimSun"/>
        </w:rPr>
        <w:t xml:space="preserve">  Generally speaking, since many of these circuits tend to be in more rural areas, it is not surprising that rates tend to be higher for customer groups more likely to be served in those areas. </w:t>
      </w:r>
      <w:r w:rsidRPr="00527418">
        <w:rPr>
          <w:rFonts w:eastAsia="SimSun"/>
          <w:b/>
        </w:rPr>
        <w:t xml:space="preserve"> </w:t>
      </w:r>
    </w:p>
    <w:p w:rsidR="00527418" w:rsidRPr="004807DC" w:rsidRDefault="00527418" w:rsidP="00527418">
      <w:pPr>
        <w:pStyle w:val="answer"/>
        <w:widowControl w:val="0"/>
        <w:rPr>
          <w:rFonts w:eastAsia="SimSun"/>
          <w:b/>
        </w:rPr>
      </w:pPr>
      <w:r w:rsidRPr="004807DC">
        <w:rPr>
          <w:rFonts w:eastAsia="SimSun"/>
          <w:b/>
        </w:rPr>
        <w:t>Q.</w:t>
      </w:r>
      <w:r w:rsidRPr="004807DC">
        <w:rPr>
          <w:rFonts w:eastAsia="SimSun"/>
          <w:b/>
        </w:rPr>
        <w:tab/>
      </w:r>
      <w:r w:rsidR="008244E3">
        <w:rPr>
          <w:rFonts w:eastAsia="SimSun"/>
          <w:b/>
        </w:rPr>
        <w:t>Why did PSE ch</w:t>
      </w:r>
      <w:r w:rsidR="00771ADE">
        <w:rPr>
          <w:rFonts w:eastAsia="SimSun"/>
          <w:b/>
        </w:rPr>
        <w:t>o</w:t>
      </w:r>
      <w:r w:rsidR="008244E3">
        <w:rPr>
          <w:rFonts w:eastAsia="SimSun"/>
          <w:b/>
        </w:rPr>
        <w:t>ose to use this particular method to allocate these costs</w:t>
      </w:r>
      <w:r w:rsidRPr="004807DC">
        <w:rPr>
          <w:rFonts w:eastAsia="SimSun"/>
          <w:b/>
        </w:rPr>
        <w:t>?</w:t>
      </w:r>
    </w:p>
    <w:p w:rsidR="00527418" w:rsidRDefault="00527418" w:rsidP="00527418">
      <w:pPr>
        <w:pStyle w:val="answer"/>
        <w:widowControl w:val="0"/>
        <w:rPr>
          <w:rFonts w:eastAsia="SimSun"/>
        </w:rPr>
      </w:pPr>
      <w:r w:rsidRPr="009075DC">
        <w:rPr>
          <w:rFonts w:eastAsia="SimSun"/>
        </w:rPr>
        <w:lastRenderedPageBreak/>
        <w:t>A.</w:t>
      </w:r>
      <w:r w:rsidRPr="009075DC">
        <w:rPr>
          <w:rFonts w:eastAsia="SimSun"/>
        </w:rPr>
        <w:tab/>
      </w:r>
      <w:r w:rsidR="008244E3">
        <w:rPr>
          <w:rFonts w:eastAsia="SimSun"/>
        </w:rPr>
        <w:t xml:space="preserve">This </w:t>
      </w:r>
      <w:r w:rsidR="00771ADE">
        <w:rPr>
          <w:rFonts w:eastAsia="SimSun"/>
        </w:rPr>
        <w:t xml:space="preserve">method </w:t>
      </w:r>
      <w:r w:rsidR="008244E3">
        <w:rPr>
          <w:rFonts w:eastAsia="SimSun"/>
        </w:rPr>
        <w:t xml:space="preserve">allows for a more seamless transition when these investments are later transferred </w:t>
      </w:r>
      <w:r w:rsidR="00CE23F7">
        <w:rPr>
          <w:rFonts w:eastAsia="SimSun"/>
        </w:rPr>
        <w:t>into base rates, as the allocation of these costs will be unchanged</w:t>
      </w:r>
      <w:r w:rsidRPr="009075DC">
        <w:rPr>
          <w:rFonts w:eastAsia="SimSun"/>
        </w:rPr>
        <w:t>.</w:t>
      </w:r>
      <w:r w:rsidR="00CE23F7">
        <w:rPr>
          <w:rFonts w:eastAsia="SimSun"/>
        </w:rPr>
        <w:t xml:space="preserve">  To do otherwise, would create a mismatch between </w:t>
      </w:r>
      <w:r w:rsidR="00771ADE">
        <w:rPr>
          <w:rFonts w:eastAsia="SimSun"/>
        </w:rPr>
        <w:t xml:space="preserve">the way </w:t>
      </w:r>
      <w:r w:rsidR="00CE23F7">
        <w:rPr>
          <w:rFonts w:eastAsia="SimSun"/>
        </w:rPr>
        <w:t xml:space="preserve">these costs are allocated in the ECRM and the way they would subsequently be allocated when rolled into base rates. </w:t>
      </w:r>
    </w:p>
    <w:p w:rsidR="007E00FF" w:rsidRPr="004807DC" w:rsidRDefault="007E00FF" w:rsidP="00527418">
      <w:pPr>
        <w:pStyle w:val="answer"/>
        <w:widowControl w:val="0"/>
        <w:rPr>
          <w:rFonts w:eastAsia="SimSun"/>
          <w:b/>
        </w:rPr>
      </w:pPr>
      <w:r w:rsidRPr="004807DC">
        <w:rPr>
          <w:rFonts w:eastAsia="SimSun"/>
          <w:b/>
        </w:rPr>
        <w:t>Q.</w:t>
      </w:r>
      <w:r w:rsidRPr="004807DC">
        <w:rPr>
          <w:rFonts w:eastAsia="SimSun"/>
          <w:b/>
        </w:rPr>
        <w:tab/>
      </w:r>
      <w:r w:rsidR="00CE23F7">
        <w:rPr>
          <w:rFonts w:eastAsia="SimSun"/>
          <w:b/>
        </w:rPr>
        <w:t>Is PSE proposing to apply the ECRM rates to its lighting customers</w:t>
      </w:r>
      <w:r w:rsidRPr="004807DC">
        <w:rPr>
          <w:rFonts w:eastAsia="SimSun"/>
          <w:b/>
        </w:rPr>
        <w:t>?</w:t>
      </w:r>
    </w:p>
    <w:p w:rsidR="007E00FF" w:rsidRDefault="007E00FF" w:rsidP="007E00FF">
      <w:pPr>
        <w:pStyle w:val="answer"/>
        <w:widowControl w:val="0"/>
        <w:rPr>
          <w:rFonts w:eastAsia="SimSun"/>
        </w:rPr>
      </w:pPr>
      <w:r w:rsidRPr="009075DC">
        <w:rPr>
          <w:rFonts w:eastAsia="SimSun"/>
        </w:rPr>
        <w:t>A.</w:t>
      </w:r>
      <w:r w:rsidRPr="009075DC">
        <w:rPr>
          <w:rFonts w:eastAsia="SimSun"/>
        </w:rPr>
        <w:tab/>
      </w:r>
      <w:r w:rsidR="00CE23F7">
        <w:rPr>
          <w:rFonts w:eastAsia="SimSun"/>
        </w:rPr>
        <w:t>No.  As shown in Exhibit No.____(JAP-</w:t>
      </w:r>
      <w:r w:rsidR="00CE23F7">
        <w:rPr>
          <w:rFonts w:eastAsia="SimSun"/>
        </w:rPr>
        <w:fldChar w:fldCharType="begin"/>
      </w:r>
      <w:r w:rsidR="00CE23F7">
        <w:rPr>
          <w:rFonts w:eastAsia="SimSun"/>
        </w:rPr>
        <w:instrText xml:space="preserve"> REF _Ref471025666 \r \h </w:instrText>
      </w:r>
      <w:r w:rsidR="00CE23F7">
        <w:rPr>
          <w:rFonts w:eastAsia="SimSun"/>
        </w:rPr>
      </w:r>
      <w:r w:rsidR="00CE23F7">
        <w:rPr>
          <w:rFonts w:eastAsia="SimSun"/>
        </w:rPr>
        <w:fldChar w:fldCharType="separate"/>
      </w:r>
      <w:r w:rsidR="0035666C">
        <w:rPr>
          <w:rFonts w:eastAsia="SimSun"/>
        </w:rPr>
        <w:t>32</w:t>
      </w:r>
      <w:r w:rsidR="00CE23F7">
        <w:rPr>
          <w:rFonts w:eastAsia="SimSun"/>
        </w:rPr>
        <w:fldChar w:fldCharType="end"/>
      </w:r>
      <w:r w:rsidR="00CE23F7">
        <w:rPr>
          <w:rFonts w:eastAsia="SimSun"/>
        </w:rPr>
        <w:t>), the allocated costs to this group are just over $</w:t>
      </w:r>
      <w:r w:rsidR="00CB0501">
        <w:rPr>
          <w:rFonts w:eastAsia="SimSun"/>
        </w:rPr>
        <w:t>5</w:t>
      </w:r>
      <w:r w:rsidR="00CE23F7">
        <w:rPr>
          <w:rFonts w:eastAsia="SimSun"/>
        </w:rPr>
        <w:t xml:space="preserve">,000.  Even if this amount were multiples higher than this level, given the way lighting rates are almost always rounded to the nearest cent per month, the majority of these rates would be rounded to zero.  So, rather than increasing </w:t>
      </w:r>
      <w:r w:rsidR="00771ADE">
        <w:rPr>
          <w:rFonts w:eastAsia="SimSun"/>
        </w:rPr>
        <w:t xml:space="preserve">the </w:t>
      </w:r>
      <w:r w:rsidR="00CE23F7">
        <w:rPr>
          <w:rFonts w:eastAsia="SimSun"/>
        </w:rPr>
        <w:t xml:space="preserve">administrative burden of applying these rates to lighting customers, PSE is proposing to forgo the </w:t>
      </w:r>
      <w:r w:rsidR="001B79DB">
        <w:rPr>
          <w:rFonts w:eastAsia="SimSun"/>
        </w:rPr>
        <w:t xml:space="preserve">accelerated </w:t>
      </w:r>
      <w:r w:rsidR="00CE23F7">
        <w:rPr>
          <w:rFonts w:eastAsia="SimSun"/>
        </w:rPr>
        <w:t xml:space="preserve">recovery of these costs within the ECRM.  When these allocated investments are eventually rolled into PSE’s base rates, then lighting customers will begin to </w:t>
      </w:r>
      <w:r w:rsidR="001B79DB">
        <w:rPr>
          <w:rFonts w:eastAsia="SimSun"/>
        </w:rPr>
        <w:t>pay for these investment</w:t>
      </w:r>
      <w:r w:rsidR="00D1284F">
        <w:rPr>
          <w:rFonts w:eastAsia="SimSun"/>
        </w:rPr>
        <w:t>s</w:t>
      </w:r>
      <w:r w:rsidR="001B79DB">
        <w:rPr>
          <w:rFonts w:eastAsia="SimSun"/>
        </w:rPr>
        <w:t xml:space="preserve"> through their base </w:t>
      </w:r>
      <w:r w:rsidR="00CE23F7">
        <w:rPr>
          <w:rFonts w:eastAsia="SimSun"/>
        </w:rPr>
        <w:t>rates</w:t>
      </w:r>
      <w:r w:rsidRPr="009075DC">
        <w:rPr>
          <w:rFonts w:eastAsia="SimSun"/>
        </w:rPr>
        <w:t>.</w:t>
      </w:r>
    </w:p>
    <w:p w:rsidR="00DD1DCF" w:rsidRPr="009075DC" w:rsidRDefault="00DD1DCF" w:rsidP="00DD1DCF">
      <w:pPr>
        <w:pStyle w:val="Heading1"/>
        <w:keepNext w:val="0"/>
        <w:keepLines w:val="0"/>
        <w:widowControl w:val="0"/>
        <w:rPr>
          <w:rFonts w:eastAsia="SimSun"/>
        </w:rPr>
      </w:pPr>
      <w:bookmarkStart w:id="185" w:name="_Toc471912989"/>
      <w:bookmarkStart w:id="186" w:name="_Toc127023404"/>
      <w:r>
        <w:rPr>
          <w:rFonts w:eastAsia="SimSun"/>
        </w:rPr>
        <w:t>XI</w:t>
      </w:r>
      <w:r w:rsidRPr="009075DC">
        <w:rPr>
          <w:rFonts w:eastAsia="SimSun"/>
        </w:rPr>
        <w:t>.</w:t>
      </w:r>
      <w:r w:rsidRPr="009075DC">
        <w:rPr>
          <w:rFonts w:eastAsia="SimSun"/>
        </w:rPr>
        <w:tab/>
      </w:r>
      <w:r>
        <w:rPr>
          <w:rFonts w:eastAsia="SimSun"/>
        </w:rPr>
        <w:t>SCHEDULE 451</w:t>
      </w:r>
      <w:bookmarkEnd w:id="185"/>
      <w:r>
        <w:rPr>
          <w:rFonts w:eastAsia="SimSun"/>
        </w:rPr>
        <w:t xml:space="preserve"> </w:t>
      </w:r>
    </w:p>
    <w:p w:rsidR="00711ECD" w:rsidRPr="009075DC" w:rsidRDefault="00711ECD" w:rsidP="00711ECD">
      <w:pPr>
        <w:pStyle w:val="question"/>
        <w:widowControl w:val="0"/>
        <w:rPr>
          <w:rFonts w:eastAsia="SimSun"/>
        </w:rPr>
      </w:pPr>
      <w:r w:rsidRPr="009075DC">
        <w:rPr>
          <w:rFonts w:eastAsia="SimSun"/>
        </w:rPr>
        <w:t>Q.</w:t>
      </w:r>
      <w:r w:rsidRPr="009075DC">
        <w:rPr>
          <w:rFonts w:eastAsia="SimSun"/>
        </w:rPr>
        <w:tab/>
      </w:r>
      <w:r>
        <w:rPr>
          <w:rFonts w:eastAsia="SimSun"/>
        </w:rPr>
        <w:t>Does PSE have any other filings pending before the Commission that may impact the rate design for Schedule 40 in this case?</w:t>
      </w:r>
    </w:p>
    <w:p w:rsidR="00711ECD" w:rsidRPr="009075DC" w:rsidRDefault="00711ECD" w:rsidP="00711ECD">
      <w:pPr>
        <w:pStyle w:val="answer"/>
        <w:widowControl w:val="0"/>
        <w:rPr>
          <w:rFonts w:eastAsia="SimSun"/>
        </w:rPr>
      </w:pPr>
      <w:r w:rsidRPr="009075DC">
        <w:rPr>
          <w:rFonts w:eastAsia="SimSun"/>
        </w:rPr>
        <w:t>A.</w:t>
      </w:r>
      <w:r w:rsidRPr="009075DC">
        <w:rPr>
          <w:rFonts w:eastAsia="SimSun"/>
        </w:rPr>
        <w:tab/>
      </w:r>
      <w:r>
        <w:rPr>
          <w:rFonts w:eastAsia="SimSun"/>
        </w:rPr>
        <w:t xml:space="preserve">Yes, on October 7, 2016, PSE filed a proposed new Large Customer Retail Wheeling service (Schedule 451) under Docket UE-161123 (the “Retail Wheeling Docket”).  This filing is intended to implement a new retail wheeling service for </w:t>
      </w:r>
      <w:r>
        <w:rPr>
          <w:rFonts w:eastAsia="SimSun"/>
        </w:rPr>
        <w:lastRenderedPageBreak/>
        <w:t>large non-core customers</w:t>
      </w:r>
      <w:r w:rsidRPr="009075DC">
        <w:rPr>
          <w:rFonts w:eastAsia="SimSun"/>
        </w:rPr>
        <w:t>.</w:t>
      </w:r>
      <w:r>
        <w:rPr>
          <w:rFonts w:eastAsia="SimSun"/>
        </w:rPr>
        <w:t xml:space="preserve">  If approved, service taken under this schedule will necessarily impact PSE’s recovery of power costs and, therefore, have ratemaking implications in this proceeding. </w:t>
      </w:r>
      <w:r w:rsidRPr="009075DC">
        <w:rPr>
          <w:rFonts w:eastAsia="SimSun"/>
        </w:rPr>
        <w:t xml:space="preserve"> </w:t>
      </w:r>
    </w:p>
    <w:p w:rsidR="00711ECD" w:rsidRPr="009075DC" w:rsidRDefault="00711ECD" w:rsidP="00711ECD">
      <w:pPr>
        <w:pStyle w:val="question"/>
        <w:widowControl w:val="0"/>
        <w:rPr>
          <w:rFonts w:eastAsia="SimSun"/>
        </w:rPr>
      </w:pPr>
      <w:r w:rsidRPr="009075DC">
        <w:rPr>
          <w:rFonts w:eastAsia="SimSun"/>
        </w:rPr>
        <w:t>Q.</w:t>
      </w:r>
      <w:r w:rsidRPr="009075DC">
        <w:rPr>
          <w:rFonts w:eastAsia="SimSun"/>
        </w:rPr>
        <w:tab/>
      </w:r>
      <w:r>
        <w:rPr>
          <w:rFonts w:eastAsia="SimSun"/>
        </w:rPr>
        <w:t xml:space="preserve">When is a decision </w:t>
      </w:r>
      <w:r w:rsidR="00771ADE">
        <w:rPr>
          <w:rFonts w:eastAsia="SimSun"/>
        </w:rPr>
        <w:t xml:space="preserve">expected </w:t>
      </w:r>
      <w:r>
        <w:rPr>
          <w:rFonts w:eastAsia="SimSun"/>
        </w:rPr>
        <w:t>in the Retail Wheeling Docket?</w:t>
      </w:r>
    </w:p>
    <w:p w:rsidR="00711ECD" w:rsidRPr="009075DC" w:rsidRDefault="00711ECD" w:rsidP="00711ECD">
      <w:pPr>
        <w:pStyle w:val="answer"/>
        <w:widowControl w:val="0"/>
        <w:rPr>
          <w:rFonts w:eastAsia="SimSun"/>
        </w:rPr>
      </w:pPr>
      <w:r w:rsidRPr="009075DC">
        <w:rPr>
          <w:rFonts w:eastAsia="SimSun"/>
        </w:rPr>
        <w:t>A.</w:t>
      </w:r>
      <w:r w:rsidRPr="009075DC">
        <w:rPr>
          <w:rFonts w:eastAsia="SimSun"/>
        </w:rPr>
        <w:tab/>
      </w:r>
      <w:r>
        <w:rPr>
          <w:rFonts w:eastAsia="SimSun"/>
        </w:rPr>
        <w:t xml:space="preserve">An order is expected </w:t>
      </w:r>
      <w:r w:rsidR="00D0665D">
        <w:rPr>
          <w:rFonts w:eastAsia="SimSun"/>
        </w:rPr>
        <w:t>shortly before</w:t>
      </w:r>
      <w:r>
        <w:rPr>
          <w:rFonts w:eastAsia="SimSun"/>
        </w:rPr>
        <w:t xml:space="preserve"> the September 7, 2017 suspension date for that tariff filing.  PSE expects that this should provide sufficient time to implement contingent mechanisms in this general rate case to reflect the decision in the Retail Wheeling Docket.</w:t>
      </w:r>
      <w:r w:rsidRPr="009075DC">
        <w:rPr>
          <w:rFonts w:eastAsia="SimSun"/>
        </w:rPr>
        <w:t xml:space="preserve"> </w:t>
      </w:r>
    </w:p>
    <w:p w:rsidR="00711ECD" w:rsidRPr="009075DC" w:rsidRDefault="00711ECD" w:rsidP="00711ECD">
      <w:pPr>
        <w:pStyle w:val="question"/>
        <w:widowControl w:val="0"/>
        <w:rPr>
          <w:rFonts w:eastAsia="SimSun"/>
        </w:rPr>
      </w:pPr>
      <w:r w:rsidRPr="009075DC">
        <w:rPr>
          <w:rFonts w:eastAsia="SimSun"/>
        </w:rPr>
        <w:t>Q.</w:t>
      </w:r>
      <w:r w:rsidRPr="009075DC">
        <w:rPr>
          <w:rFonts w:eastAsia="SimSun"/>
        </w:rPr>
        <w:tab/>
      </w:r>
      <w:r>
        <w:rPr>
          <w:rFonts w:eastAsia="SimSun"/>
        </w:rPr>
        <w:t>What contingent mechanisms will be required in this case to accommodate the potential for service taken under PSE’s proposed Schedule 451?</w:t>
      </w:r>
    </w:p>
    <w:p w:rsidR="00711ECD" w:rsidRPr="009075DC" w:rsidRDefault="00711ECD" w:rsidP="00711ECD">
      <w:pPr>
        <w:pStyle w:val="answer"/>
        <w:widowControl w:val="0"/>
        <w:rPr>
          <w:rFonts w:eastAsia="SimSun"/>
        </w:rPr>
      </w:pPr>
      <w:r w:rsidRPr="009075DC">
        <w:rPr>
          <w:rFonts w:eastAsia="SimSun"/>
        </w:rPr>
        <w:t>A.</w:t>
      </w:r>
      <w:r w:rsidRPr="009075DC">
        <w:rPr>
          <w:rFonts w:eastAsia="SimSun"/>
        </w:rPr>
        <w:tab/>
      </w:r>
      <w:r>
        <w:rPr>
          <w:rFonts w:eastAsia="SimSun"/>
        </w:rPr>
        <w:t xml:space="preserve">At least two contingencies will need to be accommodated in this general rate case to reflect the potential for service in the Retail Wheeling Docket.  First, PSE will need to file two PCA </w:t>
      </w:r>
      <w:r w:rsidR="00C854E1">
        <w:rPr>
          <w:rFonts w:eastAsia="SimSun"/>
        </w:rPr>
        <w:t xml:space="preserve">baseline </w:t>
      </w:r>
      <w:r>
        <w:rPr>
          <w:rFonts w:eastAsia="SimSun"/>
        </w:rPr>
        <w:t>rates, one reflecting no service taken under the proposed Schedule 451 and another reflecting service taken by Microsoft under Schedule 451.  Second, PSE will need to file two sets of allowed</w:t>
      </w:r>
      <w:r w:rsidR="00AB6B68">
        <w:rPr>
          <w:rFonts w:eastAsia="SimSun"/>
        </w:rPr>
        <w:t xml:space="preserve"> delivery and</w:t>
      </w:r>
      <w:r>
        <w:rPr>
          <w:rFonts w:eastAsia="SimSun"/>
        </w:rPr>
        <w:t xml:space="preserve"> fixed power cost revenue per customer </w:t>
      </w:r>
      <w:r w:rsidR="00AB6B68">
        <w:rPr>
          <w:rFonts w:eastAsia="SimSun"/>
        </w:rPr>
        <w:t xml:space="preserve">and two sets of volumetric delivery and fixed power cost revenue per unit rates </w:t>
      </w:r>
      <w:r>
        <w:rPr>
          <w:rFonts w:eastAsia="SimSun"/>
        </w:rPr>
        <w:t>in its electric decoupling mechanism (discussed earlier in testimony) to, again, reflect whether service is being taken by Microsoft under the proposed Schedule 451</w:t>
      </w:r>
      <w:r w:rsidRPr="009075DC">
        <w:rPr>
          <w:rFonts w:eastAsia="SimSun"/>
        </w:rPr>
        <w:t xml:space="preserve">. </w:t>
      </w:r>
      <w:r>
        <w:rPr>
          <w:rFonts w:eastAsia="SimSun"/>
        </w:rPr>
        <w:t xml:space="preserve">While described here, these contingent calculations for the PCA </w:t>
      </w:r>
      <w:r w:rsidR="00D0665D">
        <w:rPr>
          <w:rFonts w:eastAsia="SimSun"/>
        </w:rPr>
        <w:t xml:space="preserve">baseline </w:t>
      </w:r>
      <w:r>
        <w:rPr>
          <w:rFonts w:eastAsia="SimSun"/>
        </w:rPr>
        <w:t xml:space="preserve">rate will not be provided until </w:t>
      </w:r>
      <w:r w:rsidR="00D0665D">
        <w:rPr>
          <w:rFonts w:eastAsia="SimSun"/>
        </w:rPr>
        <w:t xml:space="preserve">power costs are updated </w:t>
      </w:r>
      <w:r>
        <w:rPr>
          <w:rFonts w:eastAsia="SimSun"/>
        </w:rPr>
        <w:t xml:space="preserve"> later in this case.</w:t>
      </w:r>
    </w:p>
    <w:p w:rsidR="00711ECD" w:rsidRPr="009075DC" w:rsidRDefault="00711ECD" w:rsidP="00711ECD">
      <w:pPr>
        <w:pStyle w:val="question"/>
        <w:widowControl w:val="0"/>
        <w:rPr>
          <w:rFonts w:eastAsia="SimSun"/>
        </w:rPr>
      </w:pPr>
      <w:r w:rsidRPr="009075DC">
        <w:rPr>
          <w:rFonts w:eastAsia="SimSun"/>
        </w:rPr>
        <w:lastRenderedPageBreak/>
        <w:t>Q.</w:t>
      </w:r>
      <w:r w:rsidRPr="009075DC">
        <w:rPr>
          <w:rFonts w:eastAsia="SimSun"/>
        </w:rPr>
        <w:tab/>
      </w:r>
      <w:r>
        <w:rPr>
          <w:rFonts w:eastAsia="SimSun"/>
        </w:rPr>
        <w:t>Why do these contingent calculations need to be made?</w:t>
      </w:r>
    </w:p>
    <w:p w:rsidR="00711ECD" w:rsidRPr="009075DC" w:rsidRDefault="00711ECD" w:rsidP="00711ECD">
      <w:pPr>
        <w:pStyle w:val="answer"/>
        <w:widowControl w:val="0"/>
        <w:rPr>
          <w:rFonts w:eastAsia="SimSun"/>
        </w:rPr>
      </w:pPr>
      <w:r w:rsidRPr="009075DC">
        <w:rPr>
          <w:rFonts w:eastAsia="SimSun"/>
        </w:rPr>
        <w:t>A.</w:t>
      </w:r>
      <w:r w:rsidRPr="009075DC">
        <w:rPr>
          <w:rFonts w:eastAsia="SimSun"/>
        </w:rPr>
        <w:tab/>
      </w:r>
      <w:r>
        <w:rPr>
          <w:rFonts w:eastAsia="SimSun"/>
        </w:rPr>
        <w:t>As mentioned earlier, whether or not Microsoft takes service under the Schedule 451 will have an implication on the recovery of PSE’s power costs</w:t>
      </w:r>
      <w:r w:rsidRPr="009075DC">
        <w:rPr>
          <w:rFonts w:eastAsia="SimSun"/>
        </w:rPr>
        <w:t xml:space="preserve">. </w:t>
      </w:r>
      <w:r>
        <w:rPr>
          <w:rFonts w:eastAsia="SimSun"/>
        </w:rPr>
        <w:t xml:space="preserve">Indeed, this is the focus of the discussion around the proposed Power Supply Stranded Cost Charge in the Retail Wheeling Docket.  The purpose of this charge is to compensate for the power costs that will be stranded if </w:t>
      </w:r>
      <w:r w:rsidR="00C854E1">
        <w:rPr>
          <w:rFonts w:eastAsia="SimSun"/>
        </w:rPr>
        <w:t xml:space="preserve">and </w:t>
      </w:r>
      <w:r>
        <w:rPr>
          <w:rFonts w:eastAsia="SimSun"/>
        </w:rPr>
        <w:t xml:space="preserve">when Microsoft begins to take service under Schedule 451.  PSE has proposed in the Retail Wheeling Docket that the remaining PSE customers receive 100 percent of the benefits of this charge with the expectation that these customers will also absorb 100 percent of the </w:t>
      </w:r>
      <w:r w:rsidR="00141820">
        <w:rPr>
          <w:rFonts w:eastAsia="SimSun"/>
        </w:rPr>
        <w:t>stranded</w:t>
      </w:r>
      <w:r>
        <w:rPr>
          <w:rFonts w:eastAsia="SimSun"/>
        </w:rPr>
        <w:t xml:space="preserve"> power costs that served as the justification for this charge.  </w:t>
      </w:r>
    </w:p>
    <w:p w:rsidR="00711ECD" w:rsidRPr="009075DC" w:rsidRDefault="00711ECD" w:rsidP="00711ECD">
      <w:pPr>
        <w:pStyle w:val="question"/>
        <w:widowControl w:val="0"/>
        <w:rPr>
          <w:rFonts w:eastAsia="SimSun"/>
        </w:rPr>
      </w:pPr>
      <w:r w:rsidRPr="009075DC">
        <w:rPr>
          <w:rFonts w:eastAsia="SimSun"/>
        </w:rPr>
        <w:t>Q.</w:t>
      </w:r>
      <w:r w:rsidRPr="009075DC">
        <w:rPr>
          <w:rFonts w:eastAsia="SimSun"/>
        </w:rPr>
        <w:tab/>
      </w:r>
      <w:r>
        <w:rPr>
          <w:rFonts w:eastAsia="SimSun"/>
        </w:rPr>
        <w:t xml:space="preserve">What is the implication </w:t>
      </w:r>
      <w:r w:rsidR="00141820">
        <w:rPr>
          <w:rFonts w:eastAsia="SimSun"/>
        </w:rPr>
        <w:t>i</w:t>
      </w:r>
      <w:r>
        <w:rPr>
          <w:rFonts w:eastAsia="SimSun"/>
        </w:rPr>
        <w:t>f the contingent calculations are not allowed to go into effect if or when Microsoft begins to take service under the proposed Schedule 451?</w:t>
      </w:r>
    </w:p>
    <w:p w:rsidR="00711ECD" w:rsidRPr="009075DC" w:rsidRDefault="00711ECD" w:rsidP="00711ECD">
      <w:pPr>
        <w:pStyle w:val="answer"/>
        <w:widowControl w:val="0"/>
        <w:rPr>
          <w:rFonts w:eastAsia="SimSun"/>
        </w:rPr>
      </w:pPr>
      <w:r w:rsidRPr="009075DC">
        <w:rPr>
          <w:rFonts w:eastAsia="SimSun"/>
        </w:rPr>
        <w:t>A.</w:t>
      </w:r>
      <w:r w:rsidRPr="009075DC">
        <w:rPr>
          <w:rFonts w:eastAsia="SimSun"/>
        </w:rPr>
        <w:tab/>
      </w:r>
      <w:r>
        <w:rPr>
          <w:rFonts w:eastAsia="SimSun"/>
        </w:rPr>
        <w:t xml:space="preserve">If no allowance is made in this proceeding to simultaneously reflect the stranded power costs in this rate proceeding with the timing of Microsoft beginning to take service under the proposed Schedule 451, then PSE will propose that a portion of the Power Supply Stranded Cost Charge be retained by PSE shareholders to compensate for the recovery of stranded costs that are not being borne by remaining PSE customers. </w:t>
      </w:r>
    </w:p>
    <w:p w:rsidR="00711ECD" w:rsidRPr="009075DC" w:rsidRDefault="00711ECD" w:rsidP="00711ECD">
      <w:pPr>
        <w:pStyle w:val="question"/>
        <w:widowControl w:val="0"/>
        <w:rPr>
          <w:rFonts w:eastAsia="SimSun"/>
        </w:rPr>
      </w:pPr>
      <w:r w:rsidRPr="009075DC">
        <w:rPr>
          <w:rFonts w:eastAsia="SimSun"/>
        </w:rPr>
        <w:t>Q.</w:t>
      </w:r>
      <w:r w:rsidRPr="009075DC">
        <w:rPr>
          <w:rFonts w:eastAsia="SimSun"/>
        </w:rPr>
        <w:tab/>
      </w:r>
      <w:r>
        <w:rPr>
          <w:rFonts w:eastAsia="SimSun"/>
        </w:rPr>
        <w:t>Please briefly described how these contingent calculations will be performed</w:t>
      </w:r>
      <w:r w:rsidRPr="009075DC">
        <w:rPr>
          <w:rFonts w:eastAsia="SimSun"/>
        </w:rPr>
        <w:t>.</w:t>
      </w:r>
    </w:p>
    <w:p w:rsidR="00711ECD" w:rsidRDefault="00711ECD" w:rsidP="00711ECD">
      <w:pPr>
        <w:pStyle w:val="answer"/>
        <w:widowControl w:val="0"/>
        <w:rPr>
          <w:rFonts w:eastAsia="SimSun"/>
        </w:rPr>
      </w:pPr>
      <w:r w:rsidRPr="009075DC">
        <w:rPr>
          <w:rFonts w:eastAsia="SimSun"/>
        </w:rPr>
        <w:lastRenderedPageBreak/>
        <w:t>A.</w:t>
      </w:r>
      <w:r w:rsidRPr="009075DC">
        <w:rPr>
          <w:rFonts w:eastAsia="SimSun"/>
        </w:rPr>
        <w:tab/>
      </w:r>
      <w:r>
        <w:rPr>
          <w:rFonts w:eastAsia="SimSun"/>
        </w:rPr>
        <w:t xml:space="preserve">The calculations will be relatively simple.  For PSE’s Power Cost Adjustment (“PCA”) mechanism, the PCA </w:t>
      </w:r>
      <w:r w:rsidR="00C854E1">
        <w:rPr>
          <w:rFonts w:eastAsia="SimSun"/>
        </w:rPr>
        <w:t xml:space="preserve">baseline </w:t>
      </w:r>
      <w:r>
        <w:rPr>
          <w:rFonts w:eastAsia="SimSun"/>
        </w:rPr>
        <w:t xml:space="preserve">rate will be calculated once including Microsoft’s load as being served under Schedule 40 (i.e., the status quo) and alternatively reflecting this load being served under the proposed Schedule 451 (i.e., where Microsoft no longer pays PSE for power supply).  These calculations will be explained in more detail </w:t>
      </w:r>
      <w:r w:rsidR="00C854E1">
        <w:rPr>
          <w:rFonts w:eastAsia="SimSun"/>
        </w:rPr>
        <w:t>when power costs are updated during the course of</w:t>
      </w:r>
      <w:r>
        <w:rPr>
          <w:rFonts w:eastAsia="SimSun"/>
        </w:rPr>
        <w:t xml:space="preserve"> this case.</w:t>
      </w:r>
    </w:p>
    <w:p w:rsidR="00711ECD" w:rsidRDefault="00711ECD" w:rsidP="00711ECD">
      <w:pPr>
        <w:pStyle w:val="answer"/>
        <w:widowControl w:val="0"/>
        <w:ind w:firstLine="0"/>
        <w:rPr>
          <w:rFonts w:eastAsia="SimSun"/>
        </w:rPr>
      </w:pPr>
      <w:r>
        <w:rPr>
          <w:rFonts w:eastAsia="SimSun"/>
        </w:rPr>
        <w:t xml:space="preserve">Similarly, for PSE’s electric decoupling mechanism, the allowed </w:t>
      </w:r>
      <w:r w:rsidR="00AB6B68">
        <w:rPr>
          <w:rFonts w:eastAsia="SimSun"/>
        </w:rPr>
        <w:t xml:space="preserve">delivery and </w:t>
      </w:r>
      <w:r>
        <w:rPr>
          <w:rFonts w:eastAsia="SimSun"/>
        </w:rPr>
        <w:t xml:space="preserve">fixed power cost revenue per customer </w:t>
      </w:r>
      <w:r w:rsidR="00AB6B68">
        <w:rPr>
          <w:rFonts w:eastAsia="SimSun"/>
        </w:rPr>
        <w:t xml:space="preserve">used to calculate allowed revenue and the volumetric delivery and fixed power cost revenue per units rates used to calculate actual revenue </w:t>
      </w:r>
      <w:r>
        <w:rPr>
          <w:rFonts w:eastAsia="SimSun"/>
        </w:rPr>
        <w:t>will be alternatively calculated with Microsoft’s load alternatively assumed to be served under Schedule 40 or the proposed Schedule 451</w:t>
      </w:r>
      <w:r w:rsidRPr="009075DC">
        <w:rPr>
          <w:rFonts w:eastAsia="SimSun"/>
        </w:rPr>
        <w:t>.</w:t>
      </w:r>
      <w:r>
        <w:rPr>
          <w:rFonts w:eastAsia="SimSun"/>
        </w:rPr>
        <w:t xml:space="preserve">  These decoupling calculations are explained in greater detail later in this testimony.</w:t>
      </w:r>
    </w:p>
    <w:p w:rsidR="00DD1DCF" w:rsidRPr="009075DC" w:rsidRDefault="00DD1DCF" w:rsidP="00DD1DCF">
      <w:pPr>
        <w:pStyle w:val="question"/>
        <w:widowControl w:val="0"/>
        <w:rPr>
          <w:rFonts w:eastAsia="SimSun"/>
        </w:rPr>
      </w:pPr>
      <w:r w:rsidRPr="009075DC">
        <w:rPr>
          <w:rFonts w:eastAsia="SimSun"/>
        </w:rPr>
        <w:t>Q.</w:t>
      </w:r>
      <w:r w:rsidRPr="009075DC">
        <w:rPr>
          <w:rFonts w:eastAsia="SimSun"/>
        </w:rPr>
        <w:tab/>
      </w:r>
      <w:r w:rsidR="002555BD">
        <w:rPr>
          <w:rFonts w:eastAsia="SimSun"/>
        </w:rPr>
        <w:t>Has PSE calculated the electric decoupling allowed revenue per customer with Microsoft’s load removed from Schedule 40?</w:t>
      </w:r>
    </w:p>
    <w:p w:rsidR="00DD1DCF" w:rsidRDefault="00DD1DCF" w:rsidP="00DD1DCF">
      <w:pPr>
        <w:pStyle w:val="answer"/>
        <w:widowControl w:val="0"/>
        <w:rPr>
          <w:rFonts w:eastAsia="SimSun"/>
        </w:rPr>
      </w:pPr>
      <w:r w:rsidRPr="009075DC">
        <w:rPr>
          <w:rFonts w:eastAsia="SimSun"/>
        </w:rPr>
        <w:t>A.</w:t>
      </w:r>
      <w:r w:rsidRPr="009075DC">
        <w:rPr>
          <w:rFonts w:eastAsia="SimSun"/>
        </w:rPr>
        <w:tab/>
      </w:r>
      <w:r w:rsidR="002555BD">
        <w:rPr>
          <w:rFonts w:eastAsia="SimSun"/>
        </w:rPr>
        <w:t>Yes, this analysis is provided in Exhibit No.____(JAP-</w:t>
      </w:r>
      <w:r w:rsidR="002555BD">
        <w:rPr>
          <w:rFonts w:eastAsia="SimSun"/>
        </w:rPr>
        <w:fldChar w:fldCharType="begin"/>
      </w:r>
      <w:r w:rsidR="002555BD">
        <w:rPr>
          <w:rFonts w:eastAsia="SimSun"/>
        </w:rPr>
        <w:instrText xml:space="preserve"> REF _Ref471033491 \r \h </w:instrText>
      </w:r>
      <w:r w:rsidR="002555BD">
        <w:rPr>
          <w:rFonts w:eastAsia="SimSun"/>
        </w:rPr>
      </w:r>
      <w:r w:rsidR="002555BD">
        <w:rPr>
          <w:rFonts w:eastAsia="SimSun"/>
        </w:rPr>
        <w:fldChar w:fldCharType="separate"/>
      </w:r>
      <w:r w:rsidR="0035666C">
        <w:rPr>
          <w:rFonts w:eastAsia="SimSun"/>
        </w:rPr>
        <w:t>33</w:t>
      </w:r>
      <w:r w:rsidR="002555BD">
        <w:rPr>
          <w:rFonts w:eastAsia="SimSun"/>
        </w:rPr>
        <w:fldChar w:fldCharType="end"/>
      </w:r>
      <w:r w:rsidR="00F43E9B">
        <w:rPr>
          <w:rFonts w:eastAsia="SimSun"/>
        </w:rPr>
        <w:t>C</w:t>
      </w:r>
      <w:r w:rsidR="002555BD">
        <w:rPr>
          <w:rFonts w:eastAsia="SimSun"/>
        </w:rPr>
        <w:t>).  This exhibit mirrors the analysis in Exhibit No.___(JAP-</w:t>
      </w:r>
      <w:r w:rsidR="002555BD">
        <w:rPr>
          <w:rFonts w:eastAsia="SimSun"/>
        </w:rPr>
        <w:fldChar w:fldCharType="begin"/>
      </w:r>
      <w:r w:rsidR="002555BD">
        <w:rPr>
          <w:rFonts w:eastAsia="SimSun"/>
        </w:rPr>
        <w:instrText xml:space="preserve"> REF _Ref442873130 \r \h </w:instrText>
      </w:r>
      <w:r w:rsidR="002555BD">
        <w:rPr>
          <w:rFonts w:eastAsia="SimSun"/>
        </w:rPr>
      </w:r>
      <w:r w:rsidR="002555BD">
        <w:rPr>
          <w:rFonts w:eastAsia="SimSun"/>
        </w:rPr>
        <w:fldChar w:fldCharType="separate"/>
      </w:r>
      <w:r w:rsidR="0035666C">
        <w:rPr>
          <w:rFonts w:eastAsia="SimSun"/>
        </w:rPr>
        <w:t>30</w:t>
      </w:r>
      <w:r w:rsidR="002555BD">
        <w:rPr>
          <w:rFonts w:eastAsia="SimSun"/>
        </w:rPr>
        <w:fldChar w:fldCharType="end"/>
      </w:r>
      <w:r w:rsidR="002555BD">
        <w:rPr>
          <w:rFonts w:eastAsia="SimSun"/>
        </w:rPr>
        <w:t>), but without the Microsoft load</w:t>
      </w:r>
      <w:r w:rsidRPr="004807DC">
        <w:rPr>
          <w:rFonts w:eastAsia="SimSun"/>
        </w:rPr>
        <w:t>.</w:t>
      </w:r>
      <w:r w:rsidR="002555BD">
        <w:rPr>
          <w:rFonts w:eastAsia="SimSun"/>
        </w:rPr>
        <w:t xml:space="preserve">  As expected, the results on page 2 of Exhibit No.___(JAP-</w:t>
      </w:r>
      <w:r w:rsidR="002555BD">
        <w:rPr>
          <w:rFonts w:eastAsia="SimSun"/>
        </w:rPr>
        <w:fldChar w:fldCharType="begin"/>
      </w:r>
      <w:r w:rsidR="002555BD">
        <w:rPr>
          <w:rFonts w:eastAsia="SimSun"/>
        </w:rPr>
        <w:instrText xml:space="preserve"> REF _Ref471033491 \r \h </w:instrText>
      </w:r>
      <w:r w:rsidR="002555BD">
        <w:rPr>
          <w:rFonts w:eastAsia="SimSun"/>
        </w:rPr>
      </w:r>
      <w:r w:rsidR="002555BD">
        <w:rPr>
          <w:rFonts w:eastAsia="SimSun"/>
        </w:rPr>
        <w:fldChar w:fldCharType="separate"/>
      </w:r>
      <w:r w:rsidR="0035666C">
        <w:rPr>
          <w:rFonts w:eastAsia="SimSun"/>
        </w:rPr>
        <w:t>33</w:t>
      </w:r>
      <w:r w:rsidR="002555BD">
        <w:rPr>
          <w:rFonts w:eastAsia="SimSun"/>
        </w:rPr>
        <w:fldChar w:fldCharType="end"/>
      </w:r>
      <w:r w:rsidR="00F43E9B">
        <w:rPr>
          <w:rFonts w:eastAsia="SimSun"/>
        </w:rPr>
        <w:t>C</w:t>
      </w:r>
      <w:r w:rsidR="002555BD">
        <w:rPr>
          <w:rFonts w:eastAsia="SimSun"/>
        </w:rPr>
        <w:t xml:space="preserve">) show that the allowed “Fixed Power Cost Revenue Per Customers” increases for all the remaining customers as the stranded costs are shifted to these customers.  </w:t>
      </w:r>
    </w:p>
    <w:p w:rsidR="00B45BFA" w:rsidRDefault="00B45BFA" w:rsidP="00DD1DCF">
      <w:pPr>
        <w:pStyle w:val="answer"/>
        <w:widowControl w:val="0"/>
        <w:rPr>
          <w:rFonts w:eastAsia="SimSun"/>
          <w:b/>
        </w:rPr>
      </w:pPr>
    </w:p>
    <w:p w:rsidR="00DD1DCF" w:rsidRPr="004807DC" w:rsidRDefault="00DD1DCF" w:rsidP="00DD1DCF">
      <w:pPr>
        <w:pStyle w:val="answer"/>
        <w:widowControl w:val="0"/>
        <w:rPr>
          <w:rFonts w:eastAsia="SimSun"/>
          <w:b/>
        </w:rPr>
      </w:pPr>
      <w:r w:rsidRPr="004807DC">
        <w:rPr>
          <w:rFonts w:eastAsia="SimSun"/>
          <w:b/>
        </w:rPr>
        <w:lastRenderedPageBreak/>
        <w:t>Q.</w:t>
      </w:r>
      <w:r w:rsidRPr="004807DC">
        <w:rPr>
          <w:rFonts w:eastAsia="SimSun"/>
          <w:b/>
        </w:rPr>
        <w:tab/>
      </w:r>
      <w:r w:rsidR="002555BD">
        <w:rPr>
          <w:rFonts w:eastAsia="SimSun"/>
          <w:b/>
        </w:rPr>
        <w:t>When does PSE propose that the allowed revenue in Exhibit No.___(JAP-</w:t>
      </w:r>
      <w:r w:rsidR="002555BD">
        <w:rPr>
          <w:rFonts w:eastAsia="SimSun"/>
          <w:b/>
        </w:rPr>
        <w:fldChar w:fldCharType="begin"/>
      </w:r>
      <w:r w:rsidR="002555BD">
        <w:rPr>
          <w:rFonts w:eastAsia="SimSun"/>
          <w:b/>
        </w:rPr>
        <w:instrText xml:space="preserve"> REF _Ref471033491 \r \h </w:instrText>
      </w:r>
      <w:r w:rsidR="002555BD">
        <w:rPr>
          <w:rFonts w:eastAsia="SimSun"/>
          <w:b/>
        </w:rPr>
      </w:r>
      <w:r w:rsidR="002555BD">
        <w:rPr>
          <w:rFonts w:eastAsia="SimSun"/>
          <w:b/>
        </w:rPr>
        <w:fldChar w:fldCharType="separate"/>
      </w:r>
      <w:r w:rsidR="0035666C">
        <w:rPr>
          <w:rFonts w:eastAsia="SimSun"/>
          <w:b/>
        </w:rPr>
        <w:t>33</w:t>
      </w:r>
      <w:r w:rsidR="002555BD">
        <w:rPr>
          <w:rFonts w:eastAsia="SimSun"/>
          <w:b/>
        </w:rPr>
        <w:fldChar w:fldCharType="end"/>
      </w:r>
      <w:r w:rsidR="00F43E9B">
        <w:rPr>
          <w:rFonts w:eastAsia="SimSun"/>
          <w:b/>
        </w:rPr>
        <w:t>C</w:t>
      </w:r>
      <w:r w:rsidR="002555BD">
        <w:rPr>
          <w:rFonts w:eastAsia="SimSun"/>
          <w:b/>
        </w:rPr>
        <w:t>) take effect</w:t>
      </w:r>
      <w:r w:rsidRPr="004807DC">
        <w:rPr>
          <w:rFonts w:eastAsia="SimSun"/>
          <w:b/>
        </w:rPr>
        <w:t>?</w:t>
      </w:r>
    </w:p>
    <w:p w:rsidR="00DD1DCF" w:rsidRDefault="00DD1DCF" w:rsidP="00DD1DCF">
      <w:pPr>
        <w:pStyle w:val="answer"/>
        <w:widowControl w:val="0"/>
        <w:rPr>
          <w:rFonts w:eastAsia="SimSun"/>
        </w:rPr>
      </w:pPr>
      <w:r w:rsidRPr="009075DC">
        <w:rPr>
          <w:rFonts w:eastAsia="SimSun"/>
        </w:rPr>
        <w:t>A.</w:t>
      </w:r>
      <w:r w:rsidRPr="009075DC">
        <w:rPr>
          <w:rFonts w:eastAsia="SimSun"/>
        </w:rPr>
        <w:tab/>
      </w:r>
      <w:r w:rsidR="002555BD">
        <w:rPr>
          <w:rFonts w:eastAsia="SimSun"/>
        </w:rPr>
        <w:t>PSE proposes that</w:t>
      </w:r>
      <w:r w:rsidR="00F43E9B">
        <w:rPr>
          <w:rFonts w:eastAsia="SimSun"/>
        </w:rPr>
        <w:t xml:space="preserve"> the allowed revenue per customer calculated in this exhibit</w:t>
      </w:r>
      <w:r w:rsidR="002555BD">
        <w:rPr>
          <w:rFonts w:eastAsia="SimSun"/>
        </w:rPr>
        <w:t xml:space="preserve"> take effect as part of a compliance filing </w:t>
      </w:r>
      <w:r w:rsidR="00282FFC">
        <w:rPr>
          <w:rFonts w:eastAsia="SimSun"/>
        </w:rPr>
        <w:t xml:space="preserve">at the time Microsoft begins taking service under Schedule 451.  The effective date </w:t>
      </w:r>
      <w:r w:rsidR="00572A1B">
        <w:rPr>
          <w:rFonts w:eastAsia="SimSun"/>
        </w:rPr>
        <w:t xml:space="preserve">for </w:t>
      </w:r>
      <w:r w:rsidR="00F2608F">
        <w:rPr>
          <w:rFonts w:eastAsia="SimSun"/>
        </w:rPr>
        <w:t>these new allowed revenue</w:t>
      </w:r>
      <w:r w:rsidR="00572A1B">
        <w:rPr>
          <w:rFonts w:eastAsia="SimSun"/>
        </w:rPr>
        <w:t>s</w:t>
      </w:r>
      <w:r w:rsidR="00282FFC">
        <w:rPr>
          <w:rFonts w:eastAsia="SimSun"/>
        </w:rPr>
        <w:t xml:space="preserve"> would be contemporaneous with the date on which PSE’s alternate PCA </w:t>
      </w:r>
      <w:r w:rsidR="00093C4A">
        <w:rPr>
          <w:rFonts w:eastAsia="SimSun"/>
        </w:rPr>
        <w:t xml:space="preserve">baseline </w:t>
      </w:r>
      <w:r w:rsidR="00282FFC">
        <w:rPr>
          <w:rFonts w:eastAsia="SimSun"/>
        </w:rPr>
        <w:t>rate (discussed above) and stranded cost rate credit to remaining customers through Schedule 137 take effect</w:t>
      </w:r>
      <w:r w:rsidRPr="009075DC">
        <w:rPr>
          <w:rFonts w:eastAsia="SimSun"/>
        </w:rPr>
        <w:t>.</w:t>
      </w:r>
      <w:r w:rsidR="0045400D">
        <w:rPr>
          <w:rFonts w:eastAsia="SimSun"/>
        </w:rPr>
        <w:t xml:space="preserve">  Sett</w:t>
      </w:r>
      <w:r w:rsidR="00282FFC">
        <w:rPr>
          <w:rFonts w:eastAsia="SimSun"/>
        </w:rPr>
        <w:t xml:space="preserve">ing all of these rates to go into effect at the same time allows customers to receive their credit associated with Microsoft’s stranded cost payment at the same time </w:t>
      </w:r>
      <w:r w:rsidR="0045400D">
        <w:rPr>
          <w:rFonts w:eastAsia="SimSun"/>
        </w:rPr>
        <w:t>they absorb</w:t>
      </w:r>
      <w:r w:rsidR="00282FFC">
        <w:rPr>
          <w:rFonts w:eastAsia="SimSun"/>
        </w:rPr>
        <w:t xml:space="preserve"> </w:t>
      </w:r>
      <w:r w:rsidR="00F2608F">
        <w:rPr>
          <w:rFonts w:eastAsia="SimSun"/>
        </w:rPr>
        <w:t xml:space="preserve">into their rates </w:t>
      </w:r>
      <w:r w:rsidR="00282FFC">
        <w:rPr>
          <w:rFonts w:eastAsia="SimSun"/>
        </w:rPr>
        <w:t>the underlying increase in power cost that result from Microsoft taking service under Schedule 451.</w:t>
      </w:r>
    </w:p>
    <w:p w:rsidR="00282FFC" w:rsidRPr="009075DC" w:rsidRDefault="00282FFC" w:rsidP="00282FFC">
      <w:pPr>
        <w:pStyle w:val="question"/>
        <w:widowControl w:val="0"/>
        <w:rPr>
          <w:rFonts w:eastAsia="SimSun"/>
        </w:rPr>
      </w:pPr>
      <w:r w:rsidRPr="009075DC">
        <w:rPr>
          <w:rFonts w:eastAsia="SimSun"/>
        </w:rPr>
        <w:t>Q.</w:t>
      </w:r>
      <w:r w:rsidRPr="009075DC">
        <w:rPr>
          <w:rFonts w:eastAsia="SimSun"/>
        </w:rPr>
        <w:tab/>
      </w:r>
      <w:r>
        <w:rPr>
          <w:rFonts w:eastAsia="SimSun"/>
        </w:rPr>
        <w:t>When will this compliance filing occur?</w:t>
      </w:r>
    </w:p>
    <w:p w:rsidR="00282FFC" w:rsidRDefault="00282FFC" w:rsidP="00282FFC">
      <w:pPr>
        <w:pStyle w:val="answer"/>
        <w:widowControl w:val="0"/>
        <w:rPr>
          <w:rFonts w:eastAsia="SimSun"/>
        </w:rPr>
      </w:pPr>
      <w:r w:rsidRPr="009075DC">
        <w:rPr>
          <w:rFonts w:eastAsia="SimSun"/>
        </w:rPr>
        <w:t>A.</w:t>
      </w:r>
      <w:r w:rsidRPr="009075DC">
        <w:rPr>
          <w:rFonts w:eastAsia="SimSun"/>
        </w:rPr>
        <w:tab/>
      </w:r>
      <w:r>
        <w:rPr>
          <w:rFonts w:eastAsia="SimSun"/>
        </w:rPr>
        <w:t xml:space="preserve">It will occur shortly after Microsoft is ready, willing and able to begin taking service under Schedule 451, which of course will first require approval of this </w:t>
      </w:r>
      <w:r w:rsidR="00093C4A">
        <w:rPr>
          <w:rFonts w:eastAsia="SimSun"/>
        </w:rPr>
        <w:t xml:space="preserve">tariff </w:t>
      </w:r>
      <w:r>
        <w:rPr>
          <w:rFonts w:eastAsia="SimSun"/>
        </w:rPr>
        <w:t>schedule by the Commission</w:t>
      </w:r>
      <w:r w:rsidRPr="004807DC">
        <w:rPr>
          <w:rFonts w:eastAsia="SimSun"/>
        </w:rPr>
        <w:t>.</w:t>
      </w:r>
      <w:r>
        <w:rPr>
          <w:rFonts w:eastAsia="SimSun"/>
        </w:rPr>
        <w:t xml:space="preserve">  It will also require certain necessary operational conditions</w:t>
      </w:r>
      <w:r w:rsidR="00433CB2">
        <w:rPr>
          <w:rFonts w:eastAsia="SimSun"/>
        </w:rPr>
        <w:t xml:space="preserve"> </w:t>
      </w:r>
      <w:r w:rsidR="00BF4C8F">
        <w:rPr>
          <w:rFonts w:eastAsia="SimSun"/>
        </w:rPr>
        <w:t xml:space="preserve">to be </w:t>
      </w:r>
      <w:r>
        <w:rPr>
          <w:rFonts w:eastAsia="SimSun"/>
        </w:rPr>
        <w:t>met (e.g., for Microsoft to secure an alternative power supply arrangement, obtain transmission service, install required metering, etc.).  It is unclear at this time when all of these necessary conditions will be met</w:t>
      </w:r>
    </w:p>
    <w:p w:rsidR="00282FFC" w:rsidRPr="009075DC" w:rsidRDefault="00282FFC" w:rsidP="00282FFC">
      <w:pPr>
        <w:pStyle w:val="question"/>
        <w:widowControl w:val="0"/>
        <w:rPr>
          <w:rFonts w:eastAsia="SimSun"/>
        </w:rPr>
      </w:pPr>
      <w:r w:rsidRPr="009075DC">
        <w:rPr>
          <w:rFonts w:eastAsia="SimSun"/>
        </w:rPr>
        <w:t>Q.</w:t>
      </w:r>
      <w:r w:rsidRPr="009075DC">
        <w:rPr>
          <w:rFonts w:eastAsia="SimSun"/>
        </w:rPr>
        <w:tab/>
      </w:r>
      <w:r>
        <w:rPr>
          <w:rFonts w:eastAsia="SimSun"/>
        </w:rPr>
        <w:t xml:space="preserve">Why shouldn’t the Commission </w:t>
      </w:r>
      <w:r w:rsidR="00807DC6">
        <w:rPr>
          <w:rFonts w:eastAsia="SimSun"/>
        </w:rPr>
        <w:t xml:space="preserve">simply </w:t>
      </w:r>
      <w:r>
        <w:rPr>
          <w:rFonts w:eastAsia="SimSun"/>
        </w:rPr>
        <w:t xml:space="preserve">wait for those other conditions to be met before addressing the required changes to </w:t>
      </w:r>
      <w:r w:rsidR="00807DC6">
        <w:rPr>
          <w:rFonts w:eastAsia="SimSun"/>
        </w:rPr>
        <w:t xml:space="preserve">PSE’s </w:t>
      </w:r>
      <w:r>
        <w:rPr>
          <w:rFonts w:eastAsia="SimSun"/>
        </w:rPr>
        <w:t xml:space="preserve">PCA </w:t>
      </w:r>
      <w:r w:rsidR="00093C4A">
        <w:rPr>
          <w:rFonts w:eastAsia="SimSun"/>
        </w:rPr>
        <w:t xml:space="preserve">baseline </w:t>
      </w:r>
      <w:r w:rsidR="00807DC6">
        <w:rPr>
          <w:rFonts w:eastAsia="SimSun"/>
        </w:rPr>
        <w:t xml:space="preserve">rate </w:t>
      </w:r>
      <w:r>
        <w:rPr>
          <w:rFonts w:eastAsia="SimSun"/>
        </w:rPr>
        <w:t>and decoupling allowed revenue?</w:t>
      </w:r>
    </w:p>
    <w:p w:rsidR="00282FFC" w:rsidRDefault="00282FFC" w:rsidP="00282FFC">
      <w:pPr>
        <w:pStyle w:val="answer"/>
        <w:widowControl w:val="0"/>
        <w:rPr>
          <w:rFonts w:eastAsia="SimSun"/>
        </w:rPr>
      </w:pPr>
      <w:r w:rsidRPr="009075DC">
        <w:rPr>
          <w:rFonts w:eastAsia="SimSun"/>
        </w:rPr>
        <w:lastRenderedPageBreak/>
        <w:t>A.</w:t>
      </w:r>
      <w:r w:rsidRPr="009075DC">
        <w:rPr>
          <w:rFonts w:eastAsia="SimSun"/>
        </w:rPr>
        <w:tab/>
      </w:r>
      <w:r>
        <w:rPr>
          <w:rFonts w:eastAsia="SimSun"/>
        </w:rPr>
        <w:t xml:space="preserve">Doing so will unnecessarily lengthen the time </w:t>
      </w:r>
      <w:r w:rsidR="00807DC6">
        <w:rPr>
          <w:rFonts w:eastAsia="SimSun"/>
        </w:rPr>
        <w:t>at which</w:t>
      </w:r>
      <w:r>
        <w:rPr>
          <w:rFonts w:eastAsia="SimSun"/>
        </w:rPr>
        <w:t xml:space="preserve"> Microsoft </w:t>
      </w:r>
      <w:r w:rsidR="00807DC6">
        <w:rPr>
          <w:rFonts w:eastAsia="SimSun"/>
        </w:rPr>
        <w:t>can</w:t>
      </w:r>
      <w:r>
        <w:rPr>
          <w:rFonts w:eastAsia="SimSun"/>
        </w:rPr>
        <w:t xml:space="preserve"> begin taking service</w:t>
      </w:r>
      <w:r w:rsidR="00807DC6">
        <w:rPr>
          <w:rFonts w:eastAsia="SimSun"/>
        </w:rPr>
        <w:t xml:space="preserve"> under Schedule 451</w:t>
      </w:r>
      <w:r>
        <w:rPr>
          <w:rFonts w:eastAsia="SimSun"/>
        </w:rPr>
        <w:t xml:space="preserve"> or, as mentioned above, result in PSE’s shareholders unfairly incurring stranded costs for which no compensation would be made</w:t>
      </w:r>
      <w:r w:rsidRPr="004807DC">
        <w:rPr>
          <w:rFonts w:eastAsia="SimSun"/>
        </w:rPr>
        <w:t>.</w:t>
      </w:r>
      <w:r w:rsidR="00807DC6">
        <w:rPr>
          <w:rFonts w:eastAsia="SimSun"/>
        </w:rPr>
        <w:t xml:space="preserve">  PSE’s recovery of power costs will be materially impacted by the loss of Microsoft’s load.  So, it is imperative that this factor be addressed immediately in PSE’s rates upon Microsoft’s initiation of service under Schedule 451.  Moreover, since the data is already available to make these rate determinations in this case, there is nothing preventing the Commission from approving these rates contingent upon Microsoft taking service under Schedule 451 at some point after the conclusion of this case.  </w:t>
      </w:r>
    </w:p>
    <w:p w:rsidR="00373813" w:rsidRPr="00373813" w:rsidRDefault="00373813" w:rsidP="00282FFC">
      <w:pPr>
        <w:pStyle w:val="answer"/>
        <w:widowControl w:val="0"/>
        <w:rPr>
          <w:rFonts w:eastAsia="SimSun"/>
          <w:b/>
        </w:rPr>
      </w:pPr>
      <w:r w:rsidRPr="00373813">
        <w:rPr>
          <w:rFonts w:eastAsia="SimSun"/>
          <w:b/>
        </w:rPr>
        <w:t>Q.</w:t>
      </w:r>
      <w:r w:rsidRPr="00373813">
        <w:rPr>
          <w:rFonts w:eastAsia="SimSun"/>
          <w:b/>
        </w:rPr>
        <w:tab/>
        <w:t>PSE is proposing a new electric adjusting price Schedule 149 (Electric Cost Recovery Mechanism) in this case. Will this schedule apply to Schedule 451?</w:t>
      </w:r>
    </w:p>
    <w:p w:rsidR="00373813" w:rsidRDefault="00373813" w:rsidP="00282FFC">
      <w:pPr>
        <w:pStyle w:val="answer"/>
        <w:widowControl w:val="0"/>
        <w:rPr>
          <w:rFonts w:eastAsia="SimSun"/>
        </w:rPr>
      </w:pPr>
      <w:r>
        <w:rPr>
          <w:rFonts w:eastAsia="SimSun"/>
        </w:rPr>
        <w:t>A.</w:t>
      </w:r>
      <w:r>
        <w:rPr>
          <w:rFonts w:eastAsia="SimSun"/>
        </w:rPr>
        <w:tab/>
        <w:t>Yes, if both electric Schedule 451 and Schedule 149 are approved by this Commission, PSE proposes that customers served under Schedule 451 also be include among the applicable schedules within Schedule 149.  To the extent that costs recovered through Schedule 149 benefit customers served under Schedule 451, it is appropriate that these customers also contribute towards the underlying costs recovered through this schedule.</w:t>
      </w:r>
    </w:p>
    <w:p w:rsidR="00DD1DCF" w:rsidRPr="009075DC" w:rsidRDefault="00DD1DCF" w:rsidP="00DD1DCF">
      <w:pPr>
        <w:pStyle w:val="Heading1"/>
        <w:keepNext w:val="0"/>
        <w:keepLines w:val="0"/>
        <w:widowControl w:val="0"/>
        <w:rPr>
          <w:rFonts w:eastAsia="SimSun"/>
        </w:rPr>
      </w:pPr>
      <w:bookmarkStart w:id="187" w:name="_Toc471912990"/>
      <w:r>
        <w:rPr>
          <w:rFonts w:eastAsia="SimSun"/>
        </w:rPr>
        <w:t>XII</w:t>
      </w:r>
      <w:r w:rsidRPr="009075DC">
        <w:rPr>
          <w:rFonts w:eastAsia="SimSun"/>
        </w:rPr>
        <w:t>.</w:t>
      </w:r>
      <w:r w:rsidRPr="009075DC">
        <w:rPr>
          <w:rFonts w:eastAsia="SimSun"/>
        </w:rPr>
        <w:tab/>
      </w:r>
      <w:r>
        <w:rPr>
          <w:rFonts w:eastAsia="SimSun"/>
        </w:rPr>
        <w:t>COMPLIANCE FILING</w:t>
      </w:r>
      <w:bookmarkEnd w:id="187"/>
      <w:r>
        <w:rPr>
          <w:rFonts w:eastAsia="SimSun"/>
        </w:rPr>
        <w:t xml:space="preserve"> </w:t>
      </w:r>
    </w:p>
    <w:p w:rsidR="00807DC6" w:rsidRPr="009075DC" w:rsidRDefault="00807DC6" w:rsidP="00807DC6">
      <w:pPr>
        <w:pStyle w:val="question"/>
        <w:widowControl w:val="0"/>
        <w:rPr>
          <w:rFonts w:eastAsia="SimSun"/>
        </w:rPr>
      </w:pPr>
      <w:r w:rsidRPr="009075DC">
        <w:rPr>
          <w:rFonts w:eastAsia="SimSun"/>
        </w:rPr>
        <w:t>Q.</w:t>
      </w:r>
      <w:r w:rsidRPr="009075DC">
        <w:rPr>
          <w:rFonts w:eastAsia="SimSun"/>
        </w:rPr>
        <w:tab/>
      </w:r>
      <w:r w:rsidR="006A31F3">
        <w:rPr>
          <w:rFonts w:eastAsia="SimSun"/>
        </w:rPr>
        <w:t>Please summarize all of the rates that PSE intends to update in its compliance filing for this case</w:t>
      </w:r>
      <w:r>
        <w:rPr>
          <w:rFonts w:eastAsia="SimSun"/>
        </w:rPr>
        <w:t>.</w:t>
      </w:r>
    </w:p>
    <w:p w:rsidR="00807DC6" w:rsidRDefault="00807DC6" w:rsidP="00807DC6">
      <w:pPr>
        <w:pStyle w:val="answer"/>
        <w:widowControl w:val="0"/>
        <w:rPr>
          <w:rFonts w:eastAsia="SimSun"/>
        </w:rPr>
      </w:pPr>
      <w:r w:rsidRPr="009075DC">
        <w:rPr>
          <w:rFonts w:eastAsia="SimSun"/>
        </w:rPr>
        <w:lastRenderedPageBreak/>
        <w:t>A.</w:t>
      </w:r>
      <w:r w:rsidRPr="009075DC">
        <w:rPr>
          <w:rFonts w:eastAsia="SimSun"/>
        </w:rPr>
        <w:tab/>
      </w:r>
      <w:r w:rsidR="006A31F3">
        <w:rPr>
          <w:rFonts w:eastAsia="SimSun"/>
        </w:rPr>
        <w:t>The compliance filing in this case will include updates to all PSE base electric and natural gas rate schedules, as well as a host of adjusting price schedules</w:t>
      </w:r>
      <w:r w:rsidRPr="004807DC">
        <w:rPr>
          <w:rFonts w:eastAsia="SimSun"/>
        </w:rPr>
        <w:t>.</w:t>
      </w:r>
      <w:r w:rsidR="006A31F3">
        <w:rPr>
          <w:rFonts w:eastAsia="SimSun"/>
        </w:rPr>
        <w:t xml:space="preserve">  These adjusting price schedules that will be included in the compliance filing are as following:</w:t>
      </w:r>
    </w:p>
    <w:p w:rsidR="006A31F3" w:rsidRDefault="006A31F3" w:rsidP="006A31F3">
      <w:pPr>
        <w:pStyle w:val="answer"/>
        <w:widowControl w:val="0"/>
        <w:numPr>
          <w:ilvl w:val="0"/>
          <w:numId w:val="35"/>
        </w:numPr>
        <w:rPr>
          <w:rFonts w:eastAsia="SimSun"/>
        </w:rPr>
      </w:pPr>
      <w:r>
        <w:rPr>
          <w:rFonts w:eastAsia="SimSun"/>
        </w:rPr>
        <w:t>Electric Schedule 95 (Power Cost Adjustment Clause)</w:t>
      </w:r>
    </w:p>
    <w:p w:rsidR="006A31F3" w:rsidRDefault="006A31F3" w:rsidP="006A31F3">
      <w:pPr>
        <w:pStyle w:val="answer"/>
        <w:widowControl w:val="0"/>
        <w:numPr>
          <w:ilvl w:val="0"/>
          <w:numId w:val="35"/>
        </w:numPr>
        <w:rPr>
          <w:rFonts w:eastAsia="SimSun"/>
        </w:rPr>
      </w:pPr>
      <w:r>
        <w:rPr>
          <w:rFonts w:eastAsia="SimSun"/>
        </w:rPr>
        <w:t>Electric Schedule 141 (Expedited Rate Filing Rate Adjustment)</w:t>
      </w:r>
    </w:p>
    <w:p w:rsidR="006A31F3" w:rsidRDefault="006A31F3" w:rsidP="006A31F3">
      <w:pPr>
        <w:pStyle w:val="answer"/>
        <w:widowControl w:val="0"/>
        <w:numPr>
          <w:ilvl w:val="0"/>
          <w:numId w:val="35"/>
        </w:numPr>
        <w:rPr>
          <w:rFonts w:eastAsia="SimSun"/>
        </w:rPr>
      </w:pPr>
      <w:r>
        <w:rPr>
          <w:rFonts w:eastAsia="SimSun"/>
        </w:rPr>
        <w:t>Electric Schedule 142 (Revenue Decoupling Adjustment Mechanism)</w:t>
      </w:r>
    </w:p>
    <w:p w:rsidR="006A31F3" w:rsidRDefault="006A31F3" w:rsidP="006A31F3">
      <w:pPr>
        <w:pStyle w:val="answer"/>
        <w:widowControl w:val="0"/>
        <w:numPr>
          <w:ilvl w:val="0"/>
          <w:numId w:val="35"/>
        </w:numPr>
        <w:rPr>
          <w:rFonts w:eastAsia="SimSun"/>
        </w:rPr>
      </w:pPr>
      <w:r>
        <w:rPr>
          <w:rFonts w:eastAsia="SimSun"/>
        </w:rPr>
        <w:t>Electric Schedule 149 (Electric Cost Recovery Mechanism)</w:t>
      </w:r>
    </w:p>
    <w:p w:rsidR="006A31F3" w:rsidRDefault="006A31F3" w:rsidP="006A31F3">
      <w:pPr>
        <w:pStyle w:val="answer"/>
        <w:widowControl w:val="0"/>
        <w:numPr>
          <w:ilvl w:val="0"/>
          <w:numId w:val="35"/>
        </w:numPr>
        <w:rPr>
          <w:rFonts w:eastAsia="SimSun"/>
        </w:rPr>
      </w:pPr>
      <w:r>
        <w:rPr>
          <w:rFonts w:eastAsia="SimSun"/>
        </w:rPr>
        <w:t>Gas Schedule 141 (Expedited Rate Filing Rate Adjustment)</w:t>
      </w:r>
    </w:p>
    <w:p w:rsidR="006A31F3" w:rsidRDefault="006A31F3" w:rsidP="006A31F3">
      <w:pPr>
        <w:pStyle w:val="answer"/>
        <w:widowControl w:val="0"/>
        <w:numPr>
          <w:ilvl w:val="0"/>
          <w:numId w:val="35"/>
        </w:numPr>
        <w:rPr>
          <w:rFonts w:eastAsia="SimSun"/>
        </w:rPr>
      </w:pPr>
      <w:r>
        <w:rPr>
          <w:rFonts w:eastAsia="SimSun"/>
        </w:rPr>
        <w:t>Gas Schedule 142 (Revenue Decoupling Adjustment Mechanism)</w:t>
      </w:r>
    </w:p>
    <w:p w:rsidR="006A31F3" w:rsidRDefault="006A31F3" w:rsidP="006A31F3">
      <w:pPr>
        <w:pStyle w:val="answer"/>
        <w:widowControl w:val="0"/>
        <w:numPr>
          <w:ilvl w:val="0"/>
          <w:numId w:val="35"/>
        </w:numPr>
        <w:rPr>
          <w:rFonts w:eastAsia="SimSun"/>
        </w:rPr>
      </w:pPr>
      <w:r>
        <w:rPr>
          <w:rFonts w:eastAsia="SimSun"/>
        </w:rPr>
        <w:t>Gas Schedule 149 (Cost Recovery Mechanism for Pipeline Replacement)</w:t>
      </w:r>
    </w:p>
    <w:p w:rsidR="00807DC6" w:rsidRPr="004807DC" w:rsidRDefault="00807DC6" w:rsidP="00807DC6">
      <w:pPr>
        <w:pStyle w:val="answer"/>
        <w:widowControl w:val="0"/>
        <w:rPr>
          <w:rFonts w:eastAsia="SimSun"/>
          <w:b/>
        </w:rPr>
      </w:pPr>
      <w:r w:rsidRPr="004807DC">
        <w:rPr>
          <w:rFonts w:eastAsia="SimSun"/>
          <w:b/>
        </w:rPr>
        <w:t>Q.</w:t>
      </w:r>
      <w:r w:rsidRPr="004807DC">
        <w:rPr>
          <w:rFonts w:eastAsia="SimSun"/>
          <w:b/>
        </w:rPr>
        <w:tab/>
      </w:r>
      <w:r w:rsidR="006A31F3">
        <w:rPr>
          <w:rFonts w:eastAsia="SimSun"/>
          <w:b/>
        </w:rPr>
        <w:t>Have the proposed tariff sheets for these adjusting price schedules been included in this filing</w:t>
      </w:r>
      <w:r w:rsidRPr="004807DC">
        <w:rPr>
          <w:rFonts w:eastAsia="SimSun"/>
          <w:b/>
        </w:rPr>
        <w:t>?</w:t>
      </w:r>
    </w:p>
    <w:p w:rsidR="00807DC6" w:rsidRDefault="00807DC6" w:rsidP="00807DC6">
      <w:pPr>
        <w:pStyle w:val="answer"/>
        <w:widowControl w:val="0"/>
        <w:rPr>
          <w:rFonts w:eastAsia="SimSun"/>
        </w:rPr>
      </w:pPr>
      <w:r w:rsidRPr="009075DC">
        <w:rPr>
          <w:rFonts w:eastAsia="SimSun"/>
        </w:rPr>
        <w:t>A.</w:t>
      </w:r>
      <w:r w:rsidRPr="009075DC">
        <w:rPr>
          <w:rFonts w:eastAsia="SimSun"/>
        </w:rPr>
        <w:tab/>
      </w:r>
      <w:r w:rsidR="006A31F3">
        <w:rPr>
          <w:rFonts w:eastAsia="SimSun"/>
        </w:rPr>
        <w:t xml:space="preserve">The proposed changes to the electric </w:t>
      </w:r>
      <w:r w:rsidR="008033A1">
        <w:rPr>
          <w:rFonts w:eastAsia="SimSun"/>
        </w:rPr>
        <w:t xml:space="preserve">tariff sheets for the </w:t>
      </w:r>
      <w:r w:rsidR="006A31F3">
        <w:rPr>
          <w:rFonts w:eastAsia="SimSun"/>
        </w:rPr>
        <w:t>adjusting price schedules are included in Exhibit No.___(JAP-</w:t>
      </w:r>
      <w:r w:rsidR="006A31F3">
        <w:rPr>
          <w:rFonts w:eastAsia="SimSun"/>
        </w:rPr>
        <w:fldChar w:fldCharType="begin"/>
      </w:r>
      <w:r w:rsidR="006A31F3">
        <w:rPr>
          <w:rFonts w:eastAsia="SimSun"/>
        </w:rPr>
        <w:instrText xml:space="preserve"> REF _Ref441672816 \r \h </w:instrText>
      </w:r>
      <w:r w:rsidR="006A31F3">
        <w:rPr>
          <w:rFonts w:eastAsia="SimSun"/>
        </w:rPr>
      </w:r>
      <w:r w:rsidR="006A31F3">
        <w:rPr>
          <w:rFonts w:eastAsia="SimSun"/>
        </w:rPr>
        <w:fldChar w:fldCharType="separate"/>
      </w:r>
      <w:r w:rsidR="0035666C">
        <w:rPr>
          <w:rFonts w:eastAsia="SimSun"/>
        </w:rPr>
        <w:t>16</w:t>
      </w:r>
      <w:r w:rsidR="006A31F3">
        <w:rPr>
          <w:rFonts w:eastAsia="SimSun"/>
        </w:rPr>
        <w:fldChar w:fldCharType="end"/>
      </w:r>
      <w:r w:rsidR="006A31F3">
        <w:rPr>
          <w:rFonts w:eastAsia="SimSun"/>
        </w:rPr>
        <w:t>)</w:t>
      </w:r>
      <w:r w:rsidRPr="009075DC">
        <w:rPr>
          <w:rFonts w:eastAsia="SimSun"/>
        </w:rPr>
        <w:t>.</w:t>
      </w:r>
      <w:r w:rsidR="006A31F3">
        <w:rPr>
          <w:rFonts w:eastAsia="SimSun"/>
        </w:rPr>
        <w:t xml:space="preserve">  The proposed changes to the </w:t>
      </w:r>
      <w:r w:rsidR="00E423A8">
        <w:rPr>
          <w:rFonts w:eastAsia="SimSun"/>
        </w:rPr>
        <w:t>natural gas</w:t>
      </w:r>
      <w:r w:rsidR="008033A1">
        <w:rPr>
          <w:rFonts w:eastAsia="SimSun"/>
        </w:rPr>
        <w:t xml:space="preserve"> tariff sheets for the </w:t>
      </w:r>
      <w:r w:rsidR="006A31F3">
        <w:rPr>
          <w:rFonts w:eastAsia="SimSun"/>
        </w:rPr>
        <w:t>adjusting price schedules are included in Exhibit No.___(JAP-</w:t>
      </w:r>
      <w:r w:rsidR="006A31F3">
        <w:rPr>
          <w:rFonts w:eastAsia="SimSun"/>
        </w:rPr>
        <w:fldChar w:fldCharType="begin"/>
      </w:r>
      <w:r w:rsidR="006A31F3">
        <w:rPr>
          <w:rFonts w:eastAsia="SimSun"/>
        </w:rPr>
        <w:instrText xml:space="preserve"> REF _Ref441673197 \r \h </w:instrText>
      </w:r>
      <w:r w:rsidR="006A31F3">
        <w:rPr>
          <w:rFonts w:eastAsia="SimSun"/>
        </w:rPr>
      </w:r>
      <w:r w:rsidR="006A31F3">
        <w:rPr>
          <w:rFonts w:eastAsia="SimSun"/>
        </w:rPr>
        <w:fldChar w:fldCharType="separate"/>
      </w:r>
      <w:r w:rsidR="0035666C">
        <w:rPr>
          <w:rFonts w:eastAsia="SimSun"/>
        </w:rPr>
        <w:t>25</w:t>
      </w:r>
      <w:r w:rsidR="006A31F3">
        <w:rPr>
          <w:rFonts w:eastAsia="SimSun"/>
        </w:rPr>
        <w:fldChar w:fldCharType="end"/>
      </w:r>
      <w:r w:rsidR="006A31F3">
        <w:rPr>
          <w:rFonts w:eastAsia="SimSun"/>
        </w:rPr>
        <w:t>)</w:t>
      </w:r>
      <w:r w:rsidR="00E423A8">
        <w:rPr>
          <w:rFonts w:eastAsia="SimSun"/>
        </w:rPr>
        <w:t xml:space="preserve">, except for gas Schedule 149.  Since PSE is not proposing any structural changes to gas Schedule 149 and will only be updating the rates on this schedule based on the outcomes of its normal update next November 1 and the subsequent outcome of this general rate case, this schedule is not included among the tariff </w:t>
      </w:r>
      <w:r w:rsidR="00E423A8">
        <w:rPr>
          <w:rFonts w:eastAsia="SimSun"/>
        </w:rPr>
        <w:lastRenderedPageBreak/>
        <w:t>sheets in Exhibit No. ___(JAP-25).</w:t>
      </w:r>
      <w:r w:rsidR="006A31F3">
        <w:rPr>
          <w:rFonts w:eastAsia="SimSun"/>
        </w:rPr>
        <w:t xml:space="preserve">  </w:t>
      </w:r>
    </w:p>
    <w:p w:rsidR="00DD1DCF" w:rsidRPr="009075DC" w:rsidRDefault="00DD1DCF" w:rsidP="00DD1DCF">
      <w:pPr>
        <w:pStyle w:val="question"/>
        <w:widowControl w:val="0"/>
        <w:rPr>
          <w:rFonts w:eastAsia="SimSun"/>
        </w:rPr>
      </w:pPr>
      <w:r w:rsidRPr="009075DC">
        <w:rPr>
          <w:rFonts w:eastAsia="SimSun"/>
        </w:rPr>
        <w:t>Q.</w:t>
      </w:r>
      <w:r w:rsidRPr="009075DC">
        <w:rPr>
          <w:rFonts w:eastAsia="SimSun"/>
        </w:rPr>
        <w:tab/>
      </w:r>
      <w:r w:rsidR="006A31F3">
        <w:rPr>
          <w:rFonts w:eastAsia="SimSun"/>
        </w:rPr>
        <w:t>Have all of these tariff sheets been formally filed as part of this case?</w:t>
      </w:r>
    </w:p>
    <w:p w:rsidR="00DD1DCF" w:rsidRDefault="00DD1DCF" w:rsidP="00DD1DCF">
      <w:pPr>
        <w:pStyle w:val="answer"/>
        <w:widowControl w:val="0"/>
        <w:rPr>
          <w:rFonts w:eastAsia="SimSun"/>
        </w:rPr>
      </w:pPr>
      <w:r w:rsidRPr="009075DC">
        <w:rPr>
          <w:rFonts w:eastAsia="SimSun"/>
        </w:rPr>
        <w:t>A.</w:t>
      </w:r>
      <w:r w:rsidRPr="009075DC">
        <w:rPr>
          <w:rFonts w:eastAsia="SimSun"/>
        </w:rPr>
        <w:tab/>
      </w:r>
      <w:r w:rsidR="008033A1">
        <w:rPr>
          <w:rFonts w:eastAsia="SimSun"/>
        </w:rPr>
        <w:t xml:space="preserve">No.  Proposed changes to the </w:t>
      </w:r>
      <w:r w:rsidR="006A31F3">
        <w:rPr>
          <w:rFonts w:eastAsia="SimSun"/>
        </w:rPr>
        <w:t xml:space="preserve">electric and gas decoupling </w:t>
      </w:r>
      <w:r w:rsidR="008033A1">
        <w:rPr>
          <w:rFonts w:eastAsia="SimSun"/>
        </w:rPr>
        <w:t>adjusting price Schedule 142 have not been filed as part of this case and are only include</w:t>
      </w:r>
      <w:r w:rsidR="008F1DFD">
        <w:rPr>
          <w:rFonts w:eastAsia="SimSun"/>
        </w:rPr>
        <w:t>d</w:t>
      </w:r>
      <w:r w:rsidR="008033A1">
        <w:rPr>
          <w:rFonts w:eastAsia="SimSun"/>
        </w:rPr>
        <w:t xml:space="preserve"> in the above noted exhibits.  These schedules are on an annual filing schedule, for rates effective May 1 of each year.  So, it is administratively easier to present the changes in this case as exhibits to this testimony to avoid complications with the annual update filings that will occur later this year</w:t>
      </w:r>
      <w:r w:rsidRPr="004807DC">
        <w:rPr>
          <w:rFonts w:eastAsia="SimSun"/>
        </w:rPr>
        <w:t>.</w:t>
      </w:r>
    </w:p>
    <w:p w:rsidR="00A72C03" w:rsidRDefault="00A72C03" w:rsidP="00A72C03">
      <w:pPr>
        <w:pStyle w:val="answer"/>
        <w:widowControl w:val="0"/>
        <w:rPr>
          <w:rFonts w:eastAsia="SimSun"/>
        </w:rPr>
      </w:pPr>
      <w:r>
        <w:rPr>
          <w:rFonts w:eastAsia="SimSun"/>
        </w:rPr>
        <w:tab/>
        <w:t xml:space="preserve">For similar reasons, gas Schedule 149 also has not been filed as part of this case.  It is normally updated each year for rates effective November 1.  </w:t>
      </w:r>
    </w:p>
    <w:p w:rsidR="00DD1DCF" w:rsidRPr="004807DC" w:rsidRDefault="00DD1DCF" w:rsidP="00DD1DCF">
      <w:pPr>
        <w:pStyle w:val="answer"/>
        <w:widowControl w:val="0"/>
        <w:rPr>
          <w:rFonts w:eastAsia="SimSun"/>
          <w:b/>
        </w:rPr>
      </w:pPr>
      <w:r w:rsidRPr="004807DC">
        <w:rPr>
          <w:rFonts w:eastAsia="SimSun"/>
          <w:b/>
        </w:rPr>
        <w:t>Q.</w:t>
      </w:r>
      <w:r w:rsidRPr="004807DC">
        <w:rPr>
          <w:rFonts w:eastAsia="SimSun"/>
          <w:b/>
        </w:rPr>
        <w:tab/>
      </w:r>
      <w:r w:rsidR="008033A1">
        <w:rPr>
          <w:rFonts w:eastAsia="SimSun"/>
          <w:b/>
        </w:rPr>
        <w:t>Are there any other tariff schedules that will be impacted by the outcome of this general rate case</w:t>
      </w:r>
      <w:r w:rsidRPr="004807DC">
        <w:rPr>
          <w:rFonts w:eastAsia="SimSun"/>
          <w:b/>
        </w:rPr>
        <w:t>?</w:t>
      </w:r>
    </w:p>
    <w:p w:rsidR="008033A1" w:rsidRDefault="00DD1DCF" w:rsidP="00DD1DCF">
      <w:pPr>
        <w:pStyle w:val="answer"/>
        <w:widowControl w:val="0"/>
        <w:rPr>
          <w:rFonts w:eastAsia="SimSun"/>
        </w:rPr>
      </w:pPr>
      <w:r w:rsidRPr="009075DC">
        <w:rPr>
          <w:rFonts w:eastAsia="SimSun"/>
        </w:rPr>
        <w:t>A.</w:t>
      </w:r>
      <w:r w:rsidRPr="009075DC">
        <w:rPr>
          <w:rFonts w:eastAsia="SimSun"/>
        </w:rPr>
        <w:tab/>
      </w:r>
      <w:r w:rsidR="008033A1">
        <w:rPr>
          <w:rFonts w:eastAsia="SimSun"/>
        </w:rPr>
        <w:t>Yes.  There are several tariff sheets that rely on the results of the most current rate case.  These include the following:</w:t>
      </w:r>
    </w:p>
    <w:p w:rsidR="00DD1DCF" w:rsidRDefault="008033A1" w:rsidP="008033A1">
      <w:pPr>
        <w:pStyle w:val="answer"/>
        <w:widowControl w:val="0"/>
        <w:numPr>
          <w:ilvl w:val="0"/>
          <w:numId w:val="40"/>
        </w:numPr>
        <w:rPr>
          <w:rFonts w:eastAsia="SimSun"/>
        </w:rPr>
      </w:pPr>
      <w:r>
        <w:rPr>
          <w:rFonts w:eastAsia="SimSun"/>
        </w:rPr>
        <w:t>Electric Schedule 62 (Substation and Related Equipment Capacity),</w:t>
      </w:r>
    </w:p>
    <w:p w:rsidR="008033A1" w:rsidRDefault="008033A1" w:rsidP="008033A1">
      <w:pPr>
        <w:pStyle w:val="answer"/>
        <w:widowControl w:val="0"/>
        <w:numPr>
          <w:ilvl w:val="0"/>
          <w:numId w:val="40"/>
        </w:numPr>
        <w:jc w:val="both"/>
        <w:rPr>
          <w:rFonts w:eastAsia="SimSun"/>
        </w:rPr>
      </w:pPr>
      <w:r>
        <w:rPr>
          <w:rFonts w:eastAsia="SimSun"/>
        </w:rPr>
        <w:t>Electric Schedule 85 (Line Extensions &amp; Service Lines),</w:t>
      </w:r>
    </w:p>
    <w:p w:rsidR="00F2608F" w:rsidRDefault="00F2608F" w:rsidP="008033A1">
      <w:pPr>
        <w:pStyle w:val="answer"/>
        <w:widowControl w:val="0"/>
        <w:numPr>
          <w:ilvl w:val="0"/>
          <w:numId w:val="40"/>
        </w:numPr>
        <w:jc w:val="both"/>
        <w:rPr>
          <w:rFonts w:eastAsia="SimSun"/>
        </w:rPr>
      </w:pPr>
      <w:r>
        <w:rPr>
          <w:rFonts w:eastAsia="SimSun"/>
        </w:rPr>
        <w:t>Electric Schedule 87 (Income Tax Rider)</w:t>
      </w:r>
    </w:p>
    <w:p w:rsidR="008033A1" w:rsidRDefault="008033A1" w:rsidP="008033A1">
      <w:pPr>
        <w:pStyle w:val="answer"/>
        <w:widowControl w:val="0"/>
        <w:numPr>
          <w:ilvl w:val="0"/>
          <w:numId w:val="40"/>
        </w:numPr>
        <w:jc w:val="both"/>
        <w:rPr>
          <w:rFonts w:eastAsia="SimSun"/>
        </w:rPr>
      </w:pPr>
      <w:r>
        <w:rPr>
          <w:rFonts w:eastAsia="SimSun"/>
        </w:rPr>
        <w:t>Electric Schedule 139 (Voluntary Long-Term Renewable Energy Purchase Rider),</w:t>
      </w:r>
      <w:r w:rsidR="00A72C03">
        <w:rPr>
          <w:rFonts w:eastAsia="SimSun"/>
        </w:rPr>
        <w:t xml:space="preserve"> and</w:t>
      </w:r>
    </w:p>
    <w:p w:rsidR="008033A1" w:rsidRDefault="00A72C03" w:rsidP="008033A1">
      <w:pPr>
        <w:pStyle w:val="answer"/>
        <w:widowControl w:val="0"/>
        <w:numPr>
          <w:ilvl w:val="0"/>
          <w:numId w:val="40"/>
        </w:numPr>
        <w:jc w:val="both"/>
        <w:rPr>
          <w:rFonts w:eastAsia="SimSun"/>
        </w:rPr>
      </w:pPr>
      <w:r>
        <w:rPr>
          <w:rFonts w:eastAsia="SimSun"/>
        </w:rPr>
        <w:lastRenderedPageBreak/>
        <w:t xml:space="preserve">Gas Rule </w:t>
      </w:r>
      <w:r w:rsidR="00F2608F">
        <w:rPr>
          <w:rFonts w:eastAsia="SimSun"/>
        </w:rPr>
        <w:t xml:space="preserve">6 </w:t>
      </w:r>
      <w:r>
        <w:rPr>
          <w:rFonts w:eastAsia="SimSun"/>
        </w:rPr>
        <w:t>(Extension of Distribution Facilities).</w:t>
      </w:r>
      <w:r w:rsidR="00F2608F">
        <w:rPr>
          <w:rStyle w:val="FootnoteReference"/>
          <w:rFonts w:eastAsia="SimSun"/>
        </w:rPr>
        <w:footnoteReference w:id="55"/>
      </w:r>
    </w:p>
    <w:p w:rsidR="008033A1" w:rsidRPr="004807DC" w:rsidRDefault="008033A1" w:rsidP="008033A1">
      <w:pPr>
        <w:pStyle w:val="answer"/>
        <w:widowControl w:val="0"/>
        <w:rPr>
          <w:rFonts w:eastAsia="SimSun"/>
          <w:b/>
        </w:rPr>
      </w:pPr>
      <w:r w:rsidRPr="004807DC">
        <w:rPr>
          <w:rFonts w:eastAsia="SimSun"/>
          <w:b/>
        </w:rPr>
        <w:t>Q.</w:t>
      </w:r>
      <w:r w:rsidRPr="004807DC">
        <w:rPr>
          <w:rFonts w:eastAsia="SimSun"/>
          <w:b/>
        </w:rPr>
        <w:tab/>
      </w:r>
      <w:r w:rsidR="00A72C03">
        <w:rPr>
          <w:rFonts w:eastAsia="SimSun"/>
          <w:b/>
        </w:rPr>
        <w:t>When will these tariff revisions be filed with the Commission</w:t>
      </w:r>
      <w:r w:rsidRPr="004807DC">
        <w:rPr>
          <w:rFonts w:eastAsia="SimSun"/>
          <w:b/>
        </w:rPr>
        <w:t>?</w:t>
      </w:r>
    </w:p>
    <w:p w:rsidR="008033A1" w:rsidRDefault="008033A1" w:rsidP="008033A1">
      <w:pPr>
        <w:pStyle w:val="answer"/>
        <w:widowControl w:val="0"/>
        <w:rPr>
          <w:rFonts w:eastAsia="SimSun"/>
        </w:rPr>
      </w:pPr>
      <w:r w:rsidRPr="009075DC">
        <w:rPr>
          <w:rFonts w:eastAsia="SimSun"/>
        </w:rPr>
        <w:t>A.</w:t>
      </w:r>
      <w:r w:rsidRPr="009075DC">
        <w:rPr>
          <w:rFonts w:eastAsia="SimSun"/>
        </w:rPr>
        <w:tab/>
      </w:r>
      <w:r w:rsidR="00A72C03">
        <w:rPr>
          <w:rFonts w:eastAsia="SimSun"/>
        </w:rPr>
        <w:t>PSE intends to file these tariff revisions within 30 days of the effective date of new base rates resulting from this general rate case</w:t>
      </w:r>
      <w:r w:rsidRPr="009075DC">
        <w:rPr>
          <w:rFonts w:eastAsia="SimSun"/>
        </w:rPr>
        <w:t>.</w:t>
      </w:r>
    </w:p>
    <w:p w:rsidR="00F8418D" w:rsidRPr="009075DC" w:rsidRDefault="00A817DE" w:rsidP="005651E0">
      <w:pPr>
        <w:pStyle w:val="Heading1"/>
        <w:keepNext w:val="0"/>
        <w:keepLines w:val="0"/>
        <w:widowControl w:val="0"/>
        <w:rPr>
          <w:rFonts w:eastAsia="SimSun"/>
        </w:rPr>
      </w:pPr>
      <w:bookmarkStart w:id="188" w:name="_Toc471912991"/>
      <w:r>
        <w:rPr>
          <w:rFonts w:eastAsia="SimSun"/>
        </w:rPr>
        <w:t>X</w:t>
      </w:r>
      <w:r w:rsidR="00DD1DCF">
        <w:rPr>
          <w:rFonts w:eastAsia="SimSun"/>
        </w:rPr>
        <w:t>I</w:t>
      </w:r>
      <w:r w:rsidR="007D1FD1">
        <w:rPr>
          <w:rFonts w:eastAsia="SimSun"/>
        </w:rPr>
        <w:t>I</w:t>
      </w:r>
      <w:r w:rsidR="00B45BFA">
        <w:rPr>
          <w:rFonts w:eastAsia="SimSun"/>
        </w:rPr>
        <w:t>I</w:t>
      </w:r>
      <w:r w:rsidR="00F8418D" w:rsidRPr="009075DC">
        <w:rPr>
          <w:rFonts w:eastAsia="SimSun"/>
        </w:rPr>
        <w:t>.</w:t>
      </w:r>
      <w:r w:rsidR="00F8418D" w:rsidRPr="009075DC">
        <w:rPr>
          <w:rFonts w:eastAsia="SimSun"/>
        </w:rPr>
        <w:tab/>
        <w:t>CONCLUSION</w:t>
      </w:r>
      <w:bookmarkEnd w:id="186"/>
      <w:bookmarkEnd w:id="188"/>
    </w:p>
    <w:p w:rsidR="00F8418D" w:rsidRPr="009075DC" w:rsidRDefault="00F8418D" w:rsidP="005651E0">
      <w:pPr>
        <w:pStyle w:val="question"/>
        <w:widowControl w:val="0"/>
        <w:rPr>
          <w:rFonts w:eastAsia="SimSun"/>
        </w:rPr>
      </w:pPr>
      <w:r w:rsidRPr="009075DC">
        <w:rPr>
          <w:rFonts w:eastAsia="SimSun"/>
        </w:rPr>
        <w:t>Q.</w:t>
      </w:r>
      <w:r w:rsidRPr="009075DC">
        <w:rPr>
          <w:rFonts w:eastAsia="SimSun"/>
        </w:rPr>
        <w:tab/>
        <w:t>Does this conclude your testimony?</w:t>
      </w:r>
    </w:p>
    <w:p w:rsidR="00F8418D" w:rsidRPr="009075DC" w:rsidRDefault="00F8418D" w:rsidP="00442BDB">
      <w:pPr>
        <w:pStyle w:val="answer"/>
        <w:widowControl w:val="0"/>
        <w:rPr>
          <w:rFonts w:eastAsia="SimSun"/>
        </w:rPr>
      </w:pPr>
      <w:r w:rsidRPr="009075DC">
        <w:rPr>
          <w:rFonts w:eastAsia="SimSun"/>
        </w:rPr>
        <w:t>A.</w:t>
      </w:r>
      <w:r w:rsidRPr="009075DC">
        <w:rPr>
          <w:rFonts w:eastAsia="SimSun"/>
        </w:rPr>
        <w:tab/>
        <w:t>Yes</w:t>
      </w:r>
      <w:r w:rsidR="00406B72">
        <w:rPr>
          <w:rFonts w:eastAsia="SimSun"/>
        </w:rPr>
        <w:t>.</w:t>
      </w:r>
    </w:p>
    <w:sectPr w:rsidR="00F8418D" w:rsidRPr="009075DC" w:rsidSect="00EC61B9">
      <w:footerReference w:type="default" r:id="rId15"/>
      <w:footerReference w:type="first" r:id="rId16"/>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876" w:rsidRDefault="00B86876">
      <w:r>
        <w:separator/>
      </w:r>
    </w:p>
  </w:endnote>
  <w:endnote w:type="continuationSeparator" w:id="0">
    <w:p w:rsidR="00B86876" w:rsidRDefault="00B8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76" w:rsidRDefault="00B86876" w:rsidP="000E67F4">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76" w:rsidRDefault="00B86876">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B86876" w:rsidRDefault="00B86876">
    <w:pPr>
      <w:pStyle w:val="Footer"/>
      <w:tabs>
        <w:tab w:val="clear" w:pos="4507"/>
        <w:tab w:val="clear" w:pos="9000"/>
        <w:tab w:val="right" w:pos="8640"/>
      </w:tabs>
      <w:spacing w:line="240" w:lineRule="auto"/>
      <w:ind w:right="0" w:hanging="4"/>
      <w:rPr>
        <w:sz w:val="10"/>
        <w:szCs w:val="10"/>
      </w:rPr>
    </w:pPr>
  </w:p>
  <w:p w:rsidR="00B86876" w:rsidRDefault="00B86876">
    <w:pPr>
      <w:pStyle w:val="Footer"/>
      <w:tabs>
        <w:tab w:val="clear" w:pos="4507"/>
        <w:tab w:val="clear" w:pos="9000"/>
        <w:tab w:val="right" w:pos="8640"/>
      </w:tabs>
      <w:ind w:hanging="4"/>
    </w:pPr>
    <w:r>
      <w:t>Prefiled Direct Testimony</w:t>
    </w:r>
    <w:r>
      <w:tab/>
      <w:t>Exhibit No. ___(JAP-1T)</w:t>
    </w:r>
  </w:p>
  <w:p w:rsidR="00B86876" w:rsidRDefault="00B86876">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F46FCF">
      <w:rPr>
        <w:rStyle w:val="PageNumber"/>
        <w:noProof/>
      </w:rPr>
      <w:t>iii</w:t>
    </w:r>
    <w:r>
      <w:rPr>
        <w:rStyle w:val="PageNumber"/>
      </w:rPr>
      <w:fldChar w:fldCharType="end"/>
    </w:r>
    <w:r>
      <w:rPr>
        <w:rStyle w:val="PageNumber"/>
      </w:rPr>
      <w:t xml:space="preserve"> of </w:t>
    </w:r>
    <w:r>
      <w:t>vi</w:t>
    </w:r>
  </w:p>
  <w:p w:rsidR="00B86876" w:rsidRDefault="00B86876" w:rsidP="000F4005">
    <w:pPr>
      <w:pStyle w:val="Footer"/>
      <w:tabs>
        <w:tab w:val="clear" w:pos="4507"/>
        <w:tab w:val="clear" w:pos="9000"/>
        <w:tab w:val="right" w:pos="8640"/>
      </w:tabs>
      <w:ind w:hanging="4"/>
    </w:pPr>
    <w:r>
      <w:t xml:space="preserve">Jon A. Piliaris </w:t>
    </w:r>
  </w:p>
  <w:p w:rsidR="00B86876" w:rsidRDefault="00B86876" w:rsidP="000E67F4">
    <w:pPr>
      <w:pStyle w:val="Footer"/>
      <w:tabs>
        <w:tab w:val="clear" w:pos="4507"/>
        <w:tab w:val="clear" w:pos="9000"/>
        <w:tab w:val="right" w:pos="8640"/>
      </w:tabs>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76" w:rsidRDefault="00B86876">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B86876" w:rsidRDefault="00B86876">
    <w:pPr>
      <w:pStyle w:val="Footer"/>
      <w:tabs>
        <w:tab w:val="clear" w:pos="4507"/>
        <w:tab w:val="clear" w:pos="9000"/>
        <w:tab w:val="right" w:pos="8640"/>
      </w:tabs>
      <w:spacing w:line="240" w:lineRule="auto"/>
      <w:ind w:right="0"/>
      <w:rPr>
        <w:sz w:val="10"/>
      </w:rPr>
    </w:pPr>
  </w:p>
  <w:p w:rsidR="00B86876" w:rsidRDefault="00B86876">
    <w:pPr>
      <w:pStyle w:val="Footer"/>
      <w:tabs>
        <w:tab w:val="clear" w:pos="4507"/>
        <w:tab w:val="clear" w:pos="9000"/>
        <w:tab w:val="right" w:pos="8640"/>
      </w:tabs>
    </w:pPr>
    <w:r>
      <w:t>Prefiled Direct Testimony</w:t>
    </w:r>
    <w:r>
      <w:tab/>
      <w:t>Exhibit No. ___(JAP-1T)</w:t>
    </w:r>
  </w:p>
  <w:p w:rsidR="00B86876" w:rsidRDefault="00B86876">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F46FCF">
      <w:rPr>
        <w:rStyle w:val="PageNumber"/>
        <w:noProof/>
      </w:rPr>
      <w:t>159</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F46FCF">
      <w:rPr>
        <w:rStyle w:val="PageNumber"/>
        <w:noProof/>
      </w:rPr>
      <w:t>159</w:t>
    </w:r>
    <w:r>
      <w:rPr>
        <w:rStyle w:val="PageNumber"/>
      </w:rPr>
      <w:fldChar w:fldCharType="end"/>
    </w:r>
  </w:p>
  <w:p w:rsidR="00B86876" w:rsidRDefault="00B86876" w:rsidP="000F4005">
    <w:pPr>
      <w:pStyle w:val="Footer"/>
      <w:tabs>
        <w:tab w:val="clear" w:pos="4507"/>
        <w:tab w:val="clear" w:pos="9000"/>
        <w:tab w:val="right" w:pos="8640"/>
      </w:tabs>
    </w:pPr>
    <w:r>
      <w:t xml:space="preserve">Jon A. Piliaris </w:t>
    </w:r>
  </w:p>
  <w:p w:rsidR="00B86876" w:rsidRDefault="00B86876" w:rsidP="000E67F4">
    <w:pPr>
      <w:pStyle w:val="Footer"/>
      <w:tabs>
        <w:tab w:val="clear" w:pos="4507"/>
        <w:tab w:val="clear" w:pos="9000"/>
        <w:tab w:val="right" w:pos="8640"/>
      </w:tabs>
      <w:spacing w:line="2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76" w:rsidRDefault="00B86876">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B86876" w:rsidRDefault="00B86876">
    <w:pPr>
      <w:pStyle w:val="Footer"/>
      <w:tabs>
        <w:tab w:val="clear" w:pos="4507"/>
        <w:tab w:val="clear" w:pos="9000"/>
        <w:tab w:val="right" w:pos="8640"/>
      </w:tabs>
      <w:spacing w:line="240" w:lineRule="auto"/>
      <w:ind w:left="-630" w:right="0" w:hanging="4"/>
      <w:rPr>
        <w:sz w:val="10"/>
      </w:rPr>
    </w:pPr>
  </w:p>
  <w:p w:rsidR="00B86876" w:rsidRDefault="00B86876">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B86876" w:rsidRDefault="00B86876">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876" w:rsidRDefault="00B86876">
      <w:r>
        <w:separator/>
      </w:r>
    </w:p>
  </w:footnote>
  <w:footnote w:type="continuationSeparator" w:id="0">
    <w:p w:rsidR="00B86876" w:rsidRDefault="00B86876">
      <w:r>
        <w:continuationSeparator/>
      </w:r>
    </w:p>
  </w:footnote>
  <w:footnote w:id="1">
    <w:p w:rsidR="00B86876" w:rsidRDefault="00B86876">
      <w:pPr>
        <w:pStyle w:val="FootnoteText"/>
      </w:pPr>
      <w:r>
        <w:rPr>
          <w:rStyle w:val="FootnoteReference"/>
        </w:rPr>
        <w:footnoteRef/>
      </w:r>
      <w:r>
        <w:t xml:space="preserve"> In addition to the changes listed below, there are a number of other minor changes proposed to the mechanisms, as discussed later in this testimony.  These will have very little impact, if any, on customer rates and are primarily intended to improve the administrative efficiency associated with these mechanisms.</w:t>
      </w:r>
    </w:p>
  </w:footnote>
  <w:footnote w:id="2">
    <w:p w:rsidR="00B86876" w:rsidRDefault="00B86876">
      <w:pPr>
        <w:pStyle w:val="FootnoteText"/>
      </w:pPr>
      <w:r>
        <w:rPr>
          <w:rStyle w:val="FootnoteReference"/>
        </w:rPr>
        <w:footnoteRef/>
      </w:r>
      <w:r>
        <w:t xml:space="preserve"> Sample tariff sheets for electric and gas Schedule 142 are provided in Exhibit No.___(JAP-16) and Exhibit No.___(JAP-25).</w:t>
      </w:r>
    </w:p>
  </w:footnote>
  <w:footnote w:id="3">
    <w:p w:rsidR="00B86876" w:rsidRDefault="00B86876">
      <w:pPr>
        <w:pStyle w:val="FootnoteText"/>
      </w:pPr>
      <w:r>
        <w:rPr>
          <w:rStyle w:val="FootnoteReference"/>
        </w:rPr>
        <w:footnoteRef/>
      </w:r>
      <w:r>
        <w:t xml:space="preserve"> As discussed later in this testimony, other rate schedules will need to be updated shortly after the conclusion of this case.</w:t>
      </w:r>
    </w:p>
  </w:footnote>
  <w:footnote w:id="4">
    <w:p w:rsidR="00B86876" w:rsidRDefault="00B86876" w:rsidP="003F15E1">
      <w:pPr>
        <w:pStyle w:val="FootnoteText"/>
      </w:pPr>
      <w:r>
        <w:rPr>
          <w:rStyle w:val="FootnoteReference"/>
        </w:rPr>
        <w:footnoteRef/>
      </w:r>
      <w:r>
        <w:t xml:space="preserve"> Dockets UE-130137 and UG-130138, consolidated.</w:t>
      </w:r>
    </w:p>
  </w:footnote>
  <w:footnote w:id="5">
    <w:p w:rsidR="00B86876" w:rsidRDefault="00B86876" w:rsidP="003F15E1">
      <w:pPr>
        <w:pStyle w:val="FootnoteText"/>
      </w:pPr>
      <w:r>
        <w:rPr>
          <w:rStyle w:val="FootnoteReference"/>
        </w:rPr>
        <w:footnoteRef/>
      </w:r>
      <w:r>
        <w:t xml:space="preserve"> Dockets UE-111048 and UG-111049, consolidated.</w:t>
      </w:r>
    </w:p>
  </w:footnote>
  <w:footnote w:id="6">
    <w:p w:rsidR="00B86876" w:rsidRDefault="00B86876">
      <w:pPr>
        <w:pStyle w:val="FootnoteText"/>
      </w:pPr>
      <w:r>
        <w:rPr>
          <w:rStyle w:val="FootnoteReference"/>
        </w:rPr>
        <w:footnoteRef/>
      </w:r>
      <w:r>
        <w:t xml:space="preserve"> Docket U-111701.</w:t>
      </w:r>
    </w:p>
  </w:footnote>
  <w:footnote w:id="7">
    <w:p w:rsidR="00B86876" w:rsidRPr="008D428E" w:rsidRDefault="00B86876">
      <w:pPr>
        <w:pStyle w:val="FootnoteText"/>
      </w:pPr>
      <w:r>
        <w:rPr>
          <w:rStyle w:val="FootnoteReference"/>
        </w:rPr>
        <w:footnoteRef/>
      </w:r>
      <w:r>
        <w:t xml:space="preserve"> </w:t>
      </w:r>
      <w:r>
        <w:rPr>
          <w:i/>
        </w:rPr>
        <w:t>Id</w:t>
      </w:r>
      <w:r>
        <w:t xml:space="preserve">.,  Order 01.  </w:t>
      </w:r>
    </w:p>
  </w:footnote>
  <w:footnote w:id="8">
    <w:p w:rsidR="00B86876" w:rsidRDefault="00B86876">
      <w:pPr>
        <w:pStyle w:val="FootnoteText"/>
      </w:pPr>
      <w:r>
        <w:rPr>
          <w:rStyle w:val="FootnoteReference"/>
        </w:rPr>
        <w:footnoteRef/>
      </w:r>
      <w:r>
        <w:t xml:space="preserve"> Docket UE-141368, Order 03.</w:t>
      </w:r>
    </w:p>
  </w:footnote>
  <w:footnote w:id="9">
    <w:p w:rsidR="00B86876" w:rsidRDefault="00B86876">
      <w:pPr>
        <w:pStyle w:val="FootnoteText"/>
      </w:pPr>
      <w:r>
        <w:rPr>
          <w:rStyle w:val="FootnoteReference"/>
        </w:rPr>
        <w:footnoteRef/>
      </w:r>
      <w:r>
        <w:t xml:space="preserve"> Dockets UE-111049 and UG-111049.</w:t>
      </w:r>
    </w:p>
  </w:footnote>
  <w:footnote w:id="10">
    <w:p w:rsidR="00B86876" w:rsidRDefault="00B86876" w:rsidP="00961E05">
      <w:pPr>
        <w:pStyle w:val="FootnoteText"/>
        <w:spacing w:before="0" w:line="240" w:lineRule="auto"/>
      </w:pPr>
      <w:r w:rsidRPr="009075DC">
        <w:rPr>
          <w:rStyle w:val="FootnoteReference"/>
          <w:sz w:val="20"/>
        </w:rPr>
        <w:footnoteRef/>
      </w:r>
      <w:r>
        <w:rPr>
          <w:sz w:val="20"/>
        </w:rPr>
        <w:t xml:space="preserve">In Docket UG-151663, </w:t>
      </w:r>
      <w:r w:rsidRPr="009075DC">
        <w:rPr>
          <w:sz w:val="20"/>
        </w:rPr>
        <w:t xml:space="preserve">PSE </w:t>
      </w:r>
      <w:r>
        <w:rPr>
          <w:sz w:val="20"/>
        </w:rPr>
        <w:t xml:space="preserve">also presented an updated gas </w:t>
      </w:r>
      <w:r w:rsidRPr="009075DC">
        <w:rPr>
          <w:sz w:val="20"/>
        </w:rPr>
        <w:t xml:space="preserve">cost allocation study </w:t>
      </w:r>
      <w:r>
        <w:rPr>
          <w:sz w:val="20"/>
        </w:rPr>
        <w:t xml:space="preserve">using methods similar to those employed in its 2011 GRC, but with updated cost and load information, </w:t>
      </w:r>
      <w:r w:rsidRPr="009075DC">
        <w:rPr>
          <w:sz w:val="20"/>
        </w:rPr>
        <w:t xml:space="preserve">to </w:t>
      </w:r>
      <w:r>
        <w:rPr>
          <w:sz w:val="20"/>
        </w:rPr>
        <w:t xml:space="preserve">illustrate the impact of a proposed liquefied natural gas facility on customer rates.  However, no rates were set as a result of this analysis.  It was provided purely for illustrative purposes. </w:t>
      </w:r>
    </w:p>
  </w:footnote>
  <w:footnote w:id="11">
    <w:p w:rsidR="00B86876" w:rsidRDefault="00B86876" w:rsidP="006E7532">
      <w:pPr>
        <w:pStyle w:val="FootnoteText"/>
        <w:spacing w:before="0" w:line="240" w:lineRule="auto"/>
        <w:rPr>
          <w:sz w:val="20"/>
        </w:rPr>
      </w:pPr>
      <w:r>
        <w:rPr>
          <w:rStyle w:val="FootnoteReference"/>
        </w:rPr>
        <w:footnoteRef/>
      </w:r>
      <w:r>
        <w:t xml:space="preserve"> </w:t>
      </w:r>
      <w:r>
        <w:rPr>
          <w:i/>
        </w:rPr>
        <w:t>See</w:t>
      </w:r>
      <w:r>
        <w:t xml:space="preserve"> PSE's 2015</w:t>
      </w:r>
      <w:r>
        <w:rPr>
          <w:sz w:val="20"/>
        </w:rPr>
        <w:t xml:space="preserve"> Integrated Resource Plan, Appendix E: Demand Forecasting Models, page E-14, on file with the Commission and publicly available at www.pse.com.</w:t>
      </w:r>
    </w:p>
  </w:footnote>
  <w:footnote w:id="12">
    <w:p w:rsidR="00B86876" w:rsidRDefault="00B86876">
      <w:pPr>
        <w:pStyle w:val="FootnoteText"/>
      </w:pPr>
      <w:r>
        <w:rPr>
          <w:rStyle w:val="FootnoteReference"/>
        </w:rPr>
        <w:footnoteRef/>
      </w:r>
      <w:r>
        <w:t xml:space="preserve"> Dockets UE-072300 and UG-072301, consolidated.</w:t>
      </w:r>
    </w:p>
  </w:footnote>
  <w:footnote w:id="13">
    <w:p w:rsidR="00B86876" w:rsidRDefault="00B86876">
      <w:pPr>
        <w:pStyle w:val="FootnoteText"/>
      </w:pPr>
      <w:r>
        <w:rPr>
          <w:rStyle w:val="FootnoteReference"/>
        </w:rPr>
        <w:footnoteRef/>
      </w:r>
      <w:r>
        <w:t xml:space="preserve"> Dockets UE-040640 and UG-040641, consolidated.</w:t>
      </w:r>
    </w:p>
  </w:footnote>
  <w:footnote w:id="14">
    <w:p w:rsidR="00B86876" w:rsidRDefault="00B86876">
      <w:pPr>
        <w:pStyle w:val="FootnoteText"/>
      </w:pPr>
      <w:r>
        <w:rPr>
          <w:rStyle w:val="FootnoteReference"/>
        </w:rPr>
        <w:footnoteRef/>
      </w:r>
      <w:r>
        <w:t xml:space="preserve"> Dockets UE-090704 and UG-090705, consolidated.</w:t>
      </w:r>
    </w:p>
  </w:footnote>
  <w:footnote w:id="15">
    <w:p w:rsidR="00B86876" w:rsidRDefault="00B86876">
      <w:pPr>
        <w:pStyle w:val="FootnoteText"/>
      </w:pPr>
      <w:r>
        <w:rPr>
          <w:rStyle w:val="FootnoteReference"/>
        </w:rPr>
        <w:footnoteRef/>
      </w:r>
      <w:r>
        <w:t xml:space="preserve"> Dockets UE-072300 and UG-072301, consolidated.</w:t>
      </w:r>
    </w:p>
  </w:footnote>
  <w:footnote w:id="16">
    <w:p w:rsidR="00B86876" w:rsidRDefault="00B86876">
      <w:pPr>
        <w:pStyle w:val="FootnoteText"/>
      </w:pPr>
      <w:r>
        <w:rPr>
          <w:rStyle w:val="FootnoteReference"/>
        </w:rPr>
        <w:footnoteRef/>
      </w:r>
      <w:r>
        <w:t xml:space="preserve"> For example, see the avoided costs filed in PSE’s Schedule 91 (Cogeneration and Small Power Production).</w:t>
      </w:r>
    </w:p>
  </w:footnote>
  <w:footnote w:id="17">
    <w:p w:rsidR="00B86876" w:rsidRDefault="00B86876">
      <w:pPr>
        <w:pStyle w:val="FootnoteText"/>
      </w:pPr>
      <w:r>
        <w:rPr>
          <w:rStyle w:val="FootnoteReference"/>
        </w:rPr>
        <w:footnoteRef/>
      </w:r>
      <w:r>
        <w:t xml:space="preserve"> See </w:t>
      </w:r>
      <w:r w:rsidRPr="0041507C">
        <w:t>Northwest Power Act, §3(4)(D), 94 Stat. 2699 for the statutory language supporting the 10 percent increment.</w:t>
      </w:r>
      <w:r>
        <w:t xml:space="preserve"> </w:t>
      </w:r>
    </w:p>
  </w:footnote>
  <w:footnote w:id="18">
    <w:p w:rsidR="00B86876" w:rsidRDefault="00B86876">
      <w:pPr>
        <w:pStyle w:val="FootnoteText"/>
      </w:pPr>
      <w:r>
        <w:rPr>
          <w:rStyle w:val="FootnoteReference"/>
        </w:rPr>
        <w:footnoteRef/>
      </w:r>
      <w:r>
        <w:t xml:space="preserve"> Using a shorter period would result in an even lower levelized avoided cost.</w:t>
      </w:r>
    </w:p>
  </w:footnote>
  <w:footnote w:id="19">
    <w:p w:rsidR="00B86876" w:rsidRDefault="00B86876">
      <w:pPr>
        <w:pStyle w:val="FootnoteText"/>
      </w:pPr>
      <w:r>
        <w:rPr>
          <w:rStyle w:val="FootnoteReference"/>
        </w:rPr>
        <w:footnoteRef/>
      </w:r>
      <w:r>
        <w:t xml:space="preserve"> See pages 61-62, for example.  This report can be found on RAP’s website at </w:t>
      </w:r>
      <w:hyperlink r:id="rId1" w:history="1">
        <w:r w:rsidRPr="00D12951">
          <w:rPr>
            <w:rStyle w:val="Hyperlink"/>
          </w:rPr>
          <w:t>www.raponline.org/document/download/id/7680</w:t>
        </w:r>
      </w:hyperlink>
      <w:r>
        <w:t xml:space="preserve">. </w:t>
      </w:r>
    </w:p>
  </w:footnote>
  <w:footnote w:id="20">
    <w:p w:rsidR="00B86876" w:rsidRDefault="00B86876">
      <w:pPr>
        <w:pStyle w:val="FootnoteText"/>
      </w:pPr>
      <w:r>
        <w:rPr>
          <w:rStyle w:val="FootnoteReference"/>
        </w:rPr>
        <w:footnoteRef/>
      </w:r>
      <w:r>
        <w:t xml:space="preserve"> See pages 39-41, for example.  This report can be found on NREL’s website at </w:t>
      </w:r>
      <w:hyperlink r:id="rId2" w:history="1">
        <w:r w:rsidRPr="00D12951">
          <w:rPr>
            <w:rStyle w:val="Hyperlink"/>
          </w:rPr>
          <w:t>http://www.nrel.gov/docs/fy14osti/60613.pdf</w:t>
        </w:r>
      </w:hyperlink>
      <w:r>
        <w:t xml:space="preserve">. </w:t>
      </w:r>
    </w:p>
  </w:footnote>
  <w:footnote w:id="21">
    <w:p w:rsidR="00B86876" w:rsidRDefault="00B86876">
      <w:pPr>
        <w:pStyle w:val="FootnoteText"/>
      </w:pPr>
      <w:r>
        <w:rPr>
          <w:rStyle w:val="FootnoteReference"/>
        </w:rPr>
        <w:footnoteRef/>
      </w:r>
      <w:r>
        <w:t xml:space="preserve"> Customers with loads currently served under Schedule 40 that add new meters to the same feeder between GRCs take service under Schedule 40 at those new locations under the interim rate.</w:t>
      </w:r>
    </w:p>
  </w:footnote>
  <w:footnote w:id="22">
    <w:p w:rsidR="00B86876" w:rsidRDefault="00B86876">
      <w:pPr>
        <w:pStyle w:val="FootnoteText"/>
      </w:pPr>
      <w:r>
        <w:rPr>
          <w:rStyle w:val="FootnoteReference"/>
        </w:rPr>
        <w:footnoteRef/>
      </w:r>
      <w:r>
        <w:t xml:space="preserve"> Due to unforeseen metering challenges, some locations served under Schedule 40 are missing data for some or all of the period analyzed.  PSE used all available data in the estimation of each campus’s average monthly coincidence factor.</w:t>
      </w:r>
    </w:p>
  </w:footnote>
  <w:footnote w:id="23">
    <w:p w:rsidR="00B86876" w:rsidRDefault="00B86876" w:rsidP="00F47952">
      <w:pPr>
        <w:pStyle w:val="FootnoteText"/>
      </w:pPr>
      <w:r>
        <w:rPr>
          <w:rStyle w:val="FootnoteReference"/>
        </w:rPr>
        <w:footnoteRef/>
      </w:r>
      <w:r>
        <w:t xml:space="preserve"> Note that the assignment of unbilled revenue for lighting customers is addressed in Exhibit No.___(JAP-15).</w:t>
      </w:r>
    </w:p>
  </w:footnote>
  <w:footnote w:id="24">
    <w:p w:rsidR="00B86876" w:rsidRDefault="00B86876" w:rsidP="00F47952">
      <w:pPr>
        <w:pStyle w:val="FootnoteText"/>
      </w:pPr>
      <w:r>
        <w:rPr>
          <w:rStyle w:val="FootnoteReference"/>
        </w:rPr>
        <w:footnoteRef/>
      </w:r>
      <w:r>
        <w:t xml:space="preserve"> Or, in the case of Schedule 57, the rate for each connected watt.</w:t>
      </w:r>
    </w:p>
  </w:footnote>
  <w:footnote w:id="25">
    <w:p w:rsidR="00B86876" w:rsidRDefault="00B86876" w:rsidP="00F47952">
      <w:pPr>
        <w:pStyle w:val="FootnoteText"/>
      </w:pPr>
      <w:r>
        <w:rPr>
          <w:rStyle w:val="FootnoteReference"/>
        </w:rPr>
        <w:footnoteRef/>
      </w:r>
      <w:r>
        <w:t xml:space="preserve"> The small difference in rate impact between this exhibit and Exhibit No.___(JAP-15) is due to rate rounding.</w:t>
      </w:r>
    </w:p>
  </w:footnote>
  <w:footnote w:id="26">
    <w:p w:rsidR="00B86876" w:rsidRDefault="00B86876">
      <w:pPr>
        <w:pStyle w:val="FootnoteText"/>
      </w:pPr>
      <w:r>
        <w:rPr>
          <w:rStyle w:val="FootnoteReference"/>
        </w:rPr>
        <w:footnoteRef/>
      </w:r>
      <w:r>
        <w:t xml:space="preserve"> There may be very small differences due to rounding of rates.</w:t>
      </w:r>
    </w:p>
  </w:footnote>
  <w:footnote w:id="27">
    <w:p w:rsidR="00B86876" w:rsidRDefault="00B86876">
      <w:pPr>
        <w:pStyle w:val="FootnoteText"/>
      </w:pPr>
      <w:r>
        <w:rPr>
          <w:rStyle w:val="FootnoteReference"/>
        </w:rPr>
        <w:footnoteRef/>
      </w:r>
      <w:r>
        <w:t xml:space="preserve"> Service taken under these transportation schedules has grown greatly since they were first created, which has raised the importance of addressing this issue.</w:t>
      </w:r>
    </w:p>
  </w:footnote>
  <w:footnote w:id="28">
    <w:p w:rsidR="00B86876" w:rsidRDefault="00B86876">
      <w:pPr>
        <w:pStyle w:val="FootnoteText"/>
      </w:pPr>
      <w:r>
        <w:rPr>
          <w:rStyle w:val="FootnoteReference"/>
        </w:rPr>
        <w:footnoteRef/>
      </w:r>
      <w:r>
        <w:t xml:space="preserve"> Decisions as to whether to take firm or interruptible service, or sales or transportation service will continue to be the customers’ responsibility, not PSE’s.</w:t>
      </w:r>
    </w:p>
  </w:footnote>
  <w:footnote w:id="29">
    <w:p w:rsidR="00B86876" w:rsidRDefault="00B86876" w:rsidP="00390F80">
      <w:pPr>
        <w:pStyle w:val="FootnoteText"/>
      </w:pPr>
      <w:r>
        <w:rPr>
          <w:rStyle w:val="FootnoteReference"/>
        </w:rPr>
        <w:footnoteRef/>
      </w:r>
      <w:r>
        <w:t xml:space="preserve"> Movement between schedules will continue to be limited to no more than once per 12 month period, per PSE’s Rule 4.</w:t>
      </w:r>
    </w:p>
  </w:footnote>
  <w:footnote w:id="30">
    <w:p w:rsidR="00B86876" w:rsidRDefault="00B86876">
      <w:pPr>
        <w:pStyle w:val="FootnoteText"/>
      </w:pPr>
      <w:r>
        <w:rPr>
          <w:rStyle w:val="FootnoteReference"/>
        </w:rPr>
        <w:footnoteRef/>
      </w:r>
      <w:r>
        <w:t xml:space="preserve"> Here, “actual demands” are defined to be </w:t>
      </w:r>
      <w:r>
        <w:rPr>
          <w:rFonts w:eastAsia="SimSun"/>
        </w:rPr>
        <w:t>the customer’s highest daily usage in therms per day from the month in which occurs the Company’s coincident peak day from the most recent November 1 through March 31 winter period.</w:t>
      </w:r>
    </w:p>
  </w:footnote>
  <w:footnote w:id="31">
    <w:p w:rsidR="00B86876" w:rsidRDefault="00B86876" w:rsidP="006F0EC2">
      <w:pPr>
        <w:pStyle w:val="FootnoteText"/>
        <w:spacing w:before="120" w:after="120" w:line="240" w:lineRule="auto"/>
      </w:pPr>
      <w:r>
        <w:rPr>
          <w:rStyle w:val="FootnoteReference"/>
        </w:rPr>
        <w:footnoteRef/>
      </w:r>
      <w:r>
        <w:t xml:space="preserve"> Docket U-100522 (November 4, 2010).</w:t>
      </w:r>
    </w:p>
  </w:footnote>
  <w:footnote w:id="32">
    <w:p w:rsidR="00B86876" w:rsidRDefault="00B86876">
      <w:pPr>
        <w:pStyle w:val="FootnoteText"/>
      </w:pPr>
      <w:r>
        <w:rPr>
          <w:rStyle w:val="FootnoteReference"/>
        </w:rPr>
        <w:footnoteRef/>
      </w:r>
      <w:r>
        <w:t xml:space="preserve"> </w:t>
      </w:r>
      <w:r w:rsidRPr="003D03FF">
        <w:rPr>
          <w:i/>
        </w:rPr>
        <w:t>Id</w:t>
      </w:r>
      <w:r>
        <w:rPr>
          <w:i/>
        </w:rPr>
        <w:t>.</w:t>
      </w:r>
      <w:r>
        <w:t xml:space="preserve"> at ¶ 7.</w:t>
      </w:r>
    </w:p>
  </w:footnote>
  <w:footnote w:id="33">
    <w:p w:rsidR="00B86876" w:rsidRDefault="00B86876">
      <w:pPr>
        <w:pStyle w:val="FootnoteText"/>
      </w:pPr>
      <w:r>
        <w:rPr>
          <w:rStyle w:val="FootnoteReference"/>
        </w:rPr>
        <w:footnoteRef/>
      </w:r>
      <w:r>
        <w:t xml:space="preserve"> Dockets UE-121697 and UG-121705, Consolidated (“the Decoupling Case”), Order 7, Synopsis.</w:t>
      </w:r>
    </w:p>
  </w:footnote>
  <w:footnote w:id="34">
    <w:p w:rsidR="00B86876" w:rsidRDefault="00B86876">
      <w:pPr>
        <w:pStyle w:val="FootnoteText"/>
      </w:pPr>
      <w:r>
        <w:rPr>
          <w:rStyle w:val="FootnoteReference"/>
        </w:rPr>
        <w:footnoteRef/>
      </w:r>
      <w:r>
        <w:t xml:space="preserve"> Decoupling Case, Order 9.</w:t>
      </w:r>
    </w:p>
  </w:footnote>
  <w:footnote w:id="35">
    <w:p w:rsidR="00B86876" w:rsidRDefault="00B86876">
      <w:pPr>
        <w:pStyle w:val="FootnoteText"/>
      </w:pPr>
      <w:r>
        <w:rPr>
          <w:rStyle w:val="FootnoteReference"/>
        </w:rPr>
        <w:footnoteRef/>
      </w:r>
      <w:r>
        <w:t xml:space="preserve"> </w:t>
      </w:r>
      <w:r w:rsidRPr="003D03FF">
        <w:rPr>
          <w:i/>
        </w:rPr>
        <w:t>Id</w:t>
      </w:r>
      <w:r>
        <w:t>.</w:t>
      </w:r>
    </w:p>
  </w:footnote>
  <w:footnote w:id="36">
    <w:p w:rsidR="00B86876" w:rsidRDefault="00B86876">
      <w:pPr>
        <w:pStyle w:val="FootnoteText"/>
      </w:pPr>
      <w:r>
        <w:rPr>
          <w:rStyle w:val="FootnoteReference"/>
        </w:rPr>
        <w:footnoteRef/>
      </w:r>
      <w:r>
        <w:t xml:space="preserve"> </w:t>
      </w:r>
      <w:r w:rsidRPr="00603A47">
        <w:rPr>
          <w:i/>
        </w:rPr>
        <w:t>Id.</w:t>
      </w:r>
      <w:r>
        <w:t xml:space="preserve">  Note also that a portion of the decoupling deferrals that accrued in 2013 were allocated to these departing customers.  So, from May 1, 2014 through April 30, 2015, these customers were only subject to the payment of their allocated decoupling deferral balances, but no new deferrals were accumulated for these customers.</w:t>
      </w:r>
    </w:p>
  </w:footnote>
  <w:footnote w:id="37">
    <w:p w:rsidR="00B86876" w:rsidRDefault="00B86876">
      <w:pPr>
        <w:pStyle w:val="FootnoteText"/>
      </w:pPr>
      <w:r>
        <w:rPr>
          <w:rStyle w:val="FootnoteReference"/>
        </w:rPr>
        <w:footnoteRef/>
      </w:r>
      <w:r>
        <w:t xml:space="preserve"> PSE originally proposed a 50 basis point deadband before sharing earnings with customers.  In Order 7 of the Decoupling Case, the Commission eliminated this deadband, reasoning in paragraph 25 that the Company’s authorized return was already “</w:t>
      </w:r>
      <w:r w:rsidRPr="001E6B0B">
        <w:t>at the high end of what we presently perceive to be within the range of reasonableness</w:t>
      </w:r>
      <w:r>
        <w:t xml:space="preserve">.” </w:t>
      </w:r>
    </w:p>
  </w:footnote>
  <w:footnote w:id="38">
    <w:p w:rsidR="00B86876" w:rsidRDefault="00B86876">
      <w:pPr>
        <w:pStyle w:val="FootnoteText"/>
      </w:pPr>
      <w:r>
        <w:rPr>
          <w:rStyle w:val="FootnoteReference"/>
        </w:rPr>
        <w:footnoteRef/>
      </w:r>
      <w:r>
        <w:t xml:space="preserve"> The Rate Test operates as a “soft cap,” where amounts not recovered due to the limitations on rate increases are allowed to be recovered in a subsequent rate period.</w:t>
      </w:r>
    </w:p>
  </w:footnote>
  <w:footnote w:id="39">
    <w:p w:rsidR="00B86876" w:rsidRDefault="00B86876">
      <w:pPr>
        <w:pStyle w:val="FootnoteText"/>
      </w:pPr>
      <w:r>
        <w:rPr>
          <w:rStyle w:val="FootnoteReference"/>
        </w:rPr>
        <w:footnoteRef/>
      </w:r>
      <w:r>
        <w:t xml:space="preserve"> </w:t>
      </w:r>
      <w:r w:rsidRPr="003D03FF">
        <w:rPr>
          <w:i/>
        </w:rPr>
        <w:t>See</w:t>
      </w:r>
      <w:r>
        <w:t xml:space="preserve"> Table 1c: Building the 2017-2017 Electric Target in the Executive Summary of PSE’s 2016-2017 Biennial Conservation Plan.</w:t>
      </w:r>
    </w:p>
  </w:footnote>
  <w:footnote w:id="40">
    <w:p w:rsidR="00B86876" w:rsidRDefault="00B86876">
      <w:pPr>
        <w:pStyle w:val="FootnoteText"/>
      </w:pPr>
      <w:r>
        <w:rPr>
          <w:rStyle w:val="FootnoteReference"/>
        </w:rPr>
        <w:footnoteRef/>
      </w:r>
      <w:r>
        <w:t xml:space="preserve"> Decoupling Case, Order 14.</w:t>
      </w:r>
    </w:p>
  </w:footnote>
  <w:footnote w:id="41">
    <w:p w:rsidR="00B86876" w:rsidRDefault="00B86876">
      <w:pPr>
        <w:pStyle w:val="FootnoteText"/>
      </w:pPr>
      <w:r>
        <w:rPr>
          <w:rStyle w:val="FootnoteReference"/>
        </w:rPr>
        <w:footnoteRef/>
      </w:r>
      <w:r>
        <w:t xml:space="preserve"> Since the start of the decoupling mechanism through November 2016, PSE has deferred approximately $1.8 million for Schedules 12 and 26, and $1.9 million for Schedules 10 and 31 in each of these decoupling rate groups.</w:t>
      </w:r>
    </w:p>
  </w:footnote>
  <w:footnote w:id="42">
    <w:p w:rsidR="00B86876" w:rsidRDefault="00B86876">
      <w:pPr>
        <w:pStyle w:val="FootnoteText"/>
      </w:pPr>
      <w:r>
        <w:rPr>
          <w:rStyle w:val="FootnoteReference"/>
        </w:rPr>
        <w:footnoteRef/>
      </w:r>
      <w:r>
        <w:t xml:space="preserve"> Decoupling Case, Order 9, ¶¶ 41-44.</w:t>
      </w:r>
    </w:p>
  </w:footnote>
  <w:footnote w:id="43">
    <w:p w:rsidR="00B86876" w:rsidRDefault="00B86876">
      <w:pPr>
        <w:pStyle w:val="FootnoteText"/>
      </w:pPr>
      <w:r>
        <w:rPr>
          <w:rStyle w:val="FootnoteReference"/>
        </w:rPr>
        <w:footnoteRef/>
      </w:r>
      <w:r>
        <w:t xml:space="preserve"> Exhibit No.___(DAD-1T), Section IV.</w:t>
      </w:r>
    </w:p>
  </w:footnote>
  <w:footnote w:id="44">
    <w:p w:rsidR="00B86876" w:rsidRDefault="00B86876">
      <w:pPr>
        <w:pStyle w:val="FootnoteText"/>
      </w:pPr>
      <w:r>
        <w:rPr>
          <w:rStyle w:val="FootnoteReference"/>
        </w:rPr>
        <w:footnoteRef/>
      </w:r>
      <w:r>
        <w:t xml:space="preserve"> Note that, at the request of stakeholders, a report covering the first two years of the mechanism was filed in Dockets UE-121697 and UG-121705 on June 6, 2017. </w:t>
      </w:r>
    </w:p>
  </w:footnote>
  <w:footnote w:id="45">
    <w:p w:rsidR="00B86876" w:rsidRDefault="00B86876">
      <w:pPr>
        <w:pStyle w:val="FootnoteText"/>
      </w:pPr>
      <w:r>
        <w:rPr>
          <w:rStyle w:val="FootnoteReference"/>
        </w:rPr>
        <w:footnoteRef/>
      </w:r>
      <w:r>
        <w:t xml:space="preserve"> The Rate Test ensures that any annual decoupling-related rate adjustment does not exceed three percent.  Any unrecovered amounts continue to be deferred for later recovery.</w:t>
      </w:r>
    </w:p>
  </w:footnote>
  <w:footnote w:id="46">
    <w:p w:rsidR="00B86876" w:rsidRDefault="00B86876">
      <w:pPr>
        <w:pStyle w:val="FootnoteText"/>
      </w:pPr>
      <w:r>
        <w:rPr>
          <w:rStyle w:val="FootnoteReference"/>
        </w:rPr>
        <w:footnoteRef/>
      </w:r>
      <w:r>
        <w:t xml:space="preserve"> This includes electric Schedules 10, 12, 26 and 31.</w:t>
      </w:r>
    </w:p>
  </w:footnote>
  <w:footnote w:id="47">
    <w:p w:rsidR="00B86876" w:rsidRDefault="00B86876">
      <w:pPr>
        <w:pStyle w:val="FootnoteText"/>
      </w:pPr>
      <w:r>
        <w:rPr>
          <w:rStyle w:val="FootnoteReference"/>
        </w:rPr>
        <w:footnoteRef/>
      </w:r>
      <w:r>
        <w:t xml:space="preserve"> This group excludes the Lighting and Retail Wheeling Schedules.</w:t>
      </w:r>
    </w:p>
  </w:footnote>
  <w:footnote w:id="48">
    <w:p w:rsidR="00B86876" w:rsidRDefault="00B86876">
      <w:pPr>
        <w:pStyle w:val="FootnoteText"/>
      </w:pPr>
      <w:r>
        <w:rPr>
          <w:rStyle w:val="FootnoteReference"/>
        </w:rPr>
        <w:footnoteRef/>
      </w:r>
      <w:r>
        <w:t xml:space="preserve"> This improved homogeneity can be seen by simply comparing the proposed allowed delivery revenue per customer for these new groups to their existing allowed delivery revenue per customer in the current mechanism. The current annual allowed delivery revenue per customer for these customers is approximately $1,475.  As shown on page 2 of Exhibit No.___(JAP-29), the annual allowed delivery revenue per customer is just under $700 for Schedules 8 and 24, almost $174,000 for Schedules 40, 46 and 49 and almost $12,000 for the remaining non-residential customers.</w:t>
      </w:r>
    </w:p>
  </w:footnote>
  <w:footnote w:id="49">
    <w:p w:rsidR="00B86876" w:rsidRDefault="00B86876">
      <w:pPr>
        <w:pStyle w:val="FootnoteText"/>
      </w:pPr>
      <w:r>
        <w:rPr>
          <w:rStyle w:val="FootnoteReference"/>
        </w:rPr>
        <w:footnoteRef/>
      </w:r>
      <w:r>
        <w:t xml:space="preserve"> This includes customers served under Schedules 41, 41T, 86 and 86T.</w:t>
      </w:r>
    </w:p>
  </w:footnote>
  <w:footnote w:id="50">
    <w:p w:rsidR="00B86876" w:rsidRDefault="00B86876">
      <w:pPr>
        <w:pStyle w:val="FootnoteText"/>
      </w:pPr>
      <w:r>
        <w:rPr>
          <w:rStyle w:val="FootnoteReference"/>
        </w:rPr>
        <w:footnoteRef/>
      </w:r>
      <w:r>
        <w:t xml:space="preserve"> Where current rates are calculated as pro forma revenue divided by pro forma energy sales for the base and adjusting price schedules applicable to customer bills.</w:t>
      </w:r>
    </w:p>
  </w:footnote>
  <w:footnote w:id="51">
    <w:p w:rsidR="00B86876" w:rsidRDefault="00B86876">
      <w:pPr>
        <w:pStyle w:val="FootnoteText"/>
      </w:pPr>
      <w:r>
        <w:rPr>
          <w:rStyle w:val="FootnoteReference"/>
        </w:rPr>
        <w:footnoteRef/>
      </w:r>
      <w:r>
        <w:t xml:space="preserve"> PSE understands that this is the way Avista currently performs this calculation for its decoupling mechanism.</w:t>
      </w:r>
    </w:p>
  </w:footnote>
  <w:footnote w:id="52">
    <w:p w:rsidR="00B86876" w:rsidRDefault="00B86876">
      <w:pPr>
        <w:pStyle w:val="FootnoteText"/>
      </w:pPr>
      <w:r>
        <w:rPr>
          <w:rStyle w:val="FootnoteReference"/>
        </w:rPr>
        <w:footnoteRef/>
      </w:r>
      <w:r>
        <w:t xml:space="preserve"> Exhibit No.___(DAD-1T), Section IV.</w:t>
      </w:r>
    </w:p>
  </w:footnote>
  <w:footnote w:id="53">
    <w:p w:rsidR="00B86876" w:rsidRDefault="00B86876">
      <w:pPr>
        <w:pStyle w:val="FootnoteText"/>
      </w:pPr>
      <w:r>
        <w:rPr>
          <w:rStyle w:val="FootnoteReference"/>
        </w:rPr>
        <w:footnoteRef/>
      </w:r>
      <w:r>
        <w:t xml:space="preserve"> Decoupling Case, Order 15, ¶155.</w:t>
      </w:r>
    </w:p>
  </w:footnote>
  <w:footnote w:id="54">
    <w:p w:rsidR="00B86876" w:rsidRDefault="00B86876">
      <w:pPr>
        <w:pStyle w:val="FootnoteText"/>
      </w:pPr>
      <w:r>
        <w:rPr>
          <w:rStyle w:val="FootnoteReference"/>
        </w:rPr>
        <w:footnoteRef/>
      </w:r>
      <w:r>
        <w:t xml:space="preserve"> </w:t>
      </w:r>
      <w:r w:rsidRPr="006A7F43">
        <w:rPr>
          <w:i/>
        </w:rPr>
        <w:t>Id</w:t>
      </w:r>
      <w:r>
        <w:t>. ¶ 156.</w:t>
      </w:r>
    </w:p>
  </w:footnote>
  <w:footnote w:id="55">
    <w:p w:rsidR="00B86876" w:rsidRDefault="00B86876">
      <w:pPr>
        <w:pStyle w:val="FootnoteText"/>
      </w:pPr>
      <w:r>
        <w:rPr>
          <w:rStyle w:val="FootnoteReference"/>
        </w:rPr>
        <w:footnoteRef/>
      </w:r>
      <w:r>
        <w:t xml:space="preserve"> Rule 6 is expected to be approved in Docket UG-161268 just prior to the filing of this case, replacing Rule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76" w:rsidRDefault="00B86876">
    <w:pPr>
      <w:pStyle w:val="Header"/>
    </w:pPr>
    <w:r>
      <w:rPr>
        <w:noProof/>
        <w:lang w:eastAsia="en-US"/>
      </w:rPr>
      <mc:AlternateContent>
        <mc:Choice Requires="wps">
          <w:drawing>
            <wp:anchor distT="0" distB="0" distL="114300" distR="114300" simplePos="0" relativeHeight="251660288" behindDoc="0" locked="0" layoutInCell="0" allowOverlap="1" wp14:anchorId="163B1A76" wp14:editId="7472E174">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76" w:rsidRDefault="00B86876">
    <w:pPr>
      <w:pStyle w:val="Header"/>
    </w:pPr>
    <w:r>
      <w:rPr>
        <w:noProof/>
        <w:lang w:eastAsia="en-US"/>
      </w:rPr>
      <mc:AlternateContent>
        <mc:Choice Requires="wps">
          <w:drawing>
            <wp:anchor distT="0" distB="0" distL="114300" distR="114300" simplePos="0" relativeHeight="251662336" behindDoc="0" locked="0" layoutInCell="1" allowOverlap="1" wp14:anchorId="1CBBE525" wp14:editId="6F5280A0">
              <wp:simplePos x="0" y="0"/>
              <wp:positionH relativeFrom="column">
                <wp:posOffset>-177165</wp:posOffset>
              </wp:positionH>
              <wp:positionV relativeFrom="paragraph">
                <wp:posOffset>-88900</wp:posOffset>
              </wp:positionV>
              <wp:extent cx="0" cy="9258300"/>
              <wp:effectExtent l="22860" t="25400" r="2476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Bullet4"/>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Bullet3"/>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Bullet2"/>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Number4"/>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pStyle w:val="ListNumber3"/>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pStyle w:val="ListNumber2"/>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pStyle w:val="ListNumber"/>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5"/>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080737F9"/>
    <w:multiLevelType w:val="hybridMultilevel"/>
    <w:tmpl w:val="4D4CF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A592948"/>
    <w:multiLevelType w:val="hybridMultilevel"/>
    <w:tmpl w:val="821E31FA"/>
    <w:lvl w:ilvl="0" w:tplc="E9062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AE0707"/>
    <w:multiLevelType w:val="hybridMultilevel"/>
    <w:tmpl w:val="A4A84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847FF3"/>
    <w:multiLevelType w:val="hybridMultilevel"/>
    <w:tmpl w:val="E5C2F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6">
    <w:nsid w:val="18937152"/>
    <w:multiLevelType w:val="hybridMultilevel"/>
    <w:tmpl w:val="33442EB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8">
    <w:nsid w:val="25ED1C8D"/>
    <w:multiLevelType w:val="hybridMultilevel"/>
    <w:tmpl w:val="205E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6C51AF"/>
    <w:multiLevelType w:val="hybridMultilevel"/>
    <w:tmpl w:val="E0DAB7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E7303D"/>
    <w:multiLevelType w:val="hybridMultilevel"/>
    <w:tmpl w:val="86806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D7503B9"/>
    <w:multiLevelType w:val="hybridMultilevel"/>
    <w:tmpl w:val="5DE697D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4">
    <w:nsid w:val="427C57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D05683"/>
    <w:multiLevelType w:val="hybridMultilevel"/>
    <w:tmpl w:val="65503D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7">
    <w:nsid w:val="4A3B0D40"/>
    <w:multiLevelType w:val="hybridMultilevel"/>
    <w:tmpl w:val="FFD42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32391"/>
    <w:multiLevelType w:val="hybridMultilevel"/>
    <w:tmpl w:val="30C44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0">
    <w:nsid w:val="513642A4"/>
    <w:multiLevelType w:val="hybridMultilevel"/>
    <w:tmpl w:val="CAF49812"/>
    <w:lvl w:ilvl="0" w:tplc="D2DE2898">
      <w:start w:val="1"/>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63521CE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52D38F1"/>
    <w:multiLevelType w:val="hybridMultilevel"/>
    <w:tmpl w:val="E5C2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8">
    <w:nsid w:val="6D580A8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10"/>
  </w:num>
  <w:num w:numId="13">
    <w:abstractNumId w:val="37"/>
  </w:num>
  <w:num w:numId="14">
    <w:abstractNumId w:val="23"/>
  </w:num>
  <w:num w:numId="15">
    <w:abstractNumId w:val="32"/>
  </w:num>
  <w:num w:numId="16">
    <w:abstractNumId w:val="35"/>
  </w:num>
  <w:num w:numId="17">
    <w:abstractNumId w:val="39"/>
  </w:num>
  <w:num w:numId="18">
    <w:abstractNumId w:val="26"/>
  </w:num>
  <w:num w:numId="19">
    <w:abstractNumId w:val="40"/>
  </w:num>
  <w:num w:numId="20">
    <w:abstractNumId w:val="29"/>
  </w:num>
  <w:num w:numId="21">
    <w:abstractNumId w:val="31"/>
  </w:num>
  <w:num w:numId="22">
    <w:abstractNumId w:val="17"/>
  </w:num>
  <w:num w:numId="23">
    <w:abstractNumId w:val="15"/>
  </w:num>
  <w:num w:numId="24">
    <w:abstractNumId w:val="21"/>
  </w:num>
  <w:num w:numId="25">
    <w:abstractNumId w:val="19"/>
  </w:num>
  <w:num w:numId="26">
    <w:abstractNumId w:val="3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7"/>
  </w:num>
  <w:num w:numId="30">
    <w:abstractNumId w:val="12"/>
  </w:num>
  <w:num w:numId="31">
    <w:abstractNumId w:val="24"/>
  </w:num>
  <w:num w:numId="32">
    <w:abstractNumId w:val="28"/>
  </w:num>
  <w:num w:numId="33">
    <w:abstractNumId w:val="22"/>
  </w:num>
  <w:num w:numId="34">
    <w:abstractNumId w:val="11"/>
  </w:num>
  <w:num w:numId="35">
    <w:abstractNumId w:val="13"/>
  </w:num>
  <w:num w:numId="36">
    <w:abstractNumId w:val="14"/>
  </w:num>
  <w:num w:numId="37">
    <w:abstractNumId w:val="34"/>
  </w:num>
  <w:num w:numId="38">
    <w:abstractNumId w:val="25"/>
  </w:num>
  <w:num w:numId="39">
    <w:abstractNumId w:val="18"/>
  </w:num>
  <w:num w:numId="40">
    <w:abstractNumId w:val="20"/>
  </w:num>
  <w:num w:numId="41">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MPDocID" w:val="134071797.1"/>
    <w:docVar w:name="MPDocIDTemplate" w:val="%n|.%v"/>
    <w:docVar w:name="MPDocIDTemplateDefault" w:val="%c-|%m/|%n|.%v"/>
    <w:docVar w:name="NewDocStampType" w:val="1"/>
  </w:docVars>
  <w:rsids>
    <w:rsidRoot w:val="00CD1A65"/>
    <w:rsid w:val="00000A6F"/>
    <w:rsid w:val="000018F4"/>
    <w:rsid w:val="00002751"/>
    <w:rsid w:val="00003202"/>
    <w:rsid w:val="00003CCA"/>
    <w:rsid w:val="00004D39"/>
    <w:rsid w:val="0000554F"/>
    <w:rsid w:val="0000723E"/>
    <w:rsid w:val="00007913"/>
    <w:rsid w:val="000101C9"/>
    <w:rsid w:val="00011F34"/>
    <w:rsid w:val="00012170"/>
    <w:rsid w:val="00012CC9"/>
    <w:rsid w:val="000139D8"/>
    <w:rsid w:val="000166B1"/>
    <w:rsid w:val="00017DB9"/>
    <w:rsid w:val="00020C64"/>
    <w:rsid w:val="0002256A"/>
    <w:rsid w:val="0002428B"/>
    <w:rsid w:val="00024ADC"/>
    <w:rsid w:val="000251EE"/>
    <w:rsid w:val="0003005E"/>
    <w:rsid w:val="00031B05"/>
    <w:rsid w:val="00032928"/>
    <w:rsid w:val="00032B65"/>
    <w:rsid w:val="00032BAE"/>
    <w:rsid w:val="0003603B"/>
    <w:rsid w:val="000373BB"/>
    <w:rsid w:val="00037CE8"/>
    <w:rsid w:val="00040032"/>
    <w:rsid w:val="00040E73"/>
    <w:rsid w:val="00041701"/>
    <w:rsid w:val="000425A2"/>
    <w:rsid w:val="00043BF2"/>
    <w:rsid w:val="000456B9"/>
    <w:rsid w:val="000458B0"/>
    <w:rsid w:val="000460D8"/>
    <w:rsid w:val="0004727F"/>
    <w:rsid w:val="00051008"/>
    <w:rsid w:val="000528F5"/>
    <w:rsid w:val="00052A37"/>
    <w:rsid w:val="00053B7F"/>
    <w:rsid w:val="00054C6A"/>
    <w:rsid w:val="00054CEF"/>
    <w:rsid w:val="00055FFA"/>
    <w:rsid w:val="00057091"/>
    <w:rsid w:val="00057AE7"/>
    <w:rsid w:val="00057C3E"/>
    <w:rsid w:val="00060493"/>
    <w:rsid w:val="000623F4"/>
    <w:rsid w:val="00064171"/>
    <w:rsid w:val="00064903"/>
    <w:rsid w:val="000671C3"/>
    <w:rsid w:val="00067771"/>
    <w:rsid w:val="0006778A"/>
    <w:rsid w:val="00070567"/>
    <w:rsid w:val="00070DC0"/>
    <w:rsid w:val="00072512"/>
    <w:rsid w:val="0007268C"/>
    <w:rsid w:val="000726FC"/>
    <w:rsid w:val="0007391C"/>
    <w:rsid w:val="0007591C"/>
    <w:rsid w:val="000769BB"/>
    <w:rsid w:val="00076A47"/>
    <w:rsid w:val="00077BF8"/>
    <w:rsid w:val="00080FC6"/>
    <w:rsid w:val="00082010"/>
    <w:rsid w:val="0008213E"/>
    <w:rsid w:val="00082260"/>
    <w:rsid w:val="00082C18"/>
    <w:rsid w:val="000831B1"/>
    <w:rsid w:val="0008390F"/>
    <w:rsid w:val="00084DAC"/>
    <w:rsid w:val="0008555B"/>
    <w:rsid w:val="00085C4A"/>
    <w:rsid w:val="00085CC0"/>
    <w:rsid w:val="00085F69"/>
    <w:rsid w:val="000867DE"/>
    <w:rsid w:val="000905D7"/>
    <w:rsid w:val="00091AD2"/>
    <w:rsid w:val="00091AE5"/>
    <w:rsid w:val="00092201"/>
    <w:rsid w:val="00093447"/>
    <w:rsid w:val="00093522"/>
    <w:rsid w:val="00093C4A"/>
    <w:rsid w:val="000969E2"/>
    <w:rsid w:val="000A0290"/>
    <w:rsid w:val="000A0F0E"/>
    <w:rsid w:val="000A4ADD"/>
    <w:rsid w:val="000A56A7"/>
    <w:rsid w:val="000A7131"/>
    <w:rsid w:val="000A7F6A"/>
    <w:rsid w:val="000B068C"/>
    <w:rsid w:val="000B18E9"/>
    <w:rsid w:val="000B1EA2"/>
    <w:rsid w:val="000B38BF"/>
    <w:rsid w:val="000B3FB1"/>
    <w:rsid w:val="000B547D"/>
    <w:rsid w:val="000B6388"/>
    <w:rsid w:val="000B6DD9"/>
    <w:rsid w:val="000C480A"/>
    <w:rsid w:val="000C56F0"/>
    <w:rsid w:val="000C5931"/>
    <w:rsid w:val="000C5A2C"/>
    <w:rsid w:val="000C6EA8"/>
    <w:rsid w:val="000C7BD8"/>
    <w:rsid w:val="000D0074"/>
    <w:rsid w:val="000D0F91"/>
    <w:rsid w:val="000D1FB5"/>
    <w:rsid w:val="000D3BF9"/>
    <w:rsid w:val="000D515D"/>
    <w:rsid w:val="000D5B61"/>
    <w:rsid w:val="000D74A2"/>
    <w:rsid w:val="000D7995"/>
    <w:rsid w:val="000D7E04"/>
    <w:rsid w:val="000E2BB4"/>
    <w:rsid w:val="000E2D02"/>
    <w:rsid w:val="000E3483"/>
    <w:rsid w:val="000E348A"/>
    <w:rsid w:val="000E35AC"/>
    <w:rsid w:val="000E3BF1"/>
    <w:rsid w:val="000E4043"/>
    <w:rsid w:val="000E507F"/>
    <w:rsid w:val="000E50F0"/>
    <w:rsid w:val="000E5955"/>
    <w:rsid w:val="000E67F4"/>
    <w:rsid w:val="000E7D46"/>
    <w:rsid w:val="000F041C"/>
    <w:rsid w:val="000F0479"/>
    <w:rsid w:val="000F04B4"/>
    <w:rsid w:val="000F0D40"/>
    <w:rsid w:val="000F23B3"/>
    <w:rsid w:val="000F31BD"/>
    <w:rsid w:val="000F4005"/>
    <w:rsid w:val="000F490A"/>
    <w:rsid w:val="000F53C0"/>
    <w:rsid w:val="000F762C"/>
    <w:rsid w:val="000F7DE8"/>
    <w:rsid w:val="00100417"/>
    <w:rsid w:val="001010E0"/>
    <w:rsid w:val="001023BE"/>
    <w:rsid w:val="0010268D"/>
    <w:rsid w:val="00102CE2"/>
    <w:rsid w:val="00102D02"/>
    <w:rsid w:val="001045A8"/>
    <w:rsid w:val="0010573F"/>
    <w:rsid w:val="0010641D"/>
    <w:rsid w:val="001066A2"/>
    <w:rsid w:val="0010724B"/>
    <w:rsid w:val="00110894"/>
    <w:rsid w:val="00113B9D"/>
    <w:rsid w:val="00113E20"/>
    <w:rsid w:val="00114B5C"/>
    <w:rsid w:val="00115F53"/>
    <w:rsid w:val="00116CF5"/>
    <w:rsid w:val="0012055A"/>
    <w:rsid w:val="001222A4"/>
    <w:rsid w:val="001235E4"/>
    <w:rsid w:val="001248E8"/>
    <w:rsid w:val="00125292"/>
    <w:rsid w:val="00126228"/>
    <w:rsid w:val="00127342"/>
    <w:rsid w:val="001310AA"/>
    <w:rsid w:val="001314A8"/>
    <w:rsid w:val="0013195B"/>
    <w:rsid w:val="00132447"/>
    <w:rsid w:val="0013586D"/>
    <w:rsid w:val="00137615"/>
    <w:rsid w:val="00140EC8"/>
    <w:rsid w:val="00141044"/>
    <w:rsid w:val="001417A7"/>
    <w:rsid w:val="00141820"/>
    <w:rsid w:val="00141A46"/>
    <w:rsid w:val="00142532"/>
    <w:rsid w:val="001433AA"/>
    <w:rsid w:val="00143E87"/>
    <w:rsid w:val="00146EDB"/>
    <w:rsid w:val="001479BB"/>
    <w:rsid w:val="001507AA"/>
    <w:rsid w:val="00150B43"/>
    <w:rsid w:val="00151400"/>
    <w:rsid w:val="00151E68"/>
    <w:rsid w:val="001530C6"/>
    <w:rsid w:val="001533D3"/>
    <w:rsid w:val="00153529"/>
    <w:rsid w:val="00155A5E"/>
    <w:rsid w:val="00155ABF"/>
    <w:rsid w:val="001603DB"/>
    <w:rsid w:val="0016182B"/>
    <w:rsid w:val="00161845"/>
    <w:rsid w:val="00163F6E"/>
    <w:rsid w:val="0016430B"/>
    <w:rsid w:val="001664B2"/>
    <w:rsid w:val="00166CB0"/>
    <w:rsid w:val="00166FE8"/>
    <w:rsid w:val="00167766"/>
    <w:rsid w:val="0016795C"/>
    <w:rsid w:val="00170A15"/>
    <w:rsid w:val="00171539"/>
    <w:rsid w:val="00172914"/>
    <w:rsid w:val="00173AA8"/>
    <w:rsid w:val="001744D8"/>
    <w:rsid w:val="0017489F"/>
    <w:rsid w:val="00174936"/>
    <w:rsid w:val="00174A67"/>
    <w:rsid w:val="00175DDE"/>
    <w:rsid w:val="00175E3E"/>
    <w:rsid w:val="00176501"/>
    <w:rsid w:val="00177B8E"/>
    <w:rsid w:val="00180C05"/>
    <w:rsid w:val="001812AB"/>
    <w:rsid w:val="001812C0"/>
    <w:rsid w:val="001817F0"/>
    <w:rsid w:val="00181A1F"/>
    <w:rsid w:val="00182226"/>
    <w:rsid w:val="00182C81"/>
    <w:rsid w:val="00183093"/>
    <w:rsid w:val="00184D5A"/>
    <w:rsid w:val="00185C17"/>
    <w:rsid w:val="00185D01"/>
    <w:rsid w:val="00192832"/>
    <w:rsid w:val="00192868"/>
    <w:rsid w:val="001936DE"/>
    <w:rsid w:val="0019637E"/>
    <w:rsid w:val="00196CB7"/>
    <w:rsid w:val="00196FCA"/>
    <w:rsid w:val="00197652"/>
    <w:rsid w:val="00197984"/>
    <w:rsid w:val="001A1529"/>
    <w:rsid w:val="001A2DBE"/>
    <w:rsid w:val="001A4255"/>
    <w:rsid w:val="001A4458"/>
    <w:rsid w:val="001A4A08"/>
    <w:rsid w:val="001A66B6"/>
    <w:rsid w:val="001A7397"/>
    <w:rsid w:val="001B05DD"/>
    <w:rsid w:val="001B0F21"/>
    <w:rsid w:val="001B163F"/>
    <w:rsid w:val="001B4051"/>
    <w:rsid w:val="001B4343"/>
    <w:rsid w:val="001B61DF"/>
    <w:rsid w:val="001B7283"/>
    <w:rsid w:val="001B79DB"/>
    <w:rsid w:val="001C097C"/>
    <w:rsid w:val="001C1757"/>
    <w:rsid w:val="001C2894"/>
    <w:rsid w:val="001C5CAF"/>
    <w:rsid w:val="001C7603"/>
    <w:rsid w:val="001D0F46"/>
    <w:rsid w:val="001D186B"/>
    <w:rsid w:val="001D1D31"/>
    <w:rsid w:val="001D2261"/>
    <w:rsid w:val="001D2653"/>
    <w:rsid w:val="001D2B74"/>
    <w:rsid w:val="001D3062"/>
    <w:rsid w:val="001D63E9"/>
    <w:rsid w:val="001D684E"/>
    <w:rsid w:val="001D68A6"/>
    <w:rsid w:val="001D77B6"/>
    <w:rsid w:val="001D7C48"/>
    <w:rsid w:val="001E0816"/>
    <w:rsid w:val="001E13D8"/>
    <w:rsid w:val="001E2231"/>
    <w:rsid w:val="001E2391"/>
    <w:rsid w:val="001E3020"/>
    <w:rsid w:val="001E347C"/>
    <w:rsid w:val="001E35A7"/>
    <w:rsid w:val="001E513B"/>
    <w:rsid w:val="001E60E6"/>
    <w:rsid w:val="001E694B"/>
    <w:rsid w:val="001E6B0B"/>
    <w:rsid w:val="001E6D45"/>
    <w:rsid w:val="001F00F8"/>
    <w:rsid w:val="001F0E2A"/>
    <w:rsid w:val="001F12EA"/>
    <w:rsid w:val="001F1AB5"/>
    <w:rsid w:val="00201995"/>
    <w:rsid w:val="00202C2B"/>
    <w:rsid w:val="00203289"/>
    <w:rsid w:val="00204D0F"/>
    <w:rsid w:val="00206603"/>
    <w:rsid w:val="00206F0F"/>
    <w:rsid w:val="00210AF9"/>
    <w:rsid w:val="00210FD3"/>
    <w:rsid w:val="002111FC"/>
    <w:rsid w:val="002176C8"/>
    <w:rsid w:val="00217738"/>
    <w:rsid w:val="002200C5"/>
    <w:rsid w:val="00220BA5"/>
    <w:rsid w:val="0022127D"/>
    <w:rsid w:val="00221CB5"/>
    <w:rsid w:val="002225DC"/>
    <w:rsid w:val="00222C36"/>
    <w:rsid w:val="0022574D"/>
    <w:rsid w:val="002272F9"/>
    <w:rsid w:val="00227B90"/>
    <w:rsid w:val="002366CD"/>
    <w:rsid w:val="002370A7"/>
    <w:rsid w:val="00237BC7"/>
    <w:rsid w:val="00237DAF"/>
    <w:rsid w:val="0024042B"/>
    <w:rsid w:val="00240D91"/>
    <w:rsid w:val="0024173A"/>
    <w:rsid w:val="002423F8"/>
    <w:rsid w:val="00242803"/>
    <w:rsid w:val="00242F00"/>
    <w:rsid w:val="002439A7"/>
    <w:rsid w:val="00243C0C"/>
    <w:rsid w:val="00243D81"/>
    <w:rsid w:val="0024414E"/>
    <w:rsid w:val="00250A52"/>
    <w:rsid w:val="002514AA"/>
    <w:rsid w:val="0025348F"/>
    <w:rsid w:val="00253A60"/>
    <w:rsid w:val="00253D38"/>
    <w:rsid w:val="0025416C"/>
    <w:rsid w:val="002555BD"/>
    <w:rsid w:val="0025596F"/>
    <w:rsid w:val="00255B54"/>
    <w:rsid w:val="00257406"/>
    <w:rsid w:val="00260028"/>
    <w:rsid w:val="0026017D"/>
    <w:rsid w:val="0026033F"/>
    <w:rsid w:val="00260C1E"/>
    <w:rsid w:val="00260FEF"/>
    <w:rsid w:val="00261527"/>
    <w:rsid w:val="00261C58"/>
    <w:rsid w:val="00263954"/>
    <w:rsid w:val="00265322"/>
    <w:rsid w:val="00265D55"/>
    <w:rsid w:val="0027022C"/>
    <w:rsid w:val="00271076"/>
    <w:rsid w:val="00271C28"/>
    <w:rsid w:val="002727F1"/>
    <w:rsid w:val="002747B0"/>
    <w:rsid w:val="002758F7"/>
    <w:rsid w:val="002776EB"/>
    <w:rsid w:val="00281869"/>
    <w:rsid w:val="00281FB1"/>
    <w:rsid w:val="00282FFC"/>
    <w:rsid w:val="00284894"/>
    <w:rsid w:val="00285457"/>
    <w:rsid w:val="00285588"/>
    <w:rsid w:val="00287F1B"/>
    <w:rsid w:val="00290409"/>
    <w:rsid w:val="002909F6"/>
    <w:rsid w:val="00290A9F"/>
    <w:rsid w:val="00291DF5"/>
    <w:rsid w:val="00292DA1"/>
    <w:rsid w:val="00292FA1"/>
    <w:rsid w:val="00296A6A"/>
    <w:rsid w:val="00296C41"/>
    <w:rsid w:val="00297CE7"/>
    <w:rsid w:val="002A0971"/>
    <w:rsid w:val="002A11DF"/>
    <w:rsid w:val="002A134B"/>
    <w:rsid w:val="002A192D"/>
    <w:rsid w:val="002A1CC8"/>
    <w:rsid w:val="002A2592"/>
    <w:rsid w:val="002A2B26"/>
    <w:rsid w:val="002A5324"/>
    <w:rsid w:val="002A6C1E"/>
    <w:rsid w:val="002A728C"/>
    <w:rsid w:val="002B0674"/>
    <w:rsid w:val="002B19A0"/>
    <w:rsid w:val="002B1D5B"/>
    <w:rsid w:val="002B3F2B"/>
    <w:rsid w:val="002B45F5"/>
    <w:rsid w:val="002B7714"/>
    <w:rsid w:val="002C091A"/>
    <w:rsid w:val="002C4A47"/>
    <w:rsid w:val="002C68E6"/>
    <w:rsid w:val="002D0C18"/>
    <w:rsid w:val="002D0FA8"/>
    <w:rsid w:val="002D2A12"/>
    <w:rsid w:val="002D33EB"/>
    <w:rsid w:val="002D3501"/>
    <w:rsid w:val="002D3F60"/>
    <w:rsid w:val="002D5599"/>
    <w:rsid w:val="002D673E"/>
    <w:rsid w:val="002D693E"/>
    <w:rsid w:val="002D6F6F"/>
    <w:rsid w:val="002D7216"/>
    <w:rsid w:val="002D7655"/>
    <w:rsid w:val="002D7D60"/>
    <w:rsid w:val="002E0FE0"/>
    <w:rsid w:val="002E1234"/>
    <w:rsid w:val="002E1BB9"/>
    <w:rsid w:val="002E2A62"/>
    <w:rsid w:val="002E41ED"/>
    <w:rsid w:val="002E4423"/>
    <w:rsid w:val="002E459E"/>
    <w:rsid w:val="002E5103"/>
    <w:rsid w:val="002E5502"/>
    <w:rsid w:val="002E6F7D"/>
    <w:rsid w:val="002F0FE8"/>
    <w:rsid w:val="002F4BC1"/>
    <w:rsid w:val="002F4CD2"/>
    <w:rsid w:val="002F6E18"/>
    <w:rsid w:val="002F706F"/>
    <w:rsid w:val="002F7A4E"/>
    <w:rsid w:val="002F7C7C"/>
    <w:rsid w:val="00300996"/>
    <w:rsid w:val="0030150A"/>
    <w:rsid w:val="00301A6C"/>
    <w:rsid w:val="00302E7A"/>
    <w:rsid w:val="00304BA0"/>
    <w:rsid w:val="0030575E"/>
    <w:rsid w:val="00306F7C"/>
    <w:rsid w:val="0030775B"/>
    <w:rsid w:val="00311821"/>
    <w:rsid w:val="003150B6"/>
    <w:rsid w:val="00315629"/>
    <w:rsid w:val="00317739"/>
    <w:rsid w:val="00320F41"/>
    <w:rsid w:val="00322395"/>
    <w:rsid w:val="00322508"/>
    <w:rsid w:val="00322CA7"/>
    <w:rsid w:val="003239D7"/>
    <w:rsid w:val="003244A3"/>
    <w:rsid w:val="003244FC"/>
    <w:rsid w:val="00325B31"/>
    <w:rsid w:val="00325CC4"/>
    <w:rsid w:val="0032688C"/>
    <w:rsid w:val="00326E7E"/>
    <w:rsid w:val="003303D4"/>
    <w:rsid w:val="0033255F"/>
    <w:rsid w:val="003325A3"/>
    <w:rsid w:val="0033262E"/>
    <w:rsid w:val="00332EF1"/>
    <w:rsid w:val="00335F02"/>
    <w:rsid w:val="003360EB"/>
    <w:rsid w:val="0033664C"/>
    <w:rsid w:val="00336842"/>
    <w:rsid w:val="0034112B"/>
    <w:rsid w:val="003415CD"/>
    <w:rsid w:val="00341838"/>
    <w:rsid w:val="00343E5D"/>
    <w:rsid w:val="00343F89"/>
    <w:rsid w:val="0034534C"/>
    <w:rsid w:val="0034545B"/>
    <w:rsid w:val="003455AF"/>
    <w:rsid w:val="00345DEB"/>
    <w:rsid w:val="003466A5"/>
    <w:rsid w:val="00346B8D"/>
    <w:rsid w:val="00347473"/>
    <w:rsid w:val="003524AD"/>
    <w:rsid w:val="00355D0F"/>
    <w:rsid w:val="0035666C"/>
    <w:rsid w:val="003567AA"/>
    <w:rsid w:val="00361737"/>
    <w:rsid w:val="00363E4F"/>
    <w:rsid w:val="003644BA"/>
    <w:rsid w:val="00365D6C"/>
    <w:rsid w:val="003675FD"/>
    <w:rsid w:val="0036790A"/>
    <w:rsid w:val="00367F8F"/>
    <w:rsid w:val="003709DA"/>
    <w:rsid w:val="00372422"/>
    <w:rsid w:val="00372F79"/>
    <w:rsid w:val="00373813"/>
    <w:rsid w:val="00373D78"/>
    <w:rsid w:val="0037404C"/>
    <w:rsid w:val="00380B7D"/>
    <w:rsid w:val="0038156A"/>
    <w:rsid w:val="00382131"/>
    <w:rsid w:val="00382C51"/>
    <w:rsid w:val="00385174"/>
    <w:rsid w:val="003854E8"/>
    <w:rsid w:val="0038685C"/>
    <w:rsid w:val="0038793E"/>
    <w:rsid w:val="00387E62"/>
    <w:rsid w:val="00390BB7"/>
    <w:rsid w:val="00390F80"/>
    <w:rsid w:val="003918EE"/>
    <w:rsid w:val="00392E3B"/>
    <w:rsid w:val="00393553"/>
    <w:rsid w:val="00393930"/>
    <w:rsid w:val="00393BFD"/>
    <w:rsid w:val="00394906"/>
    <w:rsid w:val="00395C17"/>
    <w:rsid w:val="00396E44"/>
    <w:rsid w:val="00397235"/>
    <w:rsid w:val="0039752F"/>
    <w:rsid w:val="003A0129"/>
    <w:rsid w:val="003A0200"/>
    <w:rsid w:val="003A24F0"/>
    <w:rsid w:val="003A25AC"/>
    <w:rsid w:val="003A358A"/>
    <w:rsid w:val="003A37CF"/>
    <w:rsid w:val="003A3FD8"/>
    <w:rsid w:val="003A4E91"/>
    <w:rsid w:val="003B0242"/>
    <w:rsid w:val="003B184A"/>
    <w:rsid w:val="003B1953"/>
    <w:rsid w:val="003B1F80"/>
    <w:rsid w:val="003B2697"/>
    <w:rsid w:val="003B3024"/>
    <w:rsid w:val="003B3679"/>
    <w:rsid w:val="003B48E0"/>
    <w:rsid w:val="003B5280"/>
    <w:rsid w:val="003B54A9"/>
    <w:rsid w:val="003B5556"/>
    <w:rsid w:val="003B67E4"/>
    <w:rsid w:val="003B6B49"/>
    <w:rsid w:val="003B6F01"/>
    <w:rsid w:val="003B77BD"/>
    <w:rsid w:val="003B7BD3"/>
    <w:rsid w:val="003C09A2"/>
    <w:rsid w:val="003C0EB4"/>
    <w:rsid w:val="003C19A1"/>
    <w:rsid w:val="003C1DBD"/>
    <w:rsid w:val="003C2573"/>
    <w:rsid w:val="003C2E90"/>
    <w:rsid w:val="003C37BC"/>
    <w:rsid w:val="003C3870"/>
    <w:rsid w:val="003C3EB4"/>
    <w:rsid w:val="003C4449"/>
    <w:rsid w:val="003C4582"/>
    <w:rsid w:val="003C51B6"/>
    <w:rsid w:val="003C58FE"/>
    <w:rsid w:val="003C64DB"/>
    <w:rsid w:val="003C6CFA"/>
    <w:rsid w:val="003D03FF"/>
    <w:rsid w:val="003D094A"/>
    <w:rsid w:val="003D25AE"/>
    <w:rsid w:val="003D2AE7"/>
    <w:rsid w:val="003D2CAA"/>
    <w:rsid w:val="003D3E30"/>
    <w:rsid w:val="003D6487"/>
    <w:rsid w:val="003D6D6C"/>
    <w:rsid w:val="003D721D"/>
    <w:rsid w:val="003D74E1"/>
    <w:rsid w:val="003E05B7"/>
    <w:rsid w:val="003E1248"/>
    <w:rsid w:val="003E1CD9"/>
    <w:rsid w:val="003E418E"/>
    <w:rsid w:val="003E43FB"/>
    <w:rsid w:val="003E5299"/>
    <w:rsid w:val="003E605A"/>
    <w:rsid w:val="003F00FB"/>
    <w:rsid w:val="003F0486"/>
    <w:rsid w:val="003F136D"/>
    <w:rsid w:val="003F15E1"/>
    <w:rsid w:val="003F17F4"/>
    <w:rsid w:val="003F18D0"/>
    <w:rsid w:val="003F1EE5"/>
    <w:rsid w:val="003F2814"/>
    <w:rsid w:val="003F2A81"/>
    <w:rsid w:val="003F2D98"/>
    <w:rsid w:val="003F32CF"/>
    <w:rsid w:val="003F3405"/>
    <w:rsid w:val="003F3A2C"/>
    <w:rsid w:val="003F408E"/>
    <w:rsid w:val="003F4DB0"/>
    <w:rsid w:val="003F58C7"/>
    <w:rsid w:val="003F601C"/>
    <w:rsid w:val="003F6A19"/>
    <w:rsid w:val="003F6D15"/>
    <w:rsid w:val="003F7BA0"/>
    <w:rsid w:val="004005CD"/>
    <w:rsid w:val="00400E04"/>
    <w:rsid w:val="004011EA"/>
    <w:rsid w:val="00401D31"/>
    <w:rsid w:val="004036B6"/>
    <w:rsid w:val="00404453"/>
    <w:rsid w:val="00404CFE"/>
    <w:rsid w:val="004059EB"/>
    <w:rsid w:val="0040642A"/>
    <w:rsid w:val="0040651F"/>
    <w:rsid w:val="004067DB"/>
    <w:rsid w:val="00406B72"/>
    <w:rsid w:val="004100FF"/>
    <w:rsid w:val="00410F83"/>
    <w:rsid w:val="00410FB9"/>
    <w:rsid w:val="00411F09"/>
    <w:rsid w:val="004142F6"/>
    <w:rsid w:val="0041507C"/>
    <w:rsid w:val="00416515"/>
    <w:rsid w:val="00417494"/>
    <w:rsid w:val="00420933"/>
    <w:rsid w:val="00421117"/>
    <w:rsid w:val="00421D6D"/>
    <w:rsid w:val="004233FB"/>
    <w:rsid w:val="0042344B"/>
    <w:rsid w:val="00423A55"/>
    <w:rsid w:val="0042489F"/>
    <w:rsid w:val="004266CA"/>
    <w:rsid w:val="0042791E"/>
    <w:rsid w:val="004306BC"/>
    <w:rsid w:val="00430D80"/>
    <w:rsid w:val="0043239C"/>
    <w:rsid w:val="00432B60"/>
    <w:rsid w:val="0043326F"/>
    <w:rsid w:val="0043332D"/>
    <w:rsid w:val="00433619"/>
    <w:rsid w:val="0043396E"/>
    <w:rsid w:val="00433CB2"/>
    <w:rsid w:val="00433CD9"/>
    <w:rsid w:val="00434515"/>
    <w:rsid w:val="00434BDA"/>
    <w:rsid w:val="0043516D"/>
    <w:rsid w:val="004363AE"/>
    <w:rsid w:val="00436552"/>
    <w:rsid w:val="00440346"/>
    <w:rsid w:val="0044097A"/>
    <w:rsid w:val="00442BDB"/>
    <w:rsid w:val="00443378"/>
    <w:rsid w:val="00443445"/>
    <w:rsid w:val="004441C3"/>
    <w:rsid w:val="00445291"/>
    <w:rsid w:val="004479B6"/>
    <w:rsid w:val="0045217A"/>
    <w:rsid w:val="00452684"/>
    <w:rsid w:val="0045400D"/>
    <w:rsid w:val="00454484"/>
    <w:rsid w:val="00455FB0"/>
    <w:rsid w:val="00461E19"/>
    <w:rsid w:val="004634CD"/>
    <w:rsid w:val="00463EFF"/>
    <w:rsid w:val="00464D88"/>
    <w:rsid w:val="00465629"/>
    <w:rsid w:val="00466E61"/>
    <w:rsid w:val="0046783D"/>
    <w:rsid w:val="0046788D"/>
    <w:rsid w:val="00467D78"/>
    <w:rsid w:val="004708DE"/>
    <w:rsid w:val="004709B1"/>
    <w:rsid w:val="00472593"/>
    <w:rsid w:val="00472ED7"/>
    <w:rsid w:val="00473CB4"/>
    <w:rsid w:val="004758A2"/>
    <w:rsid w:val="00476A1F"/>
    <w:rsid w:val="00480054"/>
    <w:rsid w:val="004807DC"/>
    <w:rsid w:val="00480BEE"/>
    <w:rsid w:val="00480DFA"/>
    <w:rsid w:val="0048295A"/>
    <w:rsid w:val="00482CE9"/>
    <w:rsid w:val="004837B4"/>
    <w:rsid w:val="004847D0"/>
    <w:rsid w:val="00486844"/>
    <w:rsid w:val="00486F8C"/>
    <w:rsid w:val="00490281"/>
    <w:rsid w:val="00491882"/>
    <w:rsid w:val="004949C9"/>
    <w:rsid w:val="00494CF7"/>
    <w:rsid w:val="0049768D"/>
    <w:rsid w:val="00497C3C"/>
    <w:rsid w:val="004A1256"/>
    <w:rsid w:val="004A1BA4"/>
    <w:rsid w:val="004A1F3B"/>
    <w:rsid w:val="004A36C8"/>
    <w:rsid w:val="004A390A"/>
    <w:rsid w:val="004A4D0C"/>
    <w:rsid w:val="004A636A"/>
    <w:rsid w:val="004A694E"/>
    <w:rsid w:val="004A75AA"/>
    <w:rsid w:val="004A78E3"/>
    <w:rsid w:val="004B0A53"/>
    <w:rsid w:val="004B3487"/>
    <w:rsid w:val="004B3E9E"/>
    <w:rsid w:val="004B4939"/>
    <w:rsid w:val="004B4B95"/>
    <w:rsid w:val="004B6069"/>
    <w:rsid w:val="004B62CF"/>
    <w:rsid w:val="004C05B4"/>
    <w:rsid w:val="004C09FD"/>
    <w:rsid w:val="004C168F"/>
    <w:rsid w:val="004C16E8"/>
    <w:rsid w:val="004C2A9D"/>
    <w:rsid w:val="004C3E5A"/>
    <w:rsid w:val="004C4A2E"/>
    <w:rsid w:val="004C638F"/>
    <w:rsid w:val="004C6641"/>
    <w:rsid w:val="004C69B5"/>
    <w:rsid w:val="004C6CED"/>
    <w:rsid w:val="004C71E1"/>
    <w:rsid w:val="004D03B3"/>
    <w:rsid w:val="004D2851"/>
    <w:rsid w:val="004D2A90"/>
    <w:rsid w:val="004D3D21"/>
    <w:rsid w:val="004D400A"/>
    <w:rsid w:val="004D4861"/>
    <w:rsid w:val="004D4984"/>
    <w:rsid w:val="004D4B77"/>
    <w:rsid w:val="004D4DCA"/>
    <w:rsid w:val="004D5B37"/>
    <w:rsid w:val="004D7505"/>
    <w:rsid w:val="004D7A7F"/>
    <w:rsid w:val="004E01A2"/>
    <w:rsid w:val="004E0DE1"/>
    <w:rsid w:val="004E1648"/>
    <w:rsid w:val="004E17E1"/>
    <w:rsid w:val="004E1E18"/>
    <w:rsid w:val="004E2C82"/>
    <w:rsid w:val="004E36E2"/>
    <w:rsid w:val="004E4D21"/>
    <w:rsid w:val="004E5469"/>
    <w:rsid w:val="004E5E66"/>
    <w:rsid w:val="004E65AF"/>
    <w:rsid w:val="004F0344"/>
    <w:rsid w:val="004F11E5"/>
    <w:rsid w:val="004F1C95"/>
    <w:rsid w:val="004F25CC"/>
    <w:rsid w:val="004F272B"/>
    <w:rsid w:val="004F42E7"/>
    <w:rsid w:val="004F55BA"/>
    <w:rsid w:val="004F5EC4"/>
    <w:rsid w:val="004F6C25"/>
    <w:rsid w:val="004F7BB1"/>
    <w:rsid w:val="00501565"/>
    <w:rsid w:val="00503B4D"/>
    <w:rsid w:val="00504484"/>
    <w:rsid w:val="005044D0"/>
    <w:rsid w:val="00504618"/>
    <w:rsid w:val="00504687"/>
    <w:rsid w:val="005051C0"/>
    <w:rsid w:val="00505678"/>
    <w:rsid w:val="00507671"/>
    <w:rsid w:val="00507A1B"/>
    <w:rsid w:val="00507DCE"/>
    <w:rsid w:val="005101FD"/>
    <w:rsid w:val="00511B9A"/>
    <w:rsid w:val="00512554"/>
    <w:rsid w:val="0051291A"/>
    <w:rsid w:val="0051359F"/>
    <w:rsid w:val="00513C79"/>
    <w:rsid w:val="0051419C"/>
    <w:rsid w:val="00514EB9"/>
    <w:rsid w:val="0051596F"/>
    <w:rsid w:val="00516FC7"/>
    <w:rsid w:val="0052070A"/>
    <w:rsid w:val="00520E14"/>
    <w:rsid w:val="00521C41"/>
    <w:rsid w:val="00521FC2"/>
    <w:rsid w:val="005245FB"/>
    <w:rsid w:val="00524B1B"/>
    <w:rsid w:val="00525A4A"/>
    <w:rsid w:val="00525D2A"/>
    <w:rsid w:val="00526204"/>
    <w:rsid w:val="00527418"/>
    <w:rsid w:val="00527866"/>
    <w:rsid w:val="00530959"/>
    <w:rsid w:val="005315E5"/>
    <w:rsid w:val="00533B23"/>
    <w:rsid w:val="00533EF1"/>
    <w:rsid w:val="00533F86"/>
    <w:rsid w:val="00537591"/>
    <w:rsid w:val="00537B92"/>
    <w:rsid w:val="00540997"/>
    <w:rsid w:val="00540E13"/>
    <w:rsid w:val="00541AB6"/>
    <w:rsid w:val="0054244E"/>
    <w:rsid w:val="005447C6"/>
    <w:rsid w:val="00545293"/>
    <w:rsid w:val="00545CA3"/>
    <w:rsid w:val="005468D3"/>
    <w:rsid w:val="0054761B"/>
    <w:rsid w:val="00550EF4"/>
    <w:rsid w:val="00550F70"/>
    <w:rsid w:val="00551C94"/>
    <w:rsid w:val="00552EF6"/>
    <w:rsid w:val="00553157"/>
    <w:rsid w:val="00553D39"/>
    <w:rsid w:val="00554649"/>
    <w:rsid w:val="00554CEB"/>
    <w:rsid w:val="005557AF"/>
    <w:rsid w:val="00556755"/>
    <w:rsid w:val="00556802"/>
    <w:rsid w:val="00556BD8"/>
    <w:rsid w:val="00557FF3"/>
    <w:rsid w:val="00560BDC"/>
    <w:rsid w:val="0056302F"/>
    <w:rsid w:val="00563CE2"/>
    <w:rsid w:val="00564239"/>
    <w:rsid w:val="005642B7"/>
    <w:rsid w:val="005651E0"/>
    <w:rsid w:val="00565A01"/>
    <w:rsid w:val="005661BE"/>
    <w:rsid w:val="005665C3"/>
    <w:rsid w:val="00566656"/>
    <w:rsid w:val="00566D9B"/>
    <w:rsid w:val="0057057E"/>
    <w:rsid w:val="00571D94"/>
    <w:rsid w:val="00571F90"/>
    <w:rsid w:val="00572594"/>
    <w:rsid w:val="0057278B"/>
    <w:rsid w:val="00572A1B"/>
    <w:rsid w:val="00572DD7"/>
    <w:rsid w:val="00573849"/>
    <w:rsid w:val="005775FE"/>
    <w:rsid w:val="005809F6"/>
    <w:rsid w:val="00585BB2"/>
    <w:rsid w:val="00586948"/>
    <w:rsid w:val="00587372"/>
    <w:rsid w:val="0058766E"/>
    <w:rsid w:val="005879F2"/>
    <w:rsid w:val="00587E33"/>
    <w:rsid w:val="00591A61"/>
    <w:rsid w:val="00592134"/>
    <w:rsid w:val="00592351"/>
    <w:rsid w:val="00592472"/>
    <w:rsid w:val="00592D78"/>
    <w:rsid w:val="0059465D"/>
    <w:rsid w:val="00596396"/>
    <w:rsid w:val="00597808"/>
    <w:rsid w:val="005979E2"/>
    <w:rsid w:val="005A0B57"/>
    <w:rsid w:val="005A1926"/>
    <w:rsid w:val="005A2318"/>
    <w:rsid w:val="005A3A5E"/>
    <w:rsid w:val="005A5933"/>
    <w:rsid w:val="005A5C7F"/>
    <w:rsid w:val="005A662D"/>
    <w:rsid w:val="005A7582"/>
    <w:rsid w:val="005A7B39"/>
    <w:rsid w:val="005B041E"/>
    <w:rsid w:val="005B0F70"/>
    <w:rsid w:val="005B1227"/>
    <w:rsid w:val="005B1BDA"/>
    <w:rsid w:val="005B1CB8"/>
    <w:rsid w:val="005B2176"/>
    <w:rsid w:val="005B2405"/>
    <w:rsid w:val="005B314D"/>
    <w:rsid w:val="005B485C"/>
    <w:rsid w:val="005B594E"/>
    <w:rsid w:val="005B5A0A"/>
    <w:rsid w:val="005B742D"/>
    <w:rsid w:val="005B7B14"/>
    <w:rsid w:val="005B7B34"/>
    <w:rsid w:val="005C26D2"/>
    <w:rsid w:val="005C3071"/>
    <w:rsid w:val="005C3BDA"/>
    <w:rsid w:val="005C4350"/>
    <w:rsid w:val="005C51E1"/>
    <w:rsid w:val="005C58C8"/>
    <w:rsid w:val="005C6F49"/>
    <w:rsid w:val="005D058D"/>
    <w:rsid w:val="005D0E49"/>
    <w:rsid w:val="005D1EA0"/>
    <w:rsid w:val="005D27C9"/>
    <w:rsid w:val="005D2DF2"/>
    <w:rsid w:val="005D3306"/>
    <w:rsid w:val="005D391D"/>
    <w:rsid w:val="005D5262"/>
    <w:rsid w:val="005D6946"/>
    <w:rsid w:val="005D7148"/>
    <w:rsid w:val="005D7606"/>
    <w:rsid w:val="005D78A6"/>
    <w:rsid w:val="005D7C82"/>
    <w:rsid w:val="005E09DF"/>
    <w:rsid w:val="005E0C3F"/>
    <w:rsid w:val="005E1BF9"/>
    <w:rsid w:val="005E2C8E"/>
    <w:rsid w:val="005E30B2"/>
    <w:rsid w:val="005E446E"/>
    <w:rsid w:val="005E4883"/>
    <w:rsid w:val="005E4CEA"/>
    <w:rsid w:val="005E6AA5"/>
    <w:rsid w:val="005E7DF8"/>
    <w:rsid w:val="005F0DAB"/>
    <w:rsid w:val="005F2A8D"/>
    <w:rsid w:val="005F411E"/>
    <w:rsid w:val="005F577C"/>
    <w:rsid w:val="005F76C3"/>
    <w:rsid w:val="00600A48"/>
    <w:rsid w:val="00601B12"/>
    <w:rsid w:val="00601F0F"/>
    <w:rsid w:val="00603A47"/>
    <w:rsid w:val="00605756"/>
    <w:rsid w:val="006060D0"/>
    <w:rsid w:val="00607FCD"/>
    <w:rsid w:val="00610390"/>
    <w:rsid w:val="00610C82"/>
    <w:rsid w:val="006114BF"/>
    <w:rsid w:val="00611BE6"/>
    <w:rsid w:val="00611F49"/>
    <w:rsid w:val="00612331"/>
    <w:rsid w:val="00612582"/>
    <w:rsid w:val="00612866"/>
    <w:rsid w:val="00613400"/>
    <w:rsid w:val="0061358D"/>
    <w:rsid w:val="006141C6"/>
    <w:rsid w:val="006149D5"/>
    <w:rsid w:val="00614AB0"/>
    <w:rsid w:val="006158B0"/>
    <w:rsid w:val="00615BA8"/>
    <w:rsid w:val="006166A7"/>
    <w:rsid w:val="00616BDC"/>
    <w:rsid w:val="00621388"/>
    <w:rsid w:val="006219C1"/>
    <w:rsid w:val="00621A32"/>
    <w:rsid w:val="00621F71"/>
    <w:rsid w:val="00622E2B"/>
    <w:rsid w:val="00623EAD"/>
    <w:rsid w:val="00624398"/>
    <w:rsid w:val="006254D3"/>
    <w:rsid w:val="00630315"/>
    <w:rsid w:val="00630EAD"/>
    <w:rsid w:val="00633834"/>
    <w:rsid w:val="006338CF"/>
    <w:rsid w:val="00634A84"/>
    <w:rsid w:val="0063527A"/>
    <w:rsid w:val="00635B8A"/>
    <w:rsid w:val="00636B02"/>
    <w:rsid w:val="00637DBB"/>
    <w:rsid w:val="00640E94"/>
    <w:rsid w:val="00641675"/>
    <w:rsid w:val="00641CBB"/>
    <w:rsid w:val="0064220D"/>
    <w:rsid w:val="006423BF"/>
    <w:rsid w:val="00643350"/>
    <w:rsid w:val="00650CC9"/>
    <w:rsid w:val="006511CF"/>
    <w:rsid w:val="00652CDE"/>
    <w:rsid w:val="0065388B"/>
    <w:rsid w:val="00653E0A"/>
    <w:rsid w:val="00655A63"/>
    <w:rsid w:val="00655E60"/>
    <w:rsid w:val="00657F91"/>
    <w:rsid w:val="0066089E"/>
    <w:rsid w:val="00660D21"/>
    <w:rsid w:val="00661590"/>
    <w:rsid w:val="00661CF5"/>
    <w:rsid w:val="00662F32"/>
    <w:rsid w:val="0066300A"/>
    <w:rsid w:val="00663620"/>
    <w:rsid w:val="00666543"/>
    <w:rsid w:val="006665EA"/>
    <w:rsid w:val="0066669F"/>
    <w:rsid w:val="00667981"/>
    <w:rsid w:val="00667CA3"/>
    <w:rsid w:val="00672286"/>
    <w:rsid w:val="0067270F"/>
    <w:rsid w:val="00673A9F"/>
    <w:rsid w:val="00673FB0"/>
    <w:rsid w:val="00675BA8"/>
    <w:rsid w:val="0067782C"/>
    <w:rsid w:val="006806DF"/>
    <w:rsid w:val="00680A76"/>
    <w:rsid w:val="006811D1"/>
    <w:rsid w:val="006819F1"/>
    <w:rsid w:val="00681AF1"/>
    <w:rsid w:val="00681E92"/>
    <w:rsid w:val="00683198"/>
    <w:rsid w:val="006863FB"/>
    <w:rsid w:val="006871DF"/>
    <w:rsid w:val="0068740D"/>
    <w:rsid w:val="006874DF"/>
    <w:rsid w:val="00687B3E"/>
    <w:rsid w:val="00687BB4"/>
    <w:rsid w:val="006936D1"/>
    <w:rsid w:val="00693729"/>
    <w:rsid w:val="00693C4C"/>
    <w:rsid w:val="00693C60"/>
    <w:rsid w:val="0069502F"/>
    <w:rsid w:val="00696255"/>
    <w:rsid w:val="006971DB"/>
    <w:rsid w:val="00697BE3"/>
    <w:rsid w:val="006A01EE"/>
    <w:rsid w:val="006A192F"/>
    <w:rsid w:val="006A262E"/>
    <w:rsid w:val="006A2A87"/>
    <w:rsid w:val="006A31F3"/>
    <w:rsid w:val="006A36EB"/>
    <w:rsid w:val="006A3DBA"/>
    <w:rsid w:val="006A5744"/>
    <w:rsid w:val="006A716E"/>
    <w:rsid w:val="006A74F5"/>
    <w:rsid w:val="006A7DEB"/>
    <w:rsid w:val="006A7F43"/>
    <w:rsid w:val="006B146E"/>
    <w:rsid w:val="006B16C0"/>
    <w:rsid w:val="006B2755"/>
    <w:rsid w:val="006B40A8"/>
    <w:rsid w:val="006B4712"/>
    <w:rsid w:val="006B50D3"/>
    <w:rsid w:val="006B5757"/>
    <w:rsid w:val="006B79D5"/>
    <w:rsid w:val="006C03DD"/>
    <w:rsid w:val="006C15B5"/>
    <w:rsid w:val="006C1BFE"/>
    <w:rsid w:val="006C25C2"/>
    <w:rsid w:val="006C2AE1"/>
    <w:rsid w:val="006C2ED2"/>
    <w:rsid w:val="006C3EAD"/>
    <w:rsid w:val="006C4F89"/>
    <w:rsid w:val="006C793A"/>
    <w:rsid w:val="006D065D"/>
    <w:rsid w:val="006D07F2"/>
    <w:rsid w:val="006D478A"/>
    <w:rsid w:val="006D48DF"/>
    <w:rsid w:val="006D5D2B"/>
    <w:rsid w:val="006D6D2C"/>
    <w:rsid w:val="006E034B"/>
    <w:rsid w:val="006E041D"/>
    <w:rsid w:val="006E08AF"/>
    <w:rsid w:val="006E159E"/>
    <w:rsid w:val="006E1B73"/>
    <w:rsid w:val="006E38DF"/>
    <w:rsid w:val="006E39DE"/>
    <w:rsid w:val="006E3A4D"/>
    <w:rsid w:val="006E3F70"/>
    <w:rsid w:val="006E42AB"/>
    <w:rsid w:val="006E4E94"/>
    <w:rsid w:val="006E5139"/>
    <w:rsid w:val="006E670F"/>
    <w:rsid w:val="006E73FB"/>
    <w:rsid w:val="006E7532"/>
    <w:rsid w:val="006F0464"/>
    <w:rsid w:val="006F0CA7"/>
    <w:rsid w:val="006F0EC2"/>
    <w:rsid w:val="006F0F09"/>
    <w:rsid w:val="006F268B"/>
    <w:rsid w:val="006F4B75"/>
    <w:rsid w:val="006F5553"/>
    <w:rsid w:val="006F58D6"/>
    <w:rsid w:val="006F741F"/>
    <w:rsid w:val="00700AF8"/>
    <w:rsid w:val="007027F0"/>
    <w:rsid w:val="00702F60"/>
    <w:rsid w:val="00704232"/>
    <w:rsid w:val="00704B71"/>
    <w:rsid w:val="007068E6"/>
    <w:rsid w:val="00706B06"/>
    <w:rsid w:val="007112A2"/>
    <w:rsid w:val="00711ECD"/>
    <w:rsid w:val="00711F8C"/>
    <w:rsid w:val="00713452"/>
    <w:rsid w:val="007134DF"/>
    <w:rsid w:val="007138BD"/>
    <w:rsid w:val="00714AFD"/>
    <w:rsid w:val="00716292"/>
    <w:rsid w:val="007175A8"/>
    <w:rsid w:val="0072162E"/>
    <w:rsid w:val="00722EC7"/>
    <w:rsid w:val="0072310A"/>
    <w:rsid w:val="007234D6"/>
    <w:rsid w:val="00723BF3"/>
    <w:rsid w:val="0072459E"/>
    <w:rsid w:val="00724C25"/>
    <w:rsid w:val="007259B3"/>
    <w:rsid w:val="00726952"/>
    <w:rsid w:val="007272EF"/>
    <w:rsid w:val="007274CD"/>
    <w:rsid w:val="007324FB"/>
    <w:rsid w:val="0073473E"/>
    <w:rsid w:val="00740802"/>
    <w:rsid w:val="00741A4C"/>
    <w:rsid w:val="00741D0C"/>
    <w:rsid w:val="00743A49"/>
    <w:rsid w:val="00745606"/>
    <w:rsid w:val="007464C7"/>
    <w:rsid w:val="0074780F"/>
    <w:rsid w:val="007479D7"/>
    <w:rsid w:val="00747E79"/>
    <w:rsid w:val="007500C0"/>
    <w:rsid w:val="0075114A"/>
    <w:rsid w:val="00752492"/>
    <w:rsid w:val="00752EBB"/>
    <w:rsid w:val="00754552"/>
    <w:rsid w:val="007547FF"/>
    <w:rsid w:val="00756AAC"/>
    <w:rsid w:val="00760094"/>
    <w:rsid w:val="007608D1"/>
    <w:rsid w:val="00761068"/>
    <w:rsid w:val="0076163B"/>
    <w:rsid w:val="00761722"/>
    <w:rsid w:val="00761E8E"/>
    <w:rsid w:val="007634AB"/>
    <w:rsid w:val="00764DAF"/>
    <w:rsid w:val="00765BC2"/>
    <w:rsid w:val="00770765"/>
    <w:rsid w:val="00771ADE"/>
    <w:rsid w:val="00771B62"/>
    <w:rsid w:val="00772CF4"/>
    <w:rsid w:val="0077386A"/>
    <w:rsid w:val="00774F17"/>
    <w:rsid w:val="007773E2"/>
    <w:rsid w:val="00777698"/>
    <w:rsid w:val="007777E6"/>
    <w:rsid w:val="00780212"/>
    <w:rsid w:val="0078122C"/>
    <w:rsid w:val="007816E1"/>
    <w:rsid w:val="0078192B"/>
    <w:rsid w:val="0078337F"/>
    <w:rsid w:val="00784F4E"/>
    <w:rsid w:val="007853ED"/>
    <w:rsid w:val="00785BD9"/>
    <w:rsid w:val="00786F84"/>
    <w:rsid w:val="007879A0"/>
    <w:rsid w:val="007879D2"/>
    <w:rsid w:val="00787F86"/>
    <w:rsid w:val="007900B1"/>
    <w:rsid w:val="007917E4"/>
    <w:rsid w:val="00792C58"/>
    <w:rsid w:val="00793B29"/>
    <w:rsid w:val="00793ED4"/>
    <w:rsid w:val="00794BAC"/>
    <w:rsid w:val="007955DE"/>
    <w:rsid w:val="0079592D"/>
    <w:rsid w:val="007964B6"/>
    <w:rsid w:val="00796AB9"/>
    <w:rsid w:val="007A0359"/>
    <w:rsid w:val="007A038A"/>
    <w:rsid w:val="007A09DE"/>
    <w:rsid w:val="007A50D7"/>
    <w:rsid w:val="007A5685"/>
    <w:rsid w:val="007B0D7A"/>
    <w:rsid w:val="007B105B"/>
    <w:rsid w:val="007B1A40"/>
    <w:rsid w:val="007B330C"/>
    <w:rsid w:val="007B3B09"/>
    <w:rsid w:val="007B4DA0"/>
    <w:rsid w:val="007B5128"/>
    <w:rsid w:val="007B6691"/>
    <w:rsid w:val="007B7275"/>
    <w:rsid w:val="007B7744"/>
    <w:rsid w:val="007C0025"/>
    <w:rsid w:val="007C06D7"/>
    <w:rsid w:val="007C14BE"/>
    <w:rsid w:val="007C1CE4"/>
    <w:rsid w:val="007C341F"/>
    <w:rsid w:val="007C3BA4"/>
    <w:rsid w:val="007C3DA2"/>
    <w:rsid w:val="007C4EEE"/>
    <w:rsid w:val="007C56FC"/>
    <w:rsid w:val="007C6142"/>
    <w:rsid w:val="007C7110"/>
    <w:rsid w:val="007C7EDA"/>
    <w:rsid w:val="007D0116"/>
    <w:rsid w:val="007D1AE8"/>
    <w:rsid w:val="007D1FD1"/>
    <w:rsid w:val="007D2984"/>
    <w:rsid w:val="007D2AFF"/>
    <w:rsid w:val="007D38A6"/>
    <w:rsid w:val="007D422A"/>
    <w:rsid w:val="007D4D04"/>
    <w:rsid w:val="007D4E77"/>
    <w:rsid w:val="007D7052"/>
    <w:rsid w:val="007D728F"/>
    <w:rsid w:val="007D792A"/>
    <w:rsid w:val="007D7C2F"/>
    <w:rsid w:val="007E00FF"/>
    <w:rsid w:val="007E09D2"/>
    <w:rsid w:val="007E1066"/>
    <w:rsid w:val="007E1502"/>
    <w:rsid w:val="007E28A2"/>
    <w:rsid w:val="007E36BD"/>
    <w:rsid w:val="007E37E0"/>
    <w:rsid w:val="007E4303"/>
    <w:rsid w:val="007E45D1"/>
    <w:rsid w:val="007E572D"/>
    <w:rsid w:val="007E5D84"/>
    <w:rsid w:val="007E5F4F"/>
    <w:rsid w:val="007E637E"/>
    <w:rsid w:val="007E64EB"/>
    <w:rsid w:val="007E652E"/>
    <w:rsid w:val="007E689E"/>
    <w:rsid w:val="007E692E"/>
    <w:rsid w:val="007E76AC"/>
    <w:rsid w:val="007E78AF"/>
    <w:rsid w:val="007E7DB7"/>
    <w:rsid w:val="007F1060"/>
    <w:rsid w:val="007F1B32"/>
    <w:rsid w:val="007F1DA1"/>
    <w:rsid w:val="007F274C"/>
    <w:rsid w:val="007F2833"/>
    <w:rsid w:val="007F3EA4"/>
    <w:rsid w:val="007F4174"/>
    <w:rsid w:val="007F6A9D"/>
    <w:rsid w:val="007F6C03"/>
    <w:rsid w:val="007F7E67"/>
    <w:rsid w:val="00801927"/>
    <w:rsid w:val="00802ACC"/>
    <w:rsid w:val="008033A1"/>
    <w:rsid w:val="008061CB"/>
    <w:rsid w:val="00806549"/>
    <w:rsid w:val="008069EB"/>
    <w:rsid w:val="00806FD6"/>
    <w:rsid w:val="0080732C"/>
    <w:rsid w:val="00807920"/>
    <w:rsid w:val="00807DC6"/>
    <w:rsid w:val="008108AB"/>
    <w:rsid w:val="0081126A"/>
    <w:rsid w:val="0081183A"/>
    <w:rsid w:val="00812215"/>
    <w:rsid w:val="008122C6"/>
    <w:rsid w:val="00812D69"/>
    <w:rsid w:val="00813661"/>
    <w:rsid w:val="00814B2E"/>
    <w:rsid w:val="008171E7"/>
    <w:rsid w:val="00817414"/>
    <w:rsid w:val="00821648"/>
    <w:rsid w:val="008232C8"/>
    <w:rsid w:val="008244E3"/>
    <w:rsid w:val="008254AA"/>
    <w:rsid w:val="008261C3"/>
    <w:rsid w:val="008272EF"/>
    <w:rsid w:val="00827622"/>
    <w:rsid w:val="0083228E"/>
    <w:rsid w:val="00832B64"/>
    <w:rsid w:val="00834814"/>
    <w:rsid w:val="00834A08"/>
    <w:rsid w:val="008355D2"/>
    <w:rsid w:val="0083638D"/>
    <w:rsid w:val="00836702"/>
    <w:rsid w:val="00837E3B"/>
    <w:rsid w:val="00840CFB"/>
    <w:rsid w:val="008418FE"/>
    <w:rsid w:val="008426C6"/>
    <w:rsid w:val="00844ABF"/>
    <w:rsid w:val="00845A09"/>
    <w:rsid w:val="00846025"/>
    <w:rsid w:val="0084663C"/>
    <w:rsid w:val="0084669B"/>
    <w:rsid w:val="00847364"/>
    <w:rsid w:val="00850735"/>
    <w:rsid w:val="00851207"/>
    <w:rsid w:val="0085187B"/>
    <w:rsid w:val="008520E5"/>
    <w:rsid w:val="00852A67"/>
    <w:rsid w:val="008554E1"/>
    <w:rsid w:val="008560AA"/>
    <w:rsid w:val="008578AC"/>
    <w:rsid w:val="00857C4F"/>
    <w:rsid w:val="00861015"/>
    <w:rsid w:val="008622E6"/>
    <w:rsid w:val="00862C8F"/>
    <w:rsid w:val="00863939"/>
    <w:rsid w:val="00863A3D"/>
    <w:rsid w:val="00863AE4"/>
    <w:rsid w:val="00864908"/>
    <w:rsid w:val="00864D19"/>
    <w:rsid w:val="008659FF"/>
    <w:rsid w:val="00865FB3"/>
    <w:rsid w:val="00866641"/>
    <w:rsid w:val="00870468"/>
    <w:rsid w:val="008707B7"/>
    <w:rsid w:val="00872887"/>
    <w:rsid w:val="0087325E"/>
    <w:rsid w:val="00873862"/>
    <w:rsid w:val="00877BC0"/>
    <w:rsid w:val="00881A27"/>
    <w:rsid w:val="00882659"/>
    <w:rsid w:val="008827A7"/>
    <w:rsid w:val="00884379"/>
    <w:rsid w:val="0088470E"/>
    <w:rsid w:val="00884985"/>
    <w:rsid w:val="00885BEC"/>
    <w:rsid w:val="00885F68"/>
    <w:rsid w:val="00886451"/>
    <w:rsid w:val="008906F3"/>
    <w:rsid w:val="0089212C"/>
    <w:rsid w:val="00892520"/>
    <w:rsid w:val="008948DC"/>
    <w:rsid w:val="0089595B"/>
    <w:rsid w:val="00896299"/>
    <w:rsid w:val="00896CD7"/>
    <w:rsid w:val="008978DD"/>
    <w:rsid w:val="00897A6D"/>
    <w:rsid w:val="008A0B3E"/>
    <w:rsid w:val="008A1F10"/>
    <w:rsid w:val="008A288C"/>
    <w:rsid w:val="008A2EDB"/>
    <w:rsid w:val="008A5E4E"/>
    <w:rsid w:val="008A606D"/>
    <w:rsid w:val="008A66A7"/>
    <w:rsid w:val="008A6B5F"/>
    <w:rsid w:val="008A70F5"/>
    <w:rsid w:val="008A7CA1"/>
    <w:rsid w:val="008A7F35"/>
    <w:rsid w:val="008B0D24"/>
    <w:rsid w:val="008B25E3"/>
    <w:rsid w:val="008B3D6F"/>
    <w:rsid w:val="008B6B95"/>
    <w:rsid w:val="008B7304"/>
    <w:rsid w:val="008B7B64"/>
    <w:rsid w:val="008C0615"/>
    <w:rsid w:val="008C10C0"/>
    <w:rsid w:val="008C1BAC"/>
    <w:rsid w:val="008C20FF"/>
    <w:rsid w:val="008C4586"/>
    <w:rsid w:val="008C4AE3"/>
    <w:rsid w:val="008C589D"/>
    <w:rsid w:val="008C5DCB"/>
    <w:rsid w:val="008C5F34"/>
    <w:rsid w:val="008C69DB"/>
    <w:rsid w:val="008C7983"/>
    <w:rsid w:val="008C79FE"/>
    <w:rsid w:val="008D03EA"/>
    <w:rsid w:val="008D3FE1"/>
    <w:rsid w:val="008D428E"/>
    <w:rsid w:val="008D4C23"/>
    <w:rsid w:val="008D5499"/>
    <w:rsid w:val="008D5784"/>
    <w:rsid w:val="008D712B"/>
    <w:rsid w:val="008E005F"/>
    <w:rsid w:val="008E00EF"/>
    <w:rsid w:val="008E1390"/>
    <w:rsid w:val="008E13BF"/>
    <w:rsid w:val="008E1824"/>
    <w:rsid w:val="008E4520"/>
    <w:rsid w:val="008E5C68"/>
    <w:rsid w:val="008E61BB"/>
    <w:rsid w:val="008E7A0D"/>
    <w:rsid w:val="008E7D08"/>
    <w:rsid w:val="008F0360"/>
    <w:rsid w:val="008F1DFD"/>
    <w:rsid w:val="008F1F8B"/>
    <w:rsid w:val="008F21F0"/>
    <w:rsid w:val="008F2CAF"/>
    <w:rsid w:val="008F2DD6"/>
    <w:rsid w:val="008F3187"/>
    <w:rsid w:val="008F4C14"/>
    <w:rsid w:val="008F7306"/>
    <w:rsid w:val="008F739E"/>
    <w:rsid w:val="008F7F79"/>
    <w:rsid w:val="009013D9"/>
    <w:rsid w:val="00902AA1"/>
    <w:rsid w:val="00904733"/>
    <w:rsid w:val="00906383"/>
    <w:rsid w:val="009067E4"/>
    <w:rsid w:val="009075DC"/>
    <w:rsid w:val="0090760E"/>
    <w:rsid w:val="00910E4B"/>
    <w:rsid w:val="00911969"/>
    <w:rsid w:val="00911D1B"/>
    <w:rsid w:val="00912ACA"/>
    <w:rsid w:val="009139C3"/>
    <w:rsid w:val="00914617"/>
    <w:rsid w:val="0091508E"/>
    <w:rsid w:val="009225E7"/>
    <w:rsid w:val="009235FB"/>
    <w:rsid w:val="0092367C"/>
    <w:rsid w:val="009243DE"/>
    <w:rsid w:val="00924F80"/>
    <w:rsid w:val="00925EB8"/>
    <w:rsid w:val="00926395"/>
    <w:rsid w:val="00926838"/>
    <w:rsid w:val="00926BB5"/>
    <w:rsid w:val="00926F84"/>
    <w:rsid w:val="00931AF0"/>
    <w:rsid w:val="00932723"/>
    <w:rsid w:val="00932DD3"/>
    <w:rsid w:val="00933FCC"/>
    <w:rsid w:val="0093478A"/>
    <w:rsid w:val="00935C3E"/>
    <w:rsid w:val="0093659D"/>
    <w:rsid w:val="009367D5"/>
    <w:rsid w:val="00936BE4"/>
    <w:rsid w:val="00937640"/>
    <w:rsid w:val="00937D5A"/>
    <w:rsid w:val="00940C67"/>
    <w:rsid w:val="00941237"/>
    <w:rsid w:val="009426F1"/>
    <w:rsid w:val="0094330C"/>
    <w:rsid w:val="00943479"/>
    <w:rsid w:val="00947B74"/>
    <w:rsid w:val="00947F23"/>
    <w:rsid w:val="00951391"/>
    <w:rsid w:val="009517DD"/>
    <w:rsid w:val="0095467F"/>
    <w:rsid w:val="00955380"/>
    <w:rsid w:val="00955F63"/>
    <w:rsid w:val="009576BE"/>
    <w:rsid w:val="00960171"/>
    <w:rsid w:val="00961E05"/>
    <w:rsid w:val="00963942"/>
    <w:rsid w:val="009647FA"/>
    <w:rsid w:val="00966474"/>
    <w:rsid w:val="00966588"/>
    <w:rsid w:val="00966B10"/>
    <w:rsid w:val="00966C81"/>
    <w:rsid w:val="00966F57"/>
    <w:rsid w:val="00966FC0"/>
    <w:rsid w:val="00967449"/>
    <w:rsid w:val="00971C72"/>
    <w:rsid w:val="00972197"/>
    <w:rsid w:val="0097229E"/>
    <w:rsid w:val="009722A3"/>
    <w:rsid w:val="00972D2E"/>
    <w:rsid w:val="00975BAB"/>
    <w:rsid w:val="009760D8"/>
    <w:rsid w:val="009773FF"/>
    <w:rsid w:val="009775C7"/>
    <w:rsid w:val="00980834"/>
    <w:rsid w:val="00980A58"/>
    <w:rsid w:val="0098299A"/>
    <w:rsid w:val="00983DD9"/>
    <w:rsid w:val="00984A44"/>
    <w:rsid w:val="00985F35"/>
    <w:rsid w:val="00990297"/>
    <w:rsid w:val="00990591"/>
    <w:rsid w:val="00991A60"/>
    <w:rsid w:val="0099224E"/>
    <w:rsid w:val="00993BD7"/>
    <w:rsid w:val="00995BC5"/>
    <w:rsid w:val="009973D1"/>
    <w:rsid w:val="009A0AD1"/>
    <w:rsid w:val="009A10FB"/>
    <w:rsid w:val="009A3260"/>
    <w:rsid w:val="009A33B2"/>
    <w:rsid w:val="009A7BEE"/>
    <w:rsid w:val="009B0DB9"/>
    <w:rsid w:val="009B0E8E"/>
    <w:rsid w:val="009B0EB2"/>
    <w:rsid w:val="009B0EB3"/>
    <w:rsid w:val="009B1285"/>
    <w:rsid w:val="009B4BA8"/>
    <w:rsid w:val="009B5733"/>
    <w:rsid w:val="009B67C5"/>
    <w:rsid w:val="009C109B"/>
    <w:rsid w:val="009C12C0"/>
    <w:rsid w:val="009C17B4"/>
    <w:rsid w:val="009C1C81"/>
    <w:rsid w:val="009C1DF9"/>
    <w:rsid w:val="009C28B1"/>
    <w:rsid w:val="009C3E90"/>
    <w:rsid w:val="009C5049"/>
    <w:rsid w:val="009C55D9"/>
    <w:rsid w:val="009C6207"/>
    <w:rsid w:val="009C6355"/>
    <w:rsid w:val="009C6452"/>
    <w:rsid w:val="009C6B2A"/>
    <w:rsid w:val="009D0FDD"/>
    <w:rsid w:val="009D172E"/>
    <w:rsid w:val="009D1CD4"/>
    <w:rsid w:val="009D1F78"/>
    <w:rsid w:val="009D2CBD"/>
    <w:rsid w:val="009D4767"/>
    <w:rsid w:val="009D6790"/>
    <w:rsid w:val="009D7FA2"/>
    <w:rsid w:val="009E01FD"/>
    <w:rsid w:val="009E0B51"/>
    <w:rsid w:val="009E27EB"/>
    <w:rsid w:val="009E2B56"/>
    <w:rsid w:val="009E5A09"/>
    <w:rsid w:val="009E758A"/>
    <w:rsid w:val="009F0584"/>
    <w:rsid w:val="009F16F6"/>
    <w:rsid w:val="009F2286"/>
    <w:rsid w:val="009F303B"/>
    <w:rsid w:val="009F3D88"/>
    <w:rsid w:val="009F5360"/>
    <w:rsid w:val="009F6332"/>
    <w:rsid w:val="00A0051F"/>
    <w:rsid w:val="00A00A07"/>
    <w:rsid w:val="00A02DD0"/>
    <w:rsid w:val="00A031E6"/>
    <w:rsid w:val="00A0341E"/>
    <w:rsid w:val="00A03C2C"/>
    <w:rsid w:val="00A0488E"/>
    <w:rsid w:val="00A10F73"/>
    <w:rsid w:val="00A130CD"/>
    <w:rsid w:val="00A13807"/>
    <w:rsid w:val="00A1390B"/>
    <w:rsid w:val="00A148EB"/>
    <w:rsid w:val="00A14A3F"/>
    <w:rsid w:val="00A16FBB"/>
    <w:rsid w:val="00A1796F"/>
    <w:rsid w:val="00A21717"/>
    <w:rsid w:val="00A2288B"/>
    <w:rsid w:val="00A24DEB"/>
    <w:rsid w:val="00A24F0A"/>
    <w:rsid w:val="00A27290"/>
    <w:rsid w:val="00A27F45"/>
    <w:rsid w:val="00A27F4D"/>
    <w:rsid w:val="00A339F5"/>
    <w:rsid w:val="00A3415A"/>
    <w:rsid w:val="00A354F2"/>
    <w:rsid w:val="00A35C7F"/>
    <w:rsid w:val="00A36F59"/>
    <w:rsid w:val="00A370FB"/>
    <w:rsid w:val="00A3719C"/>
    <w:rsid w:val="00A373A2"/>
    <w:rsid w:val="00A37C23"/>
    <w:rsid w:val="00A41041"/>
    <w:rsid w:val="00A42875"/>
    <w:rsid w:val="00A47A93"/>
    <w:rsid w:val="00A50417"/>
    <w:rsid w:val="00A52A23"/>
    <w:rsid w:val="00A52FBE"/>
    <w:rsid w:val="00A55CD4"/>
    <w:rsid w:val="00A56D01"/>
    <w:rsid w:val="00A57BFE"/>
    <w:rsid w:val="00A635F6"/>
    <w:rsid w:val="00A643B3"/>
    <w:rsid w:val="00A67509"/>
    <w:rsid w:val="00A679F1"/>
    <w:rsid w:val="00A72C03"/>
    <w:rsid w:val="00A75BCB"/>
    <w:rsid w:val="00A75C01"/>
    <w:rsid w:val="00A76BF9"/>
    <w:rsid w:val="00A76E2F"/>
    <w:rsid w:val="00A77667"/>
    <w:rsid w:val="00A8078F"/>
    <w:rsid w:val="00A81093"/>
    <w:rsid w:val="00A81383"/>
    <w:rsid w:val="00A817DE"/>
    <w:rsid w:val="00A82B18"/>
    <w:rsid w:val="00A83E17"/>
    <w:rsid w:val="00A84915"/>
    <w:rsid w:val="00A860B7"/>
    <w:rsid w:val="00A87832"/>
    <w:rsid w:val="00A92F14"/>
    <w:rsid w:val="00A943DE"/>
    <w:rsid w:val="00A950BE"/>
    <w:rsid w:val="00A9627B"/>
    <w:rsid w:val="00A962D0"/>
    <w:rsid w:val="00A96BA8"/>
    <w:rsid w:val="00A96FF2"/>
    <w:rsid w:val="00AA0A33"/>
    <w:rsid w:val="00AA0F3E"/>
    <w:rsid w:val="00AA2435"/>
    <w:rsid w:val="00AA2591"/>
    <w:rsid w:val="00AA3023"/>
    <w:rsid w:val="00AA3302"/>
    <w:rsid w:val="00AA3626"/>
    <w:rsid w:val="00AA63DC"/>
    <w:rsid w:val="00AB1B73"/>
    <w:rsid w:val="00AB246C"/>
    <w:rsid w:val="00AB3379"/>
    <w:rsid w:val="00AB5D04"/>
    <w:rsid w:val="00AB5F0F"/>
    <w:rsid w:val="00AB6B68"/>
    <w:rsid w:val="00AB6DAC"/>
    <w:rsid w:val="00AB75F7"/>
    <w:rsid w:val="00AB7AC0"/>
    <w:rsid w:val="00AC0EFD"/>
    <w:rsid w:val="00AC3234"/>
    <w:rsid w:val="00AC5FC7"/>
    <w:rsid w:val="00AC6E75"/>
    <w:rsid w:val="00AC78A7"/>
    <w:rsid w:val="00AC7AED"/>
    <w:rsid w:val="00AC7C43"/>
    <w:rsid w:val="00AD03A4"/>
    <w:rsid w:val="00AD17A6"/>
    <w:rsid w:val="00AD202A"/>
    <w:rsid w:val="00AD34D4"/>
    <w:rsid w:val="00AD36AA"/>
    <w:rsid w:val="00AD6E2D"/>
    <w:rsid w:val="00AD6F59"/>
    <w:rsid w:val="00AD72F4"/>
    <w:rsid w:val="00AE125B"/>
    <w:rsid w:val="00AE2220"/>
    <w:rsid w:val="00AE3316"/>
    <w:rsid w:val="00AE3CC8"/>
    <w:rsid w:val="00AE3CFA"/>
    <w:rsid w:val="00AE466B"/>
    <w:rsid w:val="00AE4C18"/>
    <w:rsid w:val="00AE517C"/>
    <w:rsid w:val="00AE6554"/>
    <w:rsid w:val="00AE6853"/>
    <w:rsid w:val="00AE78FE"/>
    <w:rsid w:val="00AF15AC"/>
    <w:rsid w:val="00AF1C3B"/>
    <w:rsid w:val="00AF207F"/>
    <w:rsid w:val="00AF2386"/>
    <w:rsid w:val="00AF2B4F"/>
    <w:rsid w:val="00AF3257"/>
    <w:rsid w:val="00AF34B0"/>
    <w:rsid w:val="00AF426F"/>
    <w:rsid w:val="00AF5CAD"/>
    <w:rsid w:val="00AF6283"/>
    <w:rsid w:val="00B01500"/>
    <w:rsid w:val="00B0164A"/>
    <w:rsid w:val="00B0213C"/>
    <w:rsid w:val="00B0263C"/>
    <w:rsid w:val="00B027A9"/>
    <w:rsid w:val="00B04D94"/>
    <w:rsid w:val="00B0701E"/>
    <w:rsid w:val="00B07E93"/>
    <w:rsid w:val="00B105AD"/>
    <w:rsid w:val="00B10D55"/>
    <w:rsid w:val="00B1463B"/>
    <w:rsid w:val="00B14D9B"/>
    <w:rsid w:val="00B14DE9"/>
    <w:rsid w:val="00B15EDE"/>
    <w:rsid w:val="00B17F8A"/>
    <w:rsid w:val="00B20BBF"/>
    <w:rsid w:val="00B2223B"/>
    <w:rsid w:val="00B223B9"/>
    <w:rsid w:val="00B22DF8"/>
    <w:rsid w:val="00B23136"/>
    <w:rsid w:val="00B23A48"/>
    <w:rsid w:val="00B24CBD"/>
    <w:rsid w:val="00B266D7"/>
    <w:rsid w:val="00B27039"/>
    <w:rsid w:val="00B278E8"/>
    <w:rsid w:val="00B30725"/>
    <w:rsid w:val="00B31C09"/>
    <w:rsid w:val="00B32C85"/>
    <w:rsid w:val="00B3467C"/>
    <w:rsid w:val="00B3683E"/>
    <w:rsid w:val="00B36A6E"/>
    <w:rsid w:val="00B373B1"/>
    <w:rsid w:val="00B44620"/>
    <w:rsid w:val="00B4519A"/>
    <w:rsid w:val="00B4527B"/>
    <w:rsid w:val="00B45BFA"/>
    <w:rsid w:val="00B4622E"/>
    <w:rsid w:val="00B46243"/>
    <w:rsid w:val="00B50B31"/>
    <w:rsid w:val="00B51D81"/>
    <w:rsid w:val="00B5217C"/>
    <w:rsid w:val="00B5579B"/>
    <w:rsid w:val="00B55D6C"/>
    <w:rsid w:val="00B566E6"/>
    <w:rsid w:val="00B56E59"/>
    <w:rsid w:val="00B57332"/>
    <w:rsid w:val="00B57BEC"/>
    <w:rsid w:val="00B62952"/>
    <w:rsid w:val="00B62B61"/>
    <w:rsid w:val="00B62D23"/>
    <w:rsid w:val="00B63675"/>
    <w:rsid w:val="00B63A0E"/>
    <w:rsid w:val="00B645E3"/>
    <w:rsid w:val="00B64BF6"/>
    <w:rsid w:val="00B64EDA"/>
    <w:rsid w:val="00B64F79"/>
    <w:rsid w:val="00B658A6"/>
    <w:rsid w:val="00B67D2F"/>
    <w:rsid w:val="00B7150D"/>
    <w:rsid w:val="00B7217C"/>
    <w:rsid w:val="00B72B8E"/>
    <w:rsid w:val="00B73F34"/>
    <w:rsid w:val="00B73FBB"/>
    <w:rsid w:val="00B7633E"/>
    <w:rsid w:val="00B773FF"/>
    <w:rsid w:val="00B77EA2"/>
    <w:rsid w:val="00B81686"/>
    <w:rsid w:val="00B83055"/>
    <w:rsid w:val="00B86876"/>
    <w:rsid w:val="00B87598"/>
    <w:rsid w:val="00B94A1E"/>
    <w:rsid w:val="00B97BA8"/>
    <w:rsid w:val="00BA0156"/>
    <w:rsid w:val="00BA01EC"/>
    <w:rsid w:val="00BA0530"/>
    <w:rsid w:val="00BA120F"/>
    <w:rsid w:val="00BA17EA"/>
    <w:rsid w:val="00BA18DA"/>
    <w:rsid w:val="00BA2D49"/>
    <w:rsid w:val="00BA34B2"/>
    <w:rsid w:val="00BA4435"/>
    <w:rsid w:val="00BA49FE"/>
    <w:rsid w:val="00BA6566"/>
    <w:rsid w:val="00BA6F03"/>
    <w:rsid w:val="00BA7B3C"/>
    <w:rsid w:val="00BB068C"/>
    <w:rsid w:val="00BB0E95"/>
    <w:rsid w:val="00BB2842"/>
    <w:rsid w:val="00BB3B79"/>
    <w:rsid w:val="00BB56E2"/>
    <w:rsid w:val="00BB58AE"/>
    <w:rsid w:val="00BB6B94"/>
    <w:rsid w:val="00BB71E9"/>
    <w:rsid w:val="00BB75FC"/>
    <w:rsid w:val="00BC0C2B"/>
    <w:rsid w:val="00BC29F7"/>
    <w:rsid w:val="00BC2D15"/>
    <w:rsid w:val="00BC3351"/>
    <w:rsid w:val="00BC4460"/>
    <w:rsid w:val="00BC45CD"/>
    <w:rsid w:val="00BC48B1"/>
    <w:rsid w:val="00BC5A31"/>
    <w:rsid w:val="00BC6B8F"/>
    <w:rsid w:val="00BD050D"/>
    <w:rsid w:val="00BD094A"/>
    <w:rsid w:val="00BD0976"/>
    <w:rsid w:val="00BD0FA2"/>
    <w:rsid w:val="00BD1824"/>
    <w:rsid w:val="00BD265A"/>
    <w:rsid w:val="00BD3447"/>
    <w:rsid w:val="00BD4BAF"/>
    <w:rsid w:val="00BD50E5"/>
    <w:rsid w:val="00BD5285"/>
    <w:rsid w:val="00BD5D14"/>
    <w:rsid w:val="00BD61E5"/>
    <w:rsid w:val="00BD6611"/>
    <w:rsid w:val="00BD6B3D"/>
    <w:rsid w:val="00BE0B31"/>
    <w:rsid w:val="00BE1655"/>
    <w:rsid w:val="00BE165C"/>
    <w:rsid w:val="00BE2A55"/>
    <w:rsid w:val="00BE308C"/>
    <w:rsid w:val="00BE3AC1"/>
    <w:rsid w:val="00BE540B"/>
    <w:rsid w:val="00BE57AC"/>
    <w:rsid w:val="00BE7C9B"/>
    <w:rsid w:val="00BF16FF"/>
    <w:rsid w:val="00BF274B"/>
    <w:rsid w:val="00BF2C19"/>
    <w:rsid w:val="00BF328C"/>
    <w:rsid w:val="00BF3A9D"/>
    <w:rsid w:val="00BF4C8F"/>
    <w:rsid w:val="00BF5CBB"/>
    <w:rsid w:val="00BF65D6"/>
    <w:rsid w:val="00BF774D"/>
    <w:rsid w:val="00C004F0"/>
    <w:rsid w:val="00C00B5E"/>
    <w:rsid w:val="00C017CB"/>
    <w:rsid w:val="00C01DCE"/>
    <w:rsid w:val="00C0338C"/>
    <w:rsid w:val="00C03D0A"/>
    <w:rsid w:val="00C05B97"/>
    <w:rsid w:val="00C062FD"/>
    <w:rsid w:val="00C07256"/>
    <w:rsid w:val="00C0752B"/>
    <w:rsid w:val="00C07B3D"/>
    <w:rsid w:val="00C1018E"/>
    <w:rsid w:val="00C10B0E"/>
    <w:rsid w:val="00C10DC6"/>
    <w:rsid w:val="00C11A4B"/>
    <w:rsid w:val="00C12ADD"/>
    <w:rsid w:val="00C12C7D"/>
    <w:rsid w:val="00C14D1F"/>
    <w:rsid w:val="00C15F53"/>
    <w:rsid w:val="00C16C86"/>
    <w:rsid w:val="00C17442"/>
    <w:rsid w:val="00C20DD3"/>
    <w:rsid w:val="00C21220"/>
    <w:rsid w:val="00C216CC"/>
    <w:rsid w:val="00C22377"/>
    <w:rsid w:val="00C22D7C"/>
    <w:rsid w:val="00C2328D"/>
    <w:rsid w:val="00C23367"/>
    <w:rsid w:val="00C23566"/>
    <w:rsid w:val="00C236BE"/>
    <w:rsid w:val="00C25F56"/>
    <w:rsid w:val="00C26681"/>
    <w:rsid w:val="00C269BA"/>
    <w:rsid w:val="00C31DDE"/>
    <w:rsid w:val="00C32CE6"/>
    <w:rsid w:val="00C34E59"/>
    <w:rsid w:val="00C362B1"/>
    <w:rsid w:val="00C36E56"/>
    <w:rsid w:val="00C40716"/>
    <w:rsid w:val="00C409D7"/>
    <w:rsid w:val="00C40B5E"/>
    <w:rsid w:val="00C40D2D"/>
    <w:rsid w:val="00C41D80"/>
    <w:rsid w:val="00C428C1"/>
    <w:rsid w:val="00C42D03"/>
    <w:rsid w:val="00C44C3F"/>
    <w:rsid w:val="00C46ACD"/>
    <w:rsid w:val="00C4711F"/>
    <w:rsid w:val="00C4777A"/>
    <w:rsid w:val="00C50E6D"/>
    <w:rsid w:val="00C51203"/>
    <w:rsid w:val="00C51C0F"/>
    <w:rsid w:val="00C51E10"/>
    <w:rsid w:val="00C52206"/>
    <w:rsid w:val="00C5236E"/>
    <w:rsid w:val="00C52DDE"/>
    <w:rsid w:val="00C54333"/>
    <w:rsid w:val="00C5538C"/>
    <w:rsid w:val="00C55508"/>
    <w:rsid w:val="00C5553B"/>
    <w:rsid w:val="00C55B2C"/>
    <w:rsid w:val="00C55BCD"/>
    <w:rsid w:val="00C56552"/>
    <w:rsid w:val="00C5786C"/>
    <w:rsid w:val="00C6018D"/>
    <w:rsid w:val="00C60C58"/>
    <w:rsid w:val="00C6327D"/>
    <w:rsid w:val="00C63444"/>
    <w:rsid w:val="00C63D7A"/>
    <w:rsid w:val="00C64106"/>
    <w:rsid w:val="00C64910"/>
    <w:rsid w:val="00C64F37"/>
    <w:rsid w:val="00C65753"/>
    <w:rsid w:val="00C65A08"/>
    <w:rsid w:val="00C662FA"/>
    <w:rsid w:val="00C6667C"/>
    <w:rsid w:val="00C6713F"/>
    <w:rsid w:val="00C707EF"/>
    <w:rsid w:val="00C70AD4"/>
    <w:rsid w:val="00C725AD"/>
    <w:rsid w:val="00C736E6"/>
    <w:rsid w:val="00C73C6C"/>
    <w:rsid w:val="00C75CDD"/>
    <w:rsid w:val="00C7683A"/>
    <w:rsid w:val="00C8021D"/>
    <w:rsid w:val="00C807B6"/>
    <w:rsid w:val="00C80B6B"/>
    <w:rsid w:val="00C8119A"/>
    <w:rsid w:val="00C83D1D"/>
    <w:rsid w:val="00C843DC"/>
    <w:rsid w:val="00C854E1"/>
    <w:rsid w:val="00C86ED6"/>
    <w:rsid w:val="00C914FC"/>
    <w:rsid w:val="00C91AAE"/>
    <w:rsid w:val="00C92CD7"/>
    <w:rsid w:val="00C93694"/>
    <w:rsid w:val="00C94219"/>
    <w:rsid w:val="00C9450A"/>
    <w:rsid w:val="00C94774"/>
    <w:rsid w:val="00C949EB"/>
    <w:rsid w:val="00C968F0"/>
    <w:rsid w:val="00CA012D"/>
    <w:rsid w:val="00CA1F02"/>
    <w:rsid w:val="00CA3B3D"/>
    <w:rsid w:val="00CA5B05"/>
    <w:rsid w:val="00CA6C90"/>
    <w:rsid w:val="00CA6F2E"/>
    <w:rsid w:val="00CA7F28"/>
    <w:rsid w:val="00CB0501"/>
    <w:rsid w:val="00CB089E"/>
    <w:rsid w:val="00CB0A6C"/>
    <w:rsid w:val="00CB1F21"/>
    <w:rsid w:val="00CB25A6"/>
    <w:rsid w:val="00CB26FE"/>
    <w:rsid w:val="00CB52AF"/>
    <w:rsid w:val="00CB6B51"/>
    <w:rsid w:val="00CC04BC"/>
    <w:rsid w:val="00CC06B8"/>
    <w:rsid w:val="00CC1227"/>
    <w:rsid w:val="00CC1BCD"/>
    <w:rsid w:val="00CC216D"/>
    <w:rsid w:val="00CC29C6"/>
    <w:rsid w:val="00CC2B6B"/>
    <w:rsid w:val="00CC55C8"/>
    <w:rsid w:val="00CC63B9"/>
    <w:rsid w:val="00CC6CDE"/>
    <w:rsid w:val="00CC771C"/>
    <w:rsid w:val="00CC7E24"/>
    <w:rsid w:val="00CD029F"/>
    <w:rsid w:val="00CD1A65"/>
    <w:rsid w:val="00CD2306"/>
    <w:rsid w:val="00CD3F12"/>
    <w:rsid w:val="00CD5217"/>
    <w:rsid w:val="00CD525E"/>
    <w:rsid w:val="00CD5328"/>
    <w:rsid w:val="00CD7BEA"/>
    <w:rsid w:val="00CE04E1"/>
    <w:rsid w:val="00CE07DC"/>
    <w:rsid w:val="00CE12B6"/>
    <w:rsid w:val="00CE1846"/>
    <w:rsid w:val="00CE1920"/>
    <w:rsid w:val="00CE23F7"/>
    <w:rsid w:val="00CE2DE2"/>
    <w:rsid w:val="00CE2EC4"/>
    <w:rsid w:val="00CE2FCC"/>
    <w:rsid w:val="00CE4780"/>
    <w:rsid w:val="00CE526D"/>
    <w:rsid w:val="00CE54C2"/>
    <w:rsid w:val="00CE54C8"/>
    <w:rsid w:val="00CE577C"/>
    <w:rsid w:val="00CF0530"/>
    <w:rsid w:val="00CF098F"/>
    <w:rsid w:val="00CF1119"/>
    <w:rsid w:val="00CF1E44"/>
    <w:rsid w:val="00CF358D"/>
    <w:rsid w:val="00CF5213"/>
    <w:rsid w:val="00CF7001"/>
    <w:rsid w:val="00CF7048"/>
    <w:rsid w:val="00CF74F3"/>
    <w:rsid w:val="00D00D4C"/>
    <w:rsid w:val="00D01773"/>
    <w:rsid w:val="00D01B6A"/>
    <w:rsid w:val="00D0230E"/>
    <w:rsid w:val="00D04205"/>
    <w:rsid w:val="00D04E42"/>
    <w:rsid w:val="00D04F24"/>
    <w:rsid w:val="00D051AB"/>
    <w:rsid w:val="00D065AC"/>
    <w:rsid w:val="00D0665D"/>
    <w:rsid w:val="00D0672D"/>
    <w:rsid w:val="00D071D9"/>
    <w:rsid w:val="00D077DA"/>
    <w:rsid w:val="00D07D2C"/>
    <w:rsid w:val="00D10C82"/>
    <w:rsid w:val="00D111AF"/>
    <w:rsid w:val="00D125BF"/>
    <w:rsid w:val="00D1284F"/>
    <w:rsid w:val="00D1395F"/>
    <w:rsid w:val="00D13EBA"/>
    <w:rsid w:val="00D1407E"/>
    <w:rsid w:val="00D15781"/>
    <w:rsid w:val="00D173FD"/>
    <w:rsid w:val="00D1798E"/>
    <w:rsid w:val="00D203D3"/>
    <w:rsid w:val="00D21686"/>
    <w:rsid w:val="00D22E5B"/>
    <w:rsid w:val="00D231AA"/>
    <w:rsid w:val="00D242CA"/>
    <w:rsid w:val="00D24501"/>
    <w:rsid w:val="00D274CF"/>
    <w:rsid w:val="00D27F9C"/>
    <w:rsid w:val="00D307C6"/>
    <w:rsid w:val="00D3158F"/>
    <w:rsid w:val="00D33228"/>
    <w:rsid w:val="00D34B7B"/>
    <w:rsid w:val="00D34F29"/>
    <w:rsid w:val="00D35801"/>
    <w:rsid w:val="00D41FFC"/>
    <w:rsid w:val="00D430CB"/>
    <w:rsid w:val="00D43B6E"/>
    <w:rsid w:val="00D45FEB"/>
    <w:rsid w:val="00D463A0"/>
    <w:rsid w:val="00D5240F"/>
    <w:rsid w:val="00D5747F"/>
    <w:rsid w:val="00D60E8B"/>
    <w:rsid w:val="00D62AE4"/>
    <w:rsid w:val="00D63BF5"/>
    <w:rsid w:val="00D65113"/>
    <w:rsid w:val="00D6547D"/>
    <w:rsid w:val="00D65CC4"/>
    <w:rsid w:val="00D6728D"/>
    <w:rsid w:val="00D70E42"/>
    <w:rsid w:val="00D7337C"/>
    <w:rsid w:val="00D733E9"/>
    <w:rsid w:val="00D74BE2"/>
    <w:rsid w:val="00D7575D"/>
    <w:rsid w:val="00D7577A"/>
    <w:rsid w:val="00D76783"/>
    <w:rsid w:val="00D82F5E"/>
    <w:rsid w:val="00D83BD3"/>
    <w:rsid w:val="00D83F66"/>
    <w:rsid w:val="00D847C4"/>
    <w:rsid w:val="00D8483D"/>
    <w:rsid w:val="00D85EAE"/>
    <w:rsid w:val="00D863C2"/>
    <w:rsid w:val="00D90FF4"/>
    <w:rsid w:val="00D94101"/>
    <w:rsid w:val="00D95151"/>
    <w:rsid w:val="00D97E81"/>
    <w:rsid w:val="00DA0153"/>
    <w:rsid w:val="00DA0331"/>
    <w:rsid w:val="00DA5026"/>
    <w:rsid w:val="00DA7469"/>
    <w:rsid w:val="00DB08C0"/>
    <w:rsid w:val="00DB0A6C"/>
    <w:rsid w:val="00DB0E0E"/>
    <w:rsid w:val="00DB2869"/>
    <w:rsid w:val="00DB301E"/>
    <w:rsid w:val="00DB4568"/>
    <w:rsid w:val="00DB5488"/>
    <w:rsid w:val="00DB64DC"/>
    <w:rsid w:val="00DB6710"/>
    <w:rsid w:val="00DB6949"/>
    <w:rsid w:val="00DB707C"/>
    <w:rsid w:val="00DC35E5"/>
    <w:rsid w:val="00DC3C34"/>
    <w:rsid w:val="00DC3F6F"/>
    <w:rsid w:val="00DC6CA9"/>
    <w:rsid w:val="00DC78A5"/>
    <w:rsid w:val="00DD0029"/>
    <w:rsid w:val="00DD0489"/>
    <w:rsid w:val="00DD07FD"/>
    <w:rsid w:val="00DD0ACB"/>
    <w:rsid w:val="00DD0EA5"/>
    <w:rsid w:val="00DD1DCF"/>
    <w:rsid w:val="00DD2250"/>
    <w:rsid w:val="00DD233F"/>
    <w:rsid w:val="00DD3BEB"/>
    <w:rsid w:val="00DD4985"/>
    <w:rsid w:val="00DD4EF5"/>
    <w:rsid w:val="00DD68D1"/>
    <w:rsid w:val="00DE2318"/>
    <w:rsid w:val="00DE37B3"/>
    <w:rsid w:val="00DE4F77"/>
    <w:rsid w:val="00DE69DD"/>
    <w:rsid w:val="00DE6A65"/>
    <w:rsid w:val="00DF1108"/>
    <w:rsid w:val="00DF1E8A"/>
    <w:rsid w:val="00DF20AA"/>
    <w:rsid w:val="00DF3335"/>
    <w:rsid w:val="00DF5529"/>
    <w:rsid w:val="00DF55B2"/>
    <w:rsid w:val="00DF5AC8"/>
    <w:rsid w:val="00DF5C77"/>
    <w:rsid w:val="00DF5D71"/>
    <w:rsid w:val="00DF6BA9"/>
    <w:rsid w:val="00DF7CB8"/>
    <w:rsid w:val="00DF7DCA"/>
    <w:rsid w:val="00E02CD1"/>
    <w:rsid w:val="00E02DCE"/>
    <w:rsid w:val="00E034F1"/>
    <w:rsid w:val="00E03641"/>
    <w:rsid w:val="00E0439A"/>
    <w:rsid w:val="00E04CE3"/>
    <w:rsid w:val="00E05014"/>
    <w:rsid w:val="00E054D8"/>
    <w:rsid w:val="00E060DE"/>
    <w:rsid w:val="00E078C5"/>
    <w:rsid w:val="00E104A8"/>
    <w:rsid w:val="00E147DB"/>
    <w:rsid w:val="00E172F7"/>
    <w:rsid w:val="00E1747D"/>
    <w:rsid w:val="00E17ED9"/>
    <w:rsid w:val="00E20737"/>
    <w:rsid w:val="00E22C54"/>
    <w:rsid w:val="00E2622B"/>
    <w:rsid w:val="00E26E5A"/>
    <w:rsid w:val="00E2712A"/>
    <w:rsid w:val="00E27937"/>
    <w:rsid w:val="00E3143B"/>
    <w:rsid w:val="00E32941"/>
    <w:rsid w:val="00E332F6"/>
    <w:rsid w:val="00E33738"/>
    <w:rsid w:val="00E35091"/>
    <w:rsid w:val="00E3529D"/>
    <w:rsid w:val="00E36103"/>
    <w:rsid w:val="00E361D9"/>
    <w:rsid w:val="00E369CA"/>
    <w:rsid w:val="00E3736A"/>
    <w:rsid w:val="00E37E5D"/>
    <w:rsid w:val="00E41290"/>
    <w:rsid w:val="00E4193E"/>
    <w:rsid w:val="00E42118"/>
    <w:rsid w:val="00E4232C"/>
    <w:rsid w:val="00E423A8"/>
    <w:rsid w:val="00E4294C"/>
    <w:rsid w:val="00E42E37"/>
    <w:rsid w:val="00E43439"/>
    <w:rsid w:val="00E44025"/>
    <w:rsid w:val="00E46085"/>
    <w:rsid w:val="00E46107"/>
    <w:rsid w:val="00E4629B"/>
    <w:rsid w:val="00E51B87"/>
    <w:rsid w:val="00E52355"/>
    <w:rsid w:val="00E52F45"/>
    <w:rsid w:val="00E53AC8"/>
    <w:rsid w:val="00E54077"/>
    <w:rsid w:val="00E54542"/>
    <w:rsid w:val="00E557AC"/>
    <w:rsid w:val="00E56EC1"/>
    <w:rsid w:val="00E607EC"/>
    <w:rsid w:val="00E60934"/>
    <w:rsid w:val="00E63C00"/>
    <w:rsid w:val="00E65581"/>
    <w:rsid w:val="00E6776D"/>
    <w:rsid w:val="00E70958"/>
    <w:rsid w:val="00E712C4"/>
    <w:rsid w:val="00E71B57"/>
    <w:rsid w:val="00E73AC1"/>
    <w:rsid w:val="00E74183"/>
    <w:rsid w:val="00E74F74"/>
    <w:rsid w:val="00E75AE2"/>
    <w:rsid w:val="00E764C6"/>
    <w:rsid w:val="00E76535"/>
    <w:rsid w:val="00E76B40"/>
    <w:rsid w:val="00E77D12"/>
    <w:rsid w:val="00E77E8A"/>
    <w:rsid w:val="00E82136"/>
    <w:rsid w:val="00E82709"/>
    <w:rsid w:val="00E828EB"/>
    <w:rsid w:val="00E82EF6"/>
    <w:rsid w:val="00E84717"/>
    <w:rsid w:val="00E84C08"/>
    <w:rsid w:val="00E8668A"/>
    <w:rsid w:val="00E8781B"/>
    <w:rsid w:val="00E9069D"/>
    <w:rsid w:val="00E9070E"/>
    <w:rsid w:val="00E90BF6"/>
    <w:rsid w:val="00E920C8"/>
    <w:rsid w:val="00E920DB"/>
    <w:rsid w:val="00E9290E"/>
    <w:rsid w:val="00E9506C"/>
    <w:rsid w:val="00E956C2"/>
    <w:rsid w:val="00E9590B"/>
    <w:rsid w:val="00E96B31"/>
    <w:rsid w:val="00E96E4D"/>
    <w:rsid w:val="00EA10BF"/>
    <w:rsid w:val="00EA12D0"/>
    <w:rsid w:val="00EA1534"/>
    <w:rsid w:val="00EA22D8"/>
    <w:rsid w:val="00EA5149"/>
    <w:rsid w:val="00EA724E"/>
    <w:rsid w:val="00EB07F5"/>
    <w:rsid w:val="00EB0B86"/>
    <w:rsid w:val="00EB41E1"/>
    <w:rsid w:val="00EB43E3"/>
    <w:rsid w:val="00EB4A70"/>
    <w:rsid w:val="00EB4F3B"/>
    <w:rsid w:val="00EB5CCA"/>
    <w:rsid w:val="00EC0779"/>
    <w:rsid w:val="00EC0D89"/>
    <w:rsid w:val="00EC0F4B"/>
    <w:rsid w:val="00EC1677"/>
    <w:rsid w:val="00EC1761"/>
    <w:rsid w:val="00EC24CC"/>
    <w:rsid w:val="00EC2CB1"/>
    <w:rsid w:val="00EC36C4"/>
    <w:rsid w:val="00EC42A0"/>
    <w:rsid w:val="00EC4855"/>
    <w:rsid w:val="00EC5596"/>
    <w:rsid w:val="00EC61B9"/>
    <w:rsid w:val="00EC6538"/>
    <w:rsid w:val="00ED300B"/>
    <w:rsid w:val="00ED3116"/>
    <w:rsid w:val="00ED3D8A"/>
    <w:rsid w:val="00ED423F"/>
    <w:rsid w:val="00ED58ED"/>
    <w:rsid w:val="00ED5C89"/>
    <w:rsid w:val="00ED6024"/>
    <w:rsid w:val="00ED687B"/>
    <w:rsid w:val="00ED6A6E"/>
    <w:rsid w:val="00EE0B22"/>
    <w:rsid w:val="00EE12F6"/>
    <w:rsid w:val="00EE1640"/>
    <w:rsid w:val="00EE195F"/>
    <w:rsid w:val="00EE1AC4"/>
    <w:rsid w:val="00EE1EA9"/>
    <w:rsid w:val="00EE21E9"/>
    <w:rsid w:val="00EE2746"/>
    <w:rsid w:val="00EE4294"/>
    <w:rsid w:val="00EE42BF"/>
    <w:rsid w:val="00EE4613"/>
    <w:rsid w:val="00EE4FC6"/>
    <w:rsid w:val="00EE5E3B"/>
    <w:rsid w:val="00EF00EC"/>
    <w:rsid w:val="00EF0976"/>
    <w:rsid w:val="00EF2085"/>
    <w:rsid w:val="00EF3B62"/>
    <w:rsid w:val="00EF4FC8"/>
    <w:rsid w:val="00EF5C09"/>
    <w:rsid w:val="00EF5CC2"/>
    <w:rsid w:val="00EF6F01"/>
    <w:rsid w:val="00F00047"/>
    <w:rsid w:val="00F003F6"/>
    <w:rsid w:val="00F01262"/>
    <w:rsid w:val="00F01467"/>
    <w:rsid w:val="00F01C6A"/>
    <w:rsid w:val="00F04ABF"/>
    <w:rsid w:val="00F04E1C"/>
    <w:rsid w:val="00F06D30"/>
    <w:rsid w:val="00F06FFD"/>
    <w:rsid w:val="00F11FB9"/>
    <w:rsid w:val="00F1300E"/>
    <w:rsid w:val="00F139A3"/>
    <w:rsid w:val="00F151DF"/>
    <w:rsid w:val="00F1744A"/>
    <w:rsid w:val="00F177D6"/>
    <w:rsid w:val="00F17EC7"/>
    <w:rsid w:val="00F20204"/>
    <w:rsid w:val="00F21BFD"/>
    <w:rsid w:val="00F21D3A"/>
    <w:rsid w:val="00F21D5C"/>
    <w:rsid w:val="00F22DBA"/>
    <w:rsid w:val="00F233B1"/>
    <w:rsid w:val="00F23A83"/>
    <w:rsid w:val="00F24383"/>
    <w:rsid w:val="00F2608F"/>
    <w:rsid w:val="00F262C1"/>
    <w:rsid w:val="00F26518"/>
    <w:rsid w:val="00F269B2"/>
    <w:rsid w:val="00F275A7"/>
    <w:rsid w:val="00F27CB4"/>
    <w:rsid w:val="00F31ADF"/>
    <w:rsid w:val="00F32561"/>
    <w:rsid w:val="00F358B9"/>
    <w:rsid w:val="00F37B02"/>
    <w:rsid w:val="00F400E2"/>
    <w:rsid w:val="00F40918"/>
    <w:rsid w:val="00F409F5"/>
    <w:rsid w:val="00F41B35"/>
    <w:rsid w:val="00F43BE6"/>
    <w:rsid w:val="00F43E9B"/>
    <w:rsid w:val="00F4496E"/>
    <w:rsid w:val="00F45321"/>
    <w:rsid w:val="00F4532A"/>
    <w:rsid w:val="00F4555E"/>
    <w:rsid w:val="00F456FE"/>
    <w:rsid w:val="00F45E6C"/>
    <w:rsid w:val="00F46C9B"/>
    <w:rsid w:val="00F46FCF"/>
    <w:rsid w:val="00F47257"/>
    <w:rsid w:val="00F47952"/>
    <w:rsid w:val="00F47BB1"/>
    <w:rsid w:val="00F514D0"/>
    <w:rsid w:val="00F52174"/>
    <w:rsid w:val="00F5297A"/>
    <w:rsid w:val="00F52CEC"/>
    <w:rsid w:val="00F52EB7"/>
    <w:rsid w:val="00F54EB2"/>
    <w:rsid w:val="00F56256"/>
    <w:rsid w:val="00F57641"/>
    <w:rsid w:val="00F60BF1"/>
    <w:rsid w:val="00F6120A"/>
    <w:rsid w:val="00F617A0"/>
    <w:rsid w:val="00F61E32"/>
    <w:rsid w:val="00F637CB"/>
    <w:rsid w:val="00F63A44"/>
    <w:rsid w:val="00F6607A"/>
    <w:rsid w:val="00F668C7"/>
    <w:rsid w:val="00F66F62"/>
    <w:rsid w:val="00F67965"/>
    <w:rsid w:val="00F7294B"/>
    <w:rsid w:val="00F74892"/>
    <w:rsid w:val="00F74A9E"/>
    <w:rsid w:val="00F7519D"/>
    <w:rsid w:val="00F7641D"/>
    <w:rsid w:val="00F76A25"/>
    <w:rsid w:val="00F76D9B"/>
    <w:rsid w:val="00F80B4C"/>
    <w:rsid w:val="00F80FF6"/>
    <w:rsid w:val="00F8418D"/>
    <w:rsid w:val="00F848A5"/>
    <w:rsid w:val="00F85D5F"/>
    <w:rsid w:val="00F85F00"/>
    <w:rsid w:val="00F86385"/>
    <w:rsid w:val="00F86691"/>
    <w:rsid w:val="00F87670"/>
    <w:rsid w:val="00F90CF4"/>
    <w:rsid w:val="00F91105"/>
    <w:rsid w:val="00F92EA1"/>
    <w:rsid w:val="00F939B7"/>
    <w:rsid w:val="00F94661"/>
    <w:rsid w:val="00F9505F"/>
    <w:rsid w:val="00F962FF"/>
    <w:rsid w:val="00F96CB9"/>
    <w:rsid w:val="00F96E34"/>
    <w:rsid w:val="00FA093D"/>
    <w:rsid w:val="00FA1491"/>
    <w:rsid w:val="00FA22CD"/>
    <w:rsid w:val="00FA29D5"/>
    <w:rsid w:val="00FA3672"/>
    <w:rsid w:val="00FA4134"/>
    <w:rsid w:val="00FA6A03"/>
    <w:rsid w:val="00FA7423"/>
    <w:rsid w:val="00FA7797"/>
    <w:rsid w:val="00FA7E08"/>
    <w:rsid w:val="00FB0C7B"/>
    <w:rsid w:val="00FB1380"/>
    <w:rsid w:val="00FB1952"/>
    <w:rsid w:val="00FB1985"/>
    <w:rsid w:val="00FB1F00"/>
    <w:rsid w:val="00FB203C"/>
    <w:rsid w:val="00FB3234"/>
    <w:rsid w:val="00FB4B89"/>
    <w:rsid w:val="00FB5474"/>
    <w:rsid w:val="00FC172E"/>
    <w:rsid w:val="00FC295F"/>
    <w:rsid w:val="00FC2F39"/>
    <w:rsid w:val="00FC5841"/>
    <w:rsid w:val="00FC5E02"/>
    <w:rsid w:val="00FC605C"/>
    <w:rsid w:val="00FC6D07"/>
    <w:rsid w:val="00FC73B6"/>
    <w:rsid w:val="00FD1025"/>
    <w:rsid w:val="00FD1570"/>
    <w:rsid w:val="00FD2477"/>
    <w:rsid w:val="00FD309A"/>
    <w:rsid w:val="00FD43FD"/>
    <w:rsid w:val="00FD4F62"/>
    <w:rsid w:val="00FD5488"/>
    <w:rsid w:val="00FD5B44"/>
    <w:rsid w:val="00FD7ACD"/>
    <w:rsid w:val="00FD7BB7"/>
    <w:rsid w:val="00FE2CFD"/>
    <w:rsid w:val="00FE3862"/>
    <w:rsid w:val="00FE41DF"/>
    <w:rsid w:val="00FE4E26"/>
    <w:rsid w:val="00FE7709"/>
    <w:rsid w:val="00FF08C2"/>
    <w:rsid w:val="00FF13E8"/>
    <w:rsid w:val="00FF2050"/>
    <w:rsid w:val="00FF3435"/>
    <w:rsid w:val="00FF3D0A"/>
    <w:rsid w:val="00FF44DF"/>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0E67F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sz w:val="24"/>
      <w:lang w:val="en-US" w:eastAsia="zh-CN" w:bidi="ar-SA"/>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0E67F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sz w:val="24"/>
      <w:lang w:val="en-US" w:eastAsia="zh-CN" w:bidi="ar-SA"/>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2938">
      <w:bodyDiv w:val="1"/>
      <w:marLeft w:val="0"/>
      <w:marRight w:val="0"/>
      <w:marTop w:val="0"/>
      <w:marBottom w:val="0"/>
      <w:divBdr>
        <w:top w:val="none" w:sz="0" w:space="0" w:color="auto"/>
        <w:left w:val="none" w:sz="0" w:space="0" w:color="auto"/>
        <w:bottom w:val="none" w:sz="0" w:space="0" w:color="auto"/>
        <w:right w:val="none" w:sz="0" w:space="0" w:color="auto"/>
      </w:divBdr>
    </w:div>
    <w:div w:id="469858683">
      <w:bodyDiv w:val="1"/>
      <w:marLeft w:val="0"/>
      <w:marRight w:val="0"/>
      <w:marTop w:val="0"/>
      <w:marBottom w:val="0"/>
      <w:divBdr>
        <w:top w:val="none" w:sz="0" w:space="0" w:color="auto"/>
        <w:left w:val="none" w:sz="0" w:space="0" w:color="auto"/>
        <w:bottom w:val="none" w:sz="0" w:space="0" w:color="auto"/>
        <w:right w:val="none" w:sz="0" w:space="0" w:color="auto"/>
      </w:divBdr>
    </w:div>
    <w:div w:id="682978279">
      <w:bodyDiv w:val="1"/>
      <w:marLeft w:val="0"/>
      <w:marRight w:val="0"/>
      <w:marTop w:val="0"/>
      <w:marBottom w:val="0"/>
      <w:divBdr>
        <w:top w:val="none" w:sz="0" w:space="0" w:color="auto"/>
        <w:left w:val="none" w:sz="0" w:space="0" w:color="auto"/>
        <w:bottom w:val="none" w:sz="0" w:space="0" w:color="auto"/>
        <w:right w:val="none" w:sz="0" w:space="0" w:color="auto"/>
      </w:divBdr>
    </w:div>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 w:id="20550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www.nrel.gov/docs/fy14osti/60613.pdf" TargetMode="External"/><Relationship Id="rId1" Type="http://schemas.openxmlformats.org/officeDocument/2006/relationships/hyperlink" Target="http://www.raponline.org/document/download/id/768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ESTDPT2.PUGET.COM\RPL\GrpRates\Public\GRC%202017%20-%20Pricing%20and%20COS\Electric%20Supporting%20Files\Workpapers%20and%20Cited%20Materials\Residential%20Tail%20Block%20Rate%20Calculations%2012-22-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Times New Roman"/>
                <a:ea typeface="Times New Roman"/>
                <a:cs typeface="Times New Roman"/>
              </a:defRPr>
            </a:pPr>
            <a:r>
              <a:rPr lang="en-US" sz="1800" b="1" i="0" u="none" strike="noStrike" baseline="0">
                <a:solidFill>
                  <a:srgbClr val="000000"/>
                </a:solidFill>
                <a:latin typeface="Times New Roman"/>
                <a:cs typeface="Times New Roman"/>
              </a:rPr>
              <a:t>Long-Run Avoided Cost - Residential </a:t>
            </a:r>
          </a:p>
          <a:p>
            <a:pPr>
              <a:defRPr sz="1000" b="0" i="0" u="none" strike="noStrike" baseline="0">
                <a:solidFill>
                  <a:srgbClr val="000000"/>
                </a:solidFill>
                <a:latin typeface="Times New Roman"/>
                <a:ea typeface="Times New Roman"/>
                <a:cs typeface="Times New Roman"/>
              </a:defRPr>
            </a:pPr>
            <a:r>
              <a:rPr lang="en-US" sz="1800" b="1" i="0" u="none" strike="noStrike" baseline="0">
                <a:solidFill>
                  <a:srgbClr val="000000"/>
                </a:solidFill>
                <a:latin typeface="Times New Roman"/>
                <a:cs typeface="Times New Roman"/>
              </a:rPr>
              <a:t>($0.089742/kWh)</a:t>
            </a:r>
          </a:p>
        </c:rich>
      </c:tx>
      <c:layout/>
      <c:overlay val="0"/>
    </c:title>
    <c:autoTitleDeleted val="0"/>
    <c:plotArea>
      <c:layout/>
      <c:barChart>
        <c:barDir val="col"/>
        <c:grouping val="stacked"/>
        <c:varyColors val="0"/>
        <c:ser>
          <c:idx val="5"/>
          <c:order val="0"/>
          <c:tx>
            <c:strRef>
              <c:f>'Summary - LRAC for Residential'!$B$9</c:f>
              <c:strCache>
                <c:ptCount val="1"/>
                <c:pt idx="0">
                  <c:v>Avoided Energy</c:v>
                </c:pt>
              </c:strCache>
            </c:strRef>
          </c:tx>
          <c:invertIfNegative val="0"/>
          <c:val>
            <c:numRef>
              <c:f>'Summary - LRAC for Residential'!$D$9</c:f>
              <c:numCache>
                <c:formatCode>_("$"* #,##0.000000_);_("$"* \(#,##0.000000\);_("$"* "-"??_);_(@_)</c:formatCode>
                <c:ptCount val="1"/>
                <c:pt idx="0">
                  <c:v>4.2585606332838102E-2</c:v>
                </c:pt>
              </c:numCache>
            </c:numRef>
          </c:val>
        </c:ser>
        <c:ser>
          <c:idx val="0"/>
          <c:order val="1"/>
          <c:tx>
            <c:strRef>
              <c:f>'Summary - LRAC for Residential'!$B$10</c:f>
              <c:strCache>
                <c:ptCount val="1"/>
                <c:pt idx="0">
                  <c:v>T&amp;D Loss Reduction</c:v>
                </c:pt>
              </c:strCache>
            </c:strRef>
          </c:tx>
          <c:invertIfNegative val="0"/>
          <c:val>
            <c:numRef>
              <c:f>'Summary - LRAC for Residential'!$D$10</c:f>
              <c:numCache>
                <c:formatCode>_("$"* #,##0.000000_);_("$"* \(#,##0.000000\);_("$"* "-"??_);_(@_)</c:formatCode>
                <c:ptCount val="1"/>
                <c:pt idx="0">
                  <c:v>3.1087492622971827E-3</c:v>
                </c:pt>
              </c:numCache>
            </c:numRef>
          </c:val>
        </c:ser>
        <c:ser>
          <c:idx val="1"/>
          <c:order val="2"/>
          <c:tx>
            <c:strRef>
              <c:f>'Summary - LRAC for Residential'!$B$11</c:f>
              <c:strCache>
                <c:ptCount val="1"/>
                <c:pt idx="0">
                  <c:v>Avoided Renewable Energy</c:v>
                </c:pt>
              </c:strCache>
            </c:strRef>
          </c:tx>
          <c:invertIfNegative val="0"/>
          <c:val>
            <c:numRef>
              <c:f>'Summary - LRAC for Residential'!$D$11</c:f>
              <c:numCache>
                <c:formatCode>_("$"* #,##0.000000_);_("$"* \(#,##0.000000\);_("$"* "-"??_);_(@_)</c:formatCode>
                <c:ptCount val="1"/>
                <c:pt idx="0">
                  <c:v>7.7751005342758753E-3</c:v>
                </c:pt>
              </c:numCache>
            </c:numRef>
          </c:val>
        </c:ser>
        <c:ser>
          <c:idx val="2"/>
          <c:order val="3"/>
          <c:tx>
            <c:strRef>
              <c:f>'Summary - LRAC for Residential'!$B$12</c:f>
              <c:strCache>
                <c:ptCount val="1"/>
                <c:pt idx="0">
                  <c:v>Conservation Credit - Energy</c:v>
                </c:pt>
              </c:strCache>
            </c:strRef>
          </c:tx>
          <c:invertIfNegative val="0"/>
          <c:val>
            <c:numRef>
              <c:f>'Summary - LRAC for Residential'!$D$12</c:f>
              <c:numCache>
                <c:formatCode>_("$"* #,##0.000000_);_("$"* \(#,##0.000000\);_("$"* "-"??_);_(@_)</c:formatCode>
                <c:ptCount val="1"/>
                <c:pt idx="0">
                  <c:v>5.3469456129411168E-3</c:v>
                </c:pt>
              </c:numCache>
            </c:numRef>
          </c:val>
        </c:ser>
        <c:ser>
          <c:idx val="3"/>
          <c:order val="4"/>
          <c:tx>
            <c:strRef>
              <c:f>'Summary - LRAC for Residential'!$B$13</c:f>
              <c:strCache>
                <c:ptCount val="1"/>
                <c:pt idx="0">
                  <c:v>Avoided Generation Capacity</c:v>
                </c:pt>
              </c:strCache>
            </c:strRef>
          </c:tx>
          <c:invertIfNegative val="0"/>
          <c:val>
            <c:numRef>
              <c:f>'Summary - LRAC for Residential'!$D$13</c:f>
              <c:numCache>
                <c:formatCode>_("$"* #,##0.000000_);_("$"* \(#,##0.000000\);_("$"* "-"??_);_(@_)</c:formatCode>
                <c:ptCount val="1"/>
                <c:pt idx="0">
                  <c:v>1.4691742451843738E-2</c:v>
                </c:pt>
              </c:numCache>
            </c:numRef>
          </c:val>
        </c:ser>
        <c:ser>
          <c:idx val="4"/>
          <c:order val="5"/>
          <c:tx>
            <c:strRef>
              <c:f>'Summary - LRAC for Residential'!$B$14</c:f>
              <c:strCache>
                <c:ptCount val="1"/>
                <c:pt idx="0">
                  <c:v>Deferred T&amp;D Capacity</c:v>
                </c:pt>
              </c:strCache>
            </c:strRef>
          </c:tx>
          <c:invertIfNegative val="0"/>
          <c:val>
            <c:numRef>
              <c:f>'Summary - LRAC for Residential'!$D$14</c:f>
              <c:numCache>
                <c:formatCode>_("$"* #,##0.000000_);_("$"* \(#,##0.000000\);_("$"* "-"??_);_(@_)</c:formatCode>
                <c:ptCount val="1"/>
                <c:pt idx="0">
                  <c:v>1.3422178567885688E-2</c:v>
                </c:pt>
              </c:numCache>
            </c:numRef>
          </c:val>
        </c:ser>
        <c:ser>
          <c:idx val="6"/>
          <c:order val="6"/>
          <c:tx>
            <c:strRef>
              <c:f>'Summary - LRAC for Residential'!$B$15</c:f>
              <c:strCache>
                <c:ptCount val="1"/>
                <c:pt idx="0">
                  <c:v>Conservation Credit - Capacity</c:v>
                </c:pt>
              </c:strCache>
            </c:strRef>
          </c:tx>
          <c:invertIfNegative val="0"/>
          <c:val>
            <c:numRef>
              <c:f>'Summary - LRAC for Residential'!$D$15</c:f>
              <c:numCache>
                <c:formatCode>_("$"* #,##0.000000_);_("$"* \(#,##0.000000\);_("$"* "-"??_);_(@_)</c:formatCode>
                <c:ptCount val="1"/>
                <c:pt idx="0">
                  <c:v>2.8113921019729425E-3</c:v>
                </c:pt>
              </c:numCache>
            </c:numRef>
          </c:val>
        </c:ser>
        <c:dLbls>
          <c:showLegendKey val="0"/>
          <c:showVal val="0"/>
          <c:showCatName val="0"/>
          <c:showSerName val="0"/>
          <c:showPercent val="0"/>
          <c:showBubbleSize val="0"/>
        </c:dLbls>
        <c:gapWidth val="55"/>
        <c:overlap val="100"/>
        <c:axId val="426594688"/>
        <c:axId val="426596224"/>
      </c:barChart>
      <c:catAx>
        <c:axId val="426594688"/>
        <c:scaling>
          <c:orientation val="minMax"/>
        </c:scaling>
        <c:delete val="0"/>
        <c:axPos val="b"/>
        <c:majorTickMark val="none"/>
        <c:minorTickMark val="none"/>
        <c:tickLblPos val="none"/>
        <c:crossAx val="426596224"/>
        <c:crosses val="autoZero"/>
        <c:auto val="1"/>
        <c:lblAlgn val="ctr"/>
        <c:lblOffset val="100"/>
        <c:noMultiLvlLbl val="0"/>
      </c:catAx>
      <c:valAx>
        <c:axId val="426596224"/>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en-US"/>
                  <a:t>20-Year Levelized Avoided Cost ($/kWh)</a:t>
                </a:r>
              </a:p>
            </c:rich>
          </c:tx>
          <c:layout/>
          <c:overlay val="0"/>
        </c:title>
        <c:numFmt formatCode="_(&quot;$&quot;* #,##0.000000_);_(&quot;$&quot;* \(#,##0.000000\);_(&quot;$&quot;* &quot;-&quot;??_);_(@_)" sourceLinked="1"/>
        <c:majorTickMark val="none"/>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426594688"/>
        <c:crosses val="autoZero"/>
        <c:crossBetween val="between"/>
      </c:valAx>
    </c:plotArea>
    <c:legend>
      <c:legendPos val="r"/>
      <c:layout/>
      <c:overlay val="0"/>
      <c:txPr>
        <a:bodyPr/>
        <a:lstStyle/>
        <a:p>
          <a:pPr>
            <a:defRPr sz="84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4EA5D37A962C4EA37186F23DE8E95A" ma:contentTypeVersion="104" ma:contentTypeDescription="" ma:contentTypeScope="" ma:versionID="d253007e0d47857184b4be113f8e12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1B43D24-E02F-4B2F-977E-894E6C88AD1F}">
  <ds:schemaRefs>
    <ds:schemaRef ds:uri="http://schemas.openxmlformats.org/officeDocument/2006/bibliography"/>
  </ds:schemaRefs>
</ds:datastoreItem>
</file>

<file path=customXml/itemProps2.xml><?xml version="1.0" encoding="utf-8"?>
<ds:datastoreItem xmlns:ds="http://schemas.openxmlformats.org/officeDocument/2006/customXml" ds:itemID="{F680FF21-A5BC-4DCB-B854-5185B189DCA6}"/>
</file>

<file path=customXml/itemProps3.xml><?xml version="1.0" encoding="utf-8"?>
<ds:datastoreItem xmlns:ds="http://schemas.openxmlformats.org/officeDocument/2006/customXml" ds:itemID="{DA8FC840-AEC4-4C75-9B8F-FEB733302B81}"/>
</file>

<file path=customXml/itemProps4.xml><?xml version="1.0" encoding="utf-8"?>
<ds:datastoreItem xmlns:ds="http://schemas.openxmlformats.org/officeDocument/2006/customXml" ds:itemID="{79073233-1E8B-4C27-B160-43FFA0E168D1}"/>
</file>

<file path=customXml/itemProps5.xml><?xml version="1.0" encoding="utf-8"?>
<ds:datastoreItem xmlns:ds="http://schemas.openxmlformats.org/officeDocument/2006/customXml" ds:itemID="{4D10CCF5-39EC-43F9-8E6F-FF0DB972D92B}"/>
</file>

<file path=docProps/app.xml><?xml version="1.0" encoding="utf-8"?>
<Properties xmlns="http://schemas.openxmlformats.org/officeDocument/2006/extended-properties" xmlns:vt="http://schemas.openxmlformats.org/officeDocument/2006/docPropsVTypes">
  <Template>Normal.dotm</Template>
  <TotalTime>774</TotalTime>
  <Pages>166</Pages>
  <Words>34119</Words>
  <Characters>194481</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228144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Ryan Thomas</cp:lastModifiedBy>
  <cp:revision>14</cp:revision>
  <cp:lastPrinted>2017-01-11T01:13:00Z</cp:lastPrinted>
  <dcterms:created xsi:type="dcterms:W3CDTF">2017-01-06T02:14:00Z</dcterms:created>
  <dcterms:modified xsi:type="dcterms:W3CDTF">2017-01-12T01:14:00Z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0x0101006E56B4D1795A2E4DB2F0B01679ED314A00EF4EA5D37A962C4EA37186F23DE8E95A</vt:lpwstr>
  </property>
  <property fmtid="{D5CDD505-2E9C-101B-9397-08002B2CF9AE}" pid="7" name="_docset_NoMedatataSyncRequired">
    <vt:lpwstr>False</vt:lpwstr>
  </property>
  <property fmtid="{D5CDD505-2E9C-101B-9397-08002B2CF9AE}" pid="8" name="IsEFSEC">
    <vt:bool>false</vt:bool>
  </property>
</Properties>
</file>