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AE" w:rsidRPr="00846B8C" w:rsidRDefault="007606AE">
      <w:pPr>
        <w:pStyle w:val="CourtName"/>
        <w:spacing w:line="240" w:lineRule="auto"/>
        <w:jc w:val="left"/>
        <w:rPr>
          <w:b/>
          <w:bCs/>
          <w:szCs w:val="24"/>
        </w:rPr>
      </w:pPr>
    </w:p>
    <w:p w:rsidR="007606AE" w:rsidRPr="00846B8C" w:rsidRDefault="007606AE">
      <w:pPr>
        <w:pStyle w:val="CourtName"/>
        <w:spacing w:line="240" w:lineRule="auto"/>
        <w:jc w:val="left"/>
        <w:rPr>
          <w:b/>
          <w:bCs/>
          <w:szCs w:val="24"/>
        </w:rPr>
      </w:pPr>
    </w:p>
    <w:p w:rsidR="007606AE" w:rsidRPr="00846B8C" w:rsidRDefault="007606AE">
      <w:pPr>
        <w:pStyle w:val="CourtName"/>
        <w:spacing w:line="240" w:lineRule="auto"/>
        <w:jc w:val="left"/>
        <w:rPr>
          <w:b/>
          <w:bCs/>
          <w:szCs w:val="24"/>
        </w:rPr>
      </w:pPr>
    </w:p>
    <w:p w:rsidR="007606AE" w:rsidRPr="00846B8C" w:rsidRDefault="007606AE">
      <w:pPr>
        <w:pStyle w:val="CourtName"/>
        <w:spacing w:line="240" w:lineRule="auto"/>
        <w:jc w:val="left"/>
        <w:rPr>
          <w:b/>
          <w:bCs/>
          <w:szCs w:val="24"/>
        </w:rPr>
      </w:pPr>
    </w:p>
    <w:p w:rsidR="007606AE" w:rsidRPr="00846B8C" w:rsidRDefault="007606AE">
      <w:pPr>
        <w:pStyle w:val="CourtName"/>
        <w:spacing w:line="240" w:lineRule="auto"/>
        <w:jc w:val="left"/>
        <w:rPr>
          <w:b/>
          <w:bCs/>
          <w:szCs w:val="24"/>
        </w:rPr>
      </w:pPr>
    </w:p>
    <w:p w:rsidR="007606AE" w:rsidRPr="00846B8C" w:rsidRDefault="007606AE">
      <w:pPr>
        <w:pStyle w:val="CourtName"/>
        <w:spacing w:line="240" w:lineRule="auto"/>
        <w:jc w:val="left"/>
        <w:rPr>
          <w:b/>
          <w:bCs/>
          <w:szCs w:val="24"/>
        </w:rPr>
      </w:pPr>
    </w:p>
    <w:p w:rsidR="007606AE" w:rsidRPr="00846B8C" w:rsidRDefault="000C1675">
      <w:pPr>
        <w:pStyle w:val="CourtName"/>
        <w:spacing w:line="240" w:lineRule="auto"/>
        <w:jc w:val="left"/>
        <w:rPr>
          <w:b/>
          <w:bCs/>
          <w:szCs w:val="24"/>
        </w:rPr>
      </w:pPr>
      <w:r w:rsidRPr="00846B8C">
        <w:rPr>
          <w:b/>
          <w:bCs/>
          <w:szCs w:val="24"/>
        </w:rPr>
        <w:t>BEFORE THE WASHINGTON UTILITIES AND TRANSPORTATION COMMISSION</w:t>
      </w:r>
    </w:p>
    <w:p w:rsidR="007606AE" w:rsidRPr="00846B8C" w:rsidRDefault="007606AE">
      <w:pPr>
        <w:pStyle w:val="CourtName"/>
        <w:spacing w:line="240" w:lineRule="auto"/>
        <w:rPr>
          <w:szCs w:val="24"/>
        </w:rPr>
      </w:pPr>
    </w:p>
    <w:p w:rsidR="007606AE" w:rsidRPr="00846B8C" w:rsidRDefault="007606AE">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7606AE" w:rsidRPr="00846B8C">
        <w:tc>
          <w:tcPr>
            <w:tcW w:w="4140" w:type="dxa"/>
            <w:tcBorders>
              <w:top w:val="nil"/>
              <w:left w:val="nil"/>
              <w:bottom w:val="single" w:sz="6" w:space="0" w:color="auto"/>
              <w:right w:val="single" w:sz="6" w:space="0" w:color="auto"/>
            </w:tcBorders>
          </w:tcPr>
          <w:p w:rsidR="007606AE" w:rsidRPr="00846B8C" w:rsidRDefault="000C1675">
            <w:pPr>
              <w:pStyle w:val="normalblock"/>
              <w:spacing w:line="240" w:lineRule="atLeast"/>
              <w:rPr>
                <w:caps/>
              </w:rPr>
            </w:pPr>
            <w:r w:rsidRPr="00846B8C">
              <w:rPr>
                <w:caps/>
              </w:rPr>
              <w:t xml:space="preserve">Rulemaking related to the mandatory distribution of white pages directories by local exchange carriers in </w:t>
            </w:r>
          </w:p>
          <w:p w:rsidR="007606AE" w:rsidRPr="00846B8C" w:rsidRDefault="000C1675">
            <w:pPr>
              <w:pStyle w:val="normalblock"/>
              <w:spacing w:line="240" w:lineRule="atLeast"/>
            </w:pPr>
            <w:r w:rsidRPr="00846B8C">
              <w:rPr>
                <w:caps/>
              </w:rPr>
              <w:t>WAC 480-120-251(3).</w:t>
            </w:r>
          </w:p>
        </w:tc>
        <w:tc>
          <w:tcPr>
            <w:tcW w:w="4770" w:type="dxa"/>
            <w:tcBorders>
              <w:top w:val="nil"/>
              <w:left w:val="nil"/>
              <w:bottom w:val="nil"/>
              <w:right w:val="nil"/>
            </w:tcBorders>
          </w:tcPr>
          <w:p w:rsidR="007606AE" w:rsidRPr="00846B8C" w:rsidRDefault="007606AE">
            <w:pPr>
              <w:pStyle w:val="normalblock"/>
            </w:pPr>
          </w:p>
          <w:p w:rsidR="007606AE" w:rsidRPr="00846B8C" w:rsidRDefault="000C1675">
            <w:pPr>
              <w:pStyle w:val="normalblock"/>
            </w:pPr>
            <w:r w:rsidRPr="00846B8C">
              <w:t>Docket No. UT-120451</w:t>
            </w:r>
          </w:p>
          <w:p w:rsidR="007606AE" w:rsidRPr="00846B8C" w:rsidRDefault="007606AE">
            <w:pPr>
              <w:pStyle w:val="normalblock"/>
            </w:pPr>
          </w:p>
          <w:p w:rsidR="007606AE" w:rsidRPr="00846B8C" w:rsidRDefault="000C1675">
            <w:pPr>
              <w:pStyle w:val="normalblock"/>
            </w:pPr>
            <w:r w:rsidRPr="00846B8C">
              <w:t>CENTURYLINK’S FIFTH REPLY COMMENTS</w:t>
            </w:r>
          </w:p>
          <w:p w:rsidR="007606AE" w:rsidRPr="00846B8C" w:rsidRDefault="007606AE">
            <w:pPr>
              <w:pStyle w:val="normalblock"/>
            </w:pPr>
          </w:p>
        </w:tc>
      </w:tr>
    </w:tbl>
    <w:p w:rsidR="007606AE" w:rsidRPr="00846B8C" w:rsidRDefault="007606AE">
      <w:pPr>
        <w:pStyle w:val="AutoNumBodyCharCharCharChar"/>
        <w:numPr>
          <w:ilvl w:val="0"/>
          <w:numId w:val="0"/>
        </w:numPr>
        <w:ind w:left="360"/>
      </w:pPr>
    </w:p>
    <w:p w:rsidR="007606AE" w:rsidRPr="00846B8C" w:rsidRDefault="000C1675">
      <w:pPr>
        <w:pStyle w:val="AutoNumBodyCharCharCharChar"/>
      </w:pPr>
      <w:r w:rsidRPr="00846B8C">
        <w:t>CenturyLink hereby submits its comments on the proposed directory rule as requested in the Commission’s Notice of March 1, 2013.  The Commission provided notice of an opportunity to file written comments on a supplemental proposal (Supplemental CR-102) related to distribution of telephone books in WAC 480-120-251.</w:t>
      </w:r>
    </w:p>
    <w:p w:rsidR="001730DF" w:rsidRPr="00846B8C" w:rsidRDefault="001730DF">
      <w:pPr>
        <w:pStyle w:val="AutoNumBodyCharCharCharChar"/>
      </w:pPr>
      <w:r w:rsidRPr="00846B8C">
        <w:t xml:space="preserve">CenturyLink continues to support an opt-out approach for directory distribution.  </w:t>
      </w:r>
      <w:r w:rsidR="000C1675" w:rsidRPr="00846B8C">
        <w:t>With an opt-in approach, customers who are relying on printed phone books would no longer receive them</w:t>
      </w:r>
      <w:r w:rsidRPr="00846B8C">
        <w:t>,</w:t>
      </w:r>
      <w:r w:rsidR="000C1675" w:rsidRPr="00846B8C">
        <w:t xml:space="preserve"> without any notice</w:t>
      </w:r>
      <w:r w:rsidRPr="00846B8C">
        <w:t xml:space="preserve"> of the discontinuance.</w:t>
      </w:r>
    </w:p>
    <w:p w:rsidR="001730DF" w:rsidRPr="00846B8C" w:rsidRDefault="001730DF">
      <w:pPr>
        <w:pStyle w:val="AutoNumBodyCharCharCharChar"/>
      </w:pPr>
      <w:r w:rsidRPr="00846B8C">
        <w:t>In addition, because Dex will continue to adhere to an opt-out approach for its yellow pages publications, it makes sense to parallel that process for white pages.  Environmentally, there are more versions of a yellow pages directory that are distributed to homes than there are versions of the white pages, which often is just one</w:t>
      </w:r>
      <w:r w:rsidR="000C1675" w:rsidRPr="00846B8C">
        <w:t>.</w:t>
      </w:r>
      <w:r w:rsidR="00846B8C" w:rsidRPr="00846B8C">
        <w:t xml:space="preserve">  </w:t>
      </w:r>
      <w:r w:rsidRPr="00846B8C">
        <w:t xml:space="preserve">  </w:t>
      </w:r>
    </w:p>
    <w:p w:rsidR="001730DF" w:rsidRPr="00846B8C" w:rsidRDefault="001730DF">
      <w:pPr>
        <w:pStyle w:val="AutoNumBodyCharCharCharChar"/>
      </w:pPr>
      <w:r w:rsidRPr="00846B8C">
        <w:t xml:space="preserve">If the Commission chooses the opt-in approach, the rule should be modified so as to only apply to residential white pages, not business listings in the white pages.  This is so that if Dex delivers a combined business white pages and yellow pages directory to a customer who has opted out of white pages under (3) of the Commission’s proposed rule, but not out of the yellow pages distribution, that neither CenturyLink </w:t>
      </w:r>
      <w:r w:rsidR="00B057C5">
        <w:t>n</w:t>
      </w:r>
      <w:r w:rsidRPr="00846B8C">
        <w:t xml:space="preserve">or Dex would be in violation of the </w:t>
      </w:r>
      <w:r w:rsidRPr="00846B8C">
        <w:lastRenderedPageBreak/>
        <w:t>requirement under (3).</w:t>
      </w:r>
    </w:p>
    <w:p w:rsidR="00846B8C" w:rsidRPr="00846B8C" w:rsidRDefault="00846B8C">
      <w:pPr>
        <w:pStyle w:val="AutoNumBodyCharCharCharChar"/>
      </w:pPr>
      <w:r w:rsidRPr="00846B8C">
        <w:t>An opt-in approach should also be phased, with customers receiving a minimum of one additional cycle of the white pages directory, with a notice as to how to continue to receive the directories in the future.</w:t>
      </w:r>
    </w:p>
    <w:p w:rsidR="001730DF" w:rsidRPr="00846B8C" w:rsidRDefault="001730DF">
      <w:pPr>
        <w:pStyle w:val="AutoNumBodyCharCharCharChar"/>
      </w:pPr>
      <w:r w:rsidRPr="00846B8C">
        <w:t xml:space="preserve">In addition, CenturyLink supports a modification to (2) of the rule so that CenturyLink is obligated only to provide access to directory listings of its own customers and the customers of those carriers who provide their listings to CenturyLink at no charge for inclusion in the electronic directory.  Otherwise CenturyLink has no ability to control its costs for those listings, or to even ensure that it can obtain them.  The current rule only requires that requesting customers be provided with books from other carriers within their local calling area – not an electronic listing.  </w:t>
      </w:r>
    </w:p>
    <w:p w:rsidR="007606AE" w:rsidRPr="00846B8C" w:rsidRDefault="007606AE">
      <w:pPr>
        <w:pStyle w:val="AutoNumBodyCharCharCharChar"/>
        <w:numPr>
          <w:ilvl w:val="0"/>
          <w:numId w:val="0"/>
        </w:numPr>
        <w:ind w:left="360"/>
      </w:pPr>
    </w:p>
    <w:tbl>
      <w:tblPr>
        <w:tblW w:w="0" w:type="auto"/>
        <w:tblInd w:w="-106" w:type="dxa"/>
        <w:tblLayout w:type="fixed"/>
        <w:tblLook w:val="01E0"/>
      </w:tblPr>
      <w:tblGrid>
        <w:gridCol w:w="4248"/>
        <w:gridCol w:w="5328"/>
      </w:tblGrid>
      <w:tr w:rsidR="007606AE" w:rsidRPr="00846B8C">
        <w:trPr>
          <w:trHeight w:val="666"/>
        </w:trPr>
        <w:tc>
          <w:tcPr>
            <w:tcW w:w="9576" w:type="dxa"/>
            <w:gridSpan w:val="2"/>
          </w:tcPr>
          <w:p w:rsidR="007606AE" w:rsidRPr="00846B8C" w:rsidRDefault="000C1675">
            <w:pPr>
              <w:keepNext/>
              <w:rPr>
                <w:rFonts w:ascii="Times New Roman" w:hAnsi="Times New Roman"/>
              </w:rPr>
            </w:pPr>
            <w:r w:rsidRPr="00846B8C">
              <w:rPr>
                <w:rFonts w:ascii="Times New Roman" w:hAnsi="Times New Roman"/>
              </w:rPr>
              <w:t xml:space="preserve">Respectfully submitted this </w:t>
            </w:r>
            <w:proofErr w:type="gramStart"/>
            <w:r w:rsidRPr="00846B8C">
              <w:rPr>
                <w:rFonts w:ascii="Times New Roman" w:hAnsi="Times New Roman"/>
              </w:rPr>
              <w:t>29</w:t>
            </w:r>
            <w:r w:rsidRPr="00846B8C">
              <w:rPr>
                <w:rFonts w:ascii="Times New Roman" w:hAnsi="Times New Roman"/>
                <w:vertAlign w:val="superscript"/>
              </w:rPr>
              <w:t>th</w:t>
            </w:r>
            <w:r w:rsidRPr="00846B8C">
              <w:rPr>
                <w:rFonts w:ascii="Times New Roman" w:hAnsi="Times New Roman"/>
              </w:rPr>
              <w:t xml:space="preserve"> </w:t>
            </w:r>
            <w:r w:rsidRPr="00846B8C">
              <w:rPr>
                <w:rFonts w:ascii="Times New Roman" w:hAnsi="Times New Roman"/>
                <w:vertAlign w:val="superscript"/>
              </w:rPr>
              <w:t xml:space="preserve"> </w:t>
            </w:r>
            <w:r w:rsidRPr="00846B8C">
              <w:rPr>
                <w:rFonts w:ascii="Times New Roman" w:hAnsi="Times New Roman"/>
              </w:rPr>
              <w:t>day</w:t>
            </w:r>
            <w:proofErr w:type="gramEnd"/>
            <w:r w:rsidRPr="00846B8C">
              <w:rPr>
                <w:rFonts w:ascii="Times New Roman" w:hAnsi="Times New Roman"/>
              </w:rPr>
              <w:t xml:space="preserve"> of March, 2013.</w:t>
            </w:r>
          </w:p>
        </w:tc>
      </w:tr>
      <w:tr w:rsidR="007606AE" w:rsidRPr="00846B8C">
        <w:trPr>
          <w:trHeight w:val="3483"/>
        </w:trPr>
        <w:tc>
          <w:tcPr>
            <w:tcW w:w="4248" w:type="dxa"/>
          </w:tcPr>
          <w:p w:rsidR="007606AE" w:rsidRPr="00846B8C" w:rsidRDefault="007606AE">
            <w:pPr>
              <w:keepNext/>
              <w:keepLines/>
              <w:rPr>
                <w:rFonts w:ascii="Times New Roman" w:hAnsi="Times New Roman"/>
              </w:rPr>
            </w:pPr>
          </w:p>
        </w:tc>
        <w:tc>
          <w:tcPr>
            <w:tcW w:w="5328" w:type="dxa"/>
          </w:tcPr>
          <w:p w:rsidR="007606AE" w:rsidRPr="00846B8C" w:rsidRDefault="000C1675">
            <w:pPr>
              <w:pStyle w:val="LawFirm"/>
              <w:keepNext/>
              <w:keepLines/>
              <w:rPr>
                <w:rFonts w:ascii="Times New Roman" w:hAnsi="Times New Roman" w:cs="Times New Roman"/>
              </w:rPr>
            </w:pPr>
            <w:r w:rsidRPr="00846B8C">
              <w:rPr>
                <w:rFonts w:ascii="Times New Roman" w:hAnsi="Times New Roman" w:cs="Times New Roman"/>
              </w:rPr>
              <w:t>CenturyLink, Inc.</w:t>
            </w:r>
          </w:p>
          <w:p w:rsidR="007606AE" w:rsidRPr="00846B8C" w:rsidRDefault="000C1675">
            <w:pPr>
              <w:pStyle w:val="LawFirm"/>
              <w:keepNext/>
              <w:keepLines/>
              <w:rPr>
                <w:rFonts w:ascii="Times New Roman" w:hAnsi="Times New Roman" w:cs="Times New Roman"/>
              </w:rPr>
            </w:pPr>
            <w:r w:rsidRPr="00846B8C">
              <w:rPr>
                <w:rFonts w:ascii="Times New Roman" w:hAnsi="Times New Roman" w:cs="Times New Roman"/>
              </w:rPr>
              <w:t>Qwest Corporation</w:t>
            </w:r>
          </w:p>
          <w:p w:rsidR="007606AE" w:rsidRPr="00846B8C" w:rsidRDefault="000C1675">
            <w:pPr>
              <w:keepNext/>
              <w:keepLines/>
              <w:rPr>
                <w:rFonts w:ascii="Times New Roman" w:hAnsi="Times New Roman"/>
              </w:rPr>
            </w:pPr>
            <w:r w:rsidRPr="00846B8C">
              <w:rPr>
                <w:rFonts w:ascii="Times New Roman" w:hAnsi="Times New Roman"/>
              </w:rPr>
              <w:t>By:</w:t>
            </w:r>
            <w:r w:rsidRPr="00846B8C">
              <w:rPr>
                <w:rFonts w:ascii="Times New Roman" w:hAnsi="Times New Roman"/>
                <w:noProof/>
              </w:rPr>
              <w:drawing>
                <wp:inline distT="0" distB="0" distL="0" distR="0">
                  <wp:extent cx="1479550" cy="54144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79550" cy="541440"/>
                          </a:xfrm>
                          <a:prstGeom prst="rect">
                            <a:avLst/>
                          </a:prstGeom>
                          <a:noFill/>
                          <a:ln w="9525">
                            <a:noFill/>
                            <a:miter lim="800000"/>
                            <a:headEnd/>
                            <a:tailEnd/>
                          </a:ln>
                        </pic:spPr>
                      </pic:pic>
                    </a:graphicData>
                  </a:graphic>
                </wp:inline>
              </w:drawing>
            </w:r>
          </w:p>
          <w:p w:rsidR="007606AE" w:rsidRPr="00846B8C" w:rsidRDefault="000C1675">
            <w:pPr>
              <w:keepNext/>
              <w:keepLines/>
              <w:rPr>
                <w:rFonts w:ascii="Times New Roman" w:hAnsi="Times New Roman"/>
              </w:rPr>
            </w:pPr>
            <w:r w:rsidRPr="00846B8C">
              <w:rPr>
                <w:rFonts w:ascii="Times New Roman" w:hAnsi="Times New Roman"/>
              </w:rPr>
              <w:t>Lisa A. Anderl, WSBA # 13236</w:t>
            </w:r>
            <w:r w:rsidRPr="00846B8C">
              <w:rPr>
                <w:rFonts w:ascii="Times New Roman" w:hAnsi="Times New Roman"/>
              </w:rPr>
              <w:br/>
              <w:t>1600 7</w:t>
            </w:r>
            <w:r w:rsidRPr="00846B8C">
              <w:rPr>
                <w:rFonts w:ascii="Times New Roman" w:hAnsi="Times New Roman"/>
                <w:vertAlign w:val="superscript"/>
              </w:rPr>
              <w:t>th</w:t>
            </w:r>
            <w:r w:rsidRPr="00846B8C">
              <w:rPr>
                <w:rFonts w:ascii="Times New Roman" w:hAnsi="Times New Roman"/>
              </w:rPr>
              <w:t xml:space="preserve"> Ave., Room 1506</w:t>
            </w:r>
            <w:r w:rsidRPr="00846B8C">
              <w:rPr>
                <w:rFonts w:ascii="Times New Roman" w:hAnsi="Times New Roman"/>
              </w:rPr>
              <w:br/>
              <w:t>Seattle, Washington 98191</w:t>
            </w:r>
            <w:r w:rsidRPr="00846B8C">
              <w:rPr>
                <w:rFonts w:ascii="Times New Roman" w:hAnsi="Times New Roman"/>
              </w:rPr>
              <w:br/>
              <w:t>(206) 345-1574</w:t>
            </w:r>
            <w:r w:rsidRPr="00846B8C">
              <w:rPr>
                <w:rFonts w:ascii="Times New Roman" w:hAnsi="Times New Roman"/>
              </w:rPr>
              <w:br/>
              <w:t>Fax: (206) 343-4040</w:t>
            </w:r>
            <w:r w:rsidRPr="00846B8C">
              <w:rPr>
                <w:rFonts w:ascii="Times New Roman" w:hAnsi="Times New Roman"/>
              </w:rPr>
              <w:br/>
            </w:r>
            <w:hyperlink r:id="rId8" w:history="1">
              <w:r w:rsidRPr="00846B8C">
                <w:rPr>
                  <w:rStyle w:val="Hyperlink"/>
                  <w:rFonts w:ascii="Times New Roman" w:hAnsi="Times New Roman"/>
                  <w:color w:val="auto"/>
                </w:rPr>
                <w:t>Lisa.Anderl@CenturyLink.com</w:t>
              </w:r>
            </w:hyperlink>
          </w:p>
          <w:p w:rsidR="007606AE" w:rsidRPr="00846B8C" w:rsidRDefault="007606AE">
            <w:pPr>
              <w:keepNext/>
              <w:keepLines/>
              <w:rPr>
                <w:rFonts w:ascii="Times New Roman" w:hAnsi="Times New Roman"/>
              </w:rPr>
            </w:pPr>
          </w:p>
        </w:tc>
      </w:tr>
    </w:tbl>
    <w:p w:rsidR="007606AE" w:rsidRPr="00846B8C" w:rsidRDefault="007606AE">
      <w:pPr>
        <w:pStyle w:val="NormalDS"/>
        <w:numPr>
          <w:ilvl w:val="0"/>
          <w:numId w:val="0"/>
        </w:numPr>
        <w:spacing w:before="120" w:line="480" w:lineRule="exact"/>
        <w:ind w:left="360"/>
        <w:rPr>
          <w:rFonts w:ascii="Times New Roman" w:hAnsi="Times New Roman"/>
        </w:rPr>
      </w:pPr>
    </w:p>
    <w:p w:rsidR="007606AE" w:rsidRPr="00846B8C" w:rsidRDefault="007606AE">
      <w:pPr>
        <w:rPr>
          <w:rFonts w:ascii="Times New Roman" w:eastAsia="MS Mincho" w:hAnsi="Times New Roman"/>
        </w:rPr>
      </w:pPr>
    </w:p>
    <w:p w:rsidR="007606AE" w:rsidRPr="00846B8C" w:rsidRDefault="007606AE">
      <w:pPr>
        <w:ind w:left="720" w:right="720"/>
        <w:rPr>
          <w:rFonts w:ascii="Times New Roman" w:hAnsi="Times New Roman"/>
          <w:sz w:val="25"/>
          <w:szCs w:val="25"/>
        </w:rPr>
      </w:pPr>
    </w:p>
    <w:p w:rsidR="007606AE" w:rsidRPr="00846B8C" w:rsidRDefault="007606AE">
      <w:pPr>
        <w:ind w:left="720" w:right="720"/>
        <w:rPr>
          <w:rFonts w:ascii="Times New Roman" w:hAnsi="Times New Roman"/>
          <w:sz w:val="25"/>
          <w:szCs w:val="25"/>
        </w:rPr>
      </w:pPr>
    </w:p>
    <w:p w:rsidR="00846B8C" w:rsidRPr="00846B8C" w:rsidRDefault="00846B8C">
      <w:pPr>
        <w:ind w:left="720" w:right="720"/>
        <w:rPr>
          <w:rFonts w:ascii="Times New Roman" w:hAnsi="Times New Roman"/>
          <w:sz w:val="25"/>
          <w:szCs w:val="25"/>
        </w:rPr>
      </w:pPr>
    </w:p>
    <w:sectPr w:rsidR="00846B8C" w:rsidRPr="00846B8C" w:rsidSect="007606A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2E" w:rsidRDefault="000C2A2E">
      <w:r>
        <w:separator/>
      </w:r>
    </w:p>
  </w:endnote>
  <w:endnote w:type="continuationSeparator" w:id="0">
    <w:p w:rsidR="000C2A2E" w:rsidRDefault="000C2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AE" w:rsidRDefault="00BB543D">
    <w:pPr>
      <w:pStyle w:val="Footer"/>
      <w:rPr>
        <w:rFonts w:ascii="Times New Roman" w:hAnsi="Times New Roman"/>
        <w:sz w:val="20"/>
        <w:szCs w:val="20"/>
      </w:rPr>
    </w:pPr>
    <w:r w:rsidRPr="00BB543D">
      <w:rPr>
        <w:noProof/>
      </w:rPr>
      <w:pict>
        <v:shapetype id="_x0000_t202" coordsize="21600,21600" o:spt="202" path="m,l,21600r21600,l21600,xe">
          <v:stroke joinstyle="miter"/>
          <v:path gradientshapeok="t" o:connecttype="rect"/>
        </v:shapetype>
        <v:shape id="_x0000_s2049" type="#_x0000_t202" style="position:absolute;margin-left:344.3pt;margin-top:-.5pt;width:126.55pt;height:48.35pt;z-index:251658240;mso-width-relative:margin;mso-height-relative:margin" stroked="f">
          <v:textbox style="mso-next-textbox:#_x0000_s2049">
            <w:txbxContent>
              <w:p w:rsidR="007606AE" w:rsidRDefault="000C1675">
                <w:pPr>
                  <w:rPr>
                    <w:rFonts w:ascii="Times New Roman" w:hAnsi="Times New Roman"/>
                    <w:sz w:val="18"/>
                    <w:szCs w:val="18"/>
                  </w:rPr>
                </w:pPr>
                <w:r>
                  <w:rPr>
                    <w:rFonts w:ascii="Times New Roman" w:hAnsi="Times New Roman"/>
                    <w:sz w:val="18"/>
                    <w:szCs w:val="18"/>
                  </w:rPr>
                  <w:t>CenturyLink</w:t>
                </w:r>
              </w:p>
              <w:p w:rsidR="007606AE" w:rsidRDefault="000C1675">
                <w:pPr>
                  <w:rPr>
                    <w:rFonts w:ascii="Times New Roman" w:hAnsi="Times New Roman"/>
                    <w:sz w:val="18"/>
                    <w:szCs w:val="18"/>
                  </w:rPr>
                </w:pPr>
                <w:r>
                  <w:rPr>
                    <w:rFonts w:ascii="Times New Roman" w:hAnsi="Times New Roman"/>
                    <w:sz w:val="18"/>
                    <w:szCs w:val="18"/>
                  </w:rPr>
                  <w:t>1600 7</w:t>
                </w:r>
                <w:r>
                  <w:rPr>
                    <w:rFonts w:ascii="Times New Roman" w:hAnsi="Times New Roman"/>
                    <w:sz w:val="18"/>
                    <w:szCs w:val="18"/>
                    <w:vertAlign w:val="superscript"/>
                  </w:rPr>
                  <w:t>th</w:t>
                </w:r>
                <w:r>
                  <w:rPr>
                    <w:rFonts w:ascii="Times New Roman" w:hAnsi="Times New Roman"/>
                    <w:sz w:val="18"/>
                    <w:szCs w:val="18"/>
                  </w:rPr>
                  <w:t xml:space="preserve"> Ave., Room 1506</w:t>
                </w:r>
              </w:p>
              <w:p w:rsidR="007606AE" w:rsidRDefault="000C1675">
                <w:pPr>
                  <w:rPr>
                    <w:rFonts w:ascii="Times New Roman" w:hAnsi="Times New Roman"/>
                    <w:sz w:val="18"/>
                    <w:szCs w:val="18"/>
                  </w:rPr>
                </w:pPr>
                <w:r>
                  <w:rPr>
                    <w:rFonts w:ascii="Times New Roman" w:hAnsi="Times New Roman"/>
                    <w:sz w:val="18"/>
                    <w:szCs w:val="18"/>
                  </w:rPr>
                  <w:t>Seattle, WA  98191</w:t>
                </w:r>
              </w:p>
            </w:txbxContent>
          </v:textbox>
        </v:shape>
      </w:pict>
    </w:r>
    <w:r w:rsidR="000C1675">
      <w:rPr>
        <w:rFonts w:ascii="Times New Roman" w:hAnsi="Times New Roman"/>
        <w:sz w:val="20"/>
        <w:szCs w:val="20"/>
      </w:rPr>
      <w:t>CENTURYLINK’S FIFTH</w:t>
    </w:r>
  </w:p>
  <w:p w:rsidR="007606AE" w:rsidRDefault="000C1675">
    <w:pPr>
      <w:pStyle w:val="Footer"/>
      <w:rPr>
        <w:rFonts w:ascii="Times New Roman" w:hAnsi="Times New Roman"/>
        <w:sz w:val="20"/>
        <w:szCs w:val="20"/>
      </w:rPr>
    </w:pPr>
    <w:r>
      <w:rPr>
        <w:rFonts w:ascii="Times New Roman" w:hAnsi="Times New Roman"/>
        <w:sz w:val="20"/>
        <w:szCs w:val="20"/>
      </w:rPr>
      <w:t>REPLY COMMENTS</w:t>
    </w:r>
  </w:p>
  <w:p w:rsidR="007606AE" w:rsidRDefault="000C1675">
    <w:pPr>
      <w:pStyle w:val="Footer"/>
      <w:rPr>
        <w:rFonts w:ascii="Times New Roman" w:hAnsi="Times New Roman"/>
        <w:sz w:val="20"/>
        <w:szCs w:val="20"/>
      </w:rPr>
    </w:pPr>
    <w:r>
      <w:rPr>
        <w:rFonts w:ascii="Times New Roman" w:hAnsi="Times New Roman"/>
        <w:sz w:val="20"/>
        <w:szCs w:val="20"/>
      </w:rPr>
      <w:t xml:space="preserve">Page </w:t>
    </w:r>
    <w:r w:rsidR="00BB543D">
      <w:rPr>
        <w:rFonts w:ascii="Times New Roman" w:hAnsi="Times New Roman"/>
        <w:sz w:val="20"/>
        <w:szCs w:val="20"/>
      </w:rPr>
      <w:fldChar w:fldCharType="begin"/>
    </w:r>
    <w:r>
      <w:rPr>
        <w:rFonts w:ascii="Times New Roman" w:hAnsi="Times New Roman"/>
        <w:sz w:val="20"/>
        <w:szCs w:val="20"/>
      </w:rPr>
      <w:instrText xml:space="preserve"> PAGE   \* MERGEFORMAT </w:instrText>
    </w:r>
    <w:r w:rsidR="00BB543D">
      <w:rPr>
        <w:rFonts w:ascii="Times New Roman" w:hAnsi="Times New Roman"/>
        <w:sz w:val="20"/>
        <w:szCs w:val="20"/>
      </w:rPr>
      <w:fldChar w:fldCharType="separate"/>
    </w:r>
    <w:r w:rsidR="00B057C5">
      <w:rPr>
        <w:rFonts w:ascii="Times New Roman" w:hAnsi="Times New Roman"/>
        <w:noProof/>
        <w:sz w:val="20"/>
        <w:szCs w:val="20"/>
      </w:rPr>
      <w:t>1</w:t>
    </w:r>
    <w:r w:rsidR="00BB543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2E" w:rsidRDefault="000C2A2E">
      <w:r>
        <w:separator/>
      </w:r>
    </w:p>
  </w:footnote>
  <w:footnote w:type="continuationSeparator" w:id="0">
    <w:p w:rsidR="000C2A2E" w:rsidRDefault="000C2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1D6198"/>
    <w:multiLevelType w:val="hybridMultilevel"/>
    <w:tmpl w:val="4D287B4A"/>
    <w:lvl w:ilvl="0" w:tplc="510210F4">
      <w:start w:val="1"/>
      <w:numFmt w:val="decimal"/>
      <w:pStyle w:val="AutoNumBodyCharCharCharCha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
  </w:num>
  <w:num w:numId="4">
    <w:abstractNumId w:val="1"/>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606AE"/>
    <w:rsid w:val="00055941"/>
    <w:rsid w:val="000C1675"/>
    <w:rsid w:val="000C2A2E"/>
    <w:rsid w:val="001730DF"/>
    <w:rsid w:val="00596953"/>
    <w:rsid w:val="0061454A"/>
    <w:rsid w:val="007606AE"/>
    <w:rsid w:val="00846B8C"/>
    <w:rsid w:val="00AE364D"/>
    <w:rsid w:val="00B057C5"/>
    <w:rsid w:val="00B22ACE"/>
    <w:rsid w:val="00BB543D"/>
    <w:rsid w:val="00D35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AE"/>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6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606AE"/>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7606AE"/>
    <w:pPr>
      <w:ind w:left="720"/>
    </w:pPr>
    <w:rPr>
      <w:rFonts w:ascii="Calibri" w:eastAsia="Calibri" w:hAnsi="Calibri" w:cs="Calibri"/>
      <w:sz w:val="22"/>
      <w:szCs w:val="22"/>
    </w:rPr>
  </w:style>
  <w:style w:type="character" w:styleId="Hyperlink">
    <w:name w:val="Hyperlink"/>
    <w:basedOn w:val="DefaultParagraphFont"/>
    <w:rsid w:val="007606AE"/>
    <w:rPr>
      <w:rFonts w:cs="Times New Roman"/>
      <w:color w:val="0000FF"/>
      <w:u w:val="single"/>
    </w:rPr>
  </w:style>
  <w:style w:type="paragraph" w:customStyle="1" w:styleId="AutoNumBodyCharCharCharChar">
    <w:name w:val="AutoNum Body Char Char Char Char"/>
    <w:basedOn w:val="Normal"/>
    <w:autoRedefine/>
    <w:uiPriority w:val="99"/>
    <w:rsid w:val="007606AE"/>
    <w:pPr>
      <w:widowControl w:val="0"/>
      <w:numPr>
        <w:numId w:val="2"/>
      </w:numPr>
      <w:spacing w:after="120" w:line="480" w:lineRule="exact"/>
    </w:pPr>
    <w:rPr>
      <w:rFonts w:ascii="Times New Roman" w:hAnsi="Times New Roman"/>
    </w:rPr>
  </w:style>
  <w:style w:type="paragraph" w:customStyle="1" w:styleId="CourtName">
    <w:name w:val="CourtName"/>
    <w:basedOn w:val="Normal"/>
    <w:uiPriority w:val="99"/>
    <w:rsid w:val="007606AE"/>
    <w:pPr>
      <w:overflowPunct w:val="0"/>
      <w:autoSpaceDE w:val="0"/>
      <w:autoSpaceDN w:val="0"/>
      <w:adjustRightInd w:val="0"/>
      <w:spacing w:line="240" w:lineRule="exact"/>
      <w:jc w:val="center"/>
      <w:textAlignment w:val="baseline"/>
    </w:pPr>
    <w:rPr>
      <w:rFonts w:ascii="Times New Roman" w:hAnsi="Times New Roman"/>
      <w:szCs w:val="20"/>
    </w:rPr>
  </w:style>
  <w:style w:type="paragraph" w:customStyle="1" w:styleId="normalblock">
    <w:name w:val="normal block"/>
    <w:basedOn w:val="Normal"/>
    <w:rsid w:val="007606AE"/>
    <w:pPr>
      <w:widowControl w:val="0"/>
      <w:overflowPunct w:val="0"/>
      <w:autoSpaceDE w:val="0"/>
      <w:autoSpaceDN w:val="0"/>
      <w:adjustRightInd w:val="0"/>
      <w:spacing w:line="240" w:lineRule="exact"/>
      <w:textAlignment w:val="baseline"/>
    </w:pPr>
    <w:rPr>
      <w:rFonts w:ascii="Times New Roman" w:hAnsi="Times New Roman"/>
      <w:szCs w:val="20"/>
    </w:rPr>
  </w:style>
  <w:style w:type="paragraph" w:customStyle="1" w:styleId="NormalDS">
    <w:name w:val="Normal DS"/>
    <w:basedOn w:val="Normal"/>
    <w:autoRedefine/>
    <w:uiPriority w:val="99"/>
    <w:rsid w:val="007606AE"/>
    <w:pPr>
      <w:numPr>
        <w:numId w:val="1"/>
      </w:numPr>
      <w:spacing w:line="480" w:lineRule="auto"/>
    </w:pPr>
    <w:rPr>
      <w:rFonts w:ascii="Calibri" w:eastAsia="MS Mincho" w:hAnsi="Calibri"/>
    </w:rPr>
  </w:style>
  <w:style w:type="paragraph" w:customStyle="1" w:styleId="LawFirm">
    <w:name w:val="Law Firm"/>
    <w:next w:val="Normal"/>
    <w:uiPriority w:val="99"/>
    <w:rsid w:val="007606AE"/>
    <w:pPr>
      <w:spacing w:after="0" w:line="240" w:lineRule="auto"/>
    </w:pPr>
    <w:rPr>
      <w:rFonts w:ascii="Book Antiqua" w:eastAsia="MS Mincho" w:hAnsi="Book Antiqua" w:cs="Book Antiqua"/>
      <w:smallCaps/>
      <w:sz w:val="24"/>
      <w:szCs w:val="24"/>
    </w:rPr>
  </w:style>
  <w:style w:type="paragraph" w:styleId="Header">
    <w:name w:val="header"/>
    <w:basedOn w:val="Normal"/>
    <w:link w:val="HeaderChar"/>
    <w:uiPriority w:val="99"/>
    <w:semiHidden/>
    <w:unhideWhenUsed/>
    <w:rsid w:val="007606AE"/>
    <w:pPr>
      <w:tabs>
        <w:tab w:val="center" w:pos="4680"/>
        <w:tab w:val="right" w:pos="9360"/>
      </w:tabs>
    </w:pPr>
  </w:style>
  <w:style w:type="character" w:customStyle="1" w:styleId="HeaderChar">
    <w:name w:val="Header Char"/>
    <w:basedOn w:val="DefaultParagraphFont"/>
    <w:link w:val="Header"/>
    <w:uiPriority w:val="99"/>
    <w:semiHidden/>
    <w:rsid w:val="007606AE"/>
    <w:rPr>
      <w:rFonts w:ascii="Palatino Linotype" w:eastAsia="Times New Roman" w:hAnsi="Palatino Linotype" w:cs="Times New Roman"/>
      <w:sz w:val="24"/>
      <w:szCs w:val="24"/>
    </w:rPr>
  </w:style>
  <w:style w:type="paragraph" w:styleId="Footer">
    <w:name w:val="footer"/>
    <w:basedOn w:val="Normal"/>
    <w:link w:val="FooterChar"/>
    <w:uiPriority w:val="99"/>
    <w:semiHidden/>
    <w:unhideWhenUsed/>
    <w:rsid w:val="007606AE"/>
    <w:pPr>
      <w:tabs>
        <w:tab w:val="center" w:pos="4680"/>
        <w:tab w:val="right" w:pos="9360"/>
      </w:tabs>
    </w:pPr>
  </w:style>
  <w:style w:type="character" w:customStyle="1" w:styleId="FooterChar">
    <w:name w:val="Footer Char"/>
    <w:basedOn w:val="DefaultParagraphFont"/>
    <w:link w:val="Footer"/>
    <w:uiPriority w:val="99"/>
    <w:semiHidden/>
    <w:rsid w:val="007606AE"/>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7606AE"/>
    <w:rPr>
      <w:rFonts w:ascii="Tahoma" w:hAnsi="Tahoma" w:cs="Tahoma"/>
      <w:sz w:val="16"/>
      <w:szCs w:val="16"/>
    </w:rPr>
  </w:style>
  <w:style w:type="character" w:customStyle="1" w:styleId="BalloonTextChar">
    <w:name w:val="Balloon Text Char"/>
    <w:basedOn w:val="DefaultParagraphFont"/>
    <w:link w:val="BalloonText"/>
    <w:uiPriority w:val="99"/>
    <w:semiHidden/>
    <w:rsid w:val="007606A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641CD-5702-4661-8D33-CD2F12F3A580}"/>
</file>

<file path=customXml/itemProps2.xml><?xml version="1.0" encoding="utf-8"?>
<ds:datastoreItem xmlns:ds="http://schemas.openxmlformats.org/officeDocument/2006/customXml" ds:itemID="{C07A3FEF-2938-4602-908E-6C2EDD6B391E}"/>
</file>

<file path=customXml/itemProps3.xml><?xml version="1.0" encoding="utf-8"?>
<ds:datastoreItem xmlns:ds="http://schemas.openxmlformats.org/officeDocument/2006/customXml" ds:itemID="{EB5E8ECA-D433-4BF1-AE2D-61C916BC4F60}"/>
</file>

<file path=customXml/itemProps4.xml><?xml version="1.0" encoding="utf-8"?>
<ds:datastoreItem xmlns:ds="http://schemas.openxmlformats.org/officeDocument/2006/customXml" ds:itemID="{5963F7B4-674F-495A-AB5D-CF9895720E85}"/>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Anderl, Lisa</dc:creator>
  <cp:keywords/>
  <dc:description/>
  <cp:lastModifiedBy>CenturyLink Employee</cp:lastModifiedBy>
  <cp:revision>2</cp:revision>
  <cp:lastPrinted>2013-01-22T21:08:00Z</cp:lastPrinted>
  <dcterms:created xsi:type="dcterms:W3CDTF">2013-04-01T15:12:00Z</dcterms:created>
  <dcterms:modified xsi:type="dcterms:W3CDTF">2013-04-01T15:12:00Z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