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olors1.xml" ContentType="application/vnd.ms-office.chartcolorstyle+xml"/>
  <Override PartName="/word/charts/chart1.xml" ContentType="application/vnd.openxmlformats-officedocument.drawingml.chart+xml"/>
  <Override PartName="/word/charts/style1.xml" ContentType="application/vnd.ms-office.chartstyle+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B56BB" w14:textId="395768D5" w:rsidR="00C0665B" w:rsidRPr="0056692A" w:rsidRDefault="00B814E2" w:rsidP="00B814E2">
      <w:pPr>
        <w:ind w:left="5760"/>
        <w:rPr>
          <w:b/>
        </w:rPr>
      </w:pPr>
      <w:r w:rsidRPr="0056692A">
        <w:rPr>
          <w:b/>
        </w:rPr>
        <w:t xml:space="preserve">Exhibit No. </w:t>
      </w:r>
      <w:r w:rsidR="005877EC" w:rsidRPr="0056692A">
        <w:rPr>
          <w:b/>
        </w:rPr>
        <w:t>DJP</w:t>
      </w:r>
      <w:r w:rsidR="004B2F4C">
        <w:rPr>
          <w:b/>
        </w:rPr>
        <w:t>-</w:t>
      </w:r>
      <w:r w:rsidR="005877EC" w:rsidRPr="0056692A">
        <w:rPr>
          <w:b/>
        </w:rPr>
        <w:t>1</w:t>
      </w:r>
      <w:r w:rsidRPr="0056692A">
        <w:rPr>
          <w:b/>
        </w:rPr>
        <w:t>T</w:t>
      </w:r>
    </w:p>
    <w:p w14:paraId="03FB171C" w14:textId="02B11163" w:rsidR="00B814E2" w:rsidRPr="0056692A" w:rsidRDefault="00B814E2" w:rsidP="00B814E2">
      <w:pPr>
        <w:ind w:left="5760"/>
        <w:rPr>
          <w:b/>
        </w:rPr>
      </w:pPr>
      <w:r w:rsidRPr="0056692A">
        <w:rPr>
          <w:b/>
        </w:rPr>
        <w:t xml:space="preserve">Docket </w:t>
      </w:r>
      <w:r w:rsidR="007605E0" w:rsidRPr="0056692A">
        <w:rPr>
          <w:b/>
        </w:rPr>
        <w:t>UE-161204</w:t>
      </w:r>
    </w:p>
    <w:p w14:paraId="52B2321C" w14:textId="09813661" w:rsidR="00B814E2" w:rsidRPr="00B814E2" w:rsidRDefault="0046251D" w:rsidP="00B814E2">
      <w:pPr>
        <w:ind w:left="5760"/>
        <w:rPr>
          <w:b/>
        </w:rPr>
      </w:pPr>
      <w:r w:rsidRPr="0056692A">
        <w:rPr>
          <w:b/>
        </w:rPr>
        <w:t>Witness:</w:t>
      </w:r>
      <w:r w:rsidR="0018125D">
        <w:rPr>
          <w:b/>
        </w:rPr>
        <w:t xml:space="preserve"> </w:t>
      </w:r>
      <w:r w:rsidR="007605E0">
        <w:rPr>
          <w:b/>
        </w:rPr>
        <w:t xml:space="preserve">David </w:t>
      </w:r>
      <w:r w:rsidR="005877EC">
        <w:rPr>
          <w:b/>
        </w:rPr>
        <w:t xml:space="preserve">J. </w:t>
      </w:r>
      <w:r w:rsidR="007605E0">
        <w:rPr>
          <w:b/>
        </w:rPr>
        <w:t>Panco</w:t>
      </w:r>
      <w:r w:rsidR="00B814E2" w:rsidRPr="00B814E2">
        <w:rPr>
          <w:b/>
        </w:rPr>
        <w:t xml:space="preserve"> </w:t>
      </w:r>
    </w:p>
    <w:p w14:paraId="19394B12" w14:textId="77777777" w:rsidR="00B814E2" w:rsidRPr="00B814E2" w:rsidRDefault="00B814E2" w:rsidP="00B814E2">
      <w:pPr>
        <w:rPr>
          <w:b/>
        </w:rPr>
      </w:pPr>
    </w:p>
    <w:p w14:paraId="46019E6C" w14:textId="77777777" w:rsidR="00B814E2" w:rsidRPr="00B814E2" w:rsidRDefault="00B814E2" w:rsidP="00B814E2">
      <w:pPr>
        <w:rPr>
          <w:b/>
        </w:rPr>
      </w:pPr>
    </w:p>
    <w:p w14:paraId="47276781" w14:textId="73F247CF" w:rsidR="00B814E2" w:rsidRPr="00B814E2" w:rsidRDefault="00B814E2" w:rsidP="00B814E2">
      <w:pPr>
        <w:ind w:left="-360" w:right="-252"/>
        <w:jc w:val="center"/>
        <w:rPr>
          <w:b/>
        </w:rPr>
      </w:pPr>
      <w:r w:rsidRPr="00B814E2">
        <w:rPr>
          <w:b/>
        </w:rPr>
        <w:t>BEFORE THE WASHINGTON UTILITIES AND TRANSPORTATION COMMISSION</w:t>
      </w:r>
    </w:p>
    <w:p w14:paraId="4DBAAAA3" w14:textId="77777777" w:rsidR="00B814E2" w:rsidRPr="00B814E2" w:rsidRDefault="00B814E2" w:rsidP="00B814E2">
      <w:pPr>
        <w:rPr>
          <w:b/>
        </w:rPr>
      </w:pPr>
    </w:p>
    <w:p w14:paraId="0D3102D7" w14:textId="77777777" w:rsidR="00B814E2" w:rsidRPr="00B814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14:paraId="74E62FE1" w14:textId="77777777" w:rsidTr="00242FA3">
        <w:tc>
          <w:tcPr>
            <w:tcW w:w="4590" w:type="dxa"/>
            <w:tcBorders>
              <w:top w:val="single" w:sz="6" w:space="0" w:color="FFFFFF"/>
              <w:left w:val="single" w:sz="6" w:space="0" w:color="FFFFFF"/>
              <w:bottom w:val="single" w:sz="7" w:space="0" w:color="000000"/>
              <w:right w:val="single" w:sz="6" w:space="0" w:color="FFFFFF"/>
            </w:tcBorders>
          </w:tcPr>
          <w:p w14:paraId="2C469A7E" w14:textId="772628F6" w:rsidR="00B814E2" w:rsidRDefault="006F6F7B" w:rsidP="00242FA3">
            <w:pPr>
              <w:rPr>
                <w:b/>
                <w:bCs/>
              </w:rPr>
            </w:pPr>
            <w:r>
              <w:rPr>
                <w:b/>
                <w:bCs/>
              </w:rPr>
              <w:t>WASHINGTON UTILITIES AND TRANSPORTATION COMMISSION</w:t>
            </w:r>
            <w:r w:rsidR="00B814E2">
              <w:rPr>
                <w:b/>
                <w:bCs/>
              </w:rPr>
              <w:t>,</w:t>
            </w:r>
          </w:p>
          <w:p w14:paraId="2BA1A9F1" w14:textId="77777777" w:rsidR="00B814E2" w:rsidRDefault="00B814E2" w:rsidP="00242FA3">
            <w:pPr>
              <w:rPr>
                <w:b/>
                <w:bCs/>
              </w:rPr>
            </w:pPr>
          </w:p>
          <w:p w14:paraId="7401580B" w14:textId="77777777" w:rsidR="00B814E2" w:rsidRDefault="00B814E2" w:rsidP="00242FA3">
            <w:pPr>
              <w:rPr>
                <w:b/>
                <w:bCs/>
              </w:rPr>
            </w:pPr>
            <w:r>
              <w:rPr>
                <w:b/>
                <w:bCs/>
              </w:rPr>
              <w:tab/>
              <w:t xml:space="preserve">Complainant, </w:t>
            </w:r>
          </w:p>
          <w:p w14:paraId="729B8180" w14:textId="77777777" w:rsidR="00B814E2" w:rsidRDefault="00B814E2" w:rsidP="00242FA3">
            <w:pPr>
              <w:rPr>
                <w:b/>
                <w:bCs/>
              </w:rPr>
            </w:pPr>
          </w:p>
          <w:p w14:paraId="52C3EDBB" w14:textId="77777777" w:rsidR="00B814E2" w:rsidRDefault="00B814E2" w:rsidP="00242FA3">
            <w:pPr>
              <w:rPr>
                <w:b/>
                <w:bCs/>
              </w:rPr>
            </w:pPr>
            <w:r>
              <w:rPr>
                <w:b/>
                <w:bCs/>
              </w:rPr>
              <w:t>v.</w:t>
            </w:r>
          </w:p>
          <w:p w14:paraId="4183FDDE" w14:textId="77777777" w:rsidR="00B814E2" w:rsidRDefault="00B814E2" w:rsidP="00242FA3">
            <w:pPr>
              <w:rPr>
                <w:b/>
                <w:bCs/>
              </w:rPr>
            </w:pPr>
          </w:p>
          <w:p w14:paraId="7FAF0CCE" w14:textId="383748D5" w:rsidR="00B814E2" w:rsidRDefault="006F6F7B" w:rsidP="00242FA3">
            <w:pPr>
              <w:rPr>
                <w:b/>
                <w:bCs/>
              </w:rPr>
            </w:pPr>
            <w:r>
              <w:rPr>
                <w:b/>
                <w:bCs/>
              </w:rPr>
              <w:t>PACIFIC POWER &amp; LIGHT COMPANY</w:t>
            </w:r>
            <w:r w:rsidR="00B814E2">
              <w:rPr>
                <w:b/>
                <w:bCs/>
              </w:rPr>
              <w:t>,</w:t>
            </w:r>
          </w:p>
          <w:p w14:paraId="798B2EE6" w14:textId="77777777" w:rsidR="00B814E2" w:rsidRDefault="00B814E2" w:rsidP="00242FA3">
            <w:pPr>
              <w:rPr>
                <w:b/>
                <w:bCs/>
              </w:rPr>
            </w:pPr>
          </w:p>
          <w:p w14:paraId="6B931554" w14:textId="77777777" w:rsidR="00B814E2" w:rsidRDefault="00B814E2" w:rsidP="00242FA3">
            <w:pPr>
              <w:spacing w:after="19"/>
              <w:rPr>
                <w:b/>
                <w:bCs/>
              </w:rPr>
            </w:pPr>
            <w:r>
              <w:rPr>
                <w:b/>
                <w:bCs/>
              </w:rPr>
              <w:tab/>
              <w:t>Respondents.</w:t>
            </w:r>
          </w:p>
        </w:tc>
        <w:tc>
          <w:tcPr>
            <w:tcW w:w="4590" w:type="dxa"/>
            <w:tcBorders>
              <w:top w:val="single" w:sz="6" w:space="0" w:color="FFFFFF"/>
              <w:left w:val="single" w:sz="7" w:space="0" w:color="000000"/>
              <w:bottom w:val="single" w:sz="6" w:space="0" w:color="FFFFFF"/>
              <w:right w:val="single" w:sz="6" w:space="0" w:color="FFFFFF"/>
            </w:tcBorders>
          </w:tcPr>
          <w:p w14:paraId="04A62763" w14:textId="15642D0D" w:rsidR="00B814E2" w:rsidRDefault="00B814E2" w:rsidP="00242FA3">
            <w:pPr>
              <w:ind w:firstLine="720"/>
              <w:rPr>
                <w:b/>
                <w:bCs/>
              </w:rPr>
            </w:pPr>
            <w:r>
              <w:rPr>
                <w:b/>
                <w:bCs/>
              </w:rPr>
              <w:t xml:space="preserve">DOCKET </w:t>
            </w:r>
            <w:r w:rsidR="006F6F7B">
              <w:rPr>
                <w:b/>
                <w:bCs/>
              </w:rPr>
              <w:t>UE-161204</w:t>
            </w:r>
          </w:p>
          <w:p w14:paraId="7541BBC8" w14:textId="77777777" w:rsidR="00B814E2" w:rsidRDefault="00B814E2" w:rsidP="00242FA3">
            <w:pPr>
              <w:rPr>
                <w:b/>
                <w:bCs/>
              </w:rPr>
            </w:pPr>
          </w:p>
          <w:p w14:paraId="75CDD80C" w14:textId="77777777" w:rsidR="00B814E2" w:rsidRDefault="00B814E2" w:rsidP="00242FA3">
            <w:pPr>
              <w:spacing w:after="19"/>
              <w:ind w:left="720"/>
              <w:rPr>
                <w:b/>
                <w:bCs/>
              </w:rPr>
            </w:pPr>
          </w:p>
        </w:tc>
      </w:tr>
    </w:tbl>
    <w:p w14:paraId="3DC7BDC1" w14:textId="77777777" w:rsidR="00B814E2" w:rsidRDefault="00B814E2" w:rsidP="00B814E2">
      <w:pPr>
        <w:jc w:val="both"/>
      </w:pPr>
    </w:p>
    <w:p w14:paraId="32C7680F" w14:textId="77777777" w:rsidR="00B814E2" w:rsidRDefault="00B814E2" w:rsidP="00B814E2">
      <w:pPr>
        <w:rPr>
          <w:b/>
          <w:bCs/>
        </w:rPr>
      </w:pPr>
    </w:p>
    <w:p w14:paraId="26EFE436" w14:textId="77777777" w:rsidR="00B814E2" w:rsidRDefault="00B814E2" w:rsidP="00B814E2">
      <w:pPr>
        <w:rPr>
          <w:b/>
          <w:bCs/>
        </w:rPr>
      </w:pPr>
    </w:p>
    <w:p w14:paraId="5C12C082" w14:textId="77777777" w:rsidR="00B814E2" w:rsidRDefault="00B814E2" w:rsidP="00B814E2">
      <w:pPr>
        <w:tabs>
          <w:tab w:val="center" w:pos="4680"/>
        </w:tabs>
        <w:jc w:val="center"/>
        <w:rPr>
          <w:b/>
          <w:bCs/>
        </w:rPr>
      </w:pPr>
      <w:r>
        <w:rPr>
          <w:b/>
          <w:bCs/>
        </w:rPr>
        <w:t>TESTIMONY OF</w:t>
      </w:r>
    </w:p>
    <w:p w14:paraId="567033B6" w14:textId="77777777" w:rsidR="00B814E2" w:rsidRDefault="00B814E2" w:rsidP="00B814E2">
      <w:pPr>
        <w:jc w:val="center"/>
        <w:rPr>
          <w:b/>
          <w:bCs/>
        </w:rPr>
      </w:pPr>
    </w:p>
    <w:p w14:paraId="297CA9F4" w14:textId="006DC441" w:rsidR="00B814E2" w:rsidRDefault="006F6F7B" w:rsidP="00B814E2">
      <w:pPr>
        <w:tabs>
          <w:tab w:val="center" w:pos="4680"/>
        </w:tabs>
        <w:jc w:val="center"/>
        <w:rPr>
          <w:b/>
          <w:bCs/>
        </w:rPr>
      </w:pPr>
      <w:r>
        <w:rPr>
          <w:b/>
          <w:bCs/>
        </w:rPr>
        <w:t xml:space="preserve">David </w:t>
      </w:r>
      <w:r w:rsidR="005877EC">
        <w:rPr>
          <w:b/>
          <w:bCs/>
        </w:rPr>
        <w:t xml:space="preserve">J. </w:t>
      </w:r>
      <w:r>
        <w:rPr>
          <w:b/>
          <w:bCs/>
        </w:rPr>
        <w:t>Panco</w:t>
      </w:r>
    </w:p>
    <w:p w14:paraId="2E90D181" w14:textId="77777777" w:rsidR="00B814E2" w:rsidRDefault="00B814E2" w:rsidP="00B814E2">
      <w:pPr>
        <w:tabs>
          <w:tab w:val="center" w:pos="4680"/>
        </w:tabs>
        <w:jc w:val="center"/>
        <w:rPr>
          <w:b/>
          <w:bCs/>
        </w:rPr>
      </w:pPr>
    </w:p>
    <w:p w14:paraId="04C20FDE" w14:textId="77777777" w:rsidR="00B814E2" w:rsidRDefault="00B814E2" w:rsidP="00B814E2">
      <w:pPr>
        <w:tabs>
          <w:tab w:val="center" w:pos="4680"/>
        </w:tabs>
        <w:jc w:val="center"/>
        <w:rPr>
          <w:b/>
          <w:bCs/>
        </w:rPr>
      </w:pPr>
      <w:r>
        <w:rPr>
          <w:b/>
          <w:bCs/>
        </w:rPr>
        <w:t>STAFF OF</w:t>
      </w:r>
    </w:p>
    <w:p w14:paraId="23E76E7F" w14:textId="77777777" w:rsidR="00B814E2" w:rsidRDefault="00B814E2" w:rsidP="00B814E2">
      <w:pPr>
        <w:tabs>
          <w:tab w:val="center" w:pos="4680"/>
        </w:tabs>
        <w:jc w:val="center"/>
        <w:rPr>
          <w:b/>
          <w:bCs/>
        </w:rPr>
      </w:pPr>
      <w:smartTag w:uri="urn:schemas-microsoft-com:office:smarttags" w:element="place">
        <w:smartTag w:uri="urn:schemas-microsoft-com:office:smarttags" w:element="State">
          <w:r>
            <w:rPr>
              <w:b/>
              <w:bCs/>
            </w:rPr>
            <w:t>WASHINGTON</w:t>
          </w:r>
        </w:smartTag>
      </w:smartTag>
      <w:r>
        <w:rPr>
          <w:b/>
          <w:bCs/>
        </w:rPr>
        <w:t xml:space="preserve"> UTILITIES AND</w:t>
      </w:r>
    </w:p>
    <w:p w14:paraId="0086D67B" w14:textId="77777777" w:rsidR="00B814E2" w:rsidRDefault="00B814E2" w:rsidP="00B814E2">
      <w:pPr>
        <w:tabs>
          <w:tab w:val="center" w:pos="4680"/>
        </w:tabs>
        <w:jc w:val="center"/>
        <w:rPr>
          <w:b/>
          <w:bCs/>
        </w:rPr>
      </w:pPr>
      <w:r>
        <w:rPr>
          <w:b/>
          <w:bCs/>
        </w:rPr>
        <w:t>TRANSPORTATION COMMISSION</w:t>
      </w:r>
    </w:p>
    <w:p w14:paraId="4FDEE614" w14:textId="77777777" w:rsidR="00B814E2" w:rsidRDefault="00B814E2" w:rsidP="00B814E2">
      <w:pPr>
        <w:jc w:val="center"/>
        <w:rPr>
          <w:b/>
          <w:bCs/>
        </w:rPr>
      </w:pPr>
    </w:p>
    <w:p w14:paraId="352D6C5A" w14:textId="77777777" w:rsidR="00B814E2" w:rsidRDefault="00B814E2" w:rsidP="00B814E2">
      <w:pPr>
        <w:rPr>
          <w:b/>
          <w:bCs/>
        </w:rPr>
      </w:pPr>
    </w:p>
    <w:p w14:paraId="2AA28AE5" w14:textId="77777777" w:rsidR="00B814E2" w:rsidRDefault="00B814E2" w:rsidP="00B814E2">
      <w:pPr>
        <w:rPr>
          <w:b/>
          <w:bCs/>
        </w:rPr>
      </w:pPr>
    </w:p>
    <w:p w14:paraId="00632743" w14:textId="77777777" w:rsidR="00516AF8" w:rsidRDefault="00B814E2" w:rsidP="00B814E2">
      <w:pPr>
        <w:jc w:val="center"/>
        <w:rPr>
          <w:b/>
          <w:bCs/>
          <w:i/>
        </w:rPr>
      </w:pPr>
      <w:r w:rsidRPr="0056692A">
        <w:rPr>
          <w:b/>
          <w:bCs/>
          <w:i/>
        </w:rPr>
        <w:t>T</w:t>
      </w:r>
      <w:r w:rsidR="007605E0" w:rsidRPr="0056692A">
        <w:rPr>
          <w:b/>
          <w:bCs/>
          <w:i/>
        </w:rPr>
        <w:t xml:space="preserve">estimony in Opposition to Approval of Pacific Power &amp; Light’s </w:t>
      </w:r>
    </w:p>
    <w:p w14:paraId="38B730A2" w14:textId="76E5F626" w:rsidR="00B814E2" w:rsidRPr="0056692A" w:rsidRDefault="007605E0" w:rsidP="00B814E2">
      <w:pPr>
        <w:jc w:val="center"/>
        <w:rPr>
          <w:b/>
          <w:bCs/>
          <w:i/>
        </w:rPr>
      </w:pPr>
      <w:r w:rsidRPr="0056692A">
        <w:rPr>
          <w:b/>
          <w:bCs/>
          <w:i/>
        </w:rPr>
        <w:t>Proposed Tariff Revisions</w:t>
      </w:r>
    </w:p>
    <w:p w14:paraId="66D18E97" w14:textId="77777777" w:rsidR="00B814E2" w:rsidRPr="003E776C" w:rsidRDefault="00B814E2" w:rsidP="00B814E2">
      <w:pPr>
        <w:rPr>
          <w:b/>
          <w:bCs/>
          <w:highlight w:val="yellow"/>
        </w:rPr>
      </w:pPr>
    </w:p>
    <w:p w14:paraId="10582B99" w14:textId="77777777" w:rsidR="00B814E2" w:rsidRPr="003E776C" w:rsidRDefault="00B814E2" w:rsidP="00B814E2">
      <w:pPr>
        <w:rPr>
          <w:b/>
          <w:bCs/>
          <w:highlight w:val="yellow"/>
        </w:rPr>
      </w:pPr>
    </w:p>
    <w:p w14:paraId="218D3FE9" w14:textId="71CD0972" w:rsidR="00B814E2" w:rsidRDefault="00040A2D" w:rsidP="00B814E2">
      <w:pPr>
        <w:jc w:val="center"/>
        <w:rPr>
          <w:b/>
          <w:bCs/>
        </w:rPr>
      </w:pPr>
      <w:r>
        <w:rPr>
          <w:b/>
          <w:bCs/>
        </w:rPr>
        <w:t>April 21, 2017</w:t>
      </w:r>
    </w:p>
    <w:p w14:paraId="42D99161" w14:textId="77777777" w:rsidR="00B814E2" w:rsidRDefault="00B814E2" w:rsidP="00B814E2"/>
    <w:p w14:paraId="2FAB17DF" w14:textId="77777777" w:rsidR="00B814E2" w:rsidRDefault="00B814E2" w:rsidP="00B814E2"/>
    <w:p w14:paraId="51BF937D" w14:textId="77777777" w:rsidR="00B814E2" w:rsidRDefault="00B814E2" w:rsidP="00B814E2">
      <w:pPr>
        <w:sectPr w:rsidR="00B814E2" w:rsidSect="00B814E2">
          <w:pgSz w:w="12240" w:h="15840"/>
          <w:pgMar w:top="1440" w:right="1440" w:bottom="1440" w:left="1872" w:header="720" w:footer="720" w:gutter="0"/>
          <w:cols w:space="720"/>
          <w:docGrid w:linePitch="360"/>
        </w:sectPr>
      </w:pPr>
    </w:p>
    <w:p w14:paraId="3D89F535" w14:textId="77777777" w:rsidR="00B814E2" w:rsidRDefault="00B814E2" w:rsidP="00B814E2">
      <w:pPr>
        <w:jc w:val="center"/>
      </w:pPr>
      <w:r>
        <w:rPr>
          <w:b/>
        </w:rPr>
        <w:lastRenderedPageBreak/>
        <w:t>TABLE OF CONTENTS</w:t>
      </w:r>
    </w:p>
    <w:p w14:paraId="7090C113" w14:textId="77777777" w:rsidR="00B814E2" w:rsidRDefault="00B814E2" w:rsidP="00B814E2"/>
    <w:p w14:paraId="7C4BF966" w14:textId="77777777" w:rsidR="00B814E2" w:rsidRDefault="00B814E2" w:rsidP="00B814E2"/>
    <w:p w14:paraId="09ABB5DE" w14:textId="77777777" w:rsidR="00B814E2" w:rsidRPr="00516AF8" w:rsidRDefault="00B814E2" w:rsidP="00B814E2">
      <w:pPr>
        <w:tabs>
          <w:tab w:val="left" w:pos="720"/>
          <w:tab w:val="left" w:pos="1440"/>
          <w:tab w:val="left" w:pos="2160"/>
          <w:tab w:val="right" w:leader="dot" w:pos="8820"/>
        </w:tabs>
      </w:pPr>
      <w:r>
        <w:t>I.</w:t>
      </w:r>
      <w:r>
        <w:tab/>
      </w:r>
      <w:r w:rsidRPr="00516AF8">
        <w:t xml:space="preserve">INTRODUCTION </w:t>
      </w:r>
      <w:r w:rsidRPr="00516AF8">
        <w:tab/>
        <w:t>1</w:t>
      </w:r>
    </w:p>
    <w:p w14:paraId="1B6CCA36" w14:textId="77777777" w:rsidR="00B814E2" w:rsidRPr="00516AF8" w:rsidRDefault="00B814E2" w:rsidP="00B814E2">
      <w:pPr>
        <w:tabs>
          <w:tab w:val="left" w:pos="720"/>
          <w:tab w:val="left" w:pos="1440"/>
          <w:tab w:val="left" w:pos="2160"/>
          <w:tab w:val="right" w:leader="dot" w:pos="8820"/>
        </w:tabs>
      </w:pPr>
    </w:p>
    <w:p w14:paraId="379634D0" w14:textId="4E346FFE" w:rsidR="00B814E2" w:rsidRPr="00516AF8" w:rsidRDefault="00B814E2" w:rsidP="00B814E2">
      <w:pPr>
        <w:tabs>
          <w:tab w:val="left" w:pos="720"/>
          <w:tab w:val="left" w:pos="1440"/>
          <w:tab w:val="left" w:pos="2160"/>
          <w:tab w:val="right" w:leader="dot" w:pos="8820"/>
        </w:tabs>
      </w:pPr>
      <w:r w:rsidRPr="00516AF8">
        <w:t>II.</w:t>
      </w:r>
      <w:r w:rsidRPr="00516AF8">
        <w:tab/>
        <w:t xml:space="preserve">SCOPE AND SUMMARY OF TESTIMONY </w:t>
      </w:r>
      <w:r w:rsidRPr="00516AF8">
        <w:tab/>
      </w:r>
      <w:r w:rsidR="00516AF8">
        <w:t>3</w:t>
      </w:r>
    </w:p>
    <w:p w14:paraId="1874D613" w14:textId="77777777" w:rsidR="00B814E2" w:rsidRPr="00516AF8" w:rsidRDefault="00B814E2" w:rsidP="00B814E2">
      <w:pPr>
        <w:tabs>
          <w:tab w:val="left" w:pos="720"/>
          <w:tab w:val="left" w:pos="1440"/>
          <w:tab w:val="left" w:pos="2160"/>
          <w:tab w:val="right" w:leader="dot" w:pos="8820"/>
        </w:tabs>
      </w:pPr>
    </w:p>
    <w:p w14:paraId="55454774" w14:textId="3248DF0C" w:rsidR="00B814E2" w:rsidRPr="00516AF8" w:rsidRDefault="00E7474B" w:rsidP="00B814E2">
      <w:pPr>
        <w:tabs>
          <w:tab w:val="left" w:pos="720"/>
          <w:tab w:val="left" w:pos="1440"/>
          <w:tab w:val="left" w:pos="2160"/>
          <w:tab w:val="right" w:leader="dot" w:pos="8820"/>
        </w:tabs>
      </w:pPr>
      <w:r w:rsidRPr="00516AF8">
        <w:t>III.</w:t>
      </w:r>
      <w:r w:rsidRPr="00516AF8">
        <w:tab/>
        <w:t xml:space="preserve">THE </w:t>
      </w:r>
      <w:r w:rsidR="00516AF8">
        <w:t xml:space="preserve">METAPHOR OF THE REGULATORY COMPACT </w:t>
      </w:r>
      <w:r w:rsidR="00516AF8">
        <w:tab/>
        <w:t>5</w:t>
      </w:r>
    </w:p>
    <w:p w14:paraId="6C15E6E7" w14:textId="77777777" w:rsidR="00E7474B" w:rsidRPr="00516AF8" w:rsidRDefault="00E7474B" w:rsidP="00B814E2">
      <w:pPr>
        <w:tabs>
          <w:tab w:val="left" w:pos="720"/>
          <w:tab w:val="left" w:pos="1440"/>
          <w:tab w:val="left" w:pos="2160"/>
          <w:tab w:val="right" w:leader="dot" w:pos="8820"/>
        </w:tabs>
      </w:pPr>
    </w:p>
    <w:p w14:paraId="341EE717" w14:textId="7D18CF8A" w:rsidR="003222D2" w:rsidRPr="00516AF8" w:rsidRDefault="003222D2" w:rsidP="00B814E2">
      <w:pPr>
        <w:tabs>
          <w:tab w:val="left" w:pos="720"/>
          <w:tab w:val="left" w:pos="1440"/>
          <w:tab w:val="left" w:pos="2160"/>
          <w:tab w:val="right" w:leader="dot" w:pos="8820"/>
        </w:tabs>
      </w:pPr>
      <w:r w:rsidRPr="00516AF8">
        <w:t>IV</w:t>
      </w:r>
      <w:r w:rsidR="00735AAE">
        <w:t>.</w:t>
      </w:r>
      <w:r w:rsidRPr="00516AF8">
        <w:tab/>
      </w:r>
      <w:r w:rsidR="00516AF8">
        <w:t xml:space="preserve">WASHINGTON ELECTRIC SERVICE PROVIDERS </w:t>
      </w:r>
      <w:r w:rsidR="00516AF8">
        <w:tab/>
        <w:t>6</w:t>
      </w:r>
    </w:p>
    <w:p w14:paraId="6FDFD8CD" w14:textId="77777777" w:rsidR="003222D2" w:rsidRPr="00516AF8" w:rsidRDefault="003222D2" w:rsidP="00B814E2">
      <w:pPr>
        <w:tabs>
          <w:tab w:val="left" w:pos="720"/>
          <w:tab w:val="left" w:pos="1440"/>
          <w:tab w:val="left" w:pos="2160"/>
          <w:tab w:val="right" w:leader="dot" w:pos="8820"/>
        </w:tabs>
      </w:pPr>
    </w:p>
    <w:p w14:paraId="3EF2809D" w14:textId="0D89273C" w:rsidR="003222D2" w:rsidRDefault="003222D2" w:rsidP="00B814E2">
      <w:pPr>
        <w:tabs>
          <w:tab w:val="left" w:pos="720"/>
          <w:tab w:val="left" w:pos="1440"/>
          <w:tab w:val="left" w:pos="2160"/>
          <w:tab w:val="right" w:leader="dot" w:pos="8820"/>
        </w:tabs>
      </w:pPr>
      <w:r w:rsidRPr="00516AF8">
        <w:t>V</w:t>
      </w:r>
      <w:r w:rsidR="00735AAE">
        <w:t>.</w:t>
      </w:r>
      <w:r w:rsidRPr="00516AF8">
        <w:tab/>
      </w:r>
      <w:r w:rsidR="00516AF8">
        <w:t xml:space="preserve">ORIGINS OF PACIFIC POWER’S DISCONNECTION AND </w:t>
      </w:r>
    </w:p>
    <w:p w14:paraId="2CD702A6" w14:textId="4C453FE3" w:rsidR="00516AF8" w:rsidRPr="00516AF8" w:rsidRDefault="00516AF8" w:rsidP="00B814E2">
      <w:pPr>
        <w:tabs>
          <w:tab w:val="left" w:pos="720"/>
          <w:tab w:val="left" w:pos="1440"/>
          <w:tab w:val="left" w:pos="2160"/>
          <w:tab w:val="right" w:leader="dot" w:pos="8820"/>
        </w:tabs>
      </w:pPr>
      <w:r>
        <w:tab/>
        <w:t xml:space="preserve">REMOVAL PROCEDURES </w:t>
      </w:r>
      <w:r>
        <w:tab/>
        <w:t>8</w:t>
      </w:r>
    </w:p>
    <w:p w14:paraId="50F0B58A" w14:textId="77777777" w:rsidR="003222D2" w:rsidRPr="00516AF8" w:rsidRDefault="003222D2" w:rsidP="00B814E2">
      <w:pPr>
        <w:tabs>
          <w:tab w:val="left" w:pos="720"/>
          <w:tab w:val="left" w:pos="1440"/>
          <w:tab w:val="left" w:pos="2160"/>
          <w:tab w:val="right" w:leader="dot" w:pos="8820"/>
        </w:tabs>
      </w:pPr>
    </w:p>
    <w:p w14:paraId="2D4994F6" w14:textId="2B5D3DF6" w:rsidR="003222D2" w:rsidRDefault="003222D2" w:rsidP="00B814E2">
      <w:pPr>
        <w:tabs>
          <w:tab w:val="left" w:pos="720"/>
          <w:tab w:val="left" w:pos="1440"/>
          <w:tab w:val="left" w:pos="2160"/>
          <w:tab w:val="right" w:leader="dot" w:pos="8820"/>
        </w:tabs>
      </w:pPr>
      <w:r w:rsidRPr="00516AF8">
        <w:t>VI</w:t>
      </w:r>
      <w:r w:rsidR="00735AAE">
        <w:t>.</w:t>
      </w:r>
      <w:r w:rsidRPr="00516AF8">
        <w:tab/>
        <w:t>PACIFIC POWER’S PROPOSED REVISIONS</w:t>
      </w:r>
      <w:r w:rsidR="00516AF8">
        <w:t xml:space="preserve"> TO ITS PERMANENT </w:t>
      </w:r>
    </w:p>
    <w:p w14:paraId="3FAE8D86" w14:textId="31F4FD59" w:rsidR="00516AF8" w:rsidRPr="00516AF8" w:rsidRDefault="00516AF8" w:rsidP="00B814E2">
      <w:pPr>
        <w:tabs>
          <w:tab w:val="left" w:pos="720"/>
          <w:tab w:val="left" w:pos="1440"/>
          <w:tab w:val="left" w:pos="2160"/>
          <w:tab w:val="right" w:leader="dot" w:pos="8820"/>
        </w:tabs>
      </w:pPr>
      <w:r>
        <w:tab/>
        <w:t xml:space="preserve">DISCONNECTION AND REMOVAL RULES </w:t>
      </w:r>
      <w:r>
        <w:tab/>
        <w:t>13</w:t>
      </w:r>
    </w:p>
    <w:p w14:paraId="2AF86AAF" w14:textId="77777777" w:rsidR="003222D2" w:rsidRPr="00516AF8" w:rsidRDefault="003222D2" w:rsidP="00B814E2">
      <w:pPr>
        <w:tabs>
          <w:tab w:val="left" w:pos="720"/>
          <w:tab w:val="left" w:pos="1440"/>
          <w:tab w:val="left" w:pos="2160"/>
          <w:tab w:val="right" w:leader="dot" w:pos="8820"/>
        </w:tabs>
      </w:pPr>
    </w:p>
    <w:p w14:paraId="7D5A344F" w14:textId="4BADB8D1" w:rsidR="003222D2" w:rsidRDefault="003222D2" w:rsidP="00B814E2">
      <w:pPr>
        <w:tabs>
          <w:tab w:val="left" w:pos="720"/>
          <w:tab w:val="left" w:pos="1440"/>
          <w:tab w:val="left" w:pos="2160"/>
          <w:tab w:val="right" w:leader="dot" w:pos="8820"/>
        </w:tabs>
      </w:pPr>
      <w:r w:rsidRPr="00516AF8">
        <w:t>VII</w:t>
      </w:r>
      <w:r w:rsidR="00735AAE">
        <w:t>.</w:t>
      </w:r>
      <w:r w:rsidRPr="00516AF8">
        <w:tab/>
        <w:t>PACIFIC POWER’S COMPETITIVE POSITION</w:t>
      </w:r>
      <w:r w:rsidR="00516AF8">
        <w:t xml:space="preserve"> IN ITS </w:t>
      </w:r>
    </w:p>
    <w:p w14:paraId="4FF8D629" w14:textId="46CFAAE2" w:rsidR="00516AF8" w:rsidRPr="00516AF8" w:rsidRDefault="00516AF8" w:rsidP="00B814E2">
      <w:pPr>
        <w:tabs>
          <w:tab w:val="left" w:pos="720"/>
          <w:tab w:val="left" w:pos="1440"/>
          <w:tab w:val="left" w:pos="2160"/>
          <w:tab w:val="right" w:leader="dot" w:pos="8820"/>
        </w:tabs>
      </w:pPr>
      <w:r>
        <w:tab/>
        <w:t xml:space="preserve">WASHINGTON TERRITORY </w:t>
      </w:r>
      <w:r>
        <w:tab/>
        <w:t>23</w:t>
      </w:r>
    </w:p>
    <w:p w14:paraId="72B46726" w14:textId="77777777" w:rsidR="003222D2" w:rsidRPr="00516AF8" w:rsidRDefault="003222D2" w:rsidP="00B814E2">
      <w:pPr>
        <w:tabs>
          <w:tab w:val="left" w:pos="720"/>
          <w:tab w:val="left" w:pos="1440"/>
          <w:tab w:val="left" w:pos="2160"/>
          <w:tab w:val="right" w:leader="dot" w:pos="8820"/>
        </w:tabs>
      </w:pPr>
    </w:p>
    <w:p w14:paraId="75F4B4FE" w14:textId="5F3F71AC" w:rsidR="003222D2" w:rsidRDefault="003222D2" w:rsidP="00B814E2">
      <w:pPr>
        <w:tabs>
          <w:tab w:val="left" w:pos="720"/>
          <w:tab w:val="left" w:pos="1440"/>
          <w:tab w:val="left" w:pos="2160"/>
          <w:tab w:val="right" w:leader="dot" w:pos="8820"/>
        </w:tabs>
      </w:pPr>
      <w:r w:rsidRPr="00516AF8">
        <w:t>VIII</w:t>
      </w:r>
      <w:r w:rsidR="00735AAE">
        <w:t>.</w:t>
      </w:r>
      <w:r w:rsidR="00BE1B49">
        <w:tab/>
        <w:t>RECOMMENDATION</w:t>
      </w:r>
      <w:r>
        <w:t xml:space="preserve"> </w:t>
      </w:r>
      <w:r w:rsidR="00735AAE">
        <w:tab/>
        <w:t>25</w:t>
      </w:r>
    </w:p>
    <w:p w14:paraId="77FD399D" w14:textId="77777777" w:rsidR="003222D2" w:rsidRDefault="003222D2" w:rsidP="00B814E2">
      <w:pPr>
        <w:tabs>
          <w:tab w:val="left" w:pos="720"/>
          <w:tab w:val="left" w:pos="1440"/>
          <w:tab w:val="left" w:pos="2160"/>
          <w:tab w:val="right" w:leader="dot" w:pos="8820"/>
        </w:tabs>
      </w:pPr>
    </w:p>
    <w:p w14:paraId="69FFCC9E" w14:textId="77777777" w:rsidR="003222D2" w:rsidRDefault="003222D2" w:rsidP="00B814E2">
      <w:pPr>
        <w:tabs>
          <w:tab w:val="left" w:pos="720"/>
          <w:tab w:val="left" w:pos="1440"/>
          <w:tab w:val="left" w:pos="2160"/>
          <w:tab w:val="right" w:leader="dot" w:pos="8820"/>
        </w:tabs>
      </w:pPr>
    </w:p>
    <w:p w14:paraId="1BD8FC50" w14:textId="77777777" w:rsidR="00E7474B" w:rsidRDefault="00E7474B" w:rsidP="00B814E2">
      <w:pPr>
        <w:tabs>
          <w:tab w:val="left" w:pos="720"/>
          <w:tab w:val="left" w:pos="1440"/>
          <w:tab w:val="left" w:pos="2160"/>
          <w:tab w:val="right" w:leader="dot" w:pos="8820"/>
        </w:tabs>
      </w:pPr>
    </w:p>
    <w:p w14:paraId="0ECAA800" w14:textId="20D286C6" w:rsidR="00F16F07" w:rsidRDefault="00F16F07" w:rsidP="00B814E2">
      <w:pPr>
        <w:tabs>
          <w:tab w:val="left" w:pos="720"/>
          <w:tab w:val="left" w:pos="1440"/>
          <w:tab w:val="left" w:pos="2160"/>
          <w:tab w:val="right" w:leader="dot" w:pos="8820"/>
        </w:tabs>
      </w:pPr>
    </w:p>
    <w:p w14:paraId="238E2FF5" w14:textId="47718EDF" w:rsidR="00F16F07" w:rsidRPr="00735AAE" w:rsidRDefault="00F16F07" w:rsidP="00735AAE">
      <w:pPr>
        <w:tabs>
          <w:tab w:val="left" w:pos="720"/>
          <w:tab w:val="left" w:pos="1440"/>
          <w:tab w:val="left" w:pos="2160"/>
          <w:tab w:val="right" w:leader="dot" w:pos="8820"/>
        </w:tabs>
        <w:jc w:val="center"/>
        <w:rPr>
          <w:b/>
        </w:rPr>
      </w:pPr>
      <w:r w:rsidRPr="00735AAE">
        <w:rPr>
          <w:b/>
        </w:rPr>
        <w:t>LIST OF EXHIBITS</w:t>
      </w:r>
    </w:p>
    <w:p w14:paraId="5DD321F4" w14:textId="77777777" w:rsidR="00B814E2" w:rsidRDefault="00B814E2" w:rsidP="00B814E2">
      <w:pPr>
        <w:tabs>
          <w:tab w:val="left" w:pos="720"/>
          <w:tab w:val="left" w:pos="1440"/>
          <w:tab w:val="left" w:pos="2160"/>
          <w:tab w:val="right" w:leader="dot" w:pos="8820"/>
        </w:tabs>
      </w:pPr>
    </w:p>
    <w:p w14:paraId="07CA6E4D" w14:textId="70668998" w:rsidR="00B814E2" w:rsidRDefault="00C07D9F" w:rsidP="00B814E2">
      <w:r>
        <w:t>Exhibit No. DJP-2:</w:t>
      </w:r>
      <w:r w:rsidRPr="00C07D9F">
        <w:t xml:space="preserve"> </w:t>
      </w:r>
      <w:r>
        <w:t>Pacific Power’s Response to Staff Data Request 2</w:t>
      </w:r>
    </w:p>
    <w:p w14:paraId="52E45379" w14:textId="77777777" w:rsidR="00F16F07" w:rsidRDefault="00F16F07" w:rsidP="00B814E2"/>
    <w:p w14:paraId="43E8EF65" w14:textId="092D40DD" w:rsidR="00F16F07" w:rsidRDefault="00C07D9F" w:rsidP="00B814E2">
      <w:r w:rsidRPr="00C07D9F">
        <w:t>Exhibit No. DJP-</w:t>
      </w:r>
      <w:r>
        <w:t>3</w:t>
      </w:r>
      <w:r w:rsidRPr="00C07D9F">
        <w:t xml:space="preserve"> Pacific Power’s </w:t>
      </w:r>
      <w:r>
        <w:t>Cost Of Service Results</w:t>
      </w:r>
    </w:p>
    <w:p w14:paraId="69F26163" w14:textId="77777777" w:rsidR="00B814E2" w:rsidRDefault="00B814E2" w:rsidP="00B814E2"/>
    <w:p w14:paraId="128EF75F" w14:textId="77777777" w:rsidR="00B814E2" w:rsidRDefault="00B814E2" w:rsidP="00B814E2">
      <w:pPr>
        <w:sectPr w:rsidR="00B814E2" w:rsidSect="0015026F">
          <w:footerReference w:type="default" r:id="rId11"/>
          <w:pgSz w:w="12240" w:h="15840"/>
          <w:pgMar w:top="1440" w:right="1440" w:bottom="1440" w:left="1872" w:header="720" w:footer="720" w:gutter="0"/>
          <w:pgNumType w:fmt="lowerRoman" w:start="1"/>
          <w:cols w:space="720"/>
          <w:docGrid w:linePitch="360"/>
        </w:sectPr>
      </w:pPr>
    </w:p>
    <w:p w14:paraId="11B4BA47" w14:textId="77777777" w:rsidR="00B814E2" w:rsidRDefault="00B814E2" w:rsidP="00B814E2">
      <w:pPr>
        <w:spacing w:line="480" w:lineRule="auto"/>
        <w:jc w:val="center"/>
        <w:rPr>
          <w:b/>
        </w:rPr>
      </w:pPr>
      <w:r>
        <w:rPr>
          <w:b/>
        </w:rPr>
        <w:lastRenderedPageBreak/>
        <w:t>I.</w:t>
      </w:r>
      <w:r>
        <w:rPr>
          <w:b/>
        </w:rPr>
        <w:tab/>
        <w:t>INTRODUCTION</w:t>
      </w:r>
    </w:p>
    <w:p w14:paraId="5D5AE333" w14:textId="77777777" w:rsidR="00B814E2" w:rsidRDefault="00B814E2" w:rsidP="00B814E2">
      <w:pPr>
        <w:spacing w:line="480" w:lineRule="auto"/>
        <w:rPr>
          <w:b/>
        </w:rPr>
      </w:pPr>
    </w:p>
    <w:p w14:paraId="02CAF838" w14:textId="5F4ACD36" w:rsidR="00B814E2" w:rsidRDefault="00B814E2" w:rsidP="00B814E2">
      <w:pPr>
        <w:spacing w:line="480" w:lineRule="auto"/>
      </w:pPr>
      <w:r>
        <w:rPr>
          <w:b/>
        </w:rPr>
        <w:t>Q.</w:t>
      </w:r>
      <w:r>
        <w:rPr>
          <w:b/>
        </w:rPr>
        <w:tab/>
        <w:t>Please state your name and business address.</w:t>
      </w:r>
      <w:r w:rsidR="0018125D">
        <w:rPr>
          <w:b/>
        </w:rPr>
        <w:t xml:space="preserve"> </w:t>
      </w:r>
    </w:p>
    <w:p w14:paraId="3FA123E8" w14:textId="7CF5B2A9" w:rsidR="00B814E2" w:rsidRDefault="00B814E2" w:rsidP="00B814E2">
      <w:pPr>
        <w:spacing w:line="480" w:lineRule="auto"/>
        <w:ind w:left="720" w:hanging="720"/>
      </w:pPr>
      <w:r>
        <w:t>A.</w:t>
      </w:r>
      <w:r>
        <w:tab/>
      </w:r>
      <w:r w:rsidR="006F6F7B">
        <w:t>My name is David</w:t>
      </w:r>
      <w:r w:rsidR="006A1EF0">
        <w:t xml:space="preserve"> </w:t>
      </w:r>
      <w:r w:rsidR="003E776C">
        <w:t>J.</w:t>
      </w:r>
      <w:r w:rsidR="006F6F7B">
        <w:t xml:space="preserve"> Panco</w:t>
      </w:r>
      <w:r>
        <w:t>.</w:t>
      </w:r>
      <w:r w:rsidR="0018125D">
        <w:t xml:space="preserve"> </w:t>
      </w:r>
      <w:r>
        <w:t>My business address is 1300 S. Evergreen Park Drive S.W., P.O. Box 47250, Olympia, WA</w:t>
      </w:r>
      <w:r w:rsidR="0018125D">
        <w:t xml:space="preserve"> </w:t>
      </w:r>
      <w:r>
        <w:t>98504.</w:t>
      </w:r>
      <w:r w:rsidR="0018125D">
        <w:t xml:space="preserve"> </w:t>
      </w:r>
    </w:p>
    <w:p w14:paraId="23EB5187" w14:textId="77777777" w:rsidR="00B814E2" w:rsidRDefault="00B814E2" w:rsidP="00B814E2">
      <w:pPr>
        <w:spacing w:line="480" w:lineRule="auto"/>
        <w:ind w:left="720" w:hanging="720"/>
      </w:pPr>
    </w:p>
    <w:p w14:paraId="15A37526" w14:textId="175C17E3" w:rsidR="00B814E2" w:rsidRDefault="00B814E2" w:rsidP="00B814E2">
      <w:pPr>
        <w:spacing w:line="480" w:lineRule="auto"/>
        <w:ind w:left="720" w:hanging="720"/>
      </w:pPr>
      <w:r>
        <w:rPr>
          <w:b/>
        </w:rPr>
        <w:t>Q.</w:t>
      </w:r>
      <w:r>
        <w:rPr>
          <w:b/>
        </w:rPr>
        <w:tab/>
        <w:t>By whom are you employed and in what capacity?</w:t>
      </w:r>
      <w:r w:rsidR="0018125D">
        <w:rPr>
          <w:b/>
        </w:rPr>
        <w:t xml:space="preserve"> </w:t>
      </w:r>
    </w:p>
    <w:p w14:paraId="3AD1E2C2" w14:textId="2D725681" w:rsidR="00B814E2" w:rsidRDefault="00B814E2" w:rsidP="00B814E2">
      <w:pPr>
        <w:spacing w:line="480" w:lineRule="auto"/>
        <w:ind w:left="720" w:hanging="720"/>
      </w:pPr>
      <w:r>
        <w:t>A.</w:t>
      </w:r>
      <w:r>
        <w:tab/>
        <w:t>I am employed by the Washington Utilities and T</w:t>
      </w:r>
      <w:r w:rsidR="00F81BAE">
        <w:t xml:space="preserve">ransportation Commission </w:t>
      </w:r>
      <w:r w:rsidR="00073FD2">
        <w:t>(Commission)</w:t>
      </w:r>
      <w:r w:rsidR="00F81BAE">
        <w:t xml:space="preserve"> as a Regulatory Analyst in the Energy Regulation Section of the Regulatory Services Division.</w:t>
      </w:r>
      <w:r w:rsidR="0018125D">
        <w:t xml:space="preserve"> </w:t>
      </w:r>
      <w:r w:rsidR="00F81BAE">
        <w:t xml:space="preserve">Among other duties, I am responsible for financial and economic analysis, auditing of regulated companies, and </w:t>
      </w:r>
      <w:r w:rsidR="00996BE4">
        <w:t>providing support to general rate cases</w:t>
      </w:r>
      <w:r w:rsidR="00073FD2">
        <w:t>.</w:t>
      </w:r>
      <w:r w:rsidR="00996BE4">
        <w:t xml:space="preserve"> </w:t>
      </w:r>
    </w:p>
    <w:p w14:paraId="20F50FE9" w14:textId="77777777" w:rsidR="00B814E2" w:rsidRDefault="00B814E2" w:rsidP="00B814E2">
      <w:pPr>
        <w:spacing w:line="480" w:lineRule="auto"/>
        <w:ind w:left="720" w:hanging="720"/>
      </w:pPr>
    </w:p>
    <w:p w14:paraId="7470128B" w14:textId="23749998" w:rsidR="00B814E2" w:rsidRDefault="00B814E2" w:rsidP="00B814E2">
      <w:pPr>
        <w:spacing w:line="480" w:lineRule="auto"/>
        <w:ind w:left="720" w:hanging="720"/>
      </w:pPr>
      <w:r>
        <w:rPr>
          <w:b/>
        </w:rPr>
        <w:t>Q.</w:t>
      </w:r>
      <w:r>
        <w:rPr>
          <w:b/>
        </w:rPr>
        <w:tab/>
        <w:t>How long have you been employed by the Commission?</w:t>
      </w:r>
      <w:r w:rsidR="0018125D">
        <w:rPr>
          <w:b/>
        </w:rPr>
        <w:t xml:space="preserve"> </w:t>
      </w:r>
    </w:p>
    <w:p w14:paraId="0A84417B" w14:textId="135AE0DE" w:rsidR="00B814E2" w:rsidRDefault="00B814E2" w:rsidP="00B814E2">
      <w:pPr>
        <w:spacing w:line="480" w:lineRule="auto"/>
        <w:ind w:left="720" w:hanging="720"/>
      </w:pPr>
      <w:r>
        <w:t>A.</w:t>
      </w:r>
      <w:r>
        <w:tab/>
      </w:r>
      <w:r w:rsidR="00F81BAE">
        <w:t>I have been employed by the Commission since November 2015.</w:t>
      </w:r>
    </w:p>
    <w:p w14:paraId="0ED0BD37" w14:textId="77777777" w:rsidR="00B814E2" w:rsidRDefault="00B814E2" w:rsidP="00B814E2">
      <w:pPr>
        <w:spacing w:line="480" w:lineRule="auto"/>
        <w:ind w:left="720" w:hanging="720"/>
      </w:pPr>
    </w:p>
    <w:p w14:paraId="78F79CED" w14:textId="39ACCE27" w:rsidR="00B814E2" w:rsidRDefault="00B814E2" w:rsidP="00B814E2">
      <w:pPr>
        <w:spacing w:line="480" w:lineRule="auto"/>
        <w:ind w:left="720" w:hanging="720"/>
      </w:pPr>
      <w:r>
        <w:rPr>
          <w:b/>
        </w:rPr>
        <w:t>Q</w:t>
      </w:r>
      <w:r w:rsidR="007025BF">
        <w:rPr>
          <w:b/>
        </w:rPr>
        <w:t>.</w:t>
      </w:r>
      <w:r>
        <w:rPr>
          <w:b/>
        </w:rPr>
        <w:t xml:space="preserve"> </w:t>
      </w:r>
      <w:r>
        <w:rPr>
          <w:b/>
        </w:rPr>
        <w:tab/>
        <w:t>Would you please state your educational and professional background?</w:t>
      </w:r>
      <w:r w:rsidR="0018125D">
        <w:rPr>
          <w:b/>
        </w:rPr>
        <w:t xml:space="preserve"> </w:t>
      </w:r>
    </w:p>
    <w:p w14:paraId="4E4C27E8" w14:textId="65DCFC99" w:rsidR="00B814E2" w:rsidRDefault="00B814E2" w:rsidP="00B814E2">
      <w:pPr>
        <w:spacing w:line="480" w:lineRule="auto"/>
        <w:ind w:left="720" w:hanging="720"/>
      </w:pPr>
      <w:r>
        <w:t>A.</w:t>
      </w:r>
      <w:r>
        <w:tab/>
      </w:r>
      <w:r w:rsidR="00F81BAE">
        <w:t xml:space="preserve">My formal education includes a Master of Business Administration and a Master of Marine Affairs, essentially applied resource economics and public policy, both from the University of </w:t>
      </w:r>
      <w:r w:rsidR="00F81BAE" w:rsidRPr="00996BE4">
        <w:t xml:space="preserve">Washington in </w:t>
      </w:r>
      <w:r w:rsidR="00996BE4" w:rsidRPr="00996BE4">
        <w:t>1989.</w:t>
      </w:r>
    </w:p>
    <w:p w14:paraId="5AA3DA34" w14:textId="77777777" w:rsidR="00B814E2" w:rsidRDefault="00B814E2" w:rsidP="00B814E2">
      <w:pPr>
        <w:spacing w:line="480" w:lineRule="auto"/>
        <w:ind w:left="720" w:hanging="720"/>
      </w:pPr>
    </w:p>
    <w:p w14:paraId="5AF6DE72" w14:textId="77777777" w:rsidR="00B814E2" w:rsidRDefault="007025BF" w:rsidP="002508AF">
      <w:pPr>
        <w:keepNext/>
        <w:spacing w:line="480" w:lineRule="auto"/>
        <w:ind w:left="720" w:hanging="720"/>
        <w:rPr>
          <w:b/>
        </w:rPr>
      </w:pPr>
      <w:r>
        <w:rPr>
          <w:b/>
        </w:rPr>
        <w:lastRenderedPageBreak/>
        <w:t>Q.</w:t>
      </w:r>
      <w:r>
        <w:rPr>
          <w:b/>
        </w:rPr>
        <w:tab/>
        <w:t>Would you please describe your relevant work experience?</w:t>
      </w:r>
    </w:p>
    <w:p w14:paraId="4BC0A849" w14:textId="3A4F43FE" w:rsidR="007025BF" w:rsidRDefault="007025BF" w:rsidP="00B814E2">
      <w:pPr>
        <w:spacing w:line="480" w:lineRule="auto"/>
        <w:ind w:left="720" w:hanging="720"/>
      </w:pPr>
      <w:r>
        <w:t>A.</w:t>
      </w:r>
      <w:r w:rsidR="002D315B">
        <w:tab/>
        <w:t>Re</w:t>
      </w:r>
      <w:r w:rsidR="001E0A30">
        <w:t xml:space="preserve">levant work experience includes </w:t>
      </w:r>
      <w:r w:rsidR="002D315B">
        <w:t xml:space="preserve">bookkeeping </w:t>
      </w:r>
      <w:r w:rsidR="001E0A30">
        <w:t xml:space="preserve">and accounting for medium-sized </w:t>
      </w:r>
      <w:r w:rsidR="00996BE4">
        <w:t xml:space="preserve">produce and seafood operations </w:t>
      </w:r>
      <w:r w:rsidR="001E0A30">
        <w:t xml:space="preserve">in </w:t>
      </w:r>
      <w:r w:rsidR="00996BE4">
        <w:t xml:space="preserve">the Pacific Northwest, </w:t>
      </w:r>
      <w:r w:rsidR="001E0A30">
        <w:t>Alaska</w:t>
      </w:r>
      <w:r w:rsidR="00040A2D">
        <w:t>,</w:t>
      </w:r>
      <w:r w:rsidR="001E0A30">
        <w:t xml:space="preserve"> and New England from </w:t>
      </w:r>
      <w:r w:rsidR="00996BE4" w:rsidRPr="00996BE4">
        <w:t>1980</w:t>
      </w:r>
      <w:r w:rsidR="001E0A30" w:rsidRPr="00996BE4">
        <w:t xml:space="preserve"> through 19</w:t>
      </w:r>
      <w:r w:rsidR="00996BE4" w:rsidRPr="00996BE4">
        <w:t>86</w:t>
      </w:r>
      <w:r w:rsidR="00784481" w:rsidRPr="00996BE4">
        <w:t>,</w:t>
      </w:r>
      <w:r w:rsidR="001E0A30">
        <w:t xml:space="preserve"> and various assignments from </w:t>
      </w:r>
      <w:r w:rsidR="00996BE4">
        <w:t>1987</w:t>
      </w:r>
      <w:r w:rsidR="001E0A30">
        <w:t xml:space="preserve"> through 2008 with </w:t>
      </w:r>
      <w:r w:rsidR="00996BE4">
        <w:t xml:space="preserve">Weyerhaeuser Company. </w:t>
      </w:r>
      <w:r w:rsidR="001E0A30">
        <w:t xml:space="preserve">These assignments included </w:t>
      </w:r>
      <w:r w:rsidR="00EA11BA">
        <w:t xml:space="preserve">product development, </w:t>
      </w:r>
      <w:r w:rsidR="001E0A30">
        <w:t xml:space="preserve">environmental project management, facility planning and risk management for major manufacturing sites, and </w:t>
      </w:r>
      <w:r w:rsidR="00996BE4">
        <w:t xml:space="preserve">new venture development as part of the company’s corporate research and development </w:t>
      </w:r>
      <w:r w:rsidR="00EA11BA">
        <w:t>efforts</w:t>
      </w:r>
      <w:r w:rsidR="00996BE4">
        <w:t>.</w:t>
      </w:r>
    </w:p>
    <w:p w14:paraId="3904CF70" w14:textId="77777777" w:rsidR="007025BF" w:rsidRDefault="007025BF" w:rsidP="00B814E2">
      <w:pPr>
        <w:spacing w:line="480" w:lineRule="auto"/>
        <w:ind w:left="720" w:hanging="720"/>
      </w:pPr>
    </w:p>
    <w:p w14:paraId="0896CA24" w14:textId="77777777" w:rsidR="007025BF" w:rsidRPr="007025BF" w:rsidRDefault="007025BF" w:rsidP="00B814E2">
      <w:pPr>
        <w:spacing w:line="480" w:lineRule="auto"/>
        <w:ind w:left="720" w:hanging="720"/>
        <w:rPr>
          <w:b/>
        </w:rPr>
      </w:pPr>
      <w:r w:rsidRPr="007025BF">
        <w:rPr>
          <w:b/>
        </w:rPr>
        <w:t>Q.</w:t>
      </w:r>
      <w:r w:rsidRPr="007025BF">
        <w:rPr>
          <w:b/>
        </w:rPr>
        <w:tab/>
        <w:t>Would you please list any training you have received to help you carry out your duties as a regulatory analyst?</w:t>
      </w:r>
    </w:p>
    <w:p w14:paraId="1BD58160" w14:textId="6DCAC05C" w:rsidR="007025BF" w:rsidRDefault="007025BF" w:rsidP="00B814E2">
      <w:pPr>
        <w:spacing w:line="480" w:lineRule="auto"/>
        <w:ind w:left="720" w:hanging="720"/>
      </w:pPr>
      <w:r>
        <w:t>A.</w:t>
      </w:r>
      <w:r w:rsidR="00F81BAE">
        <w:tab/>
        <w:t>I completed the New Mexico State University’s rate case basics workshop in May 2016.</w:t>
      </w:r>
    </w:p>
    <w:p w14:paraId="68D0FF7D" w14:textId="77777777" w:rsidR="007025BF" w:rsidRDefault="007025BF" w:rsidP="00B814E2">
      <w:pPr>
        <w:spacing w:line="480" w:lineRule="auto"/>
        <w:ind w:left="720" w:hanging="720"/>
      </w:pPr>
    </w:p>
    <w:p w14:paraId="34E6406B" w14:textId="77777777" w:rsidR="007025BF" w:rsidRPr="007025BF" w:rsidRDefault="007025BF" w:rsidP="00B814E2">
      <w:pPr>
        <w:spacing w:line="480" w:lineRule="auto"/>
        <w:ind w:left="720" w:hanging="720"/>
        <w:rPr>
          <w:b/>
        </w:rPr>
      </w:pPr>
      <w:r w:rsidRPr="007025BF">
        <w:rPr>
          <w:b/>
        </w:rPr>
        <w:t>Q.</w:t>
      </w:r>
      <w:r w:rsidRPr="007025BF">
        <w:rPr>
          <w:b/>
        </w:rPr>
        <w:tab/>
        <w:t>Have you previously submitted testimony to the Commission?</w:t>
      </w:r>
    </w:p>
    <w:p w14:paraId="004212D4" w14:textId="6A0849EC" w:rsidR="007025BF" w:rsidRDefault="007025BF" w:rsidP="00B814E2">
      <w:pPr>
        <w:spacing w:line="480" w:lineRule="auto"/>
        <w:ind w:left="720" w:hanging="720"/>
      </w:pPr>
      <w:r>
        <w:t>A.</w:t>
      </w:r>
      <w:r>
        <w:tab/>
      </w:r>
      <w:r w:rsidR="00073FD2">
        <w:t>No</w:t>
      </w:r>
      <w:r w:rsidR="00F81BAE">
        <w:t xml:space="preserve">, but I </w:t>
      </w:r>
      <w:r w:rsidR="00073FD2">
        <w:t xml:space="preserve">have </w:t>
      </w:r>
      <w:r w:rsidR="00F81BAE">
        <w:t>pr</w:t>
      </w:r>
      <w:r w:rsidR="002D315B">
        <w:t>epare</w:t>
      </w:r>
      <w:r w:rsidR="00073FD2">
        <w:t>d</w:t>
      </w:r>
      <w:r w:rsidR="002D315B">
        <w:t xml:space="preserve"> pre-submission analysis and draft testimony regarding major capital projects for Cascade Natural Gas’s </w:t>
      </w:r>
      <w:r w:rsidR="007605E0">
        <w:t xml:space="preserve">2015 </w:t>
      </w:r>
      <w:r w:rsidR="002D315B">
        <w:t>general rate case (</w:t>
      </w:r>
      <w:r w:rsidR="00EA11BA">
        <w:t>UG-152286)</w:t>
      </w:r>
      <w:r w:rsidR="002D315B">
        <w:t>; and have provided documented analysis for affiliated interest, certificate of public necessity and convenience, and tariff modification filings.</w:t>
      </w:r>
    </w:p>
    <w:p w14:paraId="01D90D36" w14:textId="77777777" w:rsidR="007025BF" w:rsidRPr="007025BF" w:rsidRDefault="007025BF" w:rsidP="00B814E2">
      <w:pPr>
        <w:spacing w:line="480" w:lineRule="auto"/>
        <w:ind w:left="720" w:hanging="720"/>
      </w:pPr>
    </w:p>
    <w:p w14:paraId="7EDC7AF3" w14:textId="77777777" w:rsidR="00B814E2" w:rsidRDefault="00B814E2" w:rsidP="002508AF">
      <w:pPr>
        <w:keepNext/>
        <w:spacing w:line="480" w:lineRule="auto"/>
        <w:ind w:left="720" w:hanging="720"/>
        <w:jc w:val="center"/>
      </w:pPr>
      <w:r>
        <w:rPr>
          <w:b/>
        </w:rPr>
        <w:lastRenderedPageBreak/>
        <w:t>II.</w:t>
      </w:r>
      <w:r>
        <w:rPr>
          <w:b/>
        </w:rPr>
        <w:tab/>
        <w:t>SCOPE AND SUMMARY OF TESTIMONY</w:t>
      </w:r>
    </w:p>
    <w:p w14:paraId="6B65BC8A" w14:textId="77777777" w:rsidR="00B814E2" w:rsidRDefault="00B814E2" w:rsidP="002508AF">
      <w:pPr>
        <w:keepNext/>
        <w:spacing w:line="480" w:lineRule="auto"/>
        <w:ind w:left="720" w:hanging="720"/>
      </w:pPr>
    </w:p>
    <w:p w14:paraId="38FEF949" w14:textId="77777777" w:rsidR="00B814E2" w:rsidRPr="004B2074" w:rsidRDefault="00B814E2" w:rsidP="002508AF">
      <w:pPr>
        <w:keepNext/>
        <w:spacing w:line="480" w:lineRule="auto"/>
        <w:ind w:left="720" w:hanging="720"/>
        <w:rPr>
          <w:b/>
        </w:rPr>
      </w:pPr>
      <w:r w:rsidRPr="004B2074">
        <w:rPr>
          <w:b/>
        </w:rPr>
        <w:t>Q.</w:t>
      </w:r>
      <w:r w:rsidRPr="004B2074">
        <w:rPr>
          <w:b/>
        </w:rPr>
        <w:tab/>
      </w:r>
      <w:r w:rsidR="007025BF" w:rsidRPr="004B2074">
        <w:rPr>
          <w:b/>
        </w:rPr>
        <w:t>Please describe the scope of your testimony.</w:t>
      </w:r>
    </w:p>
    <w:p w14:paraId="428A3981" w14:textId="0856EBC0" w:rsidR="007171C3" w:rsidRDefault="00B814E2" w:rsidP="00B814E2">
      <w:pPr>
        <w:spacing w:line="480" w:lineRule="auto"/>
        <w:ind w:left="720" w:hanging="720"/>
      </w:pPr>
      <w:r w:rsidRPr="004B2074">
        <w:t>A.</w:t>
      </w:r>
      <w:r w:rsidRPr="004B2074">
        <w:tab/>
      </w:r>
      <w:r w:rsidR="007171C3">
        <w:t xml:space="preserve">My </w:t>
      </w:r>
      <w:r w:rsidR="008B3654">
        <w:t>testimony respon</w:t>
      </w:r>
      <w:r w:rsidR="00253C12">
        <w:t>d</w:t>
      </w:r>
      <w:r w:rsidR="007171C3">
        <w:t>s</w:t>
      </w:r>
      <w:r w:rsidR="008B3654">
        <w:t xml:space="preserve"> to a proposed revision</w:t>
      </w:r>
      <w:r w:rsidR="00174F94">
        <w:t>s</w:t>
      </w:r>
      <w:r w:rsidR="008B3654">
        <w:t xml:space="preserve"> by </w:t>
      </w:r>
      <w:r w:rsidR="004B2074">
        <w:t>Pacific Power</w:t>
      </w:r>
      <w:r w:rsidR="00EE21DD">
        <w:t xml:space="preserve"> </w:t>
      </w:r>
      <w:r w:rsidR="002757B7">
        <w:t>&amp; Light Company</w:t>
      </w:r>
      <w:r w:rsidR="004B2074">
        <w:t xml:space="preserve"> (</w:t>
      </w:r>
      <w:r w:rsidR="002757B7">
        <w:t xml:space="preserve">Pacific Power, or </w:t>
      </w:r>
      <w:r w:rsidR="004B2074">
        <w:t xml:space="preserve">the Company) </w:t>
      </w:r>
      <w:r w:rsidR="008B3654">
        <w:t xml:space="preserve">to </w:t>
      </w:r>
      <w:r w:rsidR="007171C3">
        <w:t xml:space="preserve">its </w:t>
      </w:r>
      <w:r w:rsidR="00333856">
        <w:t xml:space="preserve">tariffs governing </w:t>
      </w:r>
      <w:r w:rsidR="004B2074">
        <w:t xml:space="preserve">permanent disconnection and removal </w:t>
      </w:r>
      <w:r w:rsidR="00333856">
        <w:t>procedures</w:t>
      </w:r>
      <w:r w:rsidR="004B2074">
        <w:t xml:space="preserve">. </w:t>
      </w:r>
      <w:r w:rsidR="007171C3" w:rsidRPr="007171C3">
        <w:t>Pacific Power</w:t>
      </w:r>
      <w:r w:rsidR="004B2074">
        <w:t xml:space="preserve"> </w:t>
      </w:r>
      <w:r w:rsidR="007171C3">
        <w:t xml:space="preserve">proposes two significant </w:t>
      </w:r>
      <w:r w:rsidR="004B2074">
        <w:t xml:space="preserve">revisions: </w:t>
      </w:r>
      <w:r w:rsidR="007171C3">
        <w:t xml:space="preserve">(1) to require </w:t>
      </w:r>
      <w:r w:rsidR="004B2074">
        <w:t xml:space="preserve">the departing customer to either purchase </w:t>
      </w:r>
      <w:r w:rsidR="007171C3">
        <w:t>stranded</w:t>
      </w:r>
      <w:r w:rsidR="004B2074">
        <w:t xml:space="preserve"> facilities or </w:t>
      </w:r>
      <w:r w:rsidR="007171C3">
        <w:t>pay for their</w:t>
      </w:r>
      <w:r w:rsidR="004B2074">
        <w:t xml:space="preserve"> </w:t>
      </w:r>
      <w:r w:rsidR="007171C3">
        <w:t>removal;</w:t>
      </w:r>
      <w:r w:rsidR="004B2074">
        <w:t xml:space="preserve"> and </w:t>
      </w:r>
      <w:r w:rsidR="007171C3">
        <w:t xml:space="preserve">(2) </w:t>
      </w:r>
      <w:r w:rsidR="00333856">
        <w:t xml:space="preserve">to </w:t>
      </w:r>
      <w:r w:rsidR="007171C3">
        <w:t>require the departing customer to pay</w:t>
      </w:r>
      <w:r w:rsidR="004B2074">
        <w:t xml:space="preserve"> a Stranded Cost Recovery Fee </w:t>
      </w:r>
      <w:r w:rsidR="008B3654">
        <w:t xml:space="preserve">to mitigate cost </w:t>
      </w:r>
      <w:r w:rsidR="007171C3">
        <w:t xml:space="preserve">shifts </w:t>
      </w:r>
      <w:r w:rsidR="008B3654">
        <w:t xml:space="preserve">from </w:t>
      </w:r>
      <w:r w:rsidR="007171C3">
        <w:t>disconnecting</w:t>
      </w:r>
      <w:r w:rsidR="008B3654">
        <w:t xml:space="preserve"> customers</w:t>
      </w:r>
      <w:r w:rsidR="0061722A">
        <w:t xml:space="preserve"> </w:t>
      </w:r>
      <w:r w:rsidR="008B3654">
        <w:t>to remaining customers.</w:t>
      </w:r>
      <w:r w:rsidR="008B3654">
        <w:rPr>
          <w:rStyle w:val="FootnoteReference"/>
        </w:rPr>
        <w:footnoteReference w:id="2"/>
      </w:r>
      <w:r w:rsidR="0018125D">
        <w:t xml:space="preserve"> </w:t>
      </w:r>
    </w:p>
    <w:p w14:paraId="28AE48CD" w14:textId="700B3ABE" w:rsidR="00B814E2" w:rsidRPr="004B2074" w:rsidRDefault="008B3654" w:rsidP="00BF77D7">
      <w:pPr>
        <w:spacing w:line="480" w:lineRule="auto"/>
        <w:ind w:left="720" w:firstLine="720"/>
      </w:pPr>
      <w:r>
        <w:t xml:space="preserve">The Company argues that revenue losses </w:t>
      </w:r>
      <w:r w:rsidR="007171C3">
        <w:t xml:space="preserve">from permanent disconnections has </w:t>
      </w:r>
      <w:r>
        <w:t>“skyrocketed”</w:t>
      </w:r>
      <w:r>
        <w:rPr>
          <w:rStyle w:val="FootnoteReference"/>
        </w:rPr>
        <w:footnoteReference w:id="3"/>
      </w:r>
      <w:r>
        <w:t xml:space="preserve"> and that the</w:t>
      </w:r>
      <w:r w:rsidR="007171C3">
        <w:t xml:space="preserve"> two proposed revisions </w:t>
      </w:r>
      <w:r w:rsidR="00253C12">
        <w:t>are necessary to “</w:t>
      </w:r>
      <w:r w:rsidR="00253C12" w:rsidRPr="00253C12">
        <w:t>to eliminate confusion and avoid cost shifting to remaining customers when departing customers opt to permanently disconnect from the Company’s system and receive service from another electric service provider.</w:t>
      </w:r>
      <w:r w:rsidR="00253C12">
        <w:t>”</w:t>
      </w:r>
      <w:r w:rsidR="00253C12">
        <w:rPr>
          <w:rStyle w:val="FootnoteReference"/>
        </w:rPr>
        <w:footnoteReference w:id="4"/>
      </w:r>
    </w:p>
    <w:p w14:paraId="74F27195" w14:textId="77777777" w:rsidR="006F6F7B" w:rsidRPr="004B2074" w:rsidRDefault="006F6F7B" w:rsidP="00B814E2">
      <w:pPr>
        <w:spacing w:line="480" w:lineRule="auto"/>
        <w:ind w:left="720" w:hanging="720"/>
      </w:pPr>
    </w:p>
    <w:p w14:paraId="7100B9B5" w14:textId="5A7D9BD0" w:rsidR="00333856" w:rsidRDefault="00333856" w:rsidP="00B814E2">
      <w:pPr>
        <w:spacing w:line="480" w:lineRule="auto"/>
        <w:ind w:left="720" w:hanging="720"/>
      </w:pPr>
      <w:r>
        <w:rPr>
          <w:b/>
        </w:rPr>
        <w:t xml:space="preserve">Q. </w:t>
      </w:r>
      <w:r>
        <w:rPr>
          <w:b/>
        </w:rPr>
        <w:tab/>
        <w:t>How did you arrive at your recommendations?</w:t>
      </w:r>
    </w:p>
    <w:p w14:paraId="12802E51" w14:textId="735B1BC9" w:rsidR="00333856" w:rsidRDefault="00333856" w:rsidP="00B814E2">
      <w:pPr>
        <w:spacing w:line="480" w:lineRule="auto"/>
        <w:ind w:left="720" w:hanging="720"/>
      </w:pPr>
      <w:r>
        <w:t>A.</w:t>
      </w:r>
      <w:r>
        <w:tab/>
        <w:t xml:space="preserve">I </w:t>
      </w:r>
      <w:r w:rsidRPr="00333856">
        <w:t>reviewed the Company’s testimony and exhibits, responses to data requests from the parties, regulatory literature, and government data sources</w:t>
      </w:r>
      <w:r>
        <w:t>.</w:t>
      </w:r>
    </w:p>
    <w:p w14:paraId="33CF8D50" w14:textId="77777777" w:rsidR="00333856" w:rsidRPr="004B2074" w:rsidRDefault="00333856" w:rsidP="00B814E2">
      <w:pPr>
        <w:spacing w:line="480" w:lineRule="auto"/>
        <w:ind w:left="720" w:hanging="720"/>
      </w:pPr>
    </w:p>
    <w:p w14:paraId="43B75655" w14:textId="0ED51215" w:rsidR="007025BF" w:rsidRPr="004B2074" w:rsidRDefault="007025BF" w:rsidP="00516AF8">
      <w:pPr>
        <w:keepNext/>
        <w:spacing w:line="480" w:lineRule="auto"/>
        <w:ind w:left="720" w:hanging="720"/>
        <w:rPr>
          <w:b/>
        </w:rPr>
      </w:pPr>
      <w:r w:rsidRPr="004B2074">
        <w:rPr>
          <w:b/>
        </w:rPr>
        <w:lastRenderedPageBreak/>
        <w:t>Q.</w:t>
      </w:r>
      <w:r w:rsidRPr="004B2074">
        <w:rPr>
          <w:b/>
        </w:rPr>
        <w:tab/>
        <w:t xml:space="preserve">Please summarize </w:t>
      </w:r>
      <w:r w:rsidR="00333856">
        <w:rPr>
          <w:b/>
        </w:rPr>
        <w:t>your recommendation</w:t>
      </w:r>
      <w:r w:rsidRPr="004B2074">
        <w:rPr>
          <w:b/>
        </w:rPr>
        <w:t>.</w:t>
      </w:r>
    </w:p>
    <w:p w14:paraId="2E9409F3" w14:textId="0A4205C4" w:rsidR="00C07430" w:rsidRDefault="007025BF" w:rsidP="00FB696C">
      <w:pPr>
        <w:spacing w:line="480" w:lineRule="auto"/>
        <w:ind w:left="720" w:hanging="720"/>
      </w:pPr>
      <w:r w:rsidRPr="004B2074">
        <w:t>A.</w:t>
      </w:r>
      <w:r w:rsidR="005D4FFD">
        <w:tab/>
      </w:r>
      <w:r w:rsidR="00333856">
        <w:t>I recommend that the Commission reject the proposed revisions to</w:t>
      </w:r>
      <w:r w:rsidR="00333856" w:rsidRPr="00333856">
        <w:t xml:space="preserve"> </w:t>
      </w:r>
      <w:r w:rsidR="00333856">
        <w:t xml:space="preserve">Pacific Power’s </w:t>
      </w:r>
      <w:r w:rsidR="00333856" w:rsidRPr="00333856">
        <w:t>tariffs governing permanent disconnection and removal procedures</w:t>
      </w:r>
      <w:r w:rsidR="00333856">
        <w:t xml:space="preserve">. My review shows that </w:t>
      </w:r>
      <w:r w:rsidR="00333856" w:rsidRPr="00333856">
        <w:t>trends in reported permanent disconnections</w:t>
      </w:r>
      <w:r w:rsidR="00333856">
        <w:t xml:space="preserve"> remain</w:t>
      </w:r>
      <w:r w:rsidR="00333856" w:rsidRPr="00333856">
        <w:t xml:space="preserve"> relatively insignificant in comparison to overall operations</w:t>
      </w:r>
      <w:r w:rsidR="00333856">
        <w:t>. The Company</w:t>
      </w:r>
      <w:r w:rsidR="00C07430">
        <w:t xml:space="preserve">’s current procedures appear to effectively discourage </w:t>
      </w:r>
      <w:r w:rsidR="00C07430" w:rsidRPr="00C07430">
        <w:t>permanent disconnection</w:t>
      </w:r>
      <w:r w:rsidR="00C07430">
        <w:t>. The Company’s two proposed revisions may have some conceptual merit; however, I</w:t>
      </w:r>
      <w:r w:rsidR="00C07430" w:rsidRPr="00C07430">
        <w:t xml:space="preserve"> </w:t>
      </w:r>
      <w:r w:rsidR="00C07430">
        <w:t>take</w:t>
      </w:r>
      <w:r w:rsidR="00C07430" w:rsidRPr="00C07430">
        <w:t xml:space="preserve"> issue with the practicality of their implementation and administration, and with the magnitude of the costs that would be assessed as stranded costs.</w:t>
      </w:r>
      <w:r w:rsidR="00C07430">
        <w:t xml:space="preserve"> </w:t>
      </w:r>
      <w:r w:rsidR="006B1E6A">
        <w:t xml:space="preserve">Ultimately, the proposed revisions are </w:t>
      </w:r>
      <w:r w:rsidR="00AC43C0">
        <w:t>inappropriate</w:t>
      </w:r>
      <w:r w:rsidR="006B1E6A">
        <w:t xml:space="preserve"> solutions to the competitive challenges the Company is facing.</w:t>
      </w:r>
    </w:p>
    <w:p w14:paraId="6B77D1F1" w14:textId="317DEA9E" w:rsidR="007025BF" w:rsidRPr="004B2074" w:rsidRDefault="000157BD" w:rsidP="00B814E2">
      <w:pPr>
        <w:spacing w:line="480" w:lineRule="auto"/>
        <w:ind w:left="720" w:hanging="720"/>
      </w:pPr>
      <w:r>
        <w:tab/>
      </w:r>
      <w:r>
        <w:tab/>
      </w:r>
      <w:r w:rsidR="006B1E6A">
        <w:t>I</w:t>
      </w:r>
      <w:r>
        <w:t xml:space="preserve"> recognize there has been a history of failed attempts to establish service territory boundaries in the region</w:t>
      </w:r>
      <w:r w:rsidR="004D6784">
        <w:t xml:space="preserve">, even though that would </w:t>
      </w:r>
      <w:r w:rsidR="0061722A">
        <w:t>appear</w:t>
      </w:r>
      <w:r w:rsidR="004D6784">
        <w:t xml:space="preserve"> to offer the most comprehensive resolution to the underlying issues </w:t>
      </w:r>
      <w:r w:rsidR="0061722A">
        <w:t>presented by the Company</w:t>
      </w:r>
      <w:r w:rsidR="006B1E6A">
        <w:t xml:space="preserve">. Absent an agreement between Pacific Power and its neighboring electric service providers, the Company may wish to consider </w:t>
      </w:r>
      <w:r w:rsidR="004D6784">
        <w:t>banded rates as a possible way to address the competition that exists</w:t>
      </w:r>
      <w:r w:rsidR="006B1E6A">
        <w:t xml:space="preserve">. </w:t>
      </w:r>
    </w:p>
    <w:p w14:paraId="6EBE0D4C" w14:textId="77777777" w:rsidR="007025BF" w:rsidRPr="004C7077" w:rsidRDefault="007025BF" w:rsidP="00B814E2">
      <w:pPr>
        <w:spacing w:line="480" w:lineRule="auto"/>
        <w:ind w:left="720" w:hanging="720"/>
      </w:pPr>
    </w:p>
    <w:p w14:paraId="0C111B77" w14:textId="77777777" w:rsidR="007025BF" w:rsidRDefault="007025BF" w:rsidP="00B814E2">
      <w:pPr>
        <w:spacing w:line="480" w:lineRule="auto"/>
        <w:ind w:left="720" w:hanging="720"/>
        <w:rPr>
          <w:b/>
        </w:rPr>
      </w:pPr>
      <w:r w:rsidRPr="004C7077">
        <w:rPr>
          <w:b/>
        </w:rPr>
        <w:t>Q.</w:t>
      </w:r>
      <w:r w:rsidRPr="004C7077">
        <w:rPr>
          <w:b/>
        </w:rPr>
        <w:tab/>
        <w:t>Have you prepared any exhibits in support of your testimony?</w:t>
      </w:r>
    </w:p>
    <w:p w14:paraId="07576BA4" w14:textId="0630C0CA" w:rsidR="007025BF" w:rsidRDefault="007025BF" w:rsidP="00B814E2">
      <w:pPr>
        <w:spacing w:line="480" w:lineRule="auto"/>
        <w:ind w:left="720" w:hanging="720"/>
      </w:pPr>
      <w:r w:rsidRPr="004C7077">
        <w:t>A.</w:t>
      </w:r>
      <w:r w:rsidRPr="004C7077">
        <w:tab/>
      </w:r>
      <w:r w:rsidR="006B1E6A">
        <w:t>Yes</w:t>
      </w:r>
      <w:r w:rsidR="00174F94">
        <w:t xml:space="preserve">, I have two exhibits. </w:t>
      </w:r>
    </w:p>
    <w:p w14:paraId="3FC92A07" w14:textId="77777777" w:rsidR="007025BF" w:rsidRDefault="007025BF" w:rsidP="00B814E2">
      <w:pPr>
        <w:spacing w:line="480" w:lineRule="auto"/>
        <w:ind w:left="720" w:hanging="720"/>
      </w:pPr>
    </w:p>
    <w:p w14:paraId="235E11E8" w14:textId="219B0749" w:rsidR="007025BF" w:rsidRPr="007025BF" w:rsidRDefault="007025BF" w:rsidP="002508AF">
      <w:pPr>
        <w:keepNext/>
        <w:spacing w:line="480" w:lineRule="auto"/>
        <w:ind w:left="720" w:hanging="720"/>
        <w:jc w:val="center"/>
        <w:rPr>
          <w:b/>
        </w:rPr>
      </w:pPr>
      <w:r>
        <w:rPr>
          <w:b/>
        </w:rPr>
        <w:lastRenderedPageBreak/>
        <w:t>III.</w:t>
      </w:r>
      <w:r>
        <w:rPr>
          <w:b/>
        </w:rPr>
        <w:tab/>
      </w:r>
      <w:r w:rsidR="006B1E6A">
        <w:rPr>
          <w:b/>
        </w:rPr>
        <w:t xml:space="preserve">THE </w:t>
      </w:r>
      <w:r w:rsidR="00B5015C">
        <w:rPr>
          <w:b/>
        </w:rPr>
        <w:t xml:space="preserve">METAPHOR OF THE </w:t>
      </w:r>
      <w:r w:rsidR="006B1E6A">
        <w:rPr>
          <w:b/>
        </w:rPr>
        <w:t xml:space="preserve">REGULATORY COMPACT </w:t>
      </w:r>
    </w:p>
    <w:p w14:paraId="6AE1B012" w14:textId="77777777" w:rsidR="007025BF" w:rsidRDefault="007025BF" w:rsidP="002508AF">
      <w:pPr>
        <w:keepNext/>
        <w:spacing w:line="480" w:lineRule="auto"/>
        <w:ind w:left="720" w:hanging="720"/>
      </w:pPr>
    </w:p>
    <w:p w14:paraId="6F2C849E" w14:textId="3CE47936" w:rsidR="007025BF" w:rsidRPr="00052ED6" w:rsidRDefault="007025BF" w:rsidP="002508AF">
      <w:pPr>
        <w:keepNext/>
        <w:spacing w:line="480" w:lineRule="auto"/>
        <w:ind w:left="720" w:hanging="720"/>
        <w:rPr>
          <w:b/>
        </w:rPr>
      </w:pPr>
      <w:r w:rsidRPr="00052ED6">
        <w:rPr>
          <w:b/>
        </w:rPr>
        <w:t>Q.</w:t>
      </w:r>
      <w:r w:rsidRPr="00052ED6">
        <w:rPr>
          <w:b/>
        </w:rPr>
        <w:tab/>
      </w:r>
      <w:r w:rsidR="00432EF3">
        <w:rPr>
          <w:b/>
        </w:rPr>
        <w:t>What is the regulatory compact</w:t>
      </w:r>
      <w:r w:rsidRPr="00052ED6">
        <w:rPr>
          <w:b/>
        </w:rPr>
        <w:t>?</w:t>
      </w:r>
    </w:p>
    <w:p w14:paraId="19E898C3" w14:textId="7AC41594" w:rsidR="007025BF" w:rsidRDefault="007025BF" w:rsidP="00B814E2">
      <w:pPr>
        <w:spacing w:line="480" w:lineRule="auto"/>
        <w:ind w:left="720" w:hanging="720"/>
      </w:pPr>
      <w:r>
        <w:t>A.</w:t>
      </w:r>
      <w:r>
        <w:tab/>
        <w:t xml:space="preserve">The </w:t>
      </w:r>
      <w:r w:rsidR="00432EF3">
        <w:t>“</w:t>
      </w:r>
      <w:r>
        <w:t>regulatory compact</w:t>
      </w:r>
      <w:r w:rsidR="00432EF3">
        <w:t>”</w:t>
      </w:r>
      <w:r>
        <w:t xml:space="preserve"> is </w:t>
      </w:r>
      <w:r w:rsidR="00E762EF">
        <w:t>a metaphor</w:t>
      </w:r>
      <w:r>
        <w:t xml:space="preserve"> </w:t>
      </w:r>
      <w:r w:rsidR="00E762EF">
        <w:t xml:space="preserve">that describes </w:t>
      </w:r>
      <w:r w:rsidR="00432EF3">
        <w:t xml:space="preserve">the traditional </w:t>
      </w:r>
      <w:r w:rsidR="006C23AF">
        <w:t xml:space="preserve">utility </w:t>
      </w:r>
      <w:r w:rsidR="00174F94">
        <w:t xml:space="preserve">business </w:t>
      </w:r>
      <w:r w:rsidR="00432EF3">
        <w:t xml:space="preserve">model of regulated </w:t>
      </w:r>
      <w:r w:rsidR="006C23AF">
        <w:t xml:space="preserve">monopoly </w:t>
      </w:r>
      <w:r w:rsidR="00432EF3">
        <w:t xml:space="preserve">service and </w:t>
      </w:r>
      <w:r w:rsidR="00C22CA8">
        <w:t xml:space="preserve">provides context for </w:t>
      </w:r>
      <w:r w:rsidR="00E762EF">
        <w:t>state regulation</w:t>
      </w:r>
      <w:r w:rsidR="00D61A15">
        <w:t xml:space="preserve"> as a</w:t>
      </w:r>
      <w:r w:rsidR="00E762EF">
        <w:t xml:space="preserve"> substitute for competition. The metaphor </w:t>
      </w:r>
      <w:r>
        <w:t xml:space="preserve">is based on the </w:t>
      </w:r>
      <w:r w:rsidR="006A1EF0">
        <w:t>concept that</w:t>
      </w:r>
      <w:r>
        <w:t xml:space="preserve"> utility </w:t>
      </w:r>
      <w:r w:rsidR="00D61A15">
        <w:t>service</w:t>
      </w:r>
      <w:r w:rsidR="00C22CA8">
        <w:t xml:space="preserve"> can</w:t>
      </w:r>
      <w:r w:rsidR="006A1EF0">
        <w:t xml:space="preserve"> </w:t>
      </w:r>
      <w:r w:rsidR="00EA11BA">
        <w:t>best</w:t>
      </w:r>
      <w:r>
        <w:t xml:space="preserve"> serve the overall public good </w:t>
      </w:r>
      <w:r w:rsidR="00C22CA8">
        <w:t xml:space="preserve">as a natural monopoly </w:t>
      </w:r>
      <w:r w:rsidR="00D61A15">
        <w:t>regulated</w:t>
      </w:r>
      <w:r w:rsidR="006A1EF0">
        <w:t xml:space="preserve"> by a </w:t>
      </w:r>
      <w:r>
        <w:t xml:space="preserve">state commission </w:t>
      </w:r>
      <w:r w:rsidR="00F56174">
        <w:t>to</w:t>
      </w:r>
      <w:r w:rsidR="00D61A15">
        <w:t xml:space="preserve"> ensure</w:t>
      </w:r>
      <w:r w:rsidR="00F56174">
        <w:t xml:space="preserve"> the utility’s</w:t>
      </w:r>
      <w:r w:rsidR="00D61A15">
        <w:t xml:space="preserve"> rates</w:t>
      </w:r>
      <w:r w:rsidR="006C23AF">
        <w:t xml:space="preserve"> and practices</w:t>
      </w:r>
      <w:r w:rsidR="00D61A15">
        <w:t xml:space="preserve"> are just, reasonable, and not discriminatory</w:t>
      </w:r>
      <w:r w:rsidR="006A1EF0">
        <w:t xml:space="preserve">. </w:t>
      </w:r>
      <w:r w:rsidR="00D040E9">
        <w:t>In return for the privilege of protected monopoly status and the opportunity to earn a reasonable return on its capital investments</w:t>
      </w:r>
      <w:r w:rsidR="00D61A15">
        <w:t xml:space="preserve">, </w:t>
      </w:r>
      <w:r w:rsidR="00D040E9">
        <w:t xml:space="preserve">the utility has an obligation to </w:t>
      </w:r>
      <w:r w:rsidR="00E7474B">
        <w:t>provide service</w:t>
      </w:r>
      <w:r w:rsidR="006C23AF">
        <w:t>s</w:t>
      </w:r>
      <w:r w:rsidR="00E7474B">
        <w:t xml:space="preserve"> reasonably</w:t>
      </w:r>
      <w:r w:rsidR="00D61A15">
        <w:t xml:space="preserve"> demanded by </w:t>
      </w:r>
      <w:r w:rsidR="00F56174">
        <w:t xml:space="preserve">all </w:t>
      </w:r>
      <w:r w:rsidR="00D61A15">
        <w:t xml:space="preserve">customers within its </w:t>
      </w:r>
      <w:r w:rsidR="00D61A15" w:rsidRPr="00D61A15">
        <w:t xml:space="preserve">exclusive </w:t>
      </w:r>
      <w:r w:rsidR="00D61A15">
        <w:t>territory</w:t>
      </w:r>
      <w:r>
        <w:t>.</w:t>
      </w:r>
    </w:p>
    <w:p w14:paraId="622F9B0F" w14:textId="5FA7647E" w:rsidR="009F2EAA" w:rsidRDefault="009F2EAA" w:rsidP="00B814E2">
      <w:pPr>
        <w:spacing w:line="480" w:lineRule="auto"/>
        <w:ind w:left="720" w:hanging="720"/>
      </w:pPr>
    </w:p>
    <w:p w14:paraId="0B3931F5" w14:textId="1793CF7C" w:rsidR="00052ED6" w:rsidRPr="00052ED6" w:rsidRDefault="00052ED6" w:rsidP="00052ED6">
      <w:pPr>
        <w:spacing w:line="480" w:lineRule="auto"/>
        <w:ind w:left="720" w:hanging="720"/>
        <w:rPr>
          <w:b/>
        </w:rPr>
      </w:pPr>
      <w:r w:rsidRPr="00052ED6">
        <w:rPr>
          <w:b/>
        </w:rPr>
        <w:t>Q.</w:t>
      </w:r>
      <w:r w:rsidRPr="00052ED6">
        <w:rPr>
          <w:b/>
        </w:rPr>
        <w:tab/>
      </w:r>
      <w:r w:rsidR="00D040E9">
        <w:rPr>
          <w:b/>
        </w:rPr>
        <w:t>Does</w:t>
      </w:r>
      <w:r w:rsidR="00D040E9" w:rsidRPr="00052ED6">
        <w:rPr>
          <w:b/>
        </w:rPr>
        <w:t xml:space="preserve"> </w:t>
      </w:r>
      <w:r w:rsidRPr="00052ED6">
        <w:rPr>
          <w:b/>
        </w:rPr>
        <w:t>the regulatory compact</w:t>
      </w:r>
      <w:r w:rsidR="00D040E9">
        <w:rPr>
          <w:b/>
        </w:rPr>
        <w:t xml:space="preserve"> have legal effect</w:t>
      </w:r>
      <w:r w:rsidRPr="00052ED6">
        <w:rPr>
          <w:b/>
        </w:rPr>
        <w:t xml:space="preserve"> </w:t>
      </w:r>
      <w:r w:rsidRPr="004C7077">
        <w:rPr>
          <w:b/>
        </w:rPr>
        <w:t>in Washington?</w:t>
      </w:r>
    </w:p>
    <w:p w14:paraId="66D4EBBF" w14:textId="41FF86CF" w:rsidR="000E0A70" w:rsidRDefault="00052ED6">
      <w:pPr>
        <w:spacing w:line="480" w:lineRule="auto"/>
        <w:ind w:left="720" w:hanging="720"/>
      </w:pPr>
      <w:r>
        <w:t>A.</w:t>
      </w:r>
      <w:r>
        <w:tab/>
      </w:r>
      <w:r w:rsidR="00E96081">
        <w:t xml:space="preserve">No. </w:t>
      </w:r>
      <w:r w:rsidR="00B14F74">
        <w:t xml:space="preserve">The regulatory compact is only a metaphor—it does not </w:t>
      </w:r>
      <w:r w:rsidR="00D414BA">
        <w:t>accurately</w:t>
      </w:r>
      <w:r w:rsidR="00B14F74">
        <w:t xml:space="preserve"> describe regulated utility service in Washington or capture how that traditional</w:t>
      </w:r>
      <w:r w:rsidR="00B14F74" w:rsidRPr="00B14F74">
        <w:t xml:space="preserve"> model </w:t>
      </w:r>
      <w:r w:rsidR="00B14F74">
        <w:t xml:space="preserve">is evolving. </w:t>
      </w:r>
      <w:r w:rsidRPr="00052ED6">
        <w:t xml:space="preserve">The regulatory compact is </w:t>
      </w:r>
      <w:r w:rsidR="000E0A70">
        <w:t>not fully</w:t>
      </w:r>
      <w:r w:rsidRPr="00052ED6">
        <w:t xml:space="preserve"> implemented in Washington</w:t>
      </w:r>
      <w:r w:rsidR="00EA5AB6">
        <w:t xml:space="preserve"> </w:t>
      </w:r>
      <w:r w:rsidR="00B14F74">
        <w:t xml:space="preserve">law </w:t>
      </w:r>
      <w:r w:rsidR="00EA5AB6">
        <w:t>because</w:t>
      </w:r>
      <w:r w:rsidRPr="00052ED6">
        <w:t xml:space="preserve"> there is no statutory provision </w:t>
      </w:r>
      <w:r w:rsidR="00E96081">
        <w:t>for</w:t>
      </w:r>
      <w:r w:rsidR="00E96081" w:rsidRPr="00052ED6">
        <w:t xml:space="preserve"> </w:t>
      </w:r>
      <w:r w:rsidRPr="00052ED6">
        <w:t>exclusive service territories.</w:t>
      </w:r>
      <w:r w:rsidR="00E96081">
        <w:t xml:space="preserve"> </w:t>
      </w:r>
      <w:r w:rsidR="008E0C8E">
        <w:t xml:space="preserve">To the extent that they exist, </w:t>
      </w:r>
      <w:r w:rsidR="00E75530">
        <w:t>s</w:t>
      </w:r>
      <w:r w:rsidR="00E96081">
        <w:t xml:space="preserve">ervice territories </w:t>
      </w:r>
      <w:r w:rsidR="00E96081" w:rsidDel="00AF1550">
        <w:t xml:space="preserve">are </w:t>
      </w:r>
      <w:r w:rsidR="008E0C8E">
        <w:t xml:space="preserve">based on </w:t>
      </w:r>
      <w:r w:rsidR="008B728B">
        <w:t xml:space="preserve">informal agreements and </w:t>
      </w:r>
      <w:r w:rsidR="007C7542">
        <w:t xml:space="preserve">past practices </w:t>
      </w:r>
      <w:r w:rsidR="008E0C8E">
        <w:t xml:space="preserve">or established by </w:t>
      </w:r>
      <w:r w:rsidR="00E96081">
        <w:t>bi-lateral contracts between neighboring utilities.</w:t>
      </w:r>
    </w:p>
    <w:p w14:paraId="357EAF5A" w14:textId="77777777" w:rsidR="001A2DF6" w:rsidRDefault="001A2DF6" w:rsidP="00052ED6">
      <w:pPr>
        <w:spacing w:line="480" w:lineRule="auto"/>
        <w:ind w:left="720" w:hanging="720"/>
      </w:pPr>
    </w:p>
    <w:p w14:paraId="2CB9BBBC" w14:textId="6489B1D4" w:rsidR="00EA5AB6" w:rsidRDefault="001A2DF6" w:rsidP="00516AF8">
      <w:pPr>
        <w:keepNext/>
        <w:spacing w:line="480" w:lineRule="auto"/>
        <w:ind w:left="720" w:hanging="720"/>
        <w:rPr>
          <w:b/>
        </w:rPr>
      </w:pPr>
      <w:r w:rsidRPr="001A2DF6">
        <w:rPr>
          <w:b/>
        </w:rPr>
        <w:lastRenderedPageBreak/>
        <w:t>Q.</w:t>
      </w:r>
      <w:r w:rsidRPr="001A2DF6">
        <w:rPr>
          <w:b/>
        </w:rPr>
        <w:tab/>
      </w:r>
      <w:r w:rsidR="00B14F74">
        <w:rPr>
          <w:b/>
        </w:rPr>
        <w:t>How is</w:t>
      </w:r>
      <w:r>
        <w:rPr>
          <w:b/>
        </w:rPr>
        <w:t xml:space="preserve"> the </w:t>
      </w:r>
      <w:r w:rsidRPr="001A2DF6">
        <w:rPr>
          <w:b/>
        </w:rPr>
        <w:t>regulatory</w:t>
      </w:r>
      <w:r>
        <w:rPr>
          <w:b/>
        </w:rPr>
        <w:t xml:space="preserve"> compact evolving in Washington?</w:t>
      </w:r>
    </w:p>
    <w:p w14:paraId="47F44684" w14:textId="0122B730" w:rsidR="001A2DF6" w:rsidRPr="001A2DF6" w:rsidRDefault="001A2DF6" w:rsidP="001A2DF6">
      <w:pPr>
        <w:spacing w:line="480" w:lineRule="auto"/>
        <w:ind w:left="720" w:hanging="720"/>
      </w:pPr>
      <w:r w:rsidRPr="001A2DF6">
        <w:t>A.</w:t>
      </w:r>
      <w:r w:rsidRPr="001A2DF6">
        <w:tab/>
      </w:r>
      <w:r w:rsidR="00B14F74">
        <w:t>In addition to its incomplete implementation in Washington,</w:t>
      </w:r>
      <w:r>
        <w:t xml:space="preserve"> “</w:t>
      </w:r>
      <w:r w:rsidRPr="001A2DF6">
        <w:t xml:space="preserve">In recent years, the compact has been evolving as some utilities have had to adjust their traditional business models to address lower load growth due to conservation, changes in technologies, distributed generation, and </w:t>
      </w:r>
      <w:r>
        <w:t>changing customer expectations.”</w:t>
      </w:r>
      <w:r>
        <w:rPr>
          <w:rStyle w:val="FootnoteReference"/>
        </w:rPr>
        <w:footnoteReference w:id="5"/>
      </w:r>
      <w:r w:rsidR="002F6934">
        <w:t xml:space="preserve"> </w:t>
      </w:r>
    </w:p>
    <w:p w14:paraId="79A1CBDC" w14:textId="77777777" w:rsidR="001A2DF6" w:rsidRPr="00052ED6" w:rsidRDefault="001A2DF6" w:rsidP="00BF77D7">
      <w:pPr>
        <w:spacing w:line="480" w:lineRule="auto"/>
        <w:ind w:left="720" w:hanging="720"/>
        <w:jc w:val="center"/>
      </w:pPr>
    </w:p>
    <w:p w14:paraId="3BF6DE0D" w14:textId="6290C888" w:rsidR="006B1E6A" w:rsidRDefault="006B1E6A" w:rsidP="002508AF">
      <w:pPr>
        <w:keepNext/>
        <w:spacing w:line="480" w:lineRule="auto"/>
        <w:ind w:left="720" w:hanging="720"/>
        <w:jc w:val="center"/>
        <w:rPr>
          <w:b/>
        </w:rPr>
      </w:pPr>
      <w:r w:rsidRPr="00FB696C">
        <w:rPr>
          <w:b/>
        </w:rPr>
        <w:t xml:space="preserve">IV. </w:t>
      </w:r>
      <w:r>
        <w:rPr>
          <w:b/>
        </w:rPr>
        <w:t>WASHINGTON</w:t>
      </w:r>
      <w:r w:rsidRPr="00FB696C">
        <w:rPr>
          <w:b/>
        </w:rPr>
        <w:t xml:space="preserve"> </w:t>
      </w:r>
      <w:r>
        <w:rPr>
          <w:b/>
        </w:rPr>
        <w:t xml:space="preserve">ELECTRIC </w:t>
      </w:r>
      <w:r w:rsidRPr="00FB696C">
        <w:rPr>
          <w:b/>
        </w:rPr>
        <w:t>SERVICE PROVIDERS</w:t>
      </w:r>
    </w:p>
    <w:p w14:paraId="0B1C951A" w14:textId="77777777" w:rsidR="006C2931" w:rsidRDefault="006C2931" w:rsidP="002508AF">
      <w:pPr>
        <w:keepNext/>
        <w:spacing w:line="480" w:lineRule="auto"/>
        <w:ind w:left="720" w:hanging="720"/>
        <w:jc w:val="center"/>
        <w:rPr>
          <w:b/>
        </w:rPr>
      </w:pPr>
    </w:p>
    <w:p w14:paraId="67DAE6D0" w14:textId="5B4A70B7" w:rsidR="006C2931" w:rsidRPr="00052ED6" w:rsidRDefault="006C2931" w:rsidP="006C2931">
      <w:pPr>
        <w:spacing w:line="480" w:lineRule="auto"/>
        <w:ind w:left="720" w:hanging="720"/>
        <w:rPr>
          <w:b/>
        </w:rPr>
      </w:pPr>
      <w:r>
        <w:rPr>
          <w:b/>
        </w:rPr>
        <w:t>Q</w:t>
      </w:r>
      <w:r w:rsidR="002508AF">
        <w:rPr>
          <w:b/>
        </w:rPr>
        <w:t>.</w:t>
      </w:r>
      <w:r>
        <w:rPr>
          <w:b/>
        </w:rPr>
        <w:tab/>
        <w:t xml:space="preserve">What are the types of entities </w:t>
      </w:r>
      <w:r w:rsidR="006C20F2">
        <w:rPr>
          <w:b/>
        </w:rPr>
        <w:t xml:space="preserve">that </w:t>
      </w:r>
      <w:r>
        <w:rPr>
          <w:b/>
        </w:rPr>
        <w:t>provide electrical service in Washington?</w:t>
      </w:r>
    </w:p>
    <w:p w14:paraId="53D5B737" w14:textId="4C66CF05" w:rsidR="006C2931" w:rsidRDefault="006C2931" w:rsidP="006C2931">
      <w:pPr>
        <w:spacing w:line="480" w:lineRule="auto"/>
        <w:ind w:left="720" w:hanging="720"/>
      </w:pPr>
      <w:r>
        <w:t>A</w:t>
      </w:r>
      <w:r w:rsidR="002508AF">
        <w:t>.</w:t>
      </w:r>
      <w:r>
        <w:tab/>
      </w:r>
      <w:r w:rsidRPr="00052ED6">
        <w:t xml:space="preserve">In addition to private, </w:t>
      </w:r>
      <w:r>
        <w:t>investor-owned utilities (IOU</w:t>
      </w:r>
      <w:r w:rsidRPr="00052ED6">
        <w:t>s</w:t>
      </w:r>
      <w:r>
        <w:t>) regulated by the Commission</w:t>
      </w:r>
      <w:r w:rsidRPr="00052ED6">
        <w:t>, Washington providers of electric service include public utility districts</w:t>
      </w:r>
      <w:r>
        <w:t xml:space="preserve"> (PUDs)</w:t>
      </w:r>
      <w:r w:rsidRPr="00052ED6">
        <w:t>, municipalities, and electric service cooperatives</w:t>
      </w:r>
      <w:r>
        <w:t xml:space="preserve"> (collectively known as consumer-owned utilities or “COUs”)</w:t>
      </w:r>
      <w:r w:rsidRPr="00052ED6">
        <w:t xml:space="preserve">. </w:t>
      </w:r>
      <w:r>
        <w:t>COUs have their own governance structures—they are not subject to the Commission’s regulation.</w:t>
      </w:r>
      <w:r>
        <w:rPr>
          <w:rStyle w:val="FootnoteReference"/>
        </w:rPr>
        <w:footnoteReference w:id="6"/>
      </w:r>
      <w:r>
        <w:t xml:space="preserve"> </w:t>
      </w:r>
    </w:p>
    <w:p w14:paraId="6110C777" w14:textId="5018A78E" w:rsidR="000E0A70" w:rsidRDefault="000E0A70" w:rsidP="006C2931">
      <w:pPr>
        <w:spacing w:line="480" w:lineRule="auto"/>
        <w:ind w:left="720" w:hanging="720"/>
      </w:pPr>
    </w:p>
    <w:p w14:paraId="48E68F6A" w14:textId="4B0222F7" w:rsidR="000E0A70" w:rsidRDefault="000E0A70" w:rsidP="006C2931">
      <w:pPr>
        <w:spacing w:line="480" w:lineRule="auto"/>
        <w:ind w:left="720" w:hanging="720"/>
        <w:rPr>
          <w:b/>
        </w:rPr>
      </w:pPr>
      <w:r>
        <w:rPr>
          <w:b/>
        </w:rPr>
        <w:t>Q.</w:t>
      </w:r>
      <w:r>
        <w:rPr>
          <w:b/>
        </w:rPr>
        <w:tab/>
        <w:t>What are the Commission’s core regulatory duties?</w:t>
      </w:r>
    </w:p>
    <w:p w14:paraId="76342F29" w14:textId="254F10C3" w:rsidR="000E0A70" w:rsidRPr="000E0A70" w:rsidRDefault="000E0A70" w:rsidP="006C2931">
      <w:pPr>
        <w:spacing w:line="480" w:lineRule="auto"/>
        <w:ind w:left="720" w:hanging="720"/>
      </w:pPr>
      <w:r w:rsidRPr="00BF77D7">
        <w:t>A.</w:t>
      </w:r>
      <w:r w:rsidRPr="00BF77D7">
        <w:tab/>
        <w:t xml:space="preserve">The legislature </w:t>
      </w:r>
      <w:r>
        <w:t>charged the Commission with regulating</w:t>
      </w:r>
      <w:r w:rsidRPr="000E0A70">
        <w:t xml:space="preserve"> in the public interest, as provided by the public service laws, the rates, services, facilities, and practices</w:t>
      </w:r>
      <w:r>
        <w:t xml:space="preserve"> of persons</w:t>
      </w:r>
      <w:r w:rsidR="00F11F38">
        <w:t xml:space="preserve"> or entities providing utility services </w:t>
      </w:r>
      <w:r>
        <w:t>to the public for compensation.</w:t>
      </w:r>
      <w:r>
        <w:rPr>
          <w:rStyle w:val="FootnoteReference"/>
        </w:rPr>
        <w:footnoteReference w:id="7"/>
      </w:r>
      <w:r>
        <w:t xml:space="preserve"> With regard to electric</w:t>
      </w:r>
      <w:r w:rsidR="00F11F38">
        <w:t>al</w:t>
      </w:r>
      <w:r>
        <w:t xml:space="preserve"> companies, the Commission must ensure that rates and practices </w:t>
      </w:r>
      <w:r>
        <w:lastRenderedPageBreak/>
        <w:t xml:space="preserve">are fair, just, reasonable, and sufficient, and not </w:t>
      </w:r>
      <w:r w:rsidRPr="000E0A70">
        <w:t>unjustly discriminatory or unduly preferential</w:t>
      </w:r>
      <w:r>
        <w:t>.</w:t>
      </w:r>
      <w:r>
        <w:rPr>
          <w:rStyle w:val="FootnoteReference"/>
        </w:rPr>
        <w:footnoteReference w:id="8"/>
      </w:r>
      <w:r w:rsidR="000F4BC7">
        <w:t xml:space="preserve"> As the Commission has itself put it, it must “</w:t>
      </w:r>
      <w:r w:rsidR="000F4BC7" w:rsidRPr="000F4BC7">
        <w:t>ensure regulated companies provide safe and reliable service to customers at reasonable rates, while allowing them the opportunity to earn a fair profit.</w:t>
      </w:r>
      <w:r w:rsidR="000F4BC7">
        <w:t>”</w:t>
      </w:r>
      <w:r w:rsidR="000F4BC7">
        <w:rPr>
          <w:rStyle w:val="FootnoteReference"/>
        </w:rPr>
        <w:footnoteReference w:id="9"/>
      </w:r>
    </w:p>
    <w:p w14:paraId="7B712753" w14:textId="77777777" w:rsidR="006C2931" w:rsidRPr="00BF77D7" w:rsidRDefault="006C2931" w:rsidP="002508AF">
      <w:pPr>
        <w:spacing w:line="480" w:lineRule="auto"/>
        <w:ind w:left="720" w:hanging="720"/>
        <w:rPr>
          <w:b/>
        </w:rPr>
      </w:pPr>
    </w:p>
    <w:p w14:paraId="15B8BF17" w14:textId="6E9CD4AB" w:rsidR="00EA5AB6" w:rsidRPr="00052ED6" w:rsidRDefault="00EA5AB6" w:rsidP="00EA5AB6">
      <w:pPr>
        <w:spacing w:line="480" w:lineRule="auto"/>
        <w:ind w:left="720" w:hanging="720"/>
        <w:rPr>
          <w:b/>
        </w:rPr>
      </w:pPr>
      <w:r w:rsidRPr="00052ED6">
        <w:rPr>
          <w:b/>
        </w:rPr>
        <w:t>Q.</w:t>
      </w:r>
      <w:r w:rsidRPr="00052ED6">
        <w:rPr>
          <w:b/>
        </w:rPr>
        <w:tab/>
        <w:t>Do Washington</w:t>
      </w:r>
      <w:r w:rsidR="00FB696C">
        <w:rPr>
          <w:b/>
        </w:rPr>
        <w:t>’s public service laws</w:t>
      </w:r>
      <w:r w:rsidRPr="00052ED6">
        <w:rPr>
          <w:b/>
        </w:rPr>
        <w:t xml:space="preserve"> recognize that </w:t>
      </w:r>
      <w:r w:rsidR="00706903">
        <w:rPr>
          <w:b/>
        </w:rPr>
        <w:t xml:space="preserve">regulated </w:t>
      </w:r>
      <w:r w:rsidRPr="00052ED6">
        <w:rPr>
          <w:b/>
        </w:rPr>
        <w:t>utilit</w:t>
      </w:r>
      <w:r w:rsidR="00706903">
        <w:rPr>
          <w:b/>
        </w:rPr>
        <w:t>ies</w:t>
      </w:r>
      <w:r w:rsidRPr="00052ED6">
        <w:rPr>
          <w:b/>
        </w:rPr>
        <w:t xml:space="preserve"> may </w:t>
      </w:r>
      <w:r w:rsidR="00FB696C">
        <w:rPr>
          <w:b/>
        </w:rPr>
        <w:t>face competition</w:t>
      </w:r>
      <w:r w:rsidRPr="00052ED6">
        <w:rPr>
          <w:b/>
        </w:rPr>
        <w:t xml:space="preserve">? </w:t>
      </w:r>
    </w:p>
    <w:p w14:paraId="3867510A" w14:textId="2A5D6FC1" w:rsidR="00784481" w:rsidRDefault="00EA5AB6" w:rsidP="00EA5AB6">
      <w:pPr>
        <w:spacing w:line="480" w:lineRule="auto"/>
        <w:ind w:left="720" w:hanging="720"/>
      </w:pPr>
      <w:r>
        <w:t>A.</w:t>
      </w:r>
      <w:r>
        <w:tab/>
      </w:r>
      <w:r w:rsidRPr="00052ED6">
        <w:t>Yes</w:t>
      </w:r>
      <w:r>
        <w:t>.</w:t>
      </w:r>
      <w:r w:rsidR="0018125D">
        <w:t xml:space="preserve"> </w:t>
      </w:r>
      <w:r w:rsidR="008D07B1">
        <w:t xml:space="preserve">The </w:t>
      </w:r>
      <w:r w:rsidR="00455FD0">
        <w:t>public service laws</w:t>
      </w:r>
      <w:r w:rsidR="008D07B1">
        <w:t xml:space="preserve"> recognize that utilities regulated by the Commission may compete with each other and with entities not subject to the Commission’s jurisdiction in at least three places. </w:t>
      </w:r>
    </w:p>
    <w:p w14:paraId="560D48FC" w14:textId="332763A7" w:rsidR="008D07B1" w:rsidRDefault="0003287E" w:rsidP="00B976D0">
      <w:pPr>
        <w:spacing w:line="480" w:lineRule="auto"/>
        <w:ind w:left="720"/>
      </w:pPr>
      <w:r>
        <w:tab/>
      </w:r>
      <w:r w:rsidR="008D07B1">
        <w:t>First</w:t>
      </w:r>
      <w:r w:rsidR="00EA5AB6">
        <w:t>, RCW 80.04.110 provides</w:t>
      </w:r>
      <w:r w:rsidR="008D07B1">
        <w:t xml:space="preserve"> for a complaint process where “</w:t>
      </w:r>
      <w:r w:rsidR="00EA5AB6">
        <w:t>two or mo</w:t>
      </w:r>
      <w:r w:rsidR="008D07B1">
        <w:t xml:space="preserve">re public service corporations,” meaning utilities regulated by the Commission, engage in competition and one believes the other has </w:t>
      </w:r>
      <w:r w:rsidR="00C401F6">
        <w:t>violated the provisions of Title 80 RCW, Title 81 RCW, or any order or rule of the Commission</w:t>
      </w:r>
      <w:r w:rsidR="008D07B1">
        <w:t xml:space="preserve">. </w:t>
      </w:r>
    </w:p>
    <w:p w14:paraId="6B879A5D" w14:textId="333DCD71" w:rsidR="00EA5AB6" w:rsidRPr="00052ED6" w:rsidRDefault="0003287E" w:rsidP="00C401F6">
      <w:pPr>
        <w:spacing w:line="480" w:lineRule="auto"/>
        <w:ind w:left="720"/>
      </w:pPr>
      <w:r>
        <w:tab/>
      </w:r>
      <w:r w:rsidR="008D07B1">
        <w:t>Second,</w:t>
      </w:r>
      <w:r w:rsidR="00C03357">
        <w:t xml:space="preserve"> RCW </w:t>
      </w:r>
      <w:r w:rsidR="00EA5AB6" w:rsidRPr="00052ED6">
        <w:t>54.48</w:t>
      </w:r>
      <w:r w:rsidR="00C03357">
        <w:t>.030</w:t>
      </w:r>
      <w:r w:rsidR="00EA5AB6" w:rsidRPr="00052ED6">
        <w:t xml:space="preserve"> authorizes </w:t>
      </w:r>
      <w:r w:rsidR="00374A43">
        <w:t xml:space="preserve">the Commission to approve </w:t>
      </w:r>
      <w:r w:rsidR="00C03357">
        <w:t>service-are</w:t>
      </w:r>
      <w:r w:rsidR="008D07B1">
        <w:t>a</w:t>
      </w:r>
      <w:r w:rsidR="00C03357">
        <w:t xml:space="preserve"> boundary </w:t>
      </w:r>
      <w:r w:rsidR="00EA5AB6" w:rsidRPr="00052ED6">
        <w:t xml:space="preserve">agreements </w:t>
      </w:r>
      <w:r w:rsidR="008D07B1">
        <w:t>between public service corporations and cooperatives, which are exempt from the Commission regulation.</w:t>
      </w:r>
      <w:r w:rsidR="0018125D">
        <w:t xml:space="preserve"> </w:t>
      </w:r>
      <w:r w:rsidR="008D07B1">
        <w:t xml:space="preserve">The legislative intent section included with this provision sets out the legislature’s desire to minimize </w:t>
      </w:r>
      <w:r w:rsidR="00455FD0">
        <w:t xml:space="preserve">the uneconomic and potentially hazardous </w:t>
      </w:r>
      <w:r w:rsidR="00455FD0" w:rsidRPr="00455FD0">
        <w:t>duplication of the electric lines and service</w:t>
      </w:r>
      <w:r w:rsidR="008D07B1">
        <w:t>.</w:t>
      </w:r>
      <w:r w:rsidR="00C07123">
        <w:rPr>
          <w:rStyle w:val="FootnoteReference"/>
        </w:rPr>
        <w:footnoteReference w:id="10"/>
      </w:r>
      <w:r w:rsidR="008D07B1">
        <w:t xml:space="preserve"> </w:t>
      </w:r>
    </w:p>
    <w:p w14:paraId="57C0645D" w14:textId="53CE4BD3" w:rsidR="00CF7049" w:rsidRPr="00EE21DD" w:rsidRDefault="0003287E" w:rsidP="00EE21DD">
      <w:pPr>
        <w:spacing w:line="480" w:lineRule="auto"/>
        <w:ind w:left="720"/>
      </w:pPr>
      <w:r>
        <w:lastRenderedPageBreak/>
        <w:tab/>
      </w:r>
      <w:r w:rsidR="008D07B1">
        <w:t xml:space="preserve">Finally, </w:t>
      </w:r>
      <w:r w:rsidR="00455FD0" w:rsidRPr="00455FD0">
        <w:t>RCW 80.28.075</w:t>
      </w:r>
      <w:r w:rsidR="00455FD0" w:rsidRPr="00455FD0" w:rsidDel="00455FD0">
        <w:t xml:space="preserve"> </w:t>
      </w:r>
      <w:r w:rsidR="008D07B1">
        <w:t xml:space="preserve">also recognizes that </w:t>
      </w:r>
      <w:r w:rsidR="00455FD0">
        <w:t>regulated electric utilities</w:t>
      </w:r>
      <w:r w:rsidR="008D07B1">
        <w:t xml:space="preserve"> may compete with unregulated entities. The </w:t>
      </w:r>
      <w:r w:rsidR="00455FD0">
        <w:t>statute</w:t>
      </w:r>
      <w:r w:rsidR="008D07B1">
        <w:t xml:space="preserve"> allows gas and electric companies to file</w:t>
      </w:r>
      <w:r w:rsidR="00EA5AB6" w:rsidRPr="00052ED6">
        <w:t xml:space="preserve"> </w:t>
      </w:r>
      <w:r w:rsidR="008D07B1">
        <w:t>“</w:t>
      </w:r>
      <w:r w:rsidR="00EA5AB6" w:rsidRPr="00052ED6">
        <w:t>banded rate tariffs for any nonresidential gas or electric service that is subject to effective competition from energy suppliers not regulated by the commission.”</w:t>
      </w:r>
      <w:r w:rsidR="0018125D">
        <w:t xml:space="preserve"> </w:t>
      </w:r>
    </w:p>
    <w:p w14:paraId="2A611A2E" w14:textId="77777777" w:rsidR="00CF7049" w:rsidRDefault="00CF7049" w:rsidP="00052ED6">
      <w:pPr>
        <w:spacing w:line="480" w:lineRule="auto"/>
        <w:ind w:left="720" w:hanging="720"/>
        <w:rPr>
          <w:b/>
        </w:rPr>
      </w:pPr>
    </w:p>
    <w:p w14:paraId="4121CF7A" w14:textId="41E4973D" w:rsidR="00052ED6" w:rsidRPr="00052ED6" w:rsidRDefault="00052ED6" w:rsidP="00052ED6">
      <w:pPr>
        <w:spacing w:line="480" w:lineRule="auto"/>
        <w:ind w:left="720" w:hanging="720"/>
        <w:rPr>
          <w:b/>
        </w:rPr>
      </w:pPr>
      <w:r>
        <w:rPr>
          <w:b/>
        </w:rPr>
        <w:t>Q.</w:t>
      </w:r>
      <w:r>
        <w:rPr>
          <w:b/>
        </w:rPr>
        <w:tab/>
      </w:r>
      <w:r w:rsidR="003661CC">
        <w:rPr>
          <w:b/>
        </w:rPr>
        <w:t>Can the Commission order Washington service providers to enter into boundary agreements</w:t>
      </w:r>
      <w:r w:rsidRPr="00052ED6">
        <w:rPr>
          <w:b/>
        </w:rPr>
        <w:t>?</w:t>
      </w:r>
    </w:p>
    <w:p w14:paraId="2EDFBB74" w14:textId="6A968540" w:rsidR="00052ED6" w:rsidRDefault="00BD1C7D" w:rsidP="00052ED6">
      <w:pPr>
        <w:spacing w:line="480" w:lineRule="auto"/>
        <w:ind w:left="720" w:hanging="720"/>
      </w:pPr>
      <w:r>
        <w:t>A.</w:t>
      </w:r>
      <w:r>
        <w:tab/>
      </w:r>
      <w:r w:rsidR="003661CC">
        <w:t>No.</w:t>
      </w:r>
      <w:r w:rsidR="00374A43">
        <w:t xml:space="preserve"> </w:t>
      </w:r>
      <w:r w:rsidR="003661CC">
        <w:t>T</w:t>
      </w:r>
      <w:r w:rsidR="00052ED6" w:rsidRPr="00052ED6">
        <w:t xml:space="preserve">he Commission </w:t>
      </w:r>
      <w:r w:rsidR="00EF7098">
        <w:t xml:space="preserve">cannot order Washington service providers to enter into a boundary agreement, but the Commission must approve any </w:t>
      </w:r>
      <w:r w:rsidR="00052ED6" w:rsidRPr="00052ED6">
        <w:t xml:space="preserve">boundary agreement </w:t>
      </w:r>
      <w:r w:rsidR="00813AD6">
        <w:t>entered into by</w:t>
      </w:r>
      <w:r w:rsidR="00052ED6" w:rsidRPr="00052ED6">
        <w:t xml:space="preserve"> </w:t>
      </w:r>
      <w:r w:rsidR="00EF7098">
        <w:t xml:space="preserve">an </w:t>
      </w:r>
      <w:r w:rsidR="00211399">
        <w:t>IOU</w:t>
      </w:r>
      <w:r w:rsidR="00813AD6">
        <w:t xml:space="preserve"> subject to its jurisdiction</w:t>
      </w:r>
      <w:r w:rsidR="00052ED6" w:rsidRPr="00052ED6">
        <w:t>.</w:t>
      </w:r>
      <w:r w:rsidR="00EF7098">
        <w:rPr>
          <w:rStyle w:val="FootnoteReference"/>
        </w:rPr>
        <w:footnoteReference w:id="11"/>
      </w:r>
    </w:p>
    <w:p w14:paraId="5827291B" w14:textId="77777777" w:rsidR="00052ED6" w:rsidRDefault="00052ED6" w:rsidP="00052ED6">
      <w:pPr>
        <w:spacing w:line="480" w:lineRule="auto"/>
        <w:ind w:left="720" w:hanging="720"/>
      </w:pPr>
    </w:p>
    <w:p w14:paraId="1D9E43F3" w14:textId="063A381D" w:rsidR="003661CC" w:rsidRDefault="00052ED6" w:rsidP="002508AF">
      <w:pPr>
        <w:keepNext/>
        <w:ind w:left="720" w:hanging="720"/>
        <w:jc w:val="center"/>
        <w:rPr>
          <w:b/>
        </w:rPr>
      </w:pPr>
      <w:r w:rsidRPr="00052ED6">
        <w:rPr>
          <w:b/>
        </w:rPr>
        <w:t>V.</w:t>
      </w:r>
      <w:r w:rsidR="0018125D">
        <w:rPr>
          <w:b/>
        </w:rPr>
        <w:t xml:space="preserve"> </w:t>
      </w:r>
      <w:r w:rsidR="003661CC">
        <w:rPr>
          <w:b/>
        </w:rPr>
        <w:t xml:space="preserve">ORIGINS OF PACIFIC POWER’S </w:t>
      </w:r>
    </w:p>
    <w:p w14:paraId="7160D416" w14:textId="5BA183BD" w:rsidR="00052ED6" w:rsidRPr="00052ED6" w:rsidRDefault="003661CC" w:rsidP="002508AF">
      <w:pPr>
        <w:keepNext/>
        <w:ind w:left="720" w:hanging="720"/>
        <w:jc w:val="center"/>
        <w:rPr>
          <w:b/>
        </w:rPr>
      </w:pPr>
      <w:r w:rsidRPr="003661CC">
        <w:rPr>
          <w:b/>
        </w:rPr>
        <w:t>DISCONNECTION AND REMOVAL PROCEDURES</w:t>
      </w:r>
      <w:r>
        <w:rPr>
          <w:b/>
        </w:rPr>
        <w:t xml:space="preserve"> </w:t>
      </w:r>
    </w:p>
    <w:p w14:paraId="2AB543AF" w14:textId="77777777" w:rsidR="00052ED6" w:rsidRPr="00052ED6" w:rsidRDefault="00052ED6" w:rsidP="002508AF">
      <w:pPr>
        <w:keepNext/>
        <w:spacing w:line="480" w:lineRule="auto"/>
        <w:ind w:left="720" w:hanging="720"/>
        <w:rPr>
          <w:b/>
        </w:rPr>
      </w:pPr>
    </w:p>
    <w:p w14:paraId="06F25570" w14:textId="6D1FE341" w:rsidR="00BF6578" w:rsidRPr="00BF6578" w:rsidRDefault="00BF6578" w:rsidP="00BF6578">
      <w:pPr>
        <w:spacing w:line="480" w:lineRule="auto"/>
        <w:ind w:left="720" w:hanging="720"/>
        <w:rPr>
          <w:b/>
        </w:rPr>
      </w:pPr>
      <w:r>
        <w:rPr>
          <w:b/>
        </w:rPr>
        <w:t>Q.</w:t>
      </w:r>
      <w:r>
        <w:rPr>
          <w:b/>
        </w:rPr>
        <w:tab/>
      </w:r>
      <w:r w:rsidR="003661CC">
        <w:rPr>
          <w:b/>
        </w:rPr>
        <w:t>What is</w:t>
      </w:r>
      <w:r w:rsidR="00257A4F">
        <w:rPr>
          <w:b/>
        </w:rPr>
        <w:t xml:space="preserve"> the</w:t>
      </w:r>
      <w:r w:rsidRPr="00BF6578">
        <w:rPr>
          <w:b/>
        </w:rPr>
        <w:t xml:space="preserve"> historical relationship between Pacific Power and the Columbia Rural Electric Association (C</w:t>
      </w:r>
      <w:r w:rsidR="001740DA">
        <w:rPr>
          <w:b/>
        </w:rPr>
        <w:t>REA</w:t>
      </w:r>
      <w:r w:rsidRPr="00BF6578">
        <w:rPr>
          <w:b/>
        </w:rPr>
        <w:t xml:space="preserve">)? </w:t>
      </w:r>
    </w:p>
    <w:p w14:paraId="19C45A65" w14:textId="706E5EF1" w:rsidR="00BF6578" w:rsidRDefault="00BF6578" w:rsidP="00FD3B86">
      <w:pPr>
        <w:spacing w:line="480" w:lineRule="auto"/>
        <w:ind w:left="720"/>
      </w:pPr>
      <w:r w:rsidRPr="00BF6578">
        <w:t xml:space="preserve">Pacific Power, an </w:t>
      </w:r>
      <w:r w:rsidR="00211399">
        <w:t>IOU</w:t>
      </w:r>
      <w:r w:rsidR="003661CC">
        <w:t xml:space="preserve"> subject to Commission regulation</w:t>
      </w:r>
      <w:r w:rsidRPr="00BF6578">
        <w:t>, has its origins in four small electric companies in Astoria and Pendleton, Oregon and Walla Walla and Yakima, Washington</w:t>
      </w:r>
      <w:r w:rsidR="00211399">
        <w:t xml:space="preserve"> (WA)</w:t>
      </w:r>
      <w:r w:rsidRPr="00BF6578">
        <w:t>. Columbia Rural Electric Association</w:t>
      </w:r>
      <w:r w:rsidR="003661CC">
        <w:t xml:space="preserve"> (CREA)</w:t>
      </w:r>
      <w:r w:rsidRPr="00BF6578">
        <w:t xml:space="preserve">, a member-owned cooperative, was formed under the auspices of the Rural Electrification Administration in Dayton, </w:t>
      </w:r>
      <w:r w:rsidR="00211399" w:rsidRPr="00BF6578">
        <w:t>W</w:t>
      </w:r>
      <w:r w:rsidR="00211399">
        <w:t>A</w:t>
      </w:r>
      <w:r w:rsidRPr="00BF6578">
        <w:t>.</w:t>
      </w:r>
      <w:r w:rsidR="00E45A6B">
        <w:t xml:space="preserve"> </w:t>
      </w:r>
      <w:r w:rsidR="003661CC">
        <w:t>Commission</w:t>
      </w:r>
      <w:r w:rsidR="006E2966">
        <w:t xml:space="preserve"> record shows that </w:t>
      </w:r>
      <w:r w:rsidR="00077AFD">
        <w:t xml:space="preserve">Pacific Power and </w:t>
      </w:r>
      <w:r w:rsidR="00077AFD">
        <w:lastRenderedPageBreak/>
        <w:t>CREA have</w:t>
      </w:r>
      <w:r w:rsidR="00B9577F">
        <w:t xml:space="preserve">, over time, </w:t>
      </w:r>
      <w:r w:rsidR="00211399">
        <w:t>failed to negotiate service territory agreements</w:t>
      </w:r>
      <w:r w:rsidR="006E2966">
        <w:rPr>
          <w:rStyle w:val="FootnoteReference"/>
        </w:rPr>
        <w:footnoteReference w:id="12"/>
      </w:r>
      <w:r w:rsidR="00211399">
        <w:t xml:space="preserve"> and now</w:t>
      </w:r>
      <w:r w:rsidR="00B9577F">
        <w:t xml:space="preserve"> provide service to overlapping territories in and around Walla Walla, W</w:t>
      </w:r>
      <w:r w:rsidR="00211399">
        <w:t>A</w:t>
      </w:r>
      <w:r w:rsidR="00B9577F">
        <w:t>.</w:t>
      </w:r>
    </w:p>
    <w:p w14:paraId="48C8C760" w14:textId="77777777" w:rsidR="00E45A6B" w:rsidRDefault="00E45A6B" w:rsidP="00FD3B86">
      <w:pPr>
        <w:spacing w:line="480" w:lineRule="auto"/>
        <w:ind w:left="720"/>
      </w:pPr>
    </w:p>
    <w:p w14:paraId="0A2DE8AB" w14:textId="11A41B4E" w:rsidR="00077AFD" w:rsidRPr="00E45A6B" w:rsidRDefault="00077AFD" w:rsidP="002508AF">
      <w:pPr>
        <w:keepNext/>
        <w:spacing w:line="480" w:lineRule="auto"/>
        <w:ind w:left="720" w:hanging="720"/>
        <w:rPr>
          <w:b/>
        </w:rPr>
      </w:pPr>
      <w:r w:rsidRPr="002508AF">
        <w:rPr>
          <w:b/>
        </w:rPr>
        <w:t>Q</w:t>
      </w:r>
      <w:r w:rsidR="002508AF" w:rsidRPr="002508AF">
        <w:rPr>
          <w:b/>
        </w:rPr>
        <w:t>.</w:t>
      </w:r>
      <w:r>
        <w:tab/>
      </w:r>
      <w:r w:rsidR="003661CC">
        <w:rPr>
          <w:b/>
        </w:rPr>
        <w:t xml:space="preserve">What is the origin of Pacific Power’s </w:t>
      </w:r>
      <w:r w:rsidR="003661CC" w:rsidRPr="003661CC">
        <w:rPr>
          <w:b/>
        </w:rPr>
        <w:t>disconnection and removal procedures</w:t>
      </w:r>
      <w:r w:rsidRPr="00E45A6B">
        <w:rPr>
          <w:b/>
        </w:rPr>
        <w:t>?</w:t>
      </w:r>
    </w:p>
    <w:p w14:paraId="6DF266E5" w14:textId="3148CDC3" w:rsidR="00BF6578" w:rsidRPr="00BF6578" w:rsidRDefault="001740DA" w:rsidP="00BF6578">
      <w:pPr>
        <w:spacing w:line="480" w:lineRule="auto"/>
        <w:ind w:left="720"/>
      </w:pPr>
      <w:r>
        <w:t xml:space="preserve">During the 1990s, as regional growth in population </w:t>
      </w:r>
      <w:r w:rsidR="00DE5D3F">
        <w:t>occurred, C</w:t>
      </w:r>
      <w:r>
        <w:t xml:space="preserve">REA </w:t>
      </w:r>
      <w:r w:rsidR="00702B30">
        <w:t>began to provide service in areas</w:t>
      </w:r>
      <w:r>
        <w:t xml:space="preserve"> that overlap traditional service area</w:t>
      </w:r>
      <w:r w:rsidR="00201A1C">
        <w:t>s</w:t>
      </w:r>
      <w:r>
        <w:t xml:space="preserve"> of Pacific Power.</w:t>
      </w:r>
      <w:r w:rsidR="0018125D">
        <w:t xml:space="preserve"> </w:t>
      </w:r>
      <w:r w:rsidR="00BF6578" w:rsidRPr="00BF6578">
        <w:t xml:space="preserve">In late 2000, Pacific Power </w:t>
      </w:r>
      <w:r w:rsidR="00123C12">
        <w:t>initially</w:t>
      </w:r>
      <w:r w:rsidR="00BF6578" w:rsidRPr="00BF6578">
        <w:t xml:space="preserve"> sought to add language to </w:t>
      </w:r>
      <w:r w:rsidR="00257A4F">
        <w:t>its</w:t>
      </w:r>
      <w:r w:rsidR="00BF6578" w:rsidRPr="00BF6578">
        <w:t xml:space="preserve"> tariff to require </w:t>
      </w:r>
      <w:r w:rsidR="00D22EB3" w:rsidRPr="00BF6578">
        <w:t>customers that</w:t>
      </w:r>
      <w:r w:rsidR="00BF6578" w:rsidRPr="00BF6578">
        <w:t xml:space="preserve"> request</w:t>
      </w:r>
      <w:r w:rsidR="00374A43">
        <w:t>ed</w:t>
      </w:r>
      <w:r w:rsidR="00BF6578" w:rsidRPr="00BF6578">
        <w:t xml:space="preserve"> disconnect</w:t>
      </w:r>
      <w:r w:rsidR="00374A43">
        <w:t>ion from</w:t>
      </w:r>
      <w:r w:rsidR="00BF6578" w:rsidRPr="00BF6578">
        <w:t xml:space="preserve"> Company facilities </w:t>
      </w:r>
      <w:r w:rsidR="00374A43">
        <w:t>to</w:t>
      </w:r>
      <w:r w:rsidR="00BF6578" w:rsidRPr="00BF6578">
        <w:t xml:space="preserve"> switch to another electric utility to pay for the estimated net removal cost of those facilities</w:t>
      </w:r>
      <w:r w:rsidR="00374A43">
        <w:t xml:space="preserve"> </w:t>
      </w:r>
      <w:r w:rsidR="00BF6578" w:rsidRPr="00BF6578">
        <w:t>no longer used</w:t>
      </w:r>
      <w:r w:rsidR="00374A43">
        <w:t xml:space="preserve"> for service</w:t>
      </w:r>
      <w:r w:rsidR="00123C12">
        <w:t>.</w:t>
      </w:r>
      <w:r w:rsidR="00374A43">
        <w:rPr>
          <w:rStyle w:val="FootnoteReference"/>
        </w:rPr>
        <w:footnoteReference w:id="13"/>
      </w:r>
      <w:r w:rsidR="0018125D">
        <w:t xml:space="preserve"> </w:t>
      </w:r>
    </w:p>
    <w:p w14:paraId="076245EC" w14:textId="391EADA5" w:rsidR="00BF6578" w:rsidRPr="00BF6578" w:rsidRDefault="00662CA4" w:rsidP="00BF6578">
      <w:pPr>
        <w:spacing w:line="480" w:lineRule="auto"/>
        <w:ind w:left="720"/>
      </w:pPr>
      <w:r>
        <w:tab/>
      </w:r>
      <w:r w:rsidR="00BF6578" w:rsidRPr="00BF6578">
        <w:t xml:space="preserve">The </w:t>
      </w:r>
      <w:r w:rsidR="00C07123">
        <w:t xml:space="preserve">Commission suspended the </w:t>
      </w:r>
      <w:r w:rsidR="00BF6578" w:rsidRPr="00BF6578">
        <w:t xml:space="preserve">procedural schedule </w:t>
      </w:r>
      <w:r w:rsidR="001740DA">
        <w:t>in th</w:t>
      </w:r>
      <w:r w:rsidR="00C07123">
        <w:t>at</w:t>
      </w:r>
      <w:r w:rsidR="001740DA">
        <w:t xml:space="preserve"> docket</w:t>
      </w:r>
      <w:r w:rsidR="00BF6578" w:rsidRPr="00BF6578">
        <w:t xml:space="preserve"> while the parties attempted to negotiate a service territory agreement.</w:t>
      </w:r>
      <w:r w:rsidR="0018125D">
        <w:t xml:space="preserve"> </w:t>
      </w:r>
      <w:r w:rsidR="006E486A">
        <w:t>Pacific Power</w:t>
      </w:r>
      <w:r w:rsidR="00C07123">
        <w:t xml:space="preserve"> </w:t>
      </w:r>
      <w:r w:rsidR="00702B30">
        <w:t xml:space="preserve">also </w:t>
      </w:r>
      <w:r w:rsidR="00C07123">
        <w:t>received Commission approval for a</w:t>
      </w:r>
      <w:r w:rsidR="00BF6578" w:rsidRPr="00BF6578">
        <w:t xml:space="preserve">n Interim Service Territory Agreement </w:t>
      </w:r>
      <w:r w:rsidR="00374A43">
        <w:t>in October of 2001</w:t>
      </w:r>
      <w:r w:rsidR="00127DB6">
        <w:t>, which was intended to provide the two companies an opportunity to negotiate a long-term boundary agreement</w:t>
      </w:r>
      <w:r w:rsidR="00374A43">
        <w:t>.</w:t>
      </w:r>
      <w:r w:rsidR="00374A43">
        <w:rPr>
          <w:rStyle w:val="FootnoteReference"/>
        </w:rPr>
        <w:footnoteReference w:id="14"/>
      </w:r>
      <w:r w:rsidR="00702B30">
        <w:t xml:space="preserve"> </w:t>
      </w:r>
    </w:p>
    <w:p w14:paraId="60212368" w14:textId="77777777" w:rsidR="00BF6578" w:rsidRDefault="00BF6578" w:rsidP="00B814E2">
      <w:pPr>
        <w:spacing w:line="480" w:lineRule="auto"/>
        <w:ind w:left="720" w:hanging="720"/>
        <w:rPr>
          <w:b/>
        </w:rPr>
      </w:pPr>
    </w:p>
    <w:p w14:paraId="3F4CD079" w14:textId="36B5ED64" w:rsidR="007D19A1" w:rsidRDefault="007D19A1" w:rsidP="00B814E2">
      <w:pPr>
        <w:spacing w:line="480" w:lineRule="auto"/>
        <w:ind w:left="720" w:hanging="720"/>
        <w:rPr>
          <w:b/>
        </w:rPr>
      </w:pPr>
    </w:p>
    <w:p w14:paraId="3F8D9C67" w14:textId="77777777" w:rsidR="007D19A1" w:rsidRDefault="007D19A1" w:rsidP="00B814E2">
      <w:pPr>
        <w:spacing w:line="480" w:lineRule="auto"/>
        <w:ind w:left="720" w:hanging="720"/>
        <w:rPr>
          <w:b/>
        </w:rPr>
      </w:pPr>
    </w:p>
    <w:p w14:paraId="72584138" w14:textId="1B564B27" w:rsidR="00BF6578" w:rsidRPr="00BF6578" w:rsidRDefault="00BF6578" w:rsidP="00BF6578">
      <w:pPr>
        <w:spacing w:line="480" w:lineRule="auto"/>
        <w:ind w:left="720" w:hanging="720"/>
        <w:rPr>
          <w:b/>
        </w:rPr>
      </w:pPr>
      <w:r>
        <w:rPr>
          <w:b/>
        </w:rPr>
        <w:lastRenderedPageBreak/>
        <w:t>Q.</w:t>
      </w:r>
      <w:r>
        <w:rPr>
          <w:b/>
        </w:rPr>
        <w:tab/>
      </w:r>
      <w:r w:rsidRPr="00BF6578">
        <w:rPr>
          <w:b/>
        </w:rPr>
        <w:t>Wh</w:t>
      </w:r>
      <w:r w:rsidR="00B9577F">
        <w:rPr>
          <w:b/>
        </w:rPr>
        <w:t>y did Pacific Power and CREA</w:t>
      </w:r>
      <w:r w:rsidR="00077AFD">
        <w:rPr>
          <w:b/>
        </w:rPr>
        <w:t xml:space="preserve"> engage in negotiations </w:t>
      </w:r>
      <w:r w:rsidR="00127DB6">
        <w:rPr>
          <w:b/>
        </w:rPr>
        <w:t xml:space="preserve">to </w:t>
      </w:r>
      <w:r w:rsidR="00077AFD">
        <w:rPr>
          <w:b/>
        </w:rPr>
        <w:t>produce</w:t>
      </w:r>
      <w:r w:rsidR="00127DB6">
        <w:rPr>
          <w:b/>
        </w:rPr>
        <w:t xml:space="preserve"> </w:t>
      </w:r>
      <w:r w:rsidR="00127DB6" w:rsidRPr="00127DB6">
        <w:rPr>
          <w:b/>
        </w:rPr>
        <w:t>a long-term boundary agreement</w:t>
      </w:r>
      <w:r w:rsidRPr="00BF6578">
        <w:rPr>
          <w:b/>
        </w:rPr>
        <w:t>?</w:t>
      </w:r>
    </w:p>
    <w:p w14:paraId="3ECAE586" w14:textId="7D35DB05" w:rsidR="00BF6578" w:rsidRPr="00BF6578" w:rsidRDefault="00BF6578" w:rsidP="00BF6578">
      <w:pPr>
        <w:spacing w:line="480" w:lineRule="auto"/>
        <w:ind w:left="720" w:hanging="720"/>
      </w:pPr>
      <w:r>
        <w:t>A.</w:t>
      </w:r>
      <w:r>
        <w:tab/>
      </w:r>
      <w:r w:rsidR="00077AFD">
        <w:t xml:space="preserve">As </w:t>
      </w:r>
      <w:r w:rsidRPr="00BF6578">
        <w:t xml:space="preserve">Commission Staff </w:t>
      </w:r>
      <w:r w:rsidR="00077AFD">
        <w:t>put it at the time</w:t>
      </w:r>
      <w:r w:rsidR="00374A43">
        <w:t>,</w:t>
      </w:r>
      <w:r w:rsidRPr="00BF6578">
        <w:t xml:space="preserve"> “absent a service area agreement, there </w:t>
      </w:r>
      <w:r w:rsidR="00077AFD">
        <w:t>i</w:t>
      </w:r>
      <w:r w:rsidRPr="00BF6578">
        <w:t>s a likelihood of persistent litigation involving the situation that currently exists” and “</w:t>
      </w:r>
      <w:r w:rsidR="00374A43">
        <w:t>[i]</w:t>
      </w:r>
      <w:r w:rsidRPr="00BF6578">
        <w:t xml:space="preserve">t </w:t>
      </w:r>
      <w:r w:rsidR="00077AFD">
        <w:t>i</w:t>
      </w:r>
      <w:r w:rsidRPr="00BF6578">
        <w:t>s probable that a service area agreement will be in the best interests of ratepayers, and consistent with the policies stated in 54.48.RCW.”</w:t>
      </w:r>
      <w:r w:rsidR="00374A43">
        <w:rPr>
          <w:rStyle w:val="FootnoteReference"/>
        </w:rPr>
        <w:footnoteReference w:id="15"/>
      </w:r>
      <w:r w:rsidR="0018125D">
        <w:t xml:space="preserve"> </w:t>
      </w:r>
    </w:p>
    <w:p w14:paraId="7D819231" w14:textId="0511C10D" w:rsidR="00BF6578" w:rsidRPr="00BF6578" w:rsidRDefault="00BF6578" w:rsidP="00B814E2">
      <w:pPr>
        <w:spacing w:line="480" w:lineRule="auto"/>
        <w:ind w:left="720" w:hanging="720"/>
      </w:pPr>
    </w:p>
    <w:p w14:paraId="6ED24BF9" w14:textId="15B6E62A" w:rsidR="00BF6578" w:rsidRDefault="004B160B" w:rsidP="00B814E2">
      <w:pPr>
        <w:spacing w:line="480" w:lineRule="auto"/>
        <w:ind w:left="720" w:hanging="720"/>
        <w:rPr>
          <w:b/>
        </w:rPr>
      </w:pPr>
      <w:r>
        <w:rPr>
          <w:b/>
        </w:rPr>
        <w:t>Q.</w:t>
      </w:r>
      <w:r>
        <w:rPr>
          <w:b/>
        </w:rPr>
        <w:tab/>
      </w:r>
      <w:r w:rsidR="00B9577F">
        <w:rPr>
          <w:b/>
        </w:rPr>
        <w:t>Did Pacific Power and CREA</w:t>
      </w:r>
      <w:r w:rsidR="00077AFD">
        <w:rPr>
          <w:b/>
        </w:rPr>
        <w:t xml:space="preserve"> agree on a permanent service territory agreement?</w:t>
      </w:r>
    </w:p>
    <w:p w14:paraId="30AB4DB6" w14:textId="77777777" w:rsidR="00127DB6" w:rsidRPr="00127DB6" w:rsidRDefault="004B160B" w:rsidP="00127DB6">
      <w:pPr>
        <w:spacing w:line="480" w:lineRule="auto"/>
        <w:ind w:left="720" w:hanging="720"/>
      </w:pPr>
      <w:r w:rsidRPr="004B160B">
        <w:t>A.</w:t>
      </w:r>
      <w:r>
        <w:tab/>
      </w:r>
      <w:r w:rsidR="00077AFD">
        <w:t xml:space="preserve">No. The parties attempted to negotiate a permanent service territory agreement between themselves, but those negotiations </w:t>
      </w:r>
      <w:r w:rsidR="00690200">
        <w:t>failed to</w:t>
      </w:r>
      <w:r w:rsidR="00077AFD">
        <w:t xml:space="preserve"> produce a boundary agreement. </w:t>
      </w:r>
      <w:r w:rsidR="00127DB6" w:rsidRPr="00127DB6">
        <w:t>The Interim Agreement expired on December 31, 2001.</w:t>
      </w:r>
      <w:r w:rsidR="00127DB6" w:rsidRPr="00127DB6" w:rsidDel="00127DB6">
        <w:t xml:space="preserve"> </w:t>
      </w:r>
    </w:p>
    <w:p w14:paraId="14B97823" w14:textId="719BBDC7" w:rsidR="004B160B" w:rsidRPr="004B160B" w:rsidRDefault="00127DB6" w:rsidP="004B160B">
      <w:pPr>
        <w:spacing w:line="480" w:lineRule="auto"/>
        <w:ind w:left="720" w:hanging="720"/>
      </w:pPr>
      <w:r w:rsidRPr="00127DB6">
        <w:t xml:space="preserve"> </w:t>
      </w:r>
      <w:r>
        <w:tab/>
      </w:r>
      <w:r>
        <w:tab/>
      </w:r>
      <w:r w:rsidR="00077AFD">
        <w:t>Ultimately</w:t>
      </w:r>
      <w:r>
        <w:t>,</w:t>
      </w:r>
      <w:r w:rsidR="00077AFD">
        <w:t xml:space="preserve"> t</w:t>
      </w:r>
      <w:r w:rsidR="004B160B" w:rsidRPr="004B160B">
        <w:t xml:space="preserve">he initial </w:t>
      </w:r>
      <w:r w:rsidRPr="004B160B">
        <w:t xml:space="preserve">tariff </w:t>
      </w:r>
      <w:r w:rsidR="004B160B" w:rsidRPr="004B160B">
        <w:t>disconnect provisions became effective January 1, 2003.</w:t>
      </w:r>
      <w:r w:rsidR="009B7DF1">
        <w:rPr>
          <w:rStyle w:val="FootnoteReference"/>
        </w:rPr>
        <w:footnoteReference w:id="16"/>
      </w:r>
      <w:r w:rsidR="0018125D">
        <w:t xml:space="preserve"> </w:t>
      </w:r>
      <w:r>
        <w:t>These provisions</w:t>
      </w:r>
      <w:r w:rsidR="002757B7">
        <w:t xml:space="preserve"> allowed the Company to charge a customer the Company’s net cost of removing facilities when a customer requested permanent disconnection of service, the </w:t>
      </w:r>
      <w:r w:rsidR="00F567B7">
        <w:t>Company’s facilities were not likely to be re-used at that location, and their removal was necessary for safety and operational reasons.</w:t>
      </w:r>
      <w:r w:rsidR="00F567B7">
        <w:rPr>
          <w:rStyle w:val="FootnoteReference"/>
        </w:rPr>
        <w:footnoteReference w:id="17"/>
      </w:r>
      <w:r w:rsidR="0018125D">
        <w:t xml:space="preserve"> </w:t>
      </w:r>
    </w:p>
    <w:p w14:paraId="2A4280C0" w14:textId="77777777" w:rsidR="00BF6578" w:rsidRDefault="00BF6578" w:rsidP="00B814E2">
      <w:pPr>
        <w:spacing w:line="480" w:lineRule="auto"/>
        <w:ind w:left="720" w:hanging="720"/>
      </w:pPr>
    </w:p>
    <w:p w14:paraId="5C4CC882" w14:textId="77777777" w:rsidR="007D19A1" w:rsidRDefault="007D19A1" w:rsidP="00B814E2">
      <w:pPr>
        <w:spacing w:line="480" w:lineRule="auto"/>
        <w:ind w:left="720" w:hanging="720"/>
      </w:pPr>
    </w:p>
    <w:p w14:paraId="54521BC4" w14:textId="671B63E4" w:rsidR="004B160B" w:rsidRPr="004B160B" w:rsidRDefault="004B160B" w:rsidP="00B814E2">
      <w:pPr>
        <w:spacing w:line="480" w:lineRule="auto"/>
        <w:ind w:left="720" w:hanging="720"/>
        <w:rPr>
          <w:b/>
        </w:rPr>
      </w:pPr>
      <w:r w:rsidRPr="004B160B">
        <w:rPr>
          <w:b/>
        </w:rPr>
        <w:lastRenderedPageBreak/>
        <w:t>Q.</w:t>
      </w:r>
      <w:r w:rsidRPr="004B160B">
        <w:rPr>
          <w:b/>
        </w:rPr>
        <w:tab/>
      </w:r>
      <w:r w:rsidR="00077AFD">
        <w:rPr>
          <w:b/>
        </w:rPr>
        <w:t>D</w:t>
      </w:r>
      <w:r w:rsidR="00B9577F">
        <w:rPr>
          <w:b/>
        </w:rPr>
        <w:t>id Pacific Power and CREA</w:t>
      </w:r>
      <w:r w:rsidR="00077AFD">
        <w:rPr>
          <w:b/>
        </w:rPr>
        <w:t xml:space="preserve"> make subsequent attempts to come to a boundary agreement</w:t>
      </w:r>
      <w:r w:rsidR="00E343E5">
        <w:rPr>
          <w:b/>
        </w:rPr>
        <w:t>?</w:t>
      </w:r>
    </w:p>
    <w:p w14:paraId="3843BD02" w14:textId="796FBA3A" w:rsidR="004B160B" w:rsidRDefault="004B160B" w:rsidP="00B814E2">
      <w:pPr>
        <w:spacing w:line="480" w:lineRule="auto"/>
        <w:ind w:left="720" w:hanging="720"/>
      </w:pPr>
      <w:r>
        <w:t>A.</w:t>
      </w:r>
      <w:r>
        <w:tab/>
      </w:r>
      <w:r w:rsidR="00077AFD">
        <w:t>Yes.</w:t>
      </w:r>
      <w:r w:rsidR="004375EE">
        <w:t xml:space="preserve"> </w:t>
      </w:r>
      <w:r w:rsidR="00077AFD">
        <w:t xml:space="preserve">Pacific Power and CREA </w:t>
      </w:r>
      <w:r w:rsidR="004375EE">
        <w:t>resumed service terr</w:t>
      </w:r>
      <w:r w:rsidR="00F11DBD">
        <w:t>itory negotiations from May 2003</w:t>
      </w:r>
      <w:r w:rsidR="004375EE">
        <w:t xml:space="preserve"> through July 2004</w:t>
      </w:r>
      <w:r w:rsidR="00127DB6">
        <w:t>,</w:t>
      </w:r>
      <w:r w:rsidR="004375EE">
        <w:t xml:space="preserve"> which again result</w:t>
      </w:r>
      <w:r w:rsidR="00690200">
        <w:t>ed</w:t>
      </w:r>
      <w:r w:rsidR="004375EE">
        <w:t xml:space="preserve"> in </w:t>
      </w:r>
      <w:r w:rsidR="00690200">
        <w:t xml:space="preserve">no </w:t>
      </w:r>
      <w:r w:rsidR="004375EE">
        <w:t>agreement.</w:t>
      </w:r>
      <w:r w:rsidR="0018125D">
        <w:t xml:space="preserve"> </w:t>
      </w:r>
      <w:r w:rsidR="00B9577F">
        <w:t xml:space="preserve">The parties </w:t>
      </w:r>
      <w:r w:rsidR="00D55E5B">
        <w:t xml:space="preserve">also </w:t>
      </w:r>
      <w:r w:rsidR="001A2DF6">
        <w:t xml:space="preserve">reportedly </w:t>
      </w:r>
      <w:r w:rsidR="00D55E5B">
        <w:t>attempted</w:t>
      </w:r>
      <w:r w:rsidR="00474668">
        <w:t xml:space="preserve"> </w:t>
      </w:r>
      <w:r w:rsidR="004375EE">
        <w:t xml:space="preserve">to resume discussions </w:t>
      </w:r>
      <w:r w:rsidR="00B9577F">
        <w:t xml:space="preserve">about a boundary agreement </w:t>
      </w:r>
      <w:r w:rsidR="004375EE">
        <w:t>in 2007</w:t>
      </w:r>
      <w:r w:rsidR="00242FA3">
        <w:t xml:space="preserve"> and</w:t>
      </w:r>
      <w:r w:rsidR="004375EE">
        <w:t xml:space="preserve"> 2013</w:t>
      </w:r>
      <w:r w:rsidR="00474668">
        <w:t>, to no avail</w:t>
      </w:r>
      <w:r w:rsidR="004375EE">
        <w:t>.</w:t>
      </w:r>
      <w:r w:rsidR="000C6CA1">
        <w:rPr>
          <w:rStyle w:val="FootnoteReference"/>
        </w:rPr>
        <w:footnoteReference w:id="18"/>
      </w:r>
      <w:r w:rsidR="0018125D">
        <w:t xml:space="preserve"> </w:t>
      </w:r>
    </w:p>
    <w:p w14:paraId="19B6D75C" w14:textId="77777777" w:rsidR="004B160B" w:rsidRDefault="004B160B" w:rsidP="00B814E2">
      <w:pPr>
        <w:spacing w:line="480" w:lineRule="auto"/>
        <w:ind w:left="720" w:hanging="720"/>
      </w:pPr>
    </w:p>
    <w:p w14:paraId="1670B1E7" w14:textId="2C1A9C50" w:rsidR="004B160B" w:rsidRPr="004B160B" w:rsidRDefault="004B160B" w:rsidP="004B160B">
      <w:pPr>
        <w:spacing w:line="480" w:lineRule="auto"/>
        <w:ind w:left="720" w:hanging="720"/>
        <w:rPr>
          <w:b/>
        </w:rPr>
      </w:pPr>
      <w:r w:rsidRPr="004B160B">
        <w:rPr>
          <w:b/>
        </w:rPr>
        <w:t>Q.</w:t>
      </w:r>
      <w:r w:rsidRPr="004B160B">
        <w:rPr>
          <w:b/>
        </w:rPr>
        <w:tab/>
      </w:r>
      <w:r w:rsidR="00127DB6" w:rsidRPr="004B160B">
        <w:rPr>
          <w:b/>
        </w:rPr>
        <w:t>Ha</w:t>
      </w:r>
      <w:r w:rsidR="00127DB6">
        <w:rPr>
          <w:b/>
        </w:rPr>
        <w:t>ve</w:t>
      </w:r>
      <w:r w:rsidR="00474668" w:rsidRPr="004B160B">
        <w:rPr>
          <w:b/>
        </w:rPr>
        <w:t xml:space="preserve"> </w:t>
      </w:r>
      <w:r w:rsidRPr="004B160B">
        <w:rPr>
          <w:b/>
        </w:rPr>
        <w:t xml:space="preserve">the initial </w:t>
      </w:r>
      <w:r w:rsidR="00127DB6" w:rsidRPr="00127DB6">
        <w:rPr>
          <w:b/>
        </w:rPr>
        <w:t xml:space="preserve">tariff disconnect provisions </w:t>
      </w:r>
      <w:r w:rsidR="00127DB6">
        <w:rPr>
          <w:b/>
        </w:rPr>
        <w:t>ever been modified</w:t>
      </w:r>
      <w:r w:rsidR="000E1F8E">
        <w:rPr>
          <w:b/>
        </w:rPr>
        <w:t xml:space="preserve"> </w:t>
      </w:r>
      <w:r w:rsidR="00474668">
        <w:rPr>
          <w:b/>
        </w:rPr>
        <w:t>prior to</w:t>
      </w:r>
      <w:r w:rsidR="000E1F8E">
        <w:rPr>
          <w:b/>
        </w:rPr>
        <w:t xml:space="preserve"> this docket</w:t>
      </w:r>
      <w:r w:rsidRPr="004B160B">
        <w:rPr>
          <w:b/>
        </w:rPr>
        <w:t>?</w:t>
      </w:r>
    </w:p>
    <w:p w14:paraId="35094A63" w14:textId="56D3A55D" w:rsidR="00B0397F" w:rsidRDefault="004B160B" w:rsidP="0092585A">
      <w:pPr>
        <w:spacing w:line="480" w:lineRule="auto"/>
        <w:ind w:left="720" w:hanging="720"/>
      </w:pPr>
      <w:r>
        <w:t>A.</w:t>
      </w:r>
      <w:r>
        <w:tab/>
      </w:r>
      <w:r w:rsidR="000E1F8E">
        <w:t>Yes.</w:t>
      </w:r>
      <w:r w:rsidR="0018125D">
        <w:t xml:space="preserve"> </w:t>
      </w:r>
      <w:r w:rsidR="000E1F8E">
        <w:t>I</w:t>
      </w:r>
      <w:r w:rsidR="0092585A">
        <w:t xml:space="preserve">n </w:t>
      </w:r>
      <w:r w:rsidR="000E1F8E">
        <w:t>D</w:t>
      </w:r>
      <w:r w:rsidR="0092585A">
        <w:t>ocket UE-</w:t>
      </w:r>
      <w:r w:rsidR="0092585A" w:rsidRPr="009C12A8">
        <w:t>120846</w:t>
      </w:r>
      <w:r w:rsidR="00B0397F">
        <w:t>,</w:t>
      </w:r>
      <w:r w:rsidR="000E1F8E">
        <w:t xml:space="preserve"> Pacific Power relocated</w:t>
      </w:r>
      <w:r w:rsidR="004375EE">
        <w:t xml:space="preserve"> </w:t>
      </w:r>
      <w:r w:rsidR="000E1F8E">
        <w:t>the tariff</w:t>
      </w:r>
      <w:r w:rsidR="0018125D">
        <w:t xml:space="preserve"> </w:t>
      </w:r>
      <w:r w:rsidR="006D0573">
        <w:t xml:space="preserve">provisions </w:t>
      </w:r>
      <w:r w:rsidR="004375EE">
        <w:t>to a more appropriate location in the Company’s tariff structure</w:t>
      </w:r>
      <w:r w:rsidR="00FA69B7">
        <w:t xml:space="preserve">, </w:t>
      </w:r>
      <w:r w:rsidR="004375EE">
        <w:t>add</w:t>
      </w:r>
      <w:r w:rsidR="000E1F8E">
        <w:t>ed</w:t>
      </w:r>
      <w:r w:rsidR="004375EE">
        <w:t xml:space="preserve"> clarity</w:t>
      </w:r>
      <w:r w:rsidR="00FA69B7">
        <w:t xml:space="preserve"> to </w:t>
      </w:r>
      <w:r w:rsidR="00474668">
        <w:t xml:space="preserve">the </w:t>
      </w:r>
      <w:r w:rsidR="00FA69B7">
        <w:t>method employed to calculate net removal costs, and add</w:t>
      </w:r>
      <w:r w:rsidR="000E1F8E">
        <w:t>ed</w:t>
      </w:r>
      <w:r w:rsidR="00FA69B7">
        <w:t xml:space="preserve"> time for the Company to complete the reconciliation of estimated to actual costs.</w:t>
      </w:r>
      <w:r w:rsidR="0018125D">
        <w:t xml:space="preserve"> </w:t>
      </w:r>
      <w:r w:rsidR="006D0573">
        <w:t>The resulting provisions with regard to permanent disconnection and removal of company facilities are primarily contained in WN U-75, Rule 6</w:t>
      </w:r>
      <w:r w:rsidR="00FD31C9">
        <w:t>, and corresponding charges are listed in Schedule 300.</w:t>
      </w:r>
    </w:p>
    <w:p w14:paraId="73CB5F00" w14:textId="31F6ABF7" w:rsidR="00B57956" w:rsidRPr="00B57956" w:rsidRDefault="00B0397F" w:rsidP="00A52BD1">
      <w:pPr>
        <w:spacing w:line="480" w:lineRule="auto"/>
        <w:ind w:left="720" w:hanging="720"/>
      </w:pPr>
      <w:r>
        <w:tab/>
      </w:r>
      <w:r>
        <w:tab/>
      </w:r>
      <w:r w:rsidR="000E1F8E">
        <w:t xml:space="preserve">Pacific Power proposed additional modifications to </w:t>
      </w:r>
      <w:r w:rsidR="002A563F">
        <w:t xml:space="preserve">its </w:t>
      </w:r>
      <w:r w:rsidR="000E1F8E">
        <w:t>tariff as part of its 2013 general rate case</w:t>
      </w:r>
      <w:r w:rsidR="00474668">
        <w:t>,</w:t>
      </w:r>
      <w:r w:rsidR="00547592">
        <w:t xml:space="preserve"> Docket</w:t>
      </w:r>
      <w:r w:rsidR="00474668">
        <w:t xml:space="preserve"> UE-130043</w:t>
      </w:r>
      <w:r w:rsidR="000E1F8E">
        <w:t>.</w:t>
      </w:r>
      <w:r w:rsidR="0018125D">
        <w:t xml:space="preserve"> </w:t>
      </w:r>
      <w:r w:rsidR="000E1F8E">
        <w:t xml:space="preserve">It </w:t>
      </w:r>
      <w:r>
        <w:t>subsequently</w:t>
      </w:r>
      <w:r w:rsidR="000E1F8E">
        <w:t xml:space="preserve"> withdrew those proposed modifications</w:t>
      </w:r>
      <w:r w:rsidR="00547592">
        <w:t xml:space="preserve"> in order to</w:t>
      </w:r>
      <w:r w:rsidR="00A52BD1">
        <w:t xml:space="preserve"> “g</w:t>
      </w:r>
      <w:r w:rsidR="00A52BD1" w:rsidRPr="00A52BD1">
        <w:t>ather</w:t>
      </w:r>
      <w:r w:rsidR="00A52BD1">
        <w:t xml:space="preserve"> </w:t>
      </w:r>
      <w:r w:rsidR="00A52BD1" w:rsidRPr="00A52BD1">
        <w:t>additional data and analysis demonstrating the actual costs of Schedule 300/Rule 6</w:t>
      </w:r>
      <w:r w:rsidR="00A52BD1">
        <w:t xml:space="preserve"> </w:t>
      </w:r>
      <w:r w:rsidR="00A52BD1" w:rsidRPr="00A52BD1">
        <w:t>services to inform and support future revisions to the tariffs.</w:t>
      </w:r>
      <w:r w:rsidR="00A52BD1">
        <w:t>”</w:t>
      </w:r>
      <w:r w:rsidR="00A52BD1">
        <w:rPr>
          <w:rStyle w:val="FootnoteReference"/>
        </w:rPr>
        <w:footnoteReference w:id="19"/>
      </w:r>
      <w:r w:rsidR="0018125D">
        <w:t xml:space="preserve"> </w:t>
      </w:r>
      <w:r w:rsidR="00474668">
        <w:t>Later in 2013,</w:t>
      </w:r>
      <w:r w:rsidR="000E1F8E">
        <w:t xml:space="preserve"> the Commission required the </w:t>
      </w:r>
      <w:r w:rsidR="00A10002">
        <w:t xml:space="preserve">Company </w:t>
      </w:r>
      <w:r w:rsidR="000E1F8E">
        <w:t xml:space="preserve">to produce </w:t>
      </w:r>
      <w:r w:rsidR="00B57956">
        <w:t>“</w:t>
      </w:r>
      <w:r w:rsidR="00B57956" w:rsidRPr="00B57956">
        <w:t xml:space="preserve">a </w:t>
      </w:r>
      <w:r w:rsidR="00B57956" w:rsidRPr="00B57956">
        <w:lastRenderedPageBreak/>
        <w:t xml:space="preserve">thoroughgoing report detailing its experience applying Schedule </w:t>
      </w:r>
      <w:r w:rsidR="00B57956">
        <w:t>300 and Rule 6 since inception.”</w:t>
      </w:r>
      <w:r w:rsidR="00B57956">
        <w:rPr>
          <w:rStyle w:val="FootnoteReference"/>
        </w:rPr>
        <w:footnoteReference w:id="20"/>
      </w:r>
      <w:r w:rsidR="0018125D">
        <w:t xml:space="preserve"> </w:t>
      </w:r>
      <w:r w:rsidR="00B57956">
        <w:t xml:space="preserve">The report was </w:t>
      </w:r>
      <w:r w:rsidR="00731BD5">
        <w:t>to</w:t>
      </w:r>
      <w:r w:rsidR="00B57956">
        <w:t xml:space="preserve"> include cost</w:t>
      </w:r>
      <w:r w:rsidR="009B036E">
        <w:t>s</w:t>
      </w:r>
      <w:r w:rsidR="00B57956">
        <w:t xml:space="preserve"> of actual removal of facilities, and other information deemed useful in </w:t>
      </w:r>
      <w:r w:rsidR="009B036E">
        <w:t>future consideration of Schedule 300 and Rule 6.</w:t>
      </w:r>
      <w:r w:rsidR="00B57956">
        <w:t xml:space="preserve"> </w:t>
      </w:r>
    </w:p>
    <w:p w14:paraId="757D3A87" w14:textId="467B6FF6" w:rsidR="000E1F8E" w:rsidRDefault="00B57956" w:rsidP="0092585A">
      <w:pPr>
        <w:spacing w:line="480" w:lineRule="auto"/>
        <w:ind w:left="720" w:hanging="720"/>
      </w:pPr>
      <w:r w:rsidRPr="00B57956">
        <w:t xml:space="preserve"> </w:t>
      </w:r>
    </w:p>
    <w:p w14:paraId="672A7CCD" w14:textId="3466097D" w:rsidR="000E1F8E" w:rsidRPr="00B0397F" w:rsidRDefault="000E1F8E" w:rsidP="0092585A">
      <w:pPr>
        <w:spacing w:line="480" w:lineRule="auto"/>
        <w:ind w:left="720" w:hanging="720"/>
        <w:rPr>
          <w:b/>
        </w:rPr>
      </w:pPr>
      <w:r w:rsidRPr="00B0397F">
        <w:rPr>
          <w:b/>
        </w:rPr>
        <w:t>Q</w:t>
      </w:r>
      <w:r w:rsidR="002508AF">
        <w:rPr>
          <w:b/>
        </w:rPr>
        <w:t>.</w:t>
      </w:r>
      <w:r w:rsidRPr="00B0397F">
        <w:rPr>
          <w:b/>
        </w:rPr>
        <w:tab/>
        <w:t>Has Pacific Power’s disconnection tariff been the subject of litigation?</w:t>
      </w:r>
    </w:p>
    <w:p w14:paraId="363540CF" w14:textId="52F0D8D3" w:rsidR="004B5029" w:rsidRDefault="000E1F8E" w:rsidP="0092585A">
      <w:pPr>
        <w:spacing w:line="480" w:lineRule="auto"/>
        <w:ind w:left="720" w:hanging="720"/>
      </w:pPr>
      <w:r>
        <w:t>A</w:t>
      </w:r>
      <w:r w:rsidR="002508AF">
        <w:t>.</w:t>
      </w:r>
      <w:r>
        <w:tab/>
        <w:t xml:space="preserve">Yes. </w:t>
      </w:r>
      <w:r w:rsidR="00D01AA8">
        <w:t>In Docket UE-143932</w:t>
      </w:r>
      <w:r w:rsidR="00242FA3">
        <w:t>, t</w:t>
      </w:r>
      <w:r w:rsidR="00FA69B7" w:rsidRPr="00FA69B7">
        <w:t>he Walla Walla Country Club</w:t>
      </w:r>
      <w:r w:rsidR="00F47810">
        <w:t xml:space="preserve"> (the Country Club)</w:t>
      </w:r>
      <w:r w:rsidR="00FA69B7" w:rsidRPr="00FA69B7">
        <w:t xml:space="preserve"> </w:t>
      </w:r>
      <w:r w:rsidR="00242FA3">
        <w:t xml:space="preserve">filed a formal complaint </w:t>
      </w:r>
      <w:r>
        <w:t xml:space="preserve">alleging that </w:t>
      </w:r>
      <w:r w:rsidR="00FA69B7" w:rsidRPr="00FA69B7">
        <w:t>Pacific Power</w:t>
      </w:r>
      <w:r>
        <w:t>’s</w:t>
      </w:r>
      <w:r w:rsidR="00FA69B7" w:rsidRPr="00FA69B7">
        <w:t xml:space="preserve"> </w:t>
      </w:r>
      <w:r>
        <w:t xml:space="preserve">treatment of </w:t>
      </w:r>
      <w:r w:rsidR="00F47810">
        <w:t>the Country Club’s</w:t>
      </w:r>
      <w:r>
        <w:t xml:space="preserve"> request for </w:t>
      </w:r>
      <w:r w:rsidR="00FA69B7" w:rsidRPr="00FA69B7">
        <w:t xml:space="preserve">disconnection </w:t>
      </w:r>
      <w:r w:rsidR="00D01AA8">
        <w:t>violated the</w:t>
      </w:r>
      <w:r w:rsidR="0092585A">
        <w:t xml:space="preserve"> Company</w:t>
      </w:r>
      <w:r w:rsidR="006B3578">
        <w:t>’s</w:t>
      </w:r>
      <w:r w:rsidR="0092585A">
        <w:t xml:space="preserve"> tariff rules.</w:t>
      </w:r>
      <w:r>
        <w:t xml:space="preserve"> The Commission sustained that complaint</w:t>
      </w:r>
      <w:r w:rsidR="00D01AA8">
        <w:t>, leading to this filing, whi</w:t>
      </w:r>
      <w:r w:rsidR="00A8764F">
        <w:t xml:space="preserve">ch appears aimed </w:t>
      </w:r>
      <w:r w:rsidR="002E21C4">
        <w:t xml:space="preserve">in part </w:t>
      </w:r>
      <w:r w:rsidR="00A8764F">
        <w:t>at addressing</w:t>
      </w:r>
      <w:r w:rsidR="00D01AA8">
        <w:t xml:space="preserve"> issues raised during the adjudication of the Country Club’s complaint.</w:t>
      </w:r>
      <w:r w:rsidR="0018125D">
        <w:t xml:space="preserve"> </w:t>
      </w:r>
    </w:p>
    <w:p w14:paraId="6898BF91" w14:textId="03627635" w:rsidR="006B3578" w:rsidRDefault="004B5029" w:rsidP="0092585A">
      <w:pPr>
        <w:spacing w:line="480" w:lineRule="auto"/>
        <w:ind w:left="720" w:hanging="720"/>
      </w:pPr>
      <w:r>
        <w:tab/>
      </w:r>
      <w:r>
        <w:tab/>
      </w:r>
      <w:r w:rsidR="00A8764F">
        <w:t>T</w:t>
      </w:r>
      <w:r w:rsidR="00547592">
        <w:t>he</w:t>
      </w:r>
      <w:r w:rsidR="005034A3">
        <w:t xml:space="preserve"> issues</w:t>
      </w:r>
      <w:r w:rsidR="006B3578">
        <w:t xml:space="preserve"> in </w:t>
      </w:r>
      <w:r w:rsidR="006B3578" w:rsidRPr="006B3578">
        <w:t>Docket UE-143932</w:t>
      </w:r>
      <w:r w:rsidR="005034A3">
        <w:t xml:space="preserve"> concerned the </w:t>
      </w:r>
      <w:r w:rsidR="00547592">
        <w:t xml:space="preserve">proper </w:t>
      </w:r>
      <w:r w:rsidR="005034A3">
        <w:t>interpretation</w:t>
      </w:r>
      <w:r w:rsidR="00547592">
        <w:t xml:space="preserve"> of</w:t>
      </w:r>
      <w:r w:rsidR="005034A3">
        <w:t xml:space="preserve"> the wording </w:t>
      </w:r>
      <w:r w:rsidR="00547592">
        <w:t>in</w:t>
      </w:r>
      <w:r w:rsidR="005034A3">
        <w:t xml:space="preserve"> the Company’s Net </w:t>
      </w:r>
      <w:r w:rsidR="00A8764F">
        <w:t>Removal</w:t>
      </w:r>
      <w:r w:rsidR="005034A3">
        <w:t xml:space="preserve"> Tariff, Rule 6; and changes in the Company’s internal policy </w:t>
      </w:r>
      <w:r w:rsidR="00A8764F">
        <w:t>with regard to transfer of ownership of facilities when a customer wished to change service providers.</w:t>
      </w:r>
      <w:r w:rsidR="002E21C4">
        <w:rPr>
          <w:rStyle w:val="FootnoteReference"/>
        </w:rPr>
        <w:footnoteReference w:id="21"/>
      </w:r>
    </w:p>
    <w:p w14:paraId="3DC0CFFC" w14:textId="5612AFAB" w:rsidR="00F567B7" w:rsidRDefault="002E21C4" w:rsidP="00BF77D7">
      <w:pPr>
        <w:spacing w:line="480" w:lineRule="auto"/>
        <w:ind w:left="720" w:firstLine="720"/>
      </w:pPr>
      <w:r>
        <w:t>The Commission found that the Company “</w:t>
      </w:r>
      <w:r w:rsidRPr="002E21C4">
        <w:t>failed to demonstrate that safety or operational reasons justify the removal of the empty vaults and conduit at</w:t>
      </w:r>
      <w:r>
        <w:t xml:space="preserve"> issue in </w:t>
      </w:r>
      <w:r w:rsidR="00547592">
        <w:t>[the]</w:t>
      </w:r>
      <w:r>
        <w:t xml:space="preserve"> case.”</w:t>
      </w:r>
      <w:r w:rsidR="0098360D">
        <w:rPr>
          <w:rStyle w:val="FootnoteReference"/>
        </w:rPr>
        <w:footnoteReference w:id="22"/>
      </w:r>
      <w:r w:rsidR="001E330B">
        <w:t xml:space="preserve"> </w:t>
      </w:r>
      <w:r w:rsidR="0098360D">
        <w:t>Testimony in the case also included discussion of potential excavation risks, duplicate facilities</w:t>
      </w:r>
      <w:r w:rsidR="001E330B">
        <w:t>,</w:t>
      </w:r>
      <w:r w:rsidR="0098360D">
        <w:t xml:space="preserve"> and N</w:t>
      </w:r>
      <w:r w:rsidR="00DF3208">
        <w:t xml:space="preserve">ational </w:t>
      </w:r>
      <w:r w:rsidR="0098360D">
        <w:t>E</w:t>
      </w:r>
      <w:r w:rsidR="00DF3208">
        <w:t xml:space="preserve">lectric </w:t>
      </w:r>
      <w:r w:rsidR="0098360D">
        <w:t>S</w:t>
      </w:r>
      <w:r w:rsidR="00DF3208">
        <w:t xml:space="preserve">afety </w:t>
      </w:r>
      <w:r w:rsidR="0098360D">
        <w:t>C</w:t>
      </w:r>
      <w:r w:rsidR="00DF3208">
        <w:t>ode</w:t>
      </w:r>
      <w:r w:rsidR="0098360D">
        <w:t xml:space="preserve"> requirements with regard to abandoning or transferring ownership of facilities used to provide electric service.</w:t>
      </w:r>
    </w:p>
    <w:p w14:paraId="7BC1ED6A" w14:textId="77777777" w:rsidR="00FA69B7" w:rsidRDefault="00FA69B7" w:rsidP="009C12A8">
      <w:pPr>
        <w:spacing w:line="480" w:lineRule="auto"/>
        <w:ind w:left="720" w:hanging="720"/>
      </w:pPr>
    </w:p>
    <w:p w14:paraId="3971C6C0" w14:textId="374B980A" w:rsidR="00D01AA8" w:rsidRPr="00B0397F" w:rsidRDefault="006B3578" w:rsidP="002508AF">
      <w:pPr>
        <w:keepNext/>
        <w:ind w:left="720" w:hanging="720"/>
        <w:jc w:val="center"/>
        <w:rPr>
          <w:b/>
        </w:rPr>
      </w:pPr>
      <w:r w:rsidRPr="00B0397F">
        <w:rPr>
          <w:b/>
        </w:rPr>
        <w:lastRenderedPageBreak/>
        <w:t>VI.</w:t>
      </w:r>
      <w:r w:rsidRPr="00B0397F">
        <w:rPr>
          <w:b/>
        </w:rPr>
        <w:tab/>
      </w:r>
      <w:r>
        <w:rPr>
          <w:b/>
        </w:rPr>
        <w:t>PACIFIC POWER’S PROPOSED REVISIONS TO</w:t>
      </w:r>
      <w:r w:rsidRPr="006B3578">
        <w:rPr>
          <w:b/>
        </w:rPr>
        <w:t xml:space="preserve"> </w:t>
      </w:r>
      <w:r w:rsidR="00547592">
        <w:rPr>
          <w:b/>
        </w:rPr>
        <w:t xml:space="preserve">ITS </w:t>
      </w:r>
      <w:r w:rsidRPr="006B3578">
        <w:rPr>
          <w:b/>
        </w:rPr>
        <w:t xml:space="preserve">PERMANENT DISCONNECTION AND REMOVAL </w:t>
      </w:r>
      <w:r>
        <w:rPr>
          <w:b/>
        </w:rPr>
        <w:t>RULES</w:t>
      </w:r>
    </w:p>
    <w:p w14:paraId="3E376E1E" w14:textId="77777777" w:rsidR="006B3578" w:rsidRPr="00B0397F" w:rsidRDefault="006B3578" w:rsidP="002508AF">
      <w:pPr>
        <w:keepNext/>
        <w:spacing w:line="480" w:lineRule="auto"/>
        <w:ind w:left="720" w:hanging="720"/>
        <w:jc w:val="center"/>
        <w:rPr>
          <w:b/>
        </w:rPr>
      </w:pPr>
    </w:p>
    <w:p w14:paraId="79673E82" w14:textId="77777777" w:rsidR="006B3578" w:rsidRPr="00B926E7" w:rsidRDefault="006B3578" w:rsidP="006B3578">
      <w:pPr>
        <w:spacing w:line="480" w:lineRule="auto"/>
        <w:ind w:left="720" w:hanging="720"/>
        <w:rPr>
          <w:b/>
        </w:rPr>
      </w:pPr>
      <w:r w:rsidRPr="00B926E7">
        <w:rPr>
          <w:b/>
        </w:rPr>
        <w:t>Q.</w:t>
      </w:r>
      <w:r w:rsidRPr="00B926E7">
        <w:rPr>
          <w:b/>
        </w:rPr>
        <w:tab/>
        <w:t>Please summarize Pacific Power’s proposed tariff revisions?</w:t>
      </w:r>
    </w:p>
    <w:p w14:paraId="127DC7AE" w14:textId="4DB22B21" w:rsidR="006B3578" w:rsidRDefault="006B3578" w:rsidP="006B3578">
      <w:pPr>
        <w:spacing w:line="480" w:lineRule="auto"/>
        <w:ind w:left="720" w:hanging="720"/>
      </w:pPr>
      <w:r w:rsidRPr="004E03A3">
        <w:t>A.</w:t>
      </w:r>
      <w:r w:rsidRPr="004E03A3">
        <w:tab/>
      </w:r>
      <w:r>
        <w:t>The</w:t>
      </w:r>
      <w:r w:rsidRPr="004E03A3">
        <w:t xml:space="preserve"> proposed revisions include: </w:t>
      </w:r>
      <w:r>
        <w:t>(1) requiring</w:t>
      </w:r>
      <w:r w:rsidRPr="004E03A3">
        <w:t xml:space="preserve"> the departing customer to either purchase</w:t>
      </w:r>
      <w:r>
        <w:t xml:space="preserve"> any stranded</w:t>
      </w:r>
      <w:r w:rsidRPr="004E03A3">
        <w:t xml:space="preserve"> facilities or have them removed, and </w:t>
      </w:r>
      <w:r>
        <w:t xml:space="preserve">(2) </w:t>
      </w:r>
      <w:r w:rsidRPr="006B3578">
        <w:t>requiring the departing customer</w:t>
      </w:r>
      <w:r>
        <w:t xml:space="preserve"> to pay</w:t>
      </w:r>
      <w:r w:rsidRPr="004E03A3">
        <w:t xml:space="preserve"> a Stranded Cost Recovery Fee designed to mitigate cost shifting from disconnect</w:t>
      </w:r>
      <w:r>
        <w:t>ing</w:t>
      </w:r>
      <w:r w:rsidRPr="004E03A3">
        <w:t xml:space="preserve"> customers to remaining customers.</w:t>
      </w:r>
      <w:r w:rsidRPr="004E03A3">
        <w:rPr>
          <w:vertAlign w:val="superscript"/>
        </w:rPr>
        <w:footnoteReference w:id="23"/>
      </w:r>
    </w:p>
    <w:p w14:paraId="7E621A9A" w14:textId="77777777" w:rsidR="006B3578" w:rsidRDefault="006B3578" w:rsidP="006B3578">
      <w:pPr>
        <w:spacing w:line="480" w:lineRule="auto"/>
        <w:ind w:left="720" w:hanging="720"/>
      </w:pPr>
    </w:p>
    <w:p w14:paraId="14A36F39" w14:textId="77777777" w:rsidR="006B3578" w:rsidRPr="00B926E7" w:rsidRDefault="006B3578" w:rsidP="006B3578">
      <w:pPr>
        <w:spacing w:line="480" w:lineRule="auto"/>
        <w:ind w:left="720" w:hanging="720"/>
        <w:rPr>
          <w:b/>
        </w:rPr>
      </w:pPr>
      <w:r w:rsidRPr="00B926E7">
        <w:rPr>
          <w:b/>
        </w:rPr>
        <w:t xml:space="preserve">Q. </w:t>
      </w:r>
      <w:r w:rsidRPr="00B926E7">
        <w:rPr>
          <w:b/>
        </w:rPr>
        <w:tab/>
        <w:t>Why does Pacific Power believe the proposed tariff revisions are necessary?</w:t>
      </w:r>
    </w:p>
    <w:p w14:paraId="48753C0A" w14:textId="77777777" w:rsidR="006B3578" w:rsidRPr="00B926E7" w:rsidRDefault="006B3578" w:rsidP="006B3578">
      <w:pPr>
        <w:spacing w:line="480" w:lineRule="auto"/>
        <w:ind w:left="720" w:hanging="720"/>
      </w:pPr>
      <w:r w:rsidRPr="004E03A3">
        <w:t>A.</w:t>
      </w:r>
      <w:r w:rsidRPr="004E03A3">
        <w:tab/>
        <w:t>The</w:t>
      </w:r>
      <w:r>
        <w:t xml:space="preserve"> Company states that its primary reasons are “to eliminate </w:t>
      </w:r>
      <w:r w:rsidRPr="00B926E7">
        <w:t>confusion and avoid cost shifting to remaining customers when departing customers opt to permanently disconnect from the Company’s system and receive service from another electric service provider</w:t>
      </w:r>
      <w:r>
        <w:t>,”</w:t>
      </w:r>
      <w:r>
        <w:rPr>
          <w:rStyle w:val="FootnoteReference"/>
        </w:rPr>
        <w:footnoteReference w:id="24"/>
      </w:r>
      <w:r>
        <w:t xml:space="preserve"> and additionally “to </w:t>
      </w:r>
      <w:r w:rsidRPr="00B926E7">
        <w:rPr>
          <w:rFonts w:eastAsia="Times New Roman"/>
        </w:rPr>
        <w:t>govern the sale of underground conduit and vaults upon permanent disconnection.</w:t>
      </w:r>
      <w:r>
        <w:rPr>
          <w:rFonts w:eastAsia="Times New Roman"/>
        </w:rPr>
        <w:t>”</w:t>
      </w:r>
      <w:r>
        <w:rPr>
          <w:rStyle w:val="FootnoteReference"/>
          <w:rFonts w:eastAsia="Times New Roman"/>
        </w:rPr>
        <w:footnoteReference w:id="25"/>
      </w:r>
    </w:p>
    <w:p w14:paraId="3F158C7B" w14:textId="77777777" w:rsidR="006B3578" w:rsidRDefault="006B3578" w:rsidP="00FD31C9">
      <w:pPr>
        <w:spacing w:line="480" w:lineRule="auto"/>
        <w:rPr>
          <w:b/>
        </w:rPr>
      </w:pPr>
    </w:p>
    <w:p w14:paraId="211BBF41" w14:textId="3171E0BE" w:rsidR="009C12A8" w:rsidRDefault="009C12A8" w:rsidP="009C12A8">
      <w:pPr>
        <w:spacing w:line="480" w:lineRule="auto"/>
        <w:ind w:left="720" w:hanging="720"/>
      </w:pPr>
      <w:r w:rsidRPr="009C12A8">
        <w:rPr>
          <w:b/>
        </w:rPr>
        <w:t>Q.</w:t>
      </w:r>
      <w:r w:rsidRPr="009C12A8">
        <w:rPr>
          <w:b/>
        </w:rPr>
        <w:tab/>
      </w:r>
      <w:r>
        <w:rPr>
          <w:b/>
        </w:rPr>
        <w:t>Have you examined any data concerning the number and types of customers that Pacific Power has lost each year since 1999?</w:t>
      </w:r>
    </w:p>
    <w:p w14:paraId="334AB0FA" w14:textId="17E5574B" w:rsidR="00FD31C9" w:rsidRDefault="009C12A8" w:rsidP="005E4C0E">
      <w:pPr>
        <w:spacing w:line="480" w:lineRule="auto"/>
        <w:ind w:left="720" w:hanging="720"/>
        <w:rPr>
          <w:bCs/>
        </w:rPr>
      </w:pPr>
      <w:r>
        <w:t>A.</w:t>
      </w:r>
      <w:r>
        <w:tab/>
      </w:r>
      <w:r w:rsidR="004B160B" w:rsidRPr="004B160B">
        <w:t>Yes.</w:t>
      </w:r>
      <w:r w:rsidR="0018125D">
        <w:t xml:space="preserve"> </w:t>
      </w:r>
      <w:r w:rsidR="004B160B" w:rsidRPr="004B160B">
        <w:t xml:space="preserve">In addition to reviewing Mr. Dalley’s testimony, I reviewed the </w:t>
      </w:r>
      <w:r w:rsidR="00E96DD4">
        <w:t>parties’</w:t>
      </w:r>
      <w:r w:rsidR="004B160B" w:rsidRPr="004B160B">
        <w:t xml:space="preserve"> response</w:t>
      </w:r>
      <w:r w:rsidR="00E96DD4">
        <w:t>s</w:t>
      </w:r>
      <w:r w:rsidR="004B160B" w:rsidRPr="004B160B">
        <w:t xml:space="preserve"> to</w:t>
      </w:r>
      <w:r w:rsidR="00E96DD4">
        <w:t xml:space="preserve"> data requests</w:t>
      </w:r>
      <w:r w:rsidR="004B160B" w:rsidRPr="004B160B">
        <w:t xml:space="preserve">, annual compliance reports from UE-001734, and U.S. Energy Information Administration </w:t>
      </w:r>
      <w:r w:rsidR="004B160B" w:rsidRPr="004B160B">
        <w:rPr>
          <w:bCs/>
        </w:rPr>
        <w:t>Electric Form EIA-861 data.</w:t>
      </w:r>
    </w:p>
    <w:p w14:paraId="6DDCB73F" w14:textId="77777777" w:rsidR="00DE7F1F" w:rsidDel="003150AB" w:rsidRDefault="00DE7F1F" w:rsidP="005E4C0E">
      <w:pPr>
        <w:spacing w:line="480" w:lineRule="auto"/>
        <w:ind w:left="720" w:hanging="720"/>
        <w:rPr>
          <w:b/>
        </w:rPr>
      </w:pPr>
    </w:p>
    <w:p w14:paraId="2E5673D8" w14:textId="765D6D16" w:rsidR="009C4B0A" w:rsidRDefault="009C4B0A" w:rsidP="005E4C0E">
      <w:pPr>
        <w:spacing w:line="480" w:lineRule="auto"/>
        <w:ind w:left="720" w:hanging="720"/>
        <w:rPr>
          <w:b/>
        </w:rPr>
      </w:pPr>
      <w:r>
        <w:rPr>
          <w:noProof/>
        </w:rPr>
        <w:lastRenderedPageBreak/>
        <w:drawing>
          <wp:inline distT="0" distB="0" distL="0" distR="0" wp14:anchorId="792ED801" wp14:editId="5A4113F8">
            <wp:extent cx="5684293" cy="3015928"/>
            <wp:effectExtent l="0" t="0" r="12065"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0E9974" w14:textId="064B1A91" w:rsidR="005E4C0E" w:rsidRPr="005E4C0E" w:rsidRDefault="005E4C0E" w:rsidP="005E4C0E">
      <w:pPr>
        <w:spacing w:line="480" w:lineRule="auto"/>
        <w:ind w:left="720" w:hanging="720"/>
        <w:rPr>
          <w:b/>
        </w:rPr>
      </w:pPr>
      <w:r w:rsidRPr="005E4C0E">
        <w:rPr>
          <w:b/>
        </w:rPr>
        <w:t>Q.</w:t>
      </w:r>
      <w:r w:rsidRPr="005E4C0E">
        <w:rPr>
          <w:b/>
        </w:rPr>
        <w:tab/>
        <w:t>What does that data show</w:t>
      </w:r>
      <w:r w:rsidR="007E0A5C">
        <w:rPr>
          <w:b/>
        </w:rPr>
        <w:t xml:space="preserve"> about </w:t>
      </w:r>
      <w:r w:rsidR="007E0A5C" w:rsidRPr="007E0A5C">
        <w:rPr>
          <w:b/>
        </w:rPr>
        <w:t xml:space="preserve">the number and types of customers that </w:t>
      </w:r>
      <w:r w:rsidR="007E0A5C">
        <w:rPr>
          <w:b/>
        </w:rPr>
        <w:t>are choosing to disconnect</w:t>
      </w:r>
      <w:r w:rsidRPr="005E4C0E">
        <w:rPr>
          <w:b/>
        </w:rPr>
        <w:t>?</w:t>
      </w:r>
    </w:p>
    <w:p w14:paraId="58A9E66D" w14:textId="59687E30" w:rsidR="009C12A8" w:rsidRDefault="005E4C0E" w:rsidP="00FD3B86">
      <w:pPr>
        <w:spacing w:line="480" w:lineRule="auto"/>
        <w:ind w:left="720" w:hanging="720"/>
      </w:pPr>
      <w:r>
        <w:t>A.</w:t>
      </w:r>
      <w:r>
        <w:tab/>
      </w:r>
      <w:r w:rsidR="00622464">
        <w:t xml:space="preserve">Pacific Power has lost </w:t>
      </w:r>
      <w:r w:rsidR="00A55E1A">
        <w:t xml:space="preserve">only </w:t>
      </w:r>
      <w:r w:rsidR="00622464">
        <w:t>67 of its approximately 129,000 Washington customers since 1999.</w:t>
      </w:r>
      <w:r w:rsidR="0018125D">
        <w:t xml:space="preserve"> </w:t>
      </w:r>
      <w:r w:rsidR="00F47810">
        <w:t>My c</w:t>
      </w:r>
      <w:r w:rsidR="00F47810" w:rsidRPr="005E4C0E">
        <w:t xml:space="preserve">ompilation </w:t>
      </w:r>
      <w:r w:rsidRPr="005E4C0E">
        <w:t xml:space="preserve">of </w:t>
      </w:r>
      <w:r w:rsidR="00F47810">
        <w:t xml:space="preserve">the </w:t>
      </w:r>
      <w:r w:rsidRPr="005E4C0E">
        <w:t xml:space="preserve">data </w:t>
      </w:r>
      <w:r w:rsidR="007E0A5C">
        <w:t xml:space="preserve">underlying </w:t>
      </w:r>
      <w:r w:rsidR="007E0A5C" w:rsidRPr="007E0A5C">
        <w:t>Mr. Dalley’s</w:t>
      </w:r>
      <w:r w:rsidR="007E0A5C">
        <w:t xml:space="preserve"> Exhibit No. RBD-3, which details the Company’s </w:t>
      </w:r>
      <w:r w:rsidR="00622464">
        <w:t>cumulative</w:t>
      </w:r>
      <w:r w:rsidR="007E0A5C">
        <w:t xml:space="preserve"> annual revenue loss by class since 1999,</w:t>
      </w:r>
      <w:r w:rsidRPr="005E4C0E">
        <w:t xml:space="preserve"> indicates that:</w:t>
      </w:r>
    </w:p>
    <w:p w14:paraId="19FE6969" w14:textId="70A91021" w:rsidR="00622464" w:rsidRDefault="005E4C0E" w:rsidP="009C12A8">
      <w:pPr>
        <w:pStyle w:val="ListParagraph"/>
        <w:numPr>
          <w:ilvl w:val="0"/>
          <w:numId w:val="8"/>
        </w:numPr>
        <w:spacing w:line="480" w:lineRule="auto"/>
      </w:pPr>
      <w:r w:rsidRPr="005E4C0E">
        <w:t>prior to 2010, residential and irrigation customers accounted for 23 of 26 customers lost;</w:t>
      </w:r>
      <w:r w:rsidR="0018125D">
        <w:t xml:space="preserve"> </w:t>
      </w:r>
    </w:p>
    <w:p w14:paraId="6EAFC384" w14:textId="501EAE8B" w:rsidR="009C12A8" w:rsidRDefault="005E4C0E" w:rsidP="009C12A8">
      <w:pPr>
        <w:pStyle w:val="ListParagraph"/>
        <w:numPr>
          <w:ilvl w:val="0"/>
          <w:numId w:val="8"/>
        </w:numPr>
        <w:spacing w:line="480" w:lineRule="auto"/>
      </w:pPr>
      <w:r w:rsidRPr="005E4C0E">
        <w:t>from 2010 through 2016 commercial and industrial customers account</w:t>
      </w:r>
      <w:r w:rsidR="00F11DBD">
        <w:t>ed for 22 of 4</w:t>
      </w:r>
      <w:r w:rsidR="000D6345">
        <w:t>1 customers lost;</w:t>
      </w:r>
    </w:p>
    <w:p w14:paraId="5F8D15F0" w14:textId="7DB158D3" w:rsidR="000D6345" w:rsidRDefault="000D6345" w:rsidP="009616EA">
      <w:pPr>
        <w:pStyle w:val="ListParagraph"/>
        <w:numPr>
          <w:ilvl w:val="0"/>
          <w:numId w:val="8"/>
        </w:numPr>
        <w:spacing w:line="480" w:lineRule="auto"/>
      </w:pPr>
      <w:r>
        <w:t>t</w:t>
      </w:r>
      <w:r w:rsidRPr="005E4C0E">
        <w:t xml:space="preserve">here </w:t>
      </w:r>
      <w:r w:rsidR="009616EA">
        <w:t>are</w:t>
      </w:r>
      <w:r w:rsidRPr="005E4C0E">
        <w:t xml:space="preserve"> no reported residential customers lost since 2013</w:t>
      </w:r>
      <w:r>
        <w:t>; and</w:t>
      </w:r>
    </w:p>
    <w:p w14:paraId="16FC5179" w14:textId="149B5920" w:rsidR="00A8764F" w:rsidRDefault="005E4C0E" w:rsidP="00A8764F">
      <w:pPr>
        <w:pStyle w:val="ListParagraph"/>
        <w:numPr>
          <w:ilvl w:val="0"/>
          <w:numId w:val="8"/>
        </w:numPr>
        <w:spacing w:line="480" w:lineRule="auto"/>
      </w:pPr>
      <w:r w:rsidRPr="005E4C0E">
        <w:t>the years from 2010 through 2013 account for 33 of the 67 to</w:t>
      </w:r>
      <w:r w:rsidR="000D6345">
        <w:t>tal lost customers since 1999.</w:t>
      </w:r>
      <w:r w:rsidR="00622464">
        <w:rPr>
          <w:rStyle w:val="FootnoteReference"/>
        </w:rPr>
        <w:footnoteReference w:id="26"/>
      </w:r>
    </w:p>
    <w:p w14:paraId="0B2C91B8" w14:textId="6AECD4C6" w:rsidR="00E57C97" w:rsidRPr="009C4B0A" w:rsidRDefault="000224B2" w:rsidP="009C4B0A">
      <w:pPr>
        <w:spacing w:line="480" w:lineRule="auto"/>
        <w:ind w:left="720"/>
      </w:pPr>
      <w:r>
        <w:lastRenderedPageBreak/>
        <w:t>Pacific Power</w:t>
      </w:r>
      <w:r w:rsidR="00A8764F" w:rsidRPr="00A8764F">
        <w:t xml:space="preserve"> has approximately 129,000 customers in Washington, and had approximately 117,000 in 1999.</w:t>
      </w:r>
      <w:r w:rsidR="00622464">
        <w:rPr>
          <w:rStyle w:val="FootnoteReference"/>
        </w:rPr>
        <w:footnoteReference w:id="27"/>
      </w:r>
      <w:r w:rsidR="00A8764F">
        <w:t xml:space="preserve">  </w:t>
      </w:r>
    </w:p>
    <w:p w14:paraId="36466F01" w14:textId="77777777" w:rsidR="00E57C97" w:rsidRDefault="00E57C97" w:rsidP="00B814E2">
      <w:pPr>
        <w:spacing w:line="480" w:lineRule="auto"/>
        <w:ind w:left="720" w:hanging="720"/>
        <w:rPr>
          <w:b/>
        </w:rPr>
      </w:pPr>
    </w:p>
    <w:p w14:paraId="774C0196" w14:textId="1B5D3A70" w:rsidR="005E4C0E" w:rsidRPr="00B0397F" w:rsidRDefault="002D2F32" w:rsidP="00B814E2">
      <w:pPr>
        <w:spacing w:line="480" w:lineRule="auto"/>
        <w:ind w:left="720" w:hanging="720"/>
        <w:rPr>
          <w:b/>
        </w:rPr>
      </w:pPr>
      <w:r w:rsidRPr="00B0397F">
        <w:rPr>
          <w:b/>
        </w:rPr>
        <w:t>Q</w:t>
      </w:r>
      <w:r w:rsidRPr="00B0397F">
        <w:rPr>
          <w:b/>
        </w:rPr>
        <w:tab/>
        <w:t xml:space="preserve">What lessons do you draw from </w:t>
      </w:r>
      <w:r w:rsidR="00D241A9">
        <w:rPr>
          <w:b/>
        </w:rPr>
        <w:t>the Company’s customer disconnect</w:t>
      </w:r>
      <w:r w:rsidR="00D241A9" w:rsidRPr="00B0397F">
        <w:rPr>
          <w:b/>
        </w:rPr>
        <w:t xml:space="preserve"> </w:t>
      </w:r>
      <w:r w:rsidRPr="00B0397F">
        <w:rPr>
          <w:b/>
        </w:rPr>
        <w:t>data?</w:t>
      </w:r>
    </w:p>
    <w:p w14:paraId="31D39EE7" w14:textId="4E8E94EE" w:rsidR="002D2F32" w:rsidRDefault="002D2F32" w:rsidP="00B814E2">
      <w:pPr>
        <w:spacing w:line="480" w:lineRule="auto"/>
        <w:ind w:left="720" w:hanging="720"/>
      </w:pPr>
      <w:r w:rsidRPr="00F46E9F">
        <w:t>A:</w:t>
      </w:r>
      <w:r>
        <w:tab/>
      </w:r>
      <w:r w:rsidR="007D1611">
        <w:t>The classes of customers choosing to disconnect has shifted from dominantly residential</w:t>
      </w:r>
      <w:r w:rsidR="00C2333A">
        <w:t xml:space="preserve"> and irrigation to significantly</w:t>
      </w:r>
      <w:r w:rsidR="007D1611">
        <w:t xml:space="preserve"> commercial and industrial</w:t>
      </w:r>
      <w:r w:rsidR="00CA2D12">
        <w:t>, and there was a peak in disconnects between 2010 and 2013.</w:t>
      </w:r>
      <w:r w:rsidR="0018125D">
        <w:t xml:space="preserve"> </w:t>
      </w:r>
      <w:r w:rsidR="00A8764F">
        <w:t>However, the overall magnitude of disconnections compared to total customers is modest.</w:t>
      </w:r>
    </w:p>
    <w:p w14:paraId="2DD23C79" w14:textId="4D34BF63" w:rsidR="00C56DA5" w:rsidRDefault="00C56DA5" w:rsidP="00B814E2">
      <w:pPr>
        <w:spacing w:line="480" w:lineRule="auto"/>
        <w:ind w:left="720" w:hanging="720"/>
      </w:pPr>
    </w:p>
    <w:p w14:paraId="39E5D7EC" w14:textId="4B436F7F" w:rsidR="005E4C0E" w:rsidRPr="005E4C0E" w:rsidRDefault="005E4C0E" w:rsidP="005E4C0E">
      <w:pPr>
        <w:spacing w:line="480" w:lineRule="auto"/>
        <w:ind w:left="720" w:hanging="720"/>
        <w:rPr>
          <w:b/>
        </w:rPr>
      </w:pPr>
      <w:r w:rsidRPr="005E4C0E">
        <w:rPr>
          <w:b/>
        </w:rPr>
        <w:t>Q.</w:t>
      </w:r>
      <w:r w:rsidRPr="005E4C0E">
        <w:rPr>
          <w:b/>
        </w:rPr>
        <w:tab/>
        <w:t xml:space="preserve">Have you examined </w:t>
      </w:r>
      <w:r w:rsidR="00D241A9">
        <w:rPr>
          <w:b/>
        </w:rPr>
        <w:t>whether</w:t>
      </w:r>
      <w:r w:rsidRPr="005E4C0E">
        <w:rPr>
          <w:b/>
        </w:rPr>
        <w:t xml:space="preserve"> </w:t>
      </w:r>
      <w:r w:rsidR="00D241A9" w:rsidRPr="00D241A9">
        <w:rPr>
          <w:b/>
        </w:rPr>
        <w:t xml:space="preserve">customers who request disconnection </w:t>
      </w:r>
      <w:r w:rsidR="00D241A9">
        <w:rPr>
          <w:b/>
        </w:rPr>
        <w:t>actually</w:t>
      </w:r>
      <w:r w:rsidR="00D241A9" w:rsidRPr="00D241A9">
        <w:rPr>
          <w:b/>
        </w:rPr>
        <w:t xml:space="preserve"> follow through with the </w:t>
      </w:r>
      <w:r w:rsidR="00FD31C9" w:rsidRPr="00D241A9">
        <w:rPr>
          <w:b/>
        </w:rPr>
        <w:t>disconnection</w:t>
      </w:r>
      <w:r w:rsidR="00FD31C9" w:rsidRPr="005E4C0E">
        <w:rPr>
          <w:b/>
        </w:rPr>
        <w:t>?</w:t>
      </w:r>
    </w:p>
    <w:p w14:paraId="41993919" w14:textId="4EA16ED4" w:rsidR="005E4C0E" w:rsidRPr="005E4C0E" w:rsidRDefault="005E4C0E" w:rsidP="005E4C0E">
      <w:pPr>
        <w:spacing w:line="480" w:lineRule="auto"/>
        <w:ind w:left="720" w:hanging="720"/>
      </w:pPr>
      <w:r>
        <w:t>A.</w:t>
      </w:r>
      <w:r>
        <w:tab/>
      </w:r>
      <w:r w:rsidRPr="005E4C0E">
        <w:t xml:space="preserve">Yes. </w:t>
      </w:r>
      <w:r w:rsidR="000D6345">
        <w:t xml:space="preserve">I reviewed </w:t>
      </w:r>
      <w:r w:rsidR="009616EA">
        <w:t xml:space="preserve">the </w:t>
      </w:r>
      <w:r w:rsidR="000D6345">
        <w:t>annual</w:t>
      </w:r>
      <w:r w:rsidRPr="005E4C0E">
        <w:t xml:space="preserve"> </w:t>
      </w:r>
      <w:r w:rsidR="000D6345" w:rsidRPr="000D6345">
        <w:t>Report on Costs Associated with Permanent Disconnection and Removal of Facilities</w:t>
      </w:r>
      <w:r w:rsidR="00547592">
        <w:t xml:space="preserve">, which </w:t>
      </w:r>
      <w:r w:rsidR="002C3156">
        <w:t>was required by the Commission</w:t>
      </w:r>
      <w:r w:rsidR="000D6345" w:rsidRPr="000D6345">
        <w:t xml:space="preserve"> </w:t>
      </w:r>
      <w:r w:rsidR="002C3156">
        <w:t>in</w:t>
      </w:r>
      <w:r w:rsidR="00201A1C" w:rsidRPr="005E4C0E">
        <w:t xml:space="preserve"> </w:t>
      </w:r>
      <w:r w:rsidR="002C3156">
        <w:t xml:space="preserve">Docket </w:t>
      </w:r>
      <w:r w:rsidR="00201A1C" w:rsidRPr="005E4C0E">
        <w:t>U</w:t>
      </w:r>
      <w:r w:rsidR="00201A1C">
        <w:t>E-001734 for each year from 20</w:t>
      </w:r>
      <w:r w:rsidR="006F0695">
        <w:t xml:space="preserve">03 </w:t>
      </w:r>
      <w:r w:rsidR="00201A1C">
        <w:t>through 201</w:t>
      </w:r>
      <w:r w:rsidR="006F0695">
        <w:t>6</w:t>
      </w:r>
      <w:r w:rsidR="000D6345">
        <w:t>.</w:t>
      </w:r>
      <w:r w:rsidR="0018125D">
        <w:t xml:space="preserve"> </w:t>
      </w:r>
      <w:r w:rsidR="00201A1C">
        <w:t>Beginning with the report for 2013, t</w:t>
      </w:r>
      <w:r w:rsidR="000D6345">
        <w:t xml:space="preserve">hese reports </w:t>
      </w:r>
      <w:r w:rsidR="000D6C87">
        <w:t xml:space="preserve">list </w:t>
      </w:r>
      <w:r w:rsidR="00201A1C">
        <w:t xml:space="preserve">both removals and </w:t>
      </w:r>
      <w:r w:rsidR="000D6345">
        <w:t xml:space="preserve">customer accounts requesting estimates of </w:t>
      </w:r>
      <w:r w:rsidRPr="005E4C0E">
        <w:t xml:space="preserve">removal </w:t>
      </w:r>
      <w:r w:rsidR="000D6345">
        <w:t>costs</w:t>
      </w:r>
      <w:r w:rsidR="006F0695">
        <w:t>,</w:t>
      </w:r>
      <w:r w:rsidR="009616EA">
        <w:t xml:space="preserve"> subsequent </w:t>
      </w:r>
      <w:r w:rsidR="00201A1C">
        <w:t xml:space="preserve">estimate amounts, </w:t>
      </w:r>
      <w:r w:rsidR="009616EA">
        <w:t>payment</w:t>
      </w:r>
      <w:r w:rsidR="000D6C87">
        <w:t xml:space="preserve"> and completion </w:t>
      </w:r>
      <w:r w:rsidR="00201A1C">
        <w:t>dates for</w:t>
      </w:r>
      <w:r w:rsidR="000D6C87">
        <w:t xml:space="preserve"> disconnection of facilities</w:t>
      </w:r>
      <w:r w:rsidRPr="005E4C0E">
        <w:t>.</w:t>
      </w:r>
      <w:r w:rsidR="0018125D">
        <w:t xml:space="preserve"> </w:t>
      </w:r>
    </w:p>
    <w:p w14:paraId="2E304F0C" w14:textId="77777777" w:rsidR="005E4C0E" w:rsidRDefault="005E4C0E" w:rsidP="00B814E2">
      <w:pPr>
        <w:spacing w:line="480" w:lineRule="auto"/>
        <w:ind w:left="720" w:hanging="720"/>
      </w:pPr>
    </w:p>
    <w:p w14:paraId="20D35489" w14:textId="77777777" w:rsidR="00CC05D6" w:rsidRDefault="00CC05D6" w:rsidP="00B814E2">
      <w:pPr>
        <w:spacing w:line="480" w:lineRule="auto"/>
        <w:ind w:left="720" w:hanging="720"/>
      </w:pPr>
    </w:p>
    <w:p w14:paraId="0E554678" w14:textId="32259373" w:rsidR="005E4C0E" w:rsidRPr="005E4C0E" w:rsidRDefault="005E4C0E" w:rsidP="005E4C0E">
      <w:pPr>
        <w:spacing w:line="480" w:lineRule="auto"/>
        <w:ind w:left="720" w:hanging="720"/>
        <w:rPr>
          <w:b/>
        </w:rPr>
      </w:pPr>
      <w:r w:rsidRPr="005E4C0E">
        <w:rPr>
          <w:b/>
        </w:rPr>
        <w:lastRenderedPageBreak/>
        <w:t>Q.</w:t>
      </w:r>
      <w:r w:rsidRPr="005E4C0E">
        <w:rPr>
          <w:b/>
        </w:rPr>
        <w:tab/>
        <w:t>What does that data show</w:t>
      </w:r>
      <w:r w:rsidR="00D241A9">
        <w:rPr>
          <w:b/>
        </w:rPr>
        <w:t xml:space="preserve"> about </w:t>
      </w:r>
      <w:r w:rsidR="002C752C">
        <w:rPr>
          <w:b/>
        </w:rPr>
        <w:t>whether customers actually</w:t>
      </w:r>
      <w:r w:rsidR="00D241A9" w:rsidRPr="00D241A9">
        <w:rPr>
          <w:b/>
        </w:rPr>
        <w:t xml:space="preserve"> follow through with disconnection</w:t>
      </w:r>
      <w:r w:rsidRPr="005E4C0E">
        <w:rPr>
          <w:b/>
        </w:rPr>
        <w:t>?</w:t>
      </w:r>
    </w:p>
    <w:p w14:paraId="0E4C4173" w14:textId="47BA90DF" w:rsidR="000001BD" w:rsidRDefault="005E4C0E" w:rsidP="000001BD">
      <w:pPr>
        <w:spacing w:line="480" w:lineRule="auto"/>
        <w:ind w:left="720" w:hanging="720"/>
      </w:pPr>
      <w:r>
        <w:t>A.</w:t>
      </w:r>
      <w:r>
        <w:tab/>
      </w:r>
      <w:r w:rsidR="002C752C">
        <w:t xml:space="preserve">Most customers who inquire about disconnection ultimately choose not to disconnect. </w:t>
      </w:r>
      <w:r w:rsidR="000D6C87">
        <w:t>Compilation of data from these annual compliance filings indicates that:</w:t>
      </w:r>
    </w:p>
    <w:p w14:paraId="6116B0CC" w14:textId="3197CF6D" w:rsidR="00185D5B" w:rsidRDefault="00185D5B" w:rsidP="000001BD">
      <w:pPr>
        <w:pStyle w:val="ListParagraph"/>
        <w:numPr>
          <w:ilvl w:val="0"/>
          <w:numId w:val="10"/>
        </w:numPr>
        <w:spacing w:line="480" w:lineRule="auto"/>
      </w:pPr>
      <w:r>
        <w:t>from 2013 through 2016, a total of 60 different customers requested estimates of permanent disconnection fees</w:t>
      </w:r>
      <w:r w:rsidR="00B629ED">
        <w:t xml:space="preserve"> for 117 separate accounts, of which 35 different commercial customer</w:t>
      </w:r>
      <w:r w:rsidR="00543FFC">
        <w:t>s</w:t>
      </w:r>
      <w:r w:rsidR="00B629ED">
        <w:t xml:space="preserve"> accounted for 75 of the separate accounts</w:t>
      </w:r>
      <w:r w:rsidR="00543FFC">
        <w:t xml:space="preserve"> for which estimates were requested</w:t>
      </w:r>
      <w:r w:rsidR="00B629ED">
        <w:t>;</w:t>
      </w:r>
    </w:p>
    <w:p w14:paraId="69C4948D" w14:textId="28DD4BD6" w:rsidR="00D546B3" w:rsidRDefault="001C489A" w:rsidP="000001BD">
      <w:pPr>
        <w:pStyle w:val="ListParagraph"/>
        <w:numPr>
          <w:ilvl w:val="0"/>
          <w:numId w:val="10"/>
        </w:numPr>
        <w:spacing w:line="480" w:lineRule="auto"/>
      </w:pPr>
      <w:r>
        <w:t>during this same period</w:t>
      </w:r>
      <w:r w:rsidR="00543FFC">
        <w:t xml:space="preserve"> from 2013 through 2016</w:t>
      </w:r>
      <w:r>
        <w:t xml:space="preserve">, </w:t>
      </w:r>
      <w:r w:rsidR="00543FFC">
        <w:t xml:space="preserve">annual compliance filing reports indicate </w:t>
      </w:r>
      <w:r w:rsidR="00D546B3">
        <w:t>permanent</w:t>
      </w:r>
      <w:r w:rsidR="00543FFC">
        <w:t xml:space="preserve"> disconnect fees were paid by 11 different customers for 15</w:t>
      </w:r>
      <w:r w:rsidR="00D546B3">
        <w:t xml:space="preserve"> separate accounts;</w:t>
      </w:r>
    </w:p>
    <w:p w14:paraId="03AC66A6" w14:textId="4A1FAD27" w:rsidR="006102E6" w:rsidRDefault="000E60B8" w:rsidP="006102E6">
      <w:pPr>
        <w:pStyle w:val="ListParagraph"/>
        <w:numPr>
          <w:ilvl w:val="0"/>
          <w:numId w:val="10"/>
        </w:numPr>
        <w:spacing w:line="480" w:lineRule="auto"/>
      </w:pPr>
      <w:r>
        <w:t xml:space="preserve">both requests for estimates </w:t>
      </w:r>
      <w:r w:rsidR="005E4C0E" w:rsidRPr="005E4C0E">
        <w:t xml:space="preserve">and </w:t>
      </w:r>
      <w:r>
        <w:t xml:space="preserve">completed disconnects peaked in 2013, but </w:t>
      </w:r>
      <w:r w:rsidR="002A710A">
        <w:t xml:space="preserve">have continued and </w:t>
      </w:r>
      <w:r w:rsidR="00CF288E">
        <w:t xml:space="preserve">are </w:t>
      </w:r>
      <w:r w:rsidR="002A710A">
        <w:t xml:space="preserve">increasingly </w:t>
      </w:r>
      <w:r w:rsidR="006F0D20">
        <w:t xml:space="preserve">dominated </w:t>
      </w:r>
      <w:r w:rsidR="002A710A">
        <w:t>by</w:t>
      </w:r>
      <w:r w:rsidR="00CF288E">
        <w:t xml:space="preserve"> commercial</w:t>
      </w:r>
      <w:r w:rsidR="002A710A">
        <w:t xml:space="preserve"> accounts</w:t>
      </w:r>
      <w:r w:rsidR="00CF288E">
        <w:t>.</w:t>
      </w:r>
      <w:r>
        <w:t xml:space="preserve"> </w:t>
      </w:r>
    </w:p>
    <w:p w14:paraId="125E9441" w14:textId="77777777" w:rsidR="00B0397F" w:rsidRDefault="00B0397F" w:rsidP="002508AF">
      <w:pPr>
        <w:spacing w:line="480" w:lineRule="auto"/>
      </w:pPr>
    </w:p>
    <w:p w14:paraId="10EB80FF" w14:textId="7DFF6CD4" w:rsidR="006102E6" w:rsidRDefault="002D2F32" w:rsidP="00B814E2">
      <w:pPr>
        <w:spacing w:line="480" w:lineRule="auto"/>
        <w:ind w:left="720" w:hanging="720"/>
      </w:pPr>
      <w:r w:rsidRPr="00B0397F">
        <w:rPr>
          <w:b/>
        </w:rPr>
        <w:t>Q:</w:t>
      </w:r>
      <w:r w:rsidRPr="00B0397F">
        <w:rPr>
          <w:b/>
        </w:rPr>
        <w:tab/>
      </w:r>
      <w:r w:rsidR="00ED2A89">
        <w:rPr>
          <w:b/>
        </w:rPr>
        <w:t>W</w:t>
      </w:r>
      <w:r w:rsidRPr="00B0397F">
        <w:rPr>
          <w:b/>
        </w:rPr>
        <w:t xml:space="preserve">hat lessons do you draw from </w:t>
      </w:r>
      <w:r w:rsidR="00ED2A89">
        <w:rPr>
          <w:b/>
        </w:rPr>
        <w:t>the</w:t>
      </w:r>
      <w:r w:rsidR="00ED2A89" w:rsidRPr="00B0397F">
        <w:rPr>
          <w:b/>
        </w:rPr>
        <w:t xml:space="preserve"> </w:t>
      </w:r>
      <w:r w:rsidRPr="00B0397F">
        <w:rPr>
          <w:b/>
        </w:rPr>
        <w:t>data</w:t>
      </w:r>
      <w:r w:rsidR="00ED2A89">
        <w:rPr>
          <w:b/>
        </w:rPr>
        <w:t xml:space="preserve"> about customers that follow through with disconnection</w:t>
      </w:r>
      <w:r>
        <w:t>?</w:t>
      </w:r>
    </w:p>
    <w:p w14:paraId="3B2CE512" w14:textId="2FD5BA09" w:rsidR="002D2F32" w:rsidRDefault="002D2F32" w:rsidP="00B814E2">
      <w:pPr>
        <w:spacing w:line="480" w:lineRule="auto"/>
        <w:ind w:left="720" w:hanging="720"/>
      </w:pPr>
      <w:r w:rsidRPr="006D0741">
        <w:t>A:</w:t>
      </w:r>
      <w:r>
        <w:tab/>
      </w:r>
      <w:r w:rsidR="00C56DA5">
        <w:t>The</w:t>
      </w:r>
      <w:r w:rsidR="00FD3F04">
        <w:t xml:space="preserve"> majority </w:t>
      </w:r>
      <w:r w:rsidR="00C56DA5">
        <w:t xml:space="preserve">of customers </w:t>
      </w:r>
      <w:r w:rsidR="00FD3F04">
        <w:t xml:space="preserve">choose not </w:t>
      </w:r>
      <w:r w:rsidR="00C56DA5">
        <w:t xml:space="preserve">to disconnect after having </w:t>
      </w:r>
      <w:r w:rsidR="00B629ED">
        <w:t xml:space="preserve">requested and </w:t>
      </w:r>
      <w:r w:rsidR="00C56DA5">
        <w:t>received disconnect cost estimates</w:t>
      </w:r>
      <w:r w:rsidR="00FD3F04">
        <w:t xml:space="preserve"> from the Company</w:t>
      </w:r>
      <w:r w:rsidR="00C56DA5">
        <w:t>.</w:t>
      </w:r>
      <w:r w:rsidR="0018125D">
        <w:t xml:space="preserve"> </w:t>
      </w:r>
      <w:r w:rsidR="00C56DA5">
        <w:t xml:space="preserve">Commercial customers remain the most interested in pursuing </w:t>
      </w:r>
      <w:r w:rsidR="000224B2">
        <w:t>disconnect cost estimates, but again the overall number</w:t>
      </w:r>
      <w:r w:rsidR="00ED2A89">
        <w:t xml:space="preserve"> of commercial customer disconnections</w:t>
      </w:r>
      <w:r w:rsidR="000224B2">
        <w:t xml:space="preserve"> </w:t>
      </w:r>
      <w:r w:rsidR="00ED2A89">
        <w:t xml:space="preserve">is </w:t>
      </w:r>
      <w:r w:rsidR="000224B2">
        <w:t>modest.</w:t>
      </w:r>
    </w:p>
    <w:p w14:paraId="331EC485" w14:textId="77777777" w:rsidR="00813AD6" w:rsidRDefault="00813AD6" w:rsidP="00B814E2">
      <w:pPr>
        <w:spacing w:line="480" w:lineRule="auto"/>
        <w:ind w:left="720" w:hanging="720"/>
      </w:pPr>
    </w:p>
    <w:p w14:paraId="647CA87F" w14:textId="77777777" w:rsidR="007D19A1" w:rsidRDefault="007D19A1" w:rsidP="00B814E2">
      <w:pPr>
        <w:spacing w:line="480" w:lineRule="auto"/>
        <w:ind w:left="720" w:hanging="720"/>
      </w:pPr>
    </w:p>
    <w:p w14:paraId="20758FC1" w14:textId="3C573196" w:rsidR="003150AB" w:rsidRPr="003150AB" w:rsidRDefault="003150AB" w:rsidP="003150AB">
      <w:pPr>
        <w:spacing w:line="480" w:lineRule="auto"/>
        <w:ind w:left="720" w:hanging="720"/>
        <w:rPr>
          <w:b/>
        </w:rPr>
      </w:pPr>
      <w:r w:rsidRPr="003150AB">
        <w:rPr>
          <w:b/>
        </w:rPr>
        <w:lastRenderedPageBreak/>
        <w:t>Q.</w:t>
      </w:r>
      <w:r w:rsidRPr="003150AB">
        <w:rPr>
          <w:b/>
        </w:rPr>
        <w:tab/>
      </w:r>
      <w:r>
        <w:rPr>
          <w:b/>
        </w:rPr>
        <w:t>How does the Company characterize the resulting revenue loss from theses disconnecting customers?</w:t>
      </w:r>
    </w:p>
    <w:p w14:paraId="6C85EDF8" w14:textId="27B07205" w:rsidR="00AA40C6" w:rsidRPr="00AA40C6" w:rsidRDefault="003150AB" w:rsidP="00AA40C6">
      <w:pPr>
        <w:spacing w:line="480" w:lineRule="auto"/>
        <w:ind w:left="720" w:hanging="720"/>
      </w:pPr>
      <w:r w:rsidRPr="00813AD6">
        <w:t>A.</w:t>
      </w:r>
      <w:r w:rsidRPr="00813AD6">
        <w:tab/>
      </w:r>
      <w:r w:rsidR="00AA40C6">
        <w:t>Mr. Dalley states</w:t>
      </w:r>
      <w:r w:rsidR="00D4615A">
        <w:t xml:space="preserve">, </w:t>
      </w:r>
      <w:r w:rsidR="00ED2A89">
        <w:t>“</w:t>
      </w:r>
      <w:r w:rsidR="00AA40C6" w:rsidRPr="00AA40C6">
        <w:t>Between 2010 and 2016, the Company’s per year revenue loss skyrocketed from $411,026 to $1,872,445.</w:t>
      </w:r>
      <w:r w:rsidR="00AA40C6">
        <w:t>”</w:t>
      </w:r>
      <w:r w:rsidR="00AA40C6">
        <w:rPr>
          <w:rStyle w:val="FootnoteReference"/>
        </w:rPr>
        <w:footnoteReference w:id="28"/>
      </w:r>
    </w:p>
    <w:p w14:paraId="2134E014" w14:textId="77777777" w:rsidR="003150AB" w:rsidRPr="003150AB" w:rsidRDefault="003150AB" w:rsidP="003150AB">
      <w:pPr>
        <w:spacing w:line="480" w:lineRule="auto"/>
        <w:ind w:left="720" w:hanging="720"/>
        <w:rPr>
          <w:b/>
        </w:rPr>
      </w:pPr>
    </w:p>
    <w:p w14:paraId="04852062" w14:textId="5EDF5FB8" w:rsidR="003150AB" w:rsidRPr="003150AB" w:rsidRDefault="003150AB" w:rsidP="003150AB">
      <w:pPr>
        <w:spacing w:line="480" w:lineRule="auto"/>
        <w:ind w:left="720" w:hanging="720"/>
        <w:rPr>
          <w:b/>
        </w:rPr>
      </w:pPr>
      <w:r w:rsidRPr="003150AB">
        <w:rPr>
          <w:b/>
        </w:rPr>
        <w:t>Q.</w:t>
      </w:r>
      <w:r w:rsidRPr="003150AB">
        <w:rPr>
          <w:b/>
        </w:rPr>
        <w:tab/>
        <w:t>H</w:t>
      </w:r>
      <w:r w:rsidR="00AA40C6">
        <w:rPr>
          <w:b/>
        </w:rPr>
        <w:t xml:space="preserve">ow does this revenue loss compare to the Company’s </w:t>
      </w:r>
      <w:r w:rsidR="00A10BB6">
        <w:rPr>
          <w:b/>
        </w:rPr>
        <w:t>total sales of electricity in Washington?</w:t>
      </w:r>
    </w:p>
    <w:p w14:paraId="38F7D228" w14:textId="666F7827" w:rsidR="00DE7F1F" w:rsidRPr="003150AB" w:rsidRDefault="003150AB" w:rsidP="003150AB">
      <w:pPr>
        <w:spacing w:line="480" w:lineRule="auto"/>
        <w:ind w:left="720" w:hanging="720"/>
        <w:rPr>
          <w:b/>
        </w:rPr>
      </w:pPr>
      <w:r w:rsidRPr="00813AD6">
        <w:t>A.</w:t>
      </w:r>
      <w:r w:rsidRPr="00813AD6">
        <w:tab/>
      </w:r>
      <w:r w:rsidR="00AA40C6">
        <w:t xml:space="preserve">The Company’s </w:t>
      </w:r>
      <w:r w:rsidR="00CA6467">
        <w:t xml:space="preserve">reported 2009 </w:t>
      </w:r>
      <w:r w:rsidR="00AA40C6">
        <w:t xml:space="preserve">sales </w:t>
      </w:r>
      <w:r w:rsidR="00CA6467">
        <w:t>to ultimate customers in Washington of $</w:t>
      </w:r>
      <w:r w:rsidR="00CA6467" w:rsidRPr="00CA6467">
        <w:t>284,100,835</w:t>
      </w:r>
      <w:r w:rsidR="00CA6467">
        <w:t xml:space="preserve"> with that reported sales figure increasing to $</w:t>
      </w:r>
      <w:r w:rsidR="00CA6467" w:rsidRPr="00CA6467">
        <w:t>343,273,558</w:t>
      </w:r>
      <w:r w:rsidR="00CA6467">
        <w:t xml:space="preserve"> in 2015.</w:t>
      </w:r>
      <w:r w:rsidR="00CA6467">
        <w:rPr>
          <w:rStyle w:val="FootnoteReference"/>
        </w:rPr>
        <w:footnoteReference w:id="29"/>
      </w:r>
      <w:r w:rsidR="00CA6467">
        <w:t xml:space="preserve">  The </w:t>
      </w:r>
      <w:r w:rsidR="00A52BD1">
        <w:t xml:space="preserve">cumulative annual </w:t>
      </w:r>
      <w:r w:rsidR="00CA6467">
        <w:t xml:space="preserve">revenue loss </w:t>
      </w:r>
      <w:r w:rsidR="00D64F44">
        <w:t xml:space="preserve">increase to </w:t>
      </w:r>
      <w:r w:rsidR="00CA6467">
        <w:t xml:space="preserve">nearly two million dollars represents approximately one half of one percent </w:t>
      </w:r>
      <w:r w:rsidR="00A55E1A">
        <w:t xml:space="preserve">(0.5%) </w:t>
      </w:r>
      <w:r w:rsidR="00CA6467">
        <w:t xml:space="preserve">of </w:t>
      </w:r>
      <w:r w:rsidR="00ED2A89">
        <w:t xml:space="preserve">the Company’s </w:t>
      </w:r>
      <w:r w:rsidR="00D64F44">
        <w:t xml:space="preserve">reported </w:t>
      </w:r>
      <w:r w:rsidR="00ED2A89">
        <w:t xml:space="preserve">Washington </w:t>
      </w:r>
      <w:r w:rsidR="00D64F44">
        <w:t>sales.</w:t>
      </w:r>
    </w:p>
    <w:p w14:paraId="7DBAE5E1" w14:textId="77777777" w:rsidR="00F46E9F" w:rsidRDefault="00F46E9F" w:rsidP="005E4C0E">
      <w:pPr>
        <w:spacing w:line="480" w:lineRule="auto"/>
        <w:ind w:left="720" w:hanging="720"/>
        <w:rPr>
          <w:b/>
        </w:rPr>
      </w:pPr>
    </w:p>
    <w:p w14:paraId="39B63408" w14:textId="69C3EFEE" w:rsidR="005E4C0E" w:rsidRPr="005E4C0E" w:rsidRDefault="005E4C0E" w:rsidP="005E4C0E">
      <w:pPr>
        <w:spacing w:line="480" w:lineRule="auto"/>
        <w:ind w:left="720" w:hanging="720"/>
        <w:rPr>
          <w:b/>
        </w:rPr>
      </w:pPr>
      <w:r>
        <w:rPr>
          <w:b/>
        </w:rPr>
        <w:t>Q.</w:t>
      </w:r>
      <w:r>
        <w:rPr>
          <w:b/>
        </w:rPr>
        <w:tab/>
      </w:r>
      <w:r w:rsidRPr="005E4C0E">
        <w:rPr>
          <w:b/>
        </w:rPr>
        <w:t>Please characterize the broader market</w:t>
      </w:r>
      <w:r w:rsidR="00220689">
        <w:rPr>
          <w:b/>
        </w:rPr>
        <w:t xml:space="preserve"> trends</w:t>
      </w:r>
      <w:r w:rsidRPr="005E4C0E">
        <w:rPr>
          <w:b/>
        </w:rPr>
        <w:t xml:space="preserve"> within which these requests and disconnections have occurred</w:t>
      </w:r>
      <w:r w:rsidR="00DD5585">
        <w:rPr>
          <w:b/>
        </w:rPr>
        <w:t>.</w:t>
      </w:r>
    </w:p>
    <w:p w14:paraId="7ADB310A" w14:textId="11ACAA98" w:rsidR="00CC05D6" w:rsidRDefault="005E4C0E" w:rsidP="00CC05D6">
      <w:pPr>
        <w:spacing w:line="480" w:lineRule="auto"/>
        <w:ind w:left="720" w:hanging="720"/>
      </w:pPr>
      <w:r>
        <w:t>A.</w:t>
      </w:r>
      <w:r>
        <w:tab/>
      </w:r>
      <w:r w:rsidR="006102E6">
        <w:t xml:space="preserve">Based on compilation of </w:t>
      </w:r>
      <w:r w:rsidR="00220689">
        <w:t xml:space="preserve">retail electric power </w:t>
      </w:r>
      <w:r w:rsidR="00130489">
        <w:t>sales data from U.S. Energy Information Administration Form EIA-861s</w:t>
      </w:r>
      <w:r w:rsidR="00E96DD4">
        <w:rPr>
          <w:rStyle w:val="FootnoteReference"/>
        </w:rPr>
        <w:footnoteReference w:id="30"/>
      </w:r>
      <w:r w:rsidR="00130489">
        <w:t xml:space="preserve"> for</w:t>
      </w:r>
      <w:r w:rsidR="00220689">
        <w:t xml:space="preserve"> both</w:t>
      </w:r>
      <w:r w:rsidR="00130489">
        <w:t xml:space="preserve"> </w:t>
      </w:r>
      <w:r w:rsidR="0048636F">
        <w:t>Pacific Power</w:t>
      </w:r>
      <w:r w:rsidR="00F305ED">
        <w:t>’s</w:t>
      </w:r>
      <w:r w:rsidR="00ED2A89">
        <w:t xml:space="preserve"> </w:t>
      </w:r>
      <w:r w:rsidR="00130489">
        <w:t>and CREA</w:t>
      </w:r>
      <w:r w:rsidR="00F305ED">
        <w:t>’s</w:t>
      </w:r>
      <w:r w:rsidR="00130489">
        <w:t xml:space="preserve"> operations in Washington:</w:t>
      </w:r>
    </w:p>
    <w:p w14:paraId="1A51F5FD" w14:textId="77777777" w:rsidR="00CC05D6" w:rsidRDefault="00CC05D6" w:rsidP="00CC05D6">
      <w:pPr>
        <w:spacing w:line="480" w:lineRule="auto"/>
        <w:ind w:left="720" w:hanging="720"/>
      </w:pPr>
    </w:p>
    <w:p w14:paraId="3050667C" w14:textId="3FC5BEF4" w:rsidR="009C4B0A" w:rsidRDefault="009C4B0A" w:rsidP="00B814E2">
      <w:pPr>
        <w:spacing w:line="480" w:lineRule="auto"/>
        <w:ind w:left="720" w:hanging="720"/>
      </w:pPr>
      <w:r>
        <w:rPr>
          <w:noProof/>
        </w:rPr>
        <w:lastRenderedPageBreak/>
        <w:drawing>
          <wp:inline distT="0" distB="0" distL="0" distR="0" wp14:anchorId="203B720E" wp14:editId="57D300EC">
            <wp:extent cx="5616054" cy="4069910"/>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40000" cy="4087264"/>
                    </a:xfrm>
                    <a:prstGeom prst="rect">
                      <a:avLst/>
                    </a:prstGeom>
                    <a:noFill/>
                  </pic:spPr>
                </pic:pic>
              </a:graphicData>
            </a:graphic>
          </wp:inline>
        </w:drawing>
      </w:r>
    </w:p>
    <w:p w14:paraId="45378CF1" w14:textId="77777777" w:rsidR="009C4B0A" w:rsidRDefault="009C4B0A" w:rsidP="009C4B0A">
      <w:pPr>
        <w:spacing w:line="480" w:lineRule="auto"/>
      </w:pPr>
    </w:p>
    <w:p w14:paraId="0F3CB336" w14:textId="7F26D9AE" w:rsidR="00A20ABA" w:rsidRDefault="005B0287" w:rsidP="00673828">
      <w:pPr>
        <w:pStyle w:val="ListParagraph"/>
        <w:numPr>
          <w:ilvl w:val="0"/>
          <w:numId w:val="8"/>
        </w:numPr>
        <w:spacing w:line="480" w:lineRule="auto"/>
      </w:pPr>
      <w:r>
        <w:t xml:space="preserve">combined load </w:t>
      </w:r>
      <w:r w:rsidR="001E4F0C">
        <w:t xml:space="preserve">of both providers </w:t>
      </w:r>
      <w:r>
        <w:t xml:space="preserve">across all </w:t>
      </w:r>
      <w:r w:rsidR="00220689">
        <w:t xml:space="preserve">customer </w:t>
      </w:r>
      <w:r>
        <w:t xml:space="preserve">classes grew by </w:t>
      </w:r>
      <w:r w:rsidR="00660CC5">
        <w:t xml:space="preserve">an average of </w:t>
      </w:r>
      <w:r w:rsidR="00681D1B">
        <w:t>2.1</w:t>
      </w:r>
      <w:r>
        <w:t xml:space="preserve">% per year from 1990 through 2005, and </w:t>
      </w:r>
      <w:r w:rsidR="00660CC5">
        <w:t xml:space="preserve">then </w:t>
      </w:r>
      <w:r>
        <w:t>flattened from 2005 through 2015;</w:t>
      </w:r>
    </w:p>
    <w:p w14:paraId="2235CCE0" w14:textId="7C9A00A0" w:rsidR="009C4B0A" w:rsidRDefault="009C4B0A" w:rsidP="009C4B0A">
      <w:pPr>
        <w:spacing w:line="480" w:lineRule="auto"/>
      </w:pPr>
      <w:r>
        <w:rPr>
          <w:noProof/>
        </w:rPr>
        <w:lastRenderedPageBreak/>
        <w:drawing>
          <wp:inline distT="0" distB="0" distL="0" distR="0" wp14:anchorId="3B16FE26" wp14:editId="4E6CD0D8">
            <wp:extent cx="5609230" cy="40606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7163" cy="4073657"/>
                    </a:xfrm>
                    <a:prstGeom prst="rect">
                      <a:avLst/>
                    </a:prstGeom>
                    <a:noFill/>
                  </pic:spPr>
                </pic:pic>
              </a:graphicData>
            </a:graphic>
          </wp:inline>
        </w:drawing>
      </w:r>
    </w:p>
    <w:p w14:paraId="0C6B33AF" w14:textId="77777777" w:rsidR="007D19A1" w:rsidRDefault="007D19A1" w:rsidP="007D19A1">
      <w:pPr>
        <w:pStyle w:val="ListParagraph"/>
        <w:spacing w:line="480" w:lineRule="auto"/>
        <w:ind w:left="1440"/>
      </w:pPr>
    </w:p>
    <w:p w14:paraId="0393DFB8" w14:textId="7EF752F1" w:rsidR="005B0287" w:rsidRDefault="005B0287" w:rsidP="005B0287">
      <w:pPr>
        <w:pStyle w:val="ListParagraph"/>
        <w:numPr>
          <w:ilvl w:val="0"/>
          <w:numId w:val="8"/>
        </w:numPr>
        <w:spacing w:line="480" w:lineRule="auto"/>
      </w:pPr>
      <w:r>
        <w:t xml:space="preserve">combined commercial load </w:t>
      </w:r>
      <w:r w:rsidR="001E4F0C">
        <w:t xml:space="preserve">of both providers </w:t>
      </w:r>
      <w:r>
        <w:t xml:space="preserve">increased by </w:t>
      </w:r>
      <w:r w:rsidR="00660CC5">
        <w:t xml:space="preserve">an average of </w:t>
      </w:r>
      <w:r w:rsidR="00681D1B">
        <w:t>3.0</w:t>
      </w:r>
      <w:r>
        <w:t xml:space="preserve">% per year from </w:t>
      </w:r>
      <w:r w:rsidR="00681D1B">
        <w:t>1990 through 2005, flattened from 2005</w:t>
      </w:r>
      <w:r>
        <w:t xml:space="preserve"> through 2010, and </w:t>
      </w:r>
      <w:r w:rsidR="00660CC5">
        <w:t xml:space="preserve">then </w:t>
      </w:r>
      <w:r>
        <w:t xml:space="preserve">grew by </w:t>
      </w:r>
      <w:r w:rsidR="00660CC5">
        <w:t xml:space="preserve">an average of </w:t>
      </w:r>
      <w:r w:rsidR="00681D1B">
        <w:t>2.6</w:t>
      </w:r>
      <w:r>
        <w:t>% per year from 2010 through 2015;</w:t>
      </w:r>
    </w:p>
    <w:p w14:paraId="5DD1E765" w14:textId="7AB8E3A2" w:rsidR="00E05EDE" w:rsidRDefault="009C4B0A" w:rsidP="009C4B0A">
      <w:pPr>
        <w:spacing w:line="480" w:lineRule="auto"/>
      </w:pPr>
      <w:r>
        <w:rPr>
          <w:noProof/>
        </w:rPr>
        <w:lastRenderedPageBreak/>
        <w:drawing>
          <wp:inline distT="0" distB="0" distL="0" distR="0" wp14:anchorId="2201AFAB" wp14:editId="7900A6A8">
            <wp:extent cx="5540991" cy="4011274"/>
            <wp:effectExtent l="0" t="0" r="317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7755" cy="4023410"/>
                    </a:xfrm>
                    <a:prstGeom prst="rect">
                      <a:avLst/>
                    </a:prstGeom>
                    <a:noFill/>
                  </pic:spPr>
                </pic:pic>
              </a:graphicData>
            </a:graphic>
          </wp:inline>
        </w:drawing>
      </w:r>
    </w:p>
    <w:p w14:paraId="43FB133B" w14:textId="77777777" w:rsidR="007D19A1" w:rsidRDefault="007D19A1" w:rsidP="007D19A1">
      <w:pPr>
        <w:pStyle w:val="ListParagraph"/>
        <w:spacing w:line="480" w:lineRule="auto"/>
        <w:ind w:left="1440"/>
      </w:pPr>
      <w:bookmarkStart w:id="0" w:name="_GoBack"/>
      <w:bookmarkEnd w:id="0"/>
    </w:p>
    <w:p w14:paraId="01381D04" w14:textId="45C32C85" w:rsidR="000E7F75" w:rsidRDefault="00660CC5" w:rsidP="009C4B0A">
      <w:pPr>
        <w:pStyle w:val="ListParagraph"/>
        <w:numPr>
          <w:ilvl w:val="0"/>
          <w:numId w:val="8"/>
        </w:numPr>
        <w:spacing w:line="480" w:lineRule="auto"/>
      </w:pPr>
      <w:r>
        <w:t>an average</w:t>
      </w:r>
      <w:r w:rsidR="005B0287">
        <w:t xml:space="preserve"> </w:t>
      </w:r>
      <w:r>
        <w:t xml:space="preserve">annual </w:t>
      </w:r>
      <w:r w:rsidR="00130489">
        <w:t xml:space="preserve">decrease of </w:t>
      </w:r>
      <w:r w:rsidR="00681D1B">
        <w:t>2.1</w:t>
      </w:r>
      <w:r w:rsidR="005B0287">
        <w:t xml:space="preserve">% in </w:t>
      </w:r>
      <w:r w:rsidR="001E4F0C">
        <w:t xml:space="preserve">the </w:t>
      </w:r>
      <w:r w:rsidR="005B0287">
        <w:t>combined</w:t>
      </w:r>
      <w:r w:rsidR="006E542C">
        <w:t xml:space="preserve"> commercial customer count</w:t>
      </w:r>
      <w:r w:rsidR="006F0D20">
        <w:t>s</w:t>
      </w:r>
      <w:r w:rsidR="006E542C">
        <w:t xml:space="preserve"> </w:t>
      </w:r>
      <w:r w:rsidR="001E4F0C">
        <w:t xml:space="preserve">of both providers </w:t>
      </w:r>
      <w:r w:rsidR="00DE05EC">
        <w:t>through the same period</w:t>
      </w:r>
      <w:r w:rsidR="006F0D20">
        <w:t>,</w:t>
      </w:r>
      <w:r w:rsidR="00DE05EC">
        <w:t xml:space="preserve"> 2010 to 2015</w:t>
      </w:r>
      <w:r w:rsidR="006F0D20">
        <w:t>,</w:t>
      </w:r>
      <w:r w:rsidR="00DE05EC">
        <w:t xml:space="preserve"> </w:t>
      </w:r>
      <w:r w:rsidR="006F0D20">
        <w:t>indicates</w:t>
      </w:r>
      <w:r w:rsidR="00E630F7">
        <w:t xml:space="preserve"> that the</w:t>
      </w:r>
      <w:r w:rsidR="006E542C">
        <w:t xml:space="preserve"> average load </w:t>
      </w:r>
      <w:r w:rsidR="00E630F7">
        <w:t xml:space="preserve">per </w:t>
      </w:r>
      <w:r w:rsidR="006E542C">
        <w:t xml:space="preserve">commercial </w:t>
      </w:r>
      <w:r w:rsidR="00E630F7">
        <w:t>account is growing</w:t>
      </w:r>
      <w:r w:rsidR="006E542C">
        <w:t xml:space="preserve">. </w:t>
      </w:r>
    </w:p>
    <w:p w14:paraId="1FC85C29" w14:textId="34857236" w:rsidR="00E05EDE" w:rsidRDefault="00E05EDE" w:rsidP="00516AF8">
      <w:pPr>
        <w:spacing w:line="480" w:lineRule="auto"/>
        <w:ind w:left="720" w:hanging="720"/>
        <w:rPr>
          <w:b/>
        </w:rPr>
      </w:pPr>
    </w:p>
    <w:p w14:paraId="4B47431D" w14:textId="2761E461" w:rsidR="007605E0" w:rsidRDefault="007605E0" w:rsidP="001C08C3">
      <w:pPr>
        <w:spacing w:line="480" w:lineRule="auto"/>
        <w:rPr>
          <w:b/>
        </w:rPr>
      </w:pPr>
      <w:r>
        <w:rPr>
          <w:b/>
        </w:rPr>
        <w:t>Q.</w:t>
      </w:r>
      <w:r>
        <w:rPr>
          <w:b/>
        </w:rPr>
        <w:tab/>
      </w:r>
      <w:r w:rsidR="00220689">
        <w:rPr>
          <w:b/>
        </w:rPr>
        <w:t>W</w:t>
      </w:r>
      <w:r>
        <w:rPr>
          <w:b/>
        </w:rPr>
        <w:t xml:space="preserve">hat did you </w:t>
      </w:r>
      <w:r w:rsidR="00220689">
        <w:rPr>
          <w:b/>
        </w:rPr>
        <w:t xml:space="preserve">learn </w:t>
      </w:r>
      <w:r>
        <w:rPr>
          <w:b/>
        </w:rPr>
        <w:t>from that market data?</w:t>
      </w:r>
    </w:p>
    <w:p w14:paraId="71F2DC46" w14:textId="1F78C509" w:rsidR="007605E0" w:rsidRPr="001C08C3" w:rsidRDefault="007605E0" w:rsidP="001C08C3">
      <w:pPr>
        <w:spacing w:line="480" w:lineRule="auto"/>
        <w:ind w:left="720" w:hanging="720"/>
      </w:pPr>
      <w:r w:rsidRPr="00BC11EB">
        <w:t>A.</w:t>
      </w:r>
      <w:r w:rsidRPr="00BC11EB">
        <w:tab/>
      </w:r>
      <w:r w:rsidR="000224B2">
        <w:t>The commercial class appeared</w:t>
      </w:r>
      <w:r w:rsidR="00BC11EB">
        <w:t xml:space="preserve"> to represent </w:t>
      </w:r>
      <w:r w:rsidR="00D310B1">
        <w:t xml:space="preserve">the most </w:t>
      </w:r>
      <w:r w:rsidR="00BC11EB">
        <w:t xml:space="preserve">significant </w:t>
      </w:r>
      <w:r w:rsidR="00D310B1">
        <w:t>opportunity for load growth</w:t>
      </w:r>
      <w:r w:rsidR="00DF1100">
        <w:t xml:space="preserve"> in the service areas</w:t>
      </w:r>
      <w:r w:rsidR="000224B2">
        <w:t>, and both the Company and CREA appeared to share that growth</w:t>
      </w:r>
      <w:r w:rsidR="00BC11EB">
        <w:t xml:space="preserve">. </w:t>
      </w:r>
    </w:p>
    <w:p w14:paraId="77AE727B" w14:textId="77777777" w:rsidR="00EF2D4E" w:rsidRDefault="00EF2D4E" w:rsidP="003F300B">
      <w:pPr>
        <w:spacing w:line="480" w:lineRule="auto"/>
      </w:pPr>
    </w:p>
    <w:p w14:paraId="4DBE2A75" w14:textId="78A40683" w:rsidR="005E4C0E" w:rsidRPr="005E4C0E" w:rsidRDefault="005E4C0E" w:rsidP="005E4C0E">
      <w:pPr>
        <w:spacing w:line="480" w:lineRule="auto"/>
        <w:ind w:left="720" w:hanging="720"/>
        <w:rPr>
          <w:b/>
        </w:rPr>
      </w:pPr>
      <w:r>
        <w:rPr>
          <w:b/>
        </w:rPr>
        <w:lastRenderedPageBreak/>
        <w:t>Q.</w:t>
      </w:r>
      <w:r>
        <w:rPr>
          <w:b/>
        </w:rPr>
        <w:tab/>
      </w:r>
      <w:r w:rsidR="003F300B">
        <w:rPr>
          <w:b/>
        </w:rPr>
        <w:t>Based on your analysis, w</w:t>
      </w:r>
      <w:r w:rsidR="00E630F7">
        <w:rPr>
          <w:b/>
        </w:rPr>
        <w:t xml:space="preserve">hat is your opinion about </w:t>
      </w:r>
      <w:r w:rsidR="004E03A3">
        <w:rPr>
          <w:b/>
        </w:rPr>
        <w:t>the proposed tariff revisions</w:t>
      </w:r>
      <w:r w:rsidRPr="005E4C0E">
        <w:rPr>
          <w:b/>
        </w:rPr>
        <w:t>?</w:t>
      </w:r>
    </w:p>
    <w:p w14:paraId="4AF66E0E" w14:textId="0ECCF2BD" w:rsidR="005E4C0E" w:rsidRPr="005E4C0E" w:rsidRDefault="005E4C0E" w:rsidP="00E630F7">
      <w:pPr>
        <w:spacing w:line="480" w:lineRule="auto"/>
        <w:ind w:left="720" w:hanging="720"/>
      </w:pPr>
      <w:r>
        <w:t>A.</w:t>
      </w:r>
      <w:r>
        <w:tab/>
      </w:r>
      <w:r w:rsidR="003F300B">
        <w:t>T</w:t>
      </w:r>
      <w:r w:rsidRPr="005E4C0E">
        <w:t xml:space="preserve">he proposed tariff revisions </w:t>
      </w:r>
      <w:r w:rsidR="00F82745">
        <w:t xml:space="preserve">unfairly </w:t>
      </w:r>
      <w:r w:rsidR="00927722">
        <w:t>favor</w:t>
      </w:r>
      <w:r w:rsidR="009D6F71">
        <w:t xml:space="preserve"> protecting</w:t>
      </w:r>
      <w:r w:rsidR="00927722">
        <w:t xml:space="preserve"> the traditionally defined utility business model over allowing customer choice. </w:t>
      </w:r>
      <w:r w:rsidR="009D6F71">
        <w:t>They impose</w:t>
      </w:r>
      <w:r w:rsidR="00731BD5">
        <w:t xml:space="preserve"> disconnection related fees that are substantially higher than those under the current tariff</w:t>
      </w:r>
      <w:r w:rsidR="00F82745">
        <w:t>, even though the current provisions appear to be effective</w:t>
      </w:r>
      <w:r w:rsidR="00731BD5">
        <w:t>.</w:t>
      </w:r>
      <w:r w:rsidR="0018125D">
        <w:t xml:space="preserve"> </w:t>
      </w:r>
      <w:r w:rsidRPr="005E4C0E">
        <w:t xml:space="preserve">I do not </w:t>
      </w:r>
      <w:r w:rsidR="00E630F7">
        <w:t>believe</w:t>
      </w:r>
      <w:r w:rsidR="00E630F7" w:rsidRPr="005E4C0E">
        <w:t xml:space="preserve"> </w:t>
      </w:r>
      <w:r w:rsidR="00F82745">
        <w:t>the Company’s proposed</w:t>
      </w:r>
      <w:r w:rsidRPr="005E4C0E">
        <w:t xml:space="preserve"> revisions </w:t>
      </w:r>
      <w:r w:rsidR="00E630F7">
        <w:t>will</w:t>
      </w:r>
      <w:r w:rsidRPr="005E4C0E">
        <w:t xml:space="preserve"> </w:t>
      </w:r>
      <w:r w:rsidR="00E630F7" w:rsidRPr="005E4C0E">
        <w:t>suffic</w:t>
      </w:r>
      <w:r w:rsidR="00E630F7">
        <w:t>e</w:t>
      </w:r>
      <w:r w:rsidR="00E630F7" w:rsidRPr="005E4C0E">
        <w:t xml:space="preserve"> </w:t>
      </w:r>
      <w:r w:rsidRPr="005E4C0E">
        <w:t>to</w:t>
      </w:r>
      <w:r w:rsidR="00F82745">
        <w:t xml:space="preserve"> allow it to</w:t>
      </w:r>
      <w:r w:rsidRPr="005E4C0E">
        <w:t xml:space="preserve"> </w:t>
      </w:r>
      <w:r w:rsidR="00F82745">
        <w:t>respond to the broader competitive challenges it faces in a way that is fair to both the remaining customers and those that choose to disconnect</w:t>
      </w:r>
      <w:r w:rsidRPr="005E4C0E">
        <w:t>.</w:t>
      </w:r>
      <w:r w:rsidR="00F82745">
        <w:t xml:space="preserve"> </w:t>
      </w:r>
    </w:p>
    <w:p w14:paraId="524AF522" w14:textId="77777777" w:rsidR="001E2E50" w:rsidRDefault="001E2E50" w:rsidP="00724F97">
      <w:pPr>
        <w:spacing w:line="480" w:lineRule="auto"/>
      </w:pPr>
    </w:p>
    <w:p w14:paraId="20AAF058" w14:textId="4D99D9AD" w:rsidR="001E2E50" w:rsidRPr="001E2E50" w:rsidRDefault="001E2E50" w:rsidP="001E2E50">
      <w:pPr>
        <w:spacing w:line="480" w:lineRule="auto"/>
        <w:ind w:left="720" w:hanging="720"/>
        <w:rPr>
          <w:b/>
        </w:rPr>
      </w:pPr>
      <w:r w:rsidRPr="001E2E50">
        <w:rPr>
          <w:b/>
        </w:rPr>
        <w:t>Q.</w:t>
      </w:r>
      <w:r w:rsidRPr="001E2E50">
        <w:rPr>
          <w:b/>
        </w:rPr>
        <w:tab/>
      </w:r>
      <w:r w:rsidR="00242FA3">
        <w:rPr>
          <w:b/>
        </w:rPr>
        <w:t>Do you find the revisions to Rule 6</w:t>
      </w:r>
      <w:r w:rsidR="00771CE9">
        <w:rPr>
          <w:b/>
        </w:rPr>
        <w:t xml:space="preserve">, which would </w:t>
      </w:r>
      <w:r w:rsidR="00771CE9" w:rsidRPr="00771CE9">
        <w:rPr>
          <w:b/>
        </w:rPr>
        <w:t>require the departing customer to either purchase stranded facilities or pay for their removal</w:t>
      </w:r>
      <w:r w:rsidR="00771CE9">
        <w:rPr>
          <w:b/>
        </w:rPr>
        <w:t>, to be</w:t>
      </w:r>
      <w:r w:rsidR="00242FA3">
        <w:rPr>
          <w:b/>
        </w:rPr>
        <w:t xml:space="preserve"> fair, just, and reasonable?</w:t>
      </w:r>
    </w:p>
    <w:p w14:paraId="7B9A41DE" w14:textId="741294DA" w:rsidR="00862A6F" w:rsidRDefault="005E4C0E" w:rsidP="005E4C0E">
      <w:pPr>
        <w:spacing w:line="480" w:lineRule="auto"/>
        <w:ind w:left="720" w:hanging="720"/>
      </w:pPr>
      <w:r>
        <w:t>A.</w:t>
      </w:r>
      <w:r>
        <w:tab/>
      </w:r>
      <w:r w:rsidR="00610DC4">
        <w:t>Not exactly—I believe the options have conceptual merit, but I am concerned about how they would be implemented</w:t>
      </w:r>
      <w:r w:rsidR="00242FA3">
        <w:t xml:space="preserve">. </w:t>
      </w:r>
      <w:r w:rsidRPr="005E4C0E">
        <w:t>I find that providing customers who choose to disconnect from the Company’s system with the option to either</w:t>
      </w:r>
      <w:r w:rsidR="00B83E83">
        <w:t xml:space="preserve">: </w:t>
      </w:r>
      <w:r w:rsidR="00144D6C">
        <w:t>(</w:t>
      </w:r>
      <w:r w:rsidR="00B83E83">
        <w:t xml:space="preserve">1) </w:t>
      </w:r>
      <w:r w:rsidRPr="005E4C0E">
        <w:t xml:space="preserve">pay </w:t>
      </w:r>
      <w:r w:rsidR="001C489A">
        <w:t xml:space="preserve">the cost of </w:t>
      </w:r>
      <w:r w:rsidR="00BC60E4">
        <w:t xml:space="preserve">removing </w:t>
      </w:r>
      <w:r w:rsidR="001C489A">
        <w:t xml:space="preserve">or decommissioning </w:t>
      </w:r>
      <w:r w:rsidR="00BC60E4">
        <w:t xml:space="preserve">the </w:t>
      </w:r>
      <w:r w:rsidR="001C489A">
        <w:t xml:space="preserve">facilities used to </w:t>
      </w:r>
      <w:r w:rsidR="00BC60E4">
        <w:t xml:space="preserve">serve </w:t>
      </w:r>
      <w:r w:rsidR="001C489A">
        <w:t>them</w:t>
      </w:r>
      <w:r w:rsidR="00B83E83">
        <w:t>,</w:t>
      </w:r>
      <w:r w:rsidR="001C489A">
        <w:t xml:space="preserve"> </w:t>
      </w:r>
      <w:r w:rsidRPr="005E4C0E">
        <w:t xml:space="preserve">or </w:t>
      </w:r>
      <w:r w:rsidR="00144D6C">
        <w:t>(</w:t>
      </w:r>
      <w:r w:rsidR="00B83E83">
        <w:t xml:space="preserve">2) </w:t>
      </w:r>
      <w:r w:rsidRPr="005E4C0E">
        <w:t xml:space="preserve">purchase </w:t>
      </w:r>
      <w:r w:rsidR="00BC60E4">
        <w:t>those facilities</w:t>
      </w:r>
      <w:r w:rsidR="00CF3510">
        <w:t xml:space="preserve"> at fair market value</w:t>
      </w:r>
      <w:r w:rsidR="00B83E83">
        <w:t xml:space="preserve"> </w:t>
      </w:r>
      <w:r w:rsidR="0028069F">
        <w:t>with the proceeds allocated to remaining customers</w:t>
      </w:r>
      <w:r w:rsidR="00B83E83">
        <w:t>,</w:t>
      </w:r>
      <w:r w:rsidRPr="005E4C0E">
        <w:t xml:space="preserve"> </w:t>
      </w:r>
      <w:r w:rsidR="0028069F">
        <w:t xml:space="preserve">to be </w:t>
      </w:r>
      <w:r w:rsidR="00BC60E4">
        <w:t>conceptually</w:t>
      </w:r>
      <w:r w:rsidR="00B83E83">
        <w:t>,</w:t>
      </w:r>
      <w:r w:rsidR="00BC60E4">
        <w:t xml:space="preserve"> </w:t>
      </w:r>
      <w:r w:rsidRPr="005E4C0E">
        <w:t>a fair balance between the interests of remaining customers and the interests of departing customers.</w:t>
      </w:r>
      <w:r w:rsidR="00862A6F">
        <w:t xml:space="preserve"> </w:t>
      </w:r>
      <w:r w:rsidR="00144D6C">
        <w:t>However, I am concerned about the practicality</w:t>
      </w:r>
      <w:r w:rsidR="00FD784C">
        <w:t xml:space="preserve"> of their implementation and administration. </w:t>
      </w:r>
    </w:p>
    <w:p w14:paraId="39B3F381" w14:textId="77777777" w:rsidR="005E4C0E" w:rsidRDefault="005E4C0E" w:rsidP="00610DC4">
      <w:pPr>
        <w:spacing w:line="480" w:lineRule="auto"/>
      </w:pPr>
    </w:p>
    <w:p w14:paraId="47915BDA" w14:textId="10039358" w:rsidR="005E4C0E" w:rsidRPr="005E4C0E" w:rsidRDefault="005E4C0E" w:rsidP="005E4C0E">
      <w:pPr>
        <w:spacing w:line="480" w:lineRule="auto"/>
        <w:ind w:left="720" w:hanging="720"/>
        <w:rPr>
          <w:b/>
        </w:rPr>
      </w:pPr>
      <w:r w:rsidRPr="005E4C0E">
        <w:rPr>
          <w:b/>
        </w:rPr>
        <w:lastRenderedPageBreak/>
        <w:t>Q.</w:t>
      </w:r>
      <w:r w:rsidRPr="005E4C0E">
        <w:rPr>
          <w:b/>
        </w:rPr>
        <w:tab/>
      </w:r>
      <w:r w:rsidR="000D6C87">
        <w:rPr>
          <w:b/>
        </w:rPr>
        <w:t xml:space="preserve">What is </w:t>
      </w:r>
      <w:r w:rsidR="00610DC4">
        <w:rPr>
          <w:b/>
        </w:rPr>
        <w:t xml:space="preserve">your </w:t>
      </w:r>
      <w:r w:rsidR="000D6C87">
        <w:rPr>
          <w:b/>
        </w:rPr>
        <w:t xml:space="preserve">concern with </w:t>
      </w:r>
      <w:r w:rsidRPr="005E4C0E">
        <w:rPr>
          <w:b/>
        </w:rPr>
        <w:t xml:space="preserve">regard to </w:t>
      </w:r>
      <w:r w:rsidR="00DE49AF">
        <w:rPr>
          <w:b/>
        </w:rPr>
        <w:t xml:space="preserve">the method of </w:t>
      </w:r>
      <w:r w:rsidRPr="005E4C0E">
        <w:rPr>
          <w:b/>
        </w:rPr>
        <w:t>establishing fair market value?</w:t>
      </w:r>
    </w:p>
    <w:p w14:paraId="4A423667" w14:textId="69F40937" w:rsidR="006324C0" w:rsidRDefault="005E4C0E" w:rsidP="00757917">
      <w:pPr>
        <w:spacing w:line="480" w:lineRule="auto"/>
        <w:ind w:left="720" w:hanging="720"/>
      </w:pPr>
      <w:r>
        <w:t>A.</w:t>
      </w:r>
      <w:r>
        <w:tab/>
      </w:r>
      <w:r w:rsidR="00B13F08">
        <w:t>As defined in the proposed Third Revision of Rule 1, “Fair Market Value” would be “as determined by the Company or a Company re</w:t>
      </w:r>
      <w:r w:rsidR="00CF3510">
        <w:t>quested third part appraisal.”</w:t>
      </w:r>
      <w:r w:rsidR="0018125D">
        <w:t xml:space="preserve"> </w:t>
      </w:r>
      <w:r w:rsidR="006324C0" w:rsidRPr="006324C0">
        <w:t>I</w:t>
      </w:r>
      <w:r w:rsidR="00C40946">
        <w:t xml:space="preserve"> do not</w:t>
      </w:r>
      <w:r w:rsidR="006324C0" w:rsidRPr="006324C0">
        <w:t xml:space="preserve"> find </w:t>
      </w:r>
      <w:r w:rsidR="00AA4FE0">
        <w:t>that</w:t>
      </w:r>
      <w:r w:rsidR="006324C0" w:rsidRPr="006324C0">
        <w:t xml:space="preserve"> this approach </w:t>
      </w:r>
      <w:r w:rsidR="00C40946">
        <w:t>assure</w:t>
      </w:r>
      <w:r w:rsidR="00AA4FE0">
        <w:t>s</w:t>
      </w:r>
      <w:r w:rsidR="00C40946">
        <w:t xml:space="preserve"> a fair determination </w:t>
      </w:r>
      <w:r w:rsidR="00F46E9F">
        <w:t xml:space="preserve">of fair market value </w:t>
      </w:r>
      <w:r w:rsidR="006324C0" w:rsidRPr="006324C0">
        <w:t>to a customer who chooses to leave the Company’s system.</w:t>
      </w:r>
      <w:r w:rsidR="0018125D">
        <w:t xml:space="preserve"> </w:t>
      </w:r>
      <w:r w:rsidR="00731BD5">
        <w:t>Additionally, I can see a possibility of ongoing dispute in that the concept of fair market value is intended to apply to establishing a price between willing buyers and sellers within a broadly defined market.</w:t>
      </w:r>
      <w:r w:rsidR="0018125D">
        <w:t xml:space="preserve"> </w:t>
      </w:r>
      <w:r w:rsidR="00731BD5">
        <w:t xml:space="preserve">The market for installed distribution facilities </w:t>
      </w:r>
      <w:r w:rsidR="003A1F50">
        <w:t>instead provides a probability of unique, one-off transactions.</w:t>
      </w:r>
      <w:r w:rsidR="0018125D">
        <w:t xml:space="preserve"> </w:t>
      </w:r>
      <w:r w:rsidR="004D68FB">
        <w:t>Ultimately</w:t>
      </w:r>
      <w:r w:rsidR="00610DC4">
        <w:t xml:space="preserve">, the </w:t>
      </w:r>
      <w:r w:rsidR="00D45706">
        <w:t xml:space="preserve">transfer of property might raise concerns that would </w:t>
      </w:r>
      <w:r w:rsidR="004D68FB">
        <w:t xml:space="preserve">(or should) </w:t>
      </w:r>
      <w:r w:rsidR="00DF69F1">
        <w:t>be subject to Commission review</w:t>
      </w:r>
      <w:r w:rsidR="004D68FB">
        <w:t xml:space="preserve"> under the transfers of property statutes and rules</w:t>
      </w:r>
      <w:r w:rsidR="00DF69F1">
        <w:t>.</w:t>
      </w:r>
      <w:r w:rsidR="00DF69F1">
        <w:rPr>
          <w:rStyle w:val="FootnoteReference"/>
        </w:rPr>
        <w:footnoteReference w:id="31"/>
      </w:r>
    </w:p>
    <w:p w14:paraId="7D9E7046" w14:textId="3BFE9359" w:rsidR="0075730D" w:rsidRDefault="0075730D" w:rsidP="00757917">
      <w:pPr>
        <w:spacing w:line="480" w:lineRule="auto"/>
        <w:ind w:left="720" w:hanging="720"/>
      </w:pPr>
    </w:p>
    <w:p w14:paraId="617D1229" w14:textId="3AA4D5E5" w:rsidR="001E2E50" w:rsidRPr="001E2E50" w:rsidRDefault="001E2E50">
      <w:pPr>
        <w:spacing w:line="480" w:lineRule="auto"/>
        <w:ind w:left="720" w:hanging="720"/>
        <w:rPr>
          <w:b/>
        </w:rPr>
      </w:pPr>
      <w:r w:rsidRPr="001E2E50">
        <w:rPr>
          <w:b/>
        </w:rPr>
        <w:t>Q.</w:t>
      </w:r>
      <w:r w:rsidRPr="001E2E50">
        <w:rPr>
          <w:b/>
        </w:rPr>
        <w:tab/>
      </w:r>
      <w:r w:rsidR="00242FA3">
        <w:rPr>
          <w:b/>
        </w:rPr>
        <w:t>Do you find the</w:t>
      </w:r>
      <w:r w:rsidRPr="001E2E50">
        <w:rPr>
          <w:b/>
        </w:rPr>
        <w:t xml:space="preserve"> proposed </w:t>
      </w:r>
      <w:r w:rsidR="00F6525B">
        <w:rPr>
          <w:b/>
        </w:rPr>
        <w:t>revisions to Schedule 300</w:t>
      </w:r>
      <w:r w:rsidR="004D68FB">
        <w:rPr>
          <w:b/>
        </w:rPr>
        <w:t xml:space="preserve">, which would </w:t>
      </w:r>
      <w:r w:rsidR="004D68FB" w:rsidRPr="004D68FB">
        <w:rPr>
          <w:b/>
        </w:rPr>
        <w:t xml:space="preserve">require </w:t>
      </w:r>
      <w:r w:rsidR="004D68FB">
        <w:rPr>
          <w:b/>
        </w:rPr>
        <w:t>a</w:t>
      </w:r>
      <w:r w:rsidR="004D68FB" w:rsidRPr="004D68FB">
        <w:rPr>
          <w:b/>
        </w:rPr>
        <w:t xml:space="preserve"> departing customer to pay a Stranded Cost Recovery Fee</w:t>
      </w:r>
      <w:r w:rsidR="004D68FB">
        <w:rPr>
          <w:b/>
        </w:rPr>
        <w:t>, to be</w:t>
      </w:r>
      <w:r w:rsidRPr="001E2E50">
        <w:rPr>
          <w:b/>
        </w:rPr>
        <w:t xml:space="preserve"> </w:t>
      </w:r>
      <w:r w:rsidR="00242FA3">
        <w:rPr>
          <w:b/>
        </w:rPr>
        <w:t>fair, just, and reasonable</w:t>
      </w:r>
      <w:r w:rsidRPr="001E2E50">
        <w:rPr>
          <w:b/>
        </w:rPr>
        <w:t>?</w:t>
      </w:r>
    </w:p>
    <w:p w14:paraId="3C48444F" w14:textId="06B2C6E9" w:rsidR="001C489A" w:rsidRDefault="001E2E50" w:rsidP="00292C92">
      <w:pPr>
        <w:spacing w:line="480" w:lineRule="auto"/>
        <w:ind w:left="720" w:hanging="720"/>
      </w:pPr>
      <w:r>
        <w:t>A.</w:t>
      </w:r>
      <w:r>
        <w:tab/>
      </w:r>
      <w:r w:rsidR="00F6525B">
        <w:t xml:space="preserve">No. </w:t>
      </w:r>
      <w:r w:rsidR="00757917">
        <w:t xml:space="preserve">Pacific Power takes </w:t>
      </w:r>
      <w:r w:rsidR="004D68FB">
        <w:t>an overly</w:t>
      </w:r>
      <w:r w:rsidR="00FD784C">
        <w:t xml:space="preserve"> broad</w:t>
      </w:r>
      <w:r w:rsidR="00F6525B">
        <w:t xml:space="preserve"> </w:t>
      </w:r>
      <w:r w:rsidR="00757917">
        <w:t xml:space="preserve">view of the costs </w:t>
      </w:r>
      <w:r w:rsidR="00FD784C">
        <w:t>shifts caused</w:t>
      </w:r>
      <w:r w:rsidR="004C060A">
        <w:t xml:space="preserve"> by a disconnecting customer</w:t>
      </w:r>
      <w:r w:rsidR="00FD784C">
        <w:t xml:space="preserve"> (the costs are not “stranded” from recovery)</w:t>
      </w:r>
      <w:r w:rsidR="00EC538C">
        <w:t xml:space="preserve"> and </w:t>
      </w:r>
      <w:r w:rsidR="00FD784C">
        <w:t xml:space="preserve">it </w:t>
      </w:r>
      <w:r w:rsidR="00EC538C">
        <w:t xml:space="preserve">fails to account for </w:t>
      </w:r>
      <w:r w:rsidR="00FD784C">
        <w:t xml:space="preserve">the </w:t>
      </w:r>
      <w:r w:rsidR="00EC538C">
        <w:t xml:space="preserve">various ways it could mitigate </w:t>
      </w:r>
      <w:r w:rsidR="00FD784C">
        <w:t>the</w:t>
      </w:r>
      <w:r w:rsidR="00EC538C">
        <w:t xml:space="preserve"> potential cost shifts that would take place between departing and remaining customers</w:t>
      </w:r>
      <w:r w:rsidR="00757917">
        <w:t>. For instance, Pacific Power includes an</w:t>
      </w:r>
      <w:r w:rsidRPr="001E2E50">
        <w:t xml:space="preserve"> allocation of revenue based on generation and transmission costs over a ten-year time horizon</w:t>
      </w:r>
      <w:r w:rsidR="00292C92">
        <w:t>.</w:t>
      </w:r>
      <w:r w:rsidR="0018125D">
        <w:t xml:space="preserve"> </w:t>
      </w:r>
      <w:r w:rsidR="00EC538C">
        <w:t>But</w:t>
      </w:r>
      <w:r w:rsidR="00C36C40">
        <w:t>,</w:t>
      </w:r>
      <w:r w:rsidR="00EC538C">
        <w:t xml:space="preserve"> it</w:t>
      </w:r>
      <w:r w:rsidR="00EC538C" w:rsidRPr="001E2E50">
        <w:t xml:space="preserve"> </w:t>
      </w:r>
      <w:r w:rsidRPr="001E2E50">
        <w:t>fails to consider the mitigating effect of that capacity</w:t>
      </w:r>
      <w:r w:rsidR="00635F92">
        <w:t xml:space="preserve"> </w:t>
      </w:r>
      <w:r w:rsidR="00635F92">
        <w:lastRenderedPageBreak/>
        <w:t>being absorbed by growth throughout the Company’s western states</w:t>
      </w:r>
      <w:r w:rsidR="00EC538C">
        <w:t xml:space="preserve"> or the potential for the capacity to be sold in the wholesale market</w:t>
      </w:r>
      <w:r w:rsidR="00CF5814">
        <w:t xml:space="preserve"> or to other customers in its multi-state system</w:t>
      </w:r>
      <w:r w:rsidR="00EC538C" w:rsidRPr="001E2E50">
        <w:t>.</w:t>
      </w:r>
      <w:r w:rsidR="00EC538C">
        <w:t xml:space="preserve"> </w:t>
      </w:r>
    </w:p>
    <w:p w14:paraId="142CD699" w14:textId="112B1511" w:rsidR="00022547" w:rsidRPr="001E2E50" w:rsidRDefault="001C489A" w:rsidP="0021497B">
      <w:pPr>
        <w:spacing w:line="480" w:lineRule="auto"/>
        <w:ind w:left="720" w:hanging="720"/>
      </w:pPr>
      <w:r>
        <w:tab/>
      </w:r>
      <w:r>
        <w:tab/>
      </w:r>
      <w:r w:rsidR="00677EDB">
        <w:t xml:space="preserve">With regard to </w:t>
      </w:r>
      <w:r w:rsidR="00DE0AB6">
        <w:t xml:space="preserve">“stranded” distribution costs, it appears that the basis for these costs may include compensation for the same customer-specific facilities </w:t>
      </w:r>
      <w:r w:rsidR="000A7B38">
        <w:t xml:space="preserve">that are </w:t>
      </w:r>
      <w:r w:rsidR="00DE0AB6">
        <w:t>either purchased or removed at the departing customers cost under the proposed modifications of Rule 6.</w:t>
      </w:r>
      <w:r w:rsidR="0018125D">
        <w:t xml:space="preserve"> </w:t>
      </w:r>
      <w:r w:rsidR="00DE0AB6">
        <w:t xml:space="preserve">Moreover, </w:t>
      </w:r>
      <w:r w:rsidR="000A7B38">
        <w:t>t</w:t>
      </w:r>
      <w:r w:rsidR="001E2E50" w:rsidRPr="001E2E50">
        <w:t xml:space="preserve">he Company’s planning cycle for distribution </w:t>
      </w:r>
      <w:r w:rsidR="0021497B">
        <w:t xml:space="preserve">asset and expense planning </w:t>
      </w:r>
      <w:r w:rsidR="00635F92">
        <w:t xml:space="preserve">is </w:t>
      </w:r>
      <w:r w:rsidR="000A7B38">
        <w:t>a more</w:t>
      </w:r>
      <w:r w:rsidR="0021497B">
        <w:t xml:space="preserve"> appropriate </w:t>
      </w:r>
      <w:r w:rsidR="00ED4365">
        <w:t xml:space="preserve">time </w:t>
      </w:r>
      <w:r w:rsidR="000A7B38">
        <w:t xml:space="preserve">horizon </w:t>
      </w:r>
      <w:r w:rsidR="00ED4365">
        <w:t xml:space="preserve">over which </w:t>
      </w:r>
      <w:r w:rsidR="000A7B38">
        <w:t>any such</w:t>
      </w:r>
      <w:r w:rsidR="00ED4365">
        <w:t xml:space="preserve"> share of costs </w:t>
      </w:r>
      <w:r w:rsidR="000A7B38">
        <w:t>sh</w:t>
      </w:r>
      <w:r w:rsidR="00ED4365">
        <w:t>ould be discounted</w:t>
      </w:r>
      <w:r w:rsidR="00FD784C">
        <w:t>.</w:t>
      </w:r>
      <w:r w:rsidR="0018125D">
        <w:t xml:space="preserve"> </w:t>
      </w:r>
      <w:r w:rsidR="000A7B38">
        <w:t>T</w:t>
      </w:r>
      <w:r w:rsidR="00635F92">
        <w:t xml:space="preserve">his is </w:t>
      </w:r>
      <w:r w:rsidR="000A7B38">
        <w:t>the</w:t>
      </w:r>
      <w:r w:rsidR="00635F92">
        <w:t xml:space="preserve"> most relevant </w:t>
      </w:r>
      <w:r w:rsidR="00ED4365">
        <w:t xml:space="preserve">time period </w:t>
      </w:r>
      <w:r w:rsidR="00635F92">
        <w:t xml:space="preserve">to </w:t>
      </w:r>
      <w:r w:rsidR="00ED4365">
        <w:t xml:space="preserve">the </w:t>
      </w:r>
      <w:r w:rsidR="002C6FAD">
        <w:t>services provided and their replacement cycles.</w:t>
      </w:r>
    </w:p>
    <w:p w14:paraId="7F319E4D" w14:textId="77777777" w:rsidR="008A0E0B" w:rsidRDefault="008A0E0B" w:rsidP="00724F97">
      <w:pPr>
        <w:ind w:left="720" w:hanging="720"/>
        <w:jc w:val="center"/>
        <w:rPr>
          <w:b/>
        </w:rPr>
      </w:pPr>
    </w:p>
    <w:p w14:paraId="432DDED7" w14:textId="2D6406E0" w:rsidR="00C46184" w:rsidRDefault="00516AF8" w:rsidP="00724F97">
      <w:pPr>
        <w:ind w:left="720" w:hanging="720"/>
        <w:jc w:val="center"/>
        <w:rPr>
          <w:b/>
        </w:rPr>
      </w:pPr>
      <w:r>
        <w:rPr>
          <w:b/>
        </w:rPr>
        <w:t>VII</w:t>
      </w:r>
      <w:r w:rsidR="00C46184" w:rsidRPr="001E2E50">
        <w:rPr>
          <w:b/>
        </w:rPr>
        <w:t>. PACIFIC POWER’S COMPETITIVE POSITION</w:t>
      </w:r>
      <w:r w:rsidR="00C46184">
        <w:rPr>
          <w:b/>
        </w:rPr>
        <w:t xml:space="preserve"> </w:t>
      </w:r>
    </w:p>
    <w:p w14:paraId="084AB0A0" w14:textId="51CAA8F5" w:rsidR="001E2E50" w:rsidRPr="001E2E50" w:rsidRDefault="00C46184" w:rsidP="00724F97">
      <w:pPr>
        <w:ind w:left="720" w:hanging="720"/>
        <w:jc w:val="center"/>
        <w:rPr>
          <w:b/>
        </w:rPr>
      </w:pPr>
      <w:r>
        <w:rPr>
          <w:b/>
        </w:rPr>
        <w:t>IN ITS WASHINGTON TERRITORY</w:t>
      </w:r>
    </w:p>
    <w:p w14:paraId="3466AED6" w14:textId="77777777" w:rsidR="001E2E50" w:rsidRDefault="001E2E50" w:rsidP="002508AF">
      <w:pPr>
        <w:keepNext/>
        <w:spacing w:line="480" w:lineRule="auto"/>
        <w:rPr>
          <w:b/>
        </w:rPr>
      </w:pPr>
    </w:p>
    <w:p w14:paraId="02DBE4F9" w14:textId="37A1D4D9" w:rsidR="002C6FAD" w:rsidRDefault="002C6FAD" w:rsidP="002C6FAD">
      <w:pPr>
        <w:spacing w:line="480" w:lineRule="auto"/>
        <w:ind w:left="720" w:hanging="720"/>
        <w:rPr>
          <w:b/>
        </w:rPr>
      </w:pPr>
      <w:r w:rsidRPr="00492BD6">
        <w:rPr>
          <w:b/>
        </w:rPr>
        <w:t>Q:</w:t>
      </w:r>
      <w:r w:rsidRPr="00492BD6">
        <w:rPr>
          <w:b/>
        </w:rPr>
        <w:tab/>
      </w:r>
      <w:r w:rsidR="003668FC">
        <w:rPr>
          <w:b/>
        </w:rPr>
        <w:t>Is</w:t>
      </w:r>
      <w:r w:rsidRPr="00492BD6">
        <w:rPr>
          <w:b/>
        </w:rPr>
        <w:t xml:space="preserve"> Pacific Power’s </w:t>
      </w:r>
      <w:r w:rsidR="00605FFB">
        <w:rPr>
          <w:b/>
        </w:rPr>
        <w:t>competition</w:t>
      </w:r>
      <w:r w:rsidRPr="00492BD6">
        <w:rPr>
          <w:b/>
        </w:rPr>
        <w:t xml:space="preserve"> with CREA limited to the issue of losing its current customers to CREA?</w:t>
      </w:r>
    </w:p>
    <w:p w14:paraId="48EBD0F7" w14:textId="132EC445" w:rsidR="002C6FAD" w:rsidRDefault="002C6FAD" w:rsidP="002C6FAD">
      <w:pPr>
        <w:spacing w:line="480" w:lineRule="auto"/>
        <w:ind w:left="720" w:hanging="720"/>
      </w:pPr>
      <w:r w:rsidRPr="00492BD6">
        <w:t>A.</w:t>
      </w:r>
      <w:r w:rsidRPr="00492BD6">
        <w:tab/>
      </w:r>
      <w:r>
        <w:t>No. CREA appears to be well positioned to capture growth along the developing edges of the Walla Walla and College Park communities.</w:t>
      </w:r>
      <w:r w:rsidR="009F204A">
        <w:rPr>
          <w:rStyle w:val="FootnoteReference"/>
        </w:rPr>
        <w:footnoteReference w:id="32"/>
      </w:r>
      <w:r w:rsidR="0018125D">
        <w:t xml:space="preserve"> </w:t>
      </w:r>
      <w:r w:rsidR="00DF69F1">
        <w:t xml:space="preserve">The areas depicted on the maps in RBD-2 appear to </w:t>
      </w:r>
      <w:r w:rsidR="00FD784C">
        <w:t xml:space="preserve">be </w:t>
      </w:r>
      <w:r w:rsidR="00DF69F1">
        <w:t>where new growth</w:t>
      </w:r>
      <w:r w:rsidR="004542B3" w:rsidDel="00DF69F1">
        <w:t xml:space="preserve"> </w:t>
      </w:r>
      <w:r w:rsidR="00DF69F1">
        <w:t xml:space="preserve">is </w:t>
      </w:r>
      <w:r w:rsidR="004542B3">
        <w:t>occurring</w:t>
      </w:r>
      <w:r w:rsidR="004542B3" w:rsidDel="00DF69F1">
        <w:t>.</w:t>
      </w:r>
    </w:p>
    <w:p w14:paraId="19BC6987" w14:textId="77777777" w:rsidR="002C6FAD" w:rsidRPr="00492BD6" w:rsidRDefault="002C6FAD" w:rsidP="002C6FAD">
      <w:pPr>
        <w:spacing w:line="480" w:lineRule="auto"/>
        <w:ind w:left="720" w:hanging="720"/>
      </w:pPr>
    </w:p>
    <w:p w14:paraId="6C2929B2" w14:textId="77777777" w:rsidR="002C6FAD" w:rsidRDefault="002C6FAD" w:rsidP="002C6FAD">
      <w:pPr>
        <w:spacing w:line="480" w:lineRule="auto"/>
        <w:ind w:left="720" w:hanging="720"/>
        <w:rPr>
          <w:b/>
        </w:rPr>
      </w:pPr>
      <w:r w:rsidRPr="00492BD6">
        <w:rPr>
          <w:b/>
        </w:rPr>
        <w:t>Q:</w:t>
      </w:r>
      <w:r w:rsidRPr="00492BD6">
        <w:rPr>
          <w:b/>
        </w:rPr>
        <w:tab/>
        <w:t>Does CREA appear to be targeting certain types of customers?</w:t>
      </w:r>
    </w:p>
    <w:p w14:paraId="023180B6" w14:textId="5052A0D7" w:rsidR="002C6FAD" w:rsidRPr="00492BD6" w:rsidRDefault="001568F7" w:rsidP="002C6FAD">
      <w:pPr>
        <w:pStyle w:val="ListParagraph"/>
        <w:numPr>
          <w:ilvl w:val="0"/>
          <w:numId w:val="6"/>
        </w:numPr>
        <w:spacing w:line="480" w:lineRule="auto"/>
        <w:ind w:hanging="720"/>
      </w:pPr>
      <w:r>
        <w:t xml:space="preserve">Possibly. </w:t>
      </w:r>
      <w:r w:rsidR="002C6FAD">
        <w:t xml:space="preserve">Based on </w:t>
      </w:r>
      <w:r w:rsidR="00DF69F1">
        <w:t xml:space="preserve">these </w:t>
      </w:r>
      <w:r w:rsidR="002C6FAD">
        <w:t xml:space="preserve">maps indicating </w:t>
      </w:r>
      <w:r w:rsidR="006D0741">
        <w:t xml:space="preserve">reported </w:t>
      </w:r>
      <w:r w:rsidR="002C6FAD">
        <w:t>historical service territory expansion</w:t>
      </w:r>
      <w:r w:rsidR="00DF69F1">
        <w:t xml:space="preserve"> by CREA,</w:t>
      </w:r>
      <w:r w:rsidR="009B7ABA">
        <w:rPr>
          <w:rStyle w:val="FootnoteReference"/>
        </w:rPr>
        <w:footnoteReference w:id="33"/>
      </w:r>
      <w:r w:rsidR="002C6FAD">
        <w:t xml:space="preserve"> </w:t>
      </w:r>
      <w:r w:rsidR="006D0741">
        <w:t xml:space="preserve">and on cursory observations of what appear to be recent </w:t>
      </w:r>
      <w:r w:rsidR="006D0741">
        <w:lastRenderedPageBreak/>
        <w:t>development</w:t>
      </w:r>
      <w:r w:rsidR="00DF69F1">
        <w:t>s</w:t>
      </w:r>
      <w:r w:rsidR="006D0741">
        <w:t xml:space="preserve"> in the area</w:t>
      </w:r>
      <w:r>
        <w:t>,</w:t>
      </w:r>
      <w:r w:rsidR="00DF69F1">
        <w:t xml:space="preserve"> several of these locations appear to include large, big-box retail establishments</w:t>
      </w:r>
      <w:r w:rsidR="002C6FAD">
        <w:t xml:space="preserve">. </w:t>
      </w:r>
    </w:p>
    <w:p w14:paraId="40238116" w14:textId="77777777" w:rsidR="002C6FAD" w:rsidRPr="00492BD6" w:rsidRDefault="002C6FAD" w:rsidP="002C6FAD">
      <w:pPr>
        <w:spacing w:line="480" w:lineRule="auto"/>
        <w:ind w:left="720" w:hanging="720"/>
        <w:rPr>
          <w:b/>
        </w:rPr>
      </w:pPr>
    </w:p>
    <w:p w14:paraId="2D1C00F6" w14:textId="77777777" w:rsidR="00DF1100" w:rsidRDefault="002C6FAD" w:rsidP="00DF1100">
      <w:pPr>
        <w:spacing w:line="480" w:lineRule="auto"/>
        <w:ind w:left="720" w:hanging="720"/>
        <w:rPr>
          <w:b/>
        </w:rPr>
      </w:pPr>
      <w:r w:rsidRPr="00492BD6">
        <w:rPr>
          <w:b/>
        </w:rPr>
        <w:t>Q:</w:t>
      </w:r>
      <w:r w:rsidRPr="00492BD6">
        <w:rPr>
          <w:b/>
        </w:rPr>
        <w:tab/>
        <w:t>Do the customers CREA targets appear susceptible to CREA’s offers?</w:t>
      </w:r>
    </w:p>
    <w:p w14:paraId="63ACABD1" w14:textId="1EF78276" w:rsidR="00103CDE" w:rsidRDefault="00103CDE" w:rsidP="00DF1100">
      <w:pPr>
        <w:spacing w:line="480" w:lineRule="auto"/>
        <w:ind w:left="720" w:hanging="720"/>
        <w:rPr>
          <w:b/>
        </w:rPr>
      </w:pPr>
      <w:r w:rsidRPr="00492BD6">
        <w:t>A.</w:t>
      </w:r>
      <w:r w:rsidRPr="00492BD6">
        <w:tab/>
      </w:r>
      <w:r w:rsidR="003668FC">
        <w:t>To the extent that customer disconnections are occurring, the</w:t>
      </w:r>
      <w:r>
        <w:t xml:space="preserve"> commercial accounts </w:t>
      </w:r>
      <w:r w:rsidR="003668FC">
        <w:t>are</w:t>
      </w:r>
      <w:r>
        <w:t xml:space="preserve"> the most active in pursuing alternate service providers</w:t>
      </w:r>
      <w:r w:rsidR="003668FC">
        <w:t xml:space="preserve">. </w:t>
      </w:r>
    </w:p>
    <w:p w14:paraId="7F7072B0" w14:textId="010EDB20" w:rsidR="00571EED" w:rsidRPr="00103CDE" w:rsidRDefault="00571EED" w:rsidP="00103CDE">
      <w:pPr>
        <w:spacing w:line="480" w:lineRule="auto"/>
        <w:ind w:left="720" w:hanging="720"/>
        <w:rPr>
          <w:b/>
        </w:rPr>
      </w:pPr>
    </w:p>
    <w:p w14:paraId="15FFD48C" w14:textId="65D2B699" w:rsidR="002C6FAD" w:rsidRDefault="001E2E50" w:rsidP="00991E61">
      <w:pPr>
        <w:spacing w:line="480" w:lineRule="auto"/>
        <w:ind w:left="720" w:hanging="720"/>
        <w:rPr>
          <w:b/>
        </w:rPr>
      </w:pPr>
      <w:r>
        <w:rPr>
          <w:b/>
        </w:rPr>
        <w:t>Q.</w:t>
      </w:r>
      <w:r>
        <w:rPr>
          <w:b/>
        </w:rPr>
        <w:tab/>
      </w:r>
      <w:r w:rsidR="002C6FAD" w:rsidRPr="00492BD6">
        <w:rPr>
          <w:b/>
        </w:rPr>
        <w:t xml:space="preserve">Have you examined any data that </w:t>
      </w:r>
      <w:r w:rsidR="002C6FAD">
        <w:rPr>
          <w:b/>
        </w:rPr>
        <w:t>might explain</w:t>
      </w:r>
      <w:r w:rsidR="002C6FAD" w:rsidRPr="00492BD6">
        <w:rPr>
          <w:b/>
        </w:rPr>
        <w:t xml:space="preserve"> </w:t>
      </w:r>
      <w:r w:rsidR="003668FC">
        <w:rPr>
          <w:b/>
        </w:rPr>
        <w:t xml:space="preserve">why commercial </w:t>
      </w:r>
      <w:r w:rsidR="001568F7">
        <w:rPr>
          <w:b/>
        </w:rPr>
        <w:t>ac</w:t>
      </w:r>
      <w:r w:rsidR="003668FC">
        <w:rPr>
          <w:b/>
        </w:rPr>
        <w:t>counts are most susceptible</w:t>
      </w:r>
      <w:r w:rsidR="002C6FAD">
        <w:rPr>
          <w:b/>
        </w:rPr>
        <w:t xml:space="preserve"> to CREA’s offers</w:t>
      </w:r>
      <w:r w:rsidR="002C6FAD" w:rsidRPr="00492BD6">
        <w:rPr>
          <w:b/>
        </w:rPr>
        <w:t>?</w:t>
      </w:r>
    </w:p>
    <w:p w14:paraId="3D961C8E" w14:textId="77777777" w:rsidR="009F36E1" w:rsidRDefault="009F36E1" w:rsidP="00991E61">
      <w:pPr>
        <w:spacing w:line="480" w:lineRule="auto"/>
        <w:ind w:left="720" w:hanging="720"/>
        <w:rPr>
          <w:b/>
        </w:rPr>
      </w:pPr>
    </w:p>
    <w:p w14:paraId="1289ADFE" w14:textId="141437AA" w:rsidR="002C6FAD" w:rsidRDefault="002C6FAD" w:rsidP="002C6FAD">
      <w:pPr>
        <w:spacing w:line="480" w:lineRule="auto"/>
        <w:ind w:left="720" w:hanging="720"/>
      </w:pPr>
      <w:r w:rsidRPr="00492BD6">
        <w:t>A.</w:t>
      </w:r>
      <w:r w:rsidRPr="00492BD6">
        <w:tab/>
      </w:r>
      <w:r>
        <w:t xml:space="preserve">Yes, I have examined </w:t>
      </w:r>
      <w:r w:rsidR="00991E61">
        <w:t xml:space="preserve">the tariffs established in </w:t>
      </w:r>
      <w:r>
        <w:t xml:space="preserve">Commission </w:t>
      </w:r>
      <w:r w:rsidR="001568F7">
        <w:t>o</w:t>
      </w:r>
      <w:r>
        <w:t>rders</w:t>
      </w:r>
      <w:r w:rsidR="008B7FAD">
        <w:t>,</w:t>
      </w:r>
      <w:r>
        <w:t xml:space="preserve"> testimony</w:t>
      </w:r>
      <w:r w:rsidR="001568F7">
        <w:t>,</w:t>
      </w:r>
      <w:r w:rsidR="008B7FAD">
        <w:t xml:space="preserve"> and exhibits</w:t>
      </w:r>
      <w:r>
        <w:t xml:space="preserve"> from the Company’s last two rate cases, </w:t>
      </w:r>
      <w:r w:rsidR="001568F7">
        <w:t xml:space="preserve">Dockets </w:t>
      </w:r>
      <w:r>
        <w:t>UE-152253 and UE-140762</w:t>
      </w:r>
      <w:r w:rsidR="008B7FAD">
        <w:t>.</w:t>
      </w:r>
      <w:r w:rsidR="00991E61">
        <w:t xml:space="preserve"> </w:t>
      </w:r>
    </w:p>
    <w:p w14:paraId="46E4A66A" w14:textId="77777777" w:rsidR="002C6FAD" w:rsidRPr="00492BD6" w:rsidRDefault="002C6FAD" w:rsidP="002C6FAD">
      <w:pPr>
        <w:spacing w:line="480" w:lineRule="auto"/>
      </w:pPr>
    </w:p>
    <w:p w14:paraId="62C73FD1" w14:textId="5126B44C" w:rsidR="00991E61" w:rsidRPr="001E2E50" w:rsidRDefault="002C6FAD" w:rsidP="00991E61">
      <w:pPr>
        <w:spacing w:line="480" w:lineRule="auto"/>
        <w:ind w:left="720" w:hanging="720"/>
        <w:rPr>
          <w:b/>
        </w:rPr>
      </w:pPr>
      <w:r w:rsidRPr="00492BD6">
        <w:rPr>
          <w:b/>
        </w:rPr>
        <w:t>Q:</w:t>
      </w:r>
      <w:r w:rsidRPr="00492BD6">
        <w:rPr>
          <w:b/>
        </w:rPr>
        <w:tab/>
        <w:t xml:space="preserve">What does </w:t>
      </w:r>
      <w:r w:rsidR="00991E61">
        <w:rPr>
          <w:b/>
        </w:rPr>
        <w:t>this information</w:t>
      </w:r>
      <w:r w:rsidRPr="00492BD6">
        <w:rPr>
          <w:b/>
        </w:rPr>
        <w:t xml:space="preserve"> show?</w:t>
      </w:r>
    </w:p>
    <w:p w14:paraId="7DC41538" w14:textId="429C667D" w:rsidR="002C6FAD" w:rsidRPr="00991E61" w:rsidRDefault="006C430A" w:rsidP="00991E61">
      <w:pPr>
        <w:spacing w:line="480" w:lineRule="auto"/>
        <w:ind w:left="720" w:hanging="720"/>
        <w:rPr>
          <w:b/>
        </w:rPr>
      </w:pPr>
      <w:r>
        <w:t>A.</w:t>
      </w:r>
      <w:r>
        <w:tab/>
        <w:t>T</w:t>
      </w:r>
      <w:r w:rsidR="00991E61">
        <w:t>he</w:t>
      </w:r>
      <w:r w:rsidR="002C6FAD">
        <w:t xml:space="preserve"> cost o</w:t>
      </w:r>
      <w:r w:rsidR="00571EED">
        <w:t>f service by rate schedule</w:t>
      </w:r>
      <w:r w:rsidR="002C6FAD">
        <w:t xml:space="preserve"> shows a </w:t>
      </w:r>
      <w:r w:rsidR="002A62CD">
        <w:t>spread in</w:t>
      </w:r>
      <w:r w:rsidR="002C6FAD">
        <w:t xml:space="preserve"> rate </w:t>
      </w:r>
      <w:r w:rsidR="00F6687E">
        <w:t xml:space="preserve">of return </w:t>
      </w:r>
      <w:r>
        <w:t xml:space="preserve">index </w:t>
      </w:r>
      <w:r w:rsidR="002C6FAD">
        <w:t xml:space="preserve">between </w:t>
      </w:r>
      <w:r w:rsidR="00991E61">
        <w:t>rate schedules</w:t>
      </w:r>
      <w:r w:rsidR="002A62CD">
        <w:t xml:space="preserve"> </w:t>
      </w:r>
      <w:r>
        <w:t>ranging from 0.59</w:t>
      </w:r>
      <w:r w:rsidR="007F3B2E">
        <w:t xml:space="preserve"> for residential customers on schedule 16</w:t>
      </w:r>
      <w:r>
        <w:t xml:space="preserve"> to 1.82</w:t>
      </w:r>
      <w:r w:rsidR="007F3B2E">
        <w:t xml:space="preserve"> for commercial customers on schedule 24</w:t>
      </w:r>
      <w:r w:rsidR="00991E61">
        <w:t>.</w:t>
      </w:r>
      <w:r w:rsidR="00F6687E">
        <w:rPr>
          <w:rStyle w:val="FootnoteReference"/>
        </w:rPr>
        <w:footnoteReference w:id="34"/>
      </w:r>
      <w:r>
        <w:t xml:space="preserve"> </w:t>
      </w:r>
      <w:r w:rsidR="002D1387">
        <w:t>This indicates</w:t>
      </w:r>
      <w:r w:rsidR="007F3B2E">
        <w:t xml:space="preserve"> that</w:t>
      </w:r>
      <w:r w:rsidR="002D1387">
        <w:t xml:space="preserve"> commercial customers are providing revenue in excess of their costs, and</w:t>
      </w:r>
      <w:r>
        <w:t xml:space="preserve"> </w:t>
      </w:r>
      <w:r w:rsidR="002C6FAD">
        <w:t xml:space="preserve">may well contribute to </w:t>
      </w:r>
      <w:r w:rsidR="009F36E1">
        <w:t xml:space="preserve">providing </w:t>
      </w:r>
      <w:r w:rsidR="001F2FD6">
        <w:t>CREA</w:t>
      </w:r>
      <w:r w:rsidR="00991E61">
        <w:t xml:space="preserve"> </w:t>
      </w:r>
      <w:r w:rsidR="009F36E1">
        <w:t xml:space="preserve">with opportunities to </w:t>
      </w:r>
      <w:r w:rsidR="00DF0E92">
        <w:t>succeed</w:t>
      </w:r>
      <w:r w:rsidR="00C87FB9">
        <w:t xml:space="preserve"> in attracting </w:t>
      </w:r>
      <w:r>
        <w:t xml:space="preserve">certain </w:t>
      </w:r>
      <w:r w:rsidR="00C87FB9">
        <w:t>new customers in areas typically served by Pacific Power</w:t>
      </w:r>
      <w:r w:rsidR="002C6FAD">
        <w:t>.</w:t>
      </w:r>
    </w:p>
    <w:p w14:paraId="27686711" w14:textId="77777777" w:rsidR="002C6FAD" w:rsidRDefault="002C6FAD" w:rsidP="001E2E50">
      <w:pPr>
        <w:spacing w:line="480" w:lineRule="auto"/>
        <w:ind w:left="720" w:hanging="720"/>
        <w:rPr>
          <w:b/>
        </w:rPr>
      </w:pPr>
    </w:p>
    <w:p w14:paraId="624E10DF" w14:textId="1A89D972" w:rsidR="001E2E50" w:rsidRPr="001E2E50" w:rsidRDefault="002C6FAD" w:rsidP="001E2E50">
      <w:pPr>
        <w:spacing w:line="480" w:lineRule="auto"/>
        <w:ind w:left="720" w:hanging="720"/>
        <w:rPr>
          <w:b/>
        </w:rPr>
      </w:pPr>
      <w:r>
        <w:rPr>
          <w:b/>
        </w:rPr>
        <w:lastRenderedPageBreak/>
        <w:t>Q.</w:t>
      </w:r>
      <w:r>
        <w:rPr>
          <w:b/>
        </w:rPr>
        <w:tab/>
      </w:r>
      <w:r w:rsidR="003668FC" w:rsidRPr="003668FC">
        <w:rPr>
          <w:b/>
        </w:rPr>
        <w:t xml:space="preserve">Mr. Dalley testified that Pacific Power is essentially unable to compete with CREA because it must charge tariffed rates approved by </w:t>
      </w:r>
      <w:r w:rsidR="001E2E50" w:rsidRPr="001E2E50">
        <w:rPr>
          <w:b/>
        </w:rPr>
        <w:t xml:space="preserve">the </w:t>
      </w:r>
      <w:r w:rsidR="003668FC" w:rsidRPr="003668FC">
        <w:rPr>
          <w:b/>
        </w:rPr>
        <w:t>Commission.</w:t>
      </w:r>
      <w:r w:rsidR="003668FC" w:rsidRPr="003668FC">
        <w:rPr>
          <w:b/>
          <w:vertAlign w:val="superscript"/>
        </w:rPr>
        <w:footnoteReference w:id="35"/>
      </w:r>
      <w:r w:rsidR="0018125D">
        <w:rPr>
          <w:b/>
        </w:rPr>
        <w:t xml:space="preserve"> </w:t>
      </w:r>
      <w:r w:rsidR="003668FC">
        <w:rPr>
          <w:b/>
        </w:rPr>
        <w:t>Do</w:t>
      </w:r>
      <w:r w:rsidR="001E2E50" w:rsidRPr="001E2E50">
        <w:rPr>
          <w:b/>
        </w:rPr>
        <w:t xml:space="preserve"> </w:t>
      </w:r>
      <w:r w:rsidR="003668FC">
        <w:rPr>
          <w:b/>
        </w:rPr>
        <w:t>Commission</w:t>
      </w:r>
      <w:r w:rsidR="001E2E50" w:rsidRPr="001E2E50">
        <w:rPr>
          <w:b/>
        </w:rPr>
        <w:t xml:space="preserve"> rules provide Pacific Power with </w:t>
      </w:r>
      <w:r w:rsidR="003668FC">
        <w:rPr>
          <w:b/>
        </w:rPr>
        <w:t>any</w:t>
      </w:r>
      <w:r w:rsidR="001E2E50" w:rsidRPr="001E2E50">
        <w:rPr>
          <w:b/>
        </w:rPr>
        <w:t xml:space="preserve"> means of competing for customers?</w:t>
      </w:r>
    </w:p>
    <w:p w14:paraId="00A5110F" w14:textId="4A6D4F01" w:rsidR="001E2E50" w:rsidRPr="00492BD6" w:rsidRDefault="00492BD6" w:rsidP="002C6FAD">
      <w:pPr>
        <w:spacing w:line="480" w:lineRule="auto"/>
        <w:ind w:left="720" w:hanging="720"/>
      </w:pPr>
      <w:r>
        <w:t>A.</w:t>
      </w:r>
      <w:r>
        <w:tab/>
        <w:t>Yes.</w:t>
      </w:r>
      <w:r w:rsidR="0018125D">
        <w:t xml:space="preserve"> </w:t>
      </w:r>
      <w:r w:rsidR="00794B4A">
        <w:t>As mentioned</w:t>
      </w:r>
      <w:r w:rsidR="002C6FAD">
        <w:t xml:space="preserve"> earlier</w:t>
      </w:r>
      <w:r w:rsidR="00794B4A">
        <w:t xml:space="preserve">, </w:t>
      </w:r>
      <w:r w:rsidR="001568F7">
        <w:t>under RCW 80.28:</w:t>
      </w:r>
      <w:r w:rsidR="00BF3944">
        <w:t xml:space="preserve"> “</w:t>
      </w:r>
      <w:r w:rsidR="00BF3944" w:rsidRPr="00BF3944">
        <w:t>Gas and electric companies may file banded rate tariffs for any nonresidential gas or electric service that is subject to effective competition from energy suppliers not regulated by the commission.</w:t>
      </w:r>
      <w:r w:rsidR="00BF3944">
        <w:t>”</w:t>
      </w:r>
      <w:r w:rsidR="00794B4A">
        <w:t xml:space="preserve"> </w:t>
      </w:r>
      <w:r w:rsidR="00010B5E" w:rsidRPr="00010B5E">
        <w:t xml:space="preserve">WAC 480-80-112 </w:t>
      </w:r>
      <w:r w:rsidR="00010B5E">
        <w:t xml:space="preserve">established the </w:t>
      </w:r>
      <w:r w:rsidR="007F2C6D">
        <w:t>requirements for a</w:t>
      </w:r>
      <w:r w:rsidR="00794B4A">
        <w:t xml:space="preserve"> banded</w:t>
      </w:r>
      <w:r w:rsidR="007F2C6D">
        <w:t xml:space="preserve"> rate tariff filing. </w:t>
      </w:r>
      <w:r w:rsidR="00794B4A">
        <w:t>The</w:t>
      </w:r>
      <w:r w:rsidR="00AC6006">
        <w:t>se</w:t>
      </w:r>
      <w:r w:rsidR="00794B4A">
        <w:t xml:space="preserve"> banded</w:t>
      </w:r>
      <w:r w:rsidR="00AC6006">
        <w:t xml:space="preserve"> </w:t>
      </w:r>
      <w:r w:rsidR="00794B4A">
        <w:t>rate</w:t>
      </w:r>
      <w:r w:rsidR="007F2C6D">
        <w:t>s</w:t>
      </w:r>
      <w:r w:rsidR="00794B4A">
        <w:t xml:space="preserve"> allow public service corporations to compete against unregulated entities.</w:t>
      </w:r>
    </w:p>
    <w:p w14:paraId="618183D8" w14:textId="367D77D2" w:rsidR="009F36E1" w:rsidRDefault="009F36E1" w:rsidP="00B814E2">
      <w:pPr>
        <w:spacing w:line="480" w:lineRule="auto"/>
        <w:ind w:left="720" w:hanging="720"/>
        <w:rPr>
          <w:b/>
        </w:rPr>
      </w:pPr>
    </w:p>
    <w:p w14:paraId="3812FD5B" w14:textId="77777777" w:rsidR="00492BD6" w:rsidRPr="00492BD6" w:rsidRDefault="00492BD6" w:rsidP="00492BD6">
      <w:pPr>
        <w:spacing w:line="480" w:lineRule="auto"/>
        <w:ind w:left="720" w:hanging="720"/>
        <w:rPr>
          <w:b/>
        </w:rPr>
      </w:pPr>
      <w:r>
        <w:rPr>
          <w:b/>
        </w:rPr>
        <w:t>Q.</w:t>
      </w:r>
      <w:r>
        <w:rPr>
          <w:b/>
        </w:rPr>
        <w:tab/>
      </w:r>
      <w:r w:rsidRPr="00492BD6">
        <w:rPr>
          <w:b/>
        </w:rPr>
        <w:t>Has Pacific Power availed itself of those means?</w:t>
      </w:r>
    </w:p>
    <w:p w14:paraId="3655C1D9" w14:textId="6F58F2DF" w:rsidR="0058631A" w:rsidRDefault="00492BD6" w:rsidP="008E1E8C">
      <w:pPr>
        <w:spacing w:line="480" w:lineRule="auto"/>
        <w:ind w:left="720" w:hanging="720"/>
        <w:rPr>
          <w:b/>
        </w:rPr>
      </w:pPr>
      <w:r w:rsidRPr="00492BD6">
        <w:t>A.</w:t>
      </w:r>
      <w:r w:rsidRPr="00492BD6">
        <w:tab/>
      </w:r>
      <w:r w:rsidR="00CF288E">
        <w:t>No.</w:t>
      </w:r>
    </w:p>
    <w:p w14:paraId="01404C95" w14:textId="1B130666" w:rsidR="00492BD6" w:rsidRDefault="00492BD6" w:rsidP="00B814E2">
      <w:pPr>
        <w:spacing w:line="480" w:lineRule="auto"/>
        <w:ind w:left="720" w:hanging="720"/>
        <w:rPr>
          <w:b/>
        </w:rPr>
      </w:pPr>
    </w:p>
    <w:p w14:paraId="48A24E3B" w14:textId="4DEA77F0" w:rsidR="000D4EFB" w:rsidRDefault="00DF0E92" w:rsidP="00B814E2">
      <w:pPr>
        <w:spacing w:line="480" w:lineRule="auto"/>
        <w:ind w:left="720" w:hanging="720"/>
        <w:rPr>
          <w:b/>
        </w:rPr>
      </w:pPr>
      <w:r w:rsidRPr="00DF0E92">
        <w:rPr>
          <w:b/>
        </w:rPr>
        <w:t>Q.</w:t>
      </w:r>
      <w:r w:rsidRPr="00DF0E92">
        <w:rPr>
          <w:b/>
        </w:rPr>
        <w:tab/>
      </w:r>
      <w:r w:rsidR="000D4EFB">
        <w:rPr>
          <w:b/>
        </w:rPr>
        <w:t xml:space="preserve">Do these provisions appear to be </w:t>
      </w:r>
      <w:r w:rsidR="00D4252C">
        <w:rPr>
          <w:b/>
        </w:rPr>
        <w:t xml:space="preserve">possibly </w:t>
      </w:r>
      <w:r w:rsidR="000D4EFB">
        <w:rPr>
          <w:b/>
        </w:rPr>
        <w:t>applicable in to the current situation?</w:t>
      </w:r>
    </w:p>
    <w:p w14:paraId="219A4152" w14:textId="678D928B" w:rsidR="00DF0E92" w:rsidRDefault="000D4EFB" w:rsidP="00B814E2">
      <w:pPr>
        <w:spacing w:line="480" w:lineRule="auto"/>
        <w:ind w:left="720" w:hanging="720"/>
        <w:rPr>
          <w:b/>
        </w:rPr>
      </w:pPr>
      <w:r>
        <w:rPr>
          <w:b/>
        </w:rPr>
        <w:tab/>
      </w:r>
      <w:r>
        <w:t>Yes.</w:t>
      </w:r>
      <w:r w:rsidR="0018125D">
        <w:rPr>
          <w:b/>
        </w:rPr>
        <w:t xml:space="preserve"> </w:t>
      </w:r>
    </w:p>
    <w:p w14:paraId="71F5D38F" w14:textId="77777777" w:rsidR="00DF0E92" w:rsidRDefault="00DF0E92" w:rsidP="00B814E2">
      <w:pPr>
        <w:spacing w:line="480" w:lineRule="auto"/>
        <w:ind w:left="720" w:hanging="720"/>
        <w:rPr>
          <w:b/>
        </w:rPr>
      </w:pPr>
    </w:p>
    <w:p w14:paraId="1AC6AE06" w14:textId="2CB507E4" w:rsidR="00492BD6" w:rsidRDefault="00492BD6" w:rsidP="002508AF">
      <w:pPr>
        <w:keepNext/>
        <w:spacing w:line="480" w:lineRule="auto"/>
        <w:ind w:left="720" w:hanging="720"/>
        <w:jc w:val="center"/>
        <w:rPr>
          <w:b/>
        </w:rPr>
      </w:pPr>
      <w:r>
        <w:rPr>
          <w:b/>
        </w:rPr>
        <w:t xml:space="preserve">VIII. </w:t>
      </w:r>
      <w:r w:rsidR="00BE1B49">
        <w:rPr>
          <w:b/>
        </w:rPr>
        <w:t xml:space="preserve"> RECOMMENDATION</w:t>
      </w:r>
    </w:p>
    <w:p w14:paraId="646AE0C3" w14:textId="77777777" w:rsidR="002508AF" w:rsidRDefault="002508AF" w:rsidP="002508AF">
      <w:pPr>
        <w:keepNext/>
        <w:spacing w:line="480" w:lineRule="auto"/>
        <w:ind w:left="720" w:hanging="720"/>
        <w:jc w:val="center"/>
        <w:rPr>
          <w:b/>
        </w:rPr>
      </w:pPr>
    </w:p>
    <w:p w14:paraId="530ED101" w14:textId="4064517D" w:rsidR="00492BD6" w:rsidRDefault="00492BD6" w:rsidP="00492BD6">
      <w:pPr>
        <w:spacing w:line="480" w:lineRule="auto"/>
        <w:ind w:left="720" w:hanging="720"/>
        <w:rPr>
          <w:b/>
        </w:rPr>
      </w:pPr>
      <w:r>
        <w:rPr>
          <w:b/>
        </w:rPr>
        <w:t>Q.</w:t>
      </w:r>
      <w:r>
        <w:rPr>
          <w:b/>
        </w:rPr>
        <w:tab/>
      </w:r>
      <w:r w:rsidR="0046358B">
        <w:rPr>
          <w:b/>
        </w:rPr>
        <w:t>What is your recommendation?</w:t>
      </w:r>
    </w:p>
    <w:p w14:paraId="1CCB8BD2" w14:textId="1F2B41A1" w:rsidR="00DF0E92" w:rsidRDefault="00492BD6" w:rsidP="00492BD6">
      <w:pPr>
        <w:spacing w:line="480" w:lineRule="auto"/>
        <w:ind w:left="720" w:hanging="720"/>
      </w:pPr>
      <w:r w:rsidRPr="00492BD6">
        <w:t>A.</w:t>
      </w:r>
      <w:r w:rsidRPr="00492BD6">
        <w:tab/>
      </w:r>
      <w:r w:rsidR="00CF5814">
        <w:t xml:space="preserve">I recommend that the Commission reject the proposed modifications. </w:t>
      </w:r>
      <w:r w:rsidR="0046358B">
        <w:t xml:space="preserve">The existing tariff conditions appear to be adequate to </w:t>
      </w:r>
      <w:r w:rsidR="001568F7">
        <w:t>prevent</w:t>
      </w:r>
      <w:r w:rsidR="0046358B">
        <w:t xml:space="preserve"> a substantial migration of customers from Pacific Power</w:t>
      </w:r>
      <w:r w:rsidR="001568F7">
        <w:t xml:space="preserve"> to alternate electric service providers</w:t>
      </w:r>
      <w:r w:rsidR="00CF5814">
        <w:t>.</w:t>
      </w:r>
      <w:r w:rsidR="0046358B">
        <w:t xml:space="preserve"> </w:t>
      </w:r>
    </w:p>
    <w:p w14:paraId="7A74FAE0" w14:textId="07F1C819" w:rsidR="00492BD6" w:rsidRDefault="00DF0E92" w:rsidP="00492BD6">
      <w:pPr>
        <w:spacing w:line="480" w:lineRule="auto"/>
        <w:ind w:left="720" w:hanging="720"/>
      </w:pPr>
      <w:r>
        <w:lastRenderedPageBreak/>
        <w:tab/>
      </w:r>
      <w:r>
        <w:tab/>
        <w:t xml:space="preserve">To the degree that </w:t>
      </w:r>
      <w:r w:rsidR="00662192">
        <w:t xml:space="preserve">it </w:t>
      </w:r>
      <w:r>
        <w:t xml:space="preserve">might be possible, </w:t>
      </w:r>
      <w:r w:rsidR="00662192">
        <w:t>the Commission</w:t>
      </w:r>
      <w:r>
        <w:t xml:space="preserve"> should </w:t>
      </w:r>
      <w:r w:rsidR="00662192">
        <w:t>continue to encourage</w:t>
      </w:r>
      <w:r>
        <w:t xml:space="preserve"> a service territory </w:t>
      </w:r>
      <w:r w:rsidR="001568F7">
        <w:t xml:space="preserve">boundary </w:t>
      </w:r>
      <w:r>
        <w:t>agreement</w:t>
      </w:r>
      <w:r w:rsidR="009F36E1">
        <w:t xml:space="preserve"> </w:t>
      </w:r>
      <w:r>
        <w:t xml:space="preserve">as the best means to avoid infrastructure duplication and </w:t>
      </w:r>
      <w:r w:rsidR="00A6113A">
        <w:t xml:space="preserve">to </w:t>
      </w:r>
      <w:r>
        <w:t xml:space="preserve">provide the </w:t>
      </w:r>
      <w:r w:rsidR="00A6113A">
        <w:t xml:space="preserve">most </w:t>
      </w:r>
      <w:r>
        <w:t>economically rational solution from the perspective of maximizing overall public good.</w:t>
      </w:r>
    </w:p>
    <w:p w14:paraId="23D8F72B" w14:textId="5845A1B1" w:rsidR="00DF0E92" w:rsidRDefault="00DF0E92" w:rsidP="00492BD6">
      <w:pPr>
        <w:spacing w:line="480" w:lineRule="auto"/>
        <w:ind w:left="720" w:hanging="720"/>
      </w:pPr>
      <w:r>
        <w:tab/>
      </w:r>
      <w:r>
        <w:tab/>
        <w:t xml:space="preserve">To the degree that </w:t>
      </w:r>
      <w:r w:rsidR="00662192">
        <w:t>Pacific Power</w:t>
      </w:r>
      <w:r>
        <w:t xml:space="preserve"> desires to compete for both the retention of </w:t>
      </w:r>
      <w:r w:rsidR="000D4EFB">
        <w:t xml:space="preserve">existing </w:t>
      </w:r>
      <w:r>
        <w:t xml:space="preserve">customers and new customer growth, the </w:t>
      </w:r>
      <w:r w:rsidR="00662192">
        <w:t xml:space="preserve">Company </w:t>
      </w:r>
      <w:r>
        <w:t>should consider banded rate</w:t>
      </w:r>
      <w:r w:rsidR="00662192">
        <w:t>s as a tool for enhancing its ability to compete</w:t>
      </w:r>
      <w:r w:rsidR="00A6113A">
        <w:t>.</w:t>
      </w:r>
    </w:p>
    <w:p w14:paraId="0E3791FD" w14:textId="77777777" w:rsidR="009F36E1" w:rsidRPr="00492BD6" w:rsidRDefault="009F36E1" w:rsidP="00492BD6">
      <w:pPr>
        <w:spacing w:line="480" w:lineRule="auto"/>
        <w:ind w:left="720" w:hanging="720"/>
      </w:pPr>
    </w:p>
    <w:p w14:paraId="74C94DEC" w14:textId="62C05210" w:rsidR="00B814E2" w:rsidRDefault="00B814E2" w:rsidP="00B814E2">
      <w:pPr>
        <w:spacing w:line="480" w:lineRule="auto"/>
        <w:ind w:left="720" w:hanging="720"/>
        <w:rPr>
          <w:b/>
        </w:rPr>
      </w:pPr>
      <w:r>
        <w:rPr>
          <w:b/>
        </w:rPr>
        <w:t>Q.</w:t>
      </w:r>
      <w:r>
        <w:rPr>
          <w:b/>
        </w:rPr>
        <w:tab/>
        <w:t>Does this conclude your testimony?</w:t>
      </w:r>
      <w:r w:rsidR="0018125D">
        <w:rPr>
          <w:b/>
        </w:rPr>
        <w:t xml:space="preserve"> </w:t>
      </w:r>
    </w:p>
    <w:p w14:paraId="69BF3BF6" w14:textId="77777777" w:rsidR="00B814E2" w:rsidRPr="00B814E2" w:rsidRDefault="00B814E2" w:rsidP="00B814E2">
      <w:pPr>
        <w:spacing w:line="480" w:lineRule="auto"/>
        <w:ind w:left="720" w:hanging="720"/>
      </w:pPr>
      <w:r>
        <w:t>A.</w:t>
      </w:r>
      <w:r>
        <w:tab/>
        <w:t xml:space="preserve">Yes. </w:t>
      </w:r>
    </w:p>
    <w:sectPr w:rsidR="00B814E2" w:rsidRPr="00B814E2" w:rsidSect="0015026F">
      <w:footerReference w:type="default" r:id="rId16"/>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89D60" w14:textId="77777777" w:rsidR="00B23E3B" w:rsidRDefault="00B23E3B" w:rsidP="0015026F">
      <w:r>
        <w:separator/>
      </w:r>
    </w:p>
  </w:endnote>
  <w:endnote w:type="continuationSeparator" w:id="0">
    <w:p w14:paraId="5845F0C7" w14:textId="77777777" w:rsidR="00B23E3B" w:rsidRDefault="00B23E3B" w:rsidP="0015026F">
      <w:r>
        <w:continuationSeparator/>
      </w:r>
    </w:p>
  </w:endnote>
  <w:endnote w:type="continuationNotice" w:id="1">
    <w:p w14:paraId="4FBB1B74" w14:textId="77777777" w:rsidR="00B23E3B" w:rsidRDefault="00B23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87694" w14:textId="77777777" w:rsidR="00B23E3B" w:rsidRPr="0015026F" w:rsidRDefault="00B23E3B" w:rsidP="0015026F">
    <w:pPr>
      <w:pStyle w:val="Footer"/>
      <w:tabs>
        <w:tab w:val="clear" w:pos="9360"/>
        <w:tab w:val="right" w:pos="8910"/>
      </w:tabs>
      <w:rPr>
        <w:sz w:val="20"/>
        <w:szCs w:val="20"/>
      </w:rPr>
    </w:pPr>
  </w:p>
  <w:p w14:paraId="0A39CA2F" w14:textId="41B91E27" w:rsidR="00B23E3B" w:rsidRPr="0056692A" w:rsidRDefault="00B23E3B" w:rsidP="0015026F">
    <w:pPr>
      <w:pStyle w:val="Footer"/>
      <w:tabs>
        <w:tab w:val="clear" w:pos="9360"/>
        <w:tab w:val="right" w:pos="8910"/>
      </w:tabs>
      <w:rPr>
        <w:sz w:val="20"/>
        <w:szCs w:val="20"/>
      </w:rPr>
    </w:pPr>
    <w:r w:rsidRPr="0056692A">
      <w:rPr>
        <w:sz w:val="20"/>
        <w:szCs w:val="20"/>
      </w:rPr>
      <w:t>TESTIMONY OF (David</w:t>
    </w:r>
    <w:r>
      <w:rPr>
        <w:sz w:val="20"/>
        <w:szCs w:val="20"/>
      </w:rPr>
      <w:t xml:space="preserve"> J.</w:t>
    </w:r>
    <w:r w:rsidRPr="0056692A">
      <w:rPr>
        <w:sz w:val="20"/>
        <w:szCs w:val="20"/>
      </w:rPr>
      <w:t xml:space="preserve"> Panco) </w:t>
    </w:r>
    <w:r w:rsidRPr="0056692A">
      <w:rPr>
        <w:sz w:val="20"/>
        <w:szCs w:val="20"/>
      </w:rPr>
      <w:tab/>
    </w:r>
    <w:r w:rsidRPr="0056692A">
      <w:rPr>
        <w:sz w:val="20"/>
        <w:szCs w:val="20"/>
      </w:rPr>
      <w:tab/>
      <w:t>Exhibit No. DJP-1T</w:t>
    </w:r>
  </w:p>
  <w:p w14:paraId="660E2C50" w14:textId="1C4DB558" w:rsidR="00B23E3B" w:rsidRPr="0015026F" w:rsidRDefault="00B23E3B" w:rsidP="0015026F">
    <w:pPr>
      <w:pStyle w:val="Footer"/>
      <w:tabs>
        <w:tab w:val="clear" w:pos="9360"/>
        <w:tab w:val="right" w:pos="8910"/>
      </w:tabs>
      <w:rPr>
        <w:sz w:val="20"/>
        <w:szCs w:val="20"/>
      </w:rPr>
    </w:pPr>
    <w:r w:rsidRPr="0056692A">
      <w:rPr>
        <w:sz w:val="20"/>
        <w:szCs w:val="20"/>
      </w:rPr>
      <w:t>Docket UE-161204</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7D19A1">
      <w:rPr>
        <w:noProof/>
        <w:sz w:val="20"/>
        <w:szCs w:val="20"/>
      </w:rPr>
      <w:t>i</w:t>
    </w:r>
    <w:r w:rsidRPr="0015026F">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6256B" w14:textId="77777777" w:rsidR="00B23E3B" w:rsidRPr="0015026F" w:rsidRDefault="00B23E3B" w:rsidP="0015026F">
    <w:pPr>
      <w:pStyle w:val="Footer"/>
      <w:tabs>
        <w:tab w:val="clear" w:pos="9360"/>
        <w:tab w:val="right" w:pos="8910"/>
      </w:tabs>
      <w:rPr>
        <w:sz w:val="20"/>
        <w:szCs w:val="20"/>
      </w:rPr>
    </w:pPr>
  </w:p>
  <w:p w14:paraId="53E63630" w14:textId="2C4CE61D" w:rsidR="00B23E3B" w:rsidRPr="0015026F" w:rsidRDefault="00B23E3B" w:rsidP="0015026F">
    <w:pPr>
      <w:pStyle w:val="Footer"/>
      <w:tabs>
        <w:tab w:val="clear" w:pos="9360"/>
        <w:tab w:val="right" w:pos="8910"/>
      </w:tabs>
      <w:rPr>
        <w:sz w:val="20"/>
        <w:szCs w:val="20"/>
      </w:rPr>
    </w:pPr>
    <w:r w:rsidRPr="0015026F">
      <w:rPr>
        <w:sz w:val="20"/>
        <w:szCs w:val="20"/>
      </w:rPr>
      <w:t xml:space="preserve">TESTIMONY OF </w:t>
    </w:r>
    <w:r>
      <w:rPr>
        <w:sz w:val="20"/>
        <w:szCs w:val="20"/>
      </w:rPr>
      <w:t>DAVID J. PANCO</w:t>
    </w:r>
    <w:r w:rsidRPr="0015026F">
      <w:rPr>
        <w:sz w:val="20"/>
        <w:szCs w:val="20"/>
      </w:rPr>
      <w:t xml:space="preserve"> </w:t>
    </w:r>
    <w:r w:rsidRPr="0015026F">
      <w:rPr>
        <w:sz w:val="20"/>
        <w:szCs w:val="20"/>
      </w:rPr>
      <w:tab/>
    </w:r>
    <w:r w:rsidRPr="0015026F">
      <w:rPr>
        <w:sz w:val="20"/>
        <w:szCs w:val="20"/>
      </w:rPr>
      <w:tab/>
      <w:t xml:space="preserve">Exhibit No. </w:t>
    </w:r>
    <w:r>
      <w:rPr>
        <w:sz w:val="20"/>
        <w:szCs w:val="20"/>
      </w:rPr>
      <w:t>DJP</w:t>
    </w:r>
    <w:r w:rsidRPr="0015026F">
      <w:rPr>
        <w:sz w:val="20"/>
        <w:szCs w:val="20"/>
      </w:rPr>
      <w:t>-</w:t>
    </w:r>
    <w:r>
      <w:rPr>
        <w:sz w:val="20"/>
        <w:szCs w:val="20"/>
      </w:rPr>
      <w:t>1</w:t>
    </w:r>
    <w:r w:rsidRPr="0015026F">
      <w:rPr>
        <w:sz w:val="20"/>
        <w:szCs w:val="20"/>
      </w:rPr>
      <w:t>T</w:t>
    </w:r>
  </w:p>
  <w:p w14:paraId="41B9B1BE" w14:textId="770B3000" w:rsidR="00B23E3B" w:rsidRPr="0015026F" w:rsidRDefault="00B23E3B" w:rsidP="0015026F">
    <w:pPr>
      <w:pStyle w:val="Footer"/>
      <w:tabs>
        <w:tab w:val="clear" w:pos="9360"/>
        <w:tab w:val="right" w:pos="8910"/>
      </w:tabs>
      <w:rPr>
        <w:sz w:val="20"/>
        <w:szCs w:val="20"/>
      </w:rPr>
    </w:pPr>
    <w:r w:rsidRPr="0015026F">
      <w:rPr>
        <w:sz w:val="20"/>
        <w:szCs w:val="20"/>
      </w:rPr>
      <w:t xml:space="preserve">Docket </w:t>
    </w:r>
    <w:r>
      <w:rPr>
        <w:sz w:val="20"/>
        <w:szCs w:val="20"/>
      </w:rPr>
      <w:t>UE</w:t>
    </w:r>
    <w:r w:rsidRPr="0015026F">
      <w:rPr>
        <w:sz w:val="20"/>
        <w:szCs w:val="20"/>
      </w:rPr>
      <w:t>-</w:t>
    </w:r>
    <w:r>
      <w:rPr>
        <w:sz w:val="20"/>
        <w:szCs w:val="20"/>
      </w:rPr>
      <w:t>161204</w:t>
    </w:r>
    <w:r w:rsidRPr="0015026F">
      <w:rPr>
        <w:sz w:val="20"/>
        <w:szCs w:val="20"/>
      </w:rPr>
      <w:t xml:space="preserve"> </w:t>
    </w:r>
    <w:r w:rsidRPr="0015026F">
      <w:rPr>
        <w:sz w:val="20"/>
        <w:szCs w:val="20"/>
      </w:rPr>
      <w:tab/>
    </w:r>
    <w:r w:rsidRPr="0015026F">
      <w:rPr>
        <w:sz w:val="20"/>
        <w:szCs w:val="20"/>
      </w:rPr>
      <w:tab/>
      <w:t xml:space="preserve">Page </w:t>
    </w:r>
    <w:r w:rsidRPr="0015026F">
      <w:rPr>
        <w:sz w:val="20"/>
        <w:szCs w:val="20"/>
      </w:rPr>
      <w:fldChar w:fldCharType="begin"/>
    </w:r>
    <w:r w:rsidRPr="0015026F">
      <w:rPr>
        <w:sz w:val="20"/>
        <w:szCs w:val="20"/>
      </w:rPr>
      <w:instrText xml:space="preserve"> PAGE   \* MERGEFORMAT </w:instrText>
    </w:r>
    <w:r w:rsidRPr="0015026F">
      <w:rPr>
        <w:sz w:val="20"/>
        <w:szCs w:val="20"/>
      </w:rPr>
      <w:fldChar w:fldCharType="separate"/>
    </w:r>
    <w:r w:rsidR="007D19A1">
      <w:rPr>
        <w:noProof/>
        <w:sz w:val="20"/>
        <w:szCs w:val="20"/>
      </w:rPr>
      <w:t>20</w:t>
    </w:r>
    <w:r w:rsidRPr="0015026F">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F121A" w14:textId="77777777" w:rsidR="00B23E3B" w:rsidRDefault="00B23E3B" w:rsidP="0015026F">
      <w:r>
        <w:separator/>
      </w:r>
    </w:p>
  </w:footnote>
  <w:footnote w:type="continuationSeparator" w:id="0">
    <w:p w14:paraId="002EB70C" w14:textId="77777777" w:rsidR="00B23E3B" w:rsidRDefault="00B23E3B" w:rsidP="0015026F">
      <w:r>
        <w:continuationSeparator/>
      </w:r>
    </w:p>
  </w:footnote>
  <w:footnote w:type="continuationNotice" w:id="1">
    <w:p w14:paraId="3F8CC701" w14:textId="77777777" w:rsidR="00B23E3B" w:rsidRDefault="00B23E3B"/>
  </w:footnote>
  <w:footnote w:id="2">
    <w:p w14:paraId="6B30CDF0" w14:textId="125F62A8" w:rsidR="00B23E3B" w:rsidRDefault="00B23E3B">
      <w:pPr>
        <w:pStyle w:val="FootnoteText"/>
      </w:pPr>
      <w:r>
        <w:rPr>
          <w:rStyle w:val="FootnoteReference"/>
        </w:rPr>
        <w:footnoteRef/>
      </w:r>
      <w:r>
        <w:t xml:space="preserve"> </w:t>
      </w:r>
      <w:r w:rsidR="00267418">
        <w:t xml:space="preserve">Dalley, </w:t>
      </w:r>
      <w:r w:rsidR="00C07D9F">
        <w:t xml:space="preserve">Exh. No. </w:t>
      </w:r>
      <w:r>
        <w:t>RBD-1T</w:t>
      </w:r>
      <w:r w:rsidR="00267418">
        <w:t xml:space="preserve"> at 2:</w:t>
      </w:r>
      <w:r>
        <w:t>5-10</w:t>
      </w:r>
      <w:r w:rsidR="00267418">
        <w:t>.</w:t>
      </w:r>
    </w:p>
  </w:footnote>
  <w:footnote w:id="3">
    <w:p w14:paraId="22525BEF" w14:textId="5D657150" w:rsidR="00B23E3B" w:rsidRDefault="00B23E3B">
      <w:pPr>
        <w:pStyle w:val="FootnoteText"/>
      </w:pPr>
      <w:r>
        <w:rPr>
          <w:rStyle w:val="FootnoteReference"/>
        </w:rPr>
        <w:footnoteRef/>
      </w:r>
      <w:r>
        <w:t xml:space="preserve"> </w:t>
      </w:r>
      <w:r w:rsidR="00267418" w:rsidRPr="00267418">
        <w:rPr>
          <w:i/>
        </w:rPr>
        <w:t>Id.</w:t>
      </w:r>
      <w:r w:rsidR="00267418">
        <w:t xml:space="preserve"> at </w:t>
      </w:r>
      <w:r>
        <w:t>5</w:t>
      </w:r>
      <w:r w:rsidR="00267418">
        <w:t>:1</w:t>
      </w:r>
      <w:r>
        <w:t>8</w:t>
      </w:r>
      <w:r w:rsidR="00267418">
        <w:t>.</w:t>
      </w:r>
    </w:p>
  </w:footnote>
  <w:footnote w:id="4">
    <w:p w14:paraId="705873C6" w14:textId="24242C78" w:rsidR="00B23E3B" w:rsidRDefault="00B23E3B">
      <w:pPr>
        <w:pStyle w:val="FootnoteText"/>
      </w:pPr>
      <w:r>
        <w:rPr>
          <w:rStyle w:val="FootnoteReference"/>
        </w:rPr>
        <w:footnoteRef/>
      </w:r>
      <w:r>
        <w:t xml:space="preserve"> </w:t>
      </w:r>
      <w:r w:rsidRPr="00267418">
        <w:rPr>
          <w:i/>
        </w:rPr>
        <w:t>Id.</w:t>
      </w:r>
      <w:r>
        <w:t xml:space="preserve"> at 9:15-18.</w:t>
      </w:r>
    </w:p>
  </w:footnote>
  <w:footnote w:id="5">
    <w:p w14:paraId="780A17C4" w14:textId="6523E545" w:rsidR="00B23E3B" w:rsidRDefault="00B23E3B">
      <w:pPr>
        <w:pStyle w:val="FootnoteText"/>
      </w:pPr>
      <w:r>
        <w:rPr>
          <w:rStyle w:val="FootnoteReference"/>
        </w:rPr>
        <w:footnoteRef/>
      </w:r>
      <w:r>
        <w:t xml:space="preserve"> </w:t>
      </w:r>
      <w:r w:rsidR="00C07D9F" w:rsidRPr="00C07D9F">
        <w:rPr>
          <w:i/>
        </w:rPr>
        <w:t xml:space="preserve">Walla Walla Country Club v. Pacific Power &amp; Light Co., </w:t>
      </w:r>
      <w:r w:rsidR="00C07D9F" w:rsidRPr="00C07D9F">
        <w:t>Dtk. UE-143932, Order 5,</w:t>
      </w:r>
      <w:r w:rsidR="00C07D9F">
        <w:t xml:space="preserve"> </w:t>
      </w:r>
      <w:r w:rsidR="00C07D9F" w:rsidRPr="00C07D9F">
        <w:t>Separate Statement of Chairman Danner</w:t>
      </w:r>
      <w:r w:rsidR="00C07D9F">
        <w:t xml:space="preserve"> </w:t>
      </w:r>
      <w:r w:rsidR="00C07D9F" w:rsidRPr="00C07D9F">
        <w:t xml:space="preserve">¶ </w:t>
      </w:r>
      <w:r w:rsidR="00C07D9F">
        <w:t>3</w:t>
      </w:r>
      <w:r w:rsidR="00C07D9F" w:rsidRPr="00C07D9F">
        <w:t xml:space="preserve"> (May 5, 2016).</w:t>
      </w:r>
    </w:p>
  </w:footnote>
  <w:footnote w:id="6">
    <w:p w14:paraId="3AAB0B7C" w14:textId="122BD912" w:rsidR="00B23E3B" w:rsidRDefault="00B23E3B" w:rsidP="006C2931">
      <w:pPr>
        <w:pStyle w:val="FootnoteText"/>
      </w:pPr>
      <w:r>
        <w:rPr>
          <w:rStyle w:val="FootnoteReference"/>
        </w:rPr>
        <w:footnoteRef/>
      </w:r>
      <w:r>
        <w:t xml:space="preserve"> </w:t>
      </w:r>
      <w:r w:rsidRPr="00374A43">
        <w:rPr>
          <w:smallCaps/>
        </w:rPr>
        <w:t>Laws of 1931</w:t>
      </w:r>
      <w:r w:rsidRPr="00052ED6">
        <w:t>, ch. 1, §6(d)</w:t>
      </w:r>
      <w:r w:rsidR="00267418">
        <w:t xml:space="preserve">; </w:t>
      </w:r>
      <w:r w:rsidRPr="00052ED6">
        <w:rPr>
          <w:i/>
        </w:rPr>
        <w:t>Inland Empire Rural Elec. V. Dep’t of Pub. Serv.</w:t>
      </w:r>
      <w:r w:rsidRPr="00052ED6">
        <w:t>, 199 Wash. 527, 92 P.2d 258 (1939).</w:t>
      </w:r>
    </w:p>
  </w:footnote>
  <w:footnote w:id="7">
    <w:p w14:paraId="1E3806C3" w14:textId="20DF8C48" w:rsidR="00B23E3B" w:rsidRDefault="00B23E3B">
      <w:pPr>
        <w:pStyle w:val="FootnoteText"/>
      </w:pPr>
      <w:r>
        <w:rPr>
          <w:rStyle w:val="FootnoteReference"/>
        </w:rPr>
        <w:footnoteRef/>
      </w:r>
      <w:r>
        <w:t xml:space="preserve"> RCW 80.01.040(3).</w:t>
      </w:r>
    </w:p>
  </w:footnote>
  <w:footnote w:id="8">
    <w:p w14:paraId="50788835" w14:textId="434C0E78" w:rsidR="00B23E3B" w:rsidRDefault="00B23E3B">
      <w:pPr>
        <w:pStyle w:val="FootnoteText"/>
      </w:pPr>
      <w:r>
        <w:rPr>
          <w:rStyle w:val="FootnoteReference"/>
        </w:rPr>
        <w:footnoteRef/>
      </w:r>
      <w:r>
        <w:t xml:space="preserve"> RCW 80.28.010, .020, .090. 100. </w:t>
      </w:r>
    </w:p>
  </w:footnote>
  <w:footnote w:id="9">
    <w:p w14:paraId="441BD773" w14:textId="008FB016" w:rsidR="00B23E3B" w:rsidRDefault="00B23E3B">
      <w:pPr>
        <w:pStyle w:val="FootnoteText"/>
      </w:pPr>
      <w:r>
        <w:rPr>
          <w:rStyle w:val="FootnoteReference"/>
        </w:rPr>
        <w:footnoteRef/>
      </w:r>
      <w:r>
        <w:t xml:space="preserve"> </w:t>
      </w:r>
      <w:r w:rsidRPr="00BC5E22">
        <w:rPr>
          <w:i/>
        </w:rPr>
        <w:t>Regulated Industries, Utilities</w:t>
      </w:r>
      <w:r>
        <w:rPr>
          <w:i/>
        </w:rPr>
        <w:t>:</w:t>
      </w:r>
      <w:r w:rsidRPr="00BC5E22">
        <w:rPr>
          <w:i/>
        </w:rPr>
        <w:t xml:space="preserve"> Energy</w:t>
      </w:r>
      <w:r>
        <w:t>, Wash. Utils. &amp; Transp. Comm’n (last visited Apr. 21, 2017)</w:t>
      </w:r>
      <w:r w:rsidR="00267418">
        <w:t xml:space="preserve"> available at</w:t>
      </w:r>
      <w:r>
        <w:t xml:space="preserve"> </w:t>
      </w:r>
      <w:hyperlink r:id="rId1" w:history="1">
        <w:r w:rsidRPr="00CC6630">
          <w:rPr>
            <w:rStyle w:val="Hyperlink"/>
          </w:rPr>
          <w:t>https://www.utc.wa.gov/regulatedIndustries/utilities/energy/Pages/default.aspx</w:t>
        </w:r>
      </w:hyperlink>
      <w:r>
        <w:t xml:space="preserve">. </w:t>
      </w:r>
    </w:p>
  </w:footnote>
  <w:footnote w:id="10">
    <w:p w14:paraId="710AAA30" w14:textId="7A3DEE25" w:rsidR="00B23E3B" w:rsidRDefault="00B23E3B" w:rsidP="00B976D0">
      <w:pPr>
        <w:ind w:left="720" w:hanging="720"/>
        <w:rPr>
          <w:sz w:val="20"/>
          <w:szCs w:val="20"/>
        </w:rPr>
      </w:pPr>
      <w:r>
        <w:rPr>
          <w:rStyle w:val="FootnoteReference"/>
        </w:rPr>
        <w:footnoteRef/>
      </w:r>
      <w:r>
        <w:t xml:space="preserve"> </w:t>
      </w:r>
      <w:r>
        <w:rPr>
          <w:sz w:val="20"/>
          <w:szCs w:val="20"/>
        </w:rPr>
        <w:t>RCW 54.48.020 provides:</w:t>
      </w:r>
    </w:p>
    <w:p w14:paraId="69D0D6A4" w14:textId="77777777" w:rsidR="00B23E3B" w:rsidRDefault="00B23E3B" w:rsidP="00B976D0">
      <w:pPr>
        <w:ind w:left="720" w:hanging="720"/>
        <w:rPr>
          <w:sz w:val="20"/>
          <w:szCs w:val="20"/>
        </w:rPr>
      </w:pPr>
    </w:p>
    <w:p w14:paraId="63FDF096" w14:textId="42EA1049" w:rsidR="00B23E3B" w:rsidRDefault="00B23E3B" w:rsidP="002508AF">
      <w:pPr>
        <w:ind w:left="720"/>
      </w:pPr>
      <w:r w:rsidRPr="00B976D0">
        <w:rPr>
          <w:b/>
          <w:bCs/>
          <w:sz w:val="20"/>
          <w:szCs w:val="20"/>
        </w:rPr>
        <w:t xml:space="preserve">Legislative declaration of policy. </w:t>
      </w:r>
      <w:r w:rsidRPr="00B976D0">
        <w:rPr>
          <w:sz w:val="20"/>
          <w:szCs w:val="20"/>
        </w:rPr>
        <w:t>The legislature hereby declares that the duplication of the electric lines and service of public utilities and cooperatives is uneconomical, may create unnecessary hazards to the public safety, discourages investment in permanent underground facilities, and is unattractive, and thus is contrary to the public interest and further declares that it is in the public interest for public utilities and cooperatives to enter into agreements for the purpose of avoiding or eliminating such duplication.</w:t>
      </w:r>
      <w:r>
        <w:t xml:space="preserve"> </w:t>
      </w:r>
    </w:p>
  </w:footnote>
  <w:footnote w:id="11">
    <w:p w14:paraId="646624A3" w14:textId="77F4B5A7" w:rsidR="00B23E3B" w:rsidRDefault="00B23E3B">
      <w:pPr>
        <w:pStyle w:val="FootnoteText"/>
      </w:pPr>
      <w:r>
        <w:rPr>
          <w:rStyle w:val="FootnoteReference"/>
        </w:rPr>
        <w:footnoteRef/>
      </w:r>
      <w:r>
        <w:t xml:space="preserve"> </w:t>
      </w:r>
      <w:r w:rsidRPr="00EF7098">
        <w:t>RCW 54.48.030</w:t>
      </w:r>
      <w:r>
        <w:t xml:space="preserve">. </w:t>
      </w:r>
    </w:p>
  </w:footnote>
  <w:footnote w:id="12">
    <w:p w14:paraId="7917CFC8" w14:textId="015EDD64" w:rsidR="00B23E3B" w:rsidRDefault="00B23E3B" w:rsidP="00264A15">
      <w:pPr>
        <w:pStyle w:val="FootnoteText"/>
      </w:pPr>
      <w:r>
        <w:rPr>
          <w:rStyle w:val="FootnoteReference"/>
        </w:rPr>
        <w:footnoteRef/>
      </w:r>
      <w:r>
        <w:t xml:space="preserve"> </w:t>
      </w:r>
      <w:r w:rsidRPr="00264A15">
        <w:rPr>
          <w:i/>
        </w:rPr>
        <w:t>Wash. Utils. &amp; Transp. Comm’n v. PacifiCorp</w:t>
      </w:r>
      <w:r w:rsidR="00267418">
        <w:t xml:space="preserve">, </w:t>
      </w:r>
      <w:r>
        <w:t>Dkt. UE-001734, Eighth Sup</w:t>
      </w:r>
      <w:r w:rsidR="00516AF8">
        <w:t>plemental Order, ¶¶ 9 -13 (Nov. </w:t>
      </w:r>
      <w:r>
        <w:t>27</w:t>
      </w:r>
      <w:r w:rsidR="00267418">
        <w:t>,</w:t>
      </w:r>
      <w:r>
        <w:t xml:space="preserve"> 2002); </w:t>
      </w:r>
      <w:r w:rsidRPr="00FC67AC">
        <w:rPr>
          <w:i/>
        </w:rPr>
        <w:t>In the Matter of PacifiCorp</w:t>
      </w:r>
      <w:r>
        <w:t xml:space="preserve">, Dkt. UE-132182, Report on Permanent Disconnection and Removal of Facilities, at 5-6 </w:t>
      </w:r>
      <w:r w:rsidRPr="00FC67AC">
        <w:t>(</w:t>
      </w:r>
      <w:r w:rsidRPr="00FC67AC">
        <w:rPr>
          <w:bCs/>
        </w:rPr>
        <w:t>Nov</w:t>
      </w:r>
      <w:r>
        <w:rPr>
          <w:bCs/>
        </w:rPr>
        <w:t>.</w:t>
      </w:r>
      <w:r w:rsidRPr="00FC67AC">
        <w:rPr>
          <w:bCs/>
        </w:rPr>
        <w:t xml:space="preserve"> 27, 2013)</w:t>
      </w:r>
      <w:r>
        <w:rPr>
          <w:bCs/>
        </w:rPr>
        <w:t>.</w:t>
      </w:r>
    </w:p>
  </w:footnote>
  <w:footnote w:id="13">
    <w:p w14:paraId="319C775B" w14:textId="11275531" w:rsidR="00B23E3B" w:rsidRPr="00174EC7" w:rsidRDefault="00B23E3B">
      <w:pPr>
        <w:pStyle w:val="FootnoteText"/>
      </w:pPr>
      <w:r w:rsidRPr="00174EC7">
        <w:rPr>
          <w:rStyle w:val="FootnoteReference"/>
        </w:rPr>
        <w:footnoteRef/>
      </w:r>
      <w:r w:rsidRPr="00174EC7">
        <w:t xml:space="preserve"> </w:t>
      </w:r>
      <w:r w:rsidRPr="00FC67AC">
        <w:rPr>
          <w:i/>
        </w:rPr>
        <w:t>Wash. Utils. &amp; Transp. Comm’n v. PacifiCorp</w:t>
      </w:r>
      <w:r w:rsidRPr="00FC67AC">
        <w:t xml:space="preserve">, </w:t>
      </w:r>
      <w:r>
        <w:t xml:space="preserve">Dkt. </w:t>
      </w:r>
      <w:r w:rsidRPr="00174EC7">
        <w:t xml:space="preserve">UE-001734, </w:t>
      </w:r>
      <w:r w:rsidRPr="00FC67AC">
        <w:t>Eighth Supplemental Order</w:t>
      </w:r>
      <w:r>
        <w:t xml:space="preserve">, </w:t>
      </w:r>
      <w:r w:rsidRPr="00FC67AC">
        <w:t>¶</w:t>
      </w:r>
      <w:r>
        <w:t xml:space="preserve"> </w:t>
      </w:r>
      <w:r w:rsidRPr="00174EC7">
        <w:t>3</w:t>
      </w:r>
      <w:r>
        <w:t xml:space="preserve"> </w:t>
      </w:r>
      <w:r w:rsidRPr="00FC67AC">
        <w:t>(Nov. 27 2002)</w:t>
      </w:r>
      <w:r>
        <w:t>.</w:t>
      </w:r>
    </w:p>
  </w:footnote>
  <w:footnote w:id="14">
    <w:p w14:paraId="2B63C84B" w14:textId="11DE120B" w:rsidR="00B23E3B" w:rsidRPr="009B7DF1" w:rsidRDefault="00B23E3B" w:rsidP="00813714">
      <w:pPr>
        <w:pStyle w:val="FootnoteText"/>
      </w:pPr>
      <w:r w:rsidRPr="009B7DF1">
        <w:rPr>
          <w:rStyle w:val="FootnoteReference"/>
        </w:rPr>
        <w:footnoteRef/>
      </w:r>
      <w:r w:rsidRPr="009B7DF1">
        <w:t xml:space="preserve"> </w:t>
      </w:r>
      <w:r w:rsidRPr="00813714">
        <w:rPr>
          <w:i/>
        </w:rPr>
        <w:t>For an Order Approving an Interim Service Territory Agreement Between PacifiCorp and Columbia Rural Electric Association</w:t>
      </w:r>
      <w:r>
        <w:t xml:space="preserve">, Dkt. </w:t>
      </w:r>
      <w:r w:rsidRPr="009B7DF1">
        <w:t>UE-011085, Order Approving Pacifi</w:t>
      </w:r>
      <w:r>
        <w:t>C</w:t>
      </w:r>
      <w:r w:rsidRPr="009B7DF1">
        <w:t xml:space="preserve">orp’s Participation in an Interim Service Territory Agreement, </w:t>
      </w:r>
      <w:r>
        <w:t xml:space="preserve">¶ </w:t>
      </w:r>
      <w:r w:rsidRPr="009B7DF1">
        <w:t>6</w:t>
      </w:r>
      <w:r>
        <w:t xml:space="preserve"> (Oct. 24, 2001</w:t>
      </w:r>
      <w:r w:rsidRPr="009B7DF1">
        <w:t xml:space="preserve">) </w:t>
      </w:r>
      <w:r>
        <w:t>.</w:t>
      </w:r>
      <w:r w:rsidRPr="009B7DF1">
        <w:t xml:space="preserve"> </w:t>
      </w:r>
    </w:p>
  </w:footnote>
  <w:footnote w:id="15">
    <w:p w14:paraId="7E32C3B8" w14:textId="529D7086" w:rsidR="00B23E3B" w:rsidRPr="009B7DF1" w:rsidRDefault="00B23E3B">
      <w:pPr>
        <w:pStyle w:val="FootnoteText"/>
      </w:pPr>
      <w:r w:rsidRPr="009B7DF1">
        <w:rPr>
          <w:rStyle w:val="FootnoteReference"/>
        </w:rPr>
        <w:footnoteRef/>
      </w:r>
      <w:r>
        <w:t xml:space="preserve"> </w:t>
      </w:r>
      <w:r w:rsidRPr="00813714">
        <w:rPr>
          <w:i/>
        </w:rPr>
        <w:t>Wash. Utils. &amp; Transp. Comm’n v. PacifiCorp</w:t>
      </w:r>
      <w:r>
        <w:t>,</w:t>
      </w:r>
      <w:r w:rsidRPr="00813714">
        <w:t xml:space="preserve"> Dkt. UE-001734, </w:t>
      </w:r>
      <w:r w:rsidRPr="00F9192A">
        <w:t>Third Supplemental Order</w:t>
      </w:r>
      <w:r w:rsidRPr="009B7DF1">
        <w:t xml:space="preserve">, </w:t>
      </w:r>
      <w:r>
        <w:t xml:space="preserve">¶ </w:t>
      </w:r>
      <w:r w:rsidRPr="009B7DF1">
        <w:t>5</w:t>
      </w:r>
      <w:r>
        <w:t xml:space="preserve"> (Aug. 10, 2001</w:t>
      </w:r>
      <w:r w:rsidRPr="009B7DF1">
        <w:t>)</w:t>
      </w:r>
      <w:r>
        <w:t>.</w:t>
      </w:r>
    </w:p>
  </w:footnote>
  <w:footnote w:id="16">
    <w:p w14:paraId="701599EA" w14:textId="65330CFF" w:rsidR="00B23E3B" w:rsidRDefault="00B23E3B">
      <w:pPr>
        <w:pStyle w:val="FootnoteText"/>
      </w:pPr>
      <w:r w:rsidRPr="009B7DF1">
        <w:rPr>
          <w:rStyle w:val="FootnoteReference"/>
        </w:rPr>
        <w:footnoteRef/>
      </w:r>
      <w:r w:rsidRPr="009B7DF1">
        <w:t xml:space="preserve"> </w:t>
      </w:r>
      <w:r w:rsidRPr="00A24314">
        <w:rPr>
          <w:i/>
        </w:rPr>
        <w:t>Wash. Utils. &amp; Transp. Comm’n v. PacifiCorp</w:t>
      </w:r>
      <w:r w:rsidRPr="00A24314">
        <w:t>, Dkt. UE-001734</w:t>
      </w:r>
      <w:r w:rsidRPr="009B7DF1">
        <w:t xml:space="preserve">, </w:t>
      </w:r>
      <w:r w:rsidRPr="00A24314">
        <w:t>Ninth Supplemental Order</w:t>
      </w:r>
      <w:r w:rsidRPr="009B7DF1">
        <w:t xml:space="preserve">, </w:t>
      </w:r>
      <w:r w:rsidRPr="00A24314">
        <w:t xml:space="preserve">¶ </w:t>
      </w:r>
      <w:r w:rsidRPr="009B7DF1">
        <w:t>4</w:t>
      </w:r>
      <w:r>
        <w:t xml:space="preserve"> (Dec. 30, 2002</w:t>
      </w:r>
      <w:r w:rsidRPr="009B7DF1">
        <w:t>)</w:t>
      </w:r>
      <w:r>
        <w:t>.</w:t>
      </w:r>
    </w:p>
  </w:footnote>
  <w:footnote w:id="17">
    <w:p w14:paraId="716F7A3B" w14:textId="7FAE1A97" w:rsidR="00B23E3B" w:rsidRDefault="00B23E3B">
      <w:pPr>
        <w:pStyle w:val="FootnoteText"/>
      </w:pPr>
      <w:r>
        <w:rPr>
          <w:rStyle w:val="FootnoteReference"/>
        </w:rPr>
        <w:footnoteRef/>
      </w:r>
      <w:r>
        <w:t xml:space="preserve"> </w:t>
      </w:r>
      <w:r w:rsidRPr="001E330B">
        <w:rPr>
          <w:i/>
        </w:rPr>
        <w:t>Wash. Utils. &amp; Transp. Comm’n v. PacifiCorp</w:t>
      </w:r>
      <w:r w:rsidRPr="001E330B">
        <w:t>,  Dkt. UE-001734, Eighth Supplemental Order, ¶</w:t>
      </w:r>
      <w:r>
        <w:t xml:space="preserve"> 1 (Nov. 27 2002).</w:t>
      </w:r>
    </w:p>
  </w:footnote>
  <w:footnote w:id="18">
    <w:p w14:paraId="54CBA21C" w14:textId="337208B9" w:rsidR="00B23E3B" w:rsidRDefault="00B23E3B">
      <w:pPr>
        <w:pStyle w:val="FootnoteText"/>
      </w:pPr>
      <w:r>
        <w:rPr>
          <w:rStyle w:val="FootnoteReference"/>
        </w:rPr>
        <w:footnoteRef/>
      </w:r>
      <w:r>
        <w:t xml:space="preserve"> </w:t>
      </w:r>
      <w:r w:rsidRPr="001E330B">
        <w:rPr>
          <w:i/>
        </w:rPr>
        <w:t>In the Matter of PacifiCorp</w:t>
      </w:r>
      <w:r w:rsidRPr="001E330B">
        <w:t xml:space="preserve">, Dkt. UE-132182, Report on Permanent Disconnection </w:t>
      </w:r>
      <w:r>
        <w:t xml:space="preserve">and Removal of Facilities, at </w:t>
      </w:r>
      <w:r w:rsidRPr="001E330B">
        <w:t>6 (</w:t>
      </w:r>
      <w:r w:rsidRPr="001E330B">
        <w:rPr>
          <w:bCs/>
        </w:rPr>
        <w:t>Nov. 27, 2013).</w:t>
      </w:r>
      <w:r w:rsidRPr="001E330B">
        <w:t xml:space="preserve"> </w:t>
      </w:r>
    </w:p>
  </w:footnote>
  <w:footnote w:id="19">
    <w:p w14:paraId="74ED482A" w14:textId="1689058A" w:rsidR="00B23E3B" w:rsidRDefault="00B23E3B">
      <w:pPr>
        <w:pStyle w:val="FootnoteText"/>
      </w:pPr>
      <w:r>
        <w:rPr>
          <w:rStyle w:val="FootnoteReference"/>
        </w:rPr>
        <w:footnoteRef/>
      </w:r>
      <w:r>
        <w:t xml:space="preserve"> </w:t>
      </w:r>
      <w:r w:rsidRPr="001E330B">
        <w:rPr>
          <w:i/>
        </w:rPr>
        <w:t>Wash. Utils. &amp; Transp. Comm’n v. PacifiCorp</w:t>
      </w:r>
      <w:r w:rsidRPr="001E330B">
        <w:t>, Dkt. UE-130043</w:t>
      </w:r>
      <w:r>
        <w:t xml:space="preserve">, </w:t>
      </w:r>
      <w:r w:rsidRPr="00A52BD1">
        <w:t>PacifiCorp's Motion to Withdraw Tariff</w:t>
      </w:r>
      <w:r>
        <w:t xml:space="preserve"> Filing, ¶ 1 (July 11, 2013).</w:t>
      </w:r>
    </w:p>
  </w:footnote>
  <w:footnote w:id="20">
    <w:p w14:paraId="0D631D58" w14:textId="59979AE9" w:rsidR="00B23E3B" w:rsidRDefault="00B23E3B" w:rsidP="001E330B">
      <w:pPr>
        <w:pStyle w:val="FootnoteText"/>
      </w:pPr>
      <w:r>
        <w:rPr>
          <w:rStyle w:val="FootnoteReference"/>
        </w:rPr>
        <w:footnoteRef/>
      </w:r>
      <w:r>
        <w:t xml:space="preserve"> </w:t>
      </w:r>
      <w:r w:rsidRPr="001E330B">
        <w:rPr>
          <w:i/>
        </w:rPr>
        <w:t>Wash. Utils. &amp; Transp. Comm’n v. PacifiCorp</w:t>
      </w:r>
      <w:r w:rsidRPr="001E330B">
        <w:t>, Dkt</w:t>
      </w:r>
      <w:r>
        <w:t>.</w:t>
      </w:r>
      <w:r w:rsidRPr="001E330B">
        <w:t xml:space="preserve"> </w:t>
      </w:r>
      <w:r>
        <w:t>UE-130043, Order 04, ¶ 15 (</w:t>
      </w:r>
      <w:r w:rsidRPr="001E330B">
        <w:rPr>
          <w:bCs/>
        </w:rPr>
        <w:t>July 29, 2013).</w:t>
      </w:r>
    </w:p>
  </w:footnote>
  <w:footnote w:id="21">
    <w:p w14:paraId="61883816" w14:textId="71732F02" w:rsidR="00B23E3B" w:rsidRDefault="00B23E3B" w:rsidP="002E21C4">
      <w:pPr>
        <w:pStyle w:val="FootnoteText"/>
      </w:pPr>
      <w:r>
        <w:rPr>
          <w:rStyle w:val="FootnoteReference"/>
        </w:rPr>
        <w:footnoteRef/>
      </w:r>
      <w:r>
        <w:t xml:space="preserve"> </w:t>
      </w:r>
      <w:r>
        <w:rPr>
          <w:i/>
        </w:rPr>
        <w:t xml:space="preserve">Walla Walla Country Club v. Pacific Power &amp; Light Co., </w:t>
      </w:r>
      <w:r>
        <w:t>Dtk. UE-143932, Order 5, ¶¶ 10-24 (May 5, 2016).</w:t>
      </w:r>
    </w:p>
  </w:footnote>
  <w:footnote w:id="22">
    <w:p w14:paraId="12B0AB58" w14:textId="24926C7F" w:rsidR="00B23E3B" w:rsidRDefault="00B23E3B">
      <w:pPr>
        <w:pStyle w:val="FootnoteText"/>
      </w:pPr>
      <w:r>
        <w:rPr>
          <w:rStyle w:val="FootnoteReference"/>
        </w:rPr>
        <w:footnoteRef/>
      </w:r>
      <w:r>
        <w:t xml:space="preserve"> </w:t>
      </w:r>
      <w:r w:rsidRPr="001E330B">
        <w:rPr>
          <w:i/>
        </w:rPr>
        <w:t>Id</w:t>
      </w:r>
      <w:r>
        <w:t>. at ¶ 25.</w:t>
      </w:r>
    </w:p>
  </w:footnote>
  <w:footnote w:id="23">
    <w:p w14:paraId="548D162F" w14:textId="4A3221B0" w:rsidR="00B23E3B" w:rsidRDefault="00B23E3B" w:rsidP="006B3578">
      <w:pPr>
        <w:pStyle w:val="FootnoteText"/>
      </w:pPr>
      <w:r>
        <w:rPr>
          <w:rStyle w:val="FootnoteReference"/>
        </w:rPr>
        <w:footnoteRef/>
      </w:r>
      <w:r>
        <w:t xml:space="preserve"> Dalley, </w:t>
      </w:r>
      <w:r w:rsidR="002F1752">
        <w:t xml:space="preserve">Exh. No. </w:t>
      </w:r>
      <w:r>
        <w:t>RBD-1T at 2:5-10.</w:t>
      </w:r>
    </w:p>
  </w:footnote>
  <w:footnote w:id="24">
    <w:p w14:paraId="4398FF03" w14:textId="15668C22" w:rsidR="00B23E3B" w:rsidRDefault="00B23E3B" w:rsidP="006B3578">
      <w:pPr>
        <w:pStyle w:val="FootnoteText"/>
      </w:pPr>
      <w:r>
        <w:rPr>
          <w:rStyle w:val="FootnoteReference"/>
        </w:rPr>
        <w:footnoteRef/>
      </w:r>
      <w:r>
        <w:t xml:space="preserve"> </w:t>
      </w:r>
      <w:r>
        <w:rPr>
          <w:i/>
        </w:rPr>
        <w:t>Id.</w:t>
      </w:r>
      <w:r>
        <w:t xml:space="preserve"> at 9:15-16.</w:t>
      </w:r>
    </w:p>
  </w:footnote>
  <w:footnote w:id="25">
    <w:p w14:paraId="5F7BEC2E" w14:textId="4F1F50FA" w:rsidR="00B23E3B" w:rsidRDefault="00B23E3B" w:rsidP="006B3578">
      <w:pPr>
        <w:pStyle w:val="FootnoteText"/>
      </w:pPr>
      <w:r>
        <w:rPr>
          <w:rStyle w:val="FootnoteReference"/>
        </w:rPr>
        <w:footnoteRef/>
      </w:r>
      <w:r>
        <w:t xml:space="preserve"> </w:t>
      </w:r>
      <w:r>
        <w:rPr>
          <w:i/>
        </w:rPr>
        <w:t>Id</w:t>
      </w:r>
      <w:r>
        <w:t>. at 9:19-20.</w:t>
      </w:r>
    </w:p>
  </w:footnote>
  <w:footnote w:id="26">
    <w:p w14:paraId="26B6CD36" w14:textId="1A44FE01" w:rsidR="00B23E3B" w:rsidRDefault="00B23E3B">
      <w:pPr>
        <w:pStyle w:val="FootnoteText"/>
      </w:pPr>
      <w:r>
        <w:rPr>
          <w:rStyle w:val="FootnoteReference"/>
        </w:rPr>
        <w:footnoteRef/>
      </w:r>
      <w:r>
        <w:t xml:space="preserve"> Panco, </w:t>
      </w:r>
      <w:r w:rsidRPr="002F1752">
        <w:t>Exh</w:t>
      </w:r>
      <w:r w:rsidR="002F1752" w:rsidRPr="002F1752">
        <w:t>.</w:t>
      </w:r>
      <w:r w:rsidR="00F82745" w:rsidRPr="002F1752">
        <w:t xml:space="preserve"> No. DJP-2, (</w:t>
      </w:r>
      <w:r w:rsidR="002F1752" w:rsidRPr="002F1752">
        <w:t>Pacific Power’s Response to Staff Data Request 2</w:t>
      </w:r>
      <w:r>
        <w:t xml:space="preserve">). </w:t>
      </w:r>
    </w:p>
  </w:footnote>
  <w:footnote w:id="27">
    <w:p w14:paraId="1E35BD1D" w14:textId="0CC54570" w:rsidR="0047729A" w:rsidRDefault="00B23E3B">
      <w:pPr>
        <w:pStyle w:val="FootnoteText"/>
      </w:pPr>
      <w:r>
        <w:rPr>
          <w:rStyle w:val="FootnoteReference"/>
        </w:rPr>
        <w:footnoteRef/>
      </w:r>
      <w:r>
        <w:t xml:space="preserve"> </w:t>
      </w:r>
      <w:r w:rsidRPr="0047729A">
        <w:t>Pacific Power’s Washington Supplement to FERC Form 1</w:t>
      </w:r>
      <w:r w:rsidR="0047729A">
        <w:t xml:space="preserve"> (data available from excel file titled “Combined Electric Annual Statistics – 2015” on UTC website:  </w:t>
      </w:r>
      <w:r w:rsidR="0047729A" w:rsidRPr="0047729A">
        <w:rPr>
          <w:i/>
        </w:rPr>
        <w:t>Financial Data For Regulated Electric Companies</w:t>
      </w:r>
      <w:r w:rsidR="0047729A">
        <w:rPr>
          <w:i/>
        </w:rPr>
        <w:t xml:space="preserve">, </w:t>
      </w:r>
      <w:r w:rsidR="0047729A" w:rsidRPr="0047729A">
        <w:rPr>
          <w:i/>
        </w:rPr>
        <w:t>Annual Statistics of Electric Companies: 1978 -2015</w:t>
      </w:r>
      <w:r w:rsidR="0047729A" w:rsidRPr="0047729A">
        <w:t>, Wash. Utils. &amp; Transp. Comm’n (last visited Apr. 21, 2017) available at</w:t>
      </w:r>
      <w:r w:rsidR="0047729A">
        <w:t xml:space="preserve"> </w:t>
      </w:r>
      <w:hyperlink r:id="rId2" w:history="1">
        <w:r w:rsidR="0047729A" w:rsidRPr="00F23413">
          <w:rPr>
            <w:rStyle w:val="Hyperlink"/>
          </w:rPr>
          <w:t>https://www.utc.wa.gov/regulatedIndustries/utilities/energy/Pages/financialDataForElectricCompanies.aspx</w:t>
        </w:r>
      </w:hyperlink>
      <w:r w:rsidR="0047729A">
        <w:t>).</w:t>
      </w:r>
    </w:p>
  </w:footnote>
  <w:footnote w:id="28">
    <w:p w14:paraId="40904BA5" w14:textId="3F72E1A7" w:rsidR="00B23E3B" w:rsidRDefault="00B23E3B">
      <w:pPr>
        <w:pStyle w:val="FootnoteText"/>
      </w:pPr>
      <w:r>
        <w:rPr>
          <w:rStyle w:val="FootnoteReference"/>
        </w:rPr>
        <w:footnoteRef/>
      </w:r>
      <w:r>
        <w:t xml:space="preserve"> Dalley, </w:t>
      </w:r>
      <w:r w:rsidR="002F1752">
        <w:t xml:space="preserve">Exh. No. </w:t>
      </w:r>
      <w:r>
        <w:t>RBD-1T at 5:17-18.</w:t>
      </w:r>
    </w:p>
  </w:footnote>
  <w:footnote w:id="29">
    <w:p w14:paraId="2545DF40" w14:textId="6EF42950" w:rsidR="00B23E3B" w:rsidRDefault="00B23E3B">
      <w:pPr>
        <w:pStyle w:val="FootnoteText"/>
      </w:pPr>
      <w:r>
        <w:rPr>
          <w:rStyle w:val="FootnoteReference"/>
        </w:rPr>
        <w:footnoteRef/>
      </w:r>
      <w:r>
        <w:t xml:space="preserve"> </w:t>
      </w:r>
      <w:r w:rsidR="0047729A" w:rsidRPr="0047729A">
        <w:t>Pacific Power’s Washington Supplement to FERC Form 1</w:t>
      </w:r>
      <w:r w:rsidR="0047729A">
        <w:t xml:space="preserve"> (</w:t>
      </w:r>
      <w:r w:rsidR="0047729A" w:rsidRPr="0047729A">
        <w:t xml:space="preserve">data available from excel file titled “Combined Electric Annual Statistics – 2015” on UTC website:  </w:t>
      </w:r>
      <w:r w:rsidR="0047729A" w:rsidRPr="0047729A">
        <w:rPr>
          <w:i/>
        </w:rPr>
        <w:t>Financial Data For Regulated Electric Companies, Annual Statistics of Electric Companies: 1978 -2015</w:t>
      </w:r>
      <w:r w:rsidR="0047729A" w:rsidRPr="0047729A">
        <w:t xml:space="preserve">, Wash. Utils. &amp; Transp. Comm’n (last visited Apr. 21, 2017) available at </w:t>
      </w:r>
      <w:hyperlink r:id="rId3" w:history="1">
        <w:r w:rsidR="0047729A" w:rsidRPr="0047729A">
          <w:rPr>
            <w:rStyle w:val="Hyperlink"/>
          </w:rPr>
          <w:t>https://www.utc.wa.gov/regulatedIndustries/utilities/energy/Pages/financialDataForElectricCompanies.aspx</w:t>
        </w:r>
      </w:hyperlink>
      <w:r w:rsidR="0047729A">
        <w:t>).</w:t>
      </w:r>
    </w:p>
  </w:footnote>
  <w:footnote w:id="30">
    <w:p w14:paraId="3D4D891C" w14:textId="24427D3D" w:rsidR="00B23E3B" w:rsidRDefault="00B23E3B">
      <w:pPr>
        <w:pStyle w:val="FootnoteText"/>
      </w:pPr>
      <w:r>
        <w:rPr>
          <w:rStyle w:val="FootnoteReference"/>
        </w:rPr>
        <w:footnoteRef/>
      </w:r>
      <w:r>
        <w:t xml:space="preserve"> </w:t>
      </w:r>
      <w:r w:rsidRPr="00DC0DB2">
        <w:rPr>
          <w:i/>
        </w:rPr>
        <w:t>Electric Power Sales, Revenue, and Energy Efficiency Form EIA-861 Detailed Data Files</w:t>
      </w:r>
      <w:r>
        <w:t xml:space="preserve">, U.S. Energy Information Administration (release date </w:t>
      </w:r>
      <w:r w:rsidRPr="00DC0DB2">
        <w:t>October 6, 2016</w:t>
      </w:r>
      <w:r>
        <w:t>) (</w:t>
      </w:r>
      <w:r w:rsidRPr="00DC0DB2">
        <w:t xml:space="preserve">Final 2015 </w:t>
      </w:r>
      <w:r>
        <w:t>D</w:t>
      </w:r>
      <w:r w:rsidRPr="00DC0DB2">
        <w:t>ata</w:t>
      </w:r>
      <w:r>
        <w:t>) available at</w:t>
      </w:r>
      <w:r w:rsidRPr="00DC0DB2">
        <w:t xml:space="preserve"> </w:t>
      </w:r>
      <w:hyperlink r:id="rId4" w:history="1">
        <w:r w:rsidRPr="00F23413">
          <w:rPr>
            <w:rStyle w:val="Hyperlink"/>
          </w:rPr>
          <w:t>https://www.eia.gov/electricity/data/eia861/</w:t>
        </w:r>
      </w:hyperlink>
      <w:r>
        <w:t>.</w:t>
      </w:r>
    </w:p>
  </w:footnote>
  <w:footnote w:id="31">
    <w:p w14:paraId="59BF7B33" w14:textId="7CDBAA0A" w:rsidR="00B23E3B" w:rsidRDefault="00B23E3B">
      <w:pPr>
        <w:pStyle w:val="FootnoteText"/>
      </w:pPr>
      <w:r>
        <w:rPr>
          <w:rStyle w:val="FootnoteReference"/>
        </w:rPr>
        <w:footnoteRef/>
      </w:r>
      <w:r>
        <w:t xml:space="preserve"> </w:t>
      </w:r>
      <w:r w:rsidRPr="00DC0DB2">
        <w:rPr>
          <w:i/>
        </w:rPr>
        <w:t>See</w:t>
      </w:r>
      <w:r>
        <w:t xml:space="preserve"> RCW</w:t>
      </w:r>
      <w:r w:rsidRPr="004D68FB">
        <w:t xml:space="preserve"> 80.12</w:t>
      </w:r>
      <w:r>
        <w:t>; WAC 480-143.</w:t>
      </w:r>
    </w:p>
  </w:footnote>
  <w:footnote w:id="32">
    <w:p w14:paraId="31036170" w14:textId="7A237313" w:rsidR="00B23E3B" w:rsidRDefault="00B23E3B">
      <w:pPr>
        <w:pStyle w:val="FootnoteText"/>
      </w:pPr>
      <w:r>
        <w:rPr>
          <w:rStyle w:val="FootnoteReference"/>
        </w:rPr>
        <w:footnoteRef/>
      </w:r>
      <w:r>
        <w:t xml:space="preserve"> Dalley, Exh. No. RBD-2.</w:t>
      </w:r>
    </w:p>
  </w:footnote>
  <w:footnote w:id="33">
    <w:p w14:paraId="52F92BD7" w14:textId="7EED8992" w:rsidR="00B23E3B" w:rsidRDefault="00B23E3B">
      <w:pPr>
        <w:pStyle w:val="FootnoteText"/>
      </w:pPr>
      <w:r>
        <w:rPr>
          <w:rStyle w:val="FootnoteReference"/>
        </w:rPr>
        <w:footnoteRef/>
      </w:r>
      <w:r>
        <w:t xml:space="preserve"> </w:t>
      </w:r>
      <w:r w:rsidRPr="00DC0DB2">
        <w:rPr>
          <w:i/>
        </w:rPr>
        <w:t>Id.</w:t>
      </w:r>
    </w:p>
  </w:footnote>
  <w:footnote w:id="34">
    <w:p w14:paraId="5783BA7F" w14:textId="419AC9B4" w:rsidR="00B23E3B" w:rsidRDefault="00B23E3B">
      <w:pPr>
        <w:pStyle w:val="FootnoteText"/>
      </w:pPr>
      <w:r>
        <w:rPr>
          <w:rStyle w:val="FootnoteReference"/>
        </w:rPr>
        <w:footnoteRef/>
      </w:r>
      <w:r>
        <w:t xml:space="preserve"> Panco</w:t>
      </w:r>
      <w:r w:rsidR="002F1752">
        <w:t>,</w:t>
      </w:r>
      <w:r>
        <w:t xml:space="preserve"> Exh. No. DJP</w:t>
      </w:r>
      <w:r w:rsidRPr="002F1752">
        <w:t>-</w:t>
      </w:r>
      <w:r w:rsidR="00F82745" w:rsidRPr="002F1752">
        <w:t>3</w:t>
      </w:r>
      <w:r w:rsidRPr="002F1752">
        <w:t xml:space="preserve"> (</w:t>
      </w:r>
      <w:r w:rsidR="00F82745" w:rsidRPr="002F1752">
        <w:t xml:space="preserve">Pacific Power’s </w:t>
      </w:r>
      <w:r w:rsidR="002F1752" w:rsidRPr="002F1752">
        <w:t>Cost of Service Results</w:t>
      </w:r>
      <w:r w:rsidR="00F82745" w:rsidRPr="002F1752">
        <w:t>)</w:t>
      </w:r>
      <w:r w:rsidRPr="002F1752">
        <w:t>.</w:t>
      </w:r>
    </w:p>
  </w:footnote>
  <w:footnote w:id="35">
    <w:p w14:paraId="368462AD" w14:textId="60534140" w:rsidR="00B23E3B" w:rsidRDefault="00B23E3B" w:rsidP="003668FC">
      <w:pPr>
        <w:pStyle w:val="FootnoteText"/>
      </w:pPr>
      <w:r>
        <w:rPr>
          <w:rStyle w:val="FootnoteReference"/>
        </w:rPr>
        <w:footnoteRef/>
      </w:r>
      <w:r>
        <w:t xml:space="preserve"> Dalley, Exh. No. </w:t>
      </w:r>
      <w:r w:rsidRPr="003668FC">
        <w:t>RBD-1T</w:t>
      </w:r>
      <w:r>
        <w:t xml:space="preserve"> at 8:</w:t>
      </w:r>
      <w:r w:rsidRPr="003668FC">
        <w:t>2</w:t>
      </w:r>
      <w:r>
        <w:t>-</w:t>
      </w:r>
      <w:r w:rsidRPr="003668FC">
        <w:t>3</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F769A0"/>
    <w:multiLevelType w:val="hybridMultilevel"/>
    <w:tmpl w:val="9F3503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243140"/>
    <w:multiLevelType w:val="hybridMultilevel"/>
    <w:tmpl w:val="474A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3746A"/>
    <w:multiLevelType w:val="hybridMultilevel"/>
    <w:tmpl w:val="3C8E6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763D6A"/>
    <w:multiLevelType w:val="hybridMultilevel"/>
    <w:tmpl w:val="AE0A254A"/>
    <w:lvl w:ilvl="0" w:tplc="9B9E791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9525C"/>
    <w:multiLevelType w:val="hybridMultilevel"/>
    <w:tmpl w:val="0C743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F6F47"/>
    <w:multiLevelType w:val="hybridMultilevel"/>
    <w:tmpl w:val="09520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0D602D"/>
    <w:multiLevelType w:val="hybridMultilevel"/>
    <w:tmpl w:val="26922B2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ECFC08"/>
    <w:multiLevelType w:val="hybridMultilevel"/>
    <w:tmpl w:val="E36564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1F37C2"/>
    <w:multiLevelType w:val="hybridMultilevel"/>
    <w:tmpl w:val="8ADEC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444DBC"/>
    <w:multiLevelType w:val="hybridMultilevel"/>
    <w:tmpl w:val="AF8C1C60"/>
    <w:lvl w:ilvl="0" w:tplc="AE40718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6F58ED"/>
    <w:multiLevelType w:val="hybridMultilevel"/>
    <w:tmpl w:val="75EA1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C1C5FD8"/>
    <w:multiLevelType w:val="hybridMultilevel"/>
    <w:tmpl w:val="D0469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FB25B3"/>
    <w:multiLevelType w:val="hybridMultilevel"/>
    <w:tmpl w:val="D5B2C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9D0150F"/>
    <w:multiLevelType w:val="hybridMultilevel"/>
    <w:tmpl w:val="4B2C6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E12928"/>
    <w:multiLevelType w:val="hybridMultilevel"/>
    <w:tmpl w:val="F760AF54"/>
    <w:lvl w:ilvl="0" w:tplc="13B68182">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AD30F0"/>
    <w:multiLevelType w:val="hybridMultilevel"/>
    <w:tmpl w:val="5106E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6D50D9"/>
    <w:multiLevelType w:val="hybridMultilevel"/>
    <w:tmpl w:val="D0641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789EFBC"/>
    <w:multiLevelType w:val="hybridMultilevel"/>
    <w:tmpl w:val="55767C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4"/>
  </w:num>
  <w:num w:numId="3">
    <w:abstractNumId w:val="2"/>
  </w:num>
  <w:num w:numId="4">
    <w:abstractNumId w:val="1"/>
  </w:num>
  <w:num w:numId="5">
    <w:abstractNumId w:val="16"/>
  </w:num>
  <w:num w:numId="6">
    <w:abstractNumId w:val="5"/>
  </w:num>
  <w:num w:numId="7">
    <w:abstractNumId w:val="14"/>
  </w:num>
  <w:num w:numId="8">
    <w:abstractNumId w:val="12"/>
  </w:num>
  <w:num w:numId="9">
    <w:abstractNumId w:val="8"/>
  </w:num>
  <w:num w:numId="10">
    <w:abstractNumId w:val="10"/>
  </w:num>
  <w:num w:numId="11">
    <w:abstractNumId w:val="17"/>
  </w:num>
  <w:num w:numId="12">
    <w:abstractNumId w:val="15"/>
  </w:num>
  <w:num w:numId="13">
    <w:abstractNumId w:val="6"/>
  </w:num>
  <w:num w:numId="14">
    <w:abstractNumId w:val="9"/>
  </w:num>
  <w:num w:numId="15">
    <w:abstractNumId w:val="11"/>
  </w:num>
  <w:num w:numId="16">
    <w:abstractNumId w:val="7"/>
  </w:num>
  <w:num w:numId="17">
    <w:abstractNumId w:val="0"/>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1BD"/>
    <w:rsid w:val="00005686"/>
    <w:rsid w:val="00010B5E"/>
    <w:rsid w:val="000157BD"/>
    <w:rsid w:val="000224B2"/>
    <w:rsid w:val="00022547"/>
    <w:rsid w:val="0003287E"/>
    <w:rsid w:val="00040A2D"/>
    <w:rsid w:val="00052ED6"/>
    <w:rsid w:val="0006695D"/>
    <w:rsid w:val="00073FD2"/>
    <w:rsid w:val="00077AFD"/>
    <w:rsid w:val="000A0C86"/>
    <w:rsid w:val="000A7B38"/>
    <w:rsid w:val="000C6CA1"/>
    <w:rsid w:val="000D4EFB"/>
    <w:rsid w:val="000D5B7D"/>
    <w:rsid w:val="000D6345"/>
    <w:rsid w:val="000D6C87"/>
    <w:rsid w:val="000E0A70"/>
    <w:rsid w:val="000E1F8E"/>
    <w:rsid w:val="000E60B8"/>
    <w:rsid w:val="000E7F75"/>
    <w:rsid w:val="000F4BC7"/>
    <w:rsid w:val="00103CDE"/>
    <w:rsid w:val="00105E9D"/>
    <w:rsid w:val="00120779"/>
    <w:rsid w:val="00123C12"/>
    <w:rsid w:val="0012711D"/>
    <w:rsid w:val="00127DB6"/>
    <w:rsid w:val="00130489"/>
    <w:rsid w:val="00130FCA"/>
    <w:rsid w:val="001319C4"/>
    <w:rsid w:val="00137DAD"/>
    <w:rsid w:val="00144D6C"/>
    <w:rsid w:val="0015026F"/>
    <w:rsid w:val="001502EF"/>
    <w:rsid w:val="001568F7"/>
    <w:rsid w:val="00156B82"/>
    <w:rsid w:val="00157FC2"/>
    <w:rsid w:val="0016644E"/>
    <w:rsid w:val="001740DA"/>
    <w:rsid w:val="00174EC7"/>
    <w:rsid w:val="00174F94"/>
    <w:rsid w:val="0018125D"/>
    <w:rsid w:val="00185D5B"/>
    <w:rsid w:val="00191D0E"/>
    <w:rsid w:val="00193DFF"/>
    <w:rsid w:val="0019675F"/>
    <w:rsid w:val="001A2DF6"/>
    <w:rsid w:val="001C08C3"/>
    <w:rsid w:val="001C489A"/>
    <w:rsid w:val="001C76DC"/>
    <w:rsid w:val="001E0A30"/>
    <w:rsid w:val="001E2E50"/>
    <w:rsid w:val="001E330B"/>
    <w:rsid w:val="001E4F0C"/>
    <w:rsid w:val="001F2FD6"/>
    <w:rsid w:val="00201A1C"/>
    <w:rsid w:val="00211399"/>
    <w:rsid w:val="0021497B"/>
    <w:rsid w:val="00220689"/>
    <w:rsid w:val="00227C59"/>
    <w:rsid w:val="002327AD"/>
    <w:rsid w:val="00242FA3"/>
    <w:rsid w:val="002508AF"/>
    <w:rsid w:val="00253C12"/>
    <w:rsid w:val="00253DBC"/>
    <w:rsid w:val="00257A4F"/>
    <w:rsid w:val="00262E55"/>
    <w:rsid w:val="00264A15"/>
    <w:rsid w:val="00267418"/>
    <w:rsid w:val="00267BC3"/>
    <w:rsid w:val="002757B7"/>
    <w:rsid w:val="00276B74"/>
    <w:rsid w:val="0027717F"/>
    <w:rsid w:val="0028069F"/>
    <w:rsid w:val="00292C92"/>
    <w:rsid w:val="002A2683"/>
    <w:rsid w:val="002A563F"/>
    <w:rsid w:val="002A62CD"/>
    <w:rsid w:val="002A710A"/>
    <w:rsid w:val="002B16A7"/>
    <w:rsid w:val="002C3156"/>
    <w:rsid w:val="002C55AF"/>
    <w:rsid w:val="002C6FAD"/>
    <w:rsid w:val="002C752C"/>
    <w:rsid w:val="002D1387"/>
    <w:rsid w:val="002D2F32"/>
    <w:rsid w:val="002D315B"/>
    <w:rsid w:val="002D5995"/>
    <w:rsid w:val="002E21C4"/>
    <w:rsid w:val="002E510D"/>
    <w:rsid w:val="002F1752"/>
    <w:rsid w:val="002F6934"/>
    <w:rsid w:val="003150AB"/>
    <w:rsid w:val="003166B9"/>
    <w:rsid w:val="003222D2"/>
    <w:rsid w:val="00333856"/>
    <w:rsid w:val="00353F89"/>
    <w:rsid w:val="00361DE3"/>
    <w:rsid w:val="003661CC"/>
    <w:rsid w:val="00366392"/>
    <w:rsid w:val="003668FC"/>
    <w:rsid w:val="003704B3"/>
    <w:rsid w:val="00374A43"/>
    <w:rsid w:val="0038139A"/>
    <w:rsid w:val="003A1166"/>
    <w:rsid w:val="003A1F50"/>
    <w:rsid w:val="003A4C56"/>
    <w:rsid w:val="003B0158"/>
    <w:rsid w:val="003B6FF5"/>
    <w:rsid w:val="003C2BC2"/>
    <w:rsid w:val="003C43A1"/>
    <w:rsid w:val="003D34FC"/>
    <w:rsid w:val="003D365D"/>
    <w:rsid w:val="003E0366"/>
    <w:rsid w:val="003E1D99"/>
    <w:rsid w:val="003E2AA3"/>
    <w:rsid w:val="003E524A"/>
    <w:rsid w:val="003E776C"/>
    <w:rsid w:val="003F300B"/>
    <w:rsid w:val="004010F8"/>
    <w:rsid w:val="00402749"/>
    <w:rsid w:val="00432EF3"/>
    <w:rsid w:val="004375EE"/>
    <w:rsid w:val="004402B1"/>
    <w:rsid w:val="00454246"/>
    <w:rsid w:val="004542B3"/>
    <w:rsid w:val="004550CD"/>
    <w:rsid w:val="00455FD0"/>
    <w:rsid w:val="00456371"/>
    <w:rsid w:val="0046251D"/>
    <w:rsid w:val="0046358B"/>
    <w:rsid w:val="00474668"/>
    <w:rsid w:val="0047729A"/>
    <w:rsid w:val="0048061C"/>
    <w:rsid w:val="0048636F"/>
    <w:rsid w:val="00492BD6"/>
    <w:rsid w:val="004A6F44"/>
    <w:rsid w:val="004B160B"/>
    <w:rsid w:val="004B2074"/>
    <w:rsid w:val="004B2F4C"/>
    <w:rsid w:val="004B5029"/>
    <w:rsid w:val="004C060A"/>
    <w:rsid w:val="004C7077"/>
    <w:rsid w:val="004D6784"/>
    <w:rsid w:val="004D68FB"/>
    <w:rsid w:val="004E03A3"/>
    <w:rsid w:val="004E37E1"/>
    <w:rsid w:val="005007DE"/>
    <w:rsid w:val="005034A3"/>
    <w:rsid w:val="00506188"/>
    <w:rsid w:val="00506F0D"/>
    <w:rsid w:val="005071C2"/>
    <w:rsid w:val="0051186D"/>
    <w:rsid w:val="00516AF8"/>
    <w:rsid w:val="00525F3A"/>
    <w:rsid w:val="00543FFC"/>
    <w:rsid w:val="00547592"/>
    <w:rsid w:val="005513AF"/>
    <w:rsid w:val="0056692A"/>
    <w:rsid w:val="00567AE5"/>
    <w:rsid w:val="00571EED"/>
    <w:rsid w:val="0058631A"/>
    <w:rsid w:val="005877EC"/>
    <w:rsid w:val="005901D1"/>
    <w:rsid w:val="00591EDA"/>
    <w:rsid w:val="00592FAD"/>
    <w:rsid w:val="005A3BEA"/>
    <w:rsid w:val="005B0287"/>
    <w:rsid w:val="005B1518"/>
    <w:rsid w:val="005B4958"/>
    <w:rsid w:val="005C2DCE"/>
    <w:rsid w:val="005D4FFD"/>
    <w:rsid w:val="005E4C0E"/>
    <w:rsid w:val="00600378"/>
    <w:rsid w:val="00601918"/>
    <w:rsid w:val="00605FFB"/>
    <w:rsid w:val="006102E6"/>
    <w:rsid w:val="00610DC4"/>
    <w:rsid w:val="0061722A"/>
    <w:rsid w:val="00622464"/>
    <w:rsid w:val="006229F9"/>
    <w:rsid w:val="006324C0"/>
    <w:rsid w:val="006330F9"/>
    <w:rsid w:val="00635F92"/>
    <w:rsid w:val="00643BE3"/>
    <w:rsid w:val="00651E8B"/>
    <w:rsid w:val="00660CC5"/>
    <w:rsid w:val="00660E31"/>
    <w:rsid w:val="00662192"/>
    <w:rsid w:val="00662CA4"/>
    <w:rsid w:val="006729A0"/>
    <w:rsid w:val="00673828"/>
    <w:rsid w:val="00675D78"/>
    <w:rsid w:val="00677EDB"/>
    <w:rsid w:val="00681D1B"/>
    <w:rsid w:val="00682ED3"/>
    <w:rsid w:val="006843FB"/>
    <w:rsid w:val="00690200"/>
    <w:rsid w:val="006A01A5"/>
    <w:rsid w:val="006A1EF0"/>
    <w:rsid w:val="006A4096"/>
    <w:rsid w:val="006B1E6A"/>
    <w:rsid w:val="006B3578"/>
    <w:rsid w:val="006C1FF9"/>
    <w:rsid w:val="006C2050"/>
    <w:rsid w:val="006C20F2"/>
    <w:rsid w:val="006C23AF"/>
    <w:rsid w:val="006C2931"/>
    <w:rsid w:val="006C430A"/>
    <w:rsid w:val="006D0573"/>
    <w:rsid w:val="006D0741"/>
    <w:rsid w:val="006D438D"/>
    <w:rsid w:val="006E2966"/>
    <w:rsid w:val="006E486A"/>
    <w:rsid w:val="006E542C"/>
    <w:rsid w:val="006F0695"/>
    <w:rsid w:val="006F0D20"/>
    <w:rsid w:val="006F1D77"/>
    <w:rsid w:val="006F3F6D"/>
    <w:rsid w:val="006F53C5"/>
    <w:rsid w:val="006F6F7B"/>
    <w:rsid w:val="007025BF"/>
    <w:rsid w:val="00702B30"/>
    <w:rsid w:val="0070562F"/>
    <w:rsid w:val="00706903"/>
    <w:rsid w:val="007072B1"/>
    <w:rsid w:val="007171C3"/>
    <w:rsid w:val="00724DC1"/>
    <w:rsid w:val="00724F97"/>
    <w:rsid w:val="00731BD5"/>
    <w:rsid w:val="00735AAE"/>
    <w:rsid w:val="00735D23"/>
    <w:rsid w:val="00740DC8"/>
    <w:rsid w:val="0075730D"/>
    <w:rsid w:val="00757917"/>
    <w:rsid w:val="007605E0"/>
    <w:rsid w:val="00771CE9"/>
    <w:rsid w:val="00772084"/>
    <w:rsid w:val="00784481"/>
    <w:rsid w:val="00790E54"/>
    <w:rsid w:val="00794B4A"/>
    <w:rsid w:val="007B0B61"/>
    <w:rsid w:val="007B743A"/>
    <w:rsid w:val="007C7542"/>
    <w:rsid w:val="007D1611"/>
    <w:rsid w:val="007D19A1"/>
    <w:rsid w:val="007D60DC"/>
    <w:rsid w:val="007D66B6"/>
    <w:rsid w:val="007E0A5C"/>
    <w:rsid w:val="007F2C6D"/>
    <w:rsid w:val="007F3B2E"/>
    <w:rsid w:val="00813714"/>
    <w:rsid w:val="00813AD6"/>
    <w:rsid w:val="00833695"/>
    <w:rsid w:val="00840E82"/>
    <w:rsid w:val="00846B2D"/>
    <w:rsid w:val="00861BA6"/>
    <w:rsid w:val="00862A6F"/>
    <w:rsid w:val="0086605E"/>
    <w:rsid w:val="00870CE8"/>
    <w:rsid w:val="00872760"/>
    <w:rsid w:val="00881CC4"/>
    <w:rsid w:val="008A00A9"/>
    <w:rsid w:val="008A0E0B"/>
    <w:rsid w:val="008B3654"/>
    <w:rsid w:val="008B728B"/>
    <w:rsid w:val="008B7FAD"/>
    <w:rsid w:val="008C4C9E"/>
    <w:rsid w:val="008D07B1"/>
    <w:rsid w:val="008D7D54"/>
    <w:rsid w:val="008E0C8E"/>
    <w:rsid w:val="008E1E8C"/>
    <w:rsid w:val="008F2367"/>
    <w:rsid w:val="0090016D"/>
    <w:rsid w:val="00904C70"/>
    <w:rsid w:val="009213D6"/>
    <w:rsid w:val="0092585A"/>
    <w:rsid w:val="00927722"/>
    <w:rsid w:val="00932D68"/>
    <w:rsid w:val="0094289A"/>
    <w:rsid w:val="00945E0F"/>
    <w:rsid w:val="009616EA"/>
    <w:rsid w:val="00975FC2"/>
    <w:rsid w:val="0098360D"/>
    <w:rsid w:val="00985A7C"/>
    <w:rsid w:val="00991E61"/>
    <w:rsid w:val="00996BE4"/>
    <w:rsid w:val="00996CFF"/>
    <w:rsid w:val="009B036E"/>
    <w:rsid w:val="009B7ABA"/>
    <w:rsid w:val="009B7DF1"/>
    <w:rsid w:val="009C12A8"/>
    <w:rsid w:val="009C4B0A"/>
    <w:rsid w:val="009D0048"/>
    <w:rsid w:val="009D44C4"/>
    <w:rsid w:val="009D6F71"/>
    <w:rsid w:val="009F204A"/>
    <w:rsid w:val="009F23E3"/>
    <w:rsid w:val="009F2EAA"/>
    <w:rsid w:val="009F36E1"/>
    <w:rsid w:val="00A10002"/>
    <w:rsid w:val="00A10BB6"/>
    <w:rsid w:val="00A207A7"/>
    <w:rsid w:val="00A20ABA"/>
    <w:rsid w:val="00A24314"/>
    <w:rsid w:val="00A27C78"/>
    <w:rsid w:val="00A44EB2"/>
    <w:rsid w:val="00A46183"/>
    <w:rsid w:val="00A47C03"/>
    <w:rsid w:val="00A5293C"/>
    <w:rsid w:val="00A52BD1"/>
    <w:rsid w:val="00A55E1A"/>
    <w:rsid w:val="00A6113A"/>
    <w:rsid w:val="00A67AE2"/>
    <w:rsid w:val="00A742AA"/>
    <w:rsid w:val="00A744C0"/>
    <w:rsid w:val="00A7764C"/>
    <w:rsid w:val="00A81B13"/>
    <w:rsid w:val="00A8764F"/>
    <w:rsid w:val="00AA0343"/>
    <w:rsid w:val="00AA3E60"/>
    <w:rsid w:val="00AA40C6"/>
    <w:rsid w:val="00AA4FE0"/>
    <w:rsid w:val="00AB106C"/>
    <w:rsid w:val="00AC06C8"/>
    <w:rsid w:val="00AC43C0"/>
    <w:rsid w:val="00AC6006"/>
    <w:rsid w:val="00AF1550"/>
    <w:rsid w:val="00B00E05"/>
    <w:rsid w:val="00B03913"/>
    <w:rsid w:val="00B0397F"/>
    <w:rsid w:val="00B05269"/>
    <w:rsid w:val="00B13F08"/>
    <w:rsid w:val="00B14F74"/>
    <w:rsid w:val="00B15F99"/>
    <w:rsid w:val="00B21C8B"/>
    <w:rsid w:val="00B23E3B"/>
    <w:rsid w:val="00B26F00"/>
    <w:rsid w:val="00B34ADF"/>
    <w:rsid w:val="00B46643"/>
    <w:rsid w:val="00B4786E"/>
    <w:rsid w:val="00B5015C"/>
    <w:rsid w:val="00B57956"/>
    <w:rsid w:val="00B629ED"/>
    <w:rsid w:val="00B814E2"/>
    <w:rsid w:val="00B83E83"/>
    <w:rsid w:val="00B926E7"/>
    <w:rsid w:val="00B9577F"/>
    <w:rsid w:val="00B976D0"/>
    <w:rsid w:val="00B97F4F"/>
    <w:rsid w:val="00BA3A35"/>
    <w:rsid w:val="00BC11EB"/>
    <w:rsid w:val="00BC5E22"/>
    <w:rsid w:val="00BC60E4"/>
    <w:rsid w:val="00BD1C7D"/>
    <w:rsid w:val="00BD4981"/>
    <w:rsid w:val="00BE1B49"/>
    <w:rsid w:val="00BE3D30"/>
    <w:rsid w:val="00BF3944"/>
    <w:rsid w:val="00BF6578"/>
    <w:rsid w:val="00BF77D7"/>
    <w:rsid w:val="00C03357"/>
    <w:rsid w:val="00C0665B"/>
    <w:rsid w:val="00C07123"/>
    <w:rsid w:val="00C07430"/>
    <w:rsid w:val="00C07D9F"/>
    <w:rsid w:val="00C21709"/>
    <w:rsid w:val="00C22CA8"/>
    <w:rsid w:val="00C2333A"/>
    <w:rsid w:val="00C300BA"/>
    <w:rsid w:val="00C307EE"/>
    <w:rsid w:val="00C36C40"/>
    <w:rsid w:val="00C401F6"/>
    <w:rsid w:val="00C40946"/>
    <w:rsid w:val="00C417AD"/>
    <w:rsid w:val="00C46184"/>
    <w:rsid w:val="00C56DA5"/>
    <w:rsid w:val="00C62A52"/>
    <w:rsid w:val="00C74A20"/>
    <w:rsid w:val="00C84379"/>
    <w:rsid w:val="00C87FB9"/>
    <w:rsid w:val="00CA2D12"/>
    <w:rsid w:val="00CA6467"/>
    <w:rsid w:val="00CC05D6"/>
    <w:rsid w:val="00CE38A9"/>
    <w:rsid w:val="00CF288E"/>
    <w:rsid w:val="00CF3510"/>
    <w:rsid w:val="00CF5814"/>
    <w:rsid w:val="00CF7049"/>
    <w:rsid w:val="00D01AA8"/>
    <w:rsid w:val="00D040E9"/>
    <w:rsid w:val="00D063EC"/>
    <w:rsid w:val="00D22EB3"/>
    <w:rsid w:val="00D241A9"/>
    <w:rsid w:val="00D310B1"/>
    <w:rsid w:val="00D33048"/>
    <w:rsid w:val="00D342B2"/>
    <w:rsid w:val="00D40A9E"/>
    <w:rsid w:val="00D414BA"/>
    <w:rsid w:val="00D4252C"/>
    <w:rsid w:val="00D45706"/>
    <w:rsid w:val="00D4615A"/>
    <w:rsid w:val="00D546B3"/>
    <w:rsid w:val="00D55E5B"/>
    <w:rsid w:val="00D61A15"/>
    <w:rsid w:val="00D64F44"/>
    <w:rsid w:val="00D8716B"/>
    <w:rsid w:val="00D92F73"/>
    <w:rsid w:val="00DA268F"/>
    <w:rsid w:val="00DA4113"/>
    <w:rsid w:val="00DB53B0"/>
    <w:rsid w:val="00DC0DB2"/>
    <w:rsid w:val="00DC4B1F"/>
    <w:rsid w:val="00DD5585"/>
    <w:rsid w:val="00DE05EC"/>
    <w:rsid w:val="00DE0AB6"/>
    <w:rsid w:val="00DE49AF"/>
    <w:rsid w:val="00DE5D3F"/>
    <w:rsid w:val="00DE7F1F"/>
    <w:rsid w:val="00DF0E92"/>
    <w:rsid w:val="00DF1100"/>
    <w:rsid w:val="00DF3208"/>
    <w:rsid w:val="00DF69F1"/>
    <w:rsid w:val="00E00962"/>
    <w:rsid w:val="00E05EDE"/>
    <w:rsid w:val="00E343E5"/>
    <w:rsid w:val="00E45A6B"/>
    <w:rsid w:val="00E50BE2"/>
    <w:rsid w:val="00E572A5"/>
    <w:rsid w:val="00E57C97"/>
    <w:rsid w:val="00E630F7"/>
    <w:rsid w:val="00E7474B"/>
    <w:rsid w:val="00E75530"/>
    <w:rsid w:val="00E762EF"/>
    <w:rsid w:val="00E83224"/>
    <w:rsid w:val="00E852DA"/>
    <w:rsid w:val="00E91528"/>
    <w:rsid w:val="00E96081"/>
    <w:rsid w:val="00E96DD4"/>
    <w:rsid w:val="00EA11BA"/>
    <w:rsid w:val="00EA4557"/>
    <w:rsid w:val="00EA5092"/>
    <w:rsid w:val="00EA5AB6"/>
    <w:rsid w:val="00EA7315"/>
    <w:rsid w:val="00EB28EC"/>
    <w:rsid w:val="00EC538C"/>
    <w:rsid w:val="00ED2A89"/>
    <w:rsid w:val="00ED331F"/>
    <w:rsid w:val="00ED4365"/>
    <w:rsid w:val="00EE0263"/>
    <w:rsid w:val="00EE21DD"/>
    <w:rsid w:val="00EE5FF9"/>
    <w:rsid w:val="00EF2D4E"/>
    <w:rsid w:val="00EF7098"/>
    <w:rsid w:val="00F10469"/>
    <w:rsid w:val="00F11DBD"/>
    <w:rsid w:val="00F11F38"/>
    <w:rsid w:val="00F12A3A"/>
    <w:rsid w:val="00F151B3"/>
    <w:rsid w:val="00F16F07"/>
    <w:rsid w:val="00F22869"/>
    <w:rsid w:val="00F24D02"/>
    <w:rsid w:val="00F305ED"/>
    <w:rsid w:val="00F46E9F"/>
    <w:rsid w:val="00F47810"/>
    <w:rsid w:val="00F56174"/>
    <w:rsid w:val="00F567B7"/>
    <w:rsid w:val="00F6525B"/>
    <w:rsid w:val="00F6687E"/>
    <w:rsid w:val="00F81BAE"/>
    <w:rsid w:val="00F82745"/>
    <w:rsid w:val="00F9192A"/>
    <w:rsid w:val="00F94E90"/>
    <w:rsid w:val="00FA0CFA"/>
    <w:rsid w:val="00FA69B7"/>
    <w:rsid w:val="00FA6C93"/>
    <w:rsid w:val="00FB696C"/>
    <w:rsid w:val="00FC67AC"/>
    <w:rsid w:val="00FD2CC2"/>
    <w:rsid w:val="00FD31C9"/>
    <w:rsid w:val="00FD3B86"/>
    <w:rsid w:val="00FD3F04"/>
    <w:rsid w:val="00FD784C"/>
    <w:rsid w:val="00FE03F5"/>
    <w:rsid w:val="00FF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D62235C"/>
  <w15:docId w15:val="{7F907B21-8EF2-4646-8496-F7EEB35B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0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34"/>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character" w:styleId="Hyperlink">
    <w:name w:val="Hyperlink"/>
    <w:basedOn w:val="DefaultParagraphFont"/>
    <w:uiPriority w:val="99"/>
    <w:unhideWhenUsed/>
    <w:rsid w:val="00052ED6"/>
    <w:rPr>
      <w:color w:val="0000FF" w:themeColor="hyperlink"/>
      <w:u w:val="single"/>
    </w:rPr>
  </w:style>
  <w:style w:type="paragraph" w:styleId="BalloonText">
    <w:name w:val="Balloon Text"/>
    <w:basedOn w:val="Normal"/>
    <w:link w:val="BalloonTextChar"/>
    <w:uiPriority w:val="99"/>
    <w:semiHidden/>
    <w:unhideWhenUsed/>
    <w:rsid w:val="00A74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4C0"/>
    <w:rPr>
      <w:rFonts w:ascii="Segoe UI" w:hAnsi="Segoe UI" w:cs="Segoe UI"/>
      <w:sz w:val="18"/>
      <w:szCs w:val="18"/>
    </w:rPr>
  </w:style>
  <w:style w:type="character" w:styleId="FollowedHyperlink">
    <w:name w:val="FollowedHyperlink"/>
    <w:basedOn w:val="DefaultParagraphFont"/>
    <w:uiPriority w:val="99"/>
    <w:semiHidden/>
    <w:unhideWhenUsed/>
    <w:rsid w:val="002C55AF"/>
    <w:rPr>
      <w:color w:val="800080" w:themeColor="followedHyperlink"/>
      <w:u w:val="single"/>
    </w:rPr>
  </w:style>
  <w:style w:type="paragraph" w:styleId="FootnoteText">
    <w:name w:val="footnote text"/>
    <w:basedOn w:val="Normal"/>
    <w:link w:val="FootnoteTextChar"/>
    <w:uiPriority w:val="99"/>
    <w:semiHidden/>
    <w:unhideWhenUsed/>
    <w:rsid w:val="002C55AF"/>
    <w:rPr>
      <w:sz w:val="20"/>
      <w:szCs w:val="20"/>
    </w:rPr>
  </w:style>
  <w:style w:type="character" w:customStyle="1" w:styleId="FootnoteTextChar">
    <w:name w:val="Footnote Text Char"/>
    <w:basedOn w:val="DefaultParagraphFont"/>
    <w:link w:val="FootnoteText"/>
    <w:uiPriority w:val="99"/>
    <w:semiHidden/>
    <w:rsid w:val="002C55AF"/>
    <w:rPr>
      <w:sz w:val="20"/>
      <w:szCs w:val="20"/>
    </w:rPr>
  </w:style>
  <w:style w:type="character" w:styleId="FootnoteReference">
    <w:name w:val="footnote reference"/>
    <w:basedOn w:val="DefaultParagraphFont"/>
    <w:uiPriority w:val="99"/>
    <w:semiHidden/>
    <w:unhideWhenUsed/>
    <w:rsid w:val="002C55AF"/>
    <w:rPr>
      <w:vertAlign w:val="superscript"/>
    </w:rPr>
  </w:style>
  <w:style w:type="character" w:styleId="CommentReference">
    <w:name w:val="annotation reference"/>
    <w:basedOn w:val="DefaultParagraphFont"/>
    <w:uiPriority w:val="99"/>
    <w:semiHidden/>
    <w:unhideWhenUsed/>
    <w:rsid w:val="00CF7049"/>
    <w:rPr>
      <w:sz w:val="16"/>
      <w:szCs w:val="16"/>
    </w:rPr>
  </w:style>
  <w:style w:type="paragraph" w:styleId="CommentText">
    <w:name w:val="annotation text"/>
    <w:basedOn w:val="Normal"/>
    <w:link w:val="CommentTextChar"/>
    <w:uiPriority w:val="99"/>
    <w:semiHidden/>
    <w:unhideWhenUsed/>
    <w:rsid w:val="00CF7049"/>
    <w:rPr>
      <w:sz w:val="20"/>
      <w:szCs w:val="20"/>
    </w:rPr>
  </w:style>
  <w:style w:type="character" w:customStyle="1" w:styleId="CommentTextChar">
    <w:name w:val="Comment Text Char"/>
    <w:basedOn w:val="DefaultParagraphFont"/>
    <w:link w:val="CommentText"/>
    <w:uiPriority w:val="99"/>
    <w:semiHidden/>
    <w:rsid w:val="00CF7049"/>
    <w:rPr>
      <w:sz w:val="20"/>
      <w:szCs w:val="20"/>
    </w:rPr>
  </w:style>
  <w:style w:type="paragraph" w:styleId="CommentSubject">
    <w:name w:val="annotation subject"/>
    <w:basedOn w:val="CommentText"/>
    <w:next w:val="CommentText"/>
    <w:link w:val="CommentSubjectChar"/>
    <w:uiPriority w:val="99"/>
    <w:semiHidden/>
    <w:unhideWhenUsed/>
    <w:rsid w:val="00CF7049"/>
    <w:rPr>
      <w:b/>
      <w:bCs/>
    </w:rPr>
  </w:style>
  <w:style w:type="character" w:customStyle="1" w:styleId="CommentSubjectChar">
    <w:name w:val="Comment Subject Char"/>
    <w:basedOn w:val="CommentTextChar"/>
    <w:link w:val="CommentSubject"/>
    <w:uiPriority w:val="99"/>
    <w:semiHidden/>
    <w:rsid w:val="00CF7049"/>
    <w:rPr>
      <w:b/>
      <w:bCs/>
      <w:sz w:val="20"/>
      <w:szCs w:val="20"/>
    </w:rPr>
  </w:style>
  <w:style w:type="paragraph" w:styleId="Revision">
    <w:name w:val="Revision"/>
    <w:hidden/>
    <w:uiPriority w:val="99"/>
    <w:semiHidden/>
    <w:rsid w:val="00861B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27130">
      <w:bodyDiv w:val="1"/>
      <w:marLeft w:val="0"/>
      <w:marRight w:val="0"/>
      <w:marTop w:val="0"/>
      <w:marBottom w:val="0"/>
      <w:divBdr>
        <w:top w:val="none" w:sz="0" w:space="0" w:color="auto"/>
        <w:left w:val="none" w:sz="0" w:space="0" w:color="auto"/>
        <w:bottom w:val="none" w:sz="0" w:space="0" w:color="auto"/>
        <w:right w:val="none" w:sz="0" w:space="0" w:color="auto"/>
      </w:divBdr>
    </w:div>
    <w:div w:id="1564675780">
      <w:bodyDiv w:val="1"/>
      <w:marLeft w:val="0"/>
      <w:marRight w:val="0"/>
      <w:marTop w:val="0"/>
      <w:marBottom w:val="0"/>
      <w:divBdr>
        <w:top w:val="none" w:sz="0" w:space="0" w:color="auto"/>
        <w:left w:val="none" w:sz="0" w:space="0" w:color="auto"/>
        <w:bottom w:val="none" w:sz="0" w:space="0" w:color="auto"/>
        <w:right w:val="none" w:sz="0" w:space="0" w:color="auto"/>
      </w:divBdr>
    </w:div>
    <w:div w:id="188128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tc.wa.gov/regulatedIndustries/utilities/energy/Pages/financialDataForElectricCompanies.aspx" TargetMode="External"/><Relationship Id="rId2" Type="http://schemas.openxmlformats.org/officeDocument/2006/relationships/hyperlink" Target="https://www.utc.wa.gov/regulatedIndustries/utilities/energy/Pages/financialDataForElectricCompanies.aspx" TargetMode="External"/><Relationship Id="rId1" Type="http://schemas.openxmlformats.org/officeDocument/2006/relationships/hyperlink" Target="https://www.utc.wa.gov/regulatedIndustries/utilities/energy/Pages/default.aspx" TargetMode="External"/><Relationship Id="rId4" Type="http://schemas.openxmlformats.org/officeDocument/2006/relationships/hyperlink" Target="https://www.eia.gov/electricity/data/eia86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home.utc.wa.gov/sites/ue-161204/Staffs%20Testimony%20and%20Exhibits/161204%20Staff%20Exh%20DP-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Incremental</a:t>
            </a:r>
          </a:p>
          <a:p>
            <a:pPr>
              <a:defRPr/>
            </a:pPr>
            <a:r>
              <a:rPr lang="en-US" baseline="0"/>
              <a:t> Revenue Loss by Class Since 1999</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2"/>
          <c:order val="0"/>
          <c:tx>
            <c:strRef>
              <c:f>summary!$A$5</c:f>
              <c:strCache>
                <c:ptCount val="1"/>
                <c:pt idx="0">
                  <c:v>Irrigation</c:v>
                </c:pt>
              </c:strCache>
            </c:strRef>
          </c:tx>
          <c:spPr>
            <a:solidFill>
              <a:schemeClr val="accent3"/>
            </a:solidFill>
            <a:ln>
              <a:noFill/>
            </a:ln>
            <a:effectLst/>
          </c:spPr>
          <c:invertIfNegative val="0"/>
          <c:cat>
            <c:numRef>
              <c:f>summary!$B$2:$S$2</c:f>
              <c:numCache>
                <c:formatCode>General</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summary!$B$19:$S$19</c:f>
              <c:numCache>
                <c:formatCode>#,##0</c:formatCode>
                <c:ptCount val="18"/>
                <c:pt idx="0">
                  <c:v>172760</c:v>
                </c:pt>
                <c:pt idx="1">
                  <c:v>0</c:v>
                </c:pt>
                <c:pt idx="2">
                  <c:v>8721</c:v>
                </c:pt>
                <c:pt idx="3">
                  <c:v>338</c:v>
                </c:pt>
                <c:pt idx="4">
                  <c:v>0</c:v>
                </c:pt>
                <c:pt idx="5">
                  <c:v>0</c:v>
                </c:pt>
                <c:pt idx="6">
                  <c:v>0</c:v>
                </c:pt>
                <c:pt idx="7">
                  <c:v>0</c:v>
                </c:pt>
                <c:pt idx="8">
                  <c:v>647</c:v>
                </c:pt>
                <c:pt idx="9">
                  <c:v>12927</c:v>
                </c:pt>
                <c:pt idx="10">
                  <c:v>0</c:v>
                </c:pt>
                <c:pt idx="11">
                  <c:v>91456</c:v>
                </c:pt>
                <c:pt idx="12">
                  <c:v>27760.200000000012</c:v>
                </c:pt>
                <c:pt idx="13">
                  <c:v>24100</c:v>
                </c:pt>
                <c:pt idx="14">
                  <c:v>69949</c:v>
                </c:pt>
                <c:pt idx="15">
                  <c:v>180</c:v>
                </c:pt>
                <c:pt idx="16">
                  <c:v>0</c:v>
                </c:pt>
                <c:pt idx="17">
                  <c:v>10292.020000000019</c:v>
                </c:pt>
              </c:numCache>
            </c:numRef>
          </c:val>
        </c:ser>
        <c:ser>
          <c:idx val="3"/>
          <c:order val="1"/>
          <c:tx>
            <c:strRef>
              <c:f>summary!$A$6</c:f>
              <c:strCache>
                <c:ptCount val="1"/>
                <c:pt idx="0">
                  <c:v>Residential</c:v>
                </c:pt>
              </c:strCache>
            </c:strRef>
          </c:tx>
          <c:spPr>
            <a:solidFill>
              <a:schemeClr val="accent4"/>
            </a:solidFill>
            <a:ln>
              <a:noFill/>
            </a:ln>
            <a:effectLst/>
          </c:spPr>
          <c:invertIfNegative val="0"/>
          <c:cat>
            <c:numRef>
              <c:f>summary!$B$2:$S$2</c:f>
              <c:numCache>
                <c:formatCode>General</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summary!$B$20:$S$20</c:f>
              <c:numCache>
                <c:formatCode>#,##0</c:formatCode>
                <c:ptCount val="18"/>
                <c:pt idx="0">
                  <c:v>2250</c:v>
                </c:pt>
                <c:pt idx="1">
                  <c:v>2470</c:v>
                </c:pt>
                <c:pt idx="2">
                  <c:v>2502</c:v>
                </c:pt>
                <c:pt idx="3">
                  <c:v>2671</c:v>
                </c:pt>
                <c:pt idx="4">
                  <c:v>945</c:v>
                </c:pt>
                <c:pt idx="5">
                  <c:v>0</c:v>
                </c:pt>
                <c:pt idx="6">
                  <c:v>816</c:v>
                </c:pt>
                <c:pt idx="7">
                  <c:v>0</c:v>
                </c:pt>
                <c:pt idx="8">
                  <c:v>1099</c:v>
                </c:pt>
                <c:pt idx="9">
                  <c:v>2616</c:v>
                </c:pt>
                <c:pt idx="10">
                  <c:v>0</c:v>
                </c:pt>
                <c:pt idx="11">
                  <c:v>2040</c:v>
                </c:pt>
                <c:pt idx="12">
                  <c:v>206388</c:v>
                </c:pt>
                <c:pt idx="13">
                  <c:v>0</c:v>
                </c:pt>
                <c:pt idx="14">
                  <c:v>3776</c:v>
                </c:pt>
                <c:pt idx="15">
                  <c:v>0</c:v>
                </c:pt>
                <c:pt idx="16">
                  <c:v>0</c:v>
                </c:pt>
                <c:pt idx="17">
                  <c:v>0</c:v>
                </c:pt>
              </c:numCache>
            </c:numRef>
          </c:val>
        </c:ser>
        <c:ser>
          <c:idx val="1"/>
          <c:order val="2"/>
          <c:tx>
            <c:strRef>
              <c:f>summary!$A$4</c:f>
              <c:strCache>
                <c:ptCount val="1"/>
                <c:pt idx="0">
                  <c:v>Commercial</c:v>
                </c:pt>
              </c:strCache>
            </c:strRef>
          </c:tx>
          <c:spPr>
            <a:solidFill>
              <a:schemeClr val="accent2"/>
            </a:solidFill>
            <a:ln>
              <a:noFill/>
            </a:ln>
            <a:effectLst/>
          </c:spPr>
          <c:invertIfNegative val="0"/>
          <c:cat>
            <c:numRef>
              <c:f>summary!$B$2:$S$2</c:f>
              <c:numCache>
                <c:formatCode>General</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summary!$B$18:$S$18</c:f>
              <c:numCache>
                <c:formatCode>#,##0</c:formatCode>
                <c:ptCount val="18"/>
                <c:pt idx="0">
                  <c:v>0</c:v>
                </c:pt>
                <c:pt idx="1">
                  <c:v>0</c:v>
                </c:pt>
                <c:pt idx="2">
                  <c:v>0</c:v>
                </c:pt>
                <c:pt idx="3">
                  <c:v>0</c:v>
                </c:pt>
                <c:pt idx="4">
                  <c:v>0</c:v>
                </c:pt>
                <c:pt idx="5">
                  <c:v>106261</c:v>
                </c:pt>
                <c:pt idx="6">
                  <c:v>0</c:v>
                </c:pt>
                <c:pt idx="7">
                  <c:v>0</c:v>
                </c:pt>
                <c:pt idx="8">
                  <c:v>0</c:v>
                </c:pt>
                <c:pt idx="9">
                  <c:v>94003</c:v>
                </c:pt>
                <c:pt idx="10">
                  <c:v>0</c:v>
                </c:pt>
                <c:pt idx="11">
                  <c:v>229209</c:v>
                </c:pt>
                <c:pt idx="12">
                  <c:v>13771</c:v>
                </c:pt>
                <c:pt idx="13">
                  <c:v>15382</c:v>
                </c:pt>
                <c:pt idx="14">
                  <c:v>134133</c:v>
                </c:pt>
                <c:pt idx="15">
                  <c:v>71540</c:v>
                </c:pt>
                <c:pt idx="16">
                  <c:v>264</c:v>
                </c:pt>
                <c:pt idx="17">
                  <c:v>127461</c:v>
                </c:pt>
              </c:numCache>
            </c:numRef>
          </c:val>
        </c:ser>
        <c:ser>
          <c:idx val="0"/>
          <c:order val="3"/>
          <c:tx>
            <c:strRef>
              <c:f>summary!$A$3</c:f>
              <c:strCache>
                <c:ptCount val="1"/>
                <c:pt idx="0">
                  <c:v>Industrial</c:v>
                </c:pt>
              </c:strCache>
            </c:strRef>
          </c:tx>
          <c:spPr>
            <a:solidFill>
              <a:schemeClr val="accent1"/>
            </a:solidFill>
            <a:ln>
              <a:noFill/>
            </a:ln>
            <a:effectLst/>
          </c:spPr>
          <c:invertIfNegative val="0"/>
          <c:cat>
            <c:numRef>
              <c:f>summary!$B$2:$S$2</c:f>
              <c:numCache>
                <c:formatCode>General</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summary!$B$17:$S$17</c:f>
              <c:numCache>
                <c:formatCode>#,##0</c:formatCode>
                <c:ptCount val="18"/>
                <c:pt idx="0">
                  <c:v>0</c:v>
                </c:pt>
                <c:pt idx="1">
                  <c:v>0</c:v>
                </c:pt>
                <c:pt idx="2">
                  <c:v>0</c:v>
                </c:pt>
                <c:pt idx="3">
                  <c:v>0</c:v>
                </c:pt>
                <c:pt idx="4">
                  <c:v>0</c:v>
                </c:pt>
                <c:pt idx="5">
                  <c:v>0</c:v>
                </c:pt>
                <c:pt idx="6">
                  <c:v>0</c:v>
                </c:pt>
                <c:pt idx="7">
                  <c:v>0</c:v>
                </c:pt>
                <c:pt idx="8">
                  <c:v>0</c:v>
                </c:pt>
                <c:pt idx="9">
                  <c:v>0</c:v>
                </c:pt>
                <c:pt idx="10">
                  <c:v>0</c:v>
                </c:pt>
                <c:pt idx="11">
                  <c:v>0</c:v>
                </c:pt>
                <c:pt idx="12">
                  <c:v>283555.07</c:v>
                </c:pt>
                <c:pt idx="13">
                  <c:v>150023</c:v>
                </c:pt>
                <c:pt idx="14">
                  <c:v>0</c:v>
                </c:pt>
                <c:pt idx="15">
                  <c:v>0</c:v>
                </c:pt>
                <c:pt idx="16">
                  <c:v>0</c:v>
                </c:pt>
                <c:pt idx="17">
                  <c:v>0</c:v>
                </c:pt>
              </c:numCache>
            </c:numRef>
          </c:val>
        </c:ser>
        <c:dLbls>
          <c:showLegendKey val="0"/>
          <c:showVal val="0"/>
          <c:showCatName val="0"/>
          <c:showSerName val="0"/>
          <c:showPercent val="0"/>
          <c:showBubbleSize val="0"/>
        </c:dLbls>
        <c:gapWidth val="150"/>
        <c:overlap val="100"/>
        <c:axId val="147575616"/>
        <c:axId val="5054968"/>
      </c:barChart>
      <c:catAx>
        <c:axId val="147575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4968"/>
        <c:crosses val="autoZero"/>
        <c:auto val="1"/>
        <c:lblAlgn val="ctr"/>
        <c:lblOffset val="100"/>
        <c:noMultiLvlLbl val="0"/>
      </c:catAx>
      <c:valAx>
        <c:axId val="5054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Cumulative</a:t>
                </a:r>
                <a:r>
                  <a:rPr lang="en-US" baseline="0"/>
                  <a:t> Revneues Loss</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5756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2017-04-21T07:00:00+00:00</Date1>
    <IsDocumentOrder xmlns="dc463f71-b30c-4ab2-9473-d307f9d35888" xsi:nil="true"/>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161204</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525D045-62D5-42B4-89BA-2FF0D610C4C9}"/>
</file>

<file path=customXml/itemProps2.xml><?xml version="1.0" encoding="utf-8"?>
<ds:datastoreItem xmlns:ds="http://schemas.openxmlformats.org/officeDocument/2006/customXml" ds:itemID="{414B1EC4-0B0F-4B6A-9345-7F876FD1F152}">
  <ds:schemaRefs>
    <ds:schemaRef ds:uri="http://schemas.microsoft.com/sharepoint/v3/contenttype/forms"/>
  </ds:schemaRefs>
</ds:datastoreItem>
</file>

<file path=customXml/itemProps3.xml><?xml version="1.0" encoding="utf-8"?>
<ds:datastoreItem xmlns:ds="http://schemas.openxmlformats.org/officeDocument/2006/customXml" ds:itemID="{6D128EC3-A66F-4CD9-8870-C86A756ABDC5}">
  <ds:schemaRefs>
    <ds:schemaRef ds:uri="http://schemas.microsoft.com/sharepoint/v3/fields"/>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4f70c62-691b-492e-ba59-9d389529a97e"/>
    <ds:schemaRef ds:uri="http://schemas.microsoft.com/office/2006/metadata/properties"/>
  </ds:schemaRefs>
</ds:datastoreItem>
</file>

<file path=customXml/itemProps4.xml><?xml version="1.0" encoding="utf-8"?>
<ds:datastoreItem xmlns:ds="http://schemas.openxmlformats.org/officeDocument/2006/customXml" ds:itemID="{CB1BDEAE-8D13-49B3-AE1D-502F292C5656}">
  <ds:schemaRefs>
    <ds:schemaRef ds:uri="http://schemas.openxmlformats.org/officeDocument/2006/bibliography"/>
  </ds:schemaRefs>
</ds:datastoreItem>
</file>

<file path=customXml/itemProps5.xml><?xml version="1.0" encoding="utf-8"?>
<ds:datastoreItem xmlns:ds="http://schemas.openxmlformats.org/officeDocument/2006/customXml" ds:itemID="{174ABAE5-E201-4487-86A5-7FBBD6578287}"/>
</file>

<file path=docProps/app.xml><?xml version="1.0" encoding="utf-8"?>
<Properties xmlns="http://schemas.openxmlformats.org/officeDocument/2006/extended-properties" xmlns:vt="http://schemas.openxmlformats.org/officeDocument/2006/docPropsVTypes">
  <Template>Normal</Template>
  <TotalTime>4339</TotalTime>
  <Pages>28</Pages>
  <Words>4287</Words>
  <Characters>24437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draft 032317 Panco</vt:lpstr>
    </vt:vector>
  </TitlesOfParts>
  <Company>Washington Utilities and Transportation Commission</Company>
  <LinksUpToDate>false</LinksUpToDate>
  <CharactersWithSpaces>28667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Casey, Chris (UTC)</cp:lastModifiedBy>
  <cp:revision>130</cp:revision>
  <cp:lastPrinted>2017-04-21T20:43:00Z</cp:lastPrinted>
  <dcterms:created xsi:type="dcterms:W3CDTF">2017-03-28T15:53:00Z</dcterms:created>
  <dcterms:modified xsi:type="dcterms:W3CDTF">2017-04-21T20:53:00Z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0x0101006E56B4D1795A2E4DB2F0B01679ED314A0082BE3214F6FBE444A686B76141802F0A</vt:lpwstr>
  </property>
  <property fmtid="{D5CDD505-2E9C-101B-9397-08002B2CF9AE}" pid="3" name="_docset_NoMedatataSyncRequired">
    <vt:lpwstr>False</vt:lpwstr>
  </property>
  <property fmtid="{D5CDD505-2E9C-101B-9397-08002B2CF9AE}" pid="4" name="IsEFSEC">
    <vt:bool>false</vt:bool>
  </property>
</Properties>
</file>