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CF6E" w14:textId="77777777" w:rsidR="00917B4D" w:rsidRDefault="00BF1D28" w:rsidP="00F11E9F">
      <w:pPr>
        <w:jc w:val="center"/>
        <w:rPr>
          <w:b/>
        </w:rPr>
      </w:pPr>
      <w:bookmarkStart w:id="0" w:name="_GoBack"/>
      <w:bookmarkEnd w:id="0"/>
      <w:r>
        <w:rPr>
          <w:b/>
        </w:rPr>
        <w:t>CO</w:t>
      </w:r>
      <w:r w:rsidR="00F11E9F" w:rsidRPr="00E247C8">
        <w:rPr>
          <w:b/>
        </w:rPr>
        <w:t>MMENTS OF UTILITY CONSERVATION SERVICES, LLC (UCONS)</w:t>
      </w:r>
    </w:p>
    <w:p w14:paraId="014CCF6F" w14:textId="77777777" w:rsidR="00125A53" w:rsidRPr="00E247C8" w:rsidRDefault="00125A53" w:rsidP="00F11E9F">
      <w:pPr>
        <w:jc w:val="center"/>
        <w:rPr>
          <w:b/>
        </w:rPr>
      </w:pPr>
      <w:r>
        <w:rPr>
          <w:b/>
        </w:rPr>
        <w:t xml:space="preserve">ON </w:t>
      </w:r>
      <w:r w:rsidR="0096695E">
        <w:rPr>
          <w:b/>
        </w:rPr>
        <w:t>PUGET SOUND ENERGY’S BIENNIAL CONSERVATION PLAN</w:t>
      </w:r>
    </w:p>
    <w:p w14:paraId="014CCF70" w14:textId="77777777" w:rsidR="00292C5C" w:rsidRDefault="00E46C7F" w:rsidP="005A7EDC">
      <w:pPr>
        <w:jc w:val="center"/>
      </w:pPr>
      <w:r>
        <w:t>December 1</w:t>
      </w:r>
      <w:r w:rsidR="00125A53">
        <w:t>, 2017</w:t>
      </w:r>
    </w:p>
    <w:p w14:paraId="014CCF71" w14:textId="77777777" w:rsidR="00F11E9F" w:rsidRDefault="00F11E9F" w:rsidP="00F11E9F">
      <w:pPr>
        <w:jc w:val="center"/>
      </w:pPr>
    </w:p>
    <w:p w14:paraId="014CCF72" w14:textId="77777777" w:rsidR="00F11E9F" w:rsidRDefault="00F11E9F" w:rsidP="00F11E9F">
      <w:pPr>
        <w:jc w:val="center"/>
      </w:pPr>
      <w:r>
        <w:t>Tom Eckhart, PE</w:t>
      </w:r>
    </w:p>
    <w:p w14:paraId="014CCF73" w14:textId="77777777" w:rsidR="00F11E9F" w:rsidRDefault="00F11E9F" w:rsidP="00F11E9F">
      <w:pPr>
        <w:jc w:val="center"/>
      </w:pPr>
      <w:r>
        <w:t>CEO</w:t>
      </w:r>
      <w:r w:rsidR="000B7179">
        <w:t>,</w:t>
      </w:r>
      <w:r>
        <w:t xml:space="preserve"> UCONS</w:t>
      </w:r>
      <w:r w:rsidR="00432CBC">
        <w:t>, LLC</w:t>
      </w:r>
    </w:p>
    <w:p w14:paraId="014CCF74" w14:textId="77777777" w:rsidR="00E247C8" w:rsidRPr="00263962" w:rsidRDefault="00E247C8" w:rsidP="00E247C8">
      <w:pPr>
        <w:widowControl w:val="0"/>
        <w:autoSpaceDE w:val="0"/>
        <w:autoSpaceDN w:val="0"/>
        <w:adjustRightInd w:val="0"/>
        <w:jc w:val="center"/>
        <w:rPr>
          <w:rFonts w:ascii="Calibri" w:hAnsi="Calibri" w:cs="Calibri"/>
        </w:rPr>
      </w:pPr>
      <w:r>
        <w:t>1</w:t>
      </w:r>
      <w:r w:rsidRPr="00263962">
        <w:t>0612 NE 46th Street</w:t>
      </w:r>
    </w:p>
    <w:p w14:paraId="014CCF75" w14:textId="77777777" w:rsidR="00E247C8" w:rsidRPr="00263962" w:rsidRDefault="00E247C8" w:rsidP="00E247C8">
      <w:pPr>
        <w:widowControl w:val="0"/>
        <w:autoSpaceDE w:val="0"/>
        <w:autoSpaceDN w:val="0"/>
        <w:adjustRightInd w:val="0"/>
        <w:jc w:val="center"/>
        <w:rPr>
          <w:rFonts w:ascii="Calibri" w:hAnsi="Calibri" w:cs="Calibri"/>
        </w:rPr>
      </w:pPr>
      <w:r w:rsidRPr="00263962">
        <w:t>Kirkland, WA 98033</w:t>
      </w:r>
    </w:p>
    <w:p w14:paraId="014CCF76" w14:textId="77777777" w:rsidR="00E247C8" w:rsidRPr="00263962" w:rsidRDefault="00461B93" w:rsidP="00E247C8">
      <w:pPr>
        <w:widowControl w:val="0"/>
        <w:autoSpaceDE w:val="0"/>
        <w:autoSpaceDN w:val="0"/>
        <w:adjustRightInd w:val="0"/>
        <w:jc w:val="center"/>
        <w:rPr>
          <w:rFonts w:ascii="Calibri" w:hAnsi="Calibri" w:cs="Calibri"/>
        </w:rPr>
      </w:pPr>
      <w:r>
        <w:t>(</w:t>
      </w:r>
      <w:r w:rsidR="00E247C8" w:rsidRPr="00263962">
        <w:t>425</w:t>
      </w:r>
      <w:r>
        <w:t>)</w:t>
      </w:r>
      <w:r w:rsidR="00E247C8" w:rsidRPr="00263962">
        <w:t xml:space="preserve"> 576</w:t>
      </w:r>
      <w:r>
        <w:t>-</w:t>
      </w:r>
      <w:r w:rsidR="00E247C8" w:rsidRPr="00263962">
        <w:t>5409 (office)</w:t>
      </w:r>
    </w:p>
    <w:p w14:paraId="014CCF77" w14:textId="77777777" w:rsidR="00E247C8" w:rsidRDefault="00461B93" w:rsidP="00E247C8">
      <w:pPr>
        <w:widowControl w:val="0"/>
        <w:autoSpaceDE w:val="0"/>
        <w:autoSpaceDN w:val="0"/>
        <w:adjustRightInd w:val="0"/>
        <w:jc w:val="center"/>
      </w:pPr>
      <w:r>
        <w:t>(</w:t>
      </w:r>
      <w:r w:rsidR="00E247C8" w:rsidRPr="00263962">
        <w:t>425</w:t>
      </w:r>
      <w:r>
        <w:t>)</w:t>
      </w:r>
      <w:r w:rsidR="00E247C8" w:rsidRPr="00263962">
        <w:t xml:space="preserve"> 827</w:t>
      </w:r>
      <w:r>
        <w:t>-</w:t>
      </w:r>
      <w:r w:rsidR="00E247C8" w:rsidRPr="00263962">
        <w:t>2489 (fax)</w:t>
      </w:r>
    </w:p>
    <w:p w14:paraId="014CCF78" w14:textId="77777777" w:rsidR="00E247C8" w:rsidRDefault="00863826" w:rsidP="00E247C8">
      <w:pPr>
        <w:widowControl w:val="0"/>
        <w:autoSpaceDE w:val="0"/>
        <w:autoSpaceDN w:val="0"/>
        <w:adjustRightInd w:val="0"/>
        <w:jc w:val="center"/>
      </w:pPr>
      <w:hyperlink r:id="rId11" w:history="1">
        <w:r w:rsidR="00E247C8" w:rsidRPr="00747CB5">
          <w:rPr>
            <w:rStyle w:val="Hyperlink"/>
          </w:rPr>
          <w:t>tom@UCONS.com</w:t>
        </w:r>
      </w:hyperlink>
    </w:p>
    <w:p w14:paraId="014CCF79" w14:textId="77777777" w:rsidR="00E247C8" w:rsidRPr="00263962" w:rsidRDefault="00863826" w:rsidP="00E247C8">
      <w:pPr>
        <w:jc w:val="center"/>
      </w:pPr>
      <w:hyperlink r:id="rId12" w:history="1">
        <w:r w:rsidR="00E247C8" w:rsidRPr="00263962">
          <w:rPr>
            <w:color w:val="0B4CB4"/>
            <w:u w:val="single" w:color="0B4CB4"/>
          </w:rPr>
          <w:t>www.ucons.com</w:t>
        </w:r>
      </w:hyperlink>
    </w:p>
    <w:p w14:paraId="014CCF7A" w14:textId="77777777" w:rsidR="003126B1" w:rsidRDefault="003126B1" w:rsidP="00F11E9F">
      <w:pPr>
        <w:jc w:val="center"/>
        <w:rPr>
          <w:b/>
        </w:rPr>
      </w:pPr>
    </w:p>
    <w:p w14:paraId="014CCF7B" w14:textId="77777777" w:rsidR="00AB2398" w:rsidRDefault="00144FDF" w:rsidP="00F11E9F">
      <w:pPr>
        <w:jc w:val="center"/>
        <w:rPr>
          <w:b/>
        </w:rPr>
      </w:pPr>
      <w:r>
        <w:rPr>
          <w:b/>
        </w:rPr>
        <w:t>UTC Dkt. No. UE-1</w:t>
      </w:r>
      <w:r w:rsidR="0096695E">
        <w:rPr>
          <w:b/>
        </w:rPr>
        <w:t>71087</w:t>
      </w:r>
    </w:p>
    <w:p w14:paraId="014CCF7C" w14:textId="77777777" w:rsidR="00F11E9F" w:rsidRPr="00461D01" w:rsidRDefault="00F11E9F" w:rsidP="00F11E9F">
      <w:pPr>
        <w:jc w:val="center"/>
      </w:pPr>
    </w:p>
    <w:p w14:paraId="014CCF7D" w14:textId="77777777" w:rsidR="00F11E9F" w:rsidRPr="00461D01" w:rsidRDefault="0006599B" w:rsidP="00461D01">
      <w:pPr>
        <w:pStyle w:val="ListParagraph"/>
        <w:numPr>
          <w:ilvl w:val="0"/>
          <w:numId w:val="11"/>
        </w:numPr>
        <w:rPr>
          <w:rFonts w:ascii="Times New Roman" w:hAnsi="Times New Roman"/>
          <w:b/>
          <w:szCs w:val="24"/>
        </w:rPr>
      </w:pPr>
      <w:r>
        <w:rPr>
          <w:rFonts w:ascii="Times New Roman" w:hAnsi="Times New Roman"/>
          <w:b/>
          <w:szCs w:val="24"/>
        </w:rPr>
        <w:t>INTRODUCTION</w:t>
      </w:r>
      <w:r w:rsidR="00BC0A55">
        <w:rPr>
          <w:rFonts w:ascii="Times New Roman" w:hAnsi="Times New Roman"/>
          <w:b/>
          <w:szCs w:val="24"/>
        </w:rPr>
        <w:t xml:space="preserve"> AND SUMMARY</w:t>
      </w:r>
    </w:p>
    <w:p w14:paraId="014CCF7E" w14:textId="77777777" w:rsidR="00F11E9F" w:rsidRPr="00461D01" w:rsidRDefault="00F11E9F" w:rsidP="00F11E9F">
      <w:pPr>
        <w:rPr>
          <w:b/>
        </w:rPr>
      </w:pPr>
    </w:p>
    <w:p w14:paraId="014CCF7F" w14:textId="77777777" w:rsidR="00D7028C" w:rsidRDefault="00D7028C" w:rsidP="00D7028C">
      <w:pPr>
        <w:rPr>
          <w:iCs/>
          <w:color w:val="000000" w:themeColor="text1"/>
        </w:rPr>
      </w:pPr>
      <w:r w:rsidRPr="00461D01">
        <w:t xml:space="preserve">Utility Conservation Services, LLC (UCONS) </w:t>
      </w:r>
      <w:r w:rsidRPr="002F6CE8">
        <w:rPr>
          <w:iCs/>
          <w:color w:val="000000" w:themeColor="text1"/>
        </w:rPr>
        <w:t xml:space="preserve">has reviewed </w:t>
      </w:r>
      <w:r>
        <w:rPr>
          <w:iCs/>
          <w:color w:val="000000" w:themeColor="text1"/>
        </w:rPr>
        <w:t xml:space="preserve">Puget Sound Energy’s Biennial Conservation Plan (BCP or Plan) and </w:t>
      </w:r>
      <w:r w:rsidRPr="002F6CE8">
        <w:rPr>
          <w:iCs/>
          <w:color w:val="000000" w:themeColor="text1"/>
        </w:rPr>
        <w:t xml:space="preserve">commends the utility for the </w:t>
      </w:r>
      <w:r>
        <w:rPr>
          <w:iCs/>
          <w:color w:val="000000" w:themeColor="text1"/>
        </w:rPr>
        <w:t xml:space="preserve">Plan’s </w:t>
      </w:r>
      <w:r w:rsidRPr="002F6CE8">
        <w:rPr>
          <w:iCs/>
          <w:color w:val="000000" w:themeColor="text1"/>
        </w:rPr>
        <w:t xml:space="preserve">level of detail. </w:t>
      </w:r>
      <w:r>
        <w:rPr>
          <w:iCs/>
          <w:color w:val="000000" w:themeColor="text1"/>
        </w:rPr>
        <w:t xml:space="preserve"> W</w:t>
      </w:r>
      <w:r w:rsidRPr="002F6CE8">
        <w:rPr>
          <w:iCs/>
          <w:color w:val="000000" w:themeColor="text1"/>
        </w:rPr>
        <w:t xml:space="preserve">hile offering much information, </w:t>
      </w:r>
      <w:r>
        <w:rPr>
          <w:iCs/>
          <w:color w:val="000000" w:themeColor="text1"/>
        </w:rPr>
        <w:t xml:space="preserve">however, </w:t>
      </w:r>
      <w:r w:rsidRPr="002F6CE8">
        <w:rPr>
          <w:iCs/>
          <w:color w:val="000000" w:themeColor="text1"/>
        </w:rPr>
        <w:t xml:space="preserve">the Plan </w:t>
      </w:r>
      <w:r>
        <w:rPr>
          <w:iCs/>
          <w:color w:val="000000" w:themeColor="text1"/>
        </w:rPr>
        <w:t xml:space="preserve">would deny </w:t>
      </w:r>
      <w:r w:rsidRPr="002F6CE8">
        <w:rPr>
          <w:iCs/>
          <w:color w:val="000000" w:themeColor="text1"/>
        </w:rPr>
        <w:t>hard</w:t>
      </w:r>
      <w:r>
        <w:rPr>
          <w:iCs/>
          <w:color w:val="000000" w:themeColor="text1"/>
        </w:rPr>
        <w:t>-</w:t>
      </w:r>
      <w:r w:rsidRPr="002F6CE8">
        <w:rPr>
          <w:iCs/>
          <w:color w:val="000000" w:themeColor="text1"/>
        </w:rPr>
        <w:t>to</w:t>
      </w:r>
      <w:r>
        <w:rPr>
          <w:iCs/>
          <w:color w:val="000000" w:themeColor="text1"/>
        </w:rPr>
        <w:t>-</w:t>
      </w:r>
      <w:r w:rsidRPr="002F6CE8">
        <w:rPr>
          <w:iCs/>
          <w:color w:val="000000" w:themeColor="text1"/>
        </w:rPr>
        <w:t xml:space="preserve">reach Washington ratepayers an equitable </w:t>
      </w:r>
      <w:r>
        <w:rPr>
          <w:iCs/>
          <w:color w:val="000000" w:themeColor="text1"/>
        </w:rPr>
        <w:t xml:space="preserve">share </w:t>
      </w:r>
      <w:r w:rsidRPr="002F6CE8">
        <w:rPr>
          <w:iCs/>
          <w:color w:val="000000" w:themeColor="text1"/>
        </w:rPr>
        <w:t>of cost</w:t>
      </w:r>
      <w:r>
        <w:rPr>
          <w:iCs/>
          <w:color w:val="000000" w:themeColor="text1"/>
        </w:rPr>
        <w:t>-</w:t>
      </w:r>
      <w:r w:rsidRPr="002F6CE8">
        <w:rPr>
          <w:iCs/>
          <w:color w:val="000000" w:themeColor="text1"/>
        </w:rPr>
        <w:t>effective conservation services</w:t>
      </w:r>
      <w:r>
        <w:rPr>
          <w:iCs/>
          <w:color w:val="000000" w:themeColor="text1"/>
        </w:rPr>
        <w:t xml:space="preserve"> </w:t>
      </w:r>
      <w:r w:rsidRPr="002F6CE8">
        <w:rPr>
          <w:iCs/>
          <w:color w:val="000000" w:themeColor="text1"/>
        </w:rPr>
        <w:t xml:space="preserve">as required under I-937 and as </w:t>
      </w:r>
      <w:r>
        <w:rPr>
          <w:iCs/>
          <w:color w:val="000000" w:themeColor="text1"/>
        </w:rPr>
        <w:t>established by the Northwest Power and Conservation Council’s</w:t>
      </w:r>
      <w:r w:rsidRPr="002F6CE8" w:rsidDel="00E46C7F">
        <w:rPr>
          <w:iCs/>
          <w:color w:val="000000" w:themeColor="text1"/>
        </w:rPr>
        <w:t xml:space="preserve"> </w:t>
      </w:r>
      <w:r w:rsidRPr="002F6CE8">
        <w:rPr>
          <w:iCs/>
          <w:color w:val="000000" w:themeColor="text1"/>
        </w:rPr>
        <w:t>7</w:t>
      </w:r>
      <w:r w:rsidRPr="002F6CE8">
        <w:rPr>
          <w:iCs/>
          <w:color w:val="000000" w:themeColor="text1"/>
          <w:vertAlign w:val="superscript"/>
        </w:rPr>
        <w:t>th</w:t>
      </w:r>
      <w:r w:rsidRPr="002F6CE8">
        <w:rPr>
          <w:rStyle w:val="apple-converted-space"/>
          <w:iCs/>
          <w:color w:val="000000" w:themeColor="text1"/>
        </w:rPr>
        <w:t> </w:t>
      </w:r>
      <w:r>
        <w:rPr>
          <w:rStyle w:val="apple-converted-space"/>
          <w:iCs/>
          <w:color w:val="000000" w:themeColor="text1"/>
        </w:rPr>
        <w:t xml:space="preserve">Power </w:t>
      </w:r>
      <w:r w:rsidRPr="002F6CE8">
        <w:rPr>
          <w:iCs/>
          <w:color w:val="000000" w:themeColor="text1"/>
        </w:rPr>
        <w:t>Plan</w:t>
      </w:r>
      <w:r>
        <w:rPr>
          <w:iCs/>
          <w:color w:val="000000" w:themeColor="text1"/>
        </w:rPr>
        <w:t xml:space="preserve"> as an </w:t>
      </w:r>
      <w:r w:rsidRPr="002F6CE8">
        <w:rPr>
          <w:iCs/>
          <w:color w:val="000000" w:themeColor="text1"/>
        </w:rPr>
        <w:t>important regional goal</w:t>
      </w:r>
      <w:r>
        <w:rPr>
          <w:iCs/>
          <w:color w:val="000000" w:themeColor="text1"/>
        </w:rPr>
        <w:t>.</w:t>
      </w:r>
      <w:r w:rsidRPr="002F6CE8">
        <w:rPr>
          <w:iCs/>
          <w:color w:val="000000" w:themeColor="text1"/>
        </w:rPr>
        <w:t xml:space="preserve"> </w:t>
      </w:r>
      <w:r>
        <w:rPr>
          <w:iCs/>
          <w:color w:val="000000" w:themeColor="text1"/>
        </w:rPr>
        <w:t xml:space="preserve"> More </w:t>
      </w:r>
      <w:r w:rsidRPr="002F6CE8">
        <w:rPr>
          <w:iCs/>
          <w:color w:val="000000" w:themeColor="text1"/>
        </w:rPr>
        <w:t xml:space="preserve">comprehensive </w:t>
      </w:r>
      <w:r>
        <w:rPr>
          <w:iCs/>
          <w:color w:val="000000" w:themeColor="text1"/>
        </w:rPr>
        <w:t xml:space="preserve">and equitable </w:t>
      </w:r>
      <w:r w:rsidRPr="002F6CE8">
        <w:rPr>
          <w:iCs/>
          <w:color w:val="000000" w:themeColor="text1"/>
        </w:rPr>
        <w:t xml:space="preserve">programs </w:t>
      </w:r>
      <w:r>
        <w:rPr>
          <w:iCs/>
          <w:color w:val="000000" w:themeColor="text1"/>
        </w:rPr>
        <w:t xml:space="preserve">are available which would provide </w:t>
      </w:r>
      <w:r w:rsidR="003D39CC">
        <w:rPr>
          <w:iCs/>
          <w:color w:val="000000" w:themeColor="text1"/>
        </w:rPr>
        <w:t xml:space="preserve">the </w:t>
      </w:r>
      <w:r w:rsidRPr="002F6CE8">
        <w:rPr>
          <w:iCs/>
          <w:color w:val="000000" w:themeColor="text1"/>
        </w:rPr>
        <w:t xml:space="preserve">conservation </w:t>
      </w:r>
      <w:r>
        <w:rPr>
          <w:iCs/>
          <w:color w:val="000000" w:themeColor="text1"/>
        </w:rPr>
        <w:t xml:space="preserve">services </w:t>
      </w:r>
      <w:r w:rsidRPr="002F6CE8">
        <w:rPr>
          <w:iCs/>
          <w:color w:val="000000" w:themeColor="text1"/>
        </w:rPr>
        <w:t xml:space="preserve">programs </w:t>
      </w:r>
      <w:r w:rsidR="00E36EE7">
        <w:rPr>
          <w:iCs/>
          <w:color w:val="000000" w:themeColor="text1"/>
        </w:rPr>
        <w:t xml:space="preserve">that </w:t>
      </w:r>
      <w:r w:rsidRPr="002F6CE8">
        <w:rPr>
          <w:iCs/>
          <w:color w:val="000000" w:themeColor="text1"/>
        </w:rPr>
        <w:t>PSE ratepayers</w:t>
      </w:r>
      <w:r w:rsidR="00E36EE7">
        <w:rPr>
          <w:iCs/>
          <w:color w:val="000000" w:themeColor="text1"/>
        </w:rPr>
        <w:t xml:space="preserve"> have </w:t>
      </w:r>
      <w:r w:rsidR="00E36EE7" w:rsidRPr="002F6CE8">
        <w:rPr>
          <w:iCs/>
          <w:color w:val="000000" w:themeColor="text1"/>
        </w:rPr>
        <w:t>requested</w:t>
      </w:r>
      <w:r>
        <w:rPr>
          <w:iCs/>
          <w:color w:val="000000" w:themeColor="text1"/>
        </w:rPr>
        <w:t>; such programs</w:t>
      </w:r>
      <w:r w:rsidRPr="002F6CE8">
        <w:rPr>
          <w:iCs/>
          <w:color w:val="000000" w:themeColor="text1"/>
        </w:rPr>
        <w:t xml:space="preserve"> have been demonstrated to provide a more cost</w:t>
      </w:r>
      <w:r>
        <w:rPr>
          <w:iCs/>
          <w:color w:val="000000" w:themeColor="text1"/>
        </w:rPr>
        <w:t>-</w:t>
      </w:r>
      <w:r w:rsidRPr="002F6CE8">
        <w:rPr>
          <w:iCs/>
          <w:color w:val="000000" w:themeColor="text1"/>
        </w:rPr>
        <w:t xml:space="preserve">effective </w:t>
      </w:r>
      <w:r>
        <w:rPr>
          <w:iCs/>
          <w:color w:val="000000" w:themeColor="text1"/>
        </w:rPr>
        <w:t xml:space="preserve">conservation resources </w:t>
      </w:r>
      <w:r w:rsidRPr="002F6CE8">
        <w:rPr>
          <w:iCs/>
          <w:color w:val="000000" w:themeColor="text1"/>
        </w:rPr>
        <w:t>portfolio for the utility</w:t>
      </w:r>
      <w:r>
        <w:rPr>
          <w:iCs/>
          <w:color w:val="000000" w:themeColor="text1"/>
        </w:rPr>
        <w:t xml:space="preserve">, </w:t>
      </w:r>
      <w:r w:rsidRPr="002F6CE8">
        <w:rPr>
          <w:iCs/>
          <w:color w:val="000000" w:themeColor="text1"/>
        </w:rPr>
        <w:t xml:space="preserve">but are not included in the current filing. </w:t>
      </w:r>
      <w:r>
        <w:rPr>
          <w:iCs/>
          <w:color w:val="000000" w:themeColor="text1"/>
        </w:rPr>
        <w:t xml:space="preserve"> The Plan’s shortcomings and inequities underscore </w:t>
      </w:r>
      <w:r w:rsidRPr="002F6CE8">
        <w:rPr>
          <w:iCs/>
          <w:color w:val="000000" w:themeColor="text1"/>
        </w:rPr>
        <w:t xml:space="preserve">the need for </w:t>
      </w:r>
      <w:r>
        <w:rPr>
          <w:iCs/>
          <w:color w:val="000000" w:themeColor="text1"/>
        </w:rPr>
        <w:t>a Commission r</w:t>
      </w:r>
      <w:r w:rsidRPr="002F6CE8">
        <w:rPr>
          <w:iCs/>
          <w:color w:val="000000" w:themeColor="text1"/>
        </w:rPr>
        <w:t>ulem</w:t>
      </w:r>
      <w:r>
        <w:rPr>
          <w:iCs/>
          <w:color w:val="000000" w:themeColor="text1"/>
        </w:rPr>
        <w:t>a</w:t>
      </w:r>
      <w:r w:rsidRPr="002F6CE8">
        <w:rPr>
          <w:iCs/>
          <w:color w:val="000000" w:themeColor="text1"/>
        </w:rPr>
        <w:t xml:space="preserve">king to </w:t>
      </w:r>
      <w:r>
        <w:rPr>
          <w:iCs/>
          <w:color w:val="000000" w:themeColor="text1"/>
        </w:rPr>
        <w:t xml:space="preserve">confront and reduce </w:t>
      </w:r>
      <w:r w:rsidRPr="002F6CE8">
        <w:rPr>
          <w:iCs/>
          <w:color w:val="000000" w:themeColor="text1"/>
        </w:rPr>
        <w:t>the significant barriers</w:t>
      </w:r>
      <w:r>
        <w:rPr>
          <w:iCs/>
          <w:color w:val="000000" w:themeColor="text1"/>
        </w:rPr>
        <w:t xml:space="preserve"> which have been erected to effectively and fairly serving hard-to-reach, largely low- and lower-income customers.  There </w:t>
      </w:r>
      <w:r w:rsidRPr="002F6CE8">
        <w:rPr>
          <w:iCs/>
          <w:color w:val="000000" w:themeColor="text1"/>
        </w:rPr>
        <w:t>is ample</w:t>
      </w:r>
      <w:r>
        <w:rPr>
          <w:iCs/>
          <w:color w:val="000000" w:themeColor="text1"/>
        </w:rPr>
        <w:t xml:space="preserve"> and persuasive</w:t>
      </w:r>
      <w:r w:rsidRPr="002F6CE8">
        <w:rPr>
          <w:iCs/>
          <w:color w:val="000000" w:themeColor="text1"/>
        </w:rPr>
        <w:t xml:space="preserve"> preceden</w:t>
      </w:r>
      <w:r>
        <w:rPr>
          <w:iCs/>
          <w:color w:val="000000" w:themeColor="text1"/>
        </w:rPr>
        <w:t>t</w:t>
      </w:r>
      <w:r w:rsidRPr="002F6CE8">
        <w:rPr>
          <w:iCs/>
          <w:color w:val="000000" w:themeColor="text1"/>
        </w:rPr>
        <w:t xml:space="preserve"> from neighboring states </w:t>
      </w:r>
      <w:r>
        <w:rPr>
          <w:iCs/>
          <w:color w:val="000000" w:themeColor="text1"/>
        </w:rPr>
        <w:t>to guide the development of such a rule</w:t>
      </w:r>
      <w:r w:rsidRPr="002F6CE8">
        <w:rPr>
          <w:iCs/>
          <w:color w:val="000000" w:themeColor="text1"/>
        </w:rPr>
        <w:t>.</w:t>
      </w:r>
    </w:p>
    <w:p w14:paraId="014CCF80" w14:textId="77777777" w:rsidR="00357F44" w:rsidRDefault="00357F44" w:rsidP="00060773">
      <w:pPr>
        <w:rPr>
          <w:iCs/>
          <w:color w:val="000000" w:themeColor="text1"/>
        </w:rPr>
      </w:pPr>
    </w:p>
    <w:p w14:paraId="014CCF81" w14:textId="77777777" w:rsidR="00357F44" w:rsidRPr="002F6CE8" w:rsidRDefault="00357F44" w:rsidP="00060773">
      <w:pPr>
        <w:rPr>
          <w:color w:val="000000" w:themeColor="text1"/>
        </w:rPr>
      </w:pPr>
      <w:r>
        <w:rPr>
          <w:iCs/>
          <w:color w:val="000000" w:themeColor="text1"/>
        </w:rPr>
        <w:t>After providing some backgrou</w:t>
      </w:r>
      <w:r w:rsidR="00772607">
        <w:rPr>
          <w:iCs/>
          <w:color w:val="000000" w:themeColor="text1"/>
        </w:rPr>
        <w:t>nd on UCONS, these comments</w:t>
      </w:r>
      <w:r w:rsidR="00D7028C">
        <w:rPr>
          <w:iCs/>
          <w:color w:val="000000" w:themeColor="text1"/>
        </w:rPr>
        <w:t>:</w:t>
      </w:r>
      <w:r w:rsidR="00772607">
        <w:rPr>
          <w:iCs/>
          <w:color w:val="000000" w:themeColor="text1"/>
        </w:rPr>
        <w:t xml:space="preserve"> (1) briefly respond to </w:t>
      </w:r>
      <w:r>
        <w:rPr>
          <w:iCs/>
          <w:color w:val="000000" w:themeColor="text1"/>
        </w:rPr>
        <w:t>several points made in the Plan’s Executive Summary</w:t>
      </w:r>
      <w:r w:rsidR="00A02C8A">
        <w:rPr>
          <w:iCs/>
          <w:color w:val="000000" w:themeColor="text1"/>
        </w:rPr>
        <w:t xml:space="preserve"> and </w:t>
      </w:r>
      <w:r w:rsidR="00D7028C">
        <w:rPr>
          <w:iCs/>
          <w:color w:val="000000" w:themeColor="text1"/>
        </w:rPr>
        <w:t xml:space="preserve">in its </w:t>
      </w:r>
      <w:r w:rsidR="00A02C8A">
        <w:rPr>
          <w:iCs/>
          <w:color w:val="000000" w:themeColor="text1"/>
        </w:rPr>
        <w:t>Appendix on Evaluation, Measurement and Verification</w:t>
      </w:r>
      <w:r>
        <w:rPr>
          <w:iCs/>
          <w:color w:val="000000" w:themeColor="text1"/>
        </w:rPr>
        <w:t xml:space="preserve">; (2) provide information on the availability of cost-effective conservation in the manufactured home market and the legal obligation of PSE to pursue such conservation opportunities; </w:t>
      </w:r>
      <w:r w:rsidR="00BD3A11">
        <w:rPr>
          <w:iCs/>
          <w:color w:val="000000" w:themeColor="text1"/>
        </w:rPr>
        <w:t xml:space="preserve">and </w:t>
      </w:r>
      <w:r>
        <w:rPr>
          <w:iCs/>
          <w:color w:val="000000" w:themeColor="text1"/>
        </w:rPr>
        <w:t xml:space="preserve">(3) describe the “lessons learned” from </w:t>
      </w:r>
      <w:r w:rsidR="00BB3AA9">
        <w:rPr>
          <w:iCs/>
          <w:color w:val="000000" w:themeColor="text1"/>
        </w:rPr>
        <w:t xml:space="preserve">UCONS’ </w:t>
      </w:r>
      <w:r w:rsidR="00BD3A11">
        <w:rPr>
          <w:iCs/>
          <w:color w:val="000000" w:themeColor="text1"/>
        </w:rPr>
        <w:t xml:space="preserve">involvement with PSE’s development </w:t>
      </w:r>
      <w:r w:rsidR="00BB3AA9">
        <w:rPr>
          <w:iCs/>
          <w:color w:val="000000" w:themeColor="text1"/>
        </w:rPr>
        <w:t xml:space="preserve">of </w:t>
      </w:r>
      <w:r w:rsidR="00BD3A11">
        <w:rPr>
          <w:iCs/>
          <w:color w:val="000000" w:themeColor="text1"/>
        </w:rPr>
        <w:t>the BCP</w:t>
      </w:r>
      <w:r w:rsidR="00BB3AA9">
        <w:rPr>
          <w:iCs/>
          <w:color w:val="000000" w:themeColor="text1"/>
        </w:rPr>
        <w:t>,</w:t>
      </w:r>
      <w:r w:rsidR="00BD3A11">
        <w:rPr>
          <w:iCs/>
          <w:color w:val="000000" w:themeColor="text1"/>
        </w:rPr>
        <w:t xml:space="preserve"> and how </w:t>
      </w:r>
      <w:r w:rsidR="00BB3AA9">
        <w:rPr>
          <w:iCs/>
          <w:color w:val="000000" w:themeColor="text1"/>
        </w:rPr>
        <w:t xml:space="preserve">those lessons </w:t>
      </w:r>
      <w:r>
        <w:rPr>
          <w:iCs/>
          <w:color w:val="000000" w:themeColor="text1"/>
        </w:rPr>
        <w:t>suggest the need for rule making.</w:t>
      </w:r>
    </w:p>
    <w:p w14:paraId="014CCF82" w14:textId="77777777" w:rsidR="00060773" w:rsidRPr="002F6CE8" w:rsidRDefault="00060773" w:rsidP="00060773">
      <w:pPr>
        <w:rPr>
          <w:color w:val="000000" w:themeColor="text1"/>
        </w:rPr>
      </w:pPr>
      <w:r w:rsidRPr="002F6CE8">
        <w:rPr>
          <w:iCs/>
          <w:color w:val="000000" w:themeColor="text1"/>
        </w:rPr>
        <w:t> </w:t>
      </w:r>
    </w:p>
    <w:p w14:paraId="014CCF83" w14:textId="77777777" w:rsidR="00261819" w:rsidRPr="00461D01" w:rsidRDefault="00261819" w:rsidP="00461D01">
      <w:pPr>
        <w:pStyle w:val="ListParagraph"/>
        <w:numPr>
          <w:ilvl w:val="0"/>
          <w:numId w:val="11"/>
        </w:numPr>
        <w:rPr>
          <w:rFonts w:ascii="Times New Roman" w:hAnsi="Times New Roman"/>
          <w:b/>
          <w:szCs w:val="24"/>
        </w:rPr>
      </w:pPr>
      <w:r w:rsidRPr="00461D01">
        <w:rPr>
          <w:rFonts w:ascii="Times New Roman" w:hAnsi="Times New Roman"/>
          <w:b/>
          <w:szCs w:val="24"/>
        </w:rPr>
        <w:t>BACKGROUND</w:t>
      </w:r>
    </w:p>
    <w:p w14:paraId="014CCF84" w14:textId="77777777" w:rsidR="00261819" w:rsidRPr="00461D01" w:rsidRDefault="00261819" w:rsidP="00F11E9F"/>
    <w:p w14:paraId="014CCF85" w14:textId="77777777" w:rsidR="00F11E9F" w:rsidRDefault="000F361E" w:rsidP="00F11E9F">
      <w:r w:rsidRPr="00461D01">
        <w:t xml:space="preserve">UCONS is </w:t>
      </w:r>
      <w:r w:rsidR="000B7179" w:rsidRPr="00461D01">
        <w:t xml:space="preserve">a national leader in the development and implementation of residential conservation programs, </w:t>
      </w:r>
      <w:r w:rsidRPr="00461D01">
        <w:t>headquartered in Kirkland, Washin</w:t>
      </w:r>
      <w:r w:rsidR="00432CBC" w:rsidRPr="00461D01">
        <w:t>gton</w:t>
      </w:r>
      <w:r w:rsidR="000B7179" w:rsidRPr="00461D01">
        <w:t>.</w:t>
      </w:r>
      <w:r w:rsidR="00432CBC" w:rsidRPr="00461D01">
        <w:t xml:space="preserve"> </w:t>
      </w:r>
      <w:r w:rsidR="000B7179" w:rsidRPr="00461D01">
        <w:t xml:space="preserve"> UCONS </w:t>
      </w:r>
      <w:r w:rsidR="00432CBC" w:rsidRPr="00461D01">
        <w:t>has</w:t>
      </w:r>
      <w:r w:rsidR="00DD7E4C" w:rsidRPr="00461D01">
        <w:t xml:space="preserve"> done </w:t>
      </w:r>
      <w:r w:rsidR="000B7179" w:rsidRPr="00461D01">
        <w:t xml:space="preserve">or is doing </w:t>
      </w:r>
      <w:r w:rsidRPr="00461D01">
        <w:t xml:space="preserve">business in Washington, California, </w:t>
      </w:r>
      <w:r w:rsidR="00DD7E4C" w:rsidRPr="00461D01">
        <w:t>Oregon,</w:t>
      </w:r>
      <w:r w:rsidR="00432CBC" w:rsidRPr="00461D01">
        <w:t xml:space="preserve"> </w:t>
      </w:r>
      <w:r w:rsidR="00DD7E4C" w:rsidRPr="00461D01">
        <w:t>Idaho, Texas, Utah, and New York</w:t>
      </w:r>
      <w:r w:rsidRPr="00461D01">
        <w:t xml:space="preserve">.  We provide services under contract to a </w:t>
      </w:r>
      <w:r w:rsidR="000B7179" w:rsidRPr="00461D01">
        <w:t xml:space="preserve">large </w:t>
      </w:r>
      <w:r w:rsidRPr="00461D01">
        <w:t xml:space="preserve">number of utilities, both investor-owned and publicly-owned, </w:t>
      </w:r>
      <w:r w:rsidR="00DD7E4C" w:rsidRPr="00461D01">
        <w:t>as well as to major property mana</w:t>
      </w:r>
      <w:r w:rsidR="00432CBC" w:rsidRPr="00461D01">
        <w:t>gement firms.  Since 1993, UCON</w:t>
      </w:r>
      <w:r w:rsidR="00DD7E4C" w:rsidRPr="00461D01">
        <w:t>S has delivered direct</w:t>
      </w:r>
      <w:r w:rsidR="000B7179" w:rsidRPr="00461D01">
        <w:noBreakHyphen/>
      </w:r>
      <w:r w:rsidR="00DD7E4C" w:rsidRPr="00461D01">
        <w:t xml:space="preserve">install energy efficiency programs to over 320,000 multifamily tenants and </w:t>
      </w:r>
      <w:r w:rsidR="00CF0203">
        <w:t>over 100</w:t>
      </w:r>
      <w:r w:rsidR="00DD7E4C" w:rsidRPr="00461D01">
        <w:t xml:space="preserve">,000 </w:t>
      </w:r>
      <w:r w:rsidR="00CF0203">
        <w:t xml:space="preserve">manufactured </w:t>
      </w:r>
      <w:r w:rsidR="00A26FB2">
        <w:t xml:space="preserve">home </w:t>
      </w:r>
      <w:r w:rsidR="00A26FB2" w:rsidRPr="00461D01">
        <w:lastRenderedPageBreak/>
        <w:t>utility</w:t>
      </w:r>
      <w:r w:rsidR="00DD7E4C" w:rsidRPr="00461D01">
        <w:t xml:space="preserve"> customers.  The aggregate energy savings </w:t>
      </w:r>
      <w:r w:rsidR="000B7179" w:rsidRPr="00461D01">
        <w:t xml:space="preserve">from </w:t>
      </w:r>
      <w:r w:rsidR="00DD7E4C" w:rsidRPr="00461D01">
        <w:t>these efforts total nearly 500,000,000 kWh and 10,000,000 therms.  In recent years, we have focused our work on hard-to-reach (HTR) markets, particularly in the m</w:t>
      </w:r>
      <w:r w:rsidR="002C36E2" w:rsidRPr="00461D01">
        <w:t>anufactured homes (MH) sector.</w:t>
      </w:r>
    </w:p>
    <w:p w14:paraId="014CCF86" w14:textId="77777777" w:rsidR="00BA6D3A" w:rsidRDefault="00BA6D3A" w:rsidP="00F11E9F"/>
    <w:p w14:paraId="014CCF87" w14:textId="77777777" w:rsidR="00A55135" w:rsidRPr="00461D01" w:rsidRDefault="00BA6D3A" w:rsidP="00A55135">
      <w:r>
        <w:t xml:space="preserve">In </w:t>
      </w:r>
      <w:r w:rsidR="009E3A53">
        <w:t xml:space="preserve">late 2015 and </w:t>
      </w:r>
      <w:r>
        <w:t xml:space="preserve">early 2016, UCONS worked with Washington’s representatives on the Northwest Power and Conservation Council (Council) to advocate for acquiring </w:t>
      </w:r>
      <w:r w:rsidR="00BB3AA9">
        <w:t xml:space="preserve">the potential </w:t>
      </w:r>
      <w:r>
        <w:t xml:space="preserve">cost-effective conservation in HTR markets, particularly the MH sector. </w:t>
      </w:r>
      <w:r w:rsidR="00A55135">
        <w:t xml:space="preserve"> In its 7</w:t>
      </w:r>
      <w:r w:rsidR="00A55135" w:rsidRPr="00A55135">
        <w:rPr>
          <w:vertAlign w:val="superscript"/>
        </w:rPr>
        <w:t>th</w:t>
      </w:r>
      <w:r w:rsidR="00A55135">
        <w:t xml:space="preserve"> Power Plan</w:t>
      </w:r>
      <w:r w:rsidR="00BB3AA9">
        <w:t>,</w:t>
      </w:r>
      <w:r w:rsidR="009E3A53">
        <w:t xml:space="preserve"> adopted on February 10, 2016</w:t>
      </w:r>
      <w:r w:rsidR="00BB3AA9">
        <w:t xml:space="preserve"> (Plan)</w:t>
      </w:r>
      <w:r w:rsidR="009E3A53">
        <w:t>, the</w:t>
      </w:r>
      <w:r w:rsidR="00A55135" w:rsidRPr="00461D01">
        <w:t xml:space="preserve"> Council described the “special challenges” of realizing such</w:t>
      </w:r>
      <w:r w:rsidR="009E3A53">
        <w:t xml:space="preserve"> a conservation potential</w:t>
      </w:r>
      <w:r w:rsidR="00A55135" w:rsidRPr="00461D01">
        <w:t>:</w:t>
      </w:r>
    </w:p>
    <w:p w14:paraId="014CCF88" w14:textId="77777777" w:rsidR="00A55135" w:rsidRPr="00461D01" w:rsidRDefault="00A55135" w:rsidP="00A55135"/>
    <w:p w14:paraId="014CCF89" w14:textId="77777777" w:rsidR="00A55135" w:rsidRPr="00461D01" w:rsidRDefault="00A55135" w:rsidP="00C5749C">
      <w:pPr>
        <w:widowControl w:val="0"/>
        <w:autoSpaceDE w:val="0"/>
        <w:autoSpaceDN w:val="0"/>
        <w:adjustRightInd w:val="0"/>
        <w:ind w:left="720" w:right="450"/>
      </w:pPr>
      <w:r w:rsidRPr="00461D01">
        <w:t>Manufactured Homes: The manufactured home segment may face special challenges</w:t>
      </w:r>
      <w:r w:rsidR="00C5749C">
        <w:t xml:space="preserve"> </w:t>
      </w:r>
      <w:r w:rsidRPr="00461D01">
        <w:t>related to income, ownership, building codes, and some difficult-to-implement</w:t>
      </w:r>
      <w:r w:rsidR="00C5749C">
        <w:t xml:space="preserve"> </w:t>
      </w:r>
      <w:r w:rsidRPr="00461D01">
        <w:t>conservation measures specific to manufactured housing and their heating systems.</w:t>
      </w:r>
      <w:r w:rsidR="00C5749C">
        <w:t xml:space="preserve">  </w:t>
      </w:r>
      <w:r w:rsidRPr="00461D01">
        <w:t>The assessment should determine whether the adoption of measures in the</w:t>
      </w:r>
      <w:r w:rsidR="00C5749C">
        <w:t xml:space="preserve"> </w:t>
      </w:r>
      <w:r w:rsidRPr="00461D01">
        <w:t>manufactured home segment is on pace to complete implementation of nearly all</w:t>
      </w:r>
      <w:r w:rsidR="00C5749C">
        <w:t xml:space="preserve"> </w:t>
      </w:r>
      <w:r w:rsidRPr="00461D01">
        <w:t>remaining cost-effective potential over the next 20 years. Where expected shortfalls</w:t>
      </w:r>
      <w:r w:rsidR="00C5749C">
        <w:t xml:space="preserve"> </w:t>
      </w:r>
      <w:r w:rsidRPr="00461D01">
        <w:t>appear, specific barriers to implementation should be identified and solutions targeted</w:t>
      </w:r>
      <w:r w:rsidR="00C5749C">
        <w:t xml:space="preserve"> </w:t>
      </w:r>
      <w:r w:rsidRPr="00461D01">
        <w:t>at those barriers. While this market segment has been successfully targeted with a</w:t>
      </w:r>
      <w:r w:rsidR="00C5749C">
        <w:t xml:space="preserve"> </w:t>
      </w:r>
      <w:r w:rsidRPr="00461D01">
        <w:t>limited set of conservation measures (e.g., duct sealing), a more comprehensive</w:t>
      </w:r>
      <w:r w:rsidR="00C5749C">
        <w:t xml:space="preserve"> </w:t>
      </w:r>
      <w:r w:rsidRPr="00461D01">
        <w:t>approach that identifies and implements an entire suite of cost-effective measures</w:t>
      </w:r>
      <w:r w:rsidR="00C5749C">
        <w:t xml:space="preserve"> </w:t>
      </w:r>
      <w:r w:rsidRPr="00461D01">
        <w:t>during a single visit may be more cost-efficient.</w:t>
      </w:r>
      <w:r w:rsidRPr="00461D01">
        <w:rPr>
          <w:rStyle w:val="FootnoteReference"/>
        </w:rPr>
        <w:footnoteReference w:id="1"/>
      </w:r>
    </w:p>
    <w:p w14:paraId="014CCF8A" w14:textId="77777777" w:rsidR="00461D01" w:rsidRPr="00461D01" w:rsidRDefault="009E3A53" w:rsidP="00461D01">
      <w:pPr>
        <w:spacing w:before="100" w:beforeAutospacing="1" w:after="100" w:afterAutospacing="1"/>
        <w:rPr>
          <w:rFonts w:eastAsia="Times New Roman"/>
          <w:color w:val="000000"/>
        </w:rPr>
      </w:pPr>
      <w:r>
        <w:t>Following the Counci</w:t>
      </w:r>
      <w:r w:rsidR="00943ED5">
        <w:t>l</w:t>
      </w:r>
      <w:r>
        <w:t>’s lead, i</w:t>
      </w:r>
      <w:r w:rsidR="00461D01" w:rsidRPr="00461D01">
        <w:rPr>
          <w:rFonts w:eastAsia="Times New Roman"/>
          <w:color w:val="000000"/>
        </w:rPr>
        <w:t>n July 2016, UCONS published a paper entitled “Energy Efficiency in Manufactured Homes in Washington: The Path Forward</w:t>
      </w:r>
      <w:r w:rsidR="00BD76A5">
        <w:rPr>
          <w:rFonts w:eastAsia="Times New Roman"/>
          <w:color w:val="000000"/>
        </w:rPr>
        <w:t>.</w:t>
      </w:r>
      <w:r w:rsidR="00461D01" w:rsidRPr="00461D01">
        <w:rPr>
          <w:rFonts w:eastAsia="Times New Roman"/>
          <w:color w:val="000000"/>
        </w:rPr>
        <w:t>”  It summarized the legal framework for utilities to acquire “all cost-effective conservation” u</w:t>
      </w:r>
      <w:r w:rsidR="00AE142A">
        <w:rPr>
          <w:rFonts w:eastAsia="Times New Roman"/>
          <w:color w:val="000000"/>
        </w:rPr>
        <w:t>nder I-</w:t>
      </w:r>
      <w:r w:rsidR="00461D01" w:rsidRPr="00461D01">
        <w:rPr>
          <w:rFonts w:eastAsia="Times New Roman"/>
          <w:color w:val="000000"/>
        </w:rPr>
        <w:t>937</w:t>
      </w:r>
      <w:r w:rsidR="00AE142A" w:rsidRPr="00461D01">
        <w:rPr>
          <w:rFonts w:eastAsia="Times New Roman"/>
          <w:color w:val="000000"/>
        </w:rPr>
        <w:t xml:space="preserve"> </w:t>
      </w:r>
      <w:r w:rsidR="00461D01" w:rsidRPr="00461D01">
        <w:rPr>
          <w:rFonts w:eastAsia="Times New Roman"/>
          <w:color w:val="000000"/>
        </w:rPr>
        <w:t>and the work of the Council.</w:t>
      </w:r>
    </w:p>
    <w:p w14:paraId="014CCF8B" w14:textId="77777777" w:rsidR="00461D01" w:rsidRPr="00461D01" w:rsidRDefault="00461D01" w:rsidP="00461D01">
      <w:pPr>
        <w:spacing w:before="100" w:beforeAutospacing="1" w:after="100" w:afterAutospacing="1"/>
        <w:rPr>
          <w:rFonts w:eastAsia="Times New Roman"/>
          <w:color w:val="000000"/>
        </w:rPr>
      </w:pPr>
      <w:r w:rsidRPr="00461D01">
        <w:rPr>
          <w:rFonts w:eastAsia="Times New Roman"/>
          <w:color w:val="000000"/>
        </w:rPr>
        <w:t xml:space="preserve">Consistent with the Plan, the Path Forward paper described barriers to </w:t>
      </w:r>
      <w:r w:rsidR="00BB3AA9">
        <w:rPr>
          <w:rFonts w:eastAsia="Times New Roman"/>
          <w:color w:val="000000"/>
        </w:rPr>
        <w:t xml:space="preserve">acquiring </w:t>
      </w:r>
      <w:r w:rsidRPr="00461D01">
        <w:rPr>
          <w:rFonts w:eastAsia="Times New Roman"/>
          <w:color w:val="000000"/>
        </w:rPr>
        <w:t xml:space="preserve">conservation from this HTR market and urged utilities to develop, and the Utilities and Transportation Commission (Commission) to approve, conservation plans </w:t>
      </w:r>
      <w:r w:rsidR="00BB3AA9">
        <w:rPr>
          <w:rFonts w:eastAsia="Times New Roman"/>
          <w:color w:val="000000"/>
        </w:rPr>
        <w:t xml:space="preserve">which </w:t>
      </w:r>
      <w:r w:rsidRPr="00461D01">
        <w:rPr>
          <w:rFonts w:eastAsia="Times New Roman"/>
          <w:color w:val="000000"/>
        </w:rPr>
        <w:t>would address this conservation potential.</w:t>
      </w:r>
    </w:p>
    <w:p w14:paraId="014CCF8C" w14:textId="77777777" w:rsidR="00461D01" w:rsidRDefault="00461D01" w:rsidP="00461D01">
      <w:pPr>
        <w:spacing w:before="100" w:beforeAutospacing="1" w:after="100" w:afterAutospacing="1"/>
        <w:rPr>
          <w:rFonts w:eastAsia="Times New Roman"/>
          <w:color w:val="000000"/>
        </w:rPr>
      </w:pPr>
      <w:r w:rsidRPr="00461D01">
        <w:rPr>
          <w:rFonts w:eastAsia="Times New Roman"/>
          <w:color w:val="000000"/>
        </w:rPr>
        <w:t xml:space="preserve">After discussing the Path Forward paper with Commissioners, Commission staff, and various stakeholders, we were pleased to learn that addressing HTR markets would be part of the conservation plan </w:t>
      </w:r>
      <w:r w:rsidR="00EC22D5">
        <w:rPr>
          <w:rFonts w:eastAsia="Times New Roman"/>
          <w:color w:val="000000"/>
        </w:rPr>
        <w:t>that</w:t>
      </w:r>
      <w:r w:rsidR="00BB3AA9">
        <w:rPr>
          <w:rFonts w:eastAsia="Times New Roman"/>
          <w:color w:val="000000"/>
        </w:rPr>
        <w:t xml:space="preserve"> </w:t>
      </w:r>
      <w:r w:rsidR="00921706">
        <w:rPr>
          <w:rFonts w:eastAsia="Times New Roman"/>
          <w:color w:val="000000"/>
        </w:rPr>
        <w:t>PSE</w:t>
      </w:r>
      <w:r w:rsidR="00BB3AA9">
        <w:rPr>
          <w:rFonts w:eastAsia="Times New Roman"/>
          <w:color w:val="000000"/>
        </w:rPr>
        <w:t xml:space="preserve"> planned to file</w:t>
      </w:r>
      <w:r w:rsidRPr="00461D01">
        <w:rPr>
          <w:rFonts w:eastAsia="Times New Roman"/>
          <w:color w:val="000000"/>
        </w:rPr>
        <w:t>.  Accordingly, UCONS participated in PSE’s request for information (RFI) and request for proposal (RFP) processes which were intended to develop conservation programs and measures to acquire</w:t>
      </w:r>
      <w:r w:rsidR="00D32C8B">
        <w:rPr>
          <w:rFonts w:eastAsia="Times New Roman"/>
          <w:color w:val="000000"/>
        </w:rPr>
        <w:t>,</w:t>
      </w:r>
      <w:r w:rsidRPr="00461D01">
        <w:rPr>
          <w:rFonts w:eastAsia="Times New Roman"/>
          <w:color w:val="000000"/>
        </w:rPr>
        <w:t xml:space="preserve"> for the two-year period beginning January 2018</w:t>
      </w:r>
      <w:r w:rsidR="00D32C8B">
        <w:rPr>
          <w:rFonts w:eastAsia="Times New Roman"/>
          <w:color w:val="000000"/>
        </w:rPr>
        <w:t>,</w:t>
      </w:r>
      <w:r w:rsidRPr="00461D01">
        <w:rPr>
          <w:rFonts w:eastAsia="Times New Roman"/>
          <w:color w:val="000000"/>
        </w:rPr>
        <w:t xml:space="preserve"> “all cost-effective conservation” as required by I-937.</w:t>
      </w:r>
    </w:p>
    <w:p w14:paraId="014CCF8D" w14:textId="77777777" w:rsidR="00242A40" w:rsidRPr="00461D01" w:rsidRDefault="00242A40" w:rsidP="00242A40">
      <w:pPr>
        <w:spacing w:before="100" w:beforeAutospacing="1" w:after="100" w:afterAutospacing="1"/>
        <w:rPr>
          <w:rFonts w:eastAsia="Times New Roman"/>
          <w:color w:val="000000"/>
        </w:rPr>
      </w:pPr>
      <w:r w:rsidRPr="00461D01">
        <w:rPr>
          <w:rFonts w:eastAsia="Times New Roman"/>
          <w:color w:val="000000"/>
        </w:rPr>
        <w:lastRenderedPageBreak/>
        <w:t>UCONS responded to the RFI with an innovative proposal targeting HTR customer groups which contained the following elements:</w:t>
      </w:r>
    </w:p>
    <w:p w14:paraId="014CCF8E"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 xml:space="preserve">Working with owners and renters of manufactured homes and parks to make them aware of the greatly expanded list of measures and incentives available in the proposal. </w:t>
      </w:r>
    </w:p>
    <w:p w14:paraId="014CCF8F"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Segmenting MH programs from other residential programs (as PSE did in 2010).</w:t>
      </w:r>
    </w:p>
    <w:p w14:paraId="014CCF90"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Offering</w:t>
      </w:r>
      <w:r w:rsidR="00D32C8B">
        <w:rPr>
          <w:rFonts w:ascii="Times New Roman" w:hAnsi="Times New Roman"/>
          <w:color w:val="000000"/>
          <w:szCs w:val="24"/>
        </w:rPr>
        <w:t xml:space="preserve">, </w:t>
      </w:r>
      <w:r w:rsidR="00D32C8B" w:rsidRPr="00461D01">
        <w:rPr>
          <w:rFonts w:ascii="Times New Roman" w:hAnsi="Times New Roman"/>
          <w:color w:val="000000"/>
          <w:szCs w:val="24"/>
        </w:rPr>
        <w:t>on a comprehensive basis</w:t>
      </w:r>
      <w:r w:rsidR="00D32C8B">
        <w:rPr>
          <w:rFonts w:ascii="Times New Roman" w:hAnsi="Times New Roman"/>
          <w:color w:val="000000"/>
          <w:szCs w:val="24"/>
        </w:rPr>
        <w:t>,</w:t>
      </w:r>
      <w:r w:rsidRPr="00461D01">
        <w:rPr>
          <w:rFonts w:ascii="Times New Roman" w:hAnsi="Times New Roman"/>
          <w:color w:val="000000"/>
          <w:szCs w:val="24"/>
        </w:rPr>
        <w:t xml:space="preserve"> all measures which are identified as cost effective in the 7</w:t>
      </w:r>
      <w:r w:rsidRPr="00461D01">
        <w:rPr>
          <w:rFonts w:ascii="Times New Roman" w:hAnsi="Times New Roman"/>
          <w:color w:val="000000"/>
          <w:szCs w:val="24"/>
          <w:vertAlign w:val="superscript"/>
        </w:rPr>
        <w:t>th</w:t>
      </w:r>
      <w:r w:rsidRPr="00461D01">
        <w:rPr>
          <w:rFonts w:ascii="Times New Roman" w:hAnsi="Times New Roman"/>
          <w:color w:val="000000"/>
          <w:szCs w:val="24"/>
        </w:rPr>
        <w:t xml:space="preserve"> Power Plan.</w:t>
      </w:r>
    </w:p>
    <w:p w14:paraId="014CCF91"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 xml:space="preserve">No </w:t>
      </w:r>
      <w:r w:rsidR="00D32C8B">
        <w:rPr>
          <w:rFonts w:ascii="Times New Roman" w:hAnsi="Times New Roman"/>
          <w:color w:val="000000"/>
          <w:szCs w:val="24"/>
        </w:rPr>
        <w:t xml:space="preserve">requirement </w:t>
      </w:r>
      <w:r w:rsidRPr="00461D01">
        <w:rPr>
          <w:rFonts w:ascii="Times New Roman" w:hAnsi="Times New Roman"/>
          <w:color w:val="000000"/>
          <w:szCs w:val="24"/>
        </w:rPr>
        <w:t>for a financial contribution from a customer class which has demonstrated it cannot participate when a contribution is demanded.  To the extent that customer co-payments are still deemed necessary, work with select lending institutions on credit options or, if possible, work with the utility to implement on-bill financing or repayment.</w:t>
      </w:r>
    </w:p>
    <w:p w14:paraId="014CCF92"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Evaluate energy usage on a per customer basis.</w:t>
      </w:r>
    </w:p>
    <w:p w14:paraId="014CCF93" w14:textId="77777777" w:rsidR="00242A40" w:rsidRPr="00461D01" w:rsidRDefault="00242A40" w:rsidP="00242A40">
      <w:pPr>
        <w:spacing w:before="100" w:beforeAutospacing="1" w:after="100" w:afterAutospacing="1"/>
        <w:rPr>
          <w:rFonts w:eastAsia="Times New Roman"/>
          <w:color w:val="000000"/>
        </w:rPr>
      </w:pPr>
      <w:r w:rsidRPr="00461D01">
        <w:rPr>
          <w:rFonts w:eastAsia="Times New Roman"/>
          <w:color w:val="000000"/>
        </w:rPr>
        <w:t>In its response to the UCONS innovative proposal, PSE stated, “We are pleased to inform you that the Hard to Reach Manufactured Home concept will be incorporated into one of our Request for Proposal (RFP) concepts for the 2018-2019 Energy Efficiency Services program portfolio.”</w:t>
      </w:r>
    </w:p>
    <w:p w14:paraId="014CCF94" w14:textId="77777777" w:rsidR="00242A40" w:rsidRDefault="00242A40" w:rsidP="00242A40">
      <w:pPr>
        <w:spacing w:before="100" w:beforeAutospacing="1" w:after="100" w:afterAutospacing="1"/>
        <w:rPr>
          <w:rFonts w:eastAsia="Times New Roman"/>
          <w:color w:val="000000"/>
        </w:rPr>
      </w:pPr>
      <w:r>
        <w:rPr>
          <w:rFonts w:eastAsia="Times New Roman"/>
          <w:color w:val="000000"/>
        </w:rPr>
        <w:t xml:space="preserve">However, when the RFP was issued, </w:t>
      </w:r>
      <w:r w:rsidRPr="00461D01">
        <w:rPr>
          <w:rFonts w:eastAsia="Times New Roman"/>
          <w:color w:val="000000"/>
        </w:rPr>
        <w:t xml:space="preserve">it focused only on rental housing, excluding </w:t>
      </w:r>
      <w:r w:rsidR="00D32C8B">
        <w:rPr>
          <w:rFonts w:eastAsia="Times New Roman"/>
          <w:color w:val="000000"/>
        </w:rPr>
        <w:t>ratepayer-</w:t>
      </w:r>
      <w:r w:rsidRPr="00461D01">
        <w:rPr>
          <w:rFonts w:eastAsia="Times New Roman"/>
          <w:color w:val="000000"/>
        </w:rPr>
        <w:t xml:space="preserve">owned manufactured homes. </w:t>
      </w:r>
      <w:r>
        <w:rPr>
          <w:rFonts w:eastAsia="Times New Roman"/>
          <w:color w:val="000000"/>
        </w:rPr>
        <w:t xml:space="preserve">Given that </w:t>
      </w:r>
      <w:r w:rsidR="001D40B7">
        <w:rPr>
          <w:rFonts w:eastAsia="Times New Roman"/>
          <w:color w:val="000000"/>
        </w:rPr>
        <w:t xml:space="preserve">more than 80% </w:t>
      </w:r>
      <w:r w:rsidRPr="00461D01">
        <w:rPr>
          <w:rFonts w:eastAsia="Times New Roman"/>
          <w:color w:val="000000"/>
        </w:rPr>
        <w:t xml:space="preserve">of MH customers actually own their home, </w:t>
      </w:r>
      <w:r w:rsidR="00D32C8B">
        <w:rPr>
          <w:rFonts w:eastAsia="Times New Roman"/>
          <w:color w:val="000000"/>
        </w:rPr>
        <w:t xml:space="preserve">usually </w:t>
      </w:r>
      <w:r w:rsidRPr="00461D01">
        <w:rPr>
          <w:rFonts w:eastAsia="Times New Roman"/>
          <w:color w:val="000000"/>
        </w:rPr>
        <w:t xml:space="preserve">on </w:t>
      </w:r>
      <w:r w:rsidR="00D32C8B">
        <w:rPr>
          <w:rFonts w:eastAsia="Times New Roman"/>
          <w:color w:val="000000"/>
        </w:rPr>
        <w:t xml:space="preserve">leased </w:t>
      </w:r>
      <w:r w:rsidRPr="00461D01">
        <w:rPr>
          <w:rFonts w:eastAsia="Times New Roman"/>
          <w:color w:val="000000"/>
        </w:rPr>
        <w:t>land</w:t>
      </w:r>
      <w:r>
        <w:rPr>
          <w:rFonts w:eastAsia="Times New Roman"/>
          <w:color w:val="000000"/>
        </w:rPr>
        <w:t xml:space="preserve">, this limitation effectively </w:t>
      </w:r>
      <w:r w:rsidR="00D32C8B">
        <w:rPr>
          <w:rFonts w:eastAsia="Times New Roman"/>
          <w:color w:val="000000"/>
        </w:rPr>
        <w:t xml:space="preserve">negated </w:t>
      </w:r>
      <w:r>
        <w:rPr>
          <w:rFonts w:eastAsia="Times New Roman"/>
          <w:color w:val="000000"/>
        </w:rPr>
        <w:t xml:space="preserve">any </w:t>
      </w:r>
      <w:r w:rsidR="00D32C8B">
        <w:rPr>
          <w:rFonts w:eastAsia="Times New Roman"/>
          <w:color w:val="000000"/>
        </w:rPr>
        <w:t xml:space="preserve">real </w:t>
      </w:r>
      <w:r>
        <w:rPr>
          <w:rFonts w:eastAsia="Times New Roman"/>
          <w:color w:val="000000"/>
        </w:rPr>
        <w:t xml:space="preserve">effort to achieve cost-effective conservation from this sector in the context of this BCP. </w:t>
      </w:r>
    </w:p>
    <w:p w14:paraId="014CCF95" w14:textId="77777777" w:rsidR="00242A40" w:rsidRPr="00461D01" w:rsidRDefault="00242A40" w:rsidP="00461D01">
      <w:pPr>
        <w:spacing w:before="100" w:beforeAutospacing="1" w:after="100" w:afterAutospacing="1"/>
        <w:rPr>
          <w:rFonts w:eastAsia="Times New Roman"/>
          <w:color w:val="000000"/>
        </w:rPr>
      </w:pPr>
      <w:r>
        <w:rPr>
          <w:rFonts w:eastAsia="Times New Roman"/>
          <w:color w:val="000000"/>
        </w:rPr>
        <w:t xml:space="preserve">Accordingly, we respond to PSE’s BCP, focusing on points made in </w:t>
      </w:r>
      <w:r w:rsidR="00D32C8B">
        <w:rPr>
          <w:rFonts w:eastAsia="Times New Roman"/>
          <w:color w:val="000000"/>
        </w:rPr>
        <w:t xml:space="preserve">its </w:t>
      </w:r>
      <w:r>
        <w:rPr>
          <w:rFonts w:eastAsia="Times New Roman"/>
          <w:color w:val="000000"/>
        </w:rPr>
        <w:t>Executive Summary.</w:t>
      </w:r>
    </w:p>
    <w:p w14:paraId="014CCF96" w14:textId="77777777" w:rsidR="00E8400C" w:rsidRDefault="00E8400C" w:rsidP="00AE142A">
      <w:pPr>
        <w:pStyle w:val="ListParagraph"/>
        <w:numPr>
          <w:ilvl w:val="0"/>
          <w:numId w:val="11"/>
        </w:numPr>
        <w:spacing w:before="100" w:beforeAutospacing="1" w:after="100" w:afterAutospacing="1"/>
        <w:contextualSpacing/>
        <w:rPr>
          <w:rFonts w:ascii="Times New Roman" w:hAnsi="Times New Roman"/>
          <w:b/>
          <w:color w:val="000000"/>
        </w:rPr>
      </w:pPr>
      <w:r>
        <w:rPr>
          <w:rFonts w:ascii="Times New Roman" w:hAnsi="Times New Roman"/>
          <w:b/>
          <w:color w:val="000000"/>
        </w:rPr>
        <w:t>COMMENTS ON THE BCP EXECUTIVE SUMMARY</w:t>
      </w:r>
    </w:p>
    <w:p w14:paraId="014CCF97" w14:textId="77777777" w:rsidR="00E8400C" w:rsidRPr="00BF1D28" w:rsidRDefault="00BD76A5" w:rsidP="00BF1D28">
      <w:r w:rsidRPr="00CF0203">
        <w:rPr>
          <w:i/>
          <w:color w:val="000000" w:themeColor="text1"/>
        </w:rPr>
        <w:t>Portfolio Savings Targets (page 1)</w:t>
      </w:r>
      <w:r w:rsidRPr="00CF0203">
        <w:rPr>
          <w:color w:val="000000" w:themeColor="text1"/>
        </w:rPr>
        <w:t>:</w:t>
      </w:r>
      <w:r w:rsidRPr="00CF0203">
        <w:rPr>
          <w:iCs/>
          <w:color w:val="000000" w:themeColor="text1"/>
        </w:rPr>
        <w:t xml:space="preserve"> The </w:t>
      </w:r>
      <w:r w:rsidR="00D32C8B">
        <w:rPr>
          <w:iCs/>
          <w:color w:val="000000" w:themeColor="text1"/>
        </w:rPr>
        <w:t xml:space="preserve">BCP’s </w:t>
      </w:r>
      <w:r w:rsidRPr="00CF0203">
        <w:rPr>
          <w:iCs/>
          <w:color w:val="000000" w:themeColor="text1"/>
        </w:rPr>
        <w:t>Portfolio Savings Targets do</w:t>
      </w:r>
      <w:r w:rsidR="00E8400C" w:rsidRPr="00CF0203">
        <w:rPr>
          <w:iCs/>
          <w:color w:val="000000" w:themeColor="text1"/>
        </w:rPr>
        <w:t xml:space="preserve"> not address the current inequity in conservation services provided </w:t>
      </w:r>
      <w:r w:rsidR="00D32C8B">
        <w:rPr>
          <w:iCs/>
          <w:color w:val="000000" w:themeColor="text1"/>
        </w:rPr>
        <w:t xml:space="preserve">to </w:t>
      </w:r>
      <w:r w:rsidR="00E8400C" w:rsidRPr="00CF0203">
        <w:rPr>
          <w:iCs/>
          <w:color w:val="000000" w:themeColor="text1"/>
        </w:rPr>
        <w:t>hard</w:t>
      </w:r>
      <w:r w:rsidRPr="00CF0203">
        <w:rPr>
          <w:iCs/>
          <w:color w:val="000000" w:themeColor="text1"/>
        </w:rPr>
        <w:t>-</w:t>
      </w:r>
      <w:r w:rsidR="00E8400C" w:rsidRPr="00CF0203">
        <w:rPr>
          <w:iCs/>
          <w:color w:val="000000" w:themeColor="text1"/>
        </w:rPr>
        <w:t>to</w:t>
      </w:r>
      <w:r w:rsidRPr="00CF0203">
        <w:rPr>
          <w:iCs/>
          <w:color w:val="000000" w:themeColor="text1"/>
        </w:rPr>
        <w:t>-</w:t>
      </w:r>
      <w:r w:rsidR="00E8400C" w:rsidRPr="00CF0203">
        <w:rPr>
          <w:iCs/>
          <w:color w:val="000000" w:themeColor="text1"/>
        </w:rPr>
        <w:t xml:space="preserve">reach customers in manufactured homes. In its July 2016 Path Forward </w:t>
      </w:r>
      <w:r w:rsidR="00D32C8B">
        <w:rPr>
          <w:iCs/>
          <w:color w:val="000000" w:themeColor="text1"/>
        </w:rPr>
        <w:t>p</w:t>
      </w:r>
      <w:r w:rsidR="00E8400C" w:rsidRPr="00CF0203">
        <w:rPr>
          <w:iCs/>
          <w:color w:val="000000" w:themeColor="text1"/>
        </w:rPr>
        <w:t xml:space="preserve">aper, </w:t>
      </w:r>
      <w:r w:rsidR="00772607">
        <w:rPr>
          <w:iCs/>
          <w:color w:val="000000" w:themeColor="text1"/>
        </w:rPr>
        <w:t xml:space="preserve">and as elaborated upon in </w:t>
      </w:r>
      <w:r w:rsidR="00D32C8B">
        <w:rPr>
          <w:iCs/>
          <w:color w:val="000000" w:themeColor="text1"/>
        </w:rPr>
        <w:t>S</w:t>
      </w:r>
      <w:r w:rsidR="00772607">
        <w:rPr>
          <w:iCs/>
          <w:color w:val="000000" w:themeColor="text1"/>
        </w:rPr>
        <w:t xml:space="preserve">ection IV below, </w:t>
      </w:r>
      <w:r w:rsidRPr="00CF0203">
        <w:rPr>
          <w:iCs/>
          <w:color w:val="000000" w:themeColor="text1"/>
        </w:rPr>
        <w:t xml:space="preserve">UCONS, using information from </w:t>
      </w:r>
      <w:r w:rsidR="00E8400C" w:rsidRPr="00CF0203">
        <w:rPr>
          <w:iCs/>
          <w:color w:val="000000" w:themeColor="text1"/>
        </w:rPr>
        <w:t>PSE</w:t>
      </w:r>
      <w:r w:rsidRPr="00CF0203">
        <w:rPr>
          <w:iCs/>
          <w:color w:val="000000" w:themeColor="text1"/>
        </w:rPr>
        <w:t>’s</w:t>
      </w:r>
      <w:r w:rsidR="00E8400C" w:rsidRPr="00CF0203">
        <w:rPr>
          <w:iCs/>
          <w:color w:val="000000" w:themeColor="text1"/>
        </w:rPr>
        <w:t xml:space="preserve"> hard</w:t>
      </w:r>
      <w:r w:rsidRPr="00CF0203">
        <w:rPr>
          <w:iCs/>
          <w:color w:val="000000" w:themeColor="text1"/>
        </w:rPr>
        <w:t>-</w:t>
      </w:r>
      <w:r w:rsidR="00E8400C" w:rsidRPr="00CF0203">
        <w:rPr>
          <w:iCs/>
          <w:color w:val="000000" w:themeColor="text1"/>
        </w:rPr>
        <w:t>to</w:t>
      </w:r>
      <w:r w:rsidRPr="00CF0203">
        <w:rPr>
          <w:iCs/>
          <w:color w:val="000000" w:themeColor="text1"/>
        </w:rPr>
        <w:t>-</w:t>
      </w:r>
      <w:r w:rsidR="00E8400C" w:rsidRPr="00CF0203">
        <w:rPr>
          <w:iCs/>
          <w:color w:val="000000" w:themeColor="text1"/>
        </w:rPr>
        <w:t>reach customers</w:t>
      </w:r>
      <w:r w:rsidR="00D32C8B">
        <w:rPr>
          <w:iCs/>
          <w:color w:val="000000" w:themeColor="text1"/>
        </w:rPr>
        <w:t>,</w:t>
      </w:r>
      <w:r w:rsidR="00E8400C" w:rsidRPr="00CF0203">
        <w:rPr>
          <w:iCs/>
          <w:color w:val="000000" w:themeColor="text1"/>
        </w:rPr>
        <w:t xml:space="preserve"> identified a minimum of 10.6 aMW of cost</w:t>
      </w:r>
      <w:r w:rsidRPr="00CF0203">
        <w:rPr>
          <w:iCs/>
          <w:color w:val="000000" w:themeColor="text1"/>
        </w:rPr>
        <w:t>-</w:t>
      </w:r>
      <w:r w:rsidR="00E8400C" w:rsidRPr="00CF0203">
        <w:rPr>
          <w:iCs/>
          <w:color w:val="000000" w:themeColor="text1"/>
        </w:rPr>
        <w:t>effective conservation potential in PSE</w:t>
      </w:r>
      <w:r w:rsidRPr="00CF0203">
        <w:rPr>
          <w:iCs/>
          <w:color w:val="000000" w:themeColor="text1"/>
        </w:rPr>
        <w:t>’s</w:t>
      </w:r>
      <w:r w:rsidR="00E8400C" w:rsidRPr="00CF0203">
        <w:rPr>
          <w:iCs/>
          <w:color w:val="000000" w:themeColor="text1"/>
        </w:rPr>
        <w:t xml:space="preserve"> </w:t>
      </w:r>
      <w:r w:rsidR="00D32C8B">
        <w:rPr>
          <w:iCs/>
          <w:color w:val="000000" w:themeColor="text1"/>
        </w:rPr>
        <w:t xml:space="preserve">HTR MH </w:t>
      </w:r>
      <w:r w:rsidR="00E8400C" w:rsidRPr="00CF0203">
        <w:rPr>
          <w:iCs/>
          <w:color w:val="000000" w:themeColor="text1"/>
        </w:rPr>
        <w:t>customer class (consistent with the 5</w:t>
      </w:r>
      <w:r w:rsidR="009702A5">
        <w:rPr>
          <w:iCs/>
          <w:color w:val="000000" w:themeColor="text1"/>
        </w:rPr>
        <w:t>-</w:t>
      </w:r>
      <w:r w:rsidR="00E8400C" w:rsidRPr="00CF0203">
        <w:rPr>
          <w:iCs/>
          <w:color w:val="000000" w:themeColor="text1"/>
        </w:rPr>
        <w:t xml:space="preserve">year Power Plan goals approved regionally). </w:t>
      </w:r>
      <w:r w:rsidR="00D32C8B">
        <w:rPr>
          <w:iCs/>
          <w:color w:val="000000" w:themeColor="text1"/>
        </w:rPr>
        <w:t xml:space="preserve"> </w:t>
      </w:r>
      <w:r w:rsidR="00E8400C" w:rsidRPr="00CF0203">
        <w:rPr>
          <w:iCs/>
          <w:color w:val="000000" w:themeColor="text1"/>
        </w:rPr>
        <w:t xml:space="preserve">This data has been previously provided </w:t>
      </w:r>
      <w:r w:rsidRPr="00CF0203">
        <w:rPr>
          <w:iCs/>
          <w:color w:val="000000" w:themeColor="text1"/>
        </w:rPr>
        <w:t xml:space="preserve">to </w:t>
      </w:r>
      <w:r w:rsidR="00E8400C" w:rsidRPr="00CF0203">
        <w:rPr>
          <w:iCs/>
          <w:color w:val="000000" w:themeColor="text1"/>
        </w:rPr>
        <w:t>the UTC in accordance with data report</w:t>
      </w:r>
      <w:r w:rsidR="009702A5">
        <w:rPr>
          <w:iCs/>
          <w:color w:val="000000" w:themeColor="text1"/>
        </w:rPr>
        <w:t>ing requirements</w:t>
      </w:r>
      <w:r w:rsidR="00E8400C" w:rsidRPr="00CF0203">
        <w:rPr>
          <w:iCs/>
          <w:color w:val="000000" w:themeColor="text1"/>
        </w:rPr>
        <w:t xml:space="preserve"> under I-937.</w:t>
      </w:r>
      <w:r w:rsidR="009702A5">
        <w:rPr>
          <w:iCs/>
          <w:color w:val="000000" w:themeColor="text1"/>
        </w:rPr>
        <w:t xml:space="preserve"> </w:t>
      </w:r>
      <w:r w:rsidR="00E8400C" w:rsidRPr="00CF0203">
        <w:rPr>
          <w:iCs/>
          <w:color w:val="000000" w:themeColor="text1"/>
        </w:rPr>
        <w:t xml:space="preserve"> </w:t>
      </w:r>
      <w:r w:rsidR="00242A40">
        <w:rPr>
          <w:iCs/>
          <w:color w:val="000000" w:themeColor="text1"/>
        </w:rPr>
        <w:t>This was the focus of UCONS’ response to the RFI and was earlier provided to PSE as a proposed</w:t>
      </w:r>
      <w:r w:rsidR="00E8400C" w:rsidRPr="00CF0203">
        <w:rPr>
          <w:iCs/>
          <w:color w:val="000000" w:themeColor="text1"/>
        </w:rPr>
        <w:t xml:space="preserve"> innovative Pilot in January 2017</w:t>
      </w:r>
      <w:r w:rsidR="00242A40">
        <w:rPr>
          <w:iCs/>
          <w:color w:val="000000" w:themeColor="text1"/>
        </w:rPr>
        <w:t>.  The program would have a Total Resource Cost</w:t>
      </w:r>
      <w:r w:rsidR="009702A5">
        <w:rPr>
          <w:iCs/>
          <w:color w:val="000000" w:themeColor="text1"/>
        </w:rPr>
        <w:t xml:space="preserve"> (TRC</w:t>
      </w:r>
      <w:r w:rsidR="00242A40">
        <w:rPr>
          <w:iCs/>
          <w:color w:val="000000" w:themeColor="text1"/>
        </w:rPr>
        <w:t>)</w:t>
      </w:r>
      <w:r w:rsidR="00E8400C" w:rsidRPr="00CF0203">
        <w:rPr>
          <w:iCs/>
          <w:color w:val="000000" w:themeColor="text1"/>
        </w:rPr>
        <w:t xml:space="preserve"> above 2.0</w:t>
      </w:r>
      <w:r w:rsidR="009702A5">
        <w:rPr>
          <w:iCs/>
          <w:color w:val="000000" w:themeColor="text1"/>
        </w:rPr>
        <w:t>;</w:t>
      </w:r>
      <w:r w:rsidR="00E8400C" w:rsidRPr="00CF0203">
        <w:rPr>
          <w:iCs/>
          <w:color w:val="000000" w:themeColor="text1"/>
        </w:rPr>
        <w:t xml:space="preserve"> all elements of the proposal </w:t>
      </w:r>
      <w:r w:rsidR="009702A5">
        <w:rPr>
          <w:iCs/>
          <w:color w:val="000000" w:themeColor="text1"/>
        </w:rPr>
        <w:t xml:space="preserve">were created </w:t>
      </w:r>
      <w:r w:rsidR="00E8400C" w:rsidRPr="00CF0203">
        <w:rPr>
          <w:iCs/>
          <w:color w:val="000000" w:themeColor="text1"/>
        </w:rPr>
        <w:t xml:space="preserve">in accordance with the Council Plan and </w:t>
      </w:r>
      <w:r w:rsidR="009702A5">
        <w:rPr>
          <w:iCs/>
          <w:color w:val="000000" w:themeColor="text1"/>
        </w:rPr>
        <w:t xml:space="preserve">requirements for </w:t>
      </w:r>
      <w:r w:rsidR="00E8400C" w:rsidRPr="00CF0203">
        <w:rPr>
          <w:iCs/>
          <w:color w:val="000000" w:themeColor="text1"/>
        </w:rPr>
        <w:t>cost</w:t>
      </w:r>
      <w:r w:rsidR="00772607">
        <w:rPr>
          <w:iCs/>
          <w:color w:val="000000" w:themeColor="text1"/>
        </w:rPr>
        <w:t>-</w:t>
      </w:r>
      <w:r w:rsidR="00E8400C" w:rsidRPr="00CF0203">
        <w:rPr>
          <w:iCs/>
          <w:color w:val="000000" w:themeColor="text1"/>
        </w:rPr>
        <w:t>effectiveness</w:t>
      </w:r>
      <w:r w:rsidR="009702A5">
        <w:rPr>
          <w:iCs/>
          <w:color w:val="000000" w:themeColor="text1"/>
        </w:rPr>
        <w:t>,</w:t>
      </w:r>
      <w:r w:rsidR="00E8400C" w:rsidRPr="00CF0203">
        <w:rPr>
          <w:iCs/>
          <w:color w:val="000000" w:themeColor="text1"/>
        </w:rPr>
        <w:t xml:space="preserve"> and </w:t>
      </w:r>
      <w:r w:rsidR="009702A5">
        <w:rPr>
          <w:iCs/>
          <w:color w:val="000000" w:themeColor="text1"/>
        </w:rPr>
        <w:t xml:space="preserve">were designed with </w:t>
      </w:r>
      <w:r w:rsidR="00E8400C" w:rsidRPr="00CF0203">
        <w:rPr>
          <w:iCs/>
          <w:color w:val="000000" w:themeColor="text1"/>
        </w:rPr>
        <w:t xml:space="preserve">by </w:t>
      </w:r>
      <w:r w:rsidR="009702A5">
        <w:rPr>
          <w:iCs/>
          <w:color w:val="000000" w:themeColor="text1"/>
        </w:rPr>
        <w:t xml:space="preserve">U.S. </w:t>
      </w:r>
      <w:r w:rsidR="00E8400C" w:rsidRPr="00CF0203">
        <w:rPr>
          <w:iCs/>
          <w:color w:val="000000" w:themeColor="text1"/>
        </w:rPr>
        <w:t>DOE contractor Greg Sullivan. PSE reports no errors or mistakes in this proposal</w:t>
      </w:r>
      <w:r w:rsidR="005A49F9">
        <w:rPr>
          <w:iCs/>
          <w:color w:val="000000" w:themeColor="text1"/>
        </w:rPr>
        <w:t>.</w:t>
      </w:r>
    </w:p>
    <w:p w14:paraId="014CCF98" w14:textId="77777777" w:rsidR="00E8400C" w:rsidRPr="00124DB0" w:rsidRDefault="00E8400C" w:rsidP="00BD76A5">
      <w:pPr>
        <w:rPr>
          <w:color w:val="000000" w:themeColor="text1"/>
        </w:rPr>
      </w:pPr>
      <w:r w:rsidRPr="005F2735">
        <w:rPr>
          <w:iCs/>
          <w:color w:val="000000" w:themeColor="text1"/>
        </w:rPr>
        <w:t> </w:t>
      </w:r>
    </w:p>
    <w:p w14:paraId="014CCF99" w14:textId="77777777" w:rsidR="00E8400C" w:rsidRPr="00CF0203" w:rsidRDefault="00BF74DD" w:rsidP="00CF0203">
      <w:pPr>
        <w:rPr>
          <w:rFonts w:eastAsia="Times New Roman"/>
          <w:color w:val="000000"/>
        </w:rPr>
      </w:pPr>
      <w:r>
        <w:rPr>
          <w:i/>
          <w:iCs/>
          <w:color w:val="000000" w:themeColor="text1"/>
        </w:rPr>
        <w:lastRenderedPageBreak/>
        <w:t xml:space="preserve">Development of Ten-Year Conservation Potential and Reference to PSE’s IRP </w:t>
      </w:r>
      <w:r w:rsidR="005F2735" w:rsidRPr="005F2735">
        <w:rPr>
          <w:i/>
          <w:iCs/>
          <w:color w:val="000000" w:themeColor="text1"/>
        </w:rPr>
        <w:t>(page 2)</w:t>
      </w:r>
      <w:r w:rsidR="005F2735" w:rsidRPr="005F2735">
        <w:rPr>
          <w:iCs/>
          <w:color w:val="000000" w:themeColor="text1"/>
        </w:rPr>
        <w:t>:</w:t>
      </w:r>
      <w:r w:rsidR="00E8400C" w:rsidRPr="00CF0203">
        <w:rPr>
          <w:rStyle w:val="apple-converted-space"/>
          <w:rFonts w:eastAsia="Times New Roman"/>
          <w:i/>
          <w:iCs/>
          <w:color w:val="000000" w:themeColor="text1"/>
          <w:szCs w:val="12"/>
        </w:rPr>
        <w:t> </w:t>
      </w:r>
      <w:r w:rsidR="00E8400C" w:rsidRPr="005F2735">
        <w:rPr>
          <w:b/>
          <w:i/>
          <w:color w:val="000000"/>
        </w:rPr>
        <w:t xml:space="preserve"> </w:t>
      </w:r>
      <w:r w:rsidR="00E8400C" w:rsidRPr="00CF0203">
        <w:rPr>
          <w:rFonts w:eastAsia="Times New Roman"/>
          <w:color w:val="000000"/>
        </w:rPr>
        <w:t xml:space="preserve">The I-937 rules governing the BCP in WAC 480-109-100(2) </w:t>
      </w:r>
      <w:r w:rsidR="005F2735" w:rsidRPr="005F2735">
        <w:rPr>
          <w:rFonts w:eastAsia="Times New Roman"/>
          <w:color w:val="000000"/>
        </w:rPr>
        <w:t xml:space="preserve">describe how the </w:t>
      </w:r>
      <w:r w:rsidR="00124DB0">
        <w:rPr>
          <w:rFonts w:eastAsia="Times New Roman"/>
          <w:color w:val="000000"/>
        </w:rPr>
        <w:t>utility is to determine its ten-year conservation potential</w:t>
      </w:r>
      <w:r w:rsidR="00E8400C" w:rsidRPr="00CF0203">
        <w:rPr>
          <w:rFonts w:eastAsia="Times New Roman"/>
          <w:color w:val="000000"/>
        </w:rPr>
        <w:t>:</w:t>
      </w:r>
    </w:p>
    <w:p w14:paraId="014CCF9A" w14:textId="77777777" w:rsidR="00E8400C" w:rsidRPr="00CF0203" w:rsidRDefault="00E8400C" w:rsidP="00CF0203">
      <w:pPr>
        <w:rPr>
          <w:rFonts w:eastAsia="Times New Roman"/>
          <w:color w:val="000000"/>
        </w:rPr>
      </w:pPr>
    </w:p>
    <w:p w14:paraId="014CCF9B" w14:textId="77777777" w:rsidR="00E8400C" w:rsidRPr="00CF0203" w:rsidRDefault="00E8400C" w:rsidP="00CF0203">
      <w:pPr>
        <w:ind w:left="720" w:firstLine="360"/>
        <w:rPr>
          <w:rFonts w:eastAsia="Times New Roman"/>
          <w:color w:val="000000"/>
        </w:rPr>
      </w:pPr>
      <w:r w:rsidRPr="00CF0203">
        <w:rPr>
          <w:rFonts w:eastAsia="Times New Roman"/>
          <w:color w:val="000000"/>
        </w:rPr>
        <w:t>(a) This projection must consider all available conservation resources that are cost-effective, reliable, and feasible.</w:t>
      </w:r>
    </w:p>
    <w:p w14:paraId="014CCF9C" w14:textId="77777777" w:rsidR="00E8400C" w:rsidRDefault="00E8400C" w:rsidP="00CF0203">
      <w:pPr>
        <w:ind w:left="720" w:firstLine="360"/>
        <w:rPr>
          <w:rFonts w:eastAsia="Times New Roman"/>
          <w:color w:val="000000"/>
        </w:rPr>
      </w:pPr>
      <w:r w:rsidRPr="00CF0203">
        <w:rPr>
          <w:rFonts w:eastAsia="Times New Roman"/>
          <w:color w:val="000000"/>
        </w:rPr>
        <w:t xml:space="preserve">(b) </w:t>
      </w:r>
      <w:r w:rsidRPr="00CF0203">
        <w:rPr>
          <w:rFonts w:eastAsia="Times New Roman"/>
          <w:i/>
          <w:color w:val="000000"/>
        </w:rPr>
        <w:t>This projection must be derived from the utility's most recent IRP</w:t>
      </w:r>
      <w:r w:rsidRPr="00CF0203">
        <w:rPr>
          <w:rFonts w:eastAsia="Times New Roman"/>
          <w:color w:val="000000"/>
        </w:rPr>
        <w:t xml:space="preserve">, including any information learned in its subsequent resource acquisition process, or the utility must document the reasons for any differences. </w:t>
      </w:r>
      <w:r w:rsidR="009702A5">
        <w:rPr>
          <w:rFonts w:eastAsia="Times New Roman"/>
          <w:color w:val="000000"/>
        </w:rPr>
        <w:t xml:space="preserve"> </w:t>
      </w:r>
      <w:r w:rsidRPr="00CF0203">
        <w:rPr>
          <w:rFonts w:eastAsia="Times New Roman"/>
          <w:color w:val="000000"/>
        </w:rPr>
        <w:t>When developing this projection, utilities must use methodologies that are consistent with those used in the Northwest Conservation and Electric Power Plan.</w:t>
      </w:r>
    </w:p>
    <w:p w14:paraId="014CCF9D" w14:textId="77777777" w:rsidR="00124DB0" w:rsidRPr="00CF0203" w:rsidRDefault="00124DB0" w:rsidP="00CF0203">
      <w:pPr>
        <w:ind w:left="720" w:firstLine="360"/>
        <w:rPr>
          <w:rFonts w:eastAsia="Times New Roman"/>
          <w:color w:val="000000"/>
        </w:rPr>
      </w:pPr>
    </w:p>
    <w:p w14:paraId="014CCF9E" w14:textId="77777777" w:rsidR="00E8400C" w:rsidRPr="00CF0203" w:rsidRDefault="00E8400C" w:rsidP="00CF0203">
      <w:pPr>
        <w:rPr>
          <w:rFonts w:eastAsia="Times New Roman"/>
        </w:rPr>
      </w:pPr>
      <w:r w:rsidRPr="00CF0203">
        <w:rPr>
          <w:rFonts w:eastAsia="Times New Roman"/>
        </w:rPr>
        <w:t xml:space="preserve">The </w:t>
      </w:r>
      <w:r w:rsidR="00124DB0">
        <w:rPr>
          <w:rFonts w:eastAsia="Times New Roman"/>
        </w:rPr>
        <w:t xml:space="preserve">highlighted language </w:t>
      </w:r>
      <w:r w:rsidRPr="00CF0203">
        <w:rPr>
          <w:rFonts w:eastAsia="Times New Roman"/>
        </w:rPr>
        <w:t xml:space="preserve">directs the utility to go to its IRP to derive its conservation potential.  The PSE IRP was filed in draft form before the BCP was filed, but the final </w:t>
      </w:r>
      <w:r w:rsidR="009702A5">
        <w:rPr>
          <w:rFonts w:eastAsia="Times New Roman"/>
        </w:rPr>
        <w:t xml:space="preserve">IRP </w:t>
      </w:r>
      <w:r w:rsidRPr="00CF0203">
        <w:rPr>
          <w:rFonts w:eastAsia="Times New Roman"/>
        </w:rPr>
        <w:t>was filed just after</w:t>
      </w:r>
      <w:r w:rsidR="009702A5">
        <w:rPr>
          <w:rFonts w:eastAsia="Times New Roman"/>
        </w:rPr>
        <w:t xml:space="preserve"> the BCP was filed</w:t>
      </w:r>
      <w:r w:rsidRPr="00CF0203">
        <w:rPr>
          <w:rFonts w:eastAsia="Times New Roman"/>
        </w:rPr>
        <w:t>, on November 14.  Appendix J is the Conservation Potential Assessment</w:t>
      </w:r>
      <w:r w:rsidR="009702A5">
        <w:rPr>
          <w:rFonts w:eastAsia="Times New Roman"/>
        </w:rPr>
        <w:t>,</w:t>
      </w:r>
      <w:r w:rsidRPr="00CF0203">
        <w:rPr>
          <w:rFonts w:eastAsia="Times New Roman"/>
        </w:rPr>
        <w:t xml:space="preserve"> was conducted by Navigant.  Note that on page 46</w:t>
      </w:r>
      <w:r w:rsidR="009702A5">
        <w:rPr>
          <w:rFonts w:eastAsia="Times New Roman"/>
        </w:rPr>
        <w:t>,</w:t>
      </w:r>
      <w:r w:rsidRPr="00CF0203">
        <w:rPr>
          <w:rFonts w:eastAsia="Times New Roman"/>
        </w:rPr>
        <w:t xml:space="preserve"> Navigant states:</w:t>
      </w:r>
    </w:p>
    <w:p w14:paraId="014CCF9F" w14:textId="77777777" w:rsidR="00E8400C" w:rsidRPr="00CF0203" w:rsidRDefault="00E8400C" w:rsidP="00E8400C">
      <w:pPr>
        <w:ind w:left="1080"/>
        <w:rPr>
          <w:rFonts w:eastAsia="Times New Roman"/>
        </w:rPr>
      </w:pPr>
    </w:p>
    <w:p w14:paraId="014CCFA0" w14:textId="77777777" w:rsidR="00E8400C" w:rsidRPr="00CF0203" w:rsidRDefault="00E8400C" w:rsidP="00E8400C">
      <w:pPr>
        <w:ind w:left="1080"/>
        <w:rPr>
          <w:rFonts w:eastAsia="Times New Roman"/>
        </w:rPr>
      </w:pPr>
      <w:r w:rsidRPr="00CF0203">
        <w:rPr>
          <w:rFonts w:eastAsia="Times New Roman"/>
        </w:rPr>
        <w:t>Commercial retail establishments, residential manufactured homes, and other commercial (unclassified) buildings also account for significant electric energy potential, with the remaining segments each making relatively small contributions to the balance of the total potential.</w:t>
      </w:r>
    </w:p>
    <w:p w14:paraId="014CCFA1" w14:textId="77777777" w:rsidR="00E8400C" w:rsidRPr="00CF0203" w:rsidRDefault="00E8400C" w:rsidP="00E8400C">
      <w:pPr>
        <w:ind w:left="1080"/>
        <w:rPr>
          <w:rFonts w:eastAsia="Times New Roman"/>
        </w:rPr>
      </w:pPr>
    </w:p>
    <w:p w14:paraId="014CCFA2" w14:textId="77777777" w:rsidR="00E8400C" w:rsidRPr="001D40B7" w:rsidRDefault="00E8400C" w:rsidP="00CF0203">
      <w:pPr>
        <w:rPr>
          <w:rFonts w:eastAsia="Times New Roman"/>
        </w:rPr>
      </w:pPr>
      <w:r w:rsidRPr="00CF0203">
        <w:rPr>
          <w:rFonts w:eastAsia="Times New Roman"/>
        </w:rPr>
        <w:t>Despite this recognition by Navigant, neither the IRP nor the BCP properly consider</w:t>
      </w:r>
      <w:r w:rsidR="009702A5">
        <w:rPr>
          <w:rFonts w:eastAsia="Times New Roman"/>
        </w:rPr>
        <w:t>s</w:t>
      </w:r>
      <w:r w:rsidRPr="00CF0203">
        <w:rPr>
          <w:rFonts w:eastAsia="Times New Roman"/>
        </w:rPr>
        <w:t xml:space="preserve"> the MH market</w:t>
      </w:r>
      <w:r w:rsidR="009702A5">
        <w:rPr>
          <w:rFonts w:eastAsia="Times New Roman"/>
        </w:rPr>
        <w:t>’s conservation potential</w:t>
      </w:r>
      <w:r w:rsidRPr="00CF0203">
        <w:rPr>
          <w:rFonts w:eastAsia="Times New Roman"/>
        </w:rPr>
        <w:t xml:space="preserve">. </w:t>
      </w:r>
    </w:p>
    <w:p w14:paraId="014CCFA3" w14:textId="77777777" w:rsidR="00E8400C" w:rsidRPr="00BF74DD" w:rsidRDefault="00E8400C" w:rsidP="00E8400C">
      <w:pPr>
        <w:ind w:left="720"/>
        <w:rPr>
          <w:rFonts w:eastAsia="Times New Roman"/>
          <w:b/>
          <w:i/>
        </w:rPr>
      </w:pPr>
    </w:p>
    <w:p w14:paraId="014CCFA4" w14:textId="77777777" w:rsidR="0030200B" w:rsidRDefault="00BF74DD" w:rsidP="00CF0203">
      <w:pPr>
        <w:pStyle w:val="ListParagraph"/>
        <w:ind w:left="0"/>
        <w:rPr>
          <w:rFonts w:ascii="Times New Roman" w:hAnsi="Times New Roman"/>
          <w:iCs/>
          <w:color w:val="000000" w:themeColor="text1"/>
        </w:rPr>
      </w:pPr>
      <w:r w:rsidRPr="00CF0203">
        <w:rPr>
          <w:rStyle w:val="apple-converted-space"/>
          <w:rFonts w:ascii="Times New Roman" w:hAnsi="Times New Roman"/>
          <w:i/>
          <w:color w:val="000000" w:themeColor="text1"/>
        </w:rPr>
        <w:t>Biennial Target (page 3)</w:t>
      </w:r>
      <w:r w:rsidRPr="00CF0203">
        <w:rPr>
          <w:rStyle w:val="apple-converted-space"/>
          <w:rFonts w:ascii="Times New Roman" w:hAnsi="Times New Roman"/>
          <w:color w:val="000000" w:themeColor="text1"/>
        </w:rPr>
        <w:t>:</w:t>
      </w:r>
      <w:r w:rsidR="00E8400C" w:rsidRPr="00CF0203">
        <w:rPr>
          <w:rFonts w:ascii="Times New Roman" w:hAnsi="Times New Roman"/>
          <w:iCs/>
          <w:color w:val="000000" w:themeColor="text1"/>
        </w:rPr>
        <w:t xml:space="preserve"> WA</w:t>
      </w:r>
      <w:r w:rsidR="0030200B">
        <w:rPr>
          <w:rFonts w:ascii="Times New Roman" w:hAnsi="Times New Roman"/>
          <w:iCs/>
          <w:color w:val="000000" w:themeColor="text1"/>
        </w:rPr>
        <w:t>C</w:t>
      </w:r>
      <w:r w:rsidR="00E8400C" w:rsidRPr="00CF0203">
        <w:rPr>
          <w:rFonts w:ascii="Times New Roman" w:hAnsi="Times New Roman"/>
          <w:iCs/>
          <w:color w:val="000000" w:themeColor="text1"/>
        </w:rPr>
        <w:t>-109-100(3)(b)</w:t>
      </w:r>
      <w:r w:rsidR="0030200B">
        <w:rPr>
          <w:rFonts w:ascii="Times New Roman" w:hAnsi="Times New Roman"/>
          <w:iCs/>
          <w:color w:val="000000" w:themeColor="text1"/>
        </w:rPr>
        <w:t xml:space="preserve"> requires that the biennial target be “no lower” than pro rata share of the ten-year conservation potential.  Of course, </w:t>
      </w:r>
      <w:r w:rsidR="009702A5">
        <w:rPr>
          <w:rFonts w:ascii="Times New Roman" w:hAnsi="Times New Roman"/>
          <w:iCs/>
          <w:color w:val="000000" w:themeColor="text1"/>
        </w:rPr>
        <w:t xml:space="preserve">this </w:t>
      </w:r>
      <w:r w:rsidR="0030200B">
        <w:rPr>
          <w:rFonts w:ascii="Times New Roman" w:hAnsi="Times New Roman"/>
          <w:iCs/>
          <w:color w:val="000000" w:themeColor="text1"/>
        </w:rPr>
        <w:t xml:space="preserve">means that the target may be higher, as it should be if </w:t>
      </w:r>
      <w:r w:rsidR="009702A5">
        <w:rPr>
          <w:rFonts w:ascii="Times New Roman" w:hAnsi="Times New Roman"/>
          <w:iCs/>
          <w:color w:val="000000" w:themeColor="text1"/>
        </w:rPr>
        <w:t xml:space="preserve">additional </w:t>
      </w:r>
      <w:r w:rsidR="0030200B">
        <w:rPr>
          <w:rFonts w:ascii="Times New Roman" w:hAnsi="Times New Roman"/>
          <w:iCs/>
          <w:color w:val="000000" w:themeColor="text1"/>
        </w:rPr>
        <w:t xml:space="preserve">cost-effective conservation </w:t>
      </w:r>
      <w:r w:rsidR="009702A5">
        <w:rPr>
          <w:rFonts w:ascii="Times New Roman" w:hAnsi="Times New Roman"/>
          <w:iCs/>
          <w:color w:val="000000" w:themeColor="text1"/>
          <w:u w:val="single"/>
        </w:rPr>
        <w:t xml:space="preserve">can be acquired </w:t>
      </w:r>
      <w:r w:rsidR="0030200B">
        <w:rPr>
          <w:rFonts w:ascii="Times New Roman" w:hAnsi="Times New Roman"/>
          <w:iCs/>
          <w:color w:val="000000" w:themeColor="text1"/>
        </w:rPr>
        <w:t xml:space="preserve">in that two-year period.  And, in any event, the Commission’s regulations require that the utility “adaptively manage” its conservation portfolio to adapt to changing conditions.  WAC 480-109-100(1)(a)(iv).  </w:t>
      </w:r>
    </w:p>
    <w:p w14:paraId="014CCFA5" w14:textId="77777777" w:rsidR="0030200B" w:rsidRPr="0030200B" w:rsidRDefault="0030200B" w:rsidP="00CF0203">
      <w:pPr>
        <w:pStyle w:val="ListParagraph"/>
        <w:tabs>
          <w:tab w:val="left" w:pos="531"/>
        </w:tabs>
        <w:ind w:left="0"/>
        <w:rPr>
          <w:rFonts w:ascii="Times New Roman" w:hAnsi="Times New Roman"/>
          <w:iCs/>
          <w:color w:val="000000" w:themeColor="text1"/>
        </w:rPr>
      </w:pPr>
      <w:r w:rsidRPr="0030200B">
        <w:rPr>
          <w:rFonts w:ascii="Times New Roman" w:hAnsi="Times New Roman"/>
          <w:iCs/>
          <w:color w:val="000000" w:themeColor="text1"/>
        </w:rPr>
        <w:tab/>
      </w:r>
    </w:p>
    <w:p w14:paraId="014CCFA6" w14:textId="77777777" w:rsidR="00E8400C" w:rsidRPr="00CF0203" w:rsidRDefault="0030200B" w:rsidP="00CF0203">
      <w:pPr>
        <w:pStyle w:val="ListParagraph"/>
        <w:ind w:left="0"/>
        <w:rPr>
          <w:rFonts w:ascii="Times New Roman" w:hAnsi="Times New Roman"/>
        </w:rPr>
      </w:pPr>
      <w:r w:rsidRPr="0030200B">
        <w:rPr>
          <w:rFonts w:ascii="Times New Roman" w:hAnsi="Times New Roman"/>
          <w:iCs/>
          <w:color w:val="000000" w:themeColor="text1"/>
        </w:rPr>
        <w:t>However, w</w:t>
      </w:r>
      <w:r w:rsidR="00E8400C" w:rsidRPr="00CF0203">
        <w:rPr>
          <w:rFonts w:ascii="Times New Roman" w:hAnsi="Times New Roman"/>
          <w:iCs/>
          <w:color w:val="000000" w:themeColor="text1"/>
        </w:rPr>
        <w:t>hen presented a more cost</w:t>
      </w:r>
      <w:r w:rsidRPr="0030200B">
        <w:rPr>
          <w:rFonts w:ascii="Times New Roman" w:hAnsi="Times New Roman"/>
          <w:iCs/>
          <w:color w:val="000000" w:themeColor="text1"/>
        </w:rPr>
        <w:t>-</w:t>
      </w:r>
      <w:r w:rsidR="00E8400C" w:rsidRPr="00CF0203">
        <w:rPr>
          <w:rFonts w:ascii="Times New Roman" w:hAnsi="Times New Roman"/>
          <w:iCs/>
          <w:color w:val="000000" w:themeColor="text1"/>
        </w:rPr>
        <w:t>effective new resource in January 2017</w:t>
      </w:r>
      <w:r w:rsidRPr="0030200B">
        <w:rPr>
          <w:rFonts w:ascii="Times New Roman" w:hAnsi="Times New Roman"/>
          <w:iCs/>
          <w:color w:val="000000" w:themeColor="text1"/>
        </w:rPr>
        <w:t xml:space="preserve"> and</w:t>
      </w:r>
      <w:r w:rsidR="00EA6CB2">
        <w:rPr>
          <w:rFonts w:ascii="Times New Roman" w:hAnsi="Times New Roman"/>
          <w:iCs/>
          <w:color w:val="000000" w:themeColor="text1"/>
        </w:rPr>
        <w:t xml:space="preserve"> </w:t>
      </w:r>
      <w:r w:rsidRPr="0030200B">
        <w:rPr>
          <w:rFonts w:ascii="Times New Roman" w:hAnsi="Times New Roman"/>
          <w:iCs/>
          <w:color w:val="000000" w:themeColor="text1"/>
        </w:rPr>
        <w:t xml:space="preserve">presented </w:t>
      </w:r>
      <w:r w:rsidR="009702A5">
        <w:rPr>
          <w:rFonts w:ascii="Times New Roman" w:hAnsi="Times New Roman"/>
          <w:iCs/>
          <w:color w:val="000000" w:themeColor="text1"/>
        </w:rPr>
        <w:t xml:space="preserve">with it </w:t>
      </w:r>
      <w:r w:rsidRPr="0030200B">
        <w:rPr>
          <w:rFonts w:ascii="Times New Roman" w:hAnsi="Times New Roman"/>
          <w:iCs/>
          <w:color w:val="000000" w:themeColor="text1"/>
        </w:rPr>
        <w:t>again during PSE</w:t>
      </w:r>
      <w:r w:rsidRPr="00D94228">
        <w:rPr>
          <w:rFonts w:ascii="Times New Roman" w:hAnsi="Times New Roman"/>
          <w:iCs/>
          <w:color w:val="000000" w:themeColor="text1"/>
        </w:rPr>
        <w:t xml:space="preserve">’s RFI/RFP processes, PSE </w:t>
      </w:r>
      <w:r w:rsidR="009702A5">
        <w:rPr>
          <w:rFonts w:ascii="Times New Roman" w:hAnsi="Times New Roman"/>
          <w:iCs/>
          <w:color w:val="000000" w:themeColor="text1"/>
        </w:rPr>
        <w:t xml:space="preserve">declined </w:t>
      </w:r>
      <w:r w:rsidRPr="00D94228">
        <w:rPr>
          <w:rFonts w:ascii="Times New Roman" w:hAnsi="Times New Roman"/>
          <w:iCs/>
          <w:color w:val="000000" w:themeColor="text1"/>
        </w:rPr>
        <w:t xml:space="preserve">to pursue that </w:t>
      </w:r>
      <w:r w:rsidRPr="00A02C8A">
        <w:rPr>
          <w:rFonts w:ascii="Times New Roman" w:hAnsi="Times New Roman"/>
          <w:iCs/>
          <w:color w:val="000000" w:themeColor="text1"/>
        </w:rPr>
        <w:t>resource.</w:t>
      </w:r>
      <w:r w:rsidR="009702A5">
        <w:rPr>
          <w:rFonts w:ascii="Times New Roman" w:hAnsi="Times New Roman"/>
          <w:iCs/>
          <w:color w:val="000000" w:themeColor="text1"/>
        </w:rPr>
        <w:t xml:space="preserve"> </w:t>
      </w:r>
      <w:r w:rsidRPr="00A02C8A">
        <w:rPr>
          <w:rFonts w:ascii="Times New Roman" w:hAnsi="Times New Roman"/>
          <w:iCs/>
          <w:color w:val="000000" w:themeColor="text1"/>
        </w:rPr>
        <w:t xml:space="preserve"> </w:t>
      </w:r>
      <w:r w:rsidRPr="0030200B">
        <w:rPr>
          <w:rFonts w:ascii="Times New Roman" w:hAnsi="Times New Roman"/>
          <w:iCs/>
          <w:color w:val="000000" w:themeColor="text1"/>
        </w:rPr>
        <w:t xml:space="preserve">Furthermore, increased attention to the </w:t>
      </w:r>
      <w:r w:rsidR="009702A5">
        <w:rPr>
          <w:rFonts w:ascii="Times New Roman" w:hAnsi="Times New Roman"/>
          <w:iCs/>
          <w:color w:val="000000" w:themeColor="text1"/>
        </w:rPr>
        <w:t xml:space="preserve">MH </w:t>
      </w:r>
      <w:r w:rsidRPr="0030200B">
        <w:rPr>
          <w:rFonts w:ascii="Times New Roman" w:hAnsi="Times New Roman"/>
          <w:iCs/>
          <w:color w:val="000000" w:themeColor="text1"/>
        </w:rPr>
        <w:t>sector would help remedy a severe imbalance between load and conservat</w:t>
      </w:r>
      <w:r w:rsidRPr="00D94228">
        <w:rPr>
          <w:rFonts w:ascii="Times New Roman" w:hAnsi="Times New Roman"/>
          <w:iCs/>
          <w:color w:val="000000" w:themeColor="text1"/>
        </w:rPr>
        <w:t>ion expenditu</w:t>
      </w:r>
      <w:r w:rsidRPr="00A02C8A">
        <w:rPr>
          <w:rFonts w:ascii="Times New Roman" w:hAnsi="Times New Roman"/>
          <w:iCs/>
          <w:color w:val="000000" w:themeColor="text1"/>
        </w:rPr>
        <w:t xml:space="preserve">res.  Manufactured home customers </w:t>
      </w:r>
      <w:r w:rsidR="00E8400C" w:rsidRPr="001D40B7">
        <w:rPr>
          <w:rFonts w:ascii="Times New Roman" w:hAnsi="Times New Roman"/>
        </w:rPr>
        <w:t xml:space="preserve">consume nearly 6% of all </w:t>
      </w:r>
      <w:r w:rsidR="009702A5" w:rsidRPr="001B06CE">
        <w:rPr>
          <w:rFonts w:ascii="Times New Roman" w:hAnsi="Times New Roman"/>
        </w:rPr>
        <w:t xml:space="preserve">PSE </w:t>
      </w:r>
      <w:r w:rsidR="00E8400C" w:rsidRPr="001B06CE">
        <w:rPr>
          <w:rFonts w:ascii="Times New Roman" w:hAnsi="Times New Roman"/>
        </w:rPr>
        <w:t xml:space="preserve">electric load, </w:t>
      </w:r>
      <w:r w:rsidRPr="001B06CE">
        <w:rPr>
          <w:rFonts w:ascii="Times New Roman" w:hAnsi="Times New Roman"/>
        </w:rPr>
        <w:t xml:space="preserve">but have </w:t>
      </w:r>
      <w:r w:rsidR="00E8400C" w:rsidRPr="001B06CE">
        <w:rPr>
          <w:rFonts w:ascii="Times New Roman" w:hAnsi="Times New Roman"/>
        </w:rPr>
        <w:t xml:space="preserve">received less than 1% </w:t>
      </w:r>
      <w:r w:rsidR="001D40B7" w:rsidRPr="001B06CE">
        <w:rPr>
          <w:rFonts w:ascii="Times New Roman" w:hAnsi="Times New Roman"/>
        </w:rPr>
        <w:t>PSE’</w:t>
      </w:r>
      <w:r w:rsidR="001B06CE">
        <w:rPr>
          <w:rFonts w:ascii="Times New Roman" w:hAnsi="Times New Roman"/>
        </w:rPr>
        <w:t>s conservation budget (which is embodied in</w:t>
      </w:r>
      <w:r w:rsidR="001D40B7" w:rsidRPr="001D40B7">
        <w:rPr>
          <w:rFonts w:ascii="Times New Roman" w:hAnsi="Times New Roman"/>
        </w:rPr>
        <w:t xml:space="preserve"> </w:t>
      </w:r>
      <w:r w:rsidR="00E8400C" w:rsidRPr="00B32523">
        <w:rPr>
          <w:rFonts w:ascii="Times New Roman" w:hAnsi="Times New Roman"/>
        </w:rPr>
        <w:t>the 2-year IRP guidance</w:t>
      </w:r>
      <w:r w:rsidRPr="00B32523">
        <w:rPr>
          <w:rFonts w:ascii="Times New Roman" w:hAnsi="Times New Roman"/>
        </w:rPr>
        <w:t xml:space="preserve"> of 54 aMW listed on page 3</w:t>
      </w:r>
      <w:r w:rsidR="001D40B7" w:rsidRPr="00B32523">
        <w:rPr>
          <w:rFonts w:ascii="Times New Roman" w:hAnsi="Times New Roman"/>
        </w:rPr>
        <w:t>)</w:t>
      </w:r>
      <w:r w:rsidRPr="00B32523">
        <w:rPr>
          <w:rFonts w:ascii="Times New Roman" w:hAnsi="Times New Roman"/>
        </w:rPr>
        <w:t>.</w:t>
      </w:r>
    </w:p>
    <w:p w14:paraId="014CCFA7" w14:textId="77777777" w:rsidR="00E8400C" w:rsidRPr="0030200B" w:rsidRDefault="00E8400C" w:rsidP="00E8400C">
      <w:pPr>
        <w:rPr>
          <w:color w:val="000000" w:themeColor="text1"/>
        </w:rPr>
      </w:pPr>
    </w:p>
    <w:p w14:paraId="014CCFA8" w14:textId="77777777" w:rsidR="00E8400C" w:rsidRPr="00CF0203" w:rsidRDefault="00202437" w:rsidP="00CF0203">
      <w:pPr>
        <w:pStyle w:val="ListParagraph"/>
        <w:ind w:left="0"/>
        <w:rPr>
          <w:rFonts w:ascii="Times New Roman" w:hAnsi="Times New Roman"/>
          <w:color w:val="000000" w:themeColor="text1"/>
        </w:rPr>
      </w:pPr>
      <w:r>
        <w:rPr>
          <w:rFonts w:ascii="Times New Roman" w:hAnsi="Times New Roman"/>
          <w:i/>
          <w:color w:val="000000" w:themeColor="text1"/>
        </w:rPr>
        <w:t>2018-19 Budgets (page 6)</w:t>
      </w:r>
      <w:r>
        <w:rPr>
          <w:rFonts w:ascii="Times New Roman" w:hAnsi="Times New Roman"/>
          <w:color w:val="000000" w:themeColor="text1"/>
        </w:rPr>
        <w:t xml:space="preserve">:  </w:t>
      </w:r>
      <w:r w:rsidR="00C6621D">
        <w:rPr>
          <w:rFonts w:ascii="Times New Roman" w:hAnsi="Times New Roman"/>
          <w:color w:val="000000" w:themeColor="text1"/>
        </w:rPr>
        <w:t xml:space="preserve">Again, </w:t>
      </w:r>
      <w:r w:rsidR="00E8400C" w:rsidRPr="00CF0203">
        <w:rPr>
          <w:rFonts w:ascii="Times New Roman" w:hAnsi="Times New Roman"/>
          <w:iCs/>
          <w:color w:val="000000" w:themeColor="text1"/>
        </w:rPr>
        <w:t xml:space="preserve">PSE </w:t>
      </w:r>
      <w:r w:rsidR="00C6621D">
        <w:rPr>
          <w:rFonts w:ascii="Times New Roman" w:hAnsi="Times New Roman"/>
          <w:iCs/>
          <w:color w:val="000000" w:themeColor="text1"/>
        </w:rPr>
        <w:t xml:space="preserve">spends </w:t>
      </w:r>
      <w:r w:rsidR="00E8400C" w:rsidRPr="00CF0203">
        <w:rPr>
          <w:rFonts w:ascii="Times New Roman" w:hAnsi="Times New Roman"/>
          <w:iCs/>
          <w:color w:val="000000" w:themeColor="text1"/>
        </w:rPr>
        <w:t xml:space="preserve">less than 1% of its </w:t>
      </w:r>
      <w:r w:rsidR="00C6621D">
        <w:rPr>
          <w:rFonts w:ascii="Times New Roman" w:hAnsi="Times New Roman"/>
          <w:iCs/>
          <w:color w:val="000000" w:themeColor="text1"/>
        </w:rPr>
        <w:t xml:space="preserve">annual </w:t>
      </w:r>
      <w:r w:rsidR="00E8400C" w:rsidRPr="00CF0203">
        <w:rPr>
          <w:rFonts w:ascii="Times New Roman" w:hAnsi="Times New Roman"/>
          <w:iCs/>
          <w:color w:val="000000" w:themeColor="text1"/>
        </w:rPr>
        <w:t>electric conservation budget (less than $2 million</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on cost effective conservation</w:t>
      </w:r>
      <w:r w:rsidR="00C6621D">
        <w:rPr>
          <w:rFonts w:ascii="Times New Roman" w:hAnsi="Times New Roman"/>
          <w:iCs/>
          <w:color w:val="000000" w:themeColor="text1"/>
        </w:rPr>
        <w:t xml:space="preserve"> services for</w:t>
      </w:r>
      <w:r w:rsidR="00E8400C" w:rsidRPr="00CF0203">
        <w:rPr>
          <w:rFonts w:ascii="Times New Roman" w:hAnsi="Times New Roman"/>
          <w:iCs/>
          <w:color w:val="000000" w:themeColor="text1"/>
        </w:rPr>
        <w:t xml:space="preserve"> a customer class that</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despite its low </w:t>
      </w:r>
      <w:r w:rsidR="00C6621D">
        <w:rPr>
          <w:rFonts w:ascii="Times New Roman" w:hAnsi="Times New Roman"/>
          <w:iCs/>
          <w:color w:val="000000" w:themeColor="text1"/>
        </w:rPr>
        <w:t xml:space="preserve">average household </w:t>
      </w:r>
      <w:r w:rsidR="00E8400C" w:rsidRPr="00CF0203">
        <w:rPr>
          <w:rFonts w:ascii="Times New Roman" w:hAnsi="Times New Roman"/>
          <w:iCs/>
          <w:color w:val="000000" w:themeColor="text1"/>
        </w:rPr>
        <w:t>income</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w:t>
      </w:r>
      <w:r w:rsidR="00C6621D">
        <w:rPr>
          <w:rFonts w:ascii="Times New Roman" w:hAnsi="Times New Roman"/>
          <w:iCs/>
          <w:color w:val="000000" w:themeColor="text1"/>
        </w:rPr>
        <w:t xml:space="preserve">annually </w:t>
      </w:r>
      <w:r w:rsidR="00E8400C" w:rsidRPr="00CF0203">
        <w:rPr>
          <w:rFonts w:ascii="Times New Roman" w:hAnsi="Times New Roman"/>
          <w:iCs/>
          <w:color w:val="000000" w:themeColor="text1"/>
        </w:rPr>
        <w:t>provide</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over $100,000,000 in electric </w:t>
      </w:r>
      <w:r w:rsidR="00E8400C" w:rsidRPr="00CF0203">
        <w:rPr>
          <w:rFonts w:ascii="Times New Roman" w:hAnsi="Times New Roman"/>
          <w:iCs/>
          <w:color w:val="000000" w:themeColor="text1"/>
        </w:rPr>
        <w:lastRenderedPageBreak/>
        <w:t>revenues.</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 PSE </w:t>
      </w:r>
      <w:r w:rsidR="00C6621D">
        <w:rPr>
          <w:rFonts w:ascii="Times New Roman" w:hAnsi="Times New Roman"/>
          <w:iCs/>
          <w:color w:val="000000" w:themeColor="text1"/>
        </w:rPr>
        <w:t xml:space="preserve">has </w:t>
      </w:r>
      <w:r w:rsidR="00E8400C" w:rsidRPr="00CF0203">
        <w:rPr>
          <w:rFonts w:ascii="Times New Roman" w:hAnsi="Times New Roman"/>
          <w:iCs/>
          <w:color w:val="000000" w:themeColor="text1"/>
        </w:rPr>
        <w:t>claim</w:t>
      </w:r>
      <w:r w:rsidR="00C6621D">
        <w:rPr>
          <w:rFonts w:ascii="Times New Roman" w:hAnsi="Times New Roman"/>
          <w:iCs/>
          <w:color w:val="000000" w:themeColor="text1"/>
        </w:rPr>
        <w:t>ed</w:t>
      </w:r>
      <w:r w:rsidR="00E8400C" w:rsidRPr="00CF0203">
        <w:rPr>
          <w:rFonts w:ascii="Times New Roman" w:hAnsi="Times New Roman"/>
          <w:iCs/>
          <w:color w:val="000000" w:themeColor="text1"/>
        </w:rPr>
        <w:t xml:space="preserve"> that there “was no more cost</w:t>
      </w:r>
      <w:r>
        <w:rPr>
          <w:rFonts w:ascii="Times New Roman" w:hAnsi="Times New Roman"/>
          <w:iCs/>
          <w:color w:val="000000" w:themeColor="text1"/>
        </w:rPr>
        <w:t>-</w:t>
      </w:r>
      <w:r w:rsidR="00E8400C" w:rsidRPr="00CF0203">
        <w:rPr>
          <w:rFonts w:ascii="Times New Roman" w:hAnsi="Times New Roman"/>
          <w:iCs/>
          <w:color w:val="000000" w:themeColor="text1"/>
        </w:rPr>
        <w:t xml:space="preserve">effective conservation potential” </w:t>
      </w:r>
      <w:r w:rsidR="00C6621D">
        <w:rPr>
          <w:rFonts w:ascii="Times New Roman" w:hAnsi="Times New Roman"/>
          <w:iCs/>
          <w:color w:val="000000" w:themeColor="text1"/>
        </w:rPr>
        <w:t xml:space="preserve">remaining, contrary to </w:t>
      </w:r>
      <w:r w:rsidR="00E8400C" w:rsidRPr="00CF0203">
        <w:rPr>
          <w:rFonts w:ascii="Times New Roman" w:hAnsi="Times New Roman"/>
          <w:iCs/>
          <w:color w:val="000000" w:themeColor="text1"/>
        </w:rPr>
        <w:t xml:space="preserve">the </w:t>
      </w:r>
      <w:r w:rsidR="00C6621D">
        <w:rPr>
          <w:rFonts w:ascii="Times New Roman" w:hAnsi="Times New Roman"/>
          <w:iCs/>
          <w:color w:val="000000" w:themeColor="text1"/>
        </w:rPr>
        <w:t>7</w:t>
      </w:r>
      <w:r w:rsidR="00C6621D" w:rsidRPr="001D40B7">
        <w:rPr>
          <w:rFonts w:ascii="Times New Roman" w:hAnsi="Times New Roman"/>
          <w:iCs/>
          <w:color w:val="000000" w:themeColor="text1"/>
          <w:vertAlign w:val="superscript"/>
        </w:rPr>
        <w:t>th</w:t>
      </w:r>
      <w:r w:rsidR="00C6621D">
        <w:rPr>
          <w:rFonts w:ascii="Times New Roman" w:hAnsi="Times New Roman"/>
          <w:iCs/>
          <w:color w:val="000000" w:themeColor="text1"/>
        </w:rPr>
        <w:t xml:space="preserve"> Power Plan’s </w:t>
      </w:r>
      <w:r w:rsidR="00E8400C" w:rsidRPr="00CF0203">
        <w:rPr>
          <w:rFonts w:ascii="Times New Roman" w:hAnsi="Times New Roman"/>
          <w:iCs/>
          <w:color w:val="000000" w:themeColor="text1"/>
        </w:rPr>
        <w:t xml:space="preserve">goals and </w:t>
      </w:r>
      <w:r w:rsidR="00C6621D">
        <w:rPr>
          <w:rFonts w:ascii="Times New Roman" w:hAnsi="Times New Roman"/>
          <w:iCs/>
          <w:color w:val="000000" w:themeColor="text1"/>
        </w:rPr>
        <w:t xml:space="preserve">to the findings of </w:t>
      </w:r>
      <w:r>
        <w:rPr>
          <w:rFonts w:ascii="Times New Roman" w:hAnsi="Times New Roman"/>
          <w:iCs/>
          <w:color w:val="000000" w:themeColor="text1"/>
        </w:rPr>
        <w:t xml:space="preserve">UCONS </w:t>
      </w:r>
      <w:r w:rsidR="00E8400C" w:rsidRPr="00CF0203">
        <w:rPr>
          <w:rFonts w:ascii="Times New Roman" w:hAnsi="Times New Roman"/>
          <w:iCs/>
          <w:color w:val="000000" w:themeColor="text1"/>
        </w:rPr>
        <w:t xml:space="preserve">audits of over 20,000 </w:t>
      </w:r>
      <w:r w:rsidR="00C6621D">
        <w:rPr>
          <w:rFonts w:ascii="Times New Roman" w:hAnsi="Times New Roman"/>
          <w:iCs/>
          <w:color w:val="000000" w:themeColor="text1"/>
        </w:rPr>
        <w:t xml:space="preserve">PSE </w:t>
      </w:r>
      <w:r w:rsidR="00E8400C" w:rsidRPr="00CF0203">
        <w:rPr>
          <w:rFonts w:ascii="Times New Roman" w:hAnsi="Times New Roman"/>
          <w:iCs/>
          <w:color w:val="000000" w:themeColor="text1"/>
        </w:rPr>
        <w:t>MH customers.</w:t>
      </w:r>
    </w:p>
    <w:p w14:paraId="014CCFA9" w14:textId="77777777" w:rsidR="00E8400C" w:rsidRPr="00CF0203" w:rsidRDefault="00E8400C" w:rsidP="00E8400C">
      <w:pPr>
        <w:pStyle w:val="ListParagraph"/>
        <w:rPr>
          <w:rFonts w:ascii="Times New Roman" w:hAnsi="Times New Roman"/>
          <w:b/>
          <w:i/>
          <w:color w:val="000000" w:themeColor="text1"/>
        </w:rPr>
      </w:pPr>
      <w:r w:rsidRPr="00CF0203">
        <w:rPr>
          <w:rFonts w:ascii="Times New Roman" w:hAnsi="Times New Roman"/>
          <w:iCs/>
          <w:color w:val="000000" w:themeColor="text1"/>
        </w:rPr>
        <w:t xml:space="preserve">  </w:t>
      </w:r>
    </w:p>
    <w:p w14:paraId="014CCFAA" w14:textId="77777777" w:rsidR="00E8400C" w:rsidRPr="00CF0203" w:rsidRDefault="00EC5B37" w:rsidP="00CF0203">
      <w:pPr>
        <w:pStyle w:val="ListParagraph"/>
        <w:ind w:left="0"/>
        <w:rPr>
          <w:rFonts w:ascii="Times New Roman" w:hAnsi="Times New Roman"/>
          <w:iCs/>
          <w:color w:val="000000" w:themeColor="text1"/>
        </w:rPr>
      </w:pPr>
      <w:r>
        <w:rPr>
          <w:rFonts w:ascii="Times New Roman" w:hAnsi="Times New Roman"/>
          <w:i/>
          <w:color w:val="000000" w:themeColor="text1"/>
        </w:rPr>
        <w:t>Low Income Weatherization (page 6)</w:t>
      </w:r>
      <w:r>
        <w:rPr>
          <w:rFonts w:ascii="Times New Roman" w:hAnsi="Times New Roman"/>
          <w:color w:val="000000" w:themeColor="text1"/>
        </w:rPr>
        <w:t>.  In</w:t>
      </w:r>
      <w:r>
        <w:rPr>
          <w:rFonts w:ascii="Times New Roman" w:hAnsi="Times New Roman"/>
          <w:i/>
          <w:color w:val="000000" w:themeColor="text1"/>
        </w:rPr>
        <w:t xml:space="preserve"> </w:t>
      </w:r>
      <w:r>
        <w:rPr>
          <w:rStyle w:val="apple-converted-space"/>
          <w:rFonts w:ascii="Times New Roman" w:hAnsi="Times New Roman"/>
          <w:iCs/>
          <w:color w:val="000000" w:themeColor="text1"/>
        </w:rPr>
        <w:t xml:space="preserve">its </w:t>
      </w:r>
      <w:r w:rsidR="00E8400C" w:rsidRPr="00CF0203">
        <w:rPr>
          <w:rStyle w:val="apple-converted-space"/>
          <w:rFonts w:ascii="Times New Roman" w:hAnsi="Times New Roman"/>
          <w:iCs/>
          <w:color w:val="000000" w:themeColor="text1"/>
        </w:rPr>
        <w:t xml:space="preserve">September </w:t>
      </w:r>
      <w:r>
        <w:rPr>
          <w:rStyle w:val="apple-converted-space"/>
          <w:rFonts w:ascii="Times New Roman" w:hAnsi="Times New Roman"/>
          <w:iCs/>
          <w:color w:val="000000" w:themeColor="text1"/>
        </w:rPr>
        <w:t xml:space="preserve">2017 </w:t>
      </w:r>
      <w:r w:rsidR="00E8400C" w:rsidRPr="00CF0203">
        <w:rPr>
          <w:rStyle w:val="apple-converted-space"/>
          <w:rFonts w:ascii="Times New Roman" w:hAnsi="Times New Roman"/>
          <w:iCs/>
          <w:color w:val="000000" w:themeColor="text1"/>
        </w:rPr>
        <w:t xml:space="preserve">presentation to the </w:t>
      </w:r>
      <w:r>
        <w:rPr>
          <w:rStyle w:val="apple-converted-space"/>
          <w:rFonts w:ascii="Times New Roman" w:hAnsi="Times New Roman"/>
          <w:iCs/>
          <w:color w:val="000000" w:themeColor="text1"/>
        </w:rPr>
        <w:t>Conservation Resource Advisory Committee (</w:t>
      </w:r>
      <w:r w:rsidR="00E8400C" w:rsidRPr="00CF0203">
        <w:rPr>
          <w:rStyle w:val="apple-converted-space"/>
          <w:rFonts w:ascii="Times New Roman" w:hAnsi="Times New Roman"/>
          <w:iCs/>
          <w:color w:val="000000" w:themeColor="text1"/>
        </w:rPr>
        <w:t>CRAC</w:t>
      </w:r>
      <w:r>
        <w:rPr>
          <w:rStyle w:val="apple-converted-space"/>
          <w:rFonts w:ascii="Times New Roman" w:hAnsi="Times New Roman"/>
          <w:iCs/>
          <w:color w:val="000000" w:themeColor="text1"/>
        </w:rPr>
        <w:t xml:space="preserve">), PSE indicated that it </w:t>
      </w:r>
      <w:r w:rsidR="00E8400C" w:rsidRPr="00CF0203">
        <w:rPr>
          <w:rStyle w:val="apple-converted-space"/>
          <w:rFonts w:ascii="Times New Roman" w:hAnsi="Times New Roman"/>
          <w:iCs/>
          <w:color w:val="000000" w:themeColor="text1"/>
        </w:rPr>
        <w:t>provides substantial funding for low</w:t>
      </w:r>
      <w:r w:rsidR="00C6621D">
        <w:rPr>
          <w:rStyle w:val="apple-converted-space"/>
          <w:rFonts w:ascii="Times New Roman" w:hAnsi="Times New Roman"/>
          <w:iCs/>
          <w:color w:val="000000" w:themeColor="text1"/>
        </w:rPr>
        <w:t>-</w:t>
      </w:r>
      <w:r w:rsidR="00E8400C" w:rsidRPr="00CF0203">
        <w:rPr>
          <w:rStyle w:val="apple-converted-space"/>
          <w:rFonts w:ascii="Times New Roman" w:hAnsi="Times New Roman"/>
          <w:iCs/>
          <w:color w:val="000000" w:themeColor="text1"/>
        </w:rPr>
        <w:t xml:space="preserve">income weatherization (LIW) </w:t>
      </w:r>
      <w:r w:rsidR="00C6621D">
        <w:rPr>
          <w:rStyle w:val="apple-converted-space"/>
          <w:rFonts w:ascii="Times New Roman" w:hAnsi="Times New Roman"/>
          <w:iCs/>
          <w:color w:val="000000" w:themeColor="text1"/>
        </w:rPr>
        <w:t xml:space="preserve">which produces </w:t>
      </w:r>
      <w:r w:rsidR="00E8400C" w:rsidRPr="00CF0203">
        <w:rPr>
          <w:rStyle w:val="apple-converted-space"/>
          <w:rFonts w:ascii="Times New Roman" w:hAnsi="Times New Roman"/>
          <w:iCs/>
          <w:color w:val="000000" w:themeColor="text1"/>
        </w:rPr>
        <w:t xml:space="preserve">very low levels of energy savings. </w:t>
      </w:r>
      <w:r w:rsidR="00C6621D">
        <w:rPr>
          <w:rStyle w:val="apple-converted-space"/>
          <w:rFonts w:ascii="Times New Roman" w:hAnsi="Times New Roman"/>
          <w:iCs/>
          <w:color w:val="000000" w:themeColor="text1"/>
        </w:rPr>
        <w:t xml:space="preserve"> </w:t>
      </w:r>
      <w:r w:rsidR="00E8400C" w:rsidRPr="00CF0203">
        <w:rPr>
          <w:rStyle w:val="apple-converted-space"/>
          <w:rFonts w:ascii="Times New Roman" w:hAnsi="Times New Roman"/>
          <w:iCs/>
          <w:color w:val="000000" w:themeColor="text1"/>
        </w:rPr>
        <w:t xml:space="preserve">The </w:t>
      </w:r>
      <w:r w:rsidR="00C6621D" w:rsidRPr="00CF0203">
        <w:rPr>
          <w:rStyle w:val="apple-converted-space"/>
          <w:rFonts w:ascii="Times New Roman" w:hAnsi="Times New Roman"/>
          <w:iCs/>
          <w:color w:val="000000" w:themeColor="text1"/>
        </w:rPr>
        <w:t>Dep</w:t>
      </w:r>
      <w:r w:rsidR="00C6621D">
        <w:rPr>
          <w:rStyle w:val="apple-converted-space"/>
          <w:rFonts w:ascii="Times New Roman" w:hAnsi="Times New Roman"/>
          <w:iCs/>
          <w:color w:val="000000" w:themeColor="text1"/>
        </w:rPr>
        <w:t>artment</w:t>
      </w:r>
      <w:r w:rsidR="00C6621D" w:rsidRPr="00CF0203">
        <w:rPr>
          <w:rStyle w:val="apple-converted-space"/>
          <w:rFonts w:ascii="Times New Roman" w:hAnsi="Times New Roman"/>
          <w:iCs/>
          <w:color w:val="000000" w:themeColor="text1"/>
        </w:rPr>
        <w:t xml:space="preserve"> of Commerce </w:t>
      </w:r>
      <w:r w:rsidR="00C6621D">
        <w:rPr>
          <w:rStyle w:val="apple-converted-space"/>
          <w:rFonts w:ascii="Times New Roman" w:hAnsi="Times New Roman"/>
          <w:iCs/>
          <w:color w:val="000000" w:themeColor="text1"/>
        </w:rPr>
        <w:t xml:space="preserve">and </w:t>
      </w:r>
      <w:r>
        <w:rPr>
          <w:rStyle w:val="apple-converted-space"/>
          <w:rFonts w:ascii="Times New Roman" w:hAnsi="Times New Roman"/>
          <w:iCs/>
          <w:color w:val="000000" w:themeColor="text1"/>
        </w:rPr>
        <w:t xml:space="preserve">various </w:t>
      </w:r>
      <w:r w:rsidR="00C6621D">
        <w:rPr>
          <w:rStyle w:val="apple-converted-space"/>
          <w:rFonts w:ascii="Times New Roman" w:hAnsi="Times New Roman"/>
          <w:iCs/>
          <w:color w:val="000000" w:themeColor="text1"/>
        </w:rPr>
        <w:t xml:space="preserve">agencies serving </w:t>
      </w:r>
      <w:r w:rsidR="00E8400C" w:rsidRPr="00CF0203">
        <w:rPr>
          <w:rStyle w:val="apple-converted-space"/>
          <w:rFonts w:ascii="Times New Roman" w:hAnsi="Times New Roman"/>
          <w:iCs/>
          <w:color w:val="000000" w:themeColor="text1"/>
        </w:rPr>
        <w:t>low</w:t>
      </w:r>
      <w:r>
        <w:rPr>
          <w:rStyle w:val="apple-converted-space"/>
          <w:rFonts w:ascii="Times New Roman" w:hAnsi="Times New Roman"/>
          <w:iCs/>
          <w:color w:val="000000" w:themeColor="text1"/>
        </w:rPr>
        <w:t>-</w:t>
      </w:r>
      <w:r w:rsidR="00E8400C" w:rsidRPr="00CF0203">
        <w:rPr>
          <w:rStyle w:val="apple-converted-space"/>
          <w:rFonts w:ascii="Times New Roman" w:hAnsi="Times New Roman"/>
          <w:iCs/>
          <w:color w:val="000000" w:themeColor="text1"/>
        </w:rPr>
        <w:t xml:space="preserve">income </w:t>
      </w:r>
      <w:r w:rsidR="00C6621D">
        <w:rPr>
          <w:rStyle w:val="apple-converted-space"/>
          <w:rFonts w:ascii="Times New Roman" w:hAnsi="Times New Roman"/>
          <w:iCs/>
          <w:color w:val="000000" w:themeColor="text1"/>
        </w:rPr>
        <w:t xml:space="preserve">ratepayers also </w:t>
      </w:r>
      <w:r w:rsidR="00E8400C" w:rsidRPr="00CF0203">
        <w:rPr>
          <w:rStyle w:val="apple-converted-space"/>
          <w:rFonts w:ascii="Times New Roman" w:hAnsi="Times New Roman"/>
          <w:iCs/>
          <w:color w:val="000000" w:themeColor="text1"/>
        </w:rPr>
        <w:t xml:space="preserve">confirm that very few homes benefitted from these high </w:t>
      </w:r>
      <w:r w:rsidR="00C6621D">
        <w:rPr>
          <w:rStyle w:val="apple-converted-space"/>
          <w:rFonts w:ascii="Times New Roman" w:hAnsi="Times New Roman"/>
          <w:iCs/>
          <w:color w:val="000000" w:themeColor="text1"/>
        </w:rPr>
        <w:t xml:space="preserve">LIW </w:t>
      </w:r>
      <w:r w:rsidR="00E8400C" w:rsidRPr="00CF0203">
        <w:rPr>
          <w:rStyle w:val="apple-converted-space"/>
          <w:rFonts w:ascii="Times New Roman" w:hAnsi="Times New Roman"/>
          <w:iCs/>
          <w:color w:val="000000" w:themeColor="text1"/>
        </w:rPr>
        <w:t>expenditures</w:t>
      </w:r>
      <w:r>
        <w:rPr>
          <w:rStyle w:val="apple-converted-space"/>
          <w:rFonts w:ascii="Times New Roman" w:hAnsi="Times New Roman"/>
          <w:iCs/>
          <w:color w:val="000000" w:themeColor="text1"/>
        </w:rPr>
        <w:t>, as they included funding for</w:t>
      </w:r>
      <w:r w:rsidR="00E8400C" w:rsidRPr="00CF0203">
        <w:rPr>
          <w:rStyle w:val="apple-converted-space"/>
          <w:rFonts w:ascii="Times New Roman" w:hAnsi="Times New Roman"/>
          <w:iCs/>
          <w:color w:val="000000" w:themeColor="text1"/>
        </w:rPr>
        <w:t xml:space="preserve"> many </w:t>
      </w:r>
      <w:r w:rsidR="00C6621D">
        <w:rPr>
          <w:rStyle w:val="apple-converted-space"/>
          <w:rFonts w:ascii="Times New Roman" w:hAnsi="Times New Roman"/>
          <w:iCs/>
          <w:color w:val="000000" w:themeColor="text1"/>
        </w:rPr>
        <w:t xml:space="preserve">MH </w:t>
      </w:r>
      <w:r w:rsidR="00E8400C" w:rsidRPr="00CF0203">
        <w:rPr>
          <w:rStyle w:val="apple-converted-space"/>
          <w:rFonts w:ascii="Times New Roman" w:hAnsi="Times New Roman"/>
          <w:iCs/>
          <w:color w:val="000000" w:themeColor="text1"/>
        </w:rPr>
        <w:t xml:space="preserve">repairs unrelated to </w:t>
      </w:r>
      <w:r>
        <w:rPr>
          <w:rStyle w:val="apple-converted-space"/>
          <w:rFonts w:ascii="Times New Roman" w:hAnsi="Times New Roman"/>
          <w:iCs/>
          <w:color w:val="000000" w:themeColor="text1"/>
        </w:rPr>
        <w:t>energy conservation</w:t>
      </w:r>
      <w:r w:rsidR="00E8400C" w:rsidRPr="00CF0203">
        <w:rPr>
          <w:rFonts w:ascii="Times New Roman" w:hAnsi="Times New Roman"/>
          <w:iCs/>
          <w:color w:val="000000" w:themeColor="text1"/>
        </w:rPr>
        <w:t xml:space="preserve">.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UCONS applauds PSE</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efforts to support </w:t>
      </w:r>
      <w:r w:rsidR="00C6621D">
        <w:rPr>
          <w:rFonts w:ascii="Times New Roman" w:hAnsi="Times New Roman"/>
          <w:iCs/>
          <w:color w:val="000000" w:themeColor="text1"/>
        </w:rPr>
        <w:t xml:space="preserve">LIW </w:t>
      </w:r>
      <w:r w:rsidR="00E8400C" w:rsidRPr="00CF0203">
        <w:rPr>
          <w:rFonts w:ascii="Times New Roman" w:hAnsi="Times New Roman"/>
          <w:iCs/>
          <w:color w:val="000000" w:themeColor="text1"/>
        </w:rPr>
        <w:t xml:space="preserve">and supports an increase in such funding.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But such funding does not address the goals of </w:t>
      </w:r>
      <w:r>
        <w:rPr>
          <w:rFonts w:ascii="Times New Roman" w:hAnsi="Times New Roman"/>
          <w:iCs/>
          <w:color w:val="000000" w:themeColor="text1"/>
        </w:rPr>
        <w:t>pursuing</w:t>
      </w:r>
      <w:r w:rsidR="00E8400C" w:rsidRPr="00CF0203">
        <w:rPr>
          <w:rFonts w:ascii="Times New Roman" w:hAnsi="Times New Roman"/>
          <w:iCs/>
          <w:color w:val="000000" w:themeColor="text1"/>
        </w:rPr>
        <w:t xml:space="preserve"> </w:t>
      </w:r>
      <w:r>
        <w:rPr>
          <w:rFonts w:ascii="Times New Roman" w:hAnsi="Times New Roman"/>
          <w:iCs/>
          <w:color w:val="000000" w:themeColor="text1"/>
        </w:rPr>
        <w:t>“</w:t>
      </w:r>
      <w:r w:rsidR="00E8400C" w:rsidRPr="00CF0203">
        <w:rPr>
          <w:rFonts w:ascii="Times New Roman" w:hAnsi="Times New Roman"/>
          <w:iCs/>
          <w:color w:val="000000" w:themeColor="text1"/>
        </w:rPr>
        <w:t>all cost</w:t>
      </w:r>
      <w:r>
        <w:rPr>
          <w:rFonts w:ascii="Times New Roman" w:hAnsi="Times New Roman"/>
          <w:iCs/>
          <w:color w:val="000000" w:themeColor="text1"/>
        </w:rPr>
        <w:t>-</w:t>
      </w:r>
      <w:r w:rsidR="00E8400C" w:rsidRPr="00CF0203">
        <w:rPr>
          <w:rFonts w:ascii="Times New Roman" w:hAnsi="Times New Roman"/>
          <w:iCs/>
          <w:color w:val="000000" w:themeColor="text1"/>
        </w:rPr>
        <w:t xml:space="preserve">effective conservation.”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Moreover, LIW programs preclude service </w:t>
      </w:r>
      <w:r w:rsidR="00E82365">
        <w:rPr>
          <w:rFonts w:ascii="Times New Roman" w:hAnsi="Times New Roman"/>
          <w:iCs/>
          <w:color w:val="000000" w:themeColor="text1"/>
        </w:rPr>
        <w:t xml:space="preserve">to </w:t>
      </w:r>
      <w:r w:rsidR="00E8400C" w:rsidRPr="00CF0203">
        <w:rPr>
          <w:rFonts w:ascii="Times New Roman" w:hAnsi="Times New Roman"/>
          <w:iCs/>
          <w:color w:val="000000" w:themeColor="text1"/>
        </w:rPr>
        <w:t xml:space="preserve">the very large portion of PSE </w:t>
      </w:r>
      <w:r w:rsidR="00C6621D">
        <w:rPr>
          <w:rFonts w:ascii="Times New Roman" w:hAnsi="Times New Roman"/>
          <w:iCs/>
          <w:color w:val="000000" w:themeColor="text1"/>
        </w:rPr>
        <w:t xml:space="preserve">MH </w:t>
      </w:r>
      <w:r w:rsidR="00E8400C" w:rsidRPr="00CF0203">
        <w:rPr>
          <w:rFonts w:ascii="Times New Roman" w:hAnsi="Times New Roman"/>
          <w:iCs/>
          <w:color w:val="000000" w:themeColor="text1"/>
        </w:rPr>
        <w:t>customer</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who do not qualify</w:t>
      </w:r>
      <w:r w:rsidR="00C6621D">
        <w:rPr>
          <w:rFonts w:ascii="Times New Roman" w:hAnsi="Times New Roman"/>
          <w:iCs/>
          <w:color w:val="000000" w:themeColor="text1"/>
        </w:rPr>
        <w:t xml:space="preserve"> for it</w:t>
      </w:r>
      <w:r w:rsidR="00E8400C" w:rsidRPr="001D40B7">
        <w:rPr>
          <w:rFonts w:ascii="Times New Roman" w:hAnsi="Times New Roman"/>
          <w:iCs/>
          <w:color w:val="000000" w:themeColor="text1"/>
        </w:rPr>
        <w:t xml:space="preserve">. </w:t>
      </w:r>
      <w:r w:rsidR="00C6621D" w:rsidRPr="001D40B7">
        <w:rPr>
          <w:rFonts w:ascii="Times New Roman" w:hAnsi="Times New Roman"/>
          <w:iCs/>
          <w:color w:val="000000" w:themeColor="text1"/>
        </w:rPr>
        <w:t xml:space="preserve"> </w:t>
      </w:r>
      <w:r w:rsidR="00E8400C" w:rsidRPr="00B32523">
        <w:rPr>
          <w:rFonts w:ascii="Times New Roman" w:hAnsi="Times New Roman"/>
          <w:iCs/>
          <w:color w:val="000000" w:themeColor="text1"/>
        </w:rPr>
        <w:t xml:space="preserve">We ask the UTC to </w:t>
      </w:r>
      <w:r w:rsidR="001D40B7">
        <w:rPr>
          <w:rFonts w:ascii="Times New Roman" w:hAnsi="Times New Roman"/>
          <w:iCs/>
          <w:color w:val="000000" w:themeColor="text1"/>
        </w:rPr>
        <w:t xml:space="preserve">not merge </w:t>
      </w:r>
      <w:r w:rsidR="00987084">
        <w:rPr>
          <w:rFonts w:ascii="Times New Roman" w:hAnsi="Times New Roman"/>
          <w:iCs/>
          <w:color w:val="000000" w:themeColor="text1"/>
        </w:rPr>
        <w:t xml:space="preserve">budgets for </w:t>
      </w:r>
      <w:r w:rsidR="00E8400C" w:rsidRPr="00B32523">
        <w:rPr>
          <w:rFonts w:ascii="Times New Roman" w:hAnsi="Times New Roman"/>
          <w:iCs/>
          <w:color w:val="000000" w:themeColor="text1"/>
        </w:rPr>
        <w:t>BCP programs and budgets for low</w:t>
      </w:r>
      <w:r w:rsidR="00E82365" w:rsidRPr="00B32523">
        <w:rPr>
          <w:rFonts w:ascii="Times New Roman" w:hAnsi="Times New Roman"/>
          <w:iCs/>
          <w:color w:val="000000" w:themeColor="text1"/>
        </w:rPr>
        <w:t>-</w:t>
      </w:r>
      <w:r w:rsidR="00E8400C" w:rsidRPr="00B32523">
        <w:rPr>
          <w:rFonts w:ascii="Times New Roman" w:hAnsi="Times New Roman"/>
          <w:iCs/>
          <w:color w:val="000000" w:themeColor="text1"/>
        </w:rPr>
        <w:t>income</w:t>
      </w:r>
      <w:r w:rsidR="00C6621D" w:rsidRPr="00B32523">
        <w:rPr>
          <w:rFonts w:ascii="Times New Roman" w:hAnsi="Times New Roman"/>
          <w:iCs/>
          <w:color w:val="000000" w:themeColor="text1"/>
        </w:rPr>
        <w:t xml:space="preserve"> customers</w:t>
      </w:r>
      <w:r w:rsidR="00987084">
        <w:rPr>
          <w:rFonts w:ascii="Times New Roman" w:hAnsi="Times New Roman"/>
          <w:iCs/>
          <w:color w:val="000000" w:themeColor="text1"/>
        </w:rPr>
        <w:t xml:space="preserve">.  Energy savings from low-income programs should be counted toward I-937 goals, but low-income programs should not displace funds for acquiring “all cost-effective conservation.”  Both programs suffer when comingled.  The September </w:t>
      </w:r>
      <w:r w:rsidR="00EA21BD">
        <w:rPr>
          <w:rFonts w:ascii="Times New Roman" w:hAnsi="Times New Roman"/>
          <w:iCs/>
          <w:color w:val="000000" w:themeColor="text1"/>
        </w:rPr>
        <w:t xml:space="preserve">2014 </w:t>
      </w:r>
      <w:r w:rsidR="00987084">
        <w:rPr>
          <w:rFonts w:ascii="Times New Roman" w:hAnsi="Times New Roman"/>
          <w:iCs/>
          <w:color w:val="000000" w:themeColor="text1"/>
        </w:rPr>
        <w:t>PSE presentation to the CRAC demonstrates that low-income funding does not provide the most cost-effective results and that PSE has curtailed significantly its funding for hard-to-reach customers who do not qualify for low-income programs.  PSE’s selected “SF Rental Pilot” is a further example of the problem</w:t>
      </w:r>
      <w:r w:rsidR="00EA21BD">
        <w:rPr>
          <w:rFonts w:ascii="Times New Roman" w:hAnsi="Times New Roman"/>
          <w:iCs/>
          <w:color w:val="000000" w:themeColor="text1"/>
        </w:rPr>
        <w:t>s</w:t>
      </w:r>
      <w:r w:rsidR="00987084">
        <w:rPr>
          <w:rFonts w:ascii="Times New Roman" w:hAnsi="Times New Roman"/>
          <w:iCs/>
          <w:color w:val="000000" w:themeColor="text1"/>
        </w:rPr>
        <w:t xml:space="preserve"> that arise when not separating low-income program budgets from the more general I-937 budgets.  A</w:t>
      </w:r>
      <w:r w:rsidR="00E8400C" w:rsidRPr="00B32523">
        <w:rPr>
          <w:rFonts w:ascii="Times New Roman" w:hAnsi="Times New Roman"/>
          <w:iCs/>
          <w:color w:val="000000" w:themeColor="text1"/>
        </w:rPr>
        <w:t xml:space="preserve">s a matter of law, </w:t>
      </w:r>
      <w:r w:rsidR="00987084">
        <w:rPr>
          <w:rFonts w:ascii="Times New Roman" w:hAnsi="Times New Roman"/>
          <w:iCs/>
          <w:color w:val="000000" w:themeColor="text1"/>
        </w:rPr>
        <w:t>low-income programs do not r</w:t>
      </w:r>
      <w:r w:rsidR="00E8400C" w:rsidRPr="00B32523">
        <w:rPr>
          <w:rFonts w:ascii="Times New Roman" w:hAnsi="Times New Roman"/>
          <w:iCs/>
          <w:color w:val="000000" w:themeColor="text1"/>
        </w:rPr>
        <w:t>eplace or supersede other energy efficiency obligations of the utility</w:t>
      </w:r>
      <w:r w:rsidR="00B32523">
        <w:rPr>
          <w:rFonts w:ascii="Times New Roman" w:hAnsi="Times New Roman"/>
          <w:iCs/>
          <w:color w:val="000000" w:themeColor="text1"/>
        </w:rPr>
        <w:t>.</w:t>
      </w:r>
    </w:p>
    <w:p w14:paraId="014CCFAB" w14:textId="77777777" w:rsidR="00E8400C" w:rsidRPr="00CF0203" w:rsidRDefault="00E8400C" w:rsidP="00E8400C">
      <w:pPr>
        <w:pStyle w:val="ListParagraph"/>
        <w:rPr>
          <w:rFonts w:ascii="Times New Roman" w:hAnsi="Times New Roman"/>
          <w:color w:val="000000" w:themeColor="text1"/>
        </w:rPr>
      </w:pPr>
    </w:p>
    <w:p w14:paraId="014CCFAC" w14:textId="77777777" w:rsidR="00E8400C" w:rsidRPr="00CF0203" w:rsidRDefault="00693184" w:rsidP="00CF0203">
      <w:pPr>
        <w:pStyle w:val="ListParagraph"/>
        <w:ind w:left="0"/>
        <w:rPr>
          <w:rFonts w:ascii="Times New Roman" w:hAnsi="Times New Roman"/>
          <w:iCs/>
          <w:color w:val="000000" w:themeColor="text1"/>
        </w:rPr>
      </w:pPr>
      <w:r>
        <w:rPr>
          <w:rFonts w:ascii="Times New Roman" w:hAnsi="Times New Roman"/>
          <w:i/>
          <w:color w:val="000000" w:themeColor="text1"/>
        </w:rPr>
        <w:t>Electric TRC (page 7)</w:t>
      </w:r>
      <w:r>
        <w:rPr>
          <w:rFonts w:ascii="Times New Roman" w:hAnsi="Times New Roman"/>
          <w:color w:val="000000" w:themeColor="text1"/>
        </w:rPr>
        <w:t xml:space="preserve">:  </w:t>
      </w:r>
      <w:r w:rsidR="00E8400C" w:rsidRPr="00CF0203">
        <w:rPr>
          <w:rFonts w:ascii="Times New Roman" w:hAnsi="Times New Roman"/>
          <w:iCs/>
          <w:color w:val="000000" w:themeColor="text1"/>
        </w:rPr>
        <w:t xml:space="preserve">PSE reported </w:t>
      </w:r>
      <w:r>
        <w:rPr>
          <w:rFonts w:ascii="Times New Roman" w:hAnsi="Times New Roman"/>
          <w:iCs/>
          <w:color w:val="000000" w:themeColor="text1"/>
        </w:rPr>
        <w:t xml:space="preserve">a Total Resource Cost (TRC) </w:t>
      </w:r>
      <w:r w:rsidR="00EC410E">
        <w:rPr>
          <w:rFonts w:ascii="Times New Roman" w:hAnsi="Times New Roman"/>
          <w:iCs/>
          <w:color w:val="000000" w:themeColor="text1"/>
        </w:rPr>
        <w:t xml:space="preserve">benefit-to-cost ratio </w:t>
      </w:r>
      <w:r>
        <w:rPr>
          <w:rFonts w:ascii="Times New Roman" w:hAnsi="Times New Roman"/>
          <w:iCs/>
          <w:color w:val="000000" w:themeColor="text1"/>
        </w:rPr>
        <w:t xml:space="preserve">of </w:t>
      </w:r>
      <w:r w:rsidR="00E8400C" w:rsidRPr="00EC410E">
        <w:rPr>
          <w:rFonts w:ascii="Times New Roman" w:hAnsi="Times New Roman"/>
          <w:iCs/>
          <w:color w:val="000000" w:themeColor="text1"/>
        </w:rPr>
        <w:t>1.</w:t>
      </w:r>
      <w:r w:rsidR="00987084">
        <w:rPr>
          <w:rFonts w:ascii="Times New Roman" w:hAnsi="Times New Roman"/>
          <w:iCs/>
          <w:color w:val="000000" w:themeColor="text1"/>
        </w:rPr>
        <w:t>40</w:t>
      </w:r>
      <w:r>
        <w:rPr>
          <w:rFonts w:ascii="Times New Roman" w:hAnsi="Times New Roman"/>
          <w:iCs/>
          <w:color w:val="000000" w:themeColor="text1"/>
        </w:rPr>
        <w:t xml:space="preserve">.  This is </w:t>
      </w:r>
      <w:r w:rsidR="00987084">
        <w:rPr>
          <w:rFonts w:ascii="Times New Roman" w:hAnsi="Times New Roman"/>
          <w:iCs/>
          <w:color w:val="000000" w:themeColor="text1"/>
        </w:rPr>
        <w:t>significantly</w:t>
      </w:r>
      <w:r w:rsidR="00E8400C" w:rsidRPr="00CF0203">
        <w:rPr>
          <w:rFonts w:ascii="Times New Roman" w:hAnsi="Times New Roman"/>
          <w:iCs/>
          <w:color w:val="000000" w:themeColor="text1"/>
        </w:rPr>
        <w:t xml:space="preserve"> below </w:t>
      </w:r>
      <w:r w:rsidR="00EC410E">
        <w:rPr>
          <w:rFonts w:ascii="Times New Roman" w:hAnsi="Times New Roman"/>
          <w:iCs/>
          <w:color w:val="000000" w:themeColor="text1"/>
        </w:rPr>
        <w:t xml:space="preserve">the </w:t>
      </w:r>
      <w:r w:rsidR="00E8400C" w:rsidRPr="00CF0203">
        <w:rPr>
          <w:rFonts w:ascii="Times New Roman" w:hAnsi="Times New Roman"/>
          <w:iCs/>
          <w:color w:val="000000" w:themeColor="text1"/>
        </w:rPr>
        <w:t xml:space="preserve">TRC </w:t>
      </w:r>
      <w:r w:rsidR="00EC410E">
        <w:rPr>
          <w:rFonts w:ascii="Times New Roman" w:hAnsi="Times New Roman"/>
          <w:iCs/>
          <w:color w:val="000000" w:themeColor="text1"/>
        </w:rPr>
        <w:t xml:space="preserve">benefit-to-cost ratio </w:t>
      </w:r>
      <w:r w:rsidR="00E8400C" w:rsidRPr="00CF0203">
        <w:rPr>
          <w:rFonts w:ascii="Times New Roman" w:hAnsi="Times New Roman"/>
          <w:iCs/>
          <w:color w:val="000000" w:themeColor="text1"/>
        </w:rPr>
        <w:t xml:space="preserve">from </w:t>
      </w:r>
      <w:r w:rsidR="00987084">
        <w:rPr>
          <w:rFonts w:ascii="Times New Roman" w:hAnsi="Times New Roman"/>
          <w:iCs/>
          <w:color w:val="000000" w:themeColor="text1"/>
        </w:rPr>
        <w:t xml:space="preserve">the </w:t>
      </w:r>
      <w:r w:rsidR="00EC410E">
        <w:rPr>
          <w:rFonts w:ascii="Times New Roman" w:hAnsi="Times New Roman"/>
          <w:iCs/>
          <w:color w:val="000000" w:themeColor="text1"/>
        </w:rPr>
        <w:t xml:space="preserve">UCONS innovative </w:t>
      </w:r>
      <w:r>
        <w:rPr>
          <w:rFonts w:ascii="Times New Roman" w:hAnsi="Times New Roman"/>
          <w:iCs/>
          <w:color w:val="000000" w:themeColor="text1"/>
        </w:rPr>
        <w:t>proposal to PSE</w:t>
      </w:r>
      <w:r w:rsidR="00987084">
        <w:rPr>
          <w:rFonts w:ascii="Times New Roman" w:hAnsi="Times New Roman"/>
          <w:iCs/>
          <w:color w:val="000000" w:themeColor="text1"/>
        </w:rPr>
        <w:t xml:space="preserve"> which would have provided the utility a new program with a TRC of 2.2</w:t>
      </w:r>
      <w:r w:rsidR="00EC410E">
        <w:rPr>
          <w:rFonts w:ascii="Times New Roman" w:hAnsi="Times New Roman"/>
          <w:iCs/>
          <w:color w:val="000000" w:themeColor="text1"/>
        </w:rPr>
        <w:t>.</w:t>
      </w:r>
      <w:r>
        <w:rPr>
          <w:rFonts w:ascii="Times New Roman" w:hAnsi="Times New Roman"/>
          <w:iCs/>
          <w:color w:val="000000" w:themeColor="text1"/>
        </w:rPr>
        <w:t xml:space="preserve">  This is </w:t>
      </w:r>
      <w:r w:rsidR="00EC410E">
        <w:rPr>
          <w:rFonts w:ascii="Times New Roman" w:hAnsi="Times New Roman"/>
          <w:iCs/>
          <w:color w:val="000000" w:themeColor="text1"/>
        </w:rPr>
        <w:t xml:space="preserve">more </w:t>
      </w:r>
      <w:r>
        <w:rPr>
          <w:rFonts w:ascii="Times New Roman" w:hAnsi="Times New Roman"/>
          <w:iCs/>
          <w:color w:val="000000" w:themeColor="text1"/>
        </w:rPr>
        <w:t xml:space="preserve">evidence of a missed opportunity to pursue and </w:t>
      </w:r>
      <w:r w:rsidR="00EC410E">
        <w:rPr>
          <w:rFonts w:ascii="Times New Roman" w:hAnsi="Times New Roman"/>
          <w:iCs/>
          <w:color w:val="000000" w:themeColor="text1"/>
        </w:rPr>
        <w:t xml:space="preserve">acquire </w:t>
      </w:r>
      <w:r>
        <w:rPr>
          <w:rFonts w:ascii="Times New Roman" w:hAnsi="Times New Roman"/>
          <w:iCs/>
          <w:color w:val="000000" w:themeColor="text1"/>
        </w:rPr>
        <w:t xml:space="preserve">cost-effective conservation for the benefit of the utility and the customers. </w:t>
      </w:r>
    </w:p>
    <w:p w14:paraId="014CCFAD" w14:textId="77777777" w:rsidR="00E8400C" w:rsidRPr="00CF0203" w:rsidRDefault="00E8400C" w:rsidP="00E8400C">
      <w:pPr>
        <w:pStyle w:val="ListParagraph"/>
        <w:ind w:left="1080" w:hanging="360"/>
        <w:rPr>
          <w:rFonts w:ascii="Times New Roman" w:hAnsi="Times New Roman"/>
          <w:iCs/>
          <w:color w:val="000000" w:themeColor="text1"/>
        </w:rPr>
      </w:pPr>
    </w:p>
    <w:p w14:paraId="014CCFAE" w14:textId="77777777" w:rsidR="00E8400C" w:rsidRPr="00CF0203" w:rsidRDefault="00693184" w:rsidP="00CF0203">
      <w:pPr>
        <w:pStyle w:val="ListParagraph"/>
        <w:ind w:left="0"/>
        <w:rPr>
          <w:rFonts w:ascii="Times New Roman" w:hAnsi="Times New Roman"/>
          <w:color w:val="000000" w:themeColor="text1"/>
        </w:rPr>
      </w:pPr>
      <w:r>
        <w:rPr>
          <w:rFonts w:ascii="Times New Roman" w:hAnsi="Times New Roman"/>
          <w:i/>
          <w:color w:val="000000" w:themeColor="text1"/>
        </w:rPr>
        <w:t>Single Family Rental Pilot (page 7)</w:t>
      </w:r>
      <w:r w:rsidR="00D209E5">
        <w:rPr>
          <w:rFonts w:ascii="Times New Roman" w:hAnsi="Times New Roman"/>
          <w:color w:val="000000" w:themeColor="text1"/>
        </w:rPr>
        <w:t>.  PSE states it</w:t>
      </w:r>
      <w:r>
        <w:rPr>
          <w:rFonts w:ascii="Times New Roman" w:hAnsi="Times New Roman"/>
          <w:color w:val="000000" w:themeColor="text1"/>
        </w:rPr>
        <w:t xml:space="preserve"> </w:t>
      </w:r>
      <w:r w:rsidR="00A26FB2">
        <w:rPr>
          <w:rFonts w:ascii="Times New Roman" w:hAnsi="Times New Roman"/>
          <w:color w:val="000000" w:themeColor="text1"/>
        </w:rPr>
        <w:t xml:space="preserve">plans </w:t>
      </w:r>
      <w:r w:rsidR="00A26FB2" w:rsidRPr="00CF0203">
        <w:rPr>
          <w:rFonts w:ascii="Times New Roman" w:hAnsi="Times New Roman"/>
          <w:iCs/>
          <w:color w:val="000000" w:themeColor="text1"/>
        </w:rPr>
        <w:t>“</w:t>
      </w:r>
      <w:r w:rsidR="00E8400C" w:rsidRPr="00CF0203">
        <w:rPr>
          <w:rFonts w:ascii="Times New Roman" w:hAnsi="Times New Roman"/>
          <w:iCs/>
          <w:color w:val="000000" w:themeColor="text1"/>
        </w:rPr>
        <w:t>to pursue a single family rental pilot to promote savings in that hard</w:t>
      </w:r>
      <w:r>
        <w:rPr>
          <w:rFonts w:ascii="Times New Roman" w:hAnsi="Times New Roman"/>
          <w:iCs/>
          <w:color w:val="000000" w:themeColor="text1"/>
        </w:rPr>
        <w:t>-</w:t>
      </w:r>
      <w:r w:rsidR="00E8400C" w:rsidRPr="00CF0203">
        <w:rPr>
          <w:rFonts w:ascii="Times New Roman" w:hAnsi="Times New Roman"/>
          <w:iCs/>
          <w:color w:val="000000" w:themeColor="text1"/>
        </w:rPr>
        <w:t>to</w:t>
      </w:r>
      <w:r>
        <w:rPr>
          <w:rFonts w:ascii="Times New Roman" w:hAnsi="Times New Roman"/>
          <w:iCs/>
          <w:color w:val="000000" w:themeColor="text1"/>
        </w:rPr>
        <w:t>-</w:t>
      </w:r>
      <w:r w:rsidR="00E8400C" w:rsidRPr="00CF0203">
        <w:rPr>
          <w:rFonts w:ascii="Times New Roman" w:hAnsi="Times New Roman"/>
          <w:iCs/>
          <w:color w:val="000000" w:themeColor="text1"/>
        </w:rPr>
        <w:t>reach customer segment</w:t>
      </w:r>
      <w:r w:rsidR="00EC410E">
        <w:rPr>
          <w:rFonts w:ascii="Times New Roman" w:hAnsi="Times New Roman"/>
          <w:iCs/>
          <w:color w:val="000000" w:themeColor="text1"/>
        </w:rPr>
        <w:t>.</w:t>
      </w:r>
      <w:r w:rsidR="00E8400C" w:rsidRPr="00CF0203">
        <w:rPr>
          <w:rFonts w:ascii="Times New Roman" w:hAnsi="Times New Roman"/>
          <w:iCs/>
          <w:color w:val="000000" w:themeColor="text1"/>
        </w:rPr>
        <w:t>”</w:t>
      </w:r>
      <w:r w:rsidR="00EC410E">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 UCONS applauds all programs</w:t>
      </w:r>
      <w:r>
        <w:rPr>
          <w:rFonts w:ascii="Times New Roman" w:hAnsi="Times New Roman"/>
          <w:iCs/>
          <w:color w:val="000000" w:themeColor="text1"/>
        </w:rPr>
        <w:t xml:space="preserve"> that </w:t>
      </w:r>
      <w:r w:rsidR="00E8400C" w:rsidRPr="00CF0203">
        <w:rPr>
          <w:rFonts w:ascii="Times New Roman" w:hAnsi="Times New Roman"/>
          <w:iCs/>
          <w:color w:val="000000" w:themeColor="text1"/>
        </w:rPr>
        <w:t xml:space="preserve">promote savings in the </w:t>
      </w:r>
      <w:r w:rsidR="00EC410E">
        <w:rPr>
          <w:rFonts w:ascii="Times New Roman" w:hAnsi="Times New Roman"/>
          <w:iCs/>
          <w:color w:val="000000" w:themeColor="text1"/>
        </w:rPr>
        <w:t xml:space="preserve">HTR </w:t>
      </w:r>
      <w:r w:rsidR="00E8400C" w:rsidRPr="00CF0203">
        <w:rPr>
          <w:rFonts w:ascii="Times New Roman" w:hAnsi="Times New Roman"/>
          <w:iCs/>
          <w:color w:val="000000" w:themeColor="text1"/>
        </w:rPr>
        <w:t xml:space="preserve">customer segment but notes </w:t>
      </w:r>
      <w:r w:rsidR="00772607">
        <w:rPr>
          <w:rFonts w:ascii="Times New Roman" w:hAnsi="Times New Roman"/>
          <w:iCs/>
          <w:color w:val="000000" w:themeColor="text1"/>
        </w:rPr>
        <w:t>the</w:t>
      </w:r>
      <w:r w:rsidR="00E8400C" w:rsidRPr="00CF0203">
        <w:rPr>
          <w:rFonts w:ascii="Times New Roman" w:hAnsi="Times New Roman"/>
          <w:iCs/>
          <w:color w:val="000000" w:themeColor="text1"/>
        </w:rPr>
        <w:t xml:space="preserve"> following concerns with the pilot:</w:t>
      </w:r>
    </w:p>
    <w:p w14:paraId="014CCFAF" w14:textId="77777777" w:rsidR="00E8400C" w:rsidRPr="00CF0203" w:rsidRDefault="00E8400C" w:rsidP="00E8400C">
      <w:pPr>
        <w:pStyle w:val="ListParagraph"/>
        <w:rPr>
          <w:rFonts w:ascii="Times New Roman" w:hAnsi="Times New Roman"/>
          <w:color w:val="000000" w:themeColor="text1"/>
        </w:rPr>
      </w:pPr>
      <w:r w:rsidRPr="00CF0203">
        <w:rPr>
          <w:rFonts w:ascii="Times New Roman" w:hAnsi="Times New Roman"/>
          <w:iCs/>
          <w:color w:val="000000" w:themeColor="text1"/>
        </w:rPr>
        <w:t> </w:t>
      </w:r>
    </w:p>
    <w:p w14:paraId="014CCFB0" w14:textId="77777777" w:rsidR="00E8400C" w:rsidRDefault="00E8400C" w:rsidP="00E8400C">
      <w:pPr>
        <w:pStyle w:val="ListParagraph"/>
        <w:numPr>
          <w:ilvl w:val="0"/>
          <w:numId w:val="19"/>
        </w:numPr>
        <w:rPr>
          <w:rFonts w:ascii="Times New Roman" w:hAnsi="Times New Roman"/>
          <w:iCs/>
          <w:color w:val="000000" w:themeColor="text1"/>
        </w:rPr>
      </w:pPr>
      <w:r w:rsidRPr="00CF0203">
        <w:rPr>
          <w:rFonts w:ascii="Times New Roman" w:hAnsi="Times New Roman"/>
          <w:iCs/>
          <w:color w:val="000000" w:themeColor="text1"/>
        </w:rPr>
        <w:t xml:space="preserve">Single family </w:t>
      </w:r>
      <w:r w:rsidR="00B32523">
        <w:rPr>
          <w:rFonts w:ascii="Times New Roman" w:hAnsi="Times New Roman"/>
          <w:iCs/>
          <w:color w:val="000000" w:themeColor="text1"/>
        </w:rPr>
        <w:t xml:space="preserve">(SF) </w:t>
      </w:r>
      <w:r w:rsidRPr="00CF0203">
        <w:rPr>
          <w:rFonts w:ascii="Times New Roman" w:hAnsi="Times New Roman"/>
          <w:iCs/>
          <w:color w:val="000000" w:themeColor="text1"/>
        </w:rPr>
        <w:t>rental has not been identified as a hard</w:t>
      </w:r>
      <w:r w:rsidR="00693184">
        <w:rPr>
          <w:rFonts w:ascii="Times New Roman" w:hAnsi="Times New Roman"/>
          <w:iCs/>
          <w:color w:val="000000" w:themeColor="text1"/>
        </w:rPr>
        <w:t>-</w:t>
      </w:r>
      <w:r w:rsidRPr="00CF0203">
        <w:rPr>
          <w:rFonts w:ascii="Times New Roman" w:hAnsi="Times New Roman"/>
          <w:iCs/>
          <w:color w:val="000000" w:themeColor="text1"/>
        </w:rPr>
        <w:t>to</w:t>
      </w:r>
      <w:r w:rsidR="00693184">
        <w:rPr>
          <w:rFonts w:ascii="Times New Roman" w:hAnsi="Times New Roman"/>
          <w:iCs/>
          <w:color w:val="000000" w:themeColor="text1"/>
        </w:rPr>
        <w:t>-</w:t>
      </w:r>
      <w:r w:rsidRPr="00CF0203">
        <w:rPr>
          <w:rFonts w:ascii="Times New Roman" w:hAnsi="Times New Roman"/>
          <w:iCs/>
          <w:color w:val="000000" w:themeColor="text1"/>
        </w:rPr>
        <w:t xml:space="preserve">reach customer class in the </w:t>
      </w:r>
      <w:r w:rsidR="00693184">
        <w:rPr>
          <w:rFonts w:ascii="Times New Roman" w:hAnsi="Times New Roman"/>
          <w:iCs/>
          <w:color w:val="000000" w:themeColor="text1"/>
        </w:rPr>
        <w:t>7</w:t>
      </w:r>
      <w:r w:rsidR="00693184" w:rsidRPr="00CF0203">
        <w:rPr>
          <w:rFonts w:ascii="Times New Roman" w:hAnsi="Times New Roman"/>
          <w:iCs/>
          <w:color w:val="000000" w:themeColor="text1"/>
          <w:vertAlign w:val="superscript"/>
        </w:rPr>
        <w:t>th</w:t>
      </w:r>
      <w:r w:rsidR="00693184">
        <w:rPr>
          <w:rFonts w:ascii="Times New Roman" w:hAnsi="Times New Roman"/>
          <w:iCs/>
          <w:color w:val="000000" w:themeColor="text1"/>
        </w:rPr>
        <w:t xml:space="preserve"> Power </w:t>
      </w:r>
      <w:r w:rsidRPr="00CF0203">
        <w:rPr>
          <w:rFonts w:ascii="Times New Roman" w:hAnsi="Times New Roman"/>
          <w:iCs/>
          <w:color w:val="000000" w:themeColor="text1"/>
        </w:rPr>
        <w:t xml:space="preserve">Plan (and </w:t>
      </w:r>
      <w:r w:rsidR="00EC410E">
        <w:rPr>
          <w:rFonts w:ascii="Times New Roman" w:hAnsi="Times New Roman"/>
          <w:iCs/>
          <w:color w:val="000000" w:themeColor="text1"/>
        </w:rPr>
        <w:t xml:space="preserve">in fact </w:t>
      </w:r>
      <w:r w:rsidRPr="00CF0203">
        <w:rPr>
          <w:rFonts w:ascii="Times New Roman" w:hAnsi="Times New Roman"/>
          <w:iCs/>
          <w:color w:val="000000" w:themeColor="text1"/>
        </w:rPr>
        <w:t>may not be</w:t>
      </w:r>
      <w:r w:rsidR="00EC410E">
        <w:rPr>
          <w:rFonts w:ascii="Times New Roman" w:hAnsi="Times New Roman"/>
          <w:iCs/>
          <w:color w:val="000000" w:themeColor="text1"/>
        </w:rPr>
        <w:t xml:space="preserve"> HTR</w:t>
      </w:r>
      <w:r w:rsidRPr="00CF0203">
        <w:rPr>
          <w:rFonts w:ascii="Times New Roman" w:hAnsi="Times New Roman"/>
          <w:iCs/>
          <w:color w:val="000000" w:themeColor="text1"/>
        </w:rPr>
        <w:t>).</w:t>
      </w:r>
      <w:r w:rsidR="00EC410E">
        <w:rPr>
          <w:rFonts w:ascii="Times New Roman" w:hAnsi="Times New Roman"/>
          <w:iCs/>
          <w:color w:val="000000" w:themeColor="text1"/>
        </w:rPr>
        <w:t xml:space="preserve"> </w:t>
      </w:r>
      <w:r w:rsidRPr="00CF0203">
        <w:rPr>
          <w:rFonts w:ascii="Times New Roman" w:hAnsi="Times New Roman"/>
          <w:iCs/>
          <w:color w:val="000000" w:themeColor="text1"/>
        </w:rPr>
        <w:t xml:space="preserve"> More importantly, PSE has </w:t>
      </w:r>
      <w:r w:rsidR="00EC410E">
        <w:rPr>
          <w:rFonts w:ascii="Times New Roman" w:hAnsi="Times New Roman"/>
          <w:iCs/>
          <w:color w:val="000000" w:themeColor="text1"/>
        </w:rPr>
        <w:t xml:space="preserve">lumped together </w:t>
      </w:r>
      <w:r w:rsidR="00693184">
        <w:rPr>
          <w:rFonts w:ascii="Times New Roman" w:hAnsi="Times New Roman"/>
          <w:iCs/>
          <w:color w:val="000000" w:themeColor="text1"/>
        </w:rPr>
        <w:t xml:space="preserve">two </w:t>
      </w:r>
      <w:r w:rsidR="00D209E5">
        <w:rPr>
          <w:rFonts w:ascii="Times New Roman" w:hAnsi="Times New Roman"/>
          <w:iCs/>
          <w:color w:val="000000" w:themeColor="text1"/>
        </w:rPr>
        <w:t>sectors—SF</w:t>
      </w:r>
      <w:r w:rsidR="00EC410E">
        <w:rPr>
          <w:rFonts w:ascii="Times New Roman" w:hAnsi="Times New Roman"/>
          <w:iCs/>
          <w:color w:val="000000" w:themeColor="text1"/>
        </w:rPr>
        <w:t xml:space="preserve"> houses and MH</w:t>
      </w:r>
      <w:r w:rsidR="00D209E5">
        <w:rPr>
          <w:rFonts w:ascii="Times New Roman" w:hAnsi="Times New Roman"/>
          <w:iCs/>
          <w:color w:val="000000" w:themeColor="text1"/>
        </w:rPr>
        <w:t>—w</w:t>
      </w:r>
      <w:r w:rsidRPr="00CF0203">
        <w:rPr>
          <w:rFonts w:ascii="Times New Roman" w:hAnsi="Times New Roman"/>
          <w:iCs/>
          <w:color w:val="000000" w:themeColor="text1"/>
        </w:rPr>
        <w:t xml:space="preserve">hich it has acknowledged are very different </w:t>
      </w:r>
      <w:r w:rsidR="00EC410E">
        <w:rPr>
          <w:rFonts w:ascii="Times New Roman" w:hAnsi="Times New Roman"/>
          <w:iCs/>
          <w:color w:val="000000" w:themeColor="text1"/>
        </w:rPr>
        <w:t xml:space="preserve">from one another </w:t>
      </w:r>
      <w:r w:rsidRPr="00CF0203">
        <w:rPr>
          <w:rFonts w:ascii="Times New Roman" w:hAnsi="Times New Roman"/>
          <w:iCs/>
          <w:color w:val="000000" w:themeColor="text1"/>
        </w:rPr>
        <w:t>and require very different solutions.</w:t>
      </w:r>
    </w:p>
    <w:p w14:paraId="014CCFB1" w14:textId="77777777" w:rsidR="00F03EAE" w:rsidRPr="00CF0203" w:rsidRDefault="00F03EAE" w:rsidP="00E8400C">
      <w:pPr>
        <w:pStyle w:val="ListParagraph"/>
        <w:numPr>
          <w:ilvl w:val="0"/>
          <w:numId w:val="19"/>
        </w:numPr>
        <w:rPr>
          <w:rFonts w:ascii="Times New Roman" w:hAnsi="Times New Roman"/>
          <w:iCs/>
          <w:color w:val="000000" w:themeColor="text1"/>
        </w:rPr>
      </w:pPr>
      <w:r>
        <w:rPr>
          <w:rFonts w:ascii="Times New Roman" w:hAnsi="Times New Roman"/>
          <w:iCs/>
          <w:color w:val="000000" w:themeColor="text1"/>
        </w:rPr>
        <w:t>The 2018</w:t>
      </w:r>
      <w:r w:rsidR="00EC410E">
        <w:rPr>
          <w:rFonts w:ascii="Times New Roman" w:hAnsi="Times New Roman"/>
          <w:iCs/>
          <w:color w:val="000000" w:themeColor="text1"/>
        </w:rPr>
        <w:t xml:space="preserve"> </w:t>
      </w:r>
      <w:r w:rsidR="00B32523">
        <w:rPr>
          <w:rFonts w:ascii="Times New Roman" w:hAnsi="Times New Roman"/>
          <w:iCs/>
          <w:color w:val="000000" w:themeColor="text1"/>
        </w:rPr>
        <w:t>SF</w:t>
      </w:r>
      <w:r>
        <w:rPr>
          <w:rFonts w:ascii="Times New Roman" w:hAnsi="Times New Roman"/>
          <w:iCs/>
          <w:color w:val="000000" w:themeColor="text1"/>
        </w:rPr>
        <w:t xml:space="preserve"> rental pilot </w:t>
      </w:r>
      <w:r w:rsidR="005A49F9">
        <w:rPr>
          <w:rFonts w:ascii="Times New Roman" w:hAnsi="Times New Roman"/>
          <w:iCs/>
          <w:color w:val="000000" w:themeColor="text1"/>
        </w:rPr>
        <w:t xml:space="preserve">would eliminate </w:t>
      </w:r>
      <w:r w:rsidR="00EC410E">
        <w:rPr>
          <w:rFonts w:ascii="Times New Roman" w:hAnsi="Times New Roman"/>
          <w:iCs/>
          <w:color w:val="000000" w:themeColor="text1"/>
        </w:rPr>
        <w:t xml:space="preserve">from </w:t>
      </w:r>
      <w:r w:rsidR="005A49F9">
        <w:rPr>
          <w:rFonts w:ascii="Times New Roman" w:hAnsi="Times New Roman"/>
          <w:iCs/>
          <w:color w:val="000000" w:themeColor="text1"/>
        </w:rPr>
        <w:t>consideration</w:t>
      </w:r>
      <w:r>
        <w:rPr>
          <w:rFonts w:ascii="Times New Roman" w:hAnsi="Times New Roman"/>
          <w:iCs/>
          <w:color w:val="000000" w:themeColor="text1"/>
        </w:rPr>
        <w:t xml:space="preserve"> the 80 </w:t>
      </w:r>
      <w:r w:rsidR="00570639">
        <w:rPr>
          <w:rFonts w:ascii="Times New Roman" w:hAnsi="Times New Roman"/>
          <w:iCs/>
          <w:color w:val="000000" w:themeColor="text1"/>
        </w:rPr>
        <w:t xml:space="preserve">percent </w:t>
      </w:r>
      <w:r w:rsidR="0063651C">
        <w:rPr>
          <w:rFonts w:ascii="Times New Roman" w:hAnsi="Times New Roman"/>
          <w:iCs/>
          <w:color w:val="000000" w:themeColor="text1"/>
        </w:rPr>
        <w:t>or more</w:t>
      </w:r>
      <w:r>
        <w:rPr>
          <w:rFonts w:ascii="Times New Roman" w:hAnsi="Times New Roman"/>
          <w:iCs/>
          <w:color w:val="000000" w:themeColor="text1"/>
        </w:rPr>
        <w:t xml:space="preserve"> of </w:t>
      </w:r>
      <w:r w:rsidR="00EC410E">
        <w:rPr>
          <w:rFonts w:ascii="Times New Roman" w:hAnsi="Times New Roman"/>
          <w:iCs/>
          <w:color w:val="000000" w:themeColor="text1"/>
        </w:rPr>
        <w:t xml:space="preserve">HTR MH </w:t>
      </w:r>
      <w:r>
        <w:rPr>
          <w:rFonts w:ascii="Times New Roman" w:hAnsi="Times New Roman"/>
          <w:iCs/>
          <w:color w:val="000000" w:themeColor="text1"/>
        </w:rPr>
        <w:t>customers</w:t>
      </w:r>
      <w:r w:rsidR="005A49F9">
        <w:rPr>
          <w:rFonts w:ascii="Times New Roman" w:hAnsi="Times New Roman"/>
          <w:iCs/>
          <w:color w:val="000000" w:themeColor="text1"/>
        </w:rPr>
        <w:t xml:space="preserve"> </w:t>
      </w:r>
      <w:r>
        <w:rPr>
          <w:rFonts w:ascii="Times New Roman" w:hAnsi="Times New Roman"/>
          <w:iCs/>
          <w:color w:val="000000" w:themeColor="text1"/>
        </w:rPr>
        <w:t xml:space="preserve">who </w:t>
      </w:r>
      <w:r w:rsidR="00EC410E">
        <w:rPr>
          <w:rFonts w:ascii="Times New Roman" w:hAnsi="Times New Roman"/>
          <w:iCs/>
          <w:color w:val="000000" w:themeColor="text1"/>
        </w:rPr>
        <w:t xml:space="preserve">own rather than </w:t>
      </w:r>
      <w:r>
        <w:rPr>
          <w:rFonts w:ascii="Times New Roman" w:hAnsi="Times New Roman"/>
          <w:iCs/>
          <w:color w:val="000000" w:themeColor="text1"/>
        </w:rPr>
        <w:t xml:space="preserve">rent their manufactured homes. </w:t>
      </w:r>
      <w:r w:rsidR="00EC410E">
        <w:rPr>
          <w:rFonts w:ascii="Times New Roman" w:hAnsi="Times New Roman"/>
          <w:iCs/>
          <w:color w:val="000000" w:themeColor="text1"/>
        </w:rPr>
        <w:t xml:space="preserve"> </w:t>
      </w:r>
      <w:r>
        <w:rPr>
          <w:rFonts w:ascii="Times New Roman" w:hAnsi="Times New Roman"/>
          <w:iCs/>
          <w:color w:val="000000" w:themeColor="text1"/>
        </w:rPr>
        <w:t xml:space="preserve">PSE’s </w:t>
      </w:r>
      <w:r w:rsidR="00EC410E">
        <w:rPr>
          <w:rFonts w:ascii="Times New Roman" w:hAnsi="Times New Roman"/>
          <w:iCs/>
          <w:color w:val="000000" w:themeColor="text1"/>
        </w:rPr>
        <w:t xml:space="preserve">investments in </w:t>
      </w:r>
      <w:r>
        <w:rPr>
          <w:rFonts w:ascii="Times New Roman" w:hAnsi="Times New Roman"/>
          <w:iCs/>
          <w:color w:val="000000" w:themeColor="text1"/>
        </w:rPr>
        <w:t>programs for</w:t>
      </w:r>
      <w:r w:rsidR="00EC410E">
        <w:rPr>
          <w:rFonts w:ascii="Times New Roman" w:hAnsi="Times New Roman"/>
          <w:iCs/>
          <w:color w:val="000000" w:themeColor="text1"/>
        </w:rPr>
        <w:t xml:space="preserve"> MH</w:t>
      </w:r>
      <w:r>
        <w:rPr>
          <w:rFonts w:ascii="Times New Roman" w:hAnsi="Times New Roman"/>
          <w:iCs/>
          <w:color w:val="000000" w:themeColor="text1"/>
        </w:rPr>
        <w:t xml:space="preserve"> owners have </w:t>
      </w:r>
      <w:r w:rsidR="00EC410E">
        <w:rPr>
          <w:rFonts w:ascii="Times New Roman" w:hAnsi="Times New Roman"/>
          <w:iCs/>
          <w:color w:val="000000" w:themeColor="text1"/>
        </w:rPr>
        <w:t xml:space="preserve">declined </w:t>
      </w:r>
      <w:r>
        <w:rPr>
          <w:rFonts w:ascii="Times New Roman" w:hAnsi="Times New Roman"/>
          <w:iCs/>
          <w:color w:val="000000" w:themeColor="text1"/>
        </w:rPr>
        <w:t xml:space="preserve">precipitously </w:t>
      </w:r>
      <w:r w:rsidR="00EC410E">
        <w:rPr>
          <w:rFonts w:ascii="Times New Roman" w:hAnsi="Times New Roman"/>
          <w:iCs/>
          <w:color w:val="000000" w:themeColor="text1"/>
        </w:rPr>
        <w:t xml:space="preserve">over </w:t>
      </w:r>
      <w:r>
        <w:rPr>
          <w:rFonts w:ascii="Times New Roman" w:hAnsi="Times New Roman"/>
          <w:iCs/>
          <w:color w:val="000000" w:themeColor="text1"/>
        </w:rPr>
        <w:t>the past two years</w:t>
      </w:r>
      <w:r w:rsidR="00EC410E">
        <w:rPr>
          <w:rFonts w:ascii="Times New Roman" w:hAnsi="Times New Roman"/>
          <w:iCs/>
          <w:color w:val="000000" w:themeColor="text1"/>
        </w:rPr>
        <w:t>, even</w:t>
      </w:r>
      <w:r>
        <w:rPr>
          <w:rFonts w:ascii="Times New Roman" w:hAnsi="Times New Roman"/>
          <w:iCs/>
          <w:color w:val="000000" w:themeColor="text1"/>
        </w:rPr>
        <w:t xml:space="preserve"> while customer data demonstrates </w:t>
      </w:r>
      <w:r>
        <w:rPr>
          <w:rFonts w:ascii="Times New Roman" w:hAnsi="Times New Roman"/>
          <w:iCs/>
          <w:color w:val="000000" w:themeColor="text1"/>
        </w:rPr>
        <w:lastRenderedPageBreak/>
        <w:t xml:space="preserve">that a very high level of cost effective conservation </w:t>
      </w:r>
      <w:r w:rsidR="00EC410E">
        <w:rPr>
          <w:rFonts w:ascii="Times New Roman" w:hAnsi="Times New Roman"/>
          <w:iCs/>
          <w:color w:val="000000" w:themeColor="text1"/>
        </w:rPr>
        <w:t xml:space="preserve">potential </w:t>
      </w:r>
      <w:r>
        <w:rPr>
          <w:rFonts w:ascii="Times New Roman" w:hAnsi="Times New Roman"/>
          <w:iCs/>
          <w:color w:val="000000" w:themeColor="text1"/>
        </w:rPr>
        <w:t xml:space="preserve">remains. </w:t>
      </w:r>
      <w:r w:rsidR="00EC410E">
        <w:rPr>
          <w:rFonts w:ascii="Times New Roman" w:hAnsi="Times New Roman"/>
          <w:iCs/>
          <w:color w:val="000000" w:themeColor="text1"/>
        </w:rPr>
        <w:t xml:space="preserve"> Under the BCP, </w:t>
      </w:r>
      <w:r w:rsidR="00A26FB2">
        <w:rPr>
          <w:rFonts w:ascii="Times New Roman" w:hAnsi="Times New Roman"/>
          <w:iCs/>
          <w:color w:val="000000" w:themeColor="text1"/>
        </w:rPr>
        <w:t xml:space="preserve">the vast majority of </w:t>
      </w:r>
      <w:r w:rsidR="00EC410E">
        <w:rPr>
          <w:rFonts w:ascii="Times New Roman" w:hAnsi="Times New Roman"/>
          <w:iCs/>
          <w:color w:val="000000" w:themeColor="text1"/>
        </w:rPr>
        <w:t xml:space="preserve">HTR MH </w:t>
      </w:r>
      <w:r w:rsidR="00A26FB2">
        <w:rPr>
          <w:rFonts w:ascii="Times New Roman" w:hAnsi="Times New Roman"/>
          <w:iCs/>
          <w:color w:val="000000" w:themeColor="text1"/>
        </w:rPr>
        <w:t xml:space="preserve">owners </w:t>
      </w:r>
      <w:r w:rsidR="00EC410E">
        <w:rPr>
          <w:rFonts w:ascii="Times New Roman" w:hAnsi="Times New Roman"/>
          <w:iCs/>
          <w:color w:val="000000" w:themeColor="text1"/>
        </w:rPr>
        <w:t xml:space="preserve">would </w:t>
      </w:r>
      <w:r w:rsidR="00A26FB2">
        <w:rPr>
          <w:rFonts w:ascii="Times New Roman" w:hAnsi="Times New Roman"/>
          <w:iCs/>
          <w:color w:val="000000" w:themeColor="text1"/>
        </w:rPr>
        <w:t>continue to be denied an equitable level of conservation service</w:t>
      </w:r>
      <w:r w:rsidR="00EC410E">
        <w:rPr>
          <w:rFonts w:ascii="Times New Roman" w:hAnsi="Times New Roman"/>
          <w:iCs/>
          <w:color w:val="000000" w:themeColor="text1"/>
        </w:rPr>
        <w:t>s</w:t>
      </w:r>
      <w:r w:rsidR="00A26FB2">
        <w:rPr>
          <w:rFonts w:ascii="Times New Roman" w:hAnsi="Times New Roman"/>
          <w:iCs/>
          <w:color w:val="000000" w:themeColor="text1"/>
        </w:rPr>
        <w:t>.</w:t>
      </w:r>
    </w:p>
    <w:p w14:paraId="014CCFB2" w14:textId="77777777" w:rsidR="00E8400C" w:rsidRPr="00CF0203" w:rsidRDefault="00E8400C" w:rsidP="00E8400C">
      <w:pPr>
        <w:pStyle w:val="ListParagraph"/>
        <w:numPr>
          <w:ilvl w:val="0"/>
          <w:numId w:val="19"/>
        </w:numPr>
        <w:rPr>
          <w:rFonts w:ascii="Times New Roman" w:hAnsi="Times New Roman"/>
          <w:color w:val="000000" w:themeColor="text1"/>
        </w:rPr>
      </w:pPr>
      <w:r w:rsidRPr="00CF0203">
        <w:rPr>
          <w:rFonts w:ascii="Times New Roman" w:hAnsi="Times New Roman"/>
          <w:iCs/>
          <w:color w:val="000000" w:themeColor="text1"/>
        </w:rPr>
        <w:t>PSE</w:t>
      </w:r>
      <w:r w:rsidR="005A49F9">
        <w:rPr>
          <w:rFonts w:ascii="Times New Roman" w:hAnsi="Times New Roman"/>
          <w:iCs/>
          <w:color w:val="000000" w:themeColor="text1"/>
        </w:rPr>
        <w:t>’s</w:t>
      </w:r>
      <w:r w:rsidRPr="00CF0203">
        <w:rPr>
          <w:rFonts w:ascii="Times New Roman" w:hAnsi="Times New Roman"/>
          <w:iCs/>
          <w:color w:val="000000" w:themeColor="text1"/>
        </w:rPr>
        <w:t xml:space="preserve"> </w:t>
      </w:r>
      <w:r w:rsidR="00282FE9">
        <w:rPr>
          <w:rFonts w:ascii="Times New Roman" w:hAnsi="Times New Roman"/>
          <w:iCs/>
          <w:color w:val="000000" w:themeColor="text1"/>
        </w:rPr>
        <w:t xml:space="preserve">BCP </w:t>
      </w:r>
      <w:r w:rsidR="00F03EAE">
        <w:rPr>
          <w:rFonts w:ascii="Times New Roman" w:hAnsi="Times New Roman"/>
          <w:iCs/>
          <w:color w:val="000000" w:themeColor="text1"/>
        </w:rPr>
        <w:t xml:space="preserve">does not </w:t>
      </w:r>
      <w:r w:rsidR="00D0416F">
        <w:rPr>
          <w:rFonts w:ascii="Times New Roman" w:hAnsi="Times New Roman"/>
          <w:iCs/>
          <w:color w:val="000000" w:themeColor="text1"/>
        </w:rPr>
        <w:t xml:space="preserve">reflect that </w:t>
      </w:r>
      <w:r w:rsidR="00987084">
        <w:rPr>
          <w:rFonts w:ascii="Times New Roman" w:hAnsi="Times New Roman"/>
          <w:iCs/>
          <w:color w:val="000000" w:themeColor="text1"/>
        </w:rPr>
        <w:t xml:space="preserve">the SF Rental Pilot was </w:t>
      </w:r>
      <w:r w:rsidRPr="00CF0203">
        <w:rPr>
          <w:rFonts w:ascii="Times New Roman" w:hAnsi="Times New Roman"/>
          <w:iCs/>
          <w:color w:val="000000" w:themeColor="text1"/>
        </w:rPr>
        <w:t xml:space="preserve">offered </w:t>
      </w:r>
      <w:r w:rsidR="00987084">
        <w:rPr>
          <w:rFonts w:ascii="Times New Roman" w:hAnsi="Times New Roman"/>
          <w:iCs/>
          <w:color w:val="000000" w:themeColor="text1"/>
        </w:rPr>
        <w:t xml:space="preserve">by PSE for many years to its customers in manufactured homes. </w:t>
      </w:r>
      <w:r w:rsidR="00B32523">
        <w:rPr>
          <w:rFonts w:ascii="Times New Roman" w:hAnsi="Times New Roman"/>
          <w:iCs/>
          <w:color w:val="000000" w:themeColor="text1"/>
        </w:rPr>
        <w:t xml:space="preserve"> </w:t>
      </w:r>
      <w:r w:rsidR="00F03EAE">
        <w:rPr>
          <w:rFonts w:ascii="Times New Roman" w:hAnsi="Times New Roman"/>
          <w:iCs/>
          <w:color w:val="000000" w:themeColor="text1"/>
        </w:rPr>
        <w:t xml:space="preserve">Data </w:t>
      </w:r>
      <w:r w:rsidR="00282FE9">
        <w:rPr>
          <w:rFonts w:ascii="Times New Roman" w:hAnsi="Times New Roman"/>
          <w:iCs/>
          <w:color w:val="000000" w:themeColor="text1"/>
        </w:rPr>
        <w:t>from its prior rental programs demonstrate</w:t>
      </w:r>
      <w:r w:rsidR="00F03EAE">
        <w:rPr>
          <w:rFonts w:ascii="Times New Roman" w:hAnsi="Times New Roman"/>
          <w:iCs/>
          <w:color w:val="000000" w:themeColor="text1"/>
        </w:rPr>
        <w:t xml:space="preserve"> that PSE </w:t>
      </w:r>
      <w:r w:rsidR="00EC410E">
        <w:rPr>
          <w:rFonts w:ascii="Times New Roman" w:hAnsi="Times New Roman"/>
          <w:iCs/>
          <w:color w:val="000000" w:themeColor="text1"/>
        </w:rPr>
        <w:t xml:space="preserve">MH </w:t>
      </w:r>
      <w:r w:rsidR="00F03EAE">
        <w:rPr>
          <w:rFonts w:ascii="Times New Roman" w:hAnsi="Times New Roman"/>
          <w:iCs/>
          <w:color w:val="000000" w:themeColor="text1"/>
        </w:rPr>
        <w:t xml:space="preserve">owners who </w:t>
      </w:r>
      <w:r w:rsidR="00EC410E">
        <w:rPr>
          <w:rFonts w:ascii="Times New Roman" w:hAnsi="Times New Roman"/>
          <w:iCs/>
          <w:color w:val="000000" w:themeColor="text1"/>
        </w:rPr>
        <w:t>rent</w:t>
      </w:r>
      <w:r w:rsidR="00F77A7F">
        <w:rPr>
          <w:rFonts w:ascii="Times New Roman" w:hAnsi="Times New Roman"/>
          <w:iCs/>
          <w:color w:val="000000" w:themeColor="text1"/>
        </w:rPr>
        <w:t xml:space="preserve"> out</w:t>
      </w:r>
      <w:r w:rsidR="00EC410E">
        <w:rPr>
          <w:rFonts w:ascii="Times New Roman" w:hAnsi="Times New Roman"/>
          <w:iCs/>
          <w:color w:val="000000" w:themeColor="text1"/>
        </w:rPr>
        <w:t xml:space="preserve"> </w:t>
      </w:r>
      <w:r w:rsidR="00F03EAE">
        <w:rPr>
          <w:rFonts w:ascii="Times New Roman" w:hAnsi="Times New Roman"/>
          <w:iCs/>
          <w:color w:val="000000" w:themeColor="text1"/>
        </w:rPr>
        <w:t>their manufactured homes will</w:t>
      </w:r>
      <w:r w:rsidR="00570639">
        <w:rPr>
          <w:rFonts w:ascii="Times New Roman" w:hAnsi="Times New Roman"/>
          <w:iCs/>
          <w:color w:val="000000" w:themeColor="text1"/>
        </w:rPr>
        <w:t xml:space="preserve"> typically</w:t>
      </w:r>
      <w:r w:rsidR="00F03EAE">
        <w:rPr>
          <w:rFonts w:ascii="Times New Roman" w:hAnsi="Times New Roman"/>
          <w:iCs/>
          <w:color w:val="000000" w:themeColor="text1"/>
        </w:rPr>
        <w:t xml:space="preserve"> </w:t>
      </w:r>
      <w:r w:rsidR="00F03EAE" w:rsidRPr="001D40B7">
        <w:rPr>
          <w:rFonts w:ascii="Times New Roman" w:hAnsi="Times New Roman"/>
          <w:iCs/>
          <w:color w:val="000000" w:themeColor="text1"/>
          <w:u w:val="single"/>
        </w:rPr>
        <w:t>not participate</w:t>
      </w:r>
      <w:r w:rsidR="00EC410E">
        <w:rPr>
          <w:rFonts w:ascii="Times New Roman" w:hAnsi="Times New Roman"/>
          <w:iCs/>
          <w:color w:val="000000" w:themeColor="text1"/>
          <w:u w:val="single"/>
        </w:rPr>
        <w:t>,</w:t>
      </w:r>
      <w:r w:rsidR="00F03EAE">
        <w:rPr>
          <w:rFonts w:ascii="Times New Roman" w:hAnsi="Times New Roman"/>
          <w:iCs/>
          <w:color w:val="000000" w:themeColor="text1"/>
        </w:rPr>
        <w:t xml:space="preserve"> even in a fully</w:t>
      </w:r>
      <w:r w:rsidR="00EC410E">
        <w:rPr>
          <w:rFonts w:ascii="Times New Roman" w:hAnsi="Times New Roman"/>
          <w:iCs/>
          <w:color w:val="000000" w:themeColor="text1"/>
        </w:rPr>
        <w:t>-</w:t>
      </w:r>
      <w:r w:rsidR="00F03EAE">
        <w:rPr>
          <w:rFonts w:ascii="Times New Roman" w:hAnsi="Times New Roman"/>
          <w:iCs/>
          <w:color w:val="000000" w:themeColor="text1"/>
        </w:rPr>
        <w:t>funded direct install program</w:t>
      </w:r>
      <w:r w:rsidR="00EC410E">
        <w:rPr>
          <w:rFonts w:ascii="Times New Roman" w:hAnsi="Times New Roman"/>
          <w:iCs/>
          <w:color w:val="000000" w:themeColor="text1"/>
        </w:rPr>
        <w:t>.</w:t>
      </w:r>
      <w:r w:rsidR="00CF0203">
        <w:rPr>
          <w:rFonts w:ascii="Times New Roman" w:hAnsi="Times New Roman"/>
          <w:iCs/>
          <w:color w:val="000000" w:themeColor="text1"/>
        </w:rPr>
        <w:t xml:space="preserve"> </w:t>
      </w:r>
      <w:r w:rsidRPr="00CF0203">
        <w:rPr>
          <w:rFonts w:ascii="Times New Roman" w:hAnsi="Times New Roman"/>
          <w:iCs/>
          <w:color w:val="000000" w:themeColor="text1"/>
        </w:rPr>
        <w:t xml:space="preserve"> Because of </w:t>
      </w:r>
      <w:r w:rsidR="00EC410E">
        <w:rPr>
          <w:rFonts w:ascii="Times New Roman" w:hAnsi="Times New Roman"/>
          <w:iCs/>
          <w:color w:val="000000" w:themeColor="text1"/>
        </w:rPr>
        <w:t xml:space="preserve">its </w:t>
      </w:r>
      <w:r w:rsidRPr="00CF0203">
        <w:rPr>
          <w:rFonts w:ascii="Times New Roman" w:hAnsi="Times New Roman"/>
          <w:iCs/>
          <w:color w:val="000000" w:themeColor="text1"/>
        </w:rPr>
        <w:t xml:space="preserve">prior experience with </w:t>
      </w:r>
      <w:r w:rsidR="00EC410E">
        <w:rPr>
          <w:rFonts w:ascii="Times New Roman" w:hAnsi="Times New Roman"/>
          <w:iCs/>
          <w:color w:val="000000" w:themeColor="text1"/>
        </w:rPr>
        <w:t xml:space="preserve">MH owners </w:t>
      </w:r>
      <w:r w:rsidRPr="00CF0203">
        <w:rPr>
          <w:rFonts w:ascii="Times New Roman" w:hAnsi="Times New Roman"/>
          <w:iCs/>
          <w:color w:val="000000" w:themeColor="text1"/>
        </w:rPr>
        <w:t>who rent</w:t>
      </w:r>
      <w:r w:rsidR="00EC410E">
        <w:rPr>
          <w:rFonts w:ascii="Times New Roman" w:hAnsi="Times New Roman"/>
          <w:iCs/>
          <w:color w:val="000000" w:themeColor="text1"/>
        </w:rPr>
        <w:t xml:space="preserve"> out</w:t>
      </w:r>
      <w:r w:rsidRPr="00CF0203">
        <w:rPr>
          <w:rFonts w:ascii="Times New Roman" w:hAnsi="Times New Roman"/>
          <w:iCs/>
          <w:color w:val="000000" w:themeColor="text1"/>
        </w:rPr>
        <w:t xml:space="preserve"> their manufactured homes, UCONS has </w:t>
      </w:r>
      <w:r w:rsidR="00570639">
        <w:rPr>
          <w:rFonts w:ascii="Times New Roman" w:hAnsi="Times New Roman"/>
          <w:iCs/>
          <w:color w:val="000000" w:themeColor="text1"/>
        </w:rPr>
        <w:t>collaborated with customer groups</w:t>
      </w:r>
      <w:r w:rsidRPr="00CF0203">
        <w:rPr>
          <w:rFonts w:ascii="Times New Roman" w:hAnsi="Times New Roman"/>
          <w:iCs/>
          <w:color w:val="000000" w:themeColor="text1"/>
        </w:rPr>
        <w:t xml:space="preserve"> to </w:t>
      </w:r>
      <w:r w:rsidR="00EC410E">
        <w:rPr>
          <w:rFonts w:ascii="Times New Roman" w:hAnsi="Times New Roman"/>
          <w:iCs/>
          <w:color w:val="000000" w:themeColor="text1"/>
        </w:rPr>
        <w:t xml:space="preserve">assist </w:t>
      </w:r>
      <w:r w:rsidRPr="00CF0203">
        <w:rPr>
          <w:rFonts w:ascii="Times New Roman" w:hAnsi="Times New Roman"/>
          <w:iCs/>
          <w:color w:val="000000" w:themeColor="text1"/>
        </w:rPr>
        <w:t xml:space="preserve">the contractor selected </w:t>
      </w:r>
      <w:r w:rsidR="00EC410E">
        <w:rPr>
          <w:rFonts w:ascii="Times New Roman" w:hAnsi="Times New Roman"/>
          <w:iCs/>
          <w:color w:val="000000" w:themeColor="text1"/>
        </w:rPr>
        <w:t xml:space="preserve">by PSE </w:t>
      </w:r>
      <w:r w:rsidRPr="00CF0203">
        <w:rPr>
          <w:rFonts w:ascii="Times New Roman" w:hAnsi="Times New Roman"/>
          <w:iCs/>
          <w:color w:val="000000" w:themeColor="text1"/>
        </w:rPr>
        <w:t xml:space="preserve">to run the new </w:t>
      </w:r>
      <w:r w:rsidR="00EC410E">
        <w:rPr>
          <w:rFonts w:ascii="Times New Roman" w:hAnsi="Times New Roman"/>
          <w:iCs/>
          <w:color w:val="000000" w:themeColor="text1"/>
        </w:rPr>
        <w:t>single</w:t>
      </w:r>
      <w:r w:rsidR="001B06CE">
        <w:rPr>
          <w:rFonts w:ascii="Times New Roman" w:hAnsi="Times New Roman"/>
          <w:iCs/>
          <w:color w:val="000000" w:themeColor="text1"/>
        </w:rPr>
        <w:t>-</w:t>
      </w:r>
      <w:r w:rsidR="00EC410E">
        <w:rPr>
          <w:rFonts w:ascii="Times New Roman" w:hAnsi="Times New Roman"/>
          <w:iCs/>
          <w:color w:val="000000" w:themeColor="text1"/>
        </w:rPr>
        <w:t>family p</w:t>
      </w:r>
      <w:r w:rsidRPr="00CF0203">
        <w:rPr>
          <w:rFonts w:ascii="Times New Roman" w:hAnsi="Times New Roman"/>
          <w:iCs/>
          <w:color w:val="000000" w:themeColor="text1"/>
        </w:rPr>
        <w:t>ilot.</w:t>
      </w:r>
    </w:p>
    <w:p w14:paraId="014CCFB3" w14:textId="77777777" w:rsidR="00E8400C" w:rsidRPr="00CF0203" w:rsidRDefault="00EC410E" w:rsidP="00E8400C">
      <w:pPr>
        <w:pStyle w:val="ListParagraph"/>
        <w:numPr>
          <w:ilvl w:val="0"/>
          <w:numId w:val="19"/>
        </w:numPr>
        <w:rPr>
          <w:rFonts w:ascii="Times New Roman" w:hAnsi="Times New Roman"/>
          <w:color w:val="000000" w:themeColor="text1"/>
        </w:rPr>
      </w:pPr>
      <w:r>
        <w:rPr>
          <w:rFonts w:ascii="Times New Roman" w:hAnsi="Times New Roman"/>
          <w:iCs/>
          <w:color w:val="000000" w:themeColor="text1"/>
        </w:rPr>
        <w:t xml:space="preserve">Since </w:t>
      </w:r>
      <w:r w:rsidR="00E8400C" w:rsidRPr="00CF0203">
        <w:rPr>
          <w:rFonts w:ascii="Times New Roman" w:hAnsi="Times New Roman"/>
          <w:iCs/>
          <w:color w:val="000000" w:themeColor="text1"/>
        </w:rPr>
        <w:t>2010</w:t>
      </w:r>
      <w:r>
        <w:rPr>
          <w:rFonts w:ascii="Times New Roman" w:hAnsi="Times New Roman"/>
          <w:iCs/>
          <w:color w:val="000000" w:themeColor="text1"/>
        </w:rPr>
        <w:t>, it has been clear</w:t>
      </w:r>
      <w:r w:rsidR="00E8400C" w:rsidRPr="00CF0203">
        <w:rPr>
          <w:rFonts w:ascii="Times New Roman" w:hAnsi="Times New Roman"/>
          <w:iCs/>
          <w:color w:val="000000" w:themeColor="text1"/>
        </w:rPr>
        <w:t xml:space="preserve"> to PSE and to </w:t>
      </w:r>
      <w:r>
        <w:rPr>
          <w:rFonts w:ascii="Times New Roman" w:hAnsi="Times New Roman"/>
          <w:iCs/>
          <w:color w:val="000000" w:themeColor="text1"/>
        </w:rPr>
        <w:t xml:space="preserve">energy services </w:t>
      </w:r>
      <w:r w:rsidR="00E8400C" w:rsidRPr="00CF0203">
        <w:rPr>
          <w:rFonts w:ascii="Times New Roman" w:hAnsi="Times New Roman"/>
          <w:iCs/>
          <w:color w:val="000000" w:themeColor="text1"/>
        </w:rPr>
        <w:t xml:space="preserve">contractors that </w:t>
      </w:r>
      <w:r>
        <w:rPr>
          <w:rFonts w:ascii="Times New Roman" w:hAnsi="Times New Roman"/>
          <w:iCs/>
          <w:color w:val="000000" w:themeColor="text1"/>
        </w:rPr>
        <w:t xml:space="preserve">renters </w:t>
      </w:r>
      <w:r w:rsidR="00E8400C" w:rsidRPr="00CF0203">
        <w:rPr>
          <w:rFonts w:ascii="Times New Roman" w:hAnsi="Times New Roman"/>
          <w:iCs/>
          <w:color w:val="000000" w:themeColor="text1"/>
        </w:rPr>
        <w:t xml:space="preserve">represent a small </w:t>
      </w:r>
      <w:r>
        <w:rPr>
          <w:rFonts w:ascii="Times New Roman" w:hAnsi="Times New Roman"/>
          <w:iCs/>
          <w:color w:val="000000" w:themeColor="text1"/>
        </w:rPr>
        <w:t xml:space="preserve">fraction </w:t>
      </w:r>
      <w:r w:rsidR="00E8400C" w:rsidRPr="00CF0203">
        <w:rPr>
          <w:rFonts w:ascii="Times New Roman" w:hAnsi="Times New Roman"/>
          <w:iCs/>
          <w:color w:val="000000" w:themeColor="text1"/>
        </w:rPr>
        <w:t xml:space="preserve">of </w:t>
      </w:r>
      <w:r>
        <w:rPr>
          <w:rFonts w:ascii="Times New Roman" w:hAnsi="Times New Roman"/>
          <w:iCs/>
          <w:color w:val="000000" w:themeColor="text1"/>
        </w:rPr>
        <w:t xml:space="preserve">HTR </w:t>
      </w:r>
      <w:r w:rsidR="00E8400C" w:rsidRPr="00CF0203">
        <w:rPr>
          <w:rFonts w:ascii="Times New Roman" w:hAnsi="Times New Roman"/>
          <w:iCs/>
          <w:color w:val="000000" w:themeColor="text1"/>
        </w:rPr>
        <w:t xml:space="preserve">ratepayers </w:t>
      </w:r>
      <w:r>
        <w:rPr>
          <w:rFonts w:ascii="Times New Roman" w:hAnsi="Times New Roman"/>
          <w:iCs/>
          <w:color w:val="000000" w:themeColor="text1"/>
        </w:rPr>
        <w:t xml:space="preserve">living </w:t>
      </w:r>
      <w:r w:rsidR="00E8400C" w:rsidRPr="00CF0203">
        <w:rPr>
          <w:rFonts w:ascii="Times New Roman" w:hAnsi="Times New Roman"/>
          <w:iCs/>
          <w:color w:val="000000" w:themeColor="text1"/>
        </w:rPr>
        <w:t>in manufactured home</w:t>
      </w:r>
      <w:r w:rsidR="005A49F9">
        <w:rPr>
          <w:rFonts w:ascii="Times New Roman" w:hAnsi="Times New Roman"/>
          <w:iCs/>
          <w:color w:val="000000" w:themeColor="text1"/>
        </w:rPr>
        <w:t>s</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Further, the Washington </w:t>
      </w:r>
      <w:r>
        <w:rPr>
          <w:rFonts w:ascii="Times New Roman" w:hAnsi="Times New Roman"/>
          <w:iCs/>
          <w:color w:val="000000" w:themeColor="text1"/>
        </w:rPr>
        <w:t xml:space="preserve">MH owner </w:t>
      </w:r>
      <w:r w:rsidR="00E8400C" w:rsidRPr="00CF0203">
        <w:rPr>
          <w:rFonts w:ascii="Times New Roman" w:hAnsi="Times New Roman"/>
          <w:iCs/>
          <w:color w:val="000000" w:themeColor="text1"/>
        </w:rPr>
        <w:t xml:space="preserve">associations representing this customer class (AMHO </w:t>
      </w:r>
      <w:r w:rsidR="00A26FB2" w:rsidRPr="00CF0203">
        <w:rPr>
          <w:rFonts w:ascii="Times New Roman" w:hAnsi="Times New Roman"/>
          <w:iCs/>
          <w:color w:val="000000" w:themeColor="text1"/>
        </w:rPr>
        <w:t>and</w:t>
      </w:r>
      <w:r w:rsidR="00A26FB2">
        <w:rPr>
          <w:rFonts w:ascii="Times New Roman" w:hAnsi="Times New Roman"/>
          <w:iCs/>
          <w:color w:val="000000" w:themeColor="text1"/>
        </w:rPr>
        <w:t xml:space="preserve"> MHOW</w:t>
      </w:r>
      <w:r w:rsidR="005A49F9">
        <w:rPr>
          <w:rFonts w:ascii="Times New Roman" w:hAnsi="Times New Roman"/>
          <w:iCs/>
          <w:color w:val="000000" w:themeColor="text1"/>
        </w:rPr>
        <w:t>)</w:t>
      </w:r>
      <w:r w:rsidR="00E8400C" w:rsidRPr="00CF0203">
        <w:rPr>
          <w:rFonts w:ascii="Times New Roman" w:hAnsi="Times New Roman"/>
          <w:iCs/>
          <w:color w:val="000000" w:themeColor="text1"/>
        </w:rPr>
        <w:t xml:space="preserve"> confirm that the </w:t>
      </w:r>
      <w:r>
        <w:rPr>
          <w:rFonts w:ascii="Times New Roman" w:hAnsi="Times New Roman"/>
          <w:iCs/>
          <w:color w:val="000000" w:themeColor="text1"/>
        </w:rPr>
        <w:t xml:space="preserve">MH </w:t>
      </w:r>
      <w:r w:rsidR="00E8400C" w:rsidRPr="00CF0203">
        <w:rPr>
          <w:rFonts w:ascii="Times New Roman" w:hAnsi="Times New Roman"/>
          <w:iCs/>
          <w:color w:val="000000" w:themeColor="text1"/>
        </w:rPr>
        <w:t>owner</w:t>
      </w:r>
      <w:r>
        <w:rPr>
          <w:rFonts w:ascii="Times New Roman" w:hAnsi="Times New Roman"/>
          <w:iCs/>
          <w:color w:val="000000" w:themeColor="text1"/>
        </w:rPr>
        <w:t>s</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who rent out their homes </w:t>
      </w:r>
      <w:r w:rsidR="00E8400C" w:rsidRPr="00CF0203">
        <w:rPr>
          <w:rFonts w:ascii="Times New Roman" w:hAnsi="Times New Roman"/>
          <w:iCs/>
          <w:color w:val="000000" w:themeColor="text1"/>
        </w:rPr>
        <w:t>will rarely participate in a utility conservation program</w:t>
      </w:r>
      <w:r>
        <w:rPr>
          <w:rFonts w:ascii="Times New Roman" w:hAnsi="Times New Roman"/>
          <w:iCs/>
          <w:color w:val="000000" w:themeColor="text1"/>
        </w:rPr>
        <w:t>,</w:t>
      </w:r>
      <w:r w:rsidR="00E8400C" w:rsidRPr="00CF0203">
        <w:rPr>
          <w:rFonts w:ascii="Times New Roman" w:hAnsi="Times New Roman"/>
          <w:iCs/>
          <w:color w:val="000000" w:themeColor="text1"/>
        </w:rPr>
        <w:t xml:space="preserve"> especially when they need pay for a portion of the improvement for the measures. </w:t>
      </w:r>
      <w:r>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This market barrier is attributed to the underlying value of a </w:t>
      </w:r>
      <w:r>
        <w:rPr>
          <w:rFonts w:ascii="Times New Roman" w:hAnsi="Times New Roman"/>
          <w:iCs/>
          <w:color w:val="000000" w:themeColor="text1"/>
        </w:rPr>
        <w:t xml:space="preserve">rented </w:t>
      </w:r>
      <w:r w:rsidR="00E8400C" w:rsidRPr="00CF0203">
        <w:rPr>
          <w:rFonts w:ascii="Times New Roman" w:hAnsi="Times New Roman"/>
          <w:iCs/>
          <w:color w:val="000000" w:themeColor="text1"/>
        </w:rPr>
        <w:t xml:space="preserve">manufactured home and the </w:t>
      </w:r>
      <w:r>
        <w:rPr>
          <w:rFonts w:ascii="Times New Roman" w:hAnsi="Times New Roman"/>
          <w:iCs/>
          <w:color w:val="000000" w:themeColor="text1"/>
        </w:rPr>
        <w:t xml:space="preserve">relatively </w:t>
      </w:r>
      <w:r w:rsidR="00E8400C" w:rsidRPr="00CF0203">
        <w:rPr>
          <w:rFonts w:ascii="Times New Roman" w:hAnsi="Times New Roman"/>
          <w:iCs/>
          <w:color w:val="000000" w:themeColor="text1"/>
        </w:rPr>
        <w:t>short</w:t>
      </w:r>
      <w:r w:rsidR="00D94228">
        <w:rPr>
          <w:rFonts w:ascii="Times New Roman" w:hAnsi="Times New Roman"/>
          <w:iCs/>
          <w:color w:val="000000" w:themeColor="text1"/>
        </w:rPr>
        <w:t>-</w:t>
      </w:r>
      <w:r w:rsidR="00E8400C" w:rsidRPr="00CF0203">
        <w:rPr>
          <w:rFonts w:ascii="Times New Roman" w:hAnsi="Times New Roman"/>
          <w:iCs/>
          <w:color w:val="000000" w:themeColor="text1"/>
        </w:rPr>
        <w:t xml:space="preserve">term investment </w:t>
      </w:r>
      <w:r>
        <w:rPr>
          <w:rFonts w:ascii="Times New Roman" w:hAnsi="Times New Roman"/>
          <w:iCs/>
          <w:color w:val="000000" w:themeColor="text1"/>
        </w:rPr>
        <w:t xml:space="preserve">in it by its </w:t>
      </w:r>
      <w:r w:rsidR="00E8400C" w:rsidRPr="00CF0203">
        <w:rPr>
          <w:rFonts w:ascii="Times New Roman" w:hAnsi="Times New Roman"/>
          <w:iCs/>
          <w:color w:val="000000" w:themeColor="text1"/>
        </w:rPr>
        <w:t>owner</w:t>
      </w:r>
      <w:r>
        <w:rPr>
          <w:rFonts w:ascii="Times New Roman" w:hAnsi="Times New Roman"/>
          <w:iCs/>
          <w:color w:val="000000" w:themeColor="text1"/>
        </w:rPr>
        <w:t>, in contrast to typically</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long-term investments in </w:t>
      </w:r>
      <w:r w:rsidR="00E8400C" w:rsidRPr="00CF0203">
        <w:rPr>
          <w:rFonts w:ascii="Times New Roman" w:hAnsi="Times New Roman"/>
          <w:iCs/>
          <w:color w:val="000000" w:themeColor="text1"/>
        </w:rPr>
        <w:t>stick</w:t>
      </w:r>
      <w:r w:rsidR="00DD4D8B">
        <w:rPr>
          <w:rFonts w:ascii="Times New Roman" w:hAnsi="Times New Roman"/>
          <w:iCs/>
          <w:color w:val="000000" w:themeColor="text1"/>
        </w:rPr>
        <w:t>-</w:t>
      </w:r>
      <w:r w:rsidR="00E8400C" w:rsidRPr="00CF0203">
        <w:rPr>
          <w:rFonts w:ascii="Times New Roman" w:hAnsi="Times New Roman"/>
          <w:iCs/>
          <w:color w:val="000000" w:themeColor="text1"/>
        </w:rPr>
        <w:t>built, single family home</w:t>
      </w:r>
      <w:r>
        <w:rPr>
          <w:rFonts w:ascii="Times New Roman" w:hAnsi="Times New Roman"/>
          <w:iCs/>
          <w:color w:val="000000" w:themeColor="text1"/>
        </w:rPr>
        <w:t>s</w:t>
      </w:r>
      <w:r w:rsidR="00E8400C" w:rsidRPr="00CF0203">
        <w:rPr>
          <w:rFonts w:ascii="Times New Roman" w:hAnsi="Times New Roman"/>
          <w:iCs/>
          <w:color w:val="000000" w:themeColor="text1"/>
        </w:rPr>
        <w:t>.</w:t>
      </w:r>
    </w:p>
    <w:p w14:paraId="014CCFB4" w14:textId="77777777" w:rsidR="00E8400C" w:rsidRPr="00CF0203" w:rsidRDefault="00E8400C" w:rsidP="00E8400C">
      <w:pPr>
        <w:pStyle w:val="ListParagraph"/>
        <w:numPr>
          <w:ilvl w:val="0"/>
          <w:numId w:val="17"/>
        </w:numPr>
        <w:rPr>
          <w:rFonts w:ascii="Times New Roman" w:hAnsi="Times New Roman"/>
          <w:iCs/>
          <w:color w:val="000000" w:themeColor="text1"/>
          <w:shd w:val="clear" w:color="auto" w:fill="FFFF00"/>
        </w:rPr>
      </w:pPr>
      <w:r w:rsidRPr="00CF0203">
        <w:rPr>
          <w:rFonts w:ascii="Times New Roman" w:hAnsi="Times New Roman"/>
          <w:iCs/>
          <w:color w:val="000000" w:themeColor="text1"/>
        </w:rPr>
        <w:t>PSE has filed comments with the UTC that “administrative costs” are very high</w:t>
      </w:r>
      <w:r w:rsidR="00EC410E">
        <w:rPr>
          <w:rFonts w:ascii="Times New Roman" w:hAnsi="Times New Roman"/>
          <w:iCs/>
          <w:color w:val="000000" w:themeColor="text1"/>
        </w:rPr>
        <w:t>,</w:t>
      </w:r>
      <w:r w:rsidRPr="00CF0203">
        <w:rPr>
          <w:rFonts w:ascii="Times New Roman" w:hAnsi="Times New Roman"/>
          <w:iCs/>
          <w:color w:val="000000" w:themeColor="text1"/>
        </w:rPr>
        <w:t xml:space="preserve"> </w:t>
      </w:r>
      <w:r w:rsidR="00EC410E">
        <w:rPr>
          <w:rFonts w:ascii="Times New Roman" w:hAnsi="Times New Roman"/>
          <w:iCs/>
          <w:color w:val="000000" w:themeColor="text1"/>
        </w:rPr>
        <w:t xml:space="preserve">making </w:t>
      </w:r>
      <w:r w:rsidRPr="00CF0203">
        <w:rPr>
          <w:rFonts w:ascii="Times New Roman" w:hAnsi="Times New Roman"/>
          <w:iCs/>
          <w:color w:val="000000" w:themeColor="text1"/>
        </w:rPr>
        <w:t xml:space="preserve">the TRC for </w:t>
      </w:r>
      <w:r w:rsidR="00DD4D8B">
        <w:rPr>
          <w:rFonts w:ascii="Times New Roman" w:hAnsi="Times New Roman"/>
          <w:iCs/>
          <w:color w:val="000000" w:themeColor="text1"/>
        </w:rPr>
        <w:t xml:space="preserve">programs for </w:t>
      </w:r>
      <w:r w:rsidRPr="00CF0203">
        <w:rPr>
          <w:rFonts w:ascii="Times New Roman" w:hAnsi="Times New Roman"/>
          <w:iCs/>
          <w:color w:val="000000" w:themeColor="text1"/>
        </w:rPr>
        <w:t>many hard</w:t>
      </w:r>
      <w:r w:rsidR="00DD4D8B">
        <w:rPr>
          <w:rFonts w:ascii="Times New Roman" w:hAnsi="Times New Roman"/>
          <w:iCs/>
          <w:color w:val="000000" w:themeColor="text1"/>
        </w:rPr>
        <w:t>-</w:t>
      </w:r>
      <w:r w:rsidRPr="00CF0203">
        <w:rPr>
          <w:rFonts w:ascii="Times New Roman" w:hAnsi="Times New Roman"/>
          <w:iCs/>
          <w:color w:val="000000" w:themeColor="text1"/>
        </w:rPr>
        <w:t>to</w:t>
      </w:r>
      <w:r w:rsidR="00DD4D8B">
        <w:rPr>
          <w:rFonts w:ascii="Times New Roman" w:hAnsi="Times New Roman"/>
          <w:iCs/>
          <w:color w:val="000000" w:themeColor="text1"/>
        </w:rPr>
        <w:t>-</w:t>
      </w:r>
      <w:r w:rsidRPr="00CF0203">
        <w:rPr>
          <w:rFonts w:ascii="Times New Roman" w:hAnsi="Times New Roman"/>
          <w:iCs/>
          <w:color w:val="000000" w:themeColor="text1"/>
        </w:rPr>
        <w:t xml:space="preserve">reach customer classes a burden to their portfolio. </w:t>
      </w:r>
      <w:r w:rsidR="00EC410E">
        <w:rPr>
          <w:rFonts w:ascii="Times New Roman" w:hAnsi="Times New Roman"/>
          <w:iCs/>
          <w:color w:val="000000" w:themeColor="text1"/>
        </w:rPr>
        <w:t xml:space="preserve"> </w:t>
      </w:r>
      <w:r w:rsidRPr="00CF0203">
        <w:rPr>
          <w:rFonts w:ascii="Times New Roman" w:hAnsi="Times New Roman"/>
          <w:iCs/>
          <w:color w:val="000000" w:themeColor="text1"/>
        </w:rPr>
        <w:t xml:space="preserve">This has certainly </w:t>
      </w:r>
      <w:r w:rsidRPr="001D40B7">
        <w:rPr>
          <w:rFonts w:ascii="Times New Roman" w:hAnsi="Times New Roman"/>
          <w:iCs/>
          <w:color w:val="000000" w:themeColor="text1"/>
          <w:u w:val="single"/>
        </w:rPr>
        <w:t>not</w:t>
      </w:r>
      <w:r w:rsidRPr="00CF0203">
        <w:rPr>
          <w:rFonts w:ascii="Times New Roman" w:hAnsi="Times New Roman"/>
          <w:iCs/>
          <w:color w:val="000000" w:themeColor="text1"/>
        </w:rPr>
        <w:t xml:space="preserve"> been true for past utility MH programs </w:t>
      </w:r>
      <w:r w:rsidR="00EC410E">
        <w:rPr>
          <w:rFonts w:ascii="Times New Roman" w:hAnsi="Times New Roman"/>
          <w:iCs/>
          <w:color w:val="000000" w:themeColor="text1"/>
        </w:rPr>
        <w:t xml:space="preserve">which </w:t>
      </w:r>
      <w:r w:rsidRPr="00CF0203">
        <w:rPr>
          <w:rFonts w:ascii="Times New Roman" w:hAnsi="Times New Roman"/>
          <w:iCs/>
          <w:color w:val="000000" w:themeColor="text1"/>
        </w:rPr>
        <w:t>UCONS has successfully supported in Washington state, especially when the utility approved a budget to run a sufficiently large program</w:t>
      </w:r>
      <w:r w:rsidR="00EC410E">
        <w:rPr>
          <w:rFonts w:ascii="Times New Roman" w:hAnsi="Times New Roman"/>
          <w:iCs/>
          <w:color w:val="000000" w:themeColor="text1"/>
        </w:rPr>
        <w:t>,</w:t>
      </w:r>
      <w:r w:rsidRPr="00CF0203">
        <w:rPr>
          <w:rFonts w:ascii="Times New Roman" w:hAnsi="Times New Roman"/>
          <w:iCs/>
          <w:color w:val="000000" w:themeColor="text1"/>
        </w:rPr>
        <w:t xml:space="preserve"> so that fixed admin</w:t>
      </w:r>
      <w:r w:rsidR="00DD4D8B">
        <w:rPr>
          <w:rFonts w:ascii="Times New Roman" w:hAnsi="Times New Roman"/>
          <w:iCs/>
          <w:color w:val="000000" w:themeColor="text1"/>
        </w:rPr>
        <w:t>istrative</w:t>
      </w:r>
      <w:r w:rsidRPr="00CF0203">
        <w:rPr>
          <w:rFonts w:ascii="Times New Roman" w:hAnsi="Times New Roman"/>
          <w:iCs/>
          <w:color w:val="000000" w:themeColor="text1"/>
        </w:rPr>
        <w:t xml:space="preserve"> costs were a small fraction of the total budget.</w:t>
      </w:r>
    </w:p>
    <w:p w14:paraId="014CCFB5" w14:textId="77777777" w:rsidR="00E8400C" w:rsidRPr="00BF74DD" w:rsidRDefault="00E85513" w:rsidP="00CF0203">
      <w:pPr>
        <w:autoSpaceDE w:val="0"/>
        <w:autoSpaceDN w:val="0"/>
        <w:adjustRightInd w:val="0"/>
        <w:spacing w:before="100" w:beforeAutospacing="1" w:after="100" w:afterAutospacing="1"/>
      </w:pPr>
      <w:r>
        <w:rPr>
          <w:i/>
        </w:rPr>
        <w:t>EM&amp;V (Exhibit 8)</w:t>
      </w:r>
      <w:r w:rsidR="00E8400C" w:rsidRPr="00E85513">
        <w:t xml:space="preserve">: </w:t>
      </w:r>
      <w:r>
        <w:t xml:space="preserve">The </w:t>
      </w:r>
      <w:r w:rsidR="00E8400C" w:rsidRPr="00E85513">
        <w:t>Evaluation, Measurement &amp; Verification</w:t>
      </w:r>
      <w:r>
        <w:t xml:space="preserve"> (</w:t>
      </w:r>
      <w:r w:rsidR="00E8400C" w:rsidRPr="00BF74DD">
        <w:t>EM&amp;V</w:t>
      </w:r>
      <w:r>
        <w:t>)</w:t>
      </w:r>
      <w:r w:rsidR="00E8400C" w:rsidRPr="00BF74DD">
        <w:t xml:space="preserve"> exhibit of the BCP filing provides many details describing data and methods employed nationally for evaluation </w:t>
      </w:r>
      <w:r w:rsidR="00711EC0">
        <w:t xml:space="preserve">of </w:t>
      </w:r>
      <w:r w:rsidR="00E8400C" w:rsidRPr="00BF74DD">
        <w:t xml:space="preserve">energy efficiency programs. </w:t>
      </w:r>
      <w:r w:rsidR="00EC410E">
        <w:t xml:space="preserve"> </w:t>
      </w:r>
      <w:r w:rsidR="00E8400C" w:rsidRPr="00BF74DD">
        <w:t xml:space="preserve">However, it does not address the necessary requirement for an independent program evaluation. </w:t>
      </w:r>
      <w:r w:rsidR="00EC410E">
        <w:t xml:space="preserve"> </w:t>
      </w:r>
      <w:r w:rsidR="00E8400C" w:rsidRPr="00BF74DD">
        <w:t xml:space="preserve">Exhibit 8 refers to the CRAG and its role in </w:t>
      </w:r>
      <w:r w:rsidR="00711EC0">
        <w:t>PSE’s</w:t>
      </w:r>
      <w:r w:rsidR="00E8400C" w:rsidRPr="00BF74DD">
        <w:t xml:space="preserve"> </w:t>
      </w:r>
      <w:r w:rsidR="00711EC0">
        <w:t>c</w:t>
      </w:r>
      <w:r w:rsidR="00E8400C" w:rsidRPr="00BF74DD">
        <w:t xml:space="preserve">onservation </w:t>
      </w:r>
      <w:r w:rsidR="00711EC0">
        <w:t>p</w:t>
      </w:r>
      <w:r w:rsidR="00E8400C" w:rsidRPr="00BF74DD">
        <w:t xml:space="preserve">rograms. </w:t>
      </w:r>
      <w:r w:rsidR="00EC410E">
        <w:t xml:space="preserve"> </w:t>
      </w:r>
      <w:r w:rsidR="00E8400C" w:rsidRPr="00BF74DD">
        <w:t xml:space="preserve">But the CRAG is not an independent evaluation party. </w:t>
      </w:r>
      <w:r w:rsidR="00220B2B">
        <w:t xml:space="preserve"> </w:t>
      </w:r>
      <w:r w:rsidR="00E8400C" w:rsidRPr="00BF74DD">
        <w:t xml:space="preserve">Further, </w:t>
      </w:r>
      <w:r w:rsidR="00220B2B">
        <w:t>CRAG</w:t>
      </w:r>
      <w:r w:rsidR="00E8400C" w:rsidRPr="00BF74DD">
        <w:t xml:space="preserve"> members acknowledge such a role </w:t>
      </w:r>
      <w:r w:rsidR="00570639">
        <w:t>c</w:t>
      </w:r>
      <w:r w:rsidR="00711EC0">
        <w:t xml:space="preserve">ould </w:t>
      </w:r>
      <w:r w:rsidR="00220B2B">
        <w:t>create a conflict of interest for them</w:t>
      </w:r>
      <w:r w:rsidR="00E8400C" w:rsidRPr="00BF74DD">
        <w:t xml:space="preserve">. </w:t>
      </w:r>
      <w:r w:rsidR="00220B2B">
        <w:t xml:space="preserve"> </w:t>
      </w:r>
      <w:r w:rsidR="00E8400C" w:rsidRPr="00BF74DD">
        <w:t xml:space="preserve">The primary function of “customer groups” in Washington, Oregon and California </w:t>
      </w:r>
      <w:r w:rsidR="00220B2B">
        <w:t xml:space="preserve">is </w:t>
      </w:r>
      <w:r w:rsidR="00E8400C" w:rsidRPr="00BF74DD">
        <w:t>to provide a public forum for diverse customer input</w:t>
      </w:r>
      <w:r w:rsidR="00220B2B">
        <w:t>,</w:t>
      </w:r>
      <w:r w:rsidR="00E8400C" w:rsidRPr="00BF74DD">
        <w:t xml:space="preserve"> not to displace the role of the regulator as an independent evaluator. </w:t>
      </w:r>
      <w:r w:rsidR="00220B2B">
        <w:t xml:space="preserve"> </w:t>
      </w:r>
      <w:r w:rsidR="00E8400C" w:rsidRPr="00BF74DD">
        <w:t xml:space="preserve">In all other </w:t>
      </w:r>
      <w:r w:rsidR="00220B2B">
        <w:t>W</w:t>
      </w:r>
      <w:r w:rsidR="00E8400C" w:rsidRPr="00BF74DD">
        <w:t xml:space="preserve">est </w:t>
      </w:r>
      <w:r w:rsidR="00220B2B">
        <w:t>C</w:t>
      </w:r>
      <w:r w:rsidR="00E8400C" w:rsidRPr="00BF74DD">
        <w:t>oast states</w:t>
      </w:r>
      <w:r w:rsidR="00220B2B">
        <w:t>,</w:t>
      </w:r>
      <w:r w:rsidR="00E8400C" w:rsidRPr="00BF74DD">
        <w:t xml:space="preserve"> there are important customer groups (like the CRAG) to facilitate public input. </w:t>
      </w:r>
      <w:r w:rsidR="00220B2B">
        <w:t xml:space="preserve"> </w:t>
      </w:r>
      <w:r w:rsidR="00E8400C" w:rsidRPr="00BF74DD">
        <w:t xml:space="preserve">However, all independent EM&amp;V </w:t>
      </w:r>
      <w:r w:rsidR="00220B2B">
        <w:t xml:space="preserve">is </w:t>
      </w:r>
      <w:r w:rsidR="00E8400C" w:rsidRPr="00BF74DD">
        <w:t xml:space="preserve">conducted by the regulatory agencies to </w:t>
      </w:r>
      <w:r w:rsidR="00220B2B">
        <w:t xml:space="preserve">assure </w:t>
      </w:r>
      <w:r w:rsidR="00E8400C" w:rsidRPr="00BF74DD">
        <w:t>the rigor of evalua</w:t>
      </w:r>
      <w:r w:rsidR="00B32523">
        <w:t>tion and protect the ratepayer.</w:t>
      </w:r>
    </w:p>
    <w:p w14:paraId="014CCFB6" w14:textId="77777777" w:rsidR="00711EC0" w:rsidRPr="00BF74DD" w:rsidRDefault="00E8400C" w:rsidP="00CF0203">
      <w:pPr>
        <w:autoSpaceDE w:val="0"/>
        <w:autoSpaceDN w:val="0"/>
        <w:adjustRightInd w:val="0"/>
      </w:pPr>
      <w:r w:rsidRPr="00BF74DD">
        <w:t>For a utility to</w:t>
      </w:r>
      <w:r w:rsidR="005A49F9">
        <w:t xml:space="preserve"> </w:t>
      </w:r>
      <w:r w:rsidRPr="00BF74DD">
        <w:t>write a bid spec</w:t>
      </w:r>
      <w:r w:rsidR="00711EC0">
        <w:t>ification,</w:t>
      </w:r>
      <w:r w:rsidRPr="00BF74DD">
        <w:t xml:space="preserve"> hire an evaluator</w:t>
      </w:r>
      <w:r w:rsidR="00711EC0">
        <w:t>,</w:t>
      </w:r>
      <w:r w:rsidRPr="00BF74DD">
        <w:t xml:space="preserve"> and make program decisions on “cost effectiveness” without direct regulatory review and approval places both the utility and its </w:t>
      </w:r>
      <w:r w:rsidRPr="00BF74DD">
        <w:lastRenderedPageBreak/>
        <w:t xml:space="preserve">programs in a difficult situation. </w:t>
      </w:r>
      <w:r w:rsidR="00220B2B">
        <w:t xml:space="preserve"> </w:t>
      </w:r>
      <w:r w:rsidRPr="00BF74DD">
        <w:t>The primary reason for removing utility involvement in program administration or evaluation by legislation (in Oregon) and by regulatory rulemaking (in California) was to protect the ratepayer and the utility from the inherent conflict in a for-profit utility selling power</w:t>
      </w:r>
      <w:r w:rsidR="00220B2B">
        <w:t>,</w:t>
      </w:r>
      <w:r w:rsidRPr="00BF74DD">
        <w:t xml:space="preserve"> while concurrently being required to achieve all cost</w:t>
      </w:r>
      <w:r w:rsidR="001B06CE">
        <w:t>-</w:t>
      </w:r>
      <w:r w:rsidRPr="00BF74DD">
        <w:t>effective conservation. These are often mutually exclusive goals.</w:t>
      </w:r>
    </w:p>
    <w:p w14:paraId="014CCFB7" w14:textId="77777777" w:rsidR="00E8400C" w:rsidRPr="00CF0203" w:rsidRDefault="00E8400C" w:rsidP="00CF0203">
      <w:pPr>
        <w:autoSpaceDE w:val="0"/>
        <w:autoSpaceDN w:val="0"/>
        <w:adjustRightInd w:val="0"/>
        <w:rPr>
          <w:color w:val="000000"/>
        </w:rPr>
      </w:pPr>
    </w:p>
    <w:p w14:paraId="014CCFB8" w14:textId="77777777" w:rsidR="00711EC0" w:rsidRPr="00CF0203" w:rsidRDefault="00461D01" w:rsidP="00CF0203">
      <w:pPr>
        <w:pStyle w:val="ListParagraph"/>
        <w:numPr>
          <w:ilvl w:val="0"/>
          <w:numId w:val="11"/>
        </w:numPr>
        <w:spacing w:before="100" w:beforeAutospacing="1" w:after="100" w:afterAutospacing="1"/>
        <w:contextualSpacing/>
        <w:rPr>
          <w:color w:val="000000"/>
        </w:rPr>
      </w:pPr>
      <w:r w:rsidRPr="00AE142A">
        <w:rPr>
          <w:rFonts w:ascii="Times New Roman" w:hAnsi="Times New Roman"/>
          <w:b/>
          <w:color w:val="000000"/>
        </w:rPr>
        <w:t>THE AVAILABILITY OF COST-EFFECTIVE CONSERVATION IN THE MANUFACTURED HOME MARKET AND THE OBLIGATION TO ACQUIRE SUCH CONSERVATION</w:t>
      </w:r>
    </w:p>
    <w:p w14:paraId="014CCFB9" w14:textId="77777777" w:rsidR="00461D01" w:rsidRPr="00943ED5" w:rsidRDefault="00461D01" w:rsidP="009E3A53">
      <w:pPr>
        <w:spacing w:before="100" w:beforeAutospacing="1" w:after="100" w:afterAutospacing="1"/>
        <w:rPr>
          <w:rFonts w:eastAsia="Times New Roman"/>
          <w:color w:val="000000"/>
        </w:rPr>
      </w:pPr>
      <w:r w:rsidRPr="00AE142A">
        <w:rPr>
          <w:rFonts w:eastAsia="Times New Roman"/>
          <w:color w:val="000000"/>
        </w:rPr>
        <w:t>Over the years, various utilities, including PSE, have sought to serve customers in the MH market using UCONS or other contractors</w:t>
      </w:r>
      <w:r w:rsidRPr="00461D01">
        <w:rPr>
          <w:rFonts w:eastAsia="Times New Roman"/>
          <w:color w:val="000000"/>
        </w:rPr>
        <w:t xml:space="preserve">.  As a result, UCONS has a great deal of data on what services have been performed.  Based on data from the Council and the Northwest Energy Efficiency Alliance, and as explained further in our initial Path Forward </w:t>
      </w:r>
      <w:r w:rsidR="00E407C6">
        <w:rPr>
          <w:rFonts w:eastAsia="Times New Roman"/>
          <w:color w:val="000000"/>
        </w:rPr>
        <w:t>paper</w:t>
      </w:r>
      <w:r w:rsidRPr="00461D01">
        <w:rPr>
          <w:rFonts w:eastAsia="Times New Roman"/>
          <w:color w:val="000000"/>
        </w:rPr>
        <w:t>, there is a realistic conservation potential of 10.6 aMW during the 5-year period of the 7</w:t>
      </w:r>
      <w:r w:rsidRPr="00461D01">
        <w:rPr>
          <w:rFonts w:eastAsia="Times New Roman"/>
          <w:color w:val="000000"/>
          <w:vertAlign w:val="superscript"/>
        </w:rPr>
        <w:t>th</w:t>
      </w:r>
      <w:r w:rsidRPr="00461D01">
        <w:rPr>
          <w:rFonts w:eastAsia="Times New Roman"/>
          <w:color w:val="000000"/>
        </w:rPr>
        <w:t xml:space="preserve"> Plan (2016 – 2020) for this HTR customer class.  Data show that MH residents use far more electricity </w:t>
      </w:r>
      <w:r w:rsidR="00E407C6">
        <w:rPr>
          <w:rFonts w:eastAsia="Times New Roman"/>
          <w:color w:val="000000"/>
        </w:rPr>
        <w:t xml:space="preserve">per household </w:t>
      </w:r>
      <w:r w:rsidRPr="00461D01">
        <w:rPr>
          <w:rFonts w:eastAsia="Times New Roman"/>
          <w:color w:val="000000"/>
        </w:rPr>
        <w:t xml:space="preserve">than other utility customers – over 17,000 kWh annually.  </w:t>
      </w:r>
      <w:r w:rsidRPr="00943ED5">
        <w:rPr>
          <w:rFonts w:eastAsia="Times New Roman"/>
          <w:color w:val="000000"/>
        </w:rPr>
        <w:t xml:space="preserve">However, </w:t>
      </w:r>
      <w:r w:rsidR="00E407C6">
        <w:rPr>
          <w:rFonts w:eastAsia="Times New Roman"/>
          <w:color w:val="000000"/>
        </w:rPr>
        <w:t xml:space="preserve">even though </w:t>
      </w:r>
      <w:r w:rsidRPr="00943ED5">
        <w:rPr>
          <w:rFonts w:eastAsia="Times New Roman"/>
          <w:color w:val="000000"/>
        </w:rPr>
        <w:t>PSE’s MH customers constitute over 5% of PSE’s load, only 1% of PSE’s conservation budget is directed to MH conservation and efficiency improvements.</w:t>
      </w:r>
      <w:r w:rsidRPr="00943ED5">
        <w:rPr>
          <w:rStyle w:val="FootnoteReference"/>
          <w:rFonts w:eastAsia="Times New Roman"/>
          <w:color w:val="000000"/>
        </w:rPr>
        <w:footnoteReference w:id="2"/>
      </w:r>
    </w:p>
    <w:p w14:paraId="014CCFBA" w14:textId="77777777" w:rsidR="009E3A53" w:rsidRPr="00461D01" w:rsidRDefault="009E3A53" w:rsidP="009E3A53">
      <w:pPr>
        <w:pStyle w:val="O-BodyText"/>
      </w:pPr>
      <w:r>
        <w:t xml:space="preserve">The conservation </w:t>
      </w:r>
      <w:r w:rsidRPr="00461D01">
        <w:t xml:space="preserve">potential </w:t>
      </w:r>
      <w:r>
        <w:t xml:space="preserve">in this sector is </w:t>
      </w:r>
      <w:r w:rsidRPr="00461D01">
        <w:t>substantial.  Ishbel Dickens, past Executive Director of the National Mobile Home Owners Association, has stated in a letter to us “that manufactured home owners across the country are missing out on important conservation opportunities that ought to be as available to them as they are to other homeowners.”</w:t>
      </w:r>
      <w:r w:rsidR="004358F1">
        <w:t xml:space="preserve">  </w:t>
      </w:r>
      <w:r w:rsidR="005574C3">
        <w:t>Indeed, this</w:t>
      </w:r>
      <w:r w:rsidR="00943ED5">
        <w:t xml:space="preserve"> conclusion</w:t>
      </w:r>
      <w:r w:rsidR="005574C3">
        <w:t xml:space="preserve"> is supported by PSE’s own </w:t>
      </w:r>
      <w:r w:rsidR="00430F9D">
        <w:t xml:space="preserve">Conservation Potential Assessment </w:t>
      </w:r>
      <w:r w:rsidR="00E407C6">
        <w:t xml:space="preserve">which </w:t>
      </w:r>
      <w:r w:rsidR="00430F9D">
        <w:t>accompan</w:t>
      </w:r>
      <w:r w:rsidR="00E407C6">
        <w:t>ies</w:t>
      </w:r>
      <w:r w:rsidR="00430F9D">
        <w:t xml:space="preserve"> its filed 2017 IRP</w:t>
      </w:r>
      <w:r w:rsidR="005574C3">
        <w:t>.  In that document</w:t>
      </w:r>
      <w:r w:rsidR="00430F9D">
        <w:t>, PSE’s contractor</w:t>
      </w:r>
      <w:r w:rsidR="005574C3">
        <w:t>,</w:t>
      </w:r>
      <w:r w:rsidR="00430F9D">
        <w:t xml:space="preserve"> Navigant, states: “Commercial retail establishments, residential manufactured homes, and other commercial (unclassified) buildings also account for significant electric energy potential . . . .”</w:t>
      </w:r>
      <w:r w:rsidR="00430F9D">
        <w:rPr>
          <w:rStyle w:val="FootnoteReference"/>
        </w:rPr>
        <w:footnoteReference w:id="3"/>
      </w:r>
      <w:r w:rsidR="005574C3">
        <w:t xml:space="preserve"> </w:t>
      </w:r>
    </w:p>
    <w:p w14:paraId="014CCFBB" w14:textId="77777777" w:rsidR="00461D01" w:rsidRPr="00461D01" w:rsidRDefault="00461D01" w:rsidP="009E3A53">
      <w:pPr>
        <w:spacing w:before="100" w:beforeAutospacing="1" w:after="100" w:afterAutospacing="1"/>
        <w:rPr>
          <w:rFonts w:eastAsia="Times New Roman"/>
          <w:color w:val="000000"/>
        </w:rPr>
      </w:pPr>
      <w:r w:rsidRPr="00461D01">
        <w:rPr>
          <w:rFonts w:eastAsia="Times New Roman"/>
          <w:color w:val="000000"/>
        </w:rPr>
        <w:t xml:space="preserve">Because there is a large remaining cost-effective conservation potential in the MH sector, I-937 requires that it be pursued by the utilities and included in its </w:t>
      </w:r>
      <w:r w:rsidR="00921706">
        <w:rPr>
          <w:rFonts w:eastAsia="Times New Roman"/>
          <w:color w:val="000000"/>
        </w:rPr>
        <w:t>conservation plans</w:t>
      </w:r>
      <w:r w:rsidRPr="00461D01">
        <w:rPr>
          <w:rFonts w:eastAsia="Times New Roman"/>
          <w:color w:val="000000"/>
        </w:rPr>
        <w:t xml:space="preserve">.  That is clear from the plain language of the statute as well as the Commission’s implementing regulations which require the utility to “[i]dentify cost-effective, reliable, and feasible potential of possible technologies and conservation measures in the utility’s service territory,” “[d]evelop a </w:t>
      </w:r>
      <w:r w:rsidRPr="00461D01">
        <w:rPr>
          <w:rFonts w:eastAsia="Times New Roman"/>
          <w:color w:val="000000"/>
        </w:rPr>
        <w:lastRenderedPageBreak/>
        <w:t>conservation portfolio that includes all available, cost-effective, reliable, and feasible conservation,” and “[i]mplement conservation programs identified in the portfolio . . . .”</w:t>
      </w:r>
      <w:r w:rsidRPr="00461D01">
        <w:rPr>
          <w:rStyle w:val="FootnoteReference"/>
          <w:rFonts w:eastAsia="Times New Roman"/>
          <w:color w:val="000000"/>
        </w:rPr>
        <w:footnoteReference w:id="4"/>
      </w:r>
    </w:p>
    <w:p w14:paraId="014CCFBC" w14:textId="77777777" w:rsidR="00461D01" w:rsidRPr="00461D01" w:rsidRDefault="00461D01" w:rsidP="00461D01">
      <w:pPr>
        <w:spacing w:before="100" w:beforeAutospacing="1" w:after="100" w:afterAutospacing="1"/>
        <w:rPr>
          <w:rFonts w:eastAsia="Times New Roman"/>
          <w:color w:val="000000"/>
        </w:rPr>
      </w:pPr>
      <w:r w:rsidRPr="00461D01">
        <w:rPr>
          <w:rFonts w:eastAsia="Times New Roman"/>
          <w:color w:val="000000"/>
        </w:rPr>
        <w:t>Even if cost-effective conservation programs for the MH sector were not required to be included in any given conservation plan, the Commission requires utilities to “[c]ontinually review and update as appropriate the conservation portfolio to adapt to changing market conditions and developing technologies.”</w:t>
      </w:r>
      <w:r w:rsidRPr="00461D01">
        <w:rPr>
          <w:rStyle w:val="FootnoteReference"/>
          <w:rFonts w:eastAsia="Times New Roman"/>
          <w:color w:val="000000"/>
        </w:rPr>
        <w:footnoteReference w:id="5"/>
      </w:r>
    </w:p>
    <w:p w14:paraId="014CCFBD" w14:textId="77777777" w:rsidR="00461D01" w:rsidRPr="00461D01" w:rsidRDefault="003424E2" w:rsidP="00AE142A">
      <w:pPr>
        <w:pStyle w:val="ListParagraph"/>
        <w:numPr>
          <w:ilvl w:val="0"/>
          <w:numId w:val="11"/>
        </w:numPr>
        <w:spacing w:before="100" w:beforeAutospacing="1" w:after="100" w:afterAutospacing="1"/>
        <w:contextualSpacing/>
        <w:rPr>
          <w:rFonts w:ascii="Times New Roman" w:hAnsi="Times New Roman"/>
          <w:b/>
          <w:color w:val="000000"/>
          <w:szCs w:val="24"/>
        </w:rPr>
      </w:pPr>
      <w:r w:rsidDel="003424E2">
        <w:rPr>
          <w:rFonts w:ascii="Times New Roman" w:hAnsi="Times New Roman"/>
          <w:b/>
          <w:color w:val="000000"/>
          <w:szCs w:val="24"/>
        </w:rPr>
        <w:t xml:space="preserve"> </w:t>
      </w:r>
      <w:r w:rsidR="00023737">
        <w:rPr>
          <w:rFonts w:ascii="Times New Roman" w:hAnsi="Times New Roman"/>
          <w:b/>
          <w:color w:val="000000"/>
          <w:szCs w:val="24"/>
        </w:rPr>
        <w:t xml:space="preserve">“LESSONS LEARNED”:  INSTITUTIONAL BARRIERS TO THE ACQUISITION OF </w:t>
      </w:r>
      <w:r w:rsidR="00461D01" w:rsidRPr="00461D01">
        <w:rPr>
          <w:rFonts w:ascii="Times New Roman" w:hAnsi="Times New Roman"/>
          <w:b/>
          <w:color w:val="000000"/>
          <w:szCs w:val="24"/>
        </w:rPr>
        <w:t>“ALL COST-EFECTIVE CONSERVATION”</w:t>
      </w:r>
    </w:p>
    <w:p w14:paraId="014CCFBE" w14:textId="77777777" w:rsidR="00461D01" w:rsidRPr="00461D01" w:rsidRDefault="00023737" w:rsidP="00461D01">
      <w:pPr>
        <w:spacing w:before="100" w:beforeAutospacing="1" w:after="100" w:afterAutospacing="1"/>
        <w:rPr>
          <w:rFonts w:eastAsia="Times New Roman"/>
          <w:color w:val="000000"/>
        </w:rPr>
      </w:pPr>
      <w:r>
        <w:rPr>
          <w:rFonts w:eastAsia="Times New Roman"/>
          <w:color w:val="000000"/>
        </w:rPr>
        <w:t>The UCONS</w:t>
      </w:r>
      <w:r w:rsidR="00461D01" w:rsidRPr="00461D01">
        <w:rPr>
          <w:rFonts w:eastAsia="Times New Roman"/>
          <w:color w:val="000000"/>
        </w:rPr>
        <w:t xml:space="preserve"> experience in the RFI and RFP processes revealed several </w:t>
      </w:r>
      <w:r>
        <w:rPr>
          <w:rFonts w:eastAsia="Times New Roman"/>
          <w:color w:val="000000"/>
        </w:rPr>
        <w:t xml:space="preserve">institutional </w:t>
      </w:r>
      <w:r w:rsidR="00461D01" w:rsidRPr="00461D01">
        <w:rPr>
          <w:rFonts w:eastAsia="Times New Roman"/>
          <w:color w:val="000000"/>
        </w:rPr>
        <w:t>barriers</w:t>
      </w:r>
      <w:r>
        <w:rPr>
          <w:rFonts w:eastAsia="Times New Roman"/>
          <w:color w:val="000000"/>
        </w:rPr>
        <w:t xml:space="preserve"> that limit PSE’s acquisition of all cost-effective conservation</w:t>
      </w:r>
      <w:r w:rsidR="00461D01" w:rsidRPr="00461D01">
        <w:rPr>
          <w:rFonts w:eastAsia="Times New Roman"/>
          <w:color w:val="000000"/>
        </w:rPr>
        <w:t>:</w:t>
      </w:r>
    </w:p>
    <w:p w14:paraId="014CCFBF"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Too much early discretion lies with the utility. </w:t>
      </w:r>
      <w:r w:rsidR="00E407C6">
        <w:rPr>
          <w:rFonts w:ascii="Times New Roman" w:hAnsi="Times New Roman"/>
          <w:color w:val="000000"/>
          <w:szCs w:val="24"/>
        </w:rPr>
        <w:t xml:space="preserve"> </w:t>
      </w:r>
      <w:r w:rsidRPr="00461D01">
        <w:rPr>
          <w:rFonts w:ascii="Times New Roman" w:hAnsi="Times New Roman"/>
          <w:color w:val="000000"/>
          <w:szCs w:val="24"/>
        </w:rPr>
        <w:t xml:space="preserve">Leaving the RFI and RFP processes in the hands of the utility effectively took the Commission and Commission staff out of the process </w:t>
      </w:r>
      <w:r w:rsidR="00E407C6">
        <w:rPr>
          <w:rFonts w:ascii="Times New Roman" w:hAnsi="Times New Roman"/>
          <w:color w:val="000000"/>
          <w:szCs w:val="24"/>
        </w:rPr>
        <w:t xml:space="preserve">in its </w:t>
      </w:r>
      <w:r w:rsidRPr="00461D01">
        <w:rPr>
          <w:rFonts w:ascii="Times New Roman" w:hAnsi="Times New Roman"/>
          <w:color w:val="000000"/>
          <w:szCs w:val="24"/>
        </w:rPr>
        <w:t>early stages</w:t>
      </w:r>
      <w:r w:rsidR="00E407C6">
        <w:rPr>
          <w:rFonts w:ascii="Times New Roman" w:hAnsi="Times New Roman"/>
          <w:color w:val="000000"/>
          <w:szCs w:val="24"/>
        </w:rPr>
        <w:t>,</w:t>
      </w:r>
      <w:r w:rsidRPr="00461D01">
        <w:rPr>
          <w:rFonts w:ascii="Times New Roman" w:hAnsi="Times New Roman"/>
          <w:color w:val="000000"/>
          <w:szCs w:val="24"/>
        </w:rPr>
        <w:t xml:space="preserve"> when there </w:t>
      </w:r>
      <w:r w:rsidR="00E407C6">
        <w:rPr>
          <w:rFonts w:ascii="Times New Roman" w:hAnsi="Times New Roman"/>
          <w:color w:val="000000"/>
          <w:szCs w:val="24"/>
        </w:rPr>
        <w:t xml:space="preserve">were </w:t>
      </w:r>
      <w:r w:rsidRPr="00461D01">
        <w:rPr>
          <w:rFonts w:ascii="Times New Roman" w:hAnsi="Times New Roman"/>
          <w:color w:val="000000"/>
          <w:szCs w:val="24"/>
        </w:rPr>
        <w:t>opportunities to expand the utility’s conservation portfolio to include all cost-effective conservation.</w:t>
      </w:r>
    </w:p>
    <w:p w14:paraId="014CCFC0"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RFI process actually discourages innovation. </w:t>
      </w:r>
      <w:r w:rsidR="00E407C6">
        <w:rPr>
          <w:rFonts w:ascii="Times New Roman" w:hAnsi="Times New Roman"/>
          <w:color w:val="000000"/>
          <w:szCs w:val="24"/>
        </w:rPr>
        <w:t xml:space="preserve"> </w:t>
      </w:r>
      <w:r w:rsidRPr="00461D01">
        <w:rPr>
          <w:rFonts w:ascii="Times New Roman" w:hAnsi="Times New Roman"/>
          <w:color w:val="000000"/>
          <w:szCs w:val="24"/>
        </w:rPr>
        <w:t xml:space="preserve">While the RFI process is intended to solicit innovative ideas, in practice it discourages innovation because, by its terms, any ideas presented become the </w:t>
      </w:r>
      <w:r w:rsidR="00E407C6">
        <w:rPr>
          <w:rFonts w:ascii="Times New Roman" w:hAnsi="Times New Roman"/>
          <w:color w:val="000000"/>
          <w:szCs w:val="24"/>
        </w:rPr>
        <w:t xml:space="preserve">utility’s </w:t>
      </w:r>
      <w:r w:rsidRPr="00461D01">
        <w:rPr>
          <w:rFonts w:ascii="Times New Roman" w:hAnsi="Times New Roman"/>
          <w:color w:val="000000"/>
          <w:szCs w:val="24"/>
        </w:rPr>
        <w:t>property.</w:t>
      </w:r>
      <w:r w:rsidRPr="00461D01">
        <w:rPr>
          <w:rStyle w:val="FootnoteReference"/>
          <w:rFonts w:ascii="Times New Roman" w:hAnsi="Times New Roman"/>
          <w:color w:val="000000"/>
          <w:szCs w:val="24"/>
        </w:rPr>
        <w:footnoteReference w:id="6"/>
      </w:r>
      <w:r w:rsidRPr="00461D01">
        <w:rPr>
          <w:rFonts w:ascii="Times New Roman" w:hAnsi="Times New Roman"/>
          <w:color w:val="000000"/>
          <w:szCs w:val="24"/>
        </w:rPr>
        <w:t xml:space="preserve">  As a result, a contractor which spends considerable resources developing an idea</w:t>
      </w:r>
      <w:r w:rsidR="00E407C6">
        <w:rPr>
          <w:rFonts w:ascii="Times New Roman" w:hAnsi="Times New Roman"/>
          <w:color w:val="000000"/>
          <w:szCs w:val="24"/>
        </w:rPr>
        <w:t xml:space="preserve"> and submits it </w:t>
      </w:r>
      <w:r w:rsidRPr="00461D01">
        <w:rPr>
          <w:rFonts w:ascii="Times New Roman" w:hAnsi="Times New Roman"/>
          <w:color w:val="000000"/>
          <w:szCs w:val="24"/>
        </w:rPr>
        <w:t xml:space="preserve">in response to an RFI has no assurance </w:t>
      </w:r>
      <w:r w:rsidR="00E407C6">
        <w:rPr>
          <w:rFonts w:ascii="Times New Roman" w:hAnsi="Times New Roman"/>
          <w:color w:val="000000"/>
          <w:szCs w:val="24"/>
        </w:rPr>
        <w:t xml:space="preserve">of a </w:t>
      </w:r>
      <w:r w:rsidR="00BF1D28">
        <w:rPr>
          <w:rFonts w:ascii="Times New Roman" w:hAnsi="Times New Roman"/>
          <w:color w:val="000000"/>
          <w:szCs w:val="24"/>
        </w:rPr>
        <w:t>potential payoff in the end</w:t>
      </w:r>
      <w:r w:rsidR="00BF1D28" w:rsidRPr="001B06CE">
        <w:rPr>
          <w:rFonts w:ascii="Times New Roman" w:hAnsi="Times New Roman"/>
          <w:color w:val="000000"/>
          <w:szCs w:val="24"/>
        </w:rPr>
        <w:t xml:space="preserve">. </w:t>
      </w:r>
      <w:r w:rsidR="00E407C6" w:rsidRPr="001B06CE">
        <w:rPr>
          <w:rFonts w:ascii="Times New Roman" w:hAnsi="Times New Roman"/>
          <w:color w:val="000000"/>
          <w:szCs w:val="24"/>
        </w:rPr>
        <w:t xml:space="preserve"> </w:t>
      </w:r>
      <w:r w:rsidRPr="00B32523">
        <w:rPr>
          <w:rFonts w:ascii="Times New Roman" w:hAnsi="Times New Roman"/>
          <w:color w:val="000000"/>
          <w:szCs w:val="24"/>
        </w:rPr>
        <w:t>The utility may convert the idea into an RFP and then award a</w:t>
      </w:r>
      <w:r w:rsidR="00BF1D28" w:rsidRPr="00B32523">
        <w:rPr>
          <w:rFonts w:ascii="Times New Roman" w:hAnsi="Times New Roman"/>
          <w:color w:val="000000"/>
          <w:szCs w:val="24"/>
        </w:rPr>
        <w:t xml:space="preserve"> bid to some other contractor. </w:t>
      </w:r>
      <w:r w:rsidR="00E407C6" w:rsidRPr="00B32523">
        <w:rPr>
          <w:rFonts w:ascii="Times New Roman" w:hAnsi="Times New Roman"/>
          <w:color w:val="000000"/>
          <w:szCs w:val="24"/>
        </w:rPr>
        <w:t xml:space="preserve"> </w:t>
      </w:r>
      <w:r w:rsidRPr="00B32523">
        <w:rPr>
          <w:rFonts w:ascii="Times New Roman" w:hAnsi="Times New Roman"/>
          <w:color w:val="000000"/>
          <w:szCs w:val="24"/>
        </w:rPr>
        <w:t xml:space="preserve">This barrier </w:t>
      </w:r>
      <w:r w:rsidR="00E407C6" w:rsidRPr="00B32523">
        <w:rPr>
          <w:rFonts w:ascii="Times New Roman" w:hAnsi="Times New Roman"/>
          <w:color w:val="000000"/>
          <w:szCs w:val="24"/>
        </w:rPr>
        <w:t xml:space="preserve">has been </w:t>
      </w:r>
      <w:r w:rsidRPr="00B32523">
        <w:rPr>
          <w:rFonts w:ascii="Times New Roman" w:hAnsi="Times New Roman"/>
          <w:color w:val="000000"/>
          <w:szCs w:val="24"/>
        </w:rPr>
        <w:t xml:space="preserve">addressed in California </w:t>
      </w:r>
      <w:r w:rsidR="00A21F31" w:rsidRPr="00B32523">
        <w:rPr>
          <w:rFonts w:ascii="Times New Roman" w:hAnsi="Times New Roman"/>
          <w:color w:val="000000"/>
          <w:szCs w:val="24"/>
        </w:rPr>
        <w:t xml:space="preserve">where the PUC has required that </w:t>
      </w:r>
      <w:r w:rsidR="00BF1D28" w:rsidRPr="00B32523">
        <w:rPr>
          <w:rFonts w:ascii="Times New Roman" w:hAnsi="Times New Roman"/>
          <w:color w:val="000000"/>
          <w:szCs w:val="24"/>
        </w:rPr>
        <w:t xml:space="preserve">by 2020 </w:t>
      </w:r>
      <w:r w:rsidR="00A21F31" w:rsidRPr="00B32523">
        <w:rPr>
          <w:rFonts w:ascii="Times New Roman" w:hAnsi="Times New Roman"/>
          <w:color w:val="000000"/>
          <w:szCs w:val="24"/>
        </w:rPr>
        <w:t>at least 60% of utility conservation programs be third-party programs, thereby tapping the non-utility sector</w:t>
      </w:r>
      <w:r w:rsidR="00E407C6" w:rsidRPr="00B32523">
        <w:rPr>
          <w:rFonts w:ascii="Times New Roman" w:hAnsi="Times New Roman"/>
          <w:color w:val="000000"/>
          <w:szCs w:val="24"/>
        </w:rPr>
        <w:t>’s creativity</w:t>
      </w:r>
      <w:r w:rsidR="00A21F31" w:rsidRPr="00B32523">
        <w:rPr>
          <w:rFonts w:ascii="Times New Roman" w:hAnsi="Times New Roman"/>
          <w:color w:val="000000"/>
          <w:szCs w:val="24"/>
        </w:rPr>
        <w:t xml:space="preserve"> in develop</w:t>
      </w:r>
      <w:r w:rsidR="00E407C6" w:rsidRPr="00B32523">
        <w:rPr>
          <w:rFonts w:ascii="Times New Roman" w:hAnsi="Times New Roman"/>
          <w:color w:val="000000"/>
          <w:szCs w:val="24"/>
        </w:rPr>
        <w:t>ing</w:t>
      </w:r>
      <w:r w:rsidR="00A21F31" w:rsidRPr="00B32523">
        <w:rPr>
          <w:rFonts w:ascii="Times New Roman" w:hAnsi="Times New Roman"/>
          <w:color w:val="000000"/>
          <w:szCs w:val="24"/>
        </w:rPr>
        <w:t xml:space="preserve"> such programs.</w:t>
      </w:r>
      <w:r w:rsidR="00A21F31" w:rsidRPr="00B32523">
        <w:rPr>
          <w:rStyle w:val="FootnoteReference"/>
          <w:rFonts w:ascii="Times New Roman" w:hAnsi="Times New Roman"/>
          <w:color w:val="000000"/>
          <w:szCs w:val="24"/>
        </w:rPr>
        <w:footnoteReference w:id="7"/>
      </w:r>
      <w:r w:rsidR="00A21F31" w:rsidRPr="00B32523">
        <w:rPr>
          <w:rFonts w:ascii="Times New Roman" w:hAnsi="Times New Roman"/>
          <w:color w:val="000000"/>
          <w:szCs w:val="24"/>
        </w:rPr>
        <w:t xml:space="preserve"> </w:t>
      </w:r>
      <w:r w:rsidR="00E407C6" w:rsidRPr="00B32523">
        <w:rPr>
          <w:rFonts w:ascii="Times New Roman" w:hAnsi="Times New Roman"/>
          <w:color w:val="000000"/>
          <w:szCs w:val="24"/>
        </w:rPr>
        <w:t xml:space="preserve"> </w:t>
      </w:r>
      <w:r w:rsidR="00B563EB" w:rsidRPr="00B32523">
        <w:rPr>
          <w:rFonts w:ascii="Times New Roman" w:hAnsi="Times New Roman"/>
          <w:color w:val="000000"/>
          <w:szCs w:val="24"/>
        </w:rPr>
        <w:t xml:space="preserve">California also employs a “request for </w:t>
      </w:r>
      <w:r w:rsidR="00BF1D28" w:rsidRPr="00B32523">
        <w:rPr>
          <w:rFonts w:ascii="Times New Roman" w:hAnsi="Times New Roman"/>
          <w:color w:val="000000"/>
          <w:szCs w:val="24"/>
        </w:rPr>
        <w:t>abstracts</w:t>
      </w:r>
      <w:r w:rsidR="00B563EB" w:rsidRPr="00B32523">
        <w:rPr>
          <w:rFonts w:ascii="Times New Roman" w:hAnsi="Times New Roman"/>
          <w:color w:val="000000"/>
          <w:szCs w:val="24"/>
        </w:rPr>
        <w:t>,” which differs from the RFI and RFP processes used by PSE in the development of its BCP</w:t>
      </w:r>
      <w:r w:rsidR="00BF1D28" w:rsidRPr="00B32523">
        <w:rPr>
          <w:rFonts w:ascii="Times New Roman" w:hAnsi="Times New Roman"/>
          <w:color w:val="000000"/>
          <w:szCs w:val="24"/>
        </w:rPr>
        <w:t xml:space="preserve">. </w:t>
      </w:r>
      <w:r w:rsidR="00E407C6" w:rsidRPr="00B32523">
        <w:rPr>
          <w:rFonts w:ascii="Times New Roman" w:hAnsi="Times New Roman"/>
          <w:color w:val="000000"/>
          <w:szCs w:val="24"/>
        </w:rPr>
        <w:t xml:space="preserve"> </w:t>
      </w:r>
      <w:r w:rsidR="00BF1D28" w:rsidRPr="00B32523">
        <w:rPr>
          <w:rFonts w:ascii="Times New Roman" w:hAnsi="Times New Roman"/>
          <w:color w:val="000000"/>
          <w:szCs w:val="24"/>
        </w:rPr>
        <w:t xml:space="preserve">The RFA process </w:t>
      </w:r>
      <w:r w:rsidR="00E407C6" w:rsidRPr="00B32523">
        <w:rPr>
          <w:rFonts w:ascii="Times New Roman" w:hAnsi="Times New Roman"/>
          <w:color w:val="000000"/>
          <w:szCs w:val="24"/>
        </w:rPr>
        <w:t xml:space="preserve">allows </w:t>
      </w:r>
      <w:r w:rsidR="00B563EB" w:rsidRPr="00B32523">
        <w:rPr>
          <w:rFonts w:ascii="Times New Roman" w:hAnsi="Times New Roman"/>
          <w:color w:val="000000"/>
          <w:szCs w:val="24"/>
        </w:rPr>
        <w:t>the third parties submitting proposals</w:t>
      </w:r>
      <w:r w:rsidR="00B563EB" w:rsidRPr="001B06CE">
        <w:rPr>
          <w:rFonts w:ascii="Times New Roman" w:hAnsi="Times New Roman"/>
          <w:color w:val="000000"/>
          <w:szCs w:val="24"/>
        </w:rPr>
        <w:t xml:space="preserve"> to “o</w:t>
      </w:r>
      <w:r w:rsidR="00B563EB">
        <w:rPr>
          <w:rFonts w:ascii="Times New Roman" w:hAnsi="Times New Roman"/>
          <w:color w:val="000000"/>
          <w:szCs w:val="24"/>
        </w:rPr>
        <w:t xml:space="preserve">wn” their ideas rather than transferring </w:t>
      </w:r>
      <w:r w:rsidR="00E407C6">
        <w:rPr>
          <w:rFonts w:ascii="Times New Roman" w:hAnsi="Times New Roman"/>
          <w:color w:val="000000"/>
          <w:szCs w:val="24"/>
        </w:rPr>
        <w:t xml:space="preserve">their </w:t>
      </w:r>
      <w:r w:rsidR="00B563EB">
        <w:rPr>
          <w:rFonts w:ascii="Times New Roman" w:hAnsi="Times New Roman"/>
          <w:color w:val="000000"/>
          <w:szCs w:val="24"/>
        </w:rPr>
        <w:t xml:space="preserve">ownership to the utility.  </w:t>
      </w:r>
      <w:r w:rsidR="00E407C6">
        <w:rPr>
          <w:rFonts w:ascii="Times New Roman" w:hAnsi="Times New Roman"/>
          <w:color w:val="000000"/>
          <w:szCs w:val="24"/>
        </w:rPr>
        <w:t xml:space="preserve">This </w:t>
      </w:r>
      <w:r w:rsidR="00B563EB">
        <w:rPr>
          <w:rFonts w:ascii="Times New Roman" w:hAnsi="Times New Roman"/>
          <w:color w:val="000000"/>
          <w:szCs w:val="24"/>
        </w:rPr>
        <w:t xml:space="preserve">gives the third party submitting </w:t>
      </w:r>
      <w:r w:rsidR="00E407C6">
        <w:rPr>
          <w:rFonts w:ascii="Times New Roman" w:hAnsi="Times New Roman"/>
          <w:color w:val="000000"/>
          <w:szCs w:val="24"/>
        </w:rPr>
        <w:t xml:space="preserve">a </w:t>
      </w:r>
      <w:r w:rsidR="00B563EB">
        <w:rPr>
          <w:rFonts w:ascii="Times New Roman" w:hAnsi="Times New Roman"/>
          <w:color w:val="000000"/>
          <w:szCs w:val="24"/>
        </w:rPr>
        <w:t>proposal comfort that its work and innovation will not just be transferred to the utility.  California also employs third party evaluators at the front end of the process to ensure that those third parties submitting proposals are treated fairly.</w:t>
      </w:r>
    </w:p>
    <w:p w14:paraId="014CCFC1"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process resulted in mixed messages. </w:t>
      </w:r>
      <w:r w:rsidR="00E407C6">
        <w:rPr>
          <w:rFonts w:ascii="Times New Roman" w:hAnsi="Times New Roman"/>
          <w:i/>
          <w:color w:val="000000"/>
          <w:szCs w:val="24"/>
        </w:rPr>
        <w:t xml:space="preserve"> </w:t>
      </w:r>
      <w:r w:rsidRPr="00461D01">
        <w:rPr>
          <w:rFonts w:ascii="Times New Roman" w:hAnsi="Times New Roman"/>
          <w:color w:val="000000"/>
          <w:szCs w:val="24"/>
        </w:rPr>
        <w:t xml:space="preserve">Though PSE indicated that the UCONS submission would “be </w:t>
      </w:r>
      <w:r w:rsidRPr="00461D01">
        <w:rPr>
          <w:rFonts w:ascii="Times New Roman" w:hAnsi="Times New Roman"/>
          <w:i/>
          <w:color w:val="000000"/>
          <w:szCs w:val="24"/>
        </w:rPr>
        <w:t>incorporated</w:t>
      </w:r>
      <w:r w:rsidRPr="00461D01">
        <w:rPr>
          <w:rFonts w:ascii="Times New Roman" w:hAnsi="Times New Roman"/>
          <w:color w:val="000000"/>
          <w:szCs w:val="24"/>
        </w:rPr>
        <w:t xml:space="preserve"> into one of our Request for Proposal (RFP) concepts </w:t>
      </w:r>
      <w:r w:rsidRPr="00461D01">
        <w:rPr>
          <w:rFonts w:ascii="Times New Roman" w:hAnsi="Times New Roman"/>
          <w:color w:val="000000"/>
          <w:szCs w:val="24"/>
        </w:rPr>
        <w:lastRenderedPageBreak/>
        <w:t xml:space="preserve">for the 2018-2019 Energy Efficiency Services program portfolio,” it was not.  Instead of focusing on the potential for energy efficiency in </w:t>
      </w:r>
      <w:r w:rsidRPr="00461D01">
        <w:rPr>
          <w:rFonts w:ascii="Times New Roman" w:hAnsi="Times New Roman"/>
          <w:i/>
          <w:color w:val="000000"/>
          <w:szCs w:val="24"/>
        </w:rPr>
        <w:t>all</w:t>
      </w:r>
      <w:r w:rsidRPr="00461D01">
        <w:rPr>
          <w:rFonts w:ascii="Times New Roman" w:hAnsi="Times New Roman"/>
          <w:color w:val="000000"/>
          <w:szCs w:val="24"/>
        </w:rPr>
        <w:t xml:space="preserve"> manufactured homes, PSE jettisoned any focus on </w:t>
      </w:r>
      <w:r w:rsidR="00BF1D28">
        <w:rPr>
          <w:rFonts w:ascii="Times New Roman" w:hAnsi="Times New Roman"/>
          <w:color w:val="000000"/>
          <w:szCs w:val="24"/>
        </w:rPr>
        <w:t xml:space="preserve">improving delivery of conservation programs to the vast majority of manufactured home owners who live in the homes they own. </w:t>
      </w:r>
    </w:p>
    <w:p w14:paraId="014CCFC2" w14:textId="77777777" w:rsidR="00461D01" w:rsidRPr="001B06CE"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process artificially restricted proposals. </w:t>
      </w:r>
      <w:r w:rsidR="00E407C6">
        <w:rPr>
          <w:rFonts w:ascii="Times New Roman" w:hAnsi="Times New Roman"/>
          <w:i/>
          <w:color w:val="000000"/>
          <w:szCs w:val="24"/>
        </w:rPr>
        <w:t xml:space="preserve"> </w:t>
      </w:r>
      <w:r w:rsidRPr="00461D01">
        <w:rPr>
          <w:rFonts w:ascii="Times New Roman" w:hAnsi="Times New Roman"/>
          <w:color w:val="000000"/>
          <w:szCs w:val="24"/>
        </w:rPr>
        <w:t xml:space="preserve">In the end, PSE rejected the UCONS proposal because it did not address the </w:t>
      </w:r>
      <w:r w:rsidR="00E407C6">
        <w:rPr>
          <w:rFonts w:ascii="Times New Roman" w:hAnsi="Times New Roman"/>
          <w:color w:val="000000"/>
          <w:szCs w:val="24"/>
        </w:rPr>
        <w:t xml:space="preserve">MH </w:t>
      </w:r>
      <w:r w:rsidRPr="00461D01">
        <w:rPr>
          <w:rFonts w:ascii="Times New Roman" w:hAnsi="Times New Roman"/>
          <w:color w:val="000000"/>
          <w:szCs w:val="24"/>
        </w:rPr>
        <w:t xml:space="preserve">rental market, even though PSE has demonstrated since 2010 that MH owners </w:t>
      </w:r>
      <w:r w:rsidR="00BF1D28">
        <w:rPr>
          <w:rFonts w:ascii="Times New Roman" w:hAnsi="Times New Roman"/>
          <w:color w:val="000000"/>
          <w:szCs w:val="24"/>
        </w:rPr>
        <w:t xml:space="preserve">who rent </w:t>
      </w:r>
      <w:r w:rsidR="00E407C6">
        <w:rPr>
          <w:rFonts w:ascii="Times New Roman" w:hAnsi="Times New Roman"/>
          <w:color w:val="000000"/>
          <w:szCs w:val="24"/>
        </w:rPr>
        <w:t xml:space="preserve">out </w:t>
      </w:r>
      <w:r w:rsidR="00BF1D28">
        <w:rPr>
          <w:rFonts w:ascii="Times New Roman" w:hAnsi="Times New Roman"/>
          <w:color w:val="000000"/>
          <w:szCs w:val="24"/>
        </w:rPr>
        <w:t xml:space="preserve">their homes </w:t>
      </w:r>
      <w:r w:rsidRPr="00461D01">
        <w:rPr>
          <w:rFonts w:ascii="Times New Roman" w:hAnsi="Times New Roman"/>
          <w:color w:val="000000"/>
          <w:szCs w:val="24"/>
        </w:rPr>
        <w:t xml:space="preserve">will not participate in a utility program which is </w:t>
      </w:r>
      <w:r w:rsidR="00E407C6">
        <w:rPr>
          <w:rFonts w:ascii="Times New Roman" w:hAnsi="Times New Roman"/>
          <w:color w:val="000000"/>
          <w:szCs w:val="24"/>
        </w:rPr>
        <w:t xml:space="preserve">not </w:t>
      </w:r>
      <w:r w:rsidRPr="00461D01">
        <w:rPr>
          <w:rFonts w:ascii="Times New Roman" w:hAnsi="Times New Roman"/>
          <w:color w:val="000000"/>
          <w:szCs w:val="24"/>
        </w:rPr>
        <w:t xml:space="preserve">comprehensive </w:t>
      </w:r>
      <w:r w:rsidR="00E407C6">
        <w:rPr>
          <w:rFonts w:ascii="Times New Roman" w:hAnsi="Times New Roman"/>
          <w:color w:val="000000"/>
          <w:szCs w:val="24"/>
        </w:rPr>
        <w:t xml:space="preserve">or </w:t>
      </w:r>
      <w:r w:rsidRPr="00461D01">
        <w:rPr>
          <w:rFonts w:ascii="Times New Roman" w:hAnsi="Times New Roman"/>
          <w:color w:val="000000"/>
          <w:szCs w:val="24"/>
        </w:rPr>
        <w:t>fully funded.  So, instead of evaluating the UCONS proposal based on its potential for acquiring cost-effective conservation</w:t>
      </w:r>
      <w:r w:rsidR="00E407C6">
        <w:rPr>
          <w:rFonts w:ascii="Times New Roman" w:hAnsi="Times New Roman"/>
          <w:color w:val="000000"/>
          <w:szCs w:val="24"/>
        </w:rPr>
        <w:t xml:space="preserve"> from throughout the MH sector</w:t>
      </w:r>
      <w:r w:rsidRPr="00461D01">
        <w:rPr>
          <w:rFonts w:ascii="Times New Roman" w:hAnsi="Times New Roman"/>
          <w:color w:val="000000"/>
          <w:szCs w:val="24"/>
        </w:rPr>
        <w:t xml:space="preserve">, PSE rejected it because it did not fall within the confines of its </w:t>
      </w:r>
      <w:r w:rsidRPr="001B06CE">
        <w:rPr>
          <w:rFonts w:ascii="Times New Roman" w:hAnsi="Times New Roman"/>
          <w:color w:val="000000"/>
          <w:szCs w:val="24"/>
        </w:rPr>
        <w:t>artificially narrow focus on rental markets.</w:t>
      </w:r>
    </w:p>
    <w:p w14:paraId="014CCFC3" w14:textId="77777777" w:rsidR="00461D01" w:rsidRPr="00B32523" w:rsidRDefault="00461D01" w:rsidP="001B06CE">
      <w:pPr>
        <w:pStyle w:val="ListParagraph"/>
        <w:numPr>
          <w:ilvl w:val="0"/>
          <w:numId w:val="14"/>
        </w:numPr>
        <w:spacing w:before="100" w:beforeAutospacing="1" w:after="100" w:afterAutospacing="1"/>
        <w:contextualSpacing/>
        <w:rPr>
          <w:rFonts w:ascii="Times New Roman" w:hAnsi="Times New Roman"/>
          <w:color w:val="000000"/>
          <w:szCs w:val="24"/>
        </w:rPr>
      </w:pPr>
      <w:r w:rsidRPr="001B06CE">
        <w:rPr>
          <w:rFonts w:ascii="Times New Roman" w:hAnsi="Times New Roman"/>
          <w:i/>
          <w:color w:val="000000"/>
          <w:szCs w:val="24"/>
        </w:rPr>
        <w:t>There are inadequate incentives for utilities to actively pursue all cost-effective conservation</w:t>
      </w:r>
      <w:r w:rsidRPr="00461D01">
        <w:rPr>
          <w:rFonts w:ascii="Times New Roman" w:hAnsi="Times New Roman"/>
          <w:i/>
          <w:color w:val="000000"/>
          <w:szCs w:val="24"/>
        </w:rPr>
        <w:t>.</w:t>
      </w:r>
      <w:r w:rsidRPr="00461D01">
        <w:rPr>
          <w:rFonts w:ascii="Times New Roman" w:hAnsi="Times New Roman"/>
          <w:color w:val="000000"/>
          <w:szCs w:val="24"/>
        </w:rPr>
        <w:t xml:space="preserve">  In Washington, I-937 requires utilities to pursue </w:t>
      </w:r>
      <w:r w:rsidRPr="00461D01">
        <w:rPr>
          <w:rFonts w:ascii="Times New Roman" w:hAnsi="Times New Roman"/>
          <w:i/>
          <w:color w:val="000000"/>
          <w:szCs w:val="24"/>
        </w:rPr>
        <w:t>all</w:t>
      </w:r>
      <w:r w:rsidRPr="00461D01">
        <w:rPr>
          <w:rFonts w:ascii="Times New Roman" w:hAnsi="Times New Roman"/>
          <w:color w:val="000000"/>
          <w:szCs w:val="24"/>
        </w:rPr>
        <w:t xml:space="preserve"> cost-effective conservation, and the Commission’s adoption of revenue decoupling is intended to remove any disincentive for utilities to so by making utilities “agnostic” on whether or not they acquire conservation resources.  However, despite this mandate and regulatory policy, utilities are not finding it in their economic interests to aggressively pursue all cost-effective conservation as required by state law</w:t>
      </w:r>
      <w:r w:rsidRPr="001B06CE">
        <w:rPr>
          <w:rFonts w:ascii="Times New Roman" w:hAnsi="Times New Roman"/>
          <w:color w:val="000000"/>
          <w:szCs w:val="24"/>
        </w:rPr>
        <w:t>.</w:t>
      </w:r>
      <w:r w:rsidR="00FA53A9" w:rsidRPr="001B06CE">
        <w:rPr>
          <w:rFonts w:ascii="Times New Roman" w:hAnsi="Times New Roman"/>
          <w:color w:val="000000"/>
          <w:szCs w:val="24"/>
        </w:rPr>
        <w:t xml:space="preserve"> </w:t>
      </w:r>
      <w:r w:rsidR="00E407C6" w:rsidRPr="001B06CE">
        <w:rPr>
          <w:rFonts w:ascii="Times New Roman" w:hAnsi="Times New Roman"/>
          <w:color w:val="000000"/>
          <w:szCs w:val="24"/>
        </w:rPr>
        <w:t xml:space="preserve"> </w:t>
      </w:r>
      <w:r w:rsidR="00FA53A9" w:rsidRPr="00B32523">
        <w:rPr>
          <w:rFonts w:ascii="Times New Roman" w:hAnsi="Times New Roman"/>
          <w:color w:val="000000"/>
          <w:szCs w:val="24"/>
        </w:rPr>
        <w:t>Further, leaving utilities in their current role of being involved with evaluating their own conservation programs does not promote confidence that “all cost</w:t>
      </w:r>
      <w:r w:rsidR="001B06CE">
        <w:rPr>
          <w:rFonts w:ascii="Times New Roman" w:hAnsi="Times New Roman"/>
          <w:color w:val="000000"/>
          <w:szCs w:val="24"/>
        </w:rPr>
        <w:t>-</w:t>
      </w:r>
      <w:r w:rsidR="00FA53A9" w:rsidRPr="00B32523">
        <w:rPr>
          <w:rFonts w:ascii="Times New Roman" w:hAnsi="Times New Roman"/>
          <w:color w:val="000000"/>
          <w:szCs w:val="24"/>
        </w:rPr>
        <w:t>effective conservation</w:t>
      </w:r>
      <w:r w:rsidR="00E407C6" w:rsidRPr="00B32523">
        <w:rPr>
          <w:rFonts w:ascii="Times New Roman" w:hAnsi="Times New Roman"/>
          <w:color w:val="000000"/>
          <w:szCs w:val="24"/>
        </w:rPr>
        <w:t>”</w:t>
      </w:r>
      <w:r w:rsidR="00FA53A9" w:rsidRPr="00B32523">
        <w:rPr>
          <w:rFonts w:ascii="Times New Roman" w:hAnsi="Times New Roman"/>
          <w:color w:val="000000"/>
          <w:szCs w:val="24"/>
        </w:rPr>
        <w:t xml:space="preserve"> has been achieved. Indeed, that has not occurred.</w:t>
      </w:r>
    </w:p>
    <w:p w14:paraId="014CCFC4" w14:textId="77777777" w:rsidR="00BA6D3A" w:rsidRPr="00461D01" w:rsidRDefault="00BA6D3A" w:rsidP="00BA6D3A">
      <w:pPr>
        <w:spacing w:before="100" w:beforeAutospacing="1" w:after="100" w:afterAutospacing="1"/>
        <w:rPr>
          <w:color w:val="000000"/>
        </w:rPr>
      </w:pPr>
      <w:r>
        <w:rPr>
          <w:color w:val="000000"/>
        </w:rPr>
        <w:t xml:space="preserve">In our view, the best </w:t>
      </w:r>
      <w:r w:rsidRPr="00343203">
        <w:rPr>
          <w:rFonts w:eastAsia="Times New Roman"/>
          <w:color w:val="000000"/>
        </w:rPr>
        <w:t xml:space="preserve">way to </w:t>
      </w:r>
      <w:r>
        <w:rPr>
          <w:rFonts w:eastAsia="Times New Roman"/>
          <w:color w:val="000000"/>
        </w:rPr>
        <w:t xml:space="preserve">overcome these and other barriers and to </w:t>
      </w:r>
      <w:r w:rsidRPr="00343203">
        <w:rPr>
          <w:rFonts w:eastAsia="Times New Roman"/>
          <w:color w:val="000000"/>
        </w:rPr>
        <w:t>ensure the acquisition of all cost-effective conservation by utilities would be to take conservation programs out of the utilities’ hands and place them with an independent third party, akin to the Energy Trust of Oregon (ETO).</w:t>
      </w:r>
      <w:r w:rsidRPr="00343203">
        <w:rPr>
          <w:rStyle w:val="FootnoteReference"/>
          <w:rFonts w:eastAsia="Times New Roman"/>
          <w:color w:val="000000"/>
        </w:rPr>
        <w:footnoteReference w:id="8"/>
      </w:r>
      <w:r w:rsidRPr="00343203">
        <w:rPr>
          <w:rFonts w:eastAsia="Times New Roman"/>
          <w:color w:val="000000"/>
        </w:rPr>
        <w:t xml:space="preserve">  In Oregon, the creation of the ETO has led to consistency of programs across utilities, reduced administrative oversight, and eliminated the inherent conflict of interest that utilities have when they are required to acquire conservation but have the economic incentive to sell more energy instead.  Adopting an ETO model in Washington would require legislation, and developing such legislation and getting it enacted would take years.</w:t>
      </w:r>
      <w:r>
        <w:rPr>
          <w:rFonts w:eastAsia="Times New Roman"/>
          <w:color w:val="000000"/>
        </w:rPr>
        <w:t xml:space="preserve">  In any event, </w:t>
      </w:r>
      <w:r w:rsidR="00E407C6">
        <w:rPr>
          <w:rFonts w:eastAsia="Times New Roman"/>
          <w:color w:val="000000"/>
        </w:rPr>
        <w:t xml:space="preserve">creating an ETO model in Washington </w:t>
      </w:r>
      <w:r>
        <w:rPr>
          <w:rFonts w:eastAsia="Times New Roman"/>
          <w:color w:val="000000"/>
        </w:rPr>
        <w:t>is beyond the scope what is currently before the Commission.</w:t>
      </w:r>
    </w:p>
    <w:p w14:paraId="014CCFC5" w14:textId="77777777" w:rsidR="00023737" w:rsidRDefault="00343203" w:rsidP="00343203">
      <w:pPr>
        <w:pStyle w:val="ListParagraph"/>
        <w:numPr>
          <w:ilvl w:val="0"/>
          <w:numId w:val="11"/>
        </w:numPr>
        <w:spacing w:before="100" w:beforeAutospacing="1" w:after="100" w:afterAutospacing="1"/>
        <w:rPr>
          <w:rFonts w:ascii="Times New Roman" w:hAnsi="Times New Roman"/>
          <w:b/>
          <w:color w:val="000000"/>
          <w:szCs w:val="24"/>
        </w:rPr>
      </w:pPr>
      <w:r>
        <w:rPr>
          <w:rFonts w:ascii="Times New Roman" w:hAnsi="Times New Roman"/>
          <w:b/>
          <w:color w:val="000000"/>
          <w:szCs w:val="24"/>
        </w:rPr>
        <w:t>REQUEST FOR COMMISSION ACTION</w:t>
      </w:r>
    </w:p>
    <w:p w14:paraId="014CCFC6" w14:textId="77777777" w:rsidR="00343203" w:rsidRPr="00343203" w:rsidRDefault="00343203" w:rsidP="00343203">
      <w:pPr>
        <w:spacing w:before="100" w:beforeAutospacing="1" w:after="100" w:afterAutospacing="1"/>
        <w:rPr>
          <w:color w:val="000000"/>
        </w:rPr>
      </w:pPr>
      <w:r>
        <w:rPr>
          <w:color w:val="000000"/>
        </w:rPr>
        <w:t xml:space="preserve">Based </w:t>
      </w:r>
      <w:r w:rsidR="004C29B8">
        <w:rPr>
          <w:color w:val="000000"/>
        </w:rPr>
        <w:t>on UCONS</w:t>
      </w:r>
      <w:r w:rsidRPr="00343203">
        <w:rPr>
          <w:color w:val="000000"/>
        </w:rPr>
        <w:t xml:space="preserve"> long history </w:t>
      </w:r>
      <w:r w:rsidR="00E407C6">
        <w:rPr>
          <w:color w:val="000000"/>
        </w:rPr>
        <w:t xml:space="preserve">of </w:t>
      </w:r>
      <w:r w:rsidRPr="00343203">
        <w:rPr>
          <w:color w:val="000000"/>
        </w:rPr>
        <w:t xml:space="preserve">serving HTR markets, particularly those in manufactured homes, the focus of the </w:t>
      </w:r>
      <w:r w:rsidR="00E407C6">
        <w:rPr>
          <w:color w:val="000000"/>
        </w:rPr>
        <w:t xml:space="preserve">Northwest </w:t>
      </w:r>
      <w:r w:rsidRPr="00343203">
        <w:rPr>
          <w:color w:val="000000"/>
        </w:rPr>
        <w:t>Council on acquiring cost-effective conservation in such markets, and our experience in navigating the PSE RFI and RFP processes, we recommend the following:</w:t>
      </w:r>
    </w:p>
    <w:p w14:paraId="014CCFC7" w14:textId="77777777" w:rsidR="00343203" w:rsidRPr="00E407C6" w:rsidRDefault="00E407C6" w:rsidP="001B06CE">
      <w:pPr>
        <w:spacing w:before="100" w:beforeAutospacing="1" w:after="100" w:afterAutospacing="1"/>
        <w:ind w:left="720" w:hanging="720"/>
        <w:contextualSpacing/>
        <w:rPr>
          <w:color w:val="000000"/>
        </w:rPr>
      </w:pPr>
      <w:r w:rsidRPr="00E407C6">
        <w:rPr>
          <w:color w:val="000000"/>
        </w:rPr>
        <w:lastRenderedPageBreak/>
        <w:t>1.</w:t>
      </w:r>
      <w:r w:rsidRPr="00E407C6">
        <w:rPr>
          <w:color w:val="000000"/>
        </w:rPr>
        <w:tab/>
      </w:r>
      <w:r w:rsidR="00343203" w:rsidRPr="00E407C6">
        <w:rPr>
          <w:i/>
          <w:color w:val="000000"/>
        </w:rPr>
        <w:t xml:space="preserve">Consideration of PSE’s BCP.  </w:t>
      </w:r>
      <w:r w:rsidR="00343203" w:rsidRPr="00E407C6">
        <w:rPr>
          <w:color w:val="000000"/>
        </w:rPr>
        <w:t xml:space="preserve">In evaluating PSE’s BCP, the Commission should direct PSE to renew its efforts to pursue conservation </w:t>
      </w:r>
      <w:r w:rsidRPr="00E407C6">
        <w:rPr>
          <w:color w:val="000000"/>
        </w:rPr>
        <w:t xml:space="preserve">in </w:t>
      </w:r>
      <w:r w:rsidR="00343203" w:rsidRPr="00E407C6">
        <w:rPr>
          <w:color w:val="000000"/>
        </w:rPr>
        <w:t>the MH market, as PSE indicated it would in its 2017 update and in early discussions relatin</w:t>
      </w:r>
      <w:r w:rsidR="004C29B8" w:rsidRPr="00E407C6">
        <w:rPr>
          <w:color w:val="000000"/>
        </w:rPr>
        <w:t xml:space="preserve">g to the </w:t>
      </w:r>
      <w:r w:rsidRPr="00E407C6">
        <w:rPr>
          <w:color w:val="000000"/>
        </w:rPr>
        <w:t xml:space="preserve">BCP’s </w:t>
      </w:r>
      <w:r w:rsidR="004C29B8" w:rsidRPr="00E407C6">
        <w:rPr>
          <w:color w:val="000000"/>
        </w:rPr>
        <w:t>development</w:t>
      </w:r>
      <w:r w:rsidR="00343203" w:rsidRPr="00E407C6">
        <w:rPr>
          <w:color w:val="000000"/>
        </w:rPr>
        <w:t xml:space="preserve">. </w:t>
      </w:r>
      <w:r w:rsidRPr="00E407C6">
        <w:rPr>
          <w:color w:val="000000"/>
        </w:rPr>
        <w:t xml:space="preserve"> </w:t>
      </w:r>
      <w:r w:rsidR="00471AC1" w:rsidRPr="00E407C6">
        <w:rPr>
          <w:color w:val="000000"/>
        </w:rPr>
        <w:t xml:space="preserve">The requirement that utilities “adaptively manage” their portfolios provides ample authority for the Commission to mandate this. </w:t>
      </w:r>
      <w:r w:rsidRPr="00E407C6">
        <w:rPr>
          <w:color w:val="000000"/>
        </w:rPr>
        <w:t xml:space="preserve"> </w:t>
      </w:r>
      <w:r w:rsidR="00343203" w:rsidRPr="00E407C6">
        <w:rPr>
          <w:color w:val="000000"/>
        </w:rPr>
        <w:t xml:space="preserve">This </w:t>
      </w:r>
      <w:r w:rsidR="004C29B8" w:rsidRPr="00E407C6">
        <w:rPr>
          <w:color w:val="000000"/>
        </w:rPr>
        <w:t xml:space="preserve">Commission action </w:t>
      </w:r>
      <w:r w:rsidR="00343203" w:rsidRPr="00E407C6">
        <w:rPr>
          <w:color w:val="000000"/>
        </w:rPr>
        <w:t>could include:</w:t>
      </w:r>
    </w:p>
    <w:p w14:paraId="014CCFC8" w14:textId="77777777" w:rsidR="008F33CE" w:rsidRDefault="00343203"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Directing PSE to issue a new RFP that would permit</w:t>
      </w:r>
      <w:r w:rsidR="008F33CE">
        <w:rPr>
          <w:rFonts w:ascii="Times New Roman" w:hAnsi="Times New Roman"/>
          <w:color w:val="000000"/>
        </w:rPr>
        <w:t xml:space="preserve"> contractors to propose programs to acquire conservation from HTR markets, without artificial limitations relating to property ownership.</w:t>
      </w:r>
    </w:p>
    <w:p w14:paraId="014CCFC9" w14:textId="77777777" w:rsidR="008F33CE" w:rsidRDefault="008F33CE"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 xml:space="preserve">Issuing a broader “Request for Ideas” akin to the process in California </w:t>
      </w:r>
      <w:r w:rsidR="00E407C6">
        <w:rPr>
          <w:rFonts w:ascii="Times New Roman" w:hAnsi="Times New Roman"/>
          <w:color w:val="000000"/>
        </w:rPr>
        <w:t xml:space="preserve">to </w:t>
      </w:r>
      <w:r>
        <w:rPr>
          <w:rFonts w:ascii="Times New Roman" w:hAnsi="Times New Roman"/>
          <w:color w:val="000000"/>
        </w:rPr>
        <w:t xml:space="preserve">coax out of the private sector new ideas that would be the property of </w:t>
      </w:r>
      <w:r w:rsidR="00E407C6">
        <w:rPr>
          <w:rFonts w:ascii="Times New Roman" w:hAnsi="Times New Roman"/>
          <w:color w:val="000000"/>
        </w:rPr>
        <w:t xml:space="preserve">their </w:t>
      </w:r>
      <w:r>
        <w:rPr>
          <w:rFonts w:ascii="Times New Roman" w:hAnsi="Times New Roman"/>
          <w:color w:val="000000"/>
        </w:rPr>
        <w:t xml:space="preserve">third party </w:t>
      </w:r>
      <w:r w:rsidR="00E407C6">
        <w:rPr>
          <w:rFonts w:ascii="Times New Roman" w:hAnsi="Times New Roman"/>
          <w:color w:val="000000"/>
        </w:rPr>
        <w:t xml:space="preserve">creator </w:t>
      </w:r>
      <w:r>
        <w:rPr>
          <w:rFonts w:ascii="Times New Roman" w:hAnsi="Times New Roman"/>
          <w:color w:val="000000"/>
        </w:rPr>
        <w:t xml:space="preserve">and would be accepted by the utility if demonstrated to be cost-effective. </w:t>
      </w:r>
    </w:p>
    <w:p w14:paraId="014CCFCA" w14:textId="77777777" w:rsidR="00343203" w:rsidRDefault="008F33CE"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Direct Commission Staff to take an active role in any such supplemental process to ensure that it is fair and thorough.</w:t>
      </w:r>
      <w:r w:rsidR="00B32523">
        <w:rPr>
          <w:rFonts w:ascii="Times New Roman" w:hAnsi="Times New Roman"/>
          <w:color w:val="000000"/>
        </w:rPr>
        <w:br/>
      </w:r>
    </w:p>
    <w:p w14:paraId="014CCFCB" w14:textId="77777777" w:rsidR="00471AC1" w:rsidRPr="001B06CE" w:rsidRDefault="008F33CE" w:rsidP="00C5749C">
      <w:pPr>
        <w:pStyle w:val="ListParagraph"/>
        <w:numPr>
          <w:ilvl w:val="0"/>
          <w:numId w:val="16"/>
        </w:numPr>
        <w:spacing w:before="100" w:beforeAutospacing="1" w:after="240"/>
        <w:rPr>
          <w:rFonts w:ascii="Times New Roman" w:hAnsi="Times New Roman"/>
          <w:color w:val="000000"/>
        </w:rPr>
      </w:pPr>
      <w:r w:rsidRPr="00BA6D3A">
        <w:rPr>
          <w:rFonts w:ascii="Times New Roman" w:hAnsi="Times New Roman"/>
          <w:i/>
          <w:color w:val="000000"/>
        </w:rPr>
        <w:t>Longer Term.</w:t>
      </w:r>
      <w:r w:rsidRPr="00BA6D3A">
        <w:rPr>
          <w:rFonts w:ascii="Times New Roman" w:hAnsi="Times New Roman"/>
          <w:color w:val="000000"/>
        </w:rPr>
        <w:t xml:space="preserve">  Because of the above-described institutional barriers, the Commission should direct Staff to conduct workshops, </w:t>
      </w:r>
      <w:r w:rsidRPr="00B32523">
        <w:rPr>
          <w:rFonts w:ascii="Times New Roman" w:hAnsi="Times New Roman"/>
          <w:color w:val="000000"/>
        </w:rPr>
        <w:t>perhaps leading to a rule-making proceeding,</w:t>
      </w:r>
      <w:r w:rsidRPr="001B06CE">
        <w:rPr>
          <w:rFonts w:ascii="Times New Roman" w:hAnsi="Times New Roman"/>
          <w:color w:val="000000"/>
        </w:rPr>
        <w:t xml:space="preserve"> </w:t>
      </w:r>
      <w:r w:rsidR="00471AC1" w:rsidRPr="001B06CE">
        <w:rPr>
          <w:rFonts w:ascii="Times New Roman" w:hAnsi="Times New Roman"/>
          <w:color w:val="000000"/>
        </w:rPr>
        <w:t>that would consider the following:</w:t>
      </w:r>
    </w:p>
    <w:p w14:paraId="014CCFCC" w14:textId="77777777" w:rsidR="00471AC1" w:rsidRPr="00BA6D3A" w:rsidRDefault="00471AC1"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color w:val="000000"/>
        </w:rPr>
        <w:t xml:space="preserve">Adopting some elements of the program in effect in California in which the California Public Utilities Commission </w:t>
      </w:r>
      <w:r w:rsidR="00BF1D28">
        <w:rPr>
          <w:rFonts w:ascii="Times New Roman" w:hAnsi="Times New Roman"/>
          <w:color w:val="000000"/>
        </w:rPr>
        <w:t xml:space="preserve">currently </w:t>
      </w:r>
      <w:r w:rsidRPr="00BA6D3A">
        <w:rPr>
          <w:rFonts w:ascii="Times New Roman" w:hAnsi="Times New Roman"/>
          <w:color w:val="000000"/>
        </w:rPr>
        <w:t xml:space="preserve">requires utilities to include at least </w:t>
      </w:r>
      <w:r w:rsidR="00BF1D28">
        <w:rPr>
          <w:rFonts w:ascii="Times New Roman" w:hAnsi="Times New Roman"/>
          <w:color w:val="000000"/>
        </w:rPr>
        <w:t>2</w:t>
      </w:r>
      <w:r w:rsidRPr="00BA6D3A">
        <w:rPr>
          <w:rFonts w:ascii="Times New Roman" w:hAnsi="Times New Roman"/>
          <w:color w:val="000000"/>
        </w:rPr>
        <w:t xml:space="preserve">0% third party programs </w:t>
      </w:r>
      <w:r w:rsidR="00BF1D28">
        <w:rPr>
          <w:rFonts w:ascii="Times New Roman" w:hAnsi="Times New Roman"/>
          <w:color w:val="000000"/>
        </w:rPr>
        <w:t xml:space="preserve">(increasing to 60% by 2020) </w:t>
      </w:r>
      <w:r w:rsidRPr="00BA6D3A">
        <w:rPr>
          <w:rFonts w:ascii="Times New Roman" w:hAnsi="Times New Roman"/>
          <w:color w:val="000000"/>
        </w:rPr>
        <w:t>and provides for utility “requests for ideas” that can lead to innovative approaches to the acquisition of conservation.</w:t>
      </w:r>
    </w:p>
    <w:p w14:paraId="014CCFCD" w14:textId="77777777" w:rsidR="00471AC1" w:rsidRPr="00BA6D3A" w:rsidRDefault="00471AC1"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color w:val="000000"/>
        </w:rPr>
        <w:t>Requiring greater transparency, including publication, of a utility’s avoided costs so third parties are better able to determine whether to invest in developing innovative proposals.</w:t>
      </w:r>
    </w:p>
    <w:p w14:paraId="014CCFCE" w14:textId="77777777" w:rsidR="00471AC1" w:rsidRPr="00B32523" w:rsidRDefault="00471AC1" w:rsidP="00471AC1">
      <w:pPr>
        <w:pStyle w:val="ListParagraph"/>
        <w:numPr>
          <w:ilvl w:val="1"/>
          <w:numId w:val="16"/>
        </w:numPr>
        <w:spacing w:before="100" w:beforeAutospacing="1" w:after="100" w:afterAutospacing="1"/>
        <w:rPr>
          <w:rFonts w:ascii="Times New Roman" w:hAnsi="Times New Roman"/>
          <w:color w:val="000000"/>
        </w:rPr>
      </w:pPr>
      <w:r w:rsidRPr="00B32523">
        <w:rPr>
          <w:rFonts w:ascii="Times New Roman" w:hAnsi="Times New Roman"/>
          <w:color w:val="000000"/>
        </w:rPr>
        <w:t>Requiring</w:t>
      </w:r>
      <w:r w:rsidR="00E407C6" w:rsidRPr="00B32523">
        <w:rPr>
          <w:rFonts w:ascii="Times New Roman" w:hAnsi="Times New Roman"/>
          <w:color w:val="000000"/>
        </w:rPr>
        <w:t>,</w:t>
      </w:r>
      <w:r w:rsidRPr="00B32523">
        <w:rPr>
          <w:rFonts w:ascii="Times New Roman" w:hAnsi="Times New Roman"/>
          <w:color w:val="000000"/>
        </w:rPr>
        <w:t xml:space="preserve"> at the front end of the process</w:t>
      </w:r>
      <w:r w:rsidR="00E407C6" w:rsidRPr="00B32523">
        <w:rPr>
          <w:rFonts w:ascii="Times New Roman" w:hAnsi="Times New Roman"/>
          <w:color w:val="000000"/>
        </w:rPr>
        <w:t>,</w:t>
      </w:r>
      <w:r w:rsidRPr="00B32523">
        <w:rPr>
          <w:rFonts w:ascii="Times New Roman" w:hAnsi="Times New Roman"/>
          <w:color w:val="000000"/>
        </w:rPr>
        <w:t xml:space="preserve"> independent third-party evaluations of utility RFIs and RFPs to ensure that </w:t>
      </w:r>
      <w:r w:rsidR="00BA6D3A" w:rsidRPr="00B32523">
        <w:rPr>
          <w:rFonts w:ascii="Times New Roman" w:hAnsi="Times New Roman"/>
          <w:color w:val="000000"/>
        </w:rPr>
        <w:t>the utilities do not artificially constrain the scope of their solicitation of ideas.</w:t>
      </w:r>
      <w:r w:rsidR="00BF1D28" w:rsidRPr="00B32523">
        <w:rPr>
          <w:rFonts w:ascii="Times New Roman" w:hAnsi="Times New Roman"/>
          <w:color w:val="000000"/>
        </w:rPr>
        <w:t xml:space="preserve"> Requiring at the back end of the process independent </w:t>
      </w:r>
      <w:r w:rsidR="002142BF" w:rsidRPr="00B32523">
        <w:rPr>
          <w:rFonts w:ascii="Times New Roman" w:hAnsi="Times New Roman"/>
          <w:color w:val="000000"/>
        </w:rPr>
        <w:t>EM&amp;V oversight by the UTC of conservation funded programs administered by regulated utilities</w:t>
      </w:r>
    </w:p>
    <w:p w14:paraId="014CCFCF" w14:textId="77777777" w:rsidR="00BA6D3A" w:rsidRPr="00BA6D3A" w:rsidRDefault="00BA6D3A"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rPr>
        <w:t>Requiring that utilities prepare and submit data segmented by customer group to facilitate further evaluation of conservation potential from such customer groups.</w:t>
      </w:r>
    </w:p>
    <w:p w14:paraId="014CCFD0" w14:textId="77777777" w:rsidR="00461D01" w:rsidRPr="00BA6D3A" w:rsidRDefault="00BA6D3A" w:rsidP="00461D01">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rPr>
        <w:t>Consideration of mechanisms by which utilities</w:t>
      </w:r>
      <w:r w:rsidR="00461D01" w:rsidRPr="00BA6D3A">
        <w:rPr>
          <w:rFonts w:ascii="Times New Roman" w:hAnsi="Times New Roman"/>
          <w:color w:val="000000"/>
        </w:rPr>
        <w:t xml:space="preserve"> </w:t>
      </w:r>
      <w:r>
        <w:rPr>
          <w:rFonts w:ascii="Times New Roman" w:hAnsi="Times New Roman"/>
          <w:color w:val="000000"/>
        </w:rPr>
        <w:t xml:space="preserve">could receive </w:t>
      </w:r>
      <w:r w:rsidR="00461D01" w:rsidRPr="00BA6D3A">
        <w:rPr>
          <w:rFonts w:ascii="Times New Roman" w:hAnsi="Times New Roman"/>
          <w:color w:val="000000"/>
        </w:rPr>
        <w:t>appropriate incentives to acquire more conservation.  These policies could include performance or other financial incentives designed to move utilities from being “agnostic” on acquiring energy efficiency (as revenue decoupling seeks to do) to becoming zealous advocates for demand-</w:t>
      </w:r>
      <w:r w:rsidR="00461D01" w:rsidRPr="00BA6D3A">
        <w:rPr>
          <w:color w:val="000000"/>
        </w:rPr>
        <w:t xml:space="preserve">side resources. </w:t>
      </w:r>
    </w:p>
    <w:p w14:paraId="014CCFD1" w14:textId="77777777" w:rsidR="00BA6D3A" w:rsidRDefault="00461D01" w:rsidP="00461D01">
      <w:pPr>
        <w:spacing w:before="100" w:beforeAutospacing="1" w:after="100" w:afterAutospacing="1"/>
        <w:rPr>
          <w:rFonts w:eastAsia="Times New Roman"/>
          <w:color w:val="000000"/>
        </w:rPr>
      </w:pPr>
      <w:r w:rsidRPr="00461D01">
        <w:rPr>
          <w:rFonts w:eastAsia="Times New Roman"/>
          <w:color w:val="000000"/>
        </w:rPr>
        <w:t xml:space="preserve">The purpose of </w:t>
      </w:r>
      <w:r w:rsidR="00BA6D3A">
        <w:rPr>
          <w:rFonts w:eastAsia="Times New Roman"/>
          <w:color w:val="000000"/>
        </w:rPr>
        <w:t xml:space="preserve">all of </w:t>
      </w:r>
      <w:r w:rsidRPr="00461D01">
        <w:rPr>
          <w:rFonts w:eastAsia="Times New Roman"/>
          <w:color w:val="000000"/>
        </w:rPr>
        <w:t>these proposed actions,</w:t>
      </w:r>
      <w:r w:rsidR="00BA6D3A">
        <w:rPr>
          <w:rFonts w:eastAsia="Times New Roman"/>
          <w:color w:val="000000"/>
        </w:rPr>
        <w:t xml:space="preserve"> both within the context of the pending PSE BCP and </w:t>
      </w:r>
      <w:r w:rsidRPr="00461D01">
        <w:rPr>
          <w:rFonts w:eastAsia="Times New Roman"/>
          <w:color w:val="000000"/>
        </w:rPr>
        <w:t xml:space="preserve">ongoing and future efforts, is to enhance conservation efforts by the State and its utilities and </w:t>
      </w:r>
      <w:r w:rsidRPr="00461D01">
        <w:rPr>
          <w:rFonts w:eastAsia="Times New Roman"/>
          <w:color w:val="000000"/>
        </w:rPr>
        <w:lastRenderedPageBreak/>
        <w:t>to spur innovation in that effort.</w:t>
      </w:r>
      <w:r w:rsidR="009E3A53">
        <w:rPr>
          <w:rFonts w:eastAsia="Times New Roman"/>
          <w:color w:val="000000"/>
        </w:rPr>
        <w:t xml:space="preserve">  </w:t>
      </w:r>
      <w:r w:rsidR="009E3A53" w:rsidRPr="00461D01">
        <w:t xml:space="preserve">Providing additional cost-effective energy efficiency services to </w:t>
      </w:r>
      <w:r w:rsidR="00E407C6">
        <w:t xml:space="preserve">the </w:t>
      </w:r>
      <w:r w:rsidR="009E3A53" w:rsidRPr="00461D01">
        <w:t xml:space="preserve">HTR </w:t>
      </w:r>
      <w:r w:rsidR="00E407C6">
        <w:t xml:space="preserve">MH </w:t>
      </w:r>
      <w:r w:rsidR="009E3A53" w:rsidRPr="00461D01">
        <w:t xml:space="preserve">market has been endorsed by the Council; it is required by I-937; and it is the right thing to do for HTR </w:t>
      </w:r>
      <w:r w:rsidR="00E407C6">
        <w:t xml:space="preserve">MH </w:t>
      </w:r>
      <w:r w:rsidR="009E3A53" w:rsidRPr="00461D01">
        <w:t>customers and ratepayers generally.  We look forward to working with the utilities and the Commission in this endeavor.</w:t>
      </w:r>
    </w:p>
    <w:sectPr w:rsidR="00BA6D3A" w:rsidSect="00AD4953">
      <w:footerReference w:type="even"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CCFD4" w14:textId="77777777" w:rsidR="005221E6" w:rsidRDefault="005221E6" w:rsidP="00901F3D">
      <w:r>
        <w:separator/>
      </w:r>
    </w:p>
  </w:endnote>
  <w:endnote w:type="continuationSeparator" w:id="0">
    <w:p w14:paraId="014CCFD5" w14:textId="77777777" w:rsidR="005221E6" w:rsidRDefault="005221E6"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CFD6"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CCFD7"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CCFD8" w14:textId="77777777" w:rsidR="00EC410E" w:rsidRDefault="00EC4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CFD9" w14:textId="77777777" w:rsidR="00EC410E" w:rsidRDefault="00EC410E"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826">
      <w:rPr>
        <w:rStyle w:val="PageNumber"/>
        <w:noProof/>
      </w:rPr>
      <w:t>2</w:t>
    </w:r>
    <w:r>
      <w:rPr>
        <w:rStyle w:val="PageNumber"/>
      </w:rPr>
      <w:fldChar w:fldCharType="end"/>
    </w:r>
  </w:p>
  <w:p w14:paraId="014CCFDA" w14:textId="77777777" w:rsidR="00EC410E" w:rsidRDefault="00EC410E">
    <w:pPr>
      <w:pStyle w:val="Footer"/>
    </w:pPr>
  </w:p>
  <w:p w14:paraId="014CCFDB" w14:textId="77777777" w:rsidR="00EC410E" w:rsidRDefault="00EC410E">
    <w:pPr>
      <w:pStyle w:val="Footer"/>
    </w:pPr>
    <w:r>
      <w:t>Comments of UCONS, LLC</w:t>
    </w:r>
  </w:p>
  <w:p w14:paraId="014CCFDC" w14:textId="77777777" w:rsidR="00EC410E" w:rsidRPr="007A0CFC" w:rsidRDefault="00EC410E" w:rsidP="00A348ED">
    <w:r w:rsidRPr="007A0CFC">
      <w:t>Dkt. No. UE-</w:t>
    </w:r>
    <w:r>
      <w:t>171087</w:t>
    </w:r>
  </w:p>
  <w:p w14:paraId="014CCFDD" w14:textId="77777777" w:rsidR="00EC410E" w:rsidRPr="007A0CFC" w:rsidRDefault="00EC410E" w:rsidP="00A348ED"/>
  <w:p w14:paraId="014CCFDE" w14:textId="77777777" w:rsidR="00EC410E" w:rsidRDefault="00EC410E">
    <w:pPr>
      <w:pStyle w:val="Footer"/>
    </w:pPr>
  </w:p>
  <w:p w14:paraId="014CCFDF" w14:textId="77777777" w:rsidR="00EC410E" w:rsidRDefault="00EC410E">
    <w:pPr>
      <w:pStyle w:val="Footer"/>
    </w:pPr>
  </w:p>
  <w:p w14:paraId="014CCFE0" w14:textId="77777777" w:rsidR="00EC410E" w:rsidRDefault="00EC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CFD2" w14:textId="77777777" w:rsidR="005221E6" w:rsidRDefault="005221E6" w:rsidP="00901F3D">
      <w:r>
        <w:separator/>
      </w:r>
    </w:p>
  </w:footnote>
  <w:footnote w:type="continuationSeparator" w:id="0">
    <w:p w14:paraId="014CCFD3" w14:textId="77777777" w:rsidR="005221E6" w:rsidRDefault="005221E6" w:rsidP="00901F3D">
      <w:r>
        <w:continuationSeparator/>
      </w:r>
    </w:p>
  </w:footnote>
  <w:footnote w:id="1">
    <w:p w14:paraId="014CCFE1" w14:textId="77777777" w:rsidR="00EC410E" w:rsidRPr="001D40B7" w:rsidRDefault="00EC410E" w:rsidP="00A55135">
      <w:pPr>
        <w:pStyle w:val="FootnoteText"/>
        <w:rPr>
          <w:i/>
        </w:rPr>
      </w:pPr>
      <w:r>
        <w:rPr>
          <w:rStyle w:val="FootnoteReference"/>
        </w:rPr>
        <w:footnoteRef/>
      </w:r>
      <w:r>
        <w:t xml:space="preserve"> 7</w:t>
      </w:r>
      <w:r w:rsidRPr="00901F3D">
        <w:rPr>
          <w:vertAlign w:val="superscript"/>
        </w:rPr>
        <w:t>th</w:t>
      </w:r>
      <w:r>
        <w:t xml:space="preserve"> Power Plan </w:t>
      </w:r>
      <w:r w:rsidRPr="004F3D75">
        <w:t>at 4</w:t>
      </w:r>
      <w:r w:rsidR="009B0131" w:rsidRPr="001D40B7">
        <w:t>-</w:t>
      </w:r>
      <w:r w:rsidRPr="0063651C">
        <w:t>12 (recommendation</w:t>
      </w:r>
      <w:r>
        <w:t xml:space="preserve"> MCS-1).</w:t>
      </w:r>
    </w:p>
  </w:footnote>
  <w:footnote w:id="2">
    <w:p w14:paraId="014CCFE2" w14:textId="77777777" w:rsidR="00EC410E" w:rsidRDefault="00EC410E" w:rsidP="00461D01">
      <w:pPr>
        <w:pStyle w:val="FootnoteText"/>
      </w:pPr>
      <w:r>
        <w:rPr>
          <w:rStyle w:val="FootnoteReference"/>
        </w:rPr>
        <w:footnoteRef/>
      </w:r>
      <w:r>
        <w:t xml:space="preserve"> PSE’s current IRP and September 2017 CRAC presentation data demonstrate </w:t>
      </w:r>
      <w:r w:rsidRPr="00244B0A">
        <w:t>this cu</w:t>
      </w:r>
      <w:r>
        <w:t>stomer class accounts for over 5</w:t>
      </w:r>
      <w:r w:rsidRPr="00244B0A">
        <w:t xml:space="preserve">% of all PSE electricity revenues. </w:t>
      </w:r>
      <w:r w:rsidR="00E407C6">
        <w:t xml:space="preserve"> </w:t>
      </w:r>
      <w:r w:rsidRPr="00244B0A">
        <w:t>Customer and contractor data required under I-937 show that conservation funds for the MH sector have decreased in recent years, with about 3% of total funds being spent on the MH sector in 2010-15, decreasing to less than 0.5% in 2016-17.</w:t>
      </w:r>
    </w:p>
  </w:footnote>
  <w:footnote w:id="3">
    <w:p w14:paraId="014CCFE3" w14:textId="77777777" w:rsidR="00EC410E" w:rsidRPr="00430F9D" w:rsidRDefault="00EC410E">
      <w:pPr>
        <w:pStyle w:val="FootnoteText"/>
      </w:pPr>
      <w:r>
        <w:rPr>
          <w:rStyle w:val="FootnoteReference"/>
        </w:rPr>
        <w:footnoteRef/>
      </w:r>
      <w:r>
        <w:t xml:space="preserve"> </w:t>
      </w:r>
      <w:r>
        <w:rPr>
          <w:i/>
        </w:rPr>
        <w:t>2017 PSE Integrated Resource Plan</w:t>
      </w:r>
      <w:r>
        <w:t>, App. J (Conservation Potential Assessment), at 46.</w:t>
      </w:r>
    </w:p>
  </w:footnote>
  <w:footnote w:id="4">
    <w:p w14:paraId="014CCFE4" w14:textId="77777777" w:rsidR="00EC410E" w:rsidRDefault="00EC410E" w:rsidP="00461D01">
      <w:pPr>
        <w:pStyle w:val="FootnoteText"/>
      </w:pPr>
      <w:r>
        <w:rPr>
          <w:rStyle w:val="FootnoteReference"/>
        </w:rPr>
        <w:footnoteRef/>
      </w:r>
      <w:r>
        <w:t xml:space="preserve"> WAC 480-109-100(1)(a)(i)-(iii).</w:t>
      </w:r>
    </w:p>
  </w:footnote>
  <w:footnote w:id="5">
    <w:p w14:paraId="014CCFE5" w14:textId="77777777" w:rsidR="00EC410E" w:rsidRDefault="00EC410E" w:rsidP="00461D01">
      <w:pPr>
        <w:pStyle w:val="FootnoteText"/>
      </w:pPr>
      <w:r>
        <w:rPr>
          <w:rStyle w:val="FootnoteReference"/>
        </w:rPr>
        <w:footnoteRef/>
      </w:r>
      <w:r>
        <w:t xml:space="preserve"> WAC 480-109-100(1)(a)(iv).</w:t>
      </w:r>
    </w:p>
  </w:footnote>
  <w:footnote w:id="6">
    <w:p w14:paraId="014CCFE6" w14:textId="77777777" w:rsidR="00EC410E" w:rsidRDefault="00EC410E" w:rsidP="00461D01">
      <w:pPr>
        <w:pStyle w:val="FootnoteText"/>
      </w:pPr>
      <w:r>
        <w:rPr>
          <w:rStyle w:val="FootnoteReference"/>
        </w:rPr>
        <w:footnoteRef/>
      </w:r>
      <w:r>
        <w:t xml:space="preserve"> On page 3 of the RFI, PSE states as a “key consideration for bidders”: “Your response to the survey will become the property of PSE upon its receipt by PSE . . . .”</w:t>
      </w:r>
    </w:p>
  </w:footnote>
  <w:footnote w:id="7">
    <w:p w14:paraId="014CCFE7" w14:textId="77777777" w:rsidR="00EC410E" w:rsidRDefault="00EC410E">
      <w:pPr>
        <w:pStyle w:val="FootnoteText"/>
      </w:pPr>
      <w:r>
        <w:rPr>
          <w:rStyle w:val="FootnoteReference"/>
        </w:rPr>
        <w:footnoteRef/>
      </w:r>
      <w:r>
        <w:t xml:space="preserve"> See Decision Providing Guidance for Initial Energy Efficiency Rolling Portfolio Business Plan Filings, Dec. 16-08-019, Dkt. No. 13-11-005 (Cal. P.U.C., Aug. 18, 2016). </w:t>
      </w:r>
    </w:p>
  </w:footnote>
  <w:footnote w:id="8">
    <w:p w14:paraId="014CCFE8" w14:textId="77777777" w:rsidR="00EC410E" w:rsidRDefault="00EC410E" w:rsidP="00BA6D3A">
      <w:pPr>
        <w:pStyle w:val="FootnoteText"/>
      </w:pPr>
      <w:r>
        <w:rPr>
          <w:rStyle w:val="FootnoteReference"/>
        </w:rPr>
        <w:footnoteRef/>
      </w:r>
      <w:r>
        <w:t xml:space="preserve"> See </w:t>
      </w:r>
      <w:hyperlink r:id="rId1" w:history="1">
        <w:r w:rsidRPr="0069087E">
          <w:rPr>
            <w:rStyle w:val="Hyperlink"/>
          </w:rPr>
          <w:t>https://www.energytrust.org</w:t>
        </w:r>
      </w:hyperlink>
      <w:r>
        <w:t xml:space="preserve">.  Other states have that model as well, including Vermont and Wisconsin.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38E"/>
    <w:multiLevelType w:val="hybridMultilevel"/>
    <w:tmpl w:val="0CE06FE6"/>
    <w:lvl w:ilvl="0" w:tplc="AFE6BA1A">
      <w:numFmt w:val="bullet"/>
      <w:lvlText w:val="-"/>
      <w:lvlJc w:val="left"/>
      <w:pPr>
        <w:ind w:left="36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A06B8"/>
    <w:multiLevelType w:val="hybridMultilevel"/>
    <w:tmpl w:val="FC9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14EA8"/>
    <w:multiLevelType w:val="hybridMultilevel"/>
    <w:tmpl w:val="1BCE3524"/>
    <w:lvl w:ilvl="0" w:tplc="768C38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35B"/>
    <w:multiLevelType w:val="hybridMultilevel"/>
    <w:tmpl w:val="C16E5414"/>
    <w:lvl w:ilvl="0" w:tplc="CF3CDAB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4A2"/>
    <w:multiLevelType w:val="hybridMultilevel"/>
    <w:tmpl w:val="55CA891E"/>
    <w:lvl w:ilvl="0" w:tplc="1126407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158AC"/>
    <w:multiLevelType w:val="hybridMultilevel"/>
    <w:tmpl w:val="36FE27AC"/>
    <w:lvl w:ilvl="0" w:tplc="1BFACE1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3464B"/>
    <w:multiLevelType w:val="hybridMultilevel"/>
    <w:tmpl w:val="6F10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0B2"/>
    <w:multiLevelType w:val="hybridMultilevel"/>
    <w:tmpl w:val="6946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7CE0"/>
    <w:multiLevelType w:val="hybridMultilevel"/>
    <w:tmpl w:val="C51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326AC"/>
    <w:multiLevelType w:val="hybridMultilevel"/>
    <w:tmpl w:val="ABE26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C4D1F"/>
    <w:multiLevelType w:val="hybridMultilevel"/>
    <w:tmpl w:val="D67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6"/>
  </w:num>
  <w:num w:numId="5">
    <w:abstractNumId w:val="4"/>
  </w:num>
  <w:num w:numId="6">
    <w:abstractNumId w:val="10"/>
  </w:num>
  <w:num w:numId="7">
    <w:abstractNumId w:val="11"/>
  </w:num>
  <w:num w:numId="8">
    <w:abstractNumId w:val="8"/>
  </w:num>
  <w:num w:numId="9">
    <w:abstractNumId w:val="1"/>
  </w:num>
  <w:num w:numId="10">
    <w:abstractNumId w:val="18"/>
  </w:num>
  <w:num w:numId="11">
    <w:abstractNumId w:val="2"/>
  </w:num>
  <w:num w:numId="12">
    <w:abstractNumId w:val="3"/>
  </w:num>
  <w:num w:numId="13">
    <w:abstractNumId w:val="14"/>
  </w:num>
  <w:num w:numId="14">
    <w:abstractNumId w:val="12"/>
  </w:num>
  <w:num w:numId="15">
    <w:abstractNumId w:val="13"/>
  </w:num>
  <w:num w:numId="16">
    <w:abstractNumId w:val="15"/>
  </w:num>
  <w:num w:numId="17">
    <w:abstractNumId w:val="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F"/>
    <w:rsid w:val="00002A26"/>
    <w:rsid w:val="00021033"/>
    <w:rsid w:val="00023737"/>
    <w:rsid w:val="000343AF"/>
    <w:rsid w:val="00060773"/>
    <w:rsid w:val="0006599B"/>
    <w:rsid w:val="000911DE"/>
    <w:rsid w:val="000A34C7"/>
    <w:rsid w:val="000A3798"/>
    <w:rsid w:val="000B442E"/>
    <w:rsid w:val="000B7179"/>
    <w:rsid w:val="000D7B8F"/>
    <w:rsid w:val="000E3DEB"/>
    <w:rsid w:val="000F361E"/>
    <w:rsid w:val="000F6B16"/>
    <w:rsid w:val="000F6EBF"/>
    <w:rsid w:val="00101CF0"/>
    <w:rsid w:val="001066BF"/>
    <w:rsid w:val="00110CA6"/>
    <w:rsid w:val="00112A49"/>
    <w:rsid w:val="00112FE1"/>
    <w:rsid w:val="00115434"/>
    <w:rsid w:val="0011701B"/>
    <w:rsid w:val="00124DB0"/>
    <w:rsid w:val="00125A53"/>
    <w:rsid w:val="0012649D"/>
    <w:rsid w:val="00126AA3"/>
    <w:rsid w:val="00132E90"/>
    <w:rsid w:val="00141FEB"/>
    <w:rsid w:val="00144FDF"/>
    <w:rsid w:val="00183334"/>
    <w:rsid w:val="00183F6A"/>
    <w:rsid w:val="00190839"/>
    <w:rsid w:val="001B06CE"/>
    <w:rsid w:val="001C5224"/>
    <w:rsid w:val="001D0C76"/>
    <w:rsid w:val="001D40B7"/>
    <w:rsid w:val="001D7B8F"/>
    <w:rsid w:val="001E06E5"/>
    <w:rsid w:val="001E24EC"/>
    <w:rsid w:val="001E6F93"/>
    <w:rsid w:val="001F1948"/>
    <w:rsid w:val="00202437"/>
    <w:rsid w:val="00204634"/>
    <w:rsid w:val="00212F85"/>
    <w:rsid w:val="00213C43"/>
    <w:rsid w:val="002142BF"/>
    <w:rsid w:val="00215CB2"/>
    <w:rsid w:val="002173E5"/>
    <w:rsid w:val="00220B2B"/>
    <w:rsid w:val="0023794B"/>
    <w:rsid w:val="00242A40"/>
    <w:rsid w:val="00261819"/>
    <w:rsid w:val="00270B5E"/>
    <w:rsid w:val="00273826"/>
    <w:rsid w:val="00273844"/>
    <w:rsid w:val="00282FE9"/>
    <w:rsid w:val="0029276E"/>
    <w:rsid w:val="00292C5C"/>
    <w:rsid w:val="002C36E2"/>
    <w:rsid w:val="002C405B"/>
    <w:rsid w:val="002E26BD"/>
    <w:rsid w:val="003019A4"/>
    <w:rsid w:val="00301D49"/>
    <w:rsid w:val="0030200B"/>
    <w:rsid w:val="003126B1"/>
    <w:rsid w:val="0031524A"/>
    <w:rsid w:val="00316584"/>
    <w:rsid w:val="00326B56"/>
    <w:rsid w:val="003424E2"/>
    <w:rsid w:val="00343203"/>
    <w:rsid w:val="003559FD"/>
    <w:rsid w:val="00357F44"/>
    <w:rsid w:val="00361A7A"/>
    <w:rsid w:val="00361F27"/>
    <w:rsid w:val="0036679E"/>
    <w:rsid w:val="0038627C"/>
    <w:rsid w:val="00387B0C"/>
    <w:rsid w:val="00387DA1"/>
    <w:rsid w:val="003A7E6C"/>
    <w:rsid w:val="003C570A"/>
    <w:rsid w:val="003D39CC"/>
    <w:rsid w:val="003F1468"/>
    <w:rsid w:val="003F4FD7"/>
    <w:rsid w:val="004068FA"/>
    <w:rsid w:val="00407A3A"/>
    <w:rsid w:val="004258B1"/>
    <w:rsid w:val="00430F9D"/>
    <w:rsid w:val="00432CBC"/>
    <w:rsid w:val="00434081"/>
    <w:rsid w:val="004358F1"/>
    <w:rsid w:val="00446656"/>
    <w:rsid w:val="00461B93"/>
    <w:rsid w:val="00461D01"/>
    <w:rsid w:val="00461FEB"/>
    <w:rsid w:val="004662C3"/>
    <w:rsid w:val="00470843"/>
    <w:rsid w:val="00471AC1"/>
    <w:rsid w:val="0049489D"/>
    <w:rsid w:val="00496633"/>
    <w:rsid w:val="004A200B"/>
    <w:rsid w:val="004C29B8"/>
    <w:rsid w:val="004F057B"/>
    <w:rsid w:val="004F1494"/>
    <w:rsid w:val="004F3D75"/>
    <w:rsid w:val="004F6D54"/>
    <w:rsid w:val="004F7030"/>
    <w:rsid w:val="005117B5"/>
    <w:rsid w:val="00515FFA"/>
    <w:rsid w:val="005221E6"/>
    <w:rsid w:val="00524C08"/>
    <w:rsid w:val="00527770"/>
    <w:rsid w:val="00536490"/>
    <w:rsid w:val="00540BA9"/>
    <w:rsid w:val="005509A6"/>
    <w:rsid w:val="00553E22"/>
    <w:rsid w:val="00553F01"/>
    <w:rsid w:val="005574C3"/>
    <w:rsid w:val="0056121B"/>
    <w:rsid w:val="005660C5"/>
    <w:rsid w:val="00566A05"/>
    <w:rsid w:val="00570639"/>
    <w:rsid w:val="00571E58"/>
    <w:rsid w:val="005803CA"/>
    <w:rsid w:val="00582BB3"/>
    <w:rsid w:val="005866F2"/>
    <w:rsid w:val="005A01DC"/>
    <w:rsid w:val="005A0353"/>
    <w:rsid w:val="005A2257"/>
    <w:rsid w:val="005A362A"/>
    <w:rsid w:val="005A49F9"/>
    <w:rsid w:val="005A7EDC"/>
    <w:rsid w:val="005B15ED"/>
    <w:rsid w:val="005B2235"/>
    <w:rsid w:val="005C22D5"/>
    <w:rsid w:val="005C6DF3"/>
    <w:rsid w:val="005E341C"/>
    <w:rsid w:val="005E5B2D"/>
    <w:rsid w:val="005E7D95"/>
    <w:rsid w:val="005F2735"/>
    <w:rsid w:val="005F27BC"/>
    <w:rsid w:val="00610F1A"/>
    <w:rsid w:val="00615CF6"/>
    <w:rsid w:val="00635107"/>
    <w:rsid w:val="0063651C"/>
    <w:rsid w:val="00653626"/>
    <w:rsid w:val="00655D57"/>
    <w:rsid w:val="00657123"/>
    <w:rsid w:val="00664165"/>
    <w:rsid w:val="00676CC8"/>
    <w:rsid w:val="006843E1"/>
    <w:rsid w:val="00693184"/>
    <w:rsid w:val="006B0842"/>
    <w:rsid w:val="006B393D"/>
    <w:rsid w:val="006D2E25"/>
    <w:rsid w:val="006E0BB2"/>
    <w:rsid w:val="006F1FCF"/>
    <w:rsid w:val="006F303C"/>
    <w:rsid w:val="006F40B6"/>
    <w:rsid w:val="00711EC0"/>
    <w:rsid w:val="007167FC"/>
    <w:rsid w:val="00720DD7"/>
    <w:rsid w:val="007237C8"/>
    <w:rsid w:val="00726A2F"/>
    <w:rsid w:val="00744FEE"/>
    <w:rsid w:val="00757216"/>
    <w:rsid w:val="00772607"/>
    <w:rsid w:val="00772D14"/>
    <w:rsid w:val="00786384"/>
    <w:rsid w:val="00786FC7"/>
    <w:rsid w:val="007B135A"/>
    <w:rsid w:val="007C3E54"/>
    <w:rsid w:val="007C731F"/>
    <w:rsid w:val="007D42DC"/>
    <w:rsid w:val="007D7260"/>
    <w:rsid w:val="007F2C94"/>
    <w:rsid w:val="00837CAD"/>
    <w:rsid w:val="00840242"/>
    <w:rsid w:val="00863826"/>
    <w:rsid w:val="00866A14"/>
    <w:rsid w:val="00870EF0"/>
    <w:rsid w:val="00876460"/>
    <w:rsid w:val="00886178"/>
    <w:rsid w:val="008A63BC"/>
    <w:rsid w:val="008A66D8"/>
    <w:rsid w:val="008D2F3E"/>
    <w:rsid w:val="008D6AB3"/>
    <w:rsid w:val="008E0465"/>
    <w:rsid w:val="008F1991"/>
    <w:rsid w:val="008F2097"/>
    <w:rsid w:val="008F33CE"/>
    <w:rsid w:val="00901F3D"/>
    <w:rsid w:val="00906FAC"/>
    <w:rsid w:val="00917433"/>
    <w:rsid w:val="00917B4D"/>
    <w:rsid w:val="00921706"/>
    <w:rsid w:val="009255DC"/>
    <w:rsid w:val="009278BD"/>
    <w:rsid w:val="00933972"/>
    <w:rsid w:val="00935284"/>
    <w:rsid w:val="00940227"/>
    <w:rsid w:val="00943ED5"/>
    <w:rsid w:val="0096036B"/>
    <w:rsid w:val="0096695E"/>
    <w:rsid w:val="009702A5"/>
    <w:rsid w:val="00971423"/>
    <w:rsid w:val="00974E96"/>
    <w:rsid w:val="009818C7"/>
    <w:rsid w:val="009853CA"/>
    <w:rsid w:val="00987084"/>
    <w:rsid w:val="009B0131"/>
    <w:rsid w:val="009B165C"/>
    <w:rsid w:val="009D050C"/>
    <w:rsid w:val="009D1631"/>
    <w:rsid w:val="009D7FF7"/>
    <w:rsid w:val="009E3A53"/>
    <w:rsid w:val="009E4487"/>
    <w:rsid w:val="00A02C8A"/>
    <w:rsid w:val="00A058C9"/>
    <w:rsid w:val="00A21F31"/>
    <w:rsid w:val="00A25E1C"/>
    <w:rsid w:val="00A26FB2"/>
    <w:rsid w:val="00A348ED"/>
    <w:rsid w:val="00A34B7A"/>
    <w:rsid w:val="00A37BA9"/>
    <w:rsid w:val="00A527A2"/>
    <w:rsid w:val="00A55135"/>
    <w:rsid w:val="00A5535D"/>
    <w:rsid w:val="00A5613D"/>
    <w:rsid w:val="00A83063"/>
    <w:rsid w:val="00A868C6"/>
    <w:rsid w:val="00A93CF3"/>
    <w:rsid w:val="00AA735E"/>
    <w:rsid w:val="00AB2398"/>
    <w:rsid w:val="00AB3802"/>
    <w:rsid w:val="00AB6E2B"/>
    <w:rsid w:val="00AD4953"/>
    <w:rsid w:val="00AE142A"/>
    <w:rsid w:val="00AE15BA"/>
    <w:rsid w:val="00AE74D0"/>
    <w:rsid w:val="00AF56C8"/>
    <w:rsid w:val="00B060CB"/>
    <w:rsid w:val="00B148B2"/>
    <w:rsid w:val="00B26A9B"/>
    <w:rsid w:val="00B32523"/>
    <w:rsid w:val="00B42DE5"/>
    <w:rsid w:val="00B515B9"/>
    <w:rsid w:val="00B563EB"/>
    <w:rsid w:val="00B62F4E"/>
    <w:rsid w:val="00B756C1"/>
    <w:rsid w:val="00B85D8C"/>
    <w:rsid w:val="00B908FA"/>
    <w:rsid w:val="00BA6D3A"/>
    <w:rsid w:val="00BA6FAC"/>
    <w:rsid w:val="00BA7C18"/>
    <w:rsid w:val="00BB3AA9"/>
    <w:rsid w:val="00BC0A55"/>
    <w:rsid w:val="00BC364C"/>
    <w:rsid w:val="00BD3A11"/>
    <w:rsid w:val="00BD76A5"/>
    <w:rsid w:val="00BE2F4D"/>
    <w:rsid w:val="00BF1D28"/>
    <w:rsid w:val="00BF1EA0"/>
    <w:rsid w:val="00BF74DD"/>
    <w:rsid w:val="00C06D29"/>
    <w:rsid w:val="00C2128D"/>
    <w:rsid w:val="00C26D78"/>
    <w:rsid w:val="00C433ED"/>
    <w:rsid w:val="00C5749C"/>
    <w:rsid w:val="00C6621D"/>
    <w:rsid w:val="00C75970"/>
    <w:rsid w:val="00C81E40"/>
    <w:rsid w:val="00C903B7"/>
    <w:rsid w:val="00CA233B"/>
    <w:rsid w:val="00CB15A0"/>
    <w:rsid w:val="00CB4CF7"/>
    <w:rsid w:val="00CC43EC"/>
    <w:rsid w:val="00CF0203"/>
    <w:rsid w:val="00CF1D65"/>
    <w:rsid w:val="00CF2040"/>
    <w:rsid w:val="00CF5BA2"/>
    <w:rsid w:val="00CF6459"/>
    <w:rsid w:val="00D0416F"/>
    <w:rsid w:val="00D06014"/>
    <w:rsid w:val="00D209E5"/>
    <w:rsid w:val="00D21243"/>
    <w:rsid w:val="00D32C8B"/>
    <w:rsid w:val="00D567D9"/>
    <w:rsid w:val="00D603FD"/>
    <w:rsid w:val="00D7028C"/>
    <w:rsid w:val="00D7278E"/>
    <w:rsid w:val="00D76520"/>
    <w:rsid w:val="00D834BA"/>
    <w:rsid w:val="00D871B5"/>
    <w:rsid w:val="00D94228"/>
    <w:rsid w:val="00DA6B02"/>
    <w:rsid w:val="00DB45FF"/>
    <w:rsid w:val="00DC3BB9"/>
    <w:rsid w:val="00DD4D8B"/>
    <w:rsid w:val="00DD7E4C"/>
    <w:rsid w:val="00DE0F84"/>
    <w:rsid w:val="00DE56DD"/>
    <w:rsid w:val="00DF5E2B"/>
    <w:rsid w:val="00DF728A"/>
    <w:rsid w:val="00E17880"/>
    <w:rsid w:val="00E22926"/>
    <w:rsid w:val="00E23EBA"/>
    <w:rsid w:val="00E247C8"/>
    <w:rsid w:val="00E34E02"/>
    <w:rsid w:val="00E36EE7"/>
    <w:rsid w:val="00E407C6"/>
    <w:rsid w:val="00E44EC1"/>
    <w:rsid w:val="00E46C7F"/>
    <w:rsid w:val="00E72ABA"/>
    <w:rsid w:val="00E82365"/>
    <w:rsid w:val="00E8400C"/>
    <w:rsid w:val="00E85513"/>
    <w:rsid w:val="00E91EC8"/>
    <w:rsid w:val="00E96A3C"/>
    <w:rsid w:val="00EA21BD"/>
    <w:rsid w:val="00EA6B53"/>
    <w:rsid w:val="00EA6CB2"/>
    <w:rsid w:val="00EB747E"/>
    <w:rsid w:val="00EC22D5"/>
    <w:rsid w:val="00EC410E"/>
    <w:rsid w:val="00EC5B37"/>
    <w:rsid w:val="00ED2CCA"/>
    <w:rsid w:val="00EF562C"/>
    <w:rsid w:val="00F03EAE"/>
    <w:rsid w:val="00F05065"/>
    <w:rsid w:val="00F11E9F"/>
    <w:rsid w:val="00F34705"/>
    <w:rsid w:val="00F349A1"/>
    <w:rsid w:val="00F3639E"/>
    <w:rsid w:val="00F77A7F"/>
    <w:rsid w:val="00FA53A9"/>
    <w:rsid w:val="00FB6C41"/>
    <w:rsid w:val="00FD45B7"/>
    <w:rsid w:val="00FD7051"/>
    <w:rsid w:val="00FE0BB2"/>
    <w:rsid w:val="00FF6879"/>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CCF6E"/>
  <w15:docId w15:val="{7C1A7BD6-2D72-49B1-9726-57A64DB1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 w:type="paragraph" w:customStyle="1" w:styleId="p1">
    <w:name w:val="p1"/>
    <w:basedOn w:val="Normal"/>
    <w:rsid w:val="00C81E40"/>
    <w:rPr>
      <w:rFonts w:ascii="Times" w:hAnsi="Times"/>
      <w:sz w:val="21"/>
      <w:szCs w:val="21"/>
    </w:rPr>
  </w:style>
  <w:style w:type="paragraph" w:customStyle="1" w:styleId="p2">
    <w:name w:val="p2"/>
    <w:basedOn w:val="Normal"/>
    <w:rsid w:val="00C81E40"/>
    <w:rPr>
      <w:rFonts w:ascii="Helvetica" w:hAnsi="Helvetica"/>
      <w:sz w:val="18"/>
      <w:szCs w:val="18"/>
    </w:rPr>
  </w:style>
  <w:style w:type="paragraph" w:customStyle="1" w:styleId="p3">
    <w:name w:val="p3"/>
    <w:basedOn w:val="Normal"/>
    <w:rsid w:val="00C81E40"/>
    <w:pPr>
      <w:ind w:left="720" w:hanging="720"/>
    </w:pPr>
    <w:rPr>
      <w:rFonts w:ascii="Times" w:hAnsi="Times"/>
      <w:sz w:val="21"/>
      <w:szCs w:val="21"/>
    </w:rPr>
  </w:style>
  <w:style w:type="paragraph" w:customStyle="1" w:styleId="p4">
    <w:name w:val="p4"/>
    <w:basedOn w:val="Normal"/>
    <w:rsid w:val="00C81E40"/>
    <w:pPr>
      <w:ind w:left="720" w:hanging="720"/>
    </w:pPr>
    <w:rPr>
      <w:rFonts w:ascii="Helvetica" w:hAnsi="Helvetica"/>
      <w:sz w:val="18"/>
      <w:szCs w:val="18"/>
    </w:rPr>
  </w:style>
  <w:style w:type="character" w:customStyle="1" w:styleId="s2">
    <w:name w:val="s2"/>
    <w:basedOn w:val="DefaultParagraphFont"/>
    <w:rsid w:val="00C81E40"/>
    <w:rPr>
      <w:color w:val="0069D9"/>
      <w:u w:val="single"/>
    </w:rPr>
  </w:style>
  <w:style w:type="character" w:customStyle="1" w:styleId="s3">
    <w:name w:val="s3"/>
    <w:basedOn w:val="DefaultParagraphFont"/>
    <w:rsid w:val="00C81E40"/>
    <w:rPr>
      <w:rFonts w:ascii="Times" w:hAnsi="Times" w:hint="default"/>
      <w:sz w:val="18"/>
      <w:szCs w:val="18"/>
    </w:rPr>
  </w:style>
  <w:style w:type="character" w:customStyle="1" w:styleId="s1">
    <w:name w:val="s1"/>
    <w:basedOn w:val="DefaultParagraphFont"/>
    <w:rsid w:val="00C81E40"/>
  </w:style>
  <w:style w:type="character" w:customStyle="1" w:styleId="apple-converted-space">
    <w:name w:val="apple-converted-space"/>
    <w:basedOn w:val="DefaultParagraphFont"/>
    <w:rsid w:val="00446656"/>
  </w:style>
  <w:style w:type="paragraph" w:customStyle="1" w:styleId="O-BodyText">
    <w:name w:val="O-Body Text ()"/>
    <w:aliases w:val="1Body"/>
    <w:basedOn w:val="Normal"/>
    <w:qFormat/>
    <w:rsid w:val="00582BB3"/>
    <w:pPr>
      <w:spacing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6292">
      <w:bodyDiv w:val="1"/>
      <w:marLeft w:val="0"/>
      <w:marRight w:val="0"/>
      <w:marTop w:val="0"/>
      <w:marBottom w:val="0"/>
      <w:divBdr>
        <w:top w:val="none" w:sz="0" w:space="0" w:color="auto"/>
        <w:left w:val="none" w:sz="0" w:space="0" w:color="auto"/>
        <w:bottom w:val="none" w:sz="0" w:space="0" w:color="auto"/>
        <w:right w:val="none" w:sz="0" w:space="0" w:color="auto"/>
      </w:divBdr>
    </w:div>
    <w:div w:id="2028865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x-webdoc://D376620D-7370-45A9-8222-51EA3585CC21/www.ucons.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UCON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171087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DBE7DCA5121488A0D40EC45325A1B" ma:contentTypeVersion="104" ma:contentTypeDescription="" ma:contentTypeScope="" ma:versionID="a1ea9f4bf6203f388277bd9c2e7b32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D06FB1C-7F59-4D25-BD58-CA9B34856F11}">
  <ds:schemaRefs>
    <ds:schemaRef ds:uri="6a7bd91e-004b-490a-8704-e368d63d59a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657B85-7243-49C5-A85B-941ED2BED64B}">
  <ds:schemaRefs>
    <ds:schemaRef ds:uri="http://schemas.microsoft.com/sharepoint/v3/contenttype/forms"/>
  </ds:schemaRefs>
</ds:datastoreItem>
</file>

<file path=customXml/itemProps3.xml><?xml version="1.0" encoding="utf-8"?>
<ds:datastoreItem xmlns:ds="http://schemas.openxmlformats.org/officeDocument/2006/customXml" ds:itemID="{A44DA27C-2117-47E1-A93C-F99B3D407FAD}"/>
</file>

<file path=customXml/itemProps4.xml><?xml version="1.0" encoding="utf-8"?>
<ds:datastoreItem xmlns:ds="http://schemas.openxmlformats.org/officeDocument/2006/customXml" ds:itemID="{B7C4BBE1-8204-4B2A-9081-71ED861B77F8}">
  <ds:schemaRefs>
    <ds:schemaRef ds:uri="http://schemas.openxmlformats.org/officeDocument/2006/bibliography"/>
  </ds:schemaRefs>
</ds:datastoreItem>
</file>

<file path=customXml/itemProps5.xml><?xml version="1.0" encoding="utf-8"?>
<ds:datastoreItem xmlns:ds="http://schemas.openxmlformats.org/officeDocument/2006/customXml" ds:itemID="{357046CF-0A84-41FC-B262-9352000B367D}"/>
</file>

<file path=docProps/app.xml><?xml version="1.0" encoding="utf-8"?>
<Properties xmlns="http://schemas.openxmlformats.org/officeDocument/2006/extended-properties" xmlns:vt="http://schemas.openxmlformats.org/officeDocument/2006/docPropsVTypes">
  <Template>Normal</Template>
  <TotalTime>0</TotalTime>
  <Pages>11</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 Lorilyn (UTC)</dc:creator>
  <cp:keywords/>
  <cp:lastModifiedBy>Huey, Lorilyn (UTC)</cp:lastModifiedBy>
  <cp:revision>2</cp:revision>
  <dcterms:created xsi:type="dcterms:W3CDTF">2017-12-01T23:45:00Z</dcterms:created>
  <dcterms:modified xsi:type="dcterms:W3CDTF">2017-12-01T23:45:00Z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0x0101006E56B4D1795A2E4DB2F0B01679ED314A00394DBE7DCA5121488A0D40EC45325A1B</vt:lpwstr>
  </property>
  <property fmtid="{D5CDD505-2E9C-101B-9397-08002B2CF9AE}" pid="3" name="_docset_NoMedatataSyncRequired">
    <vt:lpwstr>False</vt:lpwstr>
  </property>
  <property fmtid="{D5CDD505-2E9C-101B-9397-08002B2CF9AE}" pid="4" name="IsEFSEC">
    <vt:bool>false</vt:bool>
  </property>
</Properties>
</file>