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AF9" w:rsidRPr="00D25403" w:rsidRDefault="00245AF9" w:rsidP="00B2554D">
      <w:pPr>
        <w:spacing w:line="276" w:lineRule="auto"/>
        <w:jc w:val="right"/>
      </w:pPr>
    </w:p>
    <w:p w:rsidR="000B50AF" w:rsidRDefault="00E65B15" w:rsidP="000B50AF">
      <w:pPr>
        <w:spacing w:line="276" w:lineRule="auto"/>
      </w:pPr>
      <w:r>
        <w:t>October 18</w:t>
      </w:r>
      <w:r w:rsidR="0065680C">
        <w:t>, 2017</w:t>
      </w:r>
    </w:p>
    <w:p w:rsidR="00E11AE0" w:rsidRPr="00D25403" w:rsidRDefault="00E11AE0" w:rsidP="00B2554D">
      <w:pPr>
        <w:spacing w:line="276" w:lineRule="auto"/>
        <w:ind w:left="-288" w:right="288"/>
      </w:pPr>
    </w:p>
    <w:p w:rsidR="000B50AF" w:rsidRPr="00D25403" w:rsidRDefault="000B50AF" w:rsidP="000B50AF">
      <w:pPr>
        <w:spacing w:line="276" w:lineRule="auto"/>
      </w:pPr>
    </w:p>
    <w:p w:rsidR="000B50AF" w:rsidRPr="00D25403" w:rsidRDefault="000B50AF" w:rsidP="000B50AF">
      <w:pPr>
        <w:spacing w:line="276" w:lineRule="auto"/>
      </w:pPr>
      <w:r w:rsidRPr="00D25403">
        <w:t>Steven V. King, Executive Director and Secretary</w:t>
      </w:r>
    </w:p>
    <w:p w:rsidR="000B50AF" w:rsidRPr="00D25403" w:rsidRDefault="000B50AF" w:rsidP="000B50AF">
      <w:pPr>
        <w:spacing w:line="276" w:lineRule="auto"/>
      </w:pPr>
      <w:r w:rsidRPr="00D25403">
        <w:t>Washington Utilities and Transportation Commission</w:t>
      </w:r>
    </w:p>
    <w:p w:rsidR="000B50AF" w:rsidRPr="00D25403" w:rsidRDefault="000B50AF" w:rsidP="000B50AF">
      <w:pPr>
        <w:spacing w:line="276" w:lineRule="auto"/>
      </w:pPr>
      <w:r w:rsidRPr="00D25403">
        <w:t>1300 S. Evergreen Park Dr. SW</w:t>
      </w:r>
    </w:p>
    <w:p w:rsidR="000B50AF" w:rsidRPr="00D25403" w:rsidRDefault="000B50AF" w:rsidP="000B50AF">
      <w:pPr>
        <w:spacing w:line="276" w:lineRule="auto"/>
      </w:pPr>
      <w:r w:rsidRPr="00D25403">
        <w:t xml:space="preserve">P. O. Box 47250 </w:t>
      </w:r>
    </w:p>
    <w:p w:rsidR="000B50AF" w:rsidRPr="00D25403" w:rsidRDefault="000B50AF" w:rsidP="000B50AF">
      <w:pPr>
        <w:spacing w:line="276" w:lineRule="auto"/>
      </w:pPr>
      <w:r w:rsidRPr="00D25403">
        <w:t>Olympia, Washington  98504-7250</w:t>
      </w:r>
    </w:p>
    <w:p w:rsidR="000B50AF" w:rsidRPr="00D25403" w:rsidRDefault="000B50AF" w:rsidP="000B50AF">
      <w:pPr>
        <w:spacing w:line="276" w:lineRule="auto"/>
      </w:pPr>
    </w:p>
    <w:p w:rsidR="002175AA" w:rsidRDefault="000B50AF" w:rsidP="0065680C">
      <w:pPr>
        <w:spacing w:line="276" w:lineRule="auto"/>
        <w:ind w:left="720" w:hanging="720"/>
        <w:rPr>
          <w:i/>
        </w:rPr>
      </w:pPr>
      <w:r w:rsidRPr="00D25403">
        <w:t xml:space="preserve">RE: </w:t>
      </w:r>
      <w:r w:rsidRPr="00D25403">
        <w:tab/>
      </w:r>
      <w:r w:rsidRPr="00D25403">
        <w:rPr>
          <w:i/>
        </w:rPr>
        <w:t xml:space="preserve">Washington Utilities and Transportation Commission v. </w:t>
      </w:r>
      <w:r w:rsidR="0065680C">
        <w:rPr>
          <w:i/>
        </w:rPr>
        <w:t>Waste Control, Inc.</w:t>
      </w:r>
    </w:p>
    <w:p w:rsidR="000B50AF" w:rsidRPr="00D25403" w:rsidRDefault="000B50AF" w:rsidP="000B50AF">
      <w:pPr>
        <w:spacing w:line="276" w:lineRule="auto"/>
        <w:ind w:left="720"/>
      </w:pPr>
      <w:r w:rsidRPr="00D25403">
        <w:t xml:space="preserve">Commission Staff’s Response to </w:t>
      </w:r>
      <w:r w:rsidR="00267CF5">
        <w:t>Request to Correct the Record</w:t>
      </w:r>
    </w:p>
    <w:p w:rsidR="000B50AF" w:rsidRPr="00D25403" w:rsidRDefault="000B50AF" w:rsidP="000B50AF">
      <w:pPr>
        <w:spacing w:line="276" w:lineRule="auto"/>
        <w:ind w:left="720"/>
      </w:pPr>
      <w:r w:rsidRPr="00D25403">
        <w:t>Docket T</w:t>
      </w:r>
      <w:r w:rsidR="0065680C">
        <w:t>G</w:t>
      </w:r>
      <w:r w:rsidR="002175AA">
        <w:t>-170</w:t>
      </w:r>
      <w:r w:rsidR="0065680C">
        <w:t>724</w:t>
      </w:r>
    </w:p>
    <w:p w:rsidR="000B50AF" w:rsidRPr="00D25403" w:rsidRDefault="000B50AF" w:rsidP="000B50AF">
      <w:pPr>
        <w:spacing w:line="276" w:lineRule="auto"/>
      </w:pPr>
    </w:p>
    <w:p w:rsidR="000B50AF" w:rsidRPr="00D25403" w:rsidRDefault="000B50AF" w:rsidP="000B50AF">
      <w:pPr>
        <w:spacing w:line="276" w:lineRule="auto"/>
      </w:pPr>
      <w:r w:rsidRPr="00D25403">
        <w:t>Dear Mr. King:</w:t>
      </w:r>
    </w:p>
    <w:p w:rsidR="000B50AF" w:rsidRPr="00D25403" w:rsidRDefault="000B50AF" w:rsidP="000B50AF">
      <w:pPr>
        <w:spacing w:line="276" w:lineRule="auto"/>
      </w:pPr>
    </w:p>
    <w:p w:rsidR="00B2554D" w:rsidRDefault="00C30E91" w:rsidP="0065680C">
      <w:pPr>
        <w:pStyle w:val="Default"/>
      </w:pPr>
      <w:r>
        <w:t>In May 2017, C</w:t>
      </w:r>
      <w:r w:rsidR="0065680C">
        <w:t>ommission Motor Carrier</w:t>
      </w:r>
      <w:r w:rsidR="003B2350">
        <w:t xml:space="preserve"> Safety</w:t>
      </w:r>
      <w:r w:rsidR="0065680C">
        <w:t xml:space="preserve"> Investigator Francine Gagne conducted a </w:t>
      </w:r>
      <w:r w:rsidR="003B2350">
        <w:t>routine safety</w:t>
      </w:r>
      <w:r w:rsidR="0065680C">
        <w:t xml:space="preserve"> investigation of Waste Control, Inc. (Waste Control)</w:t>
      </w:r>
      <w:r w:rsidR="003B2350">
        <w:t xml:space="preserve">. </w:t>
      </w:r>
      <w:r>
        <w:t>While inspecting one of the Waste Control’s vehicles</w:t>
      </w:r>
      <w:r w:rsidR="003B2350">
        <w:t xml:space="preserve"> Ms. Gagne</w:t>
      </w:r>
      <w:r w:rsidR="0065680C">
        <w:t xml:space="preserve"> documented </w:t>
      </w:r>
      <w:r w:rsidR="003B2350">
        <w:t>a</w:t>
      </w:r>
      <w:r w:rsidR="002D346C">
        <w:t>n Out-of-Service</w:t>
      </w:r>
      <w:r w:rsidR="0065680C">
        <w:t xml:space="preserve"> </w:t>
      </w:r>
      <w:r w:rsidR="0065680C" w:rsidRPr="0065680C">
        <w:t xml:space="preserve">violation of Title 49 CFR Part 393.25(f) – </w:t>
      </w:r>
      <w:r>
        <w:t>s</w:t>
      </w:r>
      <w:r w:rsidR="0065680C" w:rsidRPr="0065680C">
        <w:t xml:space="preserve">top </w:t>
      </w:r>
      <w:r>
        <w:t>lamp v</w:t>
      </w:r>
      <w:r w:rsidR="0065680C" w:rsidRPr="0065680C">
        <w:t>iolation.</w:t>
      </w:r>
      <w:r w:rsidR="003B2350">
        <w:t xml:space="preserve"> </w:t>
      </w:r>
      <w:r>
        <w:t>T</w:t>
      </w:r>
      <w:r w:rsidR="003B2350">
        <w:t xml:space="preserve">he vehicle was placed Out-of-Service consistent with the North American Standard Out-of-Service Criteria. </w:t>
      </w:r>
    </w:p>
    <w:p w:rsidR="00B2554D" w:rsidRDefault="00B2554D" w:rsidP="0065680C">
      <w:pPr>
        <w:pStyle w:val="Default"/>
      </w:pPr>
    </w:p>
    <w:p w:rsidR="002D346C" w:rsidRDefault="003B2350" w:rsidP="0065680C">
      <w:pPr>
        <w:pStyle w:val="Default"/>
      </w:pPr>
      <w:r>
        <w:t>A $100 penalty was assessed on July 10, 2017.</w:t>
      </w:r>
      <w:r w:rsidR="00C30E91">
        <w:t xml:space="preserve"> The commission denied Waste Control’s request for mitigation on September 5, 2017, and</w:t>
      </w:r>
      <w:r>
        <w:t xml:space="preserve"> Waste Control paid the penalty in full on September 11, 2017.</w:t>
      </w:r>
      <w:r w:rsidR="002D346C">
        <w:t xml:space="preserve"> </w:t>
      </w:r>
    </w:p>
    <w:p w:rsidR="00C30E91" w:rsidRDefault="00C30E91" w:rsidP="0065680C">
      <w:pPr>
        <w:pStyle w:val="Default"/>
      </w:pPr>
    </w:p>
    <w:p w:rsidR="00B2554D" w:rsidRDefault="00C30E91" w:rsidP="00B2554D">
      <w:pPr>
        <w:pStyle w:val="Default"/>
      </w:pPr>
      <w:r>
        <w:t>On October 9, 2017, Waste Control wrote to the</w:t>
      </w:r>
      <w:r w:rsidR="00B2554D">
        <w:t xml:space="preserve"> commission providing additional details regarding</w:t>
      </w:r>
      <w:r>
        <w:t xml:space="preserve"> its formal compliance program</w:t>
      </w:r>
      <w:r w:rsidR="00B2554D">
        <w:t>,</w:t>
      </w:r>
      <w:r>
        <w:t xml:space="preserve"> contesting the language in the penalty </w:t>
      </w:r>
      <w:proofErr w:type="spellStart"/>
      <w:r>
        <w:t>assessement</w:t>
      </w:r>
      <w:proofErr w:type="spellEnd"/>
      <w:r>
        <w:t>.</w:t>
      </w:r>
      <w:r w:rsidRPr="00C30E91">
        <w:t xml:space="preserve"> </w:t>
      </w:r>
      <w:r>
        <w:t xml:space="preserve">The $100 penalty assessment states “. . . Waste Control has no formal compliance program . . .” Waste Control requests that the docket be corrected to reflect that the company does in fact have a formal compliance program. </w:t>
      </w:r>
    </w:p>
    <w:p w:rsidR="00B2554D" w:rsidRDefault="00B2554D" w:rsidP="00B2554D">
      <w:pPr>
        <w:pStyle w:val="Default"/>
      </w:pPr>
    </w:p>
    <w:p w:rsidR="003D0CC2" w:rsidRDefault="00C30E91" w:rsidP="00B2554D">
      <w:pPr>
        <w:pStyle w:val="Default"/>
      </w:pPr>
      <w:r>
        <w:t>After further researching the matter</w:t>
      </w:r>
      <w:r w:rsidR="00A76F80">
        <w:t>,</w:t>
      </w:r>
      <w:r>
        <w:t xml:space="preserve"> staff a</w:t>
      </w:r>
      <w:bookmarkStart w:id="0" w:name="_GoBack"/>
      <w:bookmarkEnd w:id="0"/>
      <w:r>
        <w:t>cknowledges that Waste Control does have a formal compliance program</w:t>
      </w:r>
      <w:r w:rsidR="00A76F80">
        <w:t xml:space="preserve"> in place</w:t>
      </w:r>
      <w:r>
        <w:t xml:space="preserve">. </w:t>
      </w:r>
    </w:p>
    <w:p w:rsidR="00B2554D" w:rsidRDefault="00B2554D" w:rsidP="00B2554D">
      <w:pPr>
        <w:pStyle w:val="Default"/>
      </w:pPr>
    </w:p>
    <w:p w:rsidR="00E65B15" w:rsidRDefault="00E65B15" w:rsidP="00B2554D">
      <w:pPr>
        <w:pStyle w:val="Default"/>
      </w:pPr>
    </w:p>
    <w:p w:rsidR="00E65B15" w:rsidRDefault="00E65B15" w:rsidP="00B2554D">
      <w:pPr>
        <w:pStyle w:val="Default"/>
      </w:pPr>
    </w:p>
    <w:p w:rsidR="00E65B15" w:rsidRPr="00D25403" w:rsidRDefault="00E65B15" w:rsidP="00B2554D">
      <w:pPr>
        <w:pStyle w:val="Default"/>
      </w:pPr>
    </w:p>
    <w:p w:rsidR="00E65B15" w:rsidRDefault="00E65B15" w:rsidP="000B50AF">
      <w:pPr>
        <w:pStyle w:val="BodyText"/>
        <w:widowControl/>
        <w:spacing w:line="276" w:lineRule="auto"/>
      </w:pPr>
    </w:p>
    <w:p w:rsidR="00F8486F" w:rsidRPr="00D25403" w:rsidRDefault="00E97D5F" w:rsidP="000B50AF">
      <w:pPr>
        <w:pStyle w:val="BodyText"/>
        <w:widowControl/>
        <w:spacing w:line="276" w:lineRule="auto"/>
      </w:pPr>
      <w:r>
        <w:t>If you have any questions</w:t>
      </w:r>
      <w:r w:rsidR="000B50AF" w:rsidRPr="00D25403">
        <w:t xml:space="preserve"> please contact </w:t>
      </w:r>
      <w:r w:rsidR="00B814D4">
        <w:t>Francine Gagne, Motor Carrier Safety Inve</w:t>
      </w:r>
      <w:r w:rsidR="00C30E91">
        <w:t>stigator, Transportation Safety</w:t>
      </w:r>
      <w:r>
        <w:t xml:space="preserve"> at </w:t>
      </w:r>
      <w:hyperlink r:id="rId11" w:history="1">
        <w:r w:rsidRPr="00696B05">
          <w:rPr>
            <w:rStyle w:val="Hyperlink"/>
          </w:rPr>
          <w:t>fgagne@utc.wa.gov</w:t>
        </w:r>
      </w:hyperlink>
      <w:r w:rsidR="00B814D4">
        <w:t xml:space="preserve"> </w:t>
      </w:r>
      <w:r>
        <w:t xml:space="preserve">or </w:t>
      </w:r>
      <w:r w:rsidR="00C30E91">
        <w:t xml:space="preserve">(360) </w:t>
      </w:r>
      <w:r w:rsidR="000B50AF" w:rsidRPr="00D25403">
        <w:t>664-</w:t>
      </w:r>
      <w:r w:rsidR="00C30E91">
        <w:t>1231</w:t>
      </w:r>
      <w:hyperlink r:id="rId12" w:history="1"/>
      <w:r w:rsidR="00F8486F" w:rsidRPr="00D25403">
        <w:t>.</w:t>
      </w:r>
    </w:p>
    <w:p w:rsidR="000B50AF" w:rsidRPr="00D25403" w:rsidRDefault="000B50AF" w:rsidP="00E97D5F">
      <w:pPr>
        <w:pStyle w:val="BodyText"/>
        <w:widowControl/>
        <w:spacing w:line="276" w:lineRule="auto"/>
      </w:pPr>
      <w:r w:rsidRPr="00D25403">
        <w:t xml:space="preserve"> </w:t>
      </w:r>
    </w:p>
    <w:p w:rsidR="000B50AF" w:rsidRPr="00D25403" w:rsidRDefault="00AE2DED" w:rsidP="000B50AF">
      <w:pPr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11238</wp:posOffset>
            </wp:positionH>
            <wp:positionV relativeFrom="paragraph">
              <wp:posOffset>108880</wp:posOffset>
            </wp:positionV>
            <wp:extent cx="1903227" cy="763058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MP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227" cy="763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0AF" w:rsidRPr="00D25403">
        <w:t>Sincerely,</w:t>
      </w:r>
    </w:p>
    <w:p w:rsidR="000B50AF" w:rsidRPr="00D25403" w:rsidRDefault="000B50AF" w:rsidP="000B50AF">
      <w:pPr>
        <w:spacing w:line="276" w:lineRule="auto"/>
      </w:pPr>
    </w:p>
    <w:p w:rsidR="000B50AF" w:rsidRPr="00D25403" w:rsidRDefault="000B50AF" w:rsidP="000B50AF">
      <w:pPr>
        <w:spacing w:line="276" w:lineRule="auto"/>
      </w:pPr>
    </w:p>
    <w:p w:rsidR="000B50AF" w:rsidRPr="00D25403" w:rsidRDefault="000B50AF" w:rsidP="000B50AF">
      <w:pPr>
        <w:spacing w:line="276" w:lineRule="auto"/>
      </w:pPr>
    </w:p>
    <w:p w:rsidR="000B50AF" w:rsidRDefault="00B814D4" w:rsidP="000B50AF">
      <w:pPr>
        <w:spacing w:line="276" w:lineRule="auto"/>
      </w:pPr>
      <w:r>
        <w:t>Mathew Perkinson</w:t>
      </w:r>
    </w:p>
    <w:p w:rsidR="0037579C" w:rsidRPr="00D25403" w:rsidRDefault="00B814D4" w:rsidP="00B814D4">
      <w:pPr>
        <w:spacing w:line="276" w:lineRule="auto"/>
      </w:pPr>
      <w:r>
        <w:t>Motor Carrier Safety Manager</w:t>
      </w:r>
    </w:p>
    <w:sectPr w:rsidR="0037579C" w:rsidRPr="00D25403" w:rsidSect="00AB61BF">
      <w:head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DFA" w:rsidRDefault="00655DFA" w:rsidP="00AB61BF">
      <w:r>
        <w:separator/>
      </w:r>
    </w:p>
  </w:endnote>
  <w:endnote w:type="continuationSeparator" w:id="0">
    <w:p w:rsidR="00655DFA" w:rsidRDefault="00655DFA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7F9" w:rsidRPr="00417016" w:rsidRDefault="004847F9" w:rsidP="004847F9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tab/>
    </w:r>
    <w:r>
      <w:rPr>
        <w:rFonts w:ascii="Arial" w:hAnsi="Arial" w:cs="Arial"/>
        <w:color w:val="008000"/>
        <w:sz w:val="18"/>
      </w:rPr>
      <w:t>Respect. Professionalism. Integrity. Accountability.</w:t>
    </w:r>
  </w:p>
  <w:p w:rsidR="004847F9" w:rsidRDefault="004847F9" w:rsidP="004847F9">
    <w:pPr>
      <w:pStyle w:val="Footer"/>
      <w:tabs>
        <w:tab w:val="clear" w:pos="4680"/>
        <w:tab w:val="clear" w:pos="9360"/>
        <w:tab w:val="left" w:pos="34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DFA" w:rsidRDefault="00655DFA" w:rsidP="00AB61BF">
      <w:r>
        <w:separator/>
      </w:r>
    </w:p>
  </w:footnote>
  <w:footnote w:type="continuationSeparator" w:id="0">
    <w:p w:rsidR="00655DFA" w:rsidRDefault="00655DFA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AF9" w:rsidRPr="00D25403" w:rsidRDefault="00245AF9">
    <w:pPr>
      <w:pStyle w:val="Header"/>
    </w:pPr>
    <w:r w:rsidRPr="00D25403">
      <w:t>Steven King</w:t>
    </w:r>
  </w:p>
  <w:p w:rsidR="00245AF9" w:rsidRPr="00D25403" w:rsidRDefault="00E65B15">
    <w:pPr>
      <w:pStyle w:val="Header"/>
    </w:pPr>
    <w:r>
      <w:t>October 18</w:t>
    </w:r>
    <w:r w:rsidR="00B814D4">
      <w:t>, 2017</w:t>
    </w:r>
  </w:p>
  <w:p w:rsidR="0037579C" w:rsidRPr="00D25403" w:rsidRDefault="00245AF9">
    <w:pPr>
      <w:pStyle w:val="Header"/>
      <w:rPr>
        <w:noProof/>
      </w:rPr>
    </w:pPr>
    <w:r w:rsidRPr="00D25403">
      <w:t xml:space="preserve">Page </w:t>
    </w:r>
    <w:r w:rsidR="005C43E3" w:rsidRPr="00D25403">
      <w:fldChar w:fldCharType="begin"/>
    </w:r>
    <w:r w:rsidR="005C43E3" w:rsidRPr="00D25403">
      <w:instrText xml:space="preserve"> PAGE   \* MERGEFORMAT </w:instrText>
    </w:r>
    <w:r w:rsidR="005C43E3" w:rsidRPr="00D25403">
      <w:fldChar w:fldCharType="separate"/>
    </w:r>
    <w:r w:rsidR="00D10FD0">
      <w:rPr>
        <w:noProof/>
      </w:rPr>
      <w:t>2</w:t>
    </w:r>
    <w:r w:rsidR="005C43E3" w:rsidRPr="00D25403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7F9" w:rsidRDefault="004847F9" w:rsidP="004847F9">
    <w:pPr>
      <w:jc w:val="center"/>
    </w:pPr>
    <w:r>
      <w:rPr>
        <w:noProof/>
      </w:rPr>
      <w:drawing>
        <wp:inline distT="0" distB="0" distL="0" distR="0" wp14:anchorId="5FF82C16" wp14:editId="4EC02AE6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47F9" w:rsidRDefault="004847F9" w:rsidP="004847F9">
    <w:pPr>
      <w:rPr>
        <w:sz w:val="14"/>
      </w:rPr>
    </w:pPr>
  </w:p>
  <w:p w:rsidR="004847F9" w:rsidRDefault="004847F9" w:rsidP="004847F9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:rsidR="004847F9" w:rsidRDefault="004847F9" w:rsidP="004847F9">
    <w:pPr>
      <w:jc w:val="center"/>
      <w:rPr>
        <w:color w:val="008000"/>
        <w:sz w:val="8"/>
      </w:rPr>
    </w:pPr>
  </w:p>
  <w:p w:rsidR="004847F9" w:rsidRDefault="004847F9" w:rsidP="004847F9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:rsidR="004847F9" w:rsidRDefault="004847F9" w:rsidP="004847F9">
    <w:pPr>
      <w:jc w:val="center"/>
      <w:rPr>
        <w:i/>
        <w:color w:val="008000"/>
        <w:sz w:val="8"/>
      </w:rPr>
    </w:pPr>
  </w:p>
  <w:p w:rsidR="004847F9" w:rsidRDefault="004847F9" w:rsidP="004847F9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:rsidR="004847F9" w:rsidRPr="00A603E7" w:rsidRDefault="004847F9" w:rsidP="004847F9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:rsidR="004847F9" w:rsidRDefault="004847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4858"/>
    <w:multiLevelType w:val="hybridMultilevel"/>
    <w:tmpl w:val="3B74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3E8D"/>
    <w:multiLevelType w:val="hybridMultilevel"/>
    <w:tmpl w:val="6FB60B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43B6"/>
    <w:multiLevelType w:val="hybridMultilevel"/>
    <w:tmpl w:val="13AC10C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FF42B25"/>
    <w:multiLevelType w:val="hybridMultilevel"/>
    <w:tmpl w:val="E42A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0755D"/>
    <w:multiLevelType w:val="hybridMultilevel"/>
    <w:tmpl w:val="A0960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911E8A"/>
    <w:multiLevelType w:val="hybridMultilevel"/>
    <w:tmpl w:val="77A4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24EFA"/>
    <w:multiLevelType w:val="hybridMultilevel"/>
    <w:tmpl w:val="EAF0A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25A40"/>
    <w:multiLevelType w:val="hybridMultilevel"/>
    <w:tmpl w:val="3B325E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2CA1AD5"/>
    <w:multiLevelType w:val="hybridMultilevel"/>
    <w:tmpl w:val="2330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8268F"/>
    <w:multiLevelType w:val="hybridMultilevel"/>
    <w:tmpl w:val="E1343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73AA4"/>
    <w:multiLevelType w:val="hybridMultilevel"/>
    <w:tmpl w:val="D51E9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0"/>
  </w:num>
  <w:num w:numId="8">
    <w:abstractNumId w:val="1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14C8D"/>
    <w:rsid w:val="00035109"/>
    <w:rsid w:val="00040682"/>
    <w:rsid w:val="000527DD"/>
    <w:rsid w:val="00055875"/>
    <w:rsid w:val="000637E3"/>
    <w:rsid w:val="00063930"/>
    <w:rsid w:val="000876F5"/>
    <w:rsid w:val="00096996"/>
    <w:rsid w:val="000B50AF"/>
    <w:rsid w:val="000B778A"/>
    <w:rsid w:val="000D3D22"/>
    <w:rsid w:val="000D603A"/>
    <w:rsid w:val="000E11BD"/>
    <w:rsid w:val="000E1E5B"/>
    <w:rsid w:val="000E4875"/>
    <w:rsid w:val="000E5374"/>
    <w:rsid w:val="000E7251"/>
    <w:rsid w:val="000F02C6"/>
    <w:rsid w:val="001046F6"/>
    <w:rsid w:val="00111248"/>
    <w:rsid w:val="00121610"/>
    <w:rsid w:val="0013094C"/>
    <w:rsid w:val="00131730"/>
    <w:rsid w:val="0013536A"/>
    <w:rsid w:val="001353BD"/>
    <w:rsid w:val="00136FC8"/>
    <w:rsid w:val="0014327C"/>
    <w:rsid w:val="00147032"/>
    <w:rsid w:val="00147DB5"/>
    <w:rsid w:val="0015306D"/>
    <w:rsid w:val="00177005"/>
    <w:rsid w:val="001804DD"/>
    <w:rsid w:val="0018490A"/>
    <w:rsid w:val="001A38CA"/>
    <w:rsid w:val="001B14D3"/>
    <w:rsid w:val="001C449E"/>
    <w:rsid w:val="001C6369"/>
    <w:rsid w:val="001D1800"/>
    <w:rsid w:val="001E77EB"/>
    <w:rsid w:val="001F31D2"/>
    <w:rsid w:val="00213ED3"/>
    <w:rsid w:val="00216F02"/>
    <w:rsid w:val="002175AA"/>
    <w:rsid w:val="00233D33"/>
    <w:rsid w:val="00234A85"/>
    <w:rsid w:val="00237F30"/>
    <w:rsid w:val="00245AF9"/>
    <w:rsid w:val="00250E07"/>
    <w:rsid w:val="00257F34"/>
    <w:rsid w:val="002628CB"/>
    <w:rsid w:val="002640EA"/>
    <w:rsid w:val="00267CF5"/>
    <w:rsid w:val="002712B3"/>
    <w:rsid w:val="00273D2C"/>
    <w:rsid w:val="0027539A"/>
    <w:rsid w:val="00275591"/>
    <w:rsid w:val="002834FA"/>
    <w:rsid w:val="002B6420"/>
    <w:rsid w:val="002B6E16"/>
    <w:rsid w:val="002C67BA"/>
    <w:rsid w:val="002D2453"/>
    <w:rsid w:val="002D346C"/>
    <w:rsid w:val="002D6081"/>
    <w:rsid w:val="003225B5"/>
    <w:rsid w:val="00353540"/>
    <w:rsid w:val="00355572"/>
    <w:rsid w:val="0035627B"/>
    <w:rsid w:val="0036446F"/>
    <w:rsid w:val="00364DA6"/>
    <w:rsid w:val="003669F5"/>
    <w:rsid w:val="0037579C"/>
    <w:rsid w:val="0038696B"/>
    <w:rsid w:val="003A7146"/>
    <w:rsid w:val="003B2350"/>
    <w:rsid w:val="003B477D"/>
    <w:rsid w:val="003B74A9"/>
    <w:rsid w:val="003C5AEE"/>
    <w:rsid w:val="003C5E08"/>
    <w:rsid w:val="003D0CC2"/>
    <w:rsid w:val="003E2E17"/>
    <w:rsid w:val="003E3CF5"/>
    <w:rsid w:val="003E63F7"/>
    <w:rsid w:val="00405161"/>
    <w:rsid w:val="004060AA"/>
    <w:rsid w:val="00414D74"/>
    <w:rsid w:val="00416903"/>
    <w:rsid w:val="00417016"/>
    <w:rsid w:val="004255B9"/>
    <w:rsid w:val="00430622"/>
    <w:rsid w:val="00433DFE"/>
    <w:rsid w:val="004436A8"/>
    <w:rsid w:val="00444A09"/>
    <w:rsid w:val="0045135A"/>
    <w:rsid w:val="00456BD7"/>
    <w:rsid w:val="00456D30"/>
    <w:rsid w:val="004621D8"/>
    <w:rsid w:val="004645CB"/>
    <w:rsid w:val="00465E32"/>
    <w:rsid w:val="00470F05"/>
    <w:rsid w:val="004847F9"/>
    <w:rsid w:val="004943B3"/>
    <w:rsid w:val="00497AE6"/>
    <w:rsid w:val="004A04C0"/>
    <w:rsid w:val="004A143B"/>
    <w:rsid w:val="004A1B53"/>
    <w:rsid w:val="004A20AB"/>
    <w:rsid w:val="004A59E3"/>
    <w:rsid w:val="004C18D8"/>
    <w:rsid w:val="004C1A29"/>
    <w:rsid w:val="004F68C9"/>
    <w:rsid w:val="00516521"/>
    <w:rsid w:val="00517073"/>
    <w:rsid w:val="00531C07"/>
    <w:rsid w:val="00533DD6"/>
    <w:rsid w:val="00534FE3"/>
    <w:rsid w:val="00535863"/>
    <w:rsid w:val="005431AE"/>
    <w:rsid w:val="0054755F"/>
    <w:rsid w:val="00572F1D"/>
    <w:rsid w:val="00575A54"/>
    <w:rsid w:val="005763F7"/>
    <w:rsid w:val="0058130D"/>
    <w:rsid w:val="00595A18"/>
    <w:rsid w:val="005B3230"/>
    <w:rsid w:val="005B4E86"/>
    <w:rsid w:val="005B7D98"/>
    <w:rsid w:val="005C3742"/>
    <w:rsid w:val="005C43E3"/>
    <w:rsid w:val="005C789C"/>
    <w:rsid w:val="005D7FF2"/>
    <w:rsid w:val="005E2C56"/>
    <w:rsid w:val="005E4873"/>
    <w:rsid w:val="005F2A13"/>
    <w:rsid w:val="005F32B2"/>
    <w:rsid w:val="006032AE"/>
    <w:rsid w:val="00603E96"/>
    <w:rsid w:val="006267CA"/>
    <w:rsid w:val="00637DAF"/>
    <w:rsid w:val="0064615A"/>
    <w:rsid w:val="00646817"/>
    <w:rsid w:val="00655DFA"/>
    <w:rsid w:val="006563B8"/>
    <w:rsid w:val="0065680C"/>
    <w:rsid w:val="00660A2B"/>
    <w:rsid w:val="0067173B"/>
    <w:rsid w:val="00690AE6"/>
    <w:rsid w:val="00694401"/>
    <w:rsid w:val="00694800"/>
    <w:rsid w:val="006956BB"/>
    <w:rsid w:val="00697458"/>
    <w:rsid w:val="006A69FE"/>
    <w:rsid w:val="006B185E"/>
    <w:rsid w:val="006B1CF0"/>
    <w:rsid w:val="006B35DA"/>
    <w:rsid w:val="006D1375"/>
    <w:rsid w:val="006D5484"/>
    <w:rsid w:val="006D7297"/>
    <w:rsid w:val="006E4C7A"/>
    <w:rsid w:val="006E57A7"/>
    <w:rsid w:val="006F408A"/>
    <w:rsid w:val="006F76FD"/>
    <w:rsid w:val="006F79FF"/>
    <w:rsid w:val="00701C06"/>
    <w:rsid w:val="00702900"/>
    <w:rsid w:val="00715F88"/>
    <w:rsid w:val="00716032"/>
    <w:rsid w:val="007305EA"/>
    <w:rsid w:val="00732F07"/>
    <w:rsid w:val="007352B5"/>
    <w:rsid w:val="00745630"/>
    <w:rsid w:val="00755695"/>
    <w:rsid w:val="007571E6"/>
    <w:rsid w:val="00763902"/>
    <w:rsid w:val="007A2CAE"/>
    <w:rsid w:val="007A4CBE"/>
    <w:rsid w:val="007C5E20"/>
    <w:rsid w:val="007E3551"/>
    <w:rsid w:val="007F6D68"/>
    <w:rsid w:val="007F6E61"/>
    <w:rsid w:val="0080300E"/>
    <w:rsid w:val="008230E3"/>
    <w:rsid w:val="00826FEA"/>
    <w:rsid w:val="0083782A"/>
    <w:rsid w:val="00856CAA"/>
    <w:rsid w:val="008B525E"/>
    <w:rsid w:val="008C283E"/>
    <w:rsid w:val="008D4F02"/>
    <w:rsid w:val="008F1B59"/>
    <w:rsid w:val="008F2D83"/>
    <w:rsid w:val="009246E4"/>
    <w:rsid w:val="00944B34"/>
    <w:rsid w:val="0097341B"/>
    <w:rsid w:val="00974BF6"/>
    <w:rsid w:val="009765B2"/>
    <w:rsid w:val="009813B3"/>
    <w:rsid w:val="00995243"/>
    <w:rsid w:val="009B5CB4"/>
    <w:rsid w:val="009D0F33"/>
    <w:rsid w:val="009D14CC"/>
    <w:rsid w:val="009E4818"/>
    <w:rsid w:val="009F0A9E"/>
    <w:rsid w:val="009F496B"/>
    <w:rsid w:val="009F69BF"/>
    <w:rsid w:val="009F6D8C"/>
    <w:rsid w:val="00A11808"/>
    <w:rsid w:val="00A22724"/>
    <w:rsid w:val="00A538E2"/>
    <w:rsid w:val="00A76F80"/>
    <w:rsid w:val="00A940E9"/>
    <w:rsid w:val="00A96DE4"/>
    <w:rsid w:val="00AA4E90"/>
    <w:rsid w:val="00AA5851"/>
    <w:rsid w:val="00AB4CAA"/>
    <w:rsid w:val="00AB61BF"/>
    <w:rsid w:val="00AC48BF"/>
    <w:rsid w:val="00AD48B2"/>
    <w:rsid w:val="00AE15E3"/>
    <w:rsid w:val="00AE2DED"/>
    <w:rsid w:val="00B0438D"/>
    <w:rsid w:val="00B147A9"/>
    <w:rsid w:val="00B2554D"/>
    <w:rsid w:val="00B2703B"/>
    <w:rsid w:val="00B27BD0"/>
    <w:rsid w:val="00B36F17"/>
    <w:rsid w:val="00B52988"/>
    <w:rsid w:val="00B54BA4"/>
    <w:rsid w:val="00B6047C"/>
    <w:rsid w:val="00B639B4"/>
    <w:rsid w:val="00B706C6"/>
    <w:rsid w:val="00B814D4"/>
    <w:rsid w:val="00B92B3A"/>
    <w:rsid w:val="00B92E80"/>
    <w:rsid w:val="00BA381D"/>
    <w:rsid w:val="00BA7782"/>
    <w:rsid w:val="00BB40AC"/>
    <w:rsid w:val="00BC4229"/>
    <w:rsid w:val="00BC4721"/>
    <w:rsid w:val="00BD23F4"/>
    <w:rsid w:val="00BE1246"/>
    <w:rsid w:val="00BE3E85"/>
    <w:rsid w:val="00BF1089"/>
    <w:rsid w:val="00C00362"/>
    <w:rsid w:val="00C1387D"/>
    <w:rsid w:val="00C14192"/>
    <w:rsid w:val="00C27CEE"/>
    <w:rsid w:val="00C30E91"/>
    <w:rsid w:val="00C31482"/>
    <w:rsid w:val="00C36B9D"/>
    <w:rsid w:val="00C443C0"/>
    <w:rsid w:val="00C549D1"/>
    <w:rsid w:val="00C73FCA"/>
    <w:rsid w:val="00C905EF"/>
    <w:rsid w:val="00C959D1"/>
    <w:rsid w:val="00C9626E"/>
    <w:rsid w:val="00CA017A"/>
    <w:rsid w:val="00CA0B37"/>
    <w:rsid w:val="00CE37D5"/>
    <w:rsid w:val="00CF33A3"/>
    <w:rsid w:val="00CF7C80"/>
    <w:rsid w:val="00D10FD0"/>
    <w:rsid w:val="00D25403"/>
    <w:rsid w:val="00D31F02"/>
    <w:rsid w:val="00D32561"/>
    <w:rsid w:val="00D53B59"/>
    <w:rsid w:val="00D57864"/>
    <w:rsid w:val="00D663F4"/>
    <w:rsid w:val="00D67F92"/>
    <w:rsid w:val="00D75EF6"/>
    <w:rsid w:val="00D9038D"/>
    <w:rsid w:val="00D91265"/>
    <w:rsid w:val="00D96A98"/>
    <w:rsid w:val="00DA4C9C"/>
    <w:rsid w:val="00DB7A1B"/>
    <w:rsid w:val="00DF64A3"/>
    <w:rsid w:val="00DF711D"/>
    <w:rsid w:val="00E11AE0"/>
    <w:rsid w:val="00E142E7"/>
    <w:rsid w:val="00E228DB"/>
    <w:rsid w:val="00E65B15"/>
    <w:rsid w:val="00E7387A"/>
    <w:rsid w:val="00E95575"/>
    <w:rsid w:val="00E97D5F"/>
    <w:rsid w:val="00EA03E9"/>
    <w:rsid w:val="00EA03FE"/>
    <w:rsid w:val="00EA385B"/>
    <w:rsid w:val="00EC14C3"/>
    <w:rsid w:val="00EC5D40"/>
    <w:rsid w:val="00ED1C3A"/>
    <w:rsid w:val="00EE231D"/>
    <w:rsid w:val="00EE5575"/>
    <w:rsid w:val="00EF79E8"/>
    <w:rsid w:val="00F0157C"/>
    <w:rsid w:val="00F20DAD"/>
    <w:rsid w:val="00F32A6D"/>
    <w:rsid w:val="00F40076"/>
    <w:rsid w:val="00F52311"/>
    <w:rsid w:val="00F64812"/>
    <w:rsid w:val="00F65ABE"/>
    <w:rsid w:val="00F8486F"/>
    <w:rsid w:val="00F84BFD"/>
    <w:rsid w:val="00FA2D09"/>
    <w:rsid w:val="00FA561C"/>
    <w:rsid w:val="00FA7A4A"/>
    <w:rsid w:val="00FB12F8"/>
    <w:rsid w:val="00FD04EB"/>
    <w:rsid w:val="00FD3B53"/>
    <w:rsid w:val="00FE2FFC"/>
    <w:rsid w:val="00FE68D7"/>
    <w:rsid w:val="00FE6E9E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56D30"/>
    <w:pPr>
      <w:keepNext/>
      <w:autoSpaceDE w:val="0"/>
      <w:autoSpaceDN w:val="0"/>
      <w:spacing w:before="240" w:after="60"/>
      <w:outlineLvl w:val="1"/>
    </w:pPr>
    <w:rPr>
      <w:rFonts w:ascii="Calibri Light" w:eastAsiaTheme="minorHAnsi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uiPriority w:val="99"/>
    <w:semiHidden/>
    <w:rsid w:val="000B50AF"/>
  </w:style>
  <w:style w:type="paragraph" w:styleId="BodyText">
    <w:name w:val="Body Text"/>
    <w:basedOn w:val="Normal"/>
    <w:link w:val="BodyTextChar"/>
    <w:rsid w:val="000B50AF"/>
    <w:pPr>
      <w:widowControl w:val="0"/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rsid w:val="000B50A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0B50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50AF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D30"/>
    <w:rPr>
      <w:rFonts w:ascii="Calibri Light" w:hAnsi="Calibri Light" w:cs="Times New Roman"/>
      <w:b/>
      <w:bCs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7173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E2FFC"/>
    <w:pPr>
      <w:ind w:left="720"/>
      <w:contextualSpacing/>
    </w:pPr>
  </w:style>
  <w:style w:type="paragraph" w:customStyle="1" w:styleId="Default">
    <w:name w:val="Default"/>
    <w:rsid w:val="003D0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0CC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0CC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0CC2"/>
    <w:rPr>
      <w:vertAlign w:val="superscript"/>
    </w:rPr>
  </w:style>
  <w:style w:type="table" w:styleId="TableGrid">
    <w:name w:val="Table Grid"/>
    <w:basedOn w:val="TableNormal"/>
    <w:uiPriority w:val="59"/>
    <w:rsid w:val="00B3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gagne@utc.wa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2017-06-21T07:00:00+00:00</OpenedDate>
    <Date1 xmlns="dc463f71-b30c-4ab2-9473-d307f9d35888">2017-10-18T07:00:00+00:00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Nickname xmlns="http://schemas.microsoft.com/sharepoint/v3" xsi:nil="true"/>
    <DocketNumber xmlns="dc463f71-b30c-4ab2-9473-d307f9d35888">170724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40DCB5EA39764BAC2E1F2495FDC5B7" ma:contentTypeVersion="104" ma:contentTypeDescription="" ma:contentTypeScope="" ma:versionID="41f0b0bd79ef1307972550d4ab492e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D4D21186-BB63-4DE9-8AF1-40396A9E1C44}">
  <ds:schemaRefs>
    <ds:schemaRef ds:uri="http://schemas.microsoft.com/office/2006/metadata/properties"/>
    <ds:schemaRef ds:uri="http://schemas.microsoft.com/sharepoint/v3"/>
    <ds:schemaRef ds:uri="5eb6b57d-c27e-486f-894e-bc42e5e07d41"/>
  </ds:schemaRefs>
</ds:datastoreItem>
</file>

<file path=customXml/itemProps2.xml><?xml version="1.0" encoding="utf-8"?>
<ds:datastoreItem xmlns:ds="http://schemas.openxmlformats.org/officeDocument/2006/customXml" ds:itemID="{2DC668A0-3BB1-4AF7-9B2A-82FC0E613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B2386-7C2E-4C0C-8058-84068D5DF400}"/>
</file>

<file path=customXml/itemProps4.xml><?xml version="1.0" encoding="utf-8"?>
<ds:datastoreItem xmlns:ds="http://schemas.openxmlformats.org/officeDocument/2006/customXml" ds:itemID="{7E75BEF7-B354-4A78-9ECB-C9EFD14B141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EB45C56-6F87-4D15-9F92-7C27768C4C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Perkinson, Mathew (UTC)</cp:lastModifiedBy>
  <cp:revision>5</cp:revision>
  <cp:lastPrinted>2017-10-18T15:48:00Z</cp:lastPrinted>
  <dcterms:created xsi:type="dcterms:W3CDTF">2017-10-17T20:37:00Z</dcterms:created>
  <dcterms:modified xsi:type="dcterms:W3CDTF">2017-10-18T19:32:00Z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0x0101006E56B4D1795A2E4DB2F0B01679ED314A006D40DCB5EA39764BAC2E1F2495FDC5B7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