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1FE6D" w14:textId="77777777" w:rsidR="0081462F" w:rsidRPr="00764CC9" w:rsidRDefault="0081462F">
      <w:pPr>
        <w:pStyle w:val="BodyText"/>
        <w:rPr>
          <w:b/>
          <w:bCs/>
        </w:rPr>
      </w:pPr>
      <w:bookmarkStart w:id="0" w:name="_GoBack"/>
      <w:bookmarkEnd w:id="0"/>
      <w:r w:rsidRPr="00764CC9">
        <w:rPr>
          <w:b/>
          <w:bCs/>
        </w:rPr>
        <w:t>BEFORE THE WASHINGTON</w:t>
      </w:r>
    </w:p>
    <w:p w14:paraId="6C81FE6E" w14:textId="77777777" w:rsidR="0081462F" w:rsidRPr="00764CC9" w:rsidRDefault="0081462F">
      <w:pPr>
        <w:pStyle w:val="BodyText"/>
        <w:rPr>
          <w:b/>
          <w:bCs/>
        </w:rPr>
      </w:pPr>
      <w:r w:rsidRPr="00764CC9">
        <w:rPr>
          <w:b/>
          <w:bCs/>
        </w:rPr>
        <w:t xml:space="preserve">UTILITIES AND TRANSPORTATION </w:t>
      </w:r>
      <w:r w:rsidR="00F3239C">
        <w:rPr>
          <w:b/>
          <w:bCs/>
        </w:rPr>
        <w:t>COMMISSION</w:t>
      </w:r>
    </w:p>
    <w:p w14:paraId="6C81FE6F" w14:textId="77777777" w:rsidR="0081462F" w:rsidRPr="00764CC9" w:rsidRDefault="0081462F">
      <w:pPr>
        <w:rPr>
          <w:b/>
          <w:bCs/>
        </w:rPr>
      </w:pPr>
    </w:p>
    <w:p w14:paraId="6C81FE70" w14:textId="77777777" w:rsidR="009A292E" w:rsidRPr="00764CC9" w:rsidRDefault="009A292E">
      <w:pPr>
        <w:rPr>
          <w:b/>
          <w:bCs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230"/>
        <w:gridCol w:w="300"/>
        <w:gridCol w:w="4088"/>
      </w:tblGrid>
      <w:tr w:rsidR="0081462F" w:rsidRPr="00764CC9" w14:paraId="6C81FE91" w14:textId="77777777" w:rsidTr="00AC3508">
        <w:tc>
          <w:tcPr>
            <w:tcW w:w="42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C81FE71" w14:textId="77777777" w:rsidR="0081462F" w:rsidRPr="00764CC9" w:rsidRDefault="0081462F">
            <w:pPr>
              <w:pStyle w:val="Header"/>
              <w:tabs>
                <w:tab w:val="clear" w:pos="4320"/>
                <w:tab w:val="clear" w:pos="8640"/>
              </w:tabs>
            </w:pPr>
            <w:r w:rsidRPr="00764CC9">
              <w:t>In the Matter of the Application of</w:t>
            </w:r>
          </w:p>
          <w:p w14:paraId="6C81FE72" w14:textId="77777777" w:rsidR="0081462F" w:rsidRPr="00764CC9" w:rsidRDefault="0081462F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6C81FE73" w14:textId="3BB4D39D" w:rsidR="00833157" w:rsidRPr="00764CC9" w:rsidRDefault="00764E06" w:rsidP="00805E15">
            <w:r>
              <w:t>ILIAD</w:t>
            </w:r>
            <w:r w:rsidR="00805E15">
              <w:t xml:space="preserve"> WATER SERVICE</w:t>
            </w:r>
            <w:r>
              <w:t>S</w:t>
            </w:r>
            <w:r w:rsidR="00805E15">
              <w:t>, INC.</w:t>
            </w:r>
          </w:p>
          <w:p w14:paraId="6C81FE74" w14:textId="77777777" w:rsidR="00B0617F" w:rsidRPr="00764CC9" w:rsidRDefault="00B0617F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6C81FE75" w14:textId="77777777" w:rsidR="0081462F" w:rsidRPr="00764CC9" w:rsidRDefault="0081462F">
            <w:pPr>
              <w:pStyle w:val="Header"/>
              <w:tabs>
                <w:tab w:val="clear" w:pos="4320"/>
                <w:tab w:val="clear" w:pos="8640"/>
              </w:tabs>
            </w:pPr>
            <w:r w:rsidRPr="00764CC9">
              <w:t xml:space="preserve">                Applicant,</w:t>
            </w:r>
          </w:p>
          <w:p w14:paraId="6C81FE76" w14:textId="77777777" w:rsidR="0081462F" w:rsidRPr="00764CC9" w:rsidRDefault="0081462F"/>
          <w:p w14:paraId="6C81FE77" w14:textId="75B21FB1" w:rsidR="0081462F" w:rsidRPr="00764CC9" w:rsidRDefault="0081462F">
            <w:pPr>
              <w:rPr>
                <w:b/>
                <w:bCs/>
              </w:rPr>
            </w:pPr>
            <w:r w:rsidRPr="00764CC9">
              <w:t xml:space="preserve">For the </w:t>
            </w:r>
            <w:r w:rsidR="00764E06">
              <w:t>Merger in</w:t>
            </w:r>
            <w:r w:rsidRPr="00764CC9">
              <w:t xml:space="preserve">to </w:t>
            </w:r>
          </w:p>
          <w:p w14:paraId="6C81FE79" w14:textId="480B9775" w:rsidR="00AB5A4C" w:rsidRPr="00764CC9" w:rsidRDefault="00764E06">
            <w:pPr>
              <w:rPr>
                <w:bCs/>
              </w:rPr>
            </w:pPr>
            <w:r>
              <w:rPr>
                <w:bCs/>
              </w:rPr>
              <w:t>ILIAD WATER COMPANY, LLC</w:t>
            </w:r>
          </w:p>
          <w:p w14:paraId="6C81FE7A" w14:textId="58272D9E" w:rsidR="0081462F" w:rsidRPr="00764CC9" w:rsidRDefault="0081462F"/>
        </w:tc>
        <w:tc>
          <w:tcPr>
            <w:tcW w:w="300" w:type="dxa"/>
            <w:tcBorders>
              <w:left w:val="single" w:sz="4" w:space="0" w:color="auto"/>
            </w:tcBorders>
          </w:tcPr>
          <w:p w14:paraId="6C81FE89" w14:textId="0532C307" w:rsidR="00805E15" w:rsidRPr="00764CC9" w:rsidRDefault="00805E15" w:rsidP="00AC3508"/>
        </w:tc>
        <w:tc>
          <w:tcPr>
            <w:tcW w:w="4088" w:type="dxa"/>
          </w:tcPr>
          <w:p w14:paraId="6C81FE8A" w14:textId="14AC4E16" w:rsidR="0081462F" w:rsidRPr="00764CC9" w:rsidRDefault="0081462F">
            <w:pPr>
              <w:rPr>
                <w:bCs/>
              </w:rPr>
            </w:pPr>
            <w:r w:rsidRPr="00764CC9">
              <w:t xml:space="preserve">DOCKET </w:t>
            </w:r>
            <w:r w:rsidR="00551872">
              <w:t>UW-</w:t>
            </w:r>
            <w:r w:rsidR="00764E06">
              <w:t>160</w:t>
            </w:r>
            <w:r w:rsidR="00D420DC">
              <w:t>784</w:t>
            </w:r>
          </w:p>
          <w:p w14:paraId="6C81FE8B" w14:textId="77777777" w:rsidR="0081462F" w:rsidRPr="00764CC9" w:rsidRDefault="0081462F">
            <w:pPr>
              <w:ind w:left="720"/>
            </w:pPr>
          </w:p>
          <w:p w14:paraId="6C81FE8C" w14:textId="77777777" w:rsidR="0081462F" w:rsidRPr="00764CC9" w:rsidRDefault="00CE0B7B">
            <w:pPr>
              <w:rPr>
                <w:bCs/>
              </w:rPr>
            </w:pPr>
            <w:r w:rsidRPr="00764CC9">
              <w:t>ORDER</w:t>
            </w:r>
            <w:r w:rsidR="0081462F" w:rsidRPr="00764CC9">
              <w:t xml:space="preserve"> </w:t>
            </w:r>
            <w:r w:rsidR="00551872">
              <w:t>01</w:t>
            </w:r>
          </w:p>
          <w:p w14:paraId="6C81FE8E" w14:textId="77777777" w:rsidR="0012543D" w:rsidRPr="00764CC9" w:rsidRDefault="0012543D"/>
          <w:p w14:paraId="6C81FE90" w14:textId="3C4ABD58" w:rsidR="0081462F" w:rsidRPr="00764CC9" w:rsidRDefault="0081462F" w:rsidP="00846C28">
            <w:r w:rsidRPr="00764CC9">
              <w:t xml:space="preserve">ORDER GRANTING APPLICATION FOR </w:t>
            </w:r>
            <w:r w:rsidR="00D57424">
              <w:t xml:space="preserve">MERGER </w:t>
            </w:r>
            <w:r w:rsidR="00846C28">
              <w:t xml:space="preserve">AND </w:t>
            </w:r>
            <w:r w:rsidR="00F73F62" w:rsidRPr="00764CC9">
              <w:t>ADOPTING TAR</w:t>
            </w:r>
            <w:r w:rsidR="001A36F8" w:rsidRPr="00764CC9">
              <w:t>I</w:t>
            </w:r>
            <w:r w:rsidR="00F73F62" w:rsidRPr="00764CC9">
              <w:t>FF</w:t>
            </w:r>
          </w:p>
        </w:tc>
      </w:tr>
    </w:tbl>
    <w:p w14:paraId="6C81FE92" w14:textId="77777777" w:rsidR="009A292E" w:rsidRDefault="009A292E">
      <w:pPr>
        <w:pStyle w:val="Header"/>
        <w:tabs>
          <w:tab w:val="clear" w:pos="4320"/>
          <w:tab w:val="clear" w:pos="8640"/>
        </w:tabs>
      </w:pPr>
    </w:p>
    <w:p w14:paraId="040E2681" w14:textId="77777777" w:rsidR="00AC3508" w:rsidRPr="00764CC9" w:rsidRDefault="00AC3508">
      <w:pPr>
        <w:pStyle w:val="Header"/>
        <w:tabs>
          <w:tab w:val="clear" w:pos="4320"/>
          <w:tab w:val="clear" w:pos="8640"/>
        </w:tabs>
      </w:pPr>
    </w:p>
    <w:p w14:paraId="6C81FE93" w14:textId="77777777" w:rsidR="0081462F" w:rsidRPr="00764CC9" w:rsidRDefault="0081462F" w:rsidP="00F73BD2">
      <w:pPr>
        <w:pStyle w:val="Heading2"/>
        <w:spacing w:line="320" w:lineRule="exact"/>
        <w:rPr>
          <w:b/>
          <w:bCs/>
          <w:u w:val="none"/>
        </w:rPr>
      </w:pPr>
      <w:r w:rsidRPr="00764CC9">
        <w:rPr>
          <w:b/>
          <w:bCs/>
          <w:u w:val="none"/>
        </w:rPr>
        <w:t>BACKGROUND</w:t>
      </w:r>
    </w:p>
    <w:p w14:paraId="6C81FE94" w14:textId="77777777" w:rsidR="0081462F" w:rsidRPr="003669C2" w:rsidRDefault="0081462F" w:rsidP="00F73BD2">
      <w:pPr>
        <w:pStyle w:val="Header"/>
        <w:tabs>
          <w:tab w:val="clear" w:pos="4320"/>
          <w:tab w:val="clear" w:pos="8640"/>
        </w:tabs>
        <w:spacing w:line="320" w:lineRule="exact"/>
      </w:pPr>
    </w:p>
    <w:p w14:paraId="6C81FE97" w14:textId="7CD8C175" w:rsidR="003A1A81" w:rsidRPr="00240722" w:rsidRDefault="003669C2" w:rsidP="00CF786D">
      <w:pPr>
        <w:pStyle w:val="FindingsConclusions"/>
      </w:pPr>
      <w:r>
        <w:t xml:space="preserve">On May 31, 2016, Iliad </w:t>
      </w:r>
      <w:r w:rsidRPr="00240722">
        <w:t>Water Service</w:t>
      </w:r>
      <w:r w:rsidR="002B0ED1">
        <w:t>s</w:t>
      </w:r>
      <w:r w:rsidRPr="00240722">
        <w:t>, Inc. (</w:t>
      </w:r>
      <w:r>
        <w:t>Iliad Water Services</w:t>
      </w:r>
      <w:r w:rsidRPr="00240722">
        <w:t>)</w:t>
      </w:r>
      <w:r>
        <w:t xml:space="preserve"> and </w:t>
      </w:r>
      <w:r w:rsidR="00764E06">
        <w:t>Iliad Water Company, LLC</w:t>
      </w:r>
      <w:r w:rsidR="003A1A81" w:rsidRPr="00240722">
        <w:t xml:space="preserve"> (Iliad Water</w:t>
      </w:r>
      <w:r w:rsidR="00240722" w:rsidRPr="00240722">
        <w:t>),</w:t>
      </w:r>
      <w:r w:rsidR="005D680A">
        <w:t xml:space="preserve"> </w:t>
      </w:r>
      <w:r w:rsidR="003A1A81" w:rsidRPr="00240722">
        <w:t xml:space="preserve">filed a joint application with the Washington Utilities and Transportation </w:t>
      </w:r>
      <w:r w:rsidR="00F3239C">
        <w:t>Commission</w:t>
      </w:r>
      <w:r w:rsidR="003A1A81" w:rsidRPr="00240722">
        <w:t xml:space="preserve"> (</w:t>
      </w:r>
      <w:r w:rsidR="00F3239C">
        <w:t>Commission</w:t>
      </w:r>
      <w:r w:rsidR="003A1A81" w:rsidRPr="00240722">
        <w:t>) for transfer of control by merger pursuant to RCW 80.12</w:t>
      </w:r>
      <w:r w:rsidR="00320C69">
        <w:t xml:space="preserve"> (Joint Application)</w:t>
      </w:r>
      <w:r w:rsidR="003A1A81" w:rsidRPr="00240722">
        <w:t xml:space="preserve">. </w:t>
      </w:r>
    </w:p>
    <w:p w14:paraId="6C81FE98" w14:textId="77777777" w:rsidR="00240722" w:rsidRPr="00240722" w:rsidRDefault="00240722" w:rsidP="00CF786D">
      <w:pPr>
        <w:pStyle w:val="ListParagraph"/>
        <w:tabs>
          <w:tab w:val="num" w:pos="0"/>
        </w:tabs>
        <w:ind w:left="0" w:hanging="720"/>
      </w:pPr>
    </w:p>
    <w:p w14:paraId="6C81FE99" w14:textId="0C403552" w:rsidR="00240722" w:rsidRDefault="003669C2" w:rsidP="00CF786D">
      <w:pPr>
        <w:pStyle w:val="FindingsConclusions"/>
      </w:pPr>
      <w:r>
        <w:t>The</w:t>
      </w:r>
      <w:r w:rsidR="00240722" w:rsidRPr="00240722">
        <w:t xml:space="preserve"> </w:t>
      </w:r>
      <w:r w:rsidR="00AB54D4">
        <w:t>applica</w:t>
      </w:r>
      <w:r w:rsidR="00240722" w:rsidRPr="00240722">
        <w:t xml:space="preserve">tion </w:t>
      </w:r>
      <w:r w:rsidR="00627219">
        <w:t xml:space="preserve">will merge </w:t>
      </w:r>
      <w:r w:rsidR="005D680A">
        <w:t>Iliad Water Services</w:t>
      </w:r>
      <w:r w:rsidR="00627219">
        <w:t xml:space="preserve"> </w:t>
      </w:r>
      <w:r w:rsidR="00CD6DA5">
        <w:t>in</w:t>
      </w:r>
      <w:r w:rsidR="00627219">
        <w:t xml:space="preserve">to </w:t>
      </w:r>
      <w:r w:rsidR="00764E06">
        <w:t xml:space="preserve">Iliad Water </w:t>
      </w:r>
      <w:r w:rsidR="00627219">
        <w:t xml:space="preserve">pursuant to </w:t>
      </w:r>
      <w:r w:rsidR="00D57424">
        <w:t>a</w:t>
      </w:r>
      <w:r w:rsidR="00627219">
        <w:t xml:space="preserve"> plan of merger and the filing of Articles of Merg</w:t>
      </w:r>
      <w:r w:rsidR="00AC3508">
        <w:t>er with the Secretary of State.</w:t>
      </w:r>
      <w:r w:rsidR="00627219">
        <w:rPr>
          <w:rStyle w:val="FootnoteReference"/>
        </w:rPr>
        <w:footnoteReference w:id="1"/>
      </w:r>
      <w:r w:rsidR="00627219">
        <w:t xml:space="preserve"> </w:t>
      </w:r>
      <w:r w:rsidR="00764E06">
        <w:t xml:space="preserve">Iliad Water </w:t>
      </w:r>
      <w:r w:rsidR="00627219">
        <w:t>as the surviving entity shall continue its existence under the laws of the State of Washington, and</w:t>
      </w:r>
      <w:r w:rsidR="00320C69">
        <w:t>,</w:t>
      </w:r>
      <w:r w:rsidR="00627219">
        <w:t xml:space="preserve"> upon the merger, </w:t>
      </w:r>
      <w:r w:rsidR="00764E06">
        <w:t xml:space="preserve">Iliad Water </w:t>
      </w:r>
      <w:r w:rsidR="00627219">
        <w:t xml:space="preserve">shall possess all the rights, privileges, immunities, powers and obligations whether of a public or private nature, of </w:t>
      </w:r>
      <w:r w:rsidR="005D680A">
        <w:t>Iliad Water Services</w:t>
      </w:r>
      <w:r w:rsidR="00627219">
        <w:t>.</w:t>
      </w:r>
    </w:p>
    <w:p w14:paraId="4EBE940A" w14:textId="77777777" w:rsidR="00846C28" w:rsidRDefault="00846C28" w:rsidP="007D0B09">
      <w:pPr>
        <w:pStyle w:val="ListParagraph"/>
      </w:pPr>
    </w:p>
    <w:p w14:paraId="1A15C4C0" w14:textId="344F8A17" w:rsidR="007D0B09" w:rsidRDefault="00846C28" w:rsidP="007D0B09">
      <w:pPr>
        <w:pStyle w:val="FindingsConclusions"/>
      </w:pPr>
      <w:r>
        <w:t xml:space="preserve">The proposed merger and tariff adoption has an effective date of July 1, 2016, which coincides with Iliad Water </w:t>
      </w:r>
      <w:r w:rsidR="00A57D75">
        <w:t>Services’</w:t>
      </w:r>
      <w:r>
        <w:t xml:space="preserve"> billing cycle. For accounting purposes, the utility’s accounting records will be transferred and effective on that date.</w:t>
      </w:r>
      <w:r w:rsidR="007D0B09">
        <w:br/>
      </w:r>
      <w:r w:rsidR="007D0B09">
        <w:br w:type="page"/>
      </w:r>
    </w:p>
    <w:p w14:paraId="6C81FE9B" w14:textId="77777777" w:rsidR="00605ADF" w:rsidRPr="00605ADF" w:rsidRDefault="00605ADF" w:rsidP="007D0B09">
      <w:pPr>
        <w:pStyle w:val="FindingsConclusions"/>
      </w:pPr>
      <w:r w:rsidRPr="00605ADF">
        <w:lastRenderedPageBreak/>
        <w:t>The chart below shows the pertinent information f</w:t>
      </w:r>
      <w:r w:rsidR="00D420DC">
        <w:t xml:space="preserve">or each of the </w:t>
      </w:r>
      <w:r w:rsidRPr="00605ADF">
        <w:t>respective water systems.</w:t>
      </w:r>
    </w:p>
    <w:p w14:paraId="2D5FEFFC" w14:textId="77777777" w:rsidR="00605ADF" w:rsidRPr="00605ADF" w:rsidRDefault="00605ADF" w:rsidP="00605A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4"/>
        <w:gridCol w:w="1144"/>
        <w:gridCol w:w="1166"/>
        <w:gridCol w:w="1896"/>
        <w:gridCol w:w="1760"/>
      </w:tblGrid>
      <w:tr w:rsidR="00605ADF" w:rsidRPr="00605ADF" w14:paraId="6C81FEA2" w14:textId="77777777" w:rsidTr="00D420DC">
        <w:tc>
          <w:tcPr>
            <w:tcW w:w="2664" w:type="dxa"/>
            <w:vAlign w:val="bottom"/>
          </w:tcPr>
          <w:p w14:paraId="6C81FE9D" w14:textId="77777777" w:rsidR="00605ADF" w:rsidRPr="00605ADF" w:rsidRDefault="00605ADF" w:rsidP="00F04D8D">
            <w:pPr>
              <w:jc w:val="center"/>
              <w:rPr>
                <w:rFonts w:ascii="Times New Roman" w:hAnsi="Times New Roman"/>
              </w:rPr>
            </w:pPr>
            <w:r w:rsidRPr="00605ADF">
              <w:rPr>
                <w:rFonts w:ascii="Times New Roman" w:hAnsi="Times New Roman"/>
              </w:rPr>
              <w:t>Name – system</w:t>
            </w:r>
          </w:p>
        </w:tc>
        <w:tc>
          <w:tcPr>
            <w:tcW w:w="1144" w:type="dxa"/>
            <w:vAlign w:val="bottom"/>
          </w:tcPr>
          <w:p w14:paraId="6C81FE9E" w14:textId="77777777" w:rsidR="00605ADF" w:rsidRPr="00605ADF" w:rsidRDefault="00605ADF" w:rsidP="00F04D8D">
            <w:pPr>
              <w:jc w:val="center"/>
              <w:rPr>
                <w:rFonts w:ascii="Times New Roman" w:hAnsi="Times New Roman"/>
              </w:rPr>
            </w:pPr>
            <w:r w:rsidRPr="00605ADF">
              <w:rPr>
                <w:rFonts w:ascii="Times New Roman" w:hAnsi="Times New Roman"/>
              </w:rPr>
              <w:t>DOH  ID#</w:t>
            </w:r>
          </w:p>
        </w:tc>
        <w:tc>
          <w:tcPr>
            <w:tcW w:w="1166" w:type="dxa"/>
            <w:vAlign w:val="bottom"/>
          </w:tcPr>
          <w:p w14:paraId="6C81FE9F" w14:textId="77777777" w:rsidR="00605ADF" w:rsidRPr="00605ADF" w:rsidRDefault="00605ADF" w:rsidP="00F04D8D">
            <w:pPr>
              <w:jc w:val="center"/>
              <w:rPr>
                <w:rFonts w:ascii="Times New Roman" w:hAnsi="Times New Roman"/>
              </w:rPr>
            </w:pPr>
            <w:r w:rsidRPr="00605ADF">
              <w:rPr>
                <w:rFonts w:ascii="Times New Roman" w:hAnsi="Times New Roman"/>
              </w:rPr>
              <w:t>Customer Count</w:t>
            </w:r>
          </w:p>
        </w:tc>
        <w:tc>
          <w:tcPr>
            <w:tcW w:w="1896" w:type="dxa"/>
            <w:vAlign w:val="bottom"/>
          </w:tcPr>
          <w:p w14:paraId="6C81FEA0" w14:textId="77777777" w:rsidR="00605ADF" w:rsidRPr="00605ADF" w:rsidRDefault="00605ADF" w:rsidP="00F04D8D">
            <w:pPr>
              <w:jc w:val="center"/>
              <w:rPr>
                <w:rFonts w:ascii="Times New Roman" w:hAnsi="Times New Roman"/>
              </w:rPr>
            </w:pPr>
            <w:r w:rsidRPr="00605ADF">
              <w:rPr>
                <w:rFonts w:ascii="Times New Roman" w:hAnsi="Times New Roman"/>
              </w:rPr>
              <w:t>Location</w:t>
            </w:r>
          </w:p>
        </w:tc>
        <w:tc>
          <w:tcPr>
            <w:tcW w:w="1760" w:type="dxa"/>
            <w:vAlign w:val="bottom"/>
          </w:tcPr>
          <w:p w14:paraId="6C81FEA1" w14:textId="77777777" w:rsidR="00605ADF" w:rsidRPr="00605ADF" w:rsidRDefault="00605ADF" w:rsidP="00F04D8D">
            <w:pPr>
              <w:jc w:val="center"/>
              <w:rPr>
                <w:rFonts w:ascii="Times New Roman" w:hAnsi="Times New Roman"/>
              </w:rPr>
            </w:pPr>
            <w:r w:rsidRPr="00605ADF">
              <w:rPr>
                <w:rFonts w:ascii="Times New Roman" w:hAnsi="Times New Roman"/>
              </w:rPr>
              <w:t>County</w:t>
            </w:r>
          </w:p>
        </w:tc>
      </w:tr>
      <w:tr w:rsidR="00605ADF" w:rsidRPr="00605ADF" w14:paraId="6C81FEAE" w14:textId="77777777" w:rsidTr="00D420DC">
        <w:tc>
          <w:tcPr>
            <w:tcW w:w="2664" w:type="dxa"/>
          </w:tcPr>
          <w:p w14:paraId="6C81FEA9" w14:textId="77777777" w:rsidR="00605ADF" w:rsidRPr="00605ADF" w:rsidRDefault="00605ADF" w:rsidP="00D420DC">
            <w:pPr>
              <w:rPr>
                <w:rFonts w:ascii="Times New Roman" w:hAnsi="Times New Roman"/>
              </w:rPr>
            </w:pPr>
            <w:r w:rsidRPr="00605ADF">
              <w:rPr>
                <w:rFonts w:ascii="Times New Roman" w:hAnsi="Times New Roman"/>
              </w:rPr>
              <w:t>Fragaria Landing</w:t>
            </w:r>
          </w:p>
        </w:tc>
        <w:tc>
          <w:tcPr>
            <w:tcW w:w="1144" w:type="dxa"/>
          </w:tcPr>
          <w:p w14:paraId="6C81FEAA" w14:textId="77777777" w:rsidR="00605ADF" w:rsidRPr="00605ADF" w:rsidRDefault="00605ADF" w:rsidP="00345FB4">
            <w:pPr>
              <w:rPr>
                <w:rFonts w:ascii="Times New Roman" w:hAnsi="Times New Roman"/>
              </w:rPr>
            </w:pPr>
            <w:r w:rsidRPr="00605ADF">
              <w:rPr>
                <w:rFonts w:ascii="Times New Roman" w:hAnsi="Times New Roman"/>
              </w:rPr>
              <w:t>266519</w:t>
            </w:r>
          </w:p>
        </w:tc>
        <w:tc>
          <w:tcPr>
            <w:tcW w:w="1166" w:type="dxa"/>
          </w:tcPr>
          <w:p w14:paraId="6C81FEAB" w14:textId="77777777" w:rsidR="00605ADF" w:rsidRPr="00605ADF" w:rsidRDefault="00605ADF" w:rsidP="00345FB4">
            <w:pPr>
              <w:jc w:val="center"/>
              <w:rPr>
                <w:rFonts w:ascii="Times New Roman" w:hAnsi="Times New Roman"/>
              </w:rPr>
            </w:pPr>
            <w:r w:rsidRPr="00605ADF">
              <w:rPr>
                <w:rFonts w:ascii="Times New Roman" w:hAnsi="Times New Roman"/>
              </w:rPr>
              <w:t>85</w:t>
            </w:r>
          </w:p>
        </w:tc>
        <w:tc>
          <w:tcPr>
            <w:tcW w:w="1896" w:type="dxa"/>
          </w:tcPr>
          <w:p w14:paraId="6C81FEAC" w14:textId="77777777" w:rsidR="00605ADF" w:rsidRPr="00605ADF" w:rsidRDefault="00605ADF" w:rsidP="00345FB4">
            <w:pPr>
              <w:rPr>
                <w:rFonts w:ascii="Times New Roman" w:hAnsi="Times New Roman"/>
              </w:rPr>
            </w:pPr>
            <w:r w:rsidRPr="00605ADF">
              <w:rPr>
                <w:rFonts w:ascii="Times New Roman" w:hAnsi="Times New Roman"/>
              </w:rPr>
              <w:t>Port Orchard</w:t>
            </w:r>
          </w:p>
        </w:tc>
        <w:tc>
          <w:tcPr>
            <w:tcW w:w="1760" w:type="dxa"/>
          </w:tcPr>
          <w:p w14:paraId="6C81FEAD" w14:textId="77777777" w:rsidR="00605ADF" w:rsidRPr="00605ADF" w:rsidRDefault="00605ADF" w:rsidP="00345FB4">
            <w:pPr>
              <w:rPr>
                <w:rFonts w:ascii="Times New Roman" w:hAnsi="Times New Roman"/>
              </w:rPr>
            </w:pPr>
            <w:r w:rsidRPr="00605ADF">
              <w:rPr>
                <w:rFonts w:ascii="Times New Roman" w:hAnsi="Times New Roman"/>
              </w:rPr>
              <w:t>Kitsap</w:t>
            </w:r>
          </w:p>
        </w:tc>
      </w:tr>
      <w:tr w:rsidR="00605ADF" w:rsidRPr="00605ADF" w14:paraId="6C81FEB4" w14:textId="77777777" w:rsidTr="00D420DC">
        <w:tc>
          <w:tcPr>
            <w:tcW w:w="2664" w:type="dxa"/>
          </w:tcPr>
          <w:p w14:paraId="6C81FEAF" w14:textId="77777777" w:rsidR="00605ADF" w:rsidRPr="00605ADF" w:rsidRDefault="00605ADF" w:rsidP="00D420DC">
            <w:pPr>
              <w:rPr>
                <w:rFonts w:ascii="Times New Roman" w:hAnsi="Times New Roman"/>
              </w:rPr>
            </w:pPr>
            <w:r w:rsidRPr="00605ADF">
              <w:rPr>
                <w:rFonts w:ascii="Times New Roman" w:hAnsi="Times New Roman"/>
              </w:rPr>
              <w:t>Hunt I &amp; II</w:t>
            </w:r>
          </w:p>
        </w:tc>
        <w:tc>
          <w:tcPr>
            <w:tcW w:w="1144" w:type="dxa"/>
          </w:tcPr>
          <w:p w14:paraId="6C81FEB0" w14:textId="77777777" w:rsidR="00605ADF" w:rsidRPr="00605ADF" w:rsidRDefault="00605ADF" w:rsidP="00345FB4">
            <w:pPr>
              <w:rPr>
                <w:rFonts w:ascii="Times New Roman" w:hAnsi="Times New Roman"/>
              </w:rPr>
            </w:pPr>
            <w:r w:rsidRPr="00605ADF">
              <w:rPr>
                <w:rFonts w:ascii="Times New Roman" w:hAnsi="Times New Roman"/>
              </w:rPr>
              <w:t>00567T</w:t>
            </w:r>
          </w:p>
        </w:tc>
        <w:tc>
          <w:tcPr>
            <w:tcW w:w="1166" w:type="dxa"/>
          </w:tcPr>
          <w:p w14:paraId="6C81FEB1" w14:textId="77777777" w:rsidR="00605ADF" w:rsidRPr="00605ADF" w:rsidRDefault="00605ADF" w:rsidP="00345FB4">
            <w:pPr>
              <w:jc w:val="center"/>
              <w:rPr>
                <w:rFonts w:ascii="Times New Roman" w:hAnsi="Times New Roman"/>
              </w:rPr>
            </w:pPr>
            <w:r w:rsidRPr="00605ADF">
              <w:rPr>
                <w:rFonts w:ascii="Times New Roman" w:hAnsi="Times New Roman"/>
              </w:rPr>
              <w:t>24</w:t>
            </w:r>
          </w:p>
        </w:tc>
        <w:tc>
          <w:tcPr>
            <w:tcW w:w="1896" w:type="dxa"/>
          </w:tcPr>
          <w:p w14:paraId="6C81FEB2" w14:textId="77777777" w:rsidR="00605ADF" w:rsidRPr="00605ADF" w:rsidRDefault="00605ADF" w:rsidP="00345FB4">
            <w:pPr>
              <w:rPr>
                <w:rFonts w:ascii="Times New Roman" w:hAnsi="Times New Roman"/>
              </w:rPr>
            </w:pPr>
            <w:r w:rsidRPr="00605ADF">
              <w:rPr>
                <w:rFonts w:ascii="Times New Roman" w:hAnsi="Times New Roman"/>
              </w:rPr>
              <w:t>Port Orchard</w:t>
            </w:r>
          </w:p>
        </w:tc>
        <w:tc>
          <w:tcPr>
            <w:tcW w:w="1760" w:type="dxa"/>
          </w:tcPr>
          <w:p w14:paraId="6C81FEB3" w14:textId="77777777" w:rsidR="00605ADF" w:rsidRPr="00605ADF" w:rsidRDefault="00605ADF" w:rsidP="00345FB4">
            <w:pPr>
              <w:rPr>
                <w:rFonts w:ascii="Times New Roman" w:hAnsi="Times New Roman"/>
              </w:rPr>
            </w:pPr>
            <w:r w:rsidRPr="00605ADF">
              <w:rPr>
                <w:rFonts w:ascii="Times New Roman" w:hAnsi="Times New Roman"/>
              </w:rPr>
              <w:t>Kitsap</w:t>
            </w:r>
          </w:p>
        </w:tc>
      </w:tr>
      <w:tr w:rsidR="00605ADF" w:rsidRPr="00605ADF" w14:paraId="6C81FEBA" w14:textId="77777777" w:rsidTr="00D420DC">
        <w:tc>
          <w:tcPr>
            <w:tcW w:w="2664" w:type="dxa"/>
          </w:tcPr>
          <w:p w14:paraId="6C81FEB5" w14:textId="77777777" w:rsidR="00605ADF" w:rsidRPr="00605ADF" w:rsidRDefault="00605ADF" w:rsidP="00345FB4">
            <w:pPr>
              <w:rPr>
                <w:rFonts w:ascii="Times New Roman" w:hAnsi="Times New Roman"/>
              </w:rPr>
            </w:pPr>
            <w:r w:rsidRPr="00605ADF">
              <w:rPr>
                <w:rFonts w:ascii="Times New Roman" w:hAnsi="Times New Roman"/>
              </w:rPr>
              <w:t>Lowper</w:t>
            </w:r>
          </w:p>
        </w:tc>
        <w:tc>
          <w:tcPr>
            <w:tcW w:w="1144" w:type="dxa"/>
          </w:tcPr>
          <w:p w14:paraId="6C81FEB6" w14:textId="77777777" w:rsidR="00605ADF" w:rsidRPr="00605ADF" w:rsidRDefault="00605ADF" w:rsidP="00345FB4">
            <w:pPr>
              <w:rPr>
                <w:rFonts w:ascii="Times New Roman" w:hAnsi="Times New Roman"/>
              </w:rPr>
            </w:pPr>
            <w:r w:rsidRPr="00605ADF">
              <w:rPr>
                <w:rFonts w:ascii="Times New Roman" w:hAnsi="Times New Roman"/>
              </w:rPr>
              <w:t>019595</w:t>
            </w:r>
          </w:p>
        </w:tc>
        <w:tc>
          <w:tcPr>
            <w:tcW w:w="1166" w:type="dxa"/>
          </w:tcPr>
          <w:p w14:paraId="6C81FEB7" w14:textId="77777777" w:rsidR="00605ADF" w:rsidRPr="00605ADF" w:rsidRDefault="00605ADF" w:rsidP="00345FB4">
            <w:pPr>
              <w:jc w:val="center"/>
              <w:rPr>
                <w:rFonts w:ascii="Times New Roman" w:hAnsi="Times New Roman"/>
              </w:rPr>
            </w:pPr>
            <w:r w:rsidRPr="00605ADF">
              <w:rPr>
                <w:rFonts w:ascii="Times New Roman" w:hAnsi="Times New Roman"/>
              </w:rPr>
              <w:t>7</w:t>
            </w:r>
          </w:p>
        </w:tc>
        <w:tc>
          <w:tcPr>
            <w:tcW w:w="1896" w:type="dxa"/>
          </w:tcPr>
          <w:p w14:paraId="6C81FEB8" w14:textId="77777777" w:rsidR="00605ADF" w:rsidRPr="00605ADF" w:rsidRDefault="00605ADF" w:rsidP="00345FB4">
            <w:pPr>
              <w:rPr>
                <w:rFonts w:ascii="Times New Roman" w:hAnsi="Times New Roman"/>
              </w:rPr>
            </w:pPr>
            <w:r w:rsidRPr="00605ADF">
              <w:rPr>
                <w:rFonts w:ascii="Times New Roman" w:hAnsi="Times New Roman"/>
              </w:rPr>
              <w:t>Sequim</w:t>
            </w:r>
          </w:p>
        </w:tc>
        <w:tc>
          <w:tcPr>
            <w:tcW w:w="1760" w:type="dxa"/>
          </w:tcPr>
          <w:p w14:paraId="6C81FEB9" w14:textId="77777777" w:rsidR="00605ADF" w:rsidRPr="00605ADF" w:rsidRDefault="00605ADF" w:rsidP="00345FB4">
            <w:pPr>
              <w:rPr>
                <w:rFonts w:ascii="Times New Roman" w:hAnsi="Times New Roman"/>
              </w:rPr>
            </w:pPr>
            <w:r w:rsidRPr="00605ADF">
              <w:rPr>
                <w:rFonts w:ascii="Times New Roman" w:hAnsi="Times New Roman"/>
              </w:rPr>
              <w:t>Clallam</w:t>
            </w:r>
          </w:p>
        </w:tc>
      </w:tr>
      <w:tr w:rsidR="00605ADF" w:rsidRPr="00605ADF" w14:paraId="6C81FEC0" w14:textId="77777777" w:rsidTr="00D420DC">
        <w:tc>
          <w:tcPr>
            <w:tcW w:w="2664" w:type="dxa"/>
          </w:tcPr>
          <w:p w14:paraId="6C81FEBB" w14:textId="77777777" w:rsidR="00605ADF" w:rsidRPr="00605ADF" w:rsidRDefault="00605ADF" w:rsidP="00345FB4">
            <w:pPr>
              <w:rPr>
                <w:rFonts w:ascii="Times New Roman" w:hAnsi="Times New Roman"/>
              </w:rPr>
            </w:pPr>
            <w:r w:rsidRPr="00605ADF">
              <w:rPr>
                <w:rFonts w:ascii="Times New Roman" w:hAnsi="Times New Roman"/>
              </w:rPr>
              <w:t>Marbello</w:t>
            </w:r>
          </w:p>
        </w:tc>
        <w:tc>
          <w:tcPr>
            <w:tcW w:w="1144" w:type="dxa"/>
          </w:tcPr>
          <w:p w14:paraId="6C81FEBC" w14:textId="77777777" w:rsidR="00605ADF" w:rsidRPr="00605ADF" w:rsidRDefault="00605ADF" w:rsidP="00345FB4">
            <w:pPr>
              <w:rPr>
                <w:rFonts w:ascii="Times New Roman" w:hAnsi="Times New Roman"/>
              </w:rPr>
            </w:pPr>
            <w:r w:rsidRPr="00605ADF">
              <w:rPr>
                <w:rFonts w:ascii="Times New Roman" w:hAnsi="Times New Roman"/>
              </w:rPr>
              <w:t>51530M</w:t>
            </w:r>
          </w:p>
        </w:tc>
        <w:tc>
          <w:tcPr>
            <w:tcW w:w="1166" w:type="dxa"/>
          </w:tcPr>
          <w:p w14:paraId="6C81FEBD" w14:textId="77777777" w:rsidR="00605ADF" w:rsidRPr="00605ADF" w:rsidRDefault="00605ADF" w:rsidP="00345FB4">
            <w:pPr>
              <w:jc w:val="center"/>
              <w:rPr>
                <w:rFonts w:ascii="Times New Roman" w:hAnsi="Times New Roman"/>
              </w:rPr>
            </w:pPr>
            <w:r w:rsidRPr="00605ADF">
              <w:rPr>
                <w:rFonts w:ascii="Times New Roman" w:hAnsi="Times New Roman"/>
              </w:rPr>
              <w:t>98</w:t>
            </w:r>
          </w:p>
        </w:tc>
        <w:tc>
          <w:tcPr>
            <w:tcW w:w="1896" w:type="dxa"/>
          </w:tcPr>
          <w:p w14:paraId="6C81FEBE" w14:textId="77777777" w:rsidR="00605ADF" w:rsidRPr="00605ADF" w:rsidRDefault="00605ADF" w:rsidP="00345FB4">
            <w:pPr>
              <w:rPr>
                <w:rFonts w:ascii="Times New Roman" w:hAnsi="Times New Roman"/>
              </w:rPr>
            </w:pPr>
            <w:r w:rsidRPr="00605ADF">
              <w:rPr>
                <w:rFonts w:ascii="Times New Roman" w:hAnsi="Times New Roman"/>
              </w:rPr>
              <w:t>Monroe</w:t>
            </w:r>
          </w:p>
        </w:tc>
        <w:tc>
          <w:tcPr>
            <w:tcW w:w="1760" w:type="dxa"/>
          </w:tcPr>
          <w:p w14:paraId="6C81FEBF" w14:textId="77777777" w:rsidR="00605ADF" w:rsidRPr="00605ADF" w:rsidRDefault="00605ADF" w:rsidP="00345FB4">
            <w:pPr>
              <w:rPr>
                <w:rFonts w:ascii="Times New Roman" w:hAnsi="Times New Roman"/>
              </w:rPr>
            </w:pPr>
            <w:r w:rsidRPr="00605ADF">
              <w:rPr>
                <w:rFonts w:ascii="Times New Roman" w:hAnsi="Times New Roman"/>
              </w:rPr>
              <w:t>Snohomish</w:t>
            </w:r>
          </w:p>
        </w:tc>
      </w:tr>
      <w:tr w:rsidR="00605ADF" w:rsidRPr="00605ADF" w14:paraId="6C81FEC6" w14:textId="77777777" w:rsidTr="00D420DC">
        <w:tc>
          <w:tcPr>
            <w:tcW w:w="2664" w:type="dxa"/>
          </w:tcPr>
          <w:p w14:paraId="6C81FEC1" w14:textId="77777777" w:rsidR="00605ADF" w:rsidRPr="00605ADF" w:rsidRDefault="00605ADF" w:rsidP="00345FB4">
            <w:pPr>
              <w:rPr>
                <w:rFonts w:ascii="Times New Roman" w:hAnsi="Times New Roman"/>
              </w:rPr>
            </w:pPr>
            <w:r w:rsidRPr="00605ADF">
              <w:rPr>
                <w:rFonts w:ascii="Times New Roman" w:hAnsi="Times New Roman"/>
              </w:rPr>
              <w:t>SJM – Cherry Creek</w:t>
            </w:r>
          </w:p>
        </w:tc>
        <w:tc>
          <w:tcPr>
            <w:tcW w:w="1144" w:type="dxa"/>
          </w:tcPr>
          <w:p w14:paraId="6C81FEC2" w14:textId="77777777" w:rsidR="00605ADF" w:rsidRPr="00605ADF" w:rsidRDefault="00605ADF" w:rsidP="00345FB4">
            <w:pPr>
              <w:rPr>
                <w:rFonts w:ascii="Times New Roman" w:hAnsi="Times New Roman"/>
              </w:rPr>
            </w:pPr>
            <w:r w:rsidRPr="00605ADF">
              <w:rPr>
                <w:rFonts w:ascii="Times New Roman" w:hAnsi="Times New Roman"/>
              </w:rPr>
              <w:t>23101W</w:t>
            </w:r>
          </w:p>
        </w:tc>
        <w:tc>
          <w:tcPr>
            <w:tcW w:w="1166" w:type="dxa"/>
          </w:tcPr>
          <w:p w14:paraId="6C81FEC3" w14:textId="77777777" w:rsidR="00605ADF" w:rsidRPr="00605ADF" w:rsidRDefault="00605ADF" w:rsidP="00345FB4">
            <w:pPr>
              <w:jc w:val="center"/>
              <w:rPr>
                <w:rFonts w:ascii="Times New Roman" w:hAnsi="Times New Roman"/>
              </w:rPr>
            </w:pPr>
            <w:r w:rsidRPr="00605ADF">
              <w:rPr>
                <w:rFonts w:ascii="Times New Roman" w:hAnsi="Times New Roman"/>
              </w:rPr>
              <w:t>54</w:t>
            </w:r>
          </w:p>
        </w:tc>
        <w:tc>
          <w:tcPr>
            <w:tcW w:w="1896" w:type="dxa"/>
          </w:tcPr>
          <w:p w14:paraId="6C81FEC4" w14:textId="77777777" w:rsidR="00605ADF" w:rsidRPr="00605ADF" w:rsidRDefault="00605ADF" w:rsidP="00345FB4">
            <w:pPr>
              <w:rPr>
                <w:rFonts w:ascii="Times New Roman" w:hAnsi="Times New Roman"/>
              </w:rPr>
            </w:pPr>
            <w:r w:rsidRPr="00605ADF">
              <w:rPr>
                <w:rFonts w:ascii="Times New Roman" w:hAnsi="Times New Roman"/>
              </w:rPr>
              <w:t>Duvall</w:t>
            </w:r>
          </w:p>
        </w:tc>
        <w:tc>
          <w:tcPr>
            <w:tcW w:w="1760" w:type="dxa"/>
          </w:tcPr>
          <w:p w14:paraId="6C81FEC5" w14:textId="77777777" w:rsidR="00605ADF" w:rsidRPr="00605ADF" w:rsidRDefault="00605ADF" w:rsidP="00345FB4">
            <w:pPr>
              <w:rPr>
                <w:rFonts w:ascii="Times New Roman" w:hAnsi="Times New Roman"/>
              </w:rPr>
            </w:pPr>
            <w:r w:rsidRPr="00605ADF">
              <w:rPr>
                <w:rFonts w:ascii="Times New Roman" w:hAnsi="Times New Roman"/>
              </w:rPr>
              <w:t>Snohomish</w:t>
            </w:r>
          </w:p>
        </w:tc>
      </w:tr>
      <w:tr w:rsidR="00605ADF" w:rsidRPr="00605ADF" w14:paraId="6C81FED2" w14:textId="77777777" w:rsidTr="00D420DC">
        <w:tc>
          <w:tcPr>
            <w:tcW w:w="2664" w:type="dxa"/>
          </w:tcPr>
          <w:p w14:paraId="6C81FECD" w14:textId="77777777" w:rsidR="00605ADF" w:rsidRPr="00605ADF" w:rsidRDefault="00605ADF" w:rsidP="00D420DC">
            <w:pPr>
              <w:rPr>
                <w:rFonts w:ascii="Times New Roman" w:hAnsi="Times New Roman"/>
              </w:rPr>
            </w:pPr>
            <w:r w:rsidRPr="00605ADF">
              <w:rPr>
                <w:rFonts w:ascii="Times New Roman" w:hAnsi="Times New Roman"/>
              </w:rPr>
              <w:t>Alder Lake</w:t>
            </w:r>
          </w:p>
        </w:tc>
        <w:tc>
          <w:tcPr>
            <w:tcW w:w="1144" w:type="dxa"/>
          </w:tcPr>
          <w:p w14:paraId="6C81FECE" w14:textId="77777777" w:rsidR="00605ADF" w:rsidRPr="00605ADF" w:rsidRDefault="00605ADF" w:rsidP="00345FB4">
            <w:pPr>
              <w:rPr>
                <w:rFonts w:ascii="Times New Roman" w:hAnsi="Times New Roman"/>
              </w:rPr>
            </w:pPr>
            <w:r w:rsidRPr="00605ADF">
              <w:rPr>
                <w:rFonts w:ascii="Times New Roman" w:hAnsi="Times New Roman"/>
              </w:rPr>
              <w:t>221957</w:t>
            </w:r>
          </w:p>
        </w:tc>
        <w:tc>
          <w:tcPr>
            <w:tcW w:w="1166" w:type="dxa"/>
          </w:tcPr>
          <w:p w14:paraId="6C81FECF" w14:textId="77777777" w:rsidR="00605ADF" w:rsidRPr="00605ADF" w:rsidRDefault="00605ADF" w:rsidP="00345FB4">
            <w:pPr>
              <w:jc w:val="center"/>
              <w:rPr>
                <w:rFonts w:ascii="Times New Roman" w:hAnsi="Times New Roman"/>
              </w:rPr>
            </w:pPr>
            <w:r w:rsidRPr="00605ADF">
              <w:rPr>
                <w:rFonts w:ascii="Times New Roman" w:hAnsi="Times New Roman"/>
              </w:rPr>
              <w:t>35</w:t>
            </w:r>
          </w:p>
        </w:tc>
        <w:tc>
          <w:tcPr>
            <w:tcW w:w="1896" w:type="dxa"/>
          </w:tcPr>
          <w:p w14:paraId="6C81FED0" w14:textId="77777777" w:rsidR="00605ADF" w:rsidRPr="00605ADF" w:rsidRDefault="00605ADF" w:rsidP="00345FB4">
            <w:pPr>
              <w:rPr>
                <w:rFonts w:ascii="Times New Roman" w:hAnsi="Times New Roman"/>
              </w:rPr>
            </w:pPr>
            <w:r w:rsidRPr="00605ADF">
              <w:rPr>
                <w:rFonts w:ascii="Times New Roman" w:hAnsi="Times New Roman"/>
              </w:rPr>
              <w:t>Eatonville</w:t>
            </w:r>
          </w:p>
        </w:tc>
        <w:tc>
          <w:tcPr>
            <w:tcW w:w="1760" w:type="dxa"/>
          </w:tcPr>
          <w:p w14:paraId="6C81FED1" w14:textId="77777777" w:rsidR="00605ADF" w:rsidRPr="00605ADF" w:rsidRDefault="00605ADF" w:rsidP="00345FB4">
            <w:pPr>
              <w:rPr>
                <w:rFonts w:ascii="Times New Roman" w:hAnsi="Times New Roman"/>
              </w:rPr>
            </w:pPr>
            <w:r w:rsidRPr="00605ADF">
              <w:rPr>
                <w:rFonts w:ascii="Times New Roman" w:hAnsi="Times New Roman"/>
              </w:rPr>
              <w:t>Pierce</w:t>
            </w:r>
          </w:p>
        </w:tc>
      </w:tr>
      <w:tr w:rsidR="00605ADF" w:rsidRPr="00605ADF" w14:paraId="6C81FED8" w14:textId="77777777" w:rsidTr="00D420DC">
        <w:tc>
          <w:tcPr>
            <w:tcW w:w="2664" w:type="dxa"/>
          </w:tcPr>
          <w:p w14:paraId="6C81FED3" w14:textId="6E21C2B8" w:rsidR="00605ADF" w:rsidRPr="00605ADF" w:rsidRDefault="00F1151D" w:rsidP="00D420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Cascade Crest</w:t>
            </w:r>
          </w:p>
        </w:tc>
        <w:tc>
          <w:tcPr>
            <w:tcW w:w="1144" w:type="dxa"/>
          </w:tcPr>
          <w:p w14:paraId="6C81FED4" w14:textId="77777777" w:rsidR="00605ADF" w:rsidRPr="00605ADF" w:rsidRDefault="00605ADF" w:rsidP="00345FB4">
            <w:pPr>
              <w:rPr>
                <w:rFonts w:ascii="Times New Roman" w:hAnsi="Times New Roman"/>
              </w:rPr>
            </w:pPr>
            <w:r w:rsidRPr="00605ADF">
              <w:rPr>
                <w:rFonts w:ascii="Times New Roman" w:hAnsi="Times New Roman"/>
              </w:rPr>
              <w:t>31203Y</w:t>
            </w:r>
          </w:p>
        </w:tc>
        <w:tc>
          <w:tcPr>
            <w:tcW w:w="1166" w:type="dxa"/>
          </w:tcPr>
          <w:p w14:paraId="6C81FED5" w14:textId="77777777" w:rsidR="00605ADF" w:rsidRPr="00605ADF" w:rsidRDefault="00605ADF" w:rsidP="00345FB4">
            <w:pPr>
              <w:jc w:val="center"/>
              <w:rPr>
                <w:rFonts w:ascii="Times New Roman" w:hAnsi="Times New Roman"/>
              </w:rPr>
            </w:pPr>
            <w:r w:rsidRPr="00605ADF">
              <w:rPr>
                <w:rFonts w:ascii="Times New Roman" w:hAnsi="Times New Roman"/>
              </w:rPr>
              <w:t>46</w:t>
            </w:r>
          </w:p>
        </w:tc>
        <w:tc>
          <w:tcPr>
            <w:tcW w:w="1896" w:type="dxa"/>
          </w:tcPr>
          <w:p w14:paraId="6C81FED6" w14:textId="77777777" w:rsidR="00605ADF" w:rsidRPr="00605ADF" w:rsidRDefault="00605ADF" w:rsidP="00345FB4">
            <w:pPr>
              <w:rPr>
                <w:rFonts w:ascii="Times New Roman" w:hAnsi="Times New Roman"/>
              </w:rPr>
            </w:pPr>
            <w:r w:rsidRPr="00605ADF">
              <w:rPr>
                <w:rFonts w:ascii="Times New Roman" w:hAnsi="Times New Roman"/>
              </w:rPr>
              <w:t>Lake Stevens</w:t>
            </w:r>
          </w:p>
        </w:tc>
        <w:tc>
          <w:tcPr>
            <w:tcW w:w="1760" w:type="dxa"/>
          </w:tcPr>
          <w:p w14:paraId="6C81FED7" w14:textId="77777777" w:rsidR="00605ADF" w:rsidRPr="00605ADF" w:rsidRDefault="00605ADF" w:rsidP="00345FB4">
            <w:pPr>
              <w:rPr>
                <w:rFonts w:ascii="Times New Roman" w:hAnsi="Times New Roman"/>
              </w:rPr>
            </w:pPr>
            <w:r w:rsidRPr="00605ADF">
              <w:rPr>
                <w:rFonts w:ascii="Times New Roman" w:hAnsi="Times New Roman"/>
              </w:rPr>
              <w:t>Snohomish</w:t>
            </w:r>
          </w:p>
        </w:tc>
      </w:tr>
      <w:tr w:rsidR="00605ADF" w:rsidRPr="00605ADF" w14:paraId="6C81FEDE" w14:textId="77777777" w:rsidTr="00D420DC">
        <w:tc>
          <w:tcPr>
            <w:tcW w:w="2664" w:type="dxa"/>
          </w:tcPr>
          <w:p w14:paraId="6C81FED9" w14:textId="2C1F101C" w:rsidR="00605ADF" w:rsidRPr="00605ADF" w:rsidRDefault="00D420DC" w:rsidP="00D420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Western Stavis</w:t>
            </w:r>
          </w:p>
        </w:tc>
        <w:tc>
          <w:tcPr>
            <w:tcW w:w="1144" w:type="dxa"/>
          </w:tcPr>
          <w:p w14:paraId="6C81FEDA" w14:textId="20E09C8A" w:rsidR="00605ADF" w:rsidRPr="00605ADF" w:rsidRDefault="00F1151D" w:rsidP="00345F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63216O</w:t>
            </w:r>
          </w:p>
        </w:tc>
        <w:tc>
          <w:tcPr>
            <w:tcW w:w="1166" w:type="dxa"/>
          </w:tcPr>
          <w:p w14:paraId="6C81FEDB" w14:textId="79ECBFC3" w:rsidR="00605ADF" w:rsidRPr="00605ADF" w:rsidRDefault="00D420DC" w:rsidP="00345F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896" w:type="dxa"/>
          </w:tcPr>
          <w:p w14:paraId="6C81FEDC" w14:textId="77777777" w:rsidR="00605ADF" w:rsidRPr="00605ADF" w:rsidRDefault="00605ADF" w:rsidP="00345FB4">
            <w:pPr>
              <w:rPr>
                <w:rFonts w:ascii="Times New Roman" w:hAnsi="Times New Roman"/>
              </w:rPr>
            </w:pPr>
            <w:r w:rsidRPr="00605ADF">
              <w:rPr>
                <w:rFonts w:ascii="Times New Roman" w:hAnsi="Times New Roman"/>
              </w:rPr>
              <w:t>Poulsbo</w:t>
            </w:r>
          </w:p>
        </w:tc>
        <w:tc>
          <w:tcPr>
            <w:tcW w:w="1760" w:type="dxa"/>
          </w:tcPr>
          <w:p w14:paraId="6C81FEDD" w14:textId="77777777" w:rsidR="00605ADF" w:rsidRPr="00605ADF" w:rsidRDefault="00605ADF" w:rsidP="00345FB4">
            <w:pPr>
              <w:rPr>
                <w:rFonts w:ascii="Times New Roman" w:hAnsi="Times New Roman"/>
              </w:rPr>
            </w:pPr>
            <w:r w:rsidRPr="00605ADF">
              <w:rPr>
                <w:rFonts w:ascii="Times New Roman" w:hAnsi="Times New Roman"/>
              </w:rPr>
              <w:t>Kitsap</w:t>
            </w:r>
          </w:p>
        </w:tc>
      </w:tr>
    </w:tbl>
    <w:p w14:paraId="6C81FEE0" w14:textId="77777777" w:rsidR="0073523C" w:rsidRPr="00605ADF" w:rsidRDefault="0073523C" w:rsidP="00CF786D">
      <w:pPr>
        <w:pStyle w:val="FindingsConclusions"/>
        <w:numPr>
          <w:ilvl w:val="0"/>
          <w:numId w:val="0"/>
        </w:numPr>
        <w:ind w:left="-720"/>
      </w:pPr>
    </w:p>
    <w:p w14:paraId="204D3FE4" w14:textId="0C59035A" w:rsidR="00846C28" w:rsidRDefault="00764E06" w:rsidP="00CF786D">
      <w:pPr>
        <w:pStyle w:val="FindingsConclusions"/>
      </w:pPr>
      <w:r>
        <w:t xml:space="preserve">Iliad Water </w:t>
      </w:r>
      <w:r w:rsidR="00320C69">
        <w:t xml:space="preserve">will </w:t>
      </w:r>
      <w:r w:rsidR="0073523C" w:rsidRPr="00240722">
        <w:t xml:space="preserve">assume the regulatory obligations of the </w:t>
      </w:r>
      <w:r w:rsidR="00C23FB1">
        <w:t>merged</w:t>
      </w:r>
      <w:r w:rsidR="0073523C" w:rsidRPr="00240722">
        <w:t xml:space="preserve"> utilit</w:t>
      </w:r>
      <w:r w:rsidR="00756B71">
        <w:t>ies</w:t>
      </w:r>
      <w:r w:rsidR="00A32791">
        <w:t xml:space="preserve"> i</w:t>
      </w:r>
      <w:r w:rsidR="006976F2" w:rsidRPr="00240722">
        <w:t xml:space="preserve">f the </w:t>
      </w:r>
      <w:r w:rsidR="00F3239C">
        <w:t>Commission</w:t>
      </w:r>
      <w:r w:rsidR="0073523C" w:rsidRPr="00764CC9">
        <w:t xml:space="preserve"> approves the </w:t>
      </w:r>
      <w:r w:rsidR="005D680A">
        <w:t>merger</w:t>
      </w:r>
      <w:r w:rsidR="0073523C" w:rsidRPr="00764CC9">
        <w:t xml:space="preserve"> of </w:t>
      </w:r>
      <w:r w:rsidR="005D680A">
        <w:t>Iliad Water Services</w:t>
      </w:r>
      <w:r w:rsidR="00631CE6" w:rsidRPr="00AF656B">
        <w:t xml:space="preserve"> </w:t>
      </w:r>
      <w:r w:rsidR="00631CE6" w:rsidRPr="00AF656B">
        <w:rPr>
          <w:bCs/>
        </w:rPr>
        <w:t>to</w:t>
      </w:r>
      <w:r w:rsidR="00B83619" w:rsidRPr="00764CC9">
        <w:t xml:space="preserve"> </w:t>
      </w:r>
      <w:r>
        <w:rPr>
          <w:bCs/>
        </w:rPr>
        <w:t>Iliad Water</w:t>
      </w:r>
      <w:r w:rsidR="00D60C6E" w:rsidRPr="00764CC9">
        <w:t xml:space="preserve">. </w:t>
      </w:r>
      <w:r>
        <w:rPr>
          <w:bCs/>
        </w:rPr>
        <w:t xml:space="preserve">Iliad Water </w:t>
      </w:r>
      <w:r w:rsidR="0073523C" w:rsidRPr="00764CC9">
        <w:t>will be subject to</w:t>
      </w:r>
      <w:r w:rsidR="0034018E" w:rsidRPr="00764CC9">
        <w:t xml:space="preserve"> </w:t>
      </w:r>
      <w:r w:rsidR="00AB7DD1" w:rsidRPr="00764CC9">
        <w:t>any</w:t>
      </w:r>
      <w:r w:rsidR="0034018E" w:rsidRPr="00764CC9">
        <w:t xml:space="preserve"> obligations the </w:t>
      </w:r>
      <w:r w:rsidR="00F3239C">
        <w:t>Commission</w:t>
      </w:r>
      <w:r w:rsidR="0034018E" w:rsidRPr="00764CC9">
        <w:t xml:space="preserve"> imposed on</w:t>
      </w:r>
      <w:r w:rsidR="00DB0CF5" w:rsidRPr="00764CC9">
        <w:t xml:space="preserve"> </w:t>
      </w:r>
      <w:r w:rsidR="005D680A">
        <w:t>Iliad Water Services</w:t>
      </w:r>
      <w:r w:rsidR="00AB7DD1" w:rsidRPr="00764CC9">
        <w:t>.</w:t>
      </w:r>
      <w:r w:rsidR="00AC3508">
        <w:t xml:space="preserve"> </w:t>
      </w:r>
      <w:r w:rsidR="00846C28">
        <w:br/>
      </w:r>
    </w:p>
    <w:p w14:paraId="6C81FEE1" w14:textId="21A8AB4C" w:rsidR="0081462F" w:rsidRDefault="00846C28" w:rsidP="00CF786D">
      <w:pPr>
        <w:pStyle w:val="FindingsConclusions"/>
      </w:pPr>
      <w:r w:rsidRPr="00095EB9">
        <w:rPr>
          <w:bCs/>
        </w:rPr>
        <w:t>Iliad Water Services</w:t>
      </w:r>
      <w:r w:rsidRPr="00095EB9">
        <w:t>’ current owner</w:t>
      </w:r>
      <w:r w:rsidRPr="00095EB9">
        <w:rPr>
          <w:b/>
          <w:bCs/>
        </w:rPr>
        <w:t xml:space="preserve"> </w:t>
      </w:r>
      <w:r w:rsidRPr="00095EB9">
        <w:t>no longer desire</w:t>
      </w:r>
      <w:r>
        <w:t>s</w:t>
      </w:r>
      <w:r w:rsidRPr="00095EB9">
        <w:t xml:space="preserve"> to own and operate the water systems</w:t>
      </w:r>
      <w:r>
        <w:t>,</w:t>
      </w:r>
      <w:r w:rsidRPr="00095EB9">
        <w:t xml:space="preserve"> </w:t>
      </w:r>
      <w:r>
        <w:t>whereas</w:t>
      </w:r>
      <w:r w:rsidRPr="00095EB9">
        <w:t xml:space="preserve"> </w:t>
      </w:r>
      <w:r w:rsidRPr="00095EB9">
        <w:rPr>
          <w:bCs/>
        </w:rPr>
        <w:t xml:space="preserve">Iliad Water </w:t>
      </w:r>
      <w:r w:rsidRPr="00095EB9">
        <w:t xml:space="preserve">desires to own and operate </w:t>
      </w:r>
      <w:r>
        <w:t xml:space="preserve">the </w:t>
      </w:r>
      <w:r w:rsidRPr="00095EB9">
        <w:t>water systems on an ongoing basis</w:t>
      </w:r>
      <w:r>
        <w:t xml:space="preserve"> and </w:t>
      </w:r>
      <w:r w:rsidR="009B69D2">
        <w:t>plans</w:t>
      </w:r>
      <w:r>
        <w:t xml:space="preserve"> to grow the number of water systems it owns. </w:t>
      </w:r>
      <w:r>
        <w:rPr>
          <w:bCs/>
        </w:rPr>
        <w:t xml:space="preserve">Iliad Water </w:t>
      </w:r>
      <w:r w:rsidRPr="00F04D8D">
        <w:t xml:space="preserve">will be able to bring </w:t>
      </w:r>
      <w:r w:rsidR="00591249">
        <w:t xml:space="preserve">the benefits of </w:t>
      </w:r>
      <w:r w:rsidRPr="00F04D8D">
        <w:t xml:space="preserve">economies of scale </w:t>
      </w:r>
      <w:r>
        <w:t xml:space="preserve">by continuing to expand </w:t>
      </w:r>
      <w:r w:rsidRPr="00F04D8D">
        <w:t>the utilit</w:t>
      </w:r>
      <w:r>
        <w:t>y company</w:t>
      </w:r>
      <w:r w:rsidRPr="00F04D8D">
        <w:t xml:space="preserve"> in </w:t>
      </w:r>
      <w:r>
        <w:t>several</w:t>
      </w:r>
      <w:r w:rsidRPr="00F04D8D">
        <w:t xml:space="preserve"> areas, such as operations, project financing, billing, and</w:t>
      </w:r>
      <w:r>
        <w:t xml:space="preserve"> number of</w:t>
      </w:r>
      <w:r w:rsidRPr="00F04D8D">
        <w:t xml:space="preserve"> </w:t>
      </w:r>
      <w:r>
        <w:t>customers</w:t>
      </w:r>
      <w:r w:rsidRPr="00F04D8D">
        <w:t xml:space="preserve">. </w:t>
      </w:r>
      <w:r>
        <w:rPr>
          <w:bCs/>
        </w:rPr>
        <w:t xml:space="preserve">Iliad Water </w:t>
      </w:r>
      <w:r w:rsidRPr="00F04D8D">
        <w:rPr>
          <w:bCs/>
        </w:rPr>
        <w:t>will continue to use the same</w:t>
      </w:r>
      <w:r w:rsidRPr="00F04D8D">
        <w:t xml:space="preserve"> operations and billing staff who are</w:t>
      </w:r>
      <w:r w:rsidRPr="00F04D8D">
        <w:rPr>
          <w:bCs/>
        </w:rPr>
        <w:t xml:space="preserve"> familiar with each of the utility’s operations</w:t>
      </w:r>
      <w:r>
        <w:rPr>
          <w:bCs/>
        </w:rPr>
        <w:t>.</w:t>
      </w:r>
      <w:r w:rsidR="00320C69">
        <w:br/>
      </w:r>
    </w:p>
    <w:p w14:paraId="5F5F6AA0" w14:textId="0B0C1B44" w:rsidR="00320C69" w:rsidRDefault="00320C69" w:rsidP="00CF786D">
      <w:pPr>
        <w:pStyle w:val="FindingsConclusions"/>
      </w:pPr>
      <w:r>
        <w:t xml:space="preserve">Commission staff (Staff) reviewed the Joint Application and finds that the applicants have demonstrated substantial benefits to the proposed </w:t>
      </w:r>
      <w:r w:rsidR="00C619BE">
        <w:t>merger</w:t>
      </w:r>
      <w:r>
        <w:t>, and that the application meets the requirements of RCW 80.12</w:t>
      </w:r>
      <w:r w:rsidR="00846C28">
        <w:t>.020</w:t>
      </w:r>
      <w:r>
        <w:t xml:space="preserve"> and WAC 480-143</w:t>
      </w:r>
      <w:r w:rsidR="00846C28">
        <w:t>-170</w:t>
      </w:r>
      <w:r>
        <w:t xml:space="preserve">. Staff recommends the Commission approve the Joint Application </w:t>
      </w:r>
      <w:r w:rsidR="000007B5">
        <w:t>noting</w:t>
      </w:r>
      <w:r>
        <w:t xml:space="preserve"> the proposed merger will allow the </w:t>
      </w:r>
      <w:r w:rsidR="003A017D">
        <w:t>surviving</w:t>
      </w:r>
      <w:r w:rsidR="00EA0172">
        <w:t xml:space="preserve"> </w:t>
      </w:r>
      <w:r>
        <w:t xml:space="preserve">company to continue to grow under new ownership and </w:t>
      </w:r>
      <w:r w:rsidR="003A017D">
        <w:t>provide</w:t>
      </w:r>
      <w:r>
        <w:t xml:space="preserve"> for economies of scale in management and operations. </w:t>
      </w:r>
    </w:p>
    <w:p w14:paraId="095CD28E" w14:textId="6F92352D" w:rsidR="00320C69" w:rsidRPr="007D0B09" w:rsidRDefault="00320C69" w:rsidP="007D0B09">
      <w:pPr>
        <w:pStyle w:val="FindingsConclusions"/>
        <w:numPr>
          <w:ilvl w:val="0"/>
          <w:numId w:val="0"/>
        </w:numPr>
        <w:jc w:val="center"/>
        <w:rPr>
          <w:b/>
        </w:rPr>
      </w:pPr>
      <w:r>
        <w:br/>
      </w:r>
      <w:r>
        <w:rPr>
          <w:b/>
        </w:rPr>
        <w:t>DISCUSSION</w:t>
      </w:r>
      <w:r>
        <w:rPr>
          <w:b/>
        </w:rPr>
        <w:br/>
      </w:r>
    </w:p>
    <w:p w14:paraId="067CA3DE" w14:textId="5DC01F83" w:rsidR="00320C69" w:rsidRPr="00764CC9" w:rsidRDefault="00320C69" w:rsidP="00CF786D">
      <w:pPr>
        <w:pStyle w:val="FindingsConclusions"/>
      </w:pPr>
      <w:r>
        <w:t>RCW 80.12.020 and WAC 480-143-170 require that the applicants in any proposed transfer or merger transaction must “at least demonstrate no harm to the public interest.”</w:t>
      </w:r>
      <w:r w:rsidR="00846C28">
        <w:rPr>
          <w:rStyle w:val="FootnoteReference"/>
        </w:rPr>
        <w:footnoteReference w:id="2"/>
      </w:r>
      <w:r>
        <w:t xml:space="preserve"> Staff must also review the new company’s financial and managerial fitness to </w:t>
      </w:r>
      <w:r w:rsidR="00846C28">
        <w:t xml:space="preserve">operate the </w:t>
      </w:r>
      <w:r w:rsidR="00846C28">
        <w:lastRenderedPageBreak/>
        <w:t xml:space="preserve">company. We agree with Staff that the applicants have demonstrated that there are substantial benefits to the proposed </w:t>
      </w:r>
      <w:r w:rsidR="00C619BE">
        <w:t>merger</w:t>
      </w:r>
      <w:r w:rsidR="00846C28">
        <w:t>, and that the Joint Application meets the requirements of RCW 80.12.020 and WAC 480-143-170. Accordingly, we find that the proposed merger is in the public interest and approve the Joint Application.</w:t>
      </w:r>
    </w:p>
    <w:p w14:paraId="6C81FEE2" w14:textId="77777777" w:rsidR="00505778" w:rsidRPr="00764CC9" w:rsidRDefault="00505778" w:rsidP="00CF786D">
      <w:pPr>
        <w:pStyle w:val="FindingsConclusions"/>
        <w:numPr>
          <w:ilvl w:val="0"/>
          <w:numId w:val="0"/>
        </w:numPr>
        <w:ind w:hanging="720"/>
      </w:pPr>
    </w:p>
    <w:p w14:paraId="6C81FEE3" w14:textId="77777777" w:rsidR="0081462F" w:rsidRPr="00764CC9" w:rsidRDefault="0081462F" w:rsidP="00F73BD2">
      <w:pPr>
        <w:pStyle w:val="Heading3"/>
        <w:spacing w:line="320" w:lineRule="exact"/>
        <w:ind w:left="0"/>
        <w:rPr>
          <w:rFonts w:ascii="Times New Roman" w:hAnsi="Times New Roman"/>
        </w:rPr>
      </w:pPr>
      <w:r w:rsidRPr="00764CC9">
        <w:rPr>
          <w:rFonts w:ascii="Times New Roman" w:hAnsi="Times New Roman"/>
        </w:rPr>
        <w:t>FINDINGS AND CONCLUSIONS</w:t>
      </w:r>
    </w:p>
    <w:p w14:paraId="6C81FEE4" w14:textId="77777777" w:rsidR="0081462F" w:rsidRPr="00764CC9" w:rsidRDefault="0081462F" w:rsidP="00CF786D">
      <w:pPr>
        <w:pStyle w:val="FindingsConclusions"/>
        <w:numPr>
          <w:ilvl w:val="0"/>
          <w:numId w:val="0"/>
        </w:numPr>
        <w:ind w:left="-720"/>
      </w:pPr>
    </w:p>
    <w:p w14:paraId="6C81FEE5" w14:textId="42466719" w:rsidR="0081462F" w:rsidRPr="00764CC9" w:rsidRDefault="0081462F" w:rsidP="00323DDD">
      <w:pPr>
        <w:numPr>
          <w:ilvl w:val="0"/>
          <w:numId w:val="14"/>
        </w:numPr>
        <w:spacing w:line="320" w:lineRule="exact"/>
        <w:ind w:left="700" w:hanging="1420"/>
      </w:pPr>
      <w:r w:rsidRPr="00764CC9">
        <w:t>(1)</w:t>
      </w:r>
      <w:r w:rsidRPr="00764CC9">
        <w:tab/>
        <w:t xml:space="preserve">The </w:t>
      </w:r>
      <w:r w:rsidR="00F3239C">
        <w:t>Commission</w:t>
      </w:r>
      <w:r w:rsidRPr="00764CC9">
        <w:t xml:space="preserve"> is an agency of the </w:t>
      </w:r>
      <w:r w:rsidR="00833157" w:rsidRPr="00764CC9">
        <w:t>S</w:t>
      </w:r>
      <w:r w:rsidRPr="00764CC9">
        <w:t xml:space="preserve">tate of Washington vested by statute with the authority to regulate </w:t>
      </w:r>
      <w:r w:rsidR="001A05D6" w:rsidRPr="00764CC9">
        <w:t xml:space="preserve">the </w:t>
      </w:r>
      <w:r w:rsidRPr="00764CC9">
        <w:t>rates, rules, regulations, practic</w:t>
      </w:r>
      <w:r w:rsidR="001A05D6" w:rsidRPr="00764CC9">
        <w:t>es, accounts, securities,</w:t>
      </w:r>
      <w:r w:rsidRPr="00764CC9">
        <w:t xml:space="preserve"> transfers of </w:t>
      </w:r>
      <w:r w:rsidR="001A05D6" w:rsidRPr="00764CC9">
        <w:t xml:space="preserve">property and affiliated interests of </w:t>
      </w:r>
      <w:r w:rsidRPr="00764CC9">
        <w:t>public service companies, including water companies.</w:t>
      </w:r>
      <w:r w:rsidR="00375E3F" w:rsidRPr="00764CC9">
        <w:t xml:space="preserve"> </w:t>
      </w:r>
    </w:p>
    <w:p w14:paraId="6C81FEE6" w14:textId="77777777" w:rsidR="0081462F" w:rsidRPr="00764CC9" w:rsidRDefault="0081462F" w:rsidP="00F73BD2">
      <w:pPr>
        <w:spacing w:line="320" w:lineRule="exact"/>
        <w:ind w:left="-720"/>
      </w:pPr>
    </w:p>
    <w:p w14:paraId="6C81FEE7" w14:textId="4369C2C9" w:rsidR="0081462F" w:rsidRPr="00764CC9" w:rsidRDefault="001A05D6" w:rsidP="00F73BD2">
      <w:pPr>
        <w:numPr>
          <w:ilvl w:val="0"/>
          <w:numId w:val="14"/>
        </w:numPr>
        <w:spacing w:line="320" w:lineRule="exact"/>
        <w:ind w:left="700" w:hanging="1420"/>
      </w:pPr>
      <w:r w:rsidRPr="00764CC9">
        <w:t>(2)</w:t>
      </w:r>
      <w:r w:rsidR="0081462F" w:rsidRPr="00764CC9">
        <w:tab/>
      </w:r>
      <w:r w:rsidR="005D680A">
        <w:rPr>
          <w:bCs/>
        </w:rPr>
        <w:t>Iliad Water Services</w:t>
      </w:r>
      <w:r w:rsidR="00631CE6">
        <w:rPr>
          <w:bCs/>
        </w:rPr>
        <w:t xml:space="preserve"> </w:t>
      </w:r>
      <w:r w:rsidR="00846C28">
        <w:rPr>
          <w:bCs/>
        </w:rPr>
        <w:t>is an</w:t>
      </w:r>
      <w:r w:rsidR="00846C28" w:rsidRPr="00764CC9">
        <w:t xml:space="preserve"> </w:t>
      </w:r>
      <w:r w:rsidR="0081462F" w:rsidRPr="00764CC9">
        <w:t>investor-owned water compan</w:t>
      </w:r>
      <w:r w:rsidR="005D680A">
        <w:t>y</w:t>
      </w:r>
      <w:r w:rsidR="0081462F" w:rsidRPr="00764CC9">
        <w:t xml:space="preserve"> and </w:t>
      </w:r>
      <w:r w:rsidR="005D680A">
        <w:t>is a</w:t>
      </w:r>
      <w:r w:rsidR="0081462F" w:rsidRPr="00764CC9">
        <w:t xml:space="preserve"> public service compan</w:t>
      </w:r>
      <w:r w:rsidR="005D680A">
        <w:t>y</w:t>
      </w:r>
      <w:r w:rsidR="0081462F" w:rsidRPr="00764CC9">
        <w:t xml:space="preserve"> subject to </w:t>
      </w:r>
      <w:r w:rsidR="00F3239C">
        <w:t>Commission</w:t>
      </w:r>
      <w:r w:rsidR="0081462F" w:rsidRPr="00764CC9">
        <w:t xml:space="preserve"> jurisdiction.</w:t>
      </w:r>
    </w:p>
    <w:p w14:paraId="6C81FEE8" w14:textId="77777777" w:rsidR="0081462F" w:rsidRPr="00764CC9" w:rsidRDefault="0081462F" w:rsidP="00F73BD2">
      <w:pPr>
        <w:spacing w:line="320" w:lineRule="exact"/>
      </w:pPr>
    </w:p>
    <w:p w14:paraId="6C81FEE9" w14:textId="29A9C103" w:rsidR="0081462F" w:rsidRPr="00764CC9" w:rsidRDefault="0081462F" w:rsidP="00F73BD2">
      <w:pPr>
        <w:numPr>
          <w:ilvl w:val="0"/>
          <w:numId w:val="14"/>
        </w:numPr>
        <w:spacing w:line="320" w:lineRule="exact"/>
        <w:ind w:left="700" w:hanging="1420"/>
      </w:pPr>
      <w:r w:rsidRPr="00764CC9">
        <w:t>(3)</w:t>
      </w:r>
      <w:r w:rsidRPr="00764CC9">
        <w:tab/>
      </w:r>
      <w:r w:rsidR="00764E06">
        <w:rPr>
          <w:bCs/>
        </w:rPr>
        <w:t xml:space="preserve">Iliad Water </w:t>
      </w:r>
      <w:r w:rsidRPr="00764CC9">
        <w:t xml:space="preserve">is </w:t>
      </w:r>
      <w:r w:rsidR="00846C28">
        <w:t>an investor-owned water company and</w:t>
      </w:r>
      <w:r w:rsidR="00631CE6" w:rsidRPr="00756B71">
        <w:rPr>
          <w:color w:val="FF0000"/>
        </w:rPr>
        <w:t xml:space="preserve"> </w:t>
      </w:r>
      <w:r w:rsidR="00631CE6" w:rsidRPr="00756B71">
        <w:rPr>
          <w:bCs/>
        </w:rPr>
        <w:t>is</w:t>
      </w:r>
      <w:r w:rsidR="00216D65" w:rsidRPr="00756B71">
        <w:t xml:space="preserve"> a</w:t>
      </w:r>
      <w:r w:rsidR="00216D65" w:rsidRPr="00764CC9">
        <w:t xml:space="preserve"> public service company subject to </w:t>
      </w:r>
      <w:r w:rsidR="00F3239C">
        <w:t>Commission</w:t>
      </w:r>
      <w:r w:rsidR="001A05D6" w:rsidRPr="00764CC9">
        <w:t xml:space="preserve"> jurisdiction</w:t>
      </w:r>
      <w:r w:rsidR="00216D65" w:rsidRPr="00764CC9">
        <w:t>.</w:t>
      </w:r>
    </w:p>
    <w:p w14:paraId="6C81FEEA" w14:textId="77777777" w:rsidR="0081462F" w:rsidRPr="00764CC9" w:rsidRDefault="0081462F" w:rsidP="00F73BD2">
      <w:pPr>
        <w:spacing w:line="320" w:lineRule="exact"/>
      </w:pPr>
    </w:p>
    <w:p w14:paraId="6C81FEEB" w14:textId="705E53F9" w:rsidR="0034018E" w:rsidRPr="00764CC9" w:rsidRDefault="0081462F" w:rsidP="00F73BD2">
      <w:pPr>
        <w:numPr>
          <w:ilvl w:val="0"/>
          <w:numId w:val="14"/>
        </w:numPr>
        <w:spacing w:line="320" w:lineRule="exact"/>
        <w:ind w:left="700" w:hanging="1420"/>
      </w:pPr>
      <w:r w:rsidRPr="00764CC9">
        <w:t>(4)</w:t>
      </w:r>
      <w:r w:rsidRPr="00764CC9">
        <w:tab/>
      </w:r>
      <w:r w:rsidR="002B0ED1">
        <w:t xml:space="preserve">On May 31, 2016, Iliad Water Services and Iliad Water filed a Joint Application for transfer of control by merger, which proposes to merge Iliad Water Services into Iliad Water pursuant to a plan of merger. </w:t>
      </w:r>
      <w:r w:rsidR="005D680A">
        <w:rPr>
          <w:bCs/>
        </w:rPr>
        <w:t>Iliad Water Services</w:t>
      </w:r>
      <w:r w:rsidR="00631CE6">
        <w:rPr>
          <w:bCs/>
        </w:rPr>
        <w:t xml:space="preserve"> </w:t>
      </w:r>
      <w:r w:rsidR="00631CE6" w:rsidRPr="00631CE6">
        <w:rPr>
          <w:bCs/>
        </w:rPr>
        <w:t>notified</w:t>
      </w:r>
      <w:r w:rsidR="00220DC7" w:rsidRPr="00631CE6">
        <w:t xml:space="preserve"> its</w:t>
      </w:r>
      <w:r w:rsidR="00220DC7" w:rsidRPr="00764CC9">
        <w:t xml:space="preserve"> customers of the </w:t>
      </w:r>
      <w:r w:rsidR="00846C28">
        <w:t xml:space="preserve">proposed </w:t>
      </w:r>
      <w:r w:rsidR="005D680A">
        <w:t>merger</w:t>
      </w:r>
      <w:r w:rsidR="00220DC7" w:rsidRPr="00764CC9">
        <w:t xml:space="preserve"> </w:t>
      </w:r>
      <w:r w:rsidR="00846C28">
        <w:t>by mail</w:t>
      </w:r>
      <w:r w:rsidR="00220DC7" w:rsidRPr="00764CC9">
        <w:t xml:space="preserve"> on </w:t>
      </w:r>
      <w:r w:rsidR="00764E06">
        <w:t>May 31, 2016</w:t>
      </w:r>
      <w:r w:rsidR="00220DC7" w:rsidRPr="00764CC9">
        <w:t xml:space="preserve">. </w:t>
      </w:r>
    </w:p>
    <w:p w14:paraId="6C81FEF2" w14:textId="7F630288" w:rsidR="0081462F" w:rsidRPr="00764CC9" w:rsidRDefault="00F1151D" w:rsidP="00F73BD2">
      <w:pPr>
        <w:spacing w:line="320" w:lineRule="exact"/>
      </w:pPr>
      <w:r>
        <w:tab/>
      </w:r>
    </w:p>
    <w:p w14:paraId="6C81FEF3" w14:textId="146513D2" w:rsidR="00F7564A" w:rsidRPr="00764CC9" w:rsidRDefault="00F7564A" w:rsidP="000007B5">
      <w:pPr>
        <w:numPr>
          <w:ilvl w:val="0"/>
          <w:numId w:val="14"/>
        </w:numPr>
        <w:spacing w:line="320" w:lineRule="exact"/>
        <w:ind w:left="700" w:hanging="1420"/>
      </w:pPr>
      <w:r w:rsidRPr="00764CC9">
        <w:t>(</w:t>
      </w:r>
      <w:r w:rsidR="002B0ED1">
        <w:t>5</w:t>
      </w:r>
      <w:r w:rsidRPr="00764CC9">
        <w:t>)</w:t>
      </w:r>
      <w:r w:rsidRPr="00764CC9">
        <w:tab/>
        <w:t xml:space="preserve">This matter was brought before the </w:t>
      </w:r>
      <w:r w:rsidR="00F3239C">
        <w:t>Commission</w:t>
      </w:r>
      <w:r w:rsidRPr="00764CC9">
        <w:t xml:space="preserve"> at its regularly scheduled meeting on</w:t>
      </w:r>
      <w:r w:rsidR="00B83619" w:rsidRPr="00764CC9">
        <w:t xml:space="preserve"> </w:t>
      </w:r>
      <w:r w:rsidR="00551872">
        <w:t>Ju</w:t>
      </w:r>
      <w:r w:rsidR="00251A40">
        <w:t>ne</w:t>
      </w:r>
      <w:r w:rsidR="00551872">
        <w:t xml:space="preserve"> </w:t>
      </w:r>
      <w:r w:rsidR="00251A40">
        <w:t>2</w:t>
      </w:r>
      <w:r w:rsidR="00551872">
        <w:t>3, 201</w:t>
      </w:r>
      <w:r w:rsidR="00251A40">
        <w:t>6</w:t>
      </w:r>
      <w:r w:rsidR="00375E3F" w:rsidRPr="00764CC9">
        <w:t>.</w:t>
      </w:r>
    </w:p>
    <w:p w14:paraId="6C81FEF6" w14:textId="77777777" w:rsidR="00F7564A" w:rsidRPr="00764CC9" w:rsidRDefault="00F7564A" w:rsidP="00F73BD2">
      <w:pPr>
        <w:spacing w:line="320" w:lineRule="exact"/>
        <w:ind w:left="-720"/>
      </w:pPr>
    </w:p>
    <w:p w14:paraId="6C81FEF7" w14:textId="47843522" w:rsidR="00F7564A" w:rsidRPr="00764CC9" w:rsidRDefault="00146F7B" w:rsidP="000007B5">
      <w:pPr>
        <w:numPr>
          <w:ilvl w:val="0"/>
          <w:numId w:val="14"/>
        </w:numPr>
        <w:spacing w:line="320" w:lineRule="exact"/>
        <w:ind w:left="700" w:hanging="1420"/>
      </w:pPr>
      <w:r w:rsidRPr="00764CC9">
        <w:t>(</w:t>
      </w:r>
      <w:r w:rsidR="000007B5">
        <w:t>6</w:t>
      </w:r>
      <w:r w:rsidR="00F7564A" w:rsidRPr="00764CC9">
        <w:t>)</w:t>
      </w:r>
      <w:r w:rsidR="00F7564A" w:rsidRPr="00764CC9">
        <w:tab/>
        <w:t xml:space="preserve">Pursuant to </w:t>
      </w:r>
      <w:r w:rsidR="00F7564A" w:rsidRPr="00F3239C">
        <w:t>RCW 80.12.020</w:t>
      </w:r>
      <w:r w:rsidR="00F7564A" w:rsidRPr="00764CC9">
        <w:t xml:space="preserve"> and </w:t>
      </w:r>
      <w:r w:rsidR="00F7564A" w:rsidRPr="00F3239C">
        <w:t>WAC 480-143-170</w:t>
      </w:r>
      <w:r w:rsidR="00F7564A" w:rsidRPr="00764CC9">
        <w:t xml:space="preserve">, the </w:t>
      </w:r>
      <w:r w:rsidR="00F3239C">
        <w:t>Commission</w:t>
      </w:r>
      <w:r w:rsidR="00F7564A" w:rsidRPr="00764CC9">
        <w:t xml:space="preserve"> </w:t>
      </w:r>
      <w:r w:rsidR="00846C28">
        <w:t>finds that</w:t>
      </w:r>
      <w:r w:rsidR="00F7564A" w:rsidRPr="00764CC9">
        <w:t xml:space="preserve"> the applicants have </w:t>
      </w:r>
      <w:r w:rsidR="00846C28">
        <w:t>demonstrated that</w:t>
      </w:r>
      <w:r w:rsidR="00846C28" w:rsidRPr="00764CC9">
        <w:t xml:space="preserve"> </w:t>
      </w:r>
      <w:r w:rsidR="00F7564A" w:rsidRPr="00764CC9">
        <w:t xml:space="preserve">there are substantial benefits to the </w:t>
      </w:r>
      <w:r w:rsidR="002B0ED1">
        <w:t xml:space="preserve">proposed </w:t>
      </w:r>
      <w:r w:rsidR="00F7564A" w:rsidRPr="00764CC9">
        <w:t>transfer</w:t>
      </w:r>
      <w:r w:rsidR="002B0ED1">
        <w:t xml:space="preserve"> by merger</w:t>
      </w:r>
      <w:r w:rsidR="00F7564A" w:rsidRPr="00764CC9">
        <w:t>.</w:t>
      </w:r>
      <w:r w:rsidR="00846C28">
        <w:t xml:space="preserve"> </w:t>
      </w:r>
      <w:r w:rsidR="00846C28" w:rsidRPr="00764CC9">
        <w:t xml:space="preserve">The application meets the requirements of </w:t>
      </w:r>
      <w:r w:rsidR="00846C28" w:rsidRPr="00F3239C">
        <w:t>RCW 80.12</w:t>
      </w:r>
      <w:r w:rsidR="00846C28">
        <w:t>.020</w:t>
      </w:r>
      <w:r w:rsidR="00846C28" w:rsidRPr="00764CC9">
        <w:t xml:space="preserve"> and </w:t>
      </w:r>
      <w:r w:rsidR="00846C28" w:rsidRPr="00F3239C">
        <w:rPr>
          <w:iCs/>
        </w:rPr>
        <w:t>WAC 480-143</w:t>
      </w:r>
      <w:r w:rsidR="00846C28">
        <w:rPr>
          <w:iCs/>
        </w:rPr>
        <w:t>-170</w:t>
      </w:r>
      <w:r w:rsidR="00846C28" w:rsidRPr="00764CC9">
        <w:rPr>
          <w:i/>
          <w:iCs/>
        </w:rPr>
        <w:t>.</w:t>
      </w:r>
    </w:p>
    <w:p w14:paraId="6C81FEF8" w14:textId="77777777" w:rsidR="00833157" w:rsidRPr="00764CC9" w:rsidRDefault="00833157" w:rsidP="00F04D8D">
      <w:pPr>
        <w:tabs>
          <w:tab w:val="num" w:pos="-90"/>
        </w:tabs>
        <w:spacing w:line="320" w:lineRule="exact"/>
      </w:pPr>
    </w:p>
    <w:p w14:paraId="6C81FEF9" w14:textId="5ACD4491" w:rsidR="00DF328D" w:rsidRPr="00764CC9" w:rsidRDefault="0081462F" w:rsidP="000007B5">
      <w:pPr>
        <w:numPr>
          <w:ilvl w:val="0"/>
          <w:numId w:val="14"/>
        </w:numPr>
        <w:spacing w:line="320" w:lineRule="exact"/>
        <w:ind w:left="700" w:hanging="1420"/>
      </w:pPr>
      <w:r w:rsidRPr="00764CC9">
        <w:t>(</w:t>
      </w:r>
      <w:r w:rsidR="000007B5">
        <w:t>7</w:t>
      </w:r>
      <w:r w:rsidRPr="00764CC9">
        <w:t>)</w:t>
      </w:r>
      <w:r w:rsidRPr="00764CC9">
        <w:tab/>
      </w:r>
      <w:r w:rsidR="002B0ED1">
        <w:t>The</w:t>
      </w:r>
      <w:r w:rsidRPr="00764CC9">
        <w:t xml:space="preserve"> </w:t>
      </w:r>
      <w:r w:rsidR="00F3239C">
        <w:t>Commission</w:t>
      </w:r>
      <w:r w:rsidRPr="00764CC9">
        <w:t xml:space="preserve"> neither approves nor disapproves the reasonableness of any fees, charges, rates, purchase price, or accounting allocations involved with the </w:t>
      </w:r>
      <w:r w:rsidR="00670841" w:rsidRPr="00764CC9">
        <w:t>transaction</w:t>
      </w:r>
      <w:r w:rsidR="00D60C6E" w:rsidRPr="00764CC9">
        <w:t xml:space="preserve">. </w:t>
      </w:r>
      <w:r w:rsidR="00670841" w:rsidRPr="00764CC9">
        <w:t xml:space="preserve">The </w:t>
      </w:r>
      <w:r w:rsidR="00F3239C">
        <w:t>Commission</w:t>
      </w:r>
      <w:r w:rsidRPr="00764CC9">
        <w:t xml:space="preserve"> reserves the right to review those fees, charges, rates, or accounting allocations in a future rate proceeding.</w:t>
      </w:r>
    </w:p>
    <w:p w14:paraId="6C81FEFC" w14:textId="77777777" w:rsidR="0081462F" w:rsidRPr="00764CC9" w:rsidRDefault="0081462F" w:rsidP="00F04D8D">
      <w:pPr>
        <w:tabs>
          <w:tab w:val="num" w:pos="-90"/>
        </w:tabs>
        <w:spacing w:line="320" w:lineRule="exact"/>
      </w:pPr>
    </w:p>
    <w:p w14:paraId="6C81FEFD" w14:textId="21741DD4" w:rsidR="006C269A" w:rsidRPr="00764CC9" w:rsidRDefault="0081462F" w:rsidP="000007B5">
      <w:pPr>
        <w:numPr>
          <w:ilvl w:val="0"/>
          <w:numId w:val="14"/>
        </w:numPr>
        <w:spacing w:line="320" w:lineRule="exact"/>
        <w:ind w:left="700" w:hanging="1420"/>
      </w:pPr>
      <w:r w:rsidRPr="00764CC9">
        <w:t>(</w:t>
      </w:r>
      <w:r w:rsidR="000007B5">
        <w:t>8</w:t>
      </w:r>
      <w:r w:rsidRPr="00764CC9">
        <w:t>)</w:t>
      </w:r>
      <w:r w:rsidRPr="00764CC9">
        <w:tab/>
        <w:t>After review</w:t>
      </w:r>
      <w:r w:rsidR="00DF328D" w:rsidRPr="00764CC9">
        <w:t xml:space="preserve">ing </w:t>
      </w:r>
      <w:r w:rsidRPr="00764CC9">
        <w:t xml:space="preserve">the </w:t>
      </w:r>
      <w:r w:rsidR="002B0ED1">
        <w:t>J</w:t>
      </w:r>
      <w:r w:rsidR="00756B71">
        <w:t xml:space="preserve">oint </w:t>
      </w:r>
      <w:r w:rsidR="002B0ED1">
        <w:t>A</w:t>
      </w:r>
      <w:r w:rsidRPr="00764CC9">
        <w:t xml:space="preserve">pplication </w:t>
      </w:r>
      <w:r w:rsidR="00756B71">
        <w:t xml:space="preserve">of </w:t>
      </w:r>
      <w:r w:rsidR="005D680A">
        <w:rPr>
          <w:bCs/>
        </w:rPr>
        <w:t>Iliad Water Services</w:t>
      </w:r>
      <w:r w:rsidR="00627219">
        <w:rPr>
          <w:bCs/>
        </w:rPr>
        <w:t xml:space="preserve"> </w:t>
      </w:r>
      <w:r w:rsidR="002B0ED1">
        <w:rPr>
          <w:bCs/>
        </w:rPr>
        <w:t xml:space="preserve">and Iliad Water </w:t>
      </w:r>
      <w:r w:rsidR="00627219" w:rsidRPr="000B0F48">
        <w:rPr>
          <w:bCs/>
        </w:rPr>
        <w:t>filed</w:t>
      </w:r>
      <w:r w:rsidRPr="000B0F48">
        <w:t xml:space="preserve"> </w:t>
      </w:r>
      <w:r w:rsidRPr="00764CC9">
        <w:t xml:space="preserve">in Docket </w:t>
      </w:r>
      <w:r w:rsidR="00551872">
        <w:t>UW-</w:t>
      </w:r>
      <w:r w:rsidR="00764E06">
        <w:t>160</w:t>
      </w:r>
      <w:r w:rsidR="00D420DC">
        <w:t>784</w:t>
      </w:r>
      <w:r w:rsidR="00375E3F" w:rsidRPr="00764CC9">
        <w:t xml:space="preserve"> </w:t>
      </w:r>
      <w:r w:rsidRPr="00764CC9">
        <w:t>on</w:t>
      </w:r>
      <w:r w:rsidR="00B83619" w:rsidRPr="00764CC9">
        <w:t xml:space="preserve"> </w:t>
      </w:r>
      <w:r w:rsidR="00764E06">
        <w:t>May 31, 2016</w:t>
      </w:r>
      <w:r w:rsidRPr="00764CC9">
        <w:t xml:space="preserve">, and giving due consideration, the </w:t>
      </w:r>
      <w:r w:rsidR="00F3239C">
        <w:t>Commission</w:t>
      </w:r>
      <w:r w:rsidRPr="00764CC9">
        <w:t xml:space="preserve"> finds that </w:t>
      </w:r>
      <w:r w:rsidR="00F7564A" w:rsidRPr="00764CC9">
        <w:t xml:space="preserve">the </w:t>
      </w:r>
      <w:r w:rsidRPr="00764CC9">
        <w:t xml:space="preserve">Application of the </w:t>
      </w:r>
      <w:r w:rsidR="005D680A">
        <w:t>Merger</w:t>
      </w:r>
      <w:r w:rsidRPr="00764CC9">
        <w:t xml:space="preserve"> of </w:t>
      </w:r>
      <w:r w:rsidR="005D680A">
        <w:t>Iliad Water Services</w:t>
      </w:r>
      <w:r w:rsidR="00F3239C">
        <w:t xml:space="preserve"> </w:t>
      </w:r>
      <w:r w:rsidR="00B518C6" w:rsidRPr="00764CC9">
        <w:t>to</w:t>
      </w:r>
      <w:r w:rsidRPr="00764CC9">
        <w:t xml:space="preserve"> </w:t>
      </w:r>
      <w:r w:rsidR="00764E06">
        <w:rPr>
          <w:bCs/>
        </w:rPr>
        <w:lastRenderedPageBreak/>
        <w:t>Iliad Water Company</w:t>
      </w:r>
      <w:r w:rsidR="00F7564A" w:rsidRPr="00764CC9">
        <w:rPr>
          <w:b/>
          <w:bCs/>
        </w:rPr>
        <w:t xml:space="preserve"> </w:t>
      </w:r>
      <w:r w:rsidRPr="00764CC9">
        <w:t>is consistent with</w:t>
      </w:r>
      <w:r w:rsidR="008F2F16" w:rsidRPr="00764CC9">
        <w:t>,</w:t>
      </w:r>
      <w:r w:rsidRPr="00764CC9">
        <w:t xml:space="preserve"> </w:t>
      </w:r>
      <w:r w:rsidR="008F2F16" w:rsidRPr="00764CC9">
        <w:t xml:space="preserve">and demonstrates no harm to, </w:t>
      </w:r>
      <w:r w:rsidRPr="00764CC9">
        <w:t>the public interest and should be a</w:t>
      </w:r>
      <w:r w:rsidR="00670841" w:rsidRPr="00764CC9">
        <w:t>pproved</w:t>
      </w:r>
      <w:r w:rsidR="00D826C7">
        <w:t>.</w:t>
      </w:r>
    </w:p>
    <w:p w14:paraId="6C81FEFE" w14:textId="77777777" w:rsidR="0081462F" w:rsidRPr="00764CC9" w:rsidRDefault="0081462F" w:rsidP="00F73BD2">
      <w:pPr>
        <w:spacing w:line="320" w:lineRule="exact"/>
        <w:ind w:left="-720"/>
      </w:pPr>
    </w:p>
    <w:p w14:paraId="6C81FEFF" w14:textId="77777777" w:rsidR="0081462F" w:rsidRPr="00764CC9" w:rsidRDefault="0081462F" w:rsidP="00F73BD2">
      <w:pPr>
        <w:pStyle w:val="Heading2"/>
        <w:spacing w:line="320" w:lineRule="exact"/>
        <w:rPr>
          <w:b/>
          <w:bCs/>
          <w:u w:val="none"/>
        </w:rPr>
      </w:pPr>
      <w:r w:rsidRPr="00764CC9">
        <w:rPr>
          <w:b/>
          <w:bCs/>
          <w:u w:val="none"/>
        </w:rPr>
        <w:t>ORDER</w:t>
      </w:r>
    </w:p>
    <w:p w14:paraId="6C81FF00" w14:textId="77777777" w:rsidR="0081462F" w:rsidRPr="00764CC9" w:rsidRDefault="0081462F" w:rsidP="00F73BD2">
      <w:pPr>
        <w:spacing w:line="320" w:lineRule="exact"/>
      </w:pPr>
    </w:p>
    <w:p w14:paraId="6C81FF01" w14:textId="77777777" w:rsidR="0081462F" w:rsidRPr="00764CC9" w:rsidRDefault="0081462F" w:rsidP="00F73BD2">
      <w:pPr>
        <w:spacing w:line="320" w:lineRule="exact"/>
        <w:ind w:left="-720" w:firstLine="720"/>
        <w:rPr>
          <w:b/>
        </w:rPr>
      </w:pPr>
      <w:r w:rsidRPr="00764CC9">
        <w:rPr>
          <w:b/>
        </w:rPr>
        <w:t xml:space="preserve">THE </w:t>
      </w:r>
      <w:r w:rsidR="00F3239C">
        <w:rPr>
          <w:b/>
        </w:rPr>
        <w:t>COMMISSION</w:t>
      </w:r>
      <w:r w:rsidRPr="00764CC9">
        <w:rPr>
          <w:b/>
        </w:rPr>
        <w:t xml:space="preserve"> ORDERS:</w:t>
      </w:r>
    </w:p>
    <w:p w14:paraId="6C81FF02" w14:textId="77777777" w:rsidR="0081462F" w:rsidRPr="00764CC9" w:rsidRDefault="0081462F" w:rsidP="00F73BD2">
      <w:pPr>
        <w:spacing w:line="320" w:lineRule="exact"/>
      </w:pPr>
    </w:p>
    <w:p w14:paraId="6C81FF03" w14:textId="62715A8C" w:rsidR="0081462F" w:rsidRPr="00764CC9" w:rsidRDefault="00F04D8D" w:rsidP="00F73BD2">
      <w:pPr>
        <w:numPr>
          <w:ilvl w:val="0"/>
          <w:numId w:val="14"/>
        </w:numPr>
        <w:spacing w:line="320" w:lineRule="exact"/>
        <w:ind w:left="700" w:hanging="1420"/>
      </w:pPr>
      <w:r>
        <w:t>(1)</w:t>
      </w:r>
      <w:r w:rsidR="00DF328D" w:rsidRPr="00764CC9">
        <w:tab/>
        <w:t>T</w:t>
      </w:r>
      <w:r w:rsidR="0081462F" w:rsidRPr="00764CC9">
        <w:t xml:space="preserve">he </w:t>
      </w:r>
      <w:r w:rsidR="00F3239C">
        <w:t>Commission</w:t>
      </w:r>
      <w:r w:rsidR="0081462F" w:rsidRPr="00764CC9">
        <w:t xml:space="preserve"> authorizes the </w:t>
      </w:r>
      <w:r w:rsidR="002B0ED1">
        <w:t>merger</w:t>
      </w:r>
      <w:r w:rsidR="002B0ED1" w:rsidRPr="00764CC9">
        <w:t xml:space="preserve"> </w:t>
      </w:r>
      <w:r w:rsidR="008F2F16" w:rsidRPr="00764CC9">
        <w:t xml:space="preserve">of </w:t>
      </w:r>
      <w:r w:rsidR="00D826C7">
        <w:t xml:space="preserve">Iliad </w:t>
      </w:r>
      <w:r w:rsidR="00805E15">
        <w:t>Water Service</w:t>
      </w:r>
      <w:r w:rsidR="00D826C7">
        <w:t>s</w:t>
      </w:r>
      <w:r w:rsidR="00805E15">
        <w:t xml:space="preserve">, Inc. </w:t>
      </w:r>
      <w:r w:rsidR="008F2F16" w:rsidRPr="00764CC9">
        <w:rPr>
          <w:bCs/>
        </w:rPr>
        <w:t>to</w:t>
      </w:r>
      <w:r w:rsidR="008F2F16" w:rsidRPr="00764CC9">
        <w:t xml:space="preserve"> </w:t>
      </w:r>
      <w:r w:rsidR="00764E06">
        <w:rPr>
          <w:bCs/>
        </w:rPr>
        <w:t>Iliad Water Company, LLC</w:t>
      </w:r>
      <w:r w:rsidR="00F7564A" w:rsidRPr="00764CC9">
        <w:t xml:space="preserve"> </w:t>
      </w:r>
      <w:r w:rsidR="0081462F" w:rsidRPr="00764CC9">
        <w:t xml:space="preserve">consistent with the joint application in accordance with </w:t>
      </w:r>
      <w:r w:rsidR="00023576" w:rsidRPr="00F3239C">
        <w:t>RCW 80.12.020</w:t>
      </w:r>
      <w:r w:rsidR="00D60C6E" w:rsidRPr="00764CC9">
        <w:t xml:space="preserve">. </w:t>
      </w:r>
      <w:r w:rsidR="0081462F" w:rsidRPr="00764CC9">
        <w:t xml:space="preserve">No material change, </w:t>
      </w:r>
      <w:r w:rsidR="00D60C6E" w:rsidRPr="00764CC9">
        <w:t>revision</w:t>
      </w:r>
      <w:r w:rsidR="0081462F" w:rsidRPr="00764CC9">
        <w:t xml:space="preserve"> or amendmen</w:t>
      </w:r>
      <w:r w:rsidR="00CE0B7B" w:rsidRPr="00764CC9">
        <w:t>t to the join</w:t>
      </w:r>
      <w:r w:rsidR="00DF328D" w:rsidRPr="00764CC9">
        <w:t>t</w:t>
      </w:r>
      <w:r w:rsidR="0081462F" w:rsidRPr="00764CC9">
        <w:t xml:space="preserve"> application and agreement shall become effective without the </w:t>
      </w:r>
      <w:r w:rsidR="00F3239C">
        <w:t>Commission’</w:t>
      </w:r>
      <w:r w:rsidR="0081462F" w:rsidRPr="00764CC9">
        <w:t xml:space="preserve">s prior written approval. </w:t>
      </w:r>
    </w:p>
    <w:p w14:paraId="6C81FF04" w14:textId="77777777" w:rsidR="00EC756F" w:rsidRPr="00764CC9" w:rsidRDefault="00EC756F" w:rsidP="00F73BD2">
      <w:pPr>
        <w:spacing w:line="320" w:lineRule="exact"/>
        <w:ind w:left="360"/>
      </w:pPr>
    </w:p>
    <w:p w14:paraId="6C81FF05" w14:textId="7EA911E6" w:rsidR="0081462F" w:rsidRPr="00764CC9" w:rsidRDefault="0081462F" w:rsidP="00F73BD2">
      <w:pPr>
        <w:numPr>
          <w:ilvl w:val="0"/>
          <w:numId w:val="14"/>
        </w:numPr>
        <w:spacing w:line="320" w:lineRule="exact"/>
        <w:ind w:left="700" w:hanging="1420"/>
      </w:pPr>
      <w:r w:rsidRPr="00764CC9">
        <w:t>(2)</w:t>
      </w:r>
      <w:r w:rsidRPr="00764CC9">
        <w:tab/>
        <w:t xml:space="preserve">The </w:t>
      </w:r>
      <w:r w:rsidR="00F3239C">
        <w:t>Commission</w:t>
      </w:r>
      <w:r w:rsidR="00670841" w:rsidRPr="00764CC9">
        <w:t xml:space="preserve"> approves</w:t>
      </w:r>
      <w:r w:rsidR="00B83619" w:rsidRPr="00764CC9">
        <w:t xml:space="preserve"> </w:t>
      </w:r>
      <w:r w:rsidR="00764E06">
        <w:rPr>
          <w:bCs/>
        </w:rPr>
        <w:t>Iliad Water Company, LLC</w:t>
      </w:r>
      <w:r w:rsidR="00F3239C">
        <w:t>’</w:t>
      </w:r>
      <w:r w:rsidR="0017413D" w:rsidRPr="00764CC9">
        <w:t>s</w:t>
      </w:r>
      <w:r w:rsidR="00670841" w:rsidRPr="00764CC9">
        <w:t xml:space="preserve"> adoption of the </w:t>
      </w:r>
      <w:r w:rsidRPr="00764CC9">
        <w:t>tariff</w:t>
      </w:r>
      <w:r w:rsidR="00670841" w:rsidRPr="00764CC9">
        <w:t>s of</w:t>
      </w:r>
      <w:r w:rsidR="00805E15">
        <w:t xml:space="preserve"> </w:t>
      </w:r>
      <w:r w:rsidR="00D826C7">
        <w:t xml:space="preserve">Iliad </w:t>
      </w:r>
      <w:r w:rsidR="00805E15">
        <w:t>Water Service</w:t>
      </w:r>
      <w:r w:rsidR="00D826C7">
        <w:t>s</w:t>
      </w:r>
      <w:r w:rsidR="00805E15">
        <w:t>, Inc.</w:t>
      </w:r>
      <w:r w:rsidR="0012543D" w:rsidRPr="00764CC9">
        <w:t>,</w:t>
      </w:r>
      <w:r w:rsidRPr="00764CC9">
        <w:t xml:space="preserve"> </w:t>
      </w:r>
      <w:r w:rsidR="00670841" w:rsidRPr="00764CC9">
        <w:t xml:space="preserve">to be </w:t>
      </w:r>
      <w:r w:rsidRPr="00764CC9">
        <w:t xml:space="preserve">effective </w:t>
      </w:r>
      <w:r w:rsidR="002B0ED1">
        <w:t>on the</w:t>
      </w:r>
      <w:r w:rsidR="00670841" w:rsidRPr="00764CC9">
        <w:t xml:space="preserve"> date</w:t>
      </w:r>
      <w:r w:rsidRPr="00764CC9">
        <w:t xml:space="preserve"> of transfer</w:t>
      </w:r>
      <w:r w:rsidR="002B0ED1">
        <w:t>,</w:t>
      </w:r>
      <w:r w:rsidRPr="00764CC9">
        <w:t xml:space="preserve"> </w:t>
      </w:r>
      <w:r w:rsidR="00764E06">
        <w:t>July 1, 2016</w:t>
      </w:r>
      <w:r w:rsidR="00AB5A4C" w:rsidRPr="00764CC9">
        <w:t xml:space="preserve">. </w:t>
      </w:r>
    </w:p>
    <w:p w14:paraId="6C81FF06" w14:textId="77777777" w:rsidR="0081462F" w:rsidRPr="00764CC9" w:rsidRDefault="0081462F" w:rsidP="00F73BD2">
      <w:pPr>
        <w:spacing w:line="320" w:lineRule="exact"/>
        <w:ind w:left="-720"/>
      </w:pPr>
    </w:p>
    <w:p w14:paraId="6C81FF07" w14:textId="01F2AB51" w:rsidR="00F7564A" w:rsidRPr="00764CC9" w:rsidRDefault="0081462F" w:rsidP="00F73BD2">
      <w:pPr>
        <w:numPr>
          <w:ilvl w:val="0"/>
          <w:numId w:val="14"/>
        </w:numPr>
        <w:spacing w:line="320" w:lineRule="exact"/>
        <w:ind w:left="700" w:hanging="1420"/>
      </w:pPr>
      <w:r w:rsidRPr="00764CC9">
        <w:t>(3)</w:t>
      </w:r>
      <w:r w:rsidRPr="00764CC9">
        <w:tab/>
      </w:r>
      <w:r w:rsidR="00764E06">
        <w:rPr>
          <w:bCs/>
        </w:rPr>
        <w:t>Iliad Water Company, LLC</w:t>
      </w:r>
      <w:r w:rsidR="00023576" w:rsidRPr="00764CC9">
        <w:t xml:space="preserve"> </w:t>
      </w:r>
      <w:r w:rsidRPr="00764CC9">
        <w:t xml:space="preserve">must file with the </w:t>
      </w:r>
      <w:r w:rsidR="00F3239C">
        <w:t>Commission</w:t>
      </w:r>
      <w:r w:rsidRPr="00764CC9">
        <w:t xml:space="preserve"> within </w:t>
      </w:r>
      <w:r w:rsidR="00F1211F" w:rsidRPr="00764CC9">
        <w:t>90</w:t>
      </w:r>
      <w:r w:rsidRPr="00764CC9">
        <w:t xml:space="preserve"> days after the effective date of this Order the journal entries by which it proposes to record on its books the transfer of water system </w:t>
      </w:r>
      <w:r w:rsidR="009D3DE9">
        <w:t>stock</w:t>
      </w:r>
      <w:r w:rsidRPr="00764CC9">
        <w:t xml:space="preserve"> authorized herein</w:t>
      </w:r>
      <w:r w:rsidR="00D60C6E" w:rsidRPr="00764CC9">
        <w:t xml:space="preserve">. </w:t>
      </w:r>
      <w:r w:rsidRPr="00764CC9">
        <w:t xml:space="preserve">The effective date for accounting purposes shall be </w:t>
      </w:r>
      <w:r w:rsidR="00764E06">
        <w:t>July 1, 2016</w:t>
      </w:r>
      <w:r w:rsidRPr="00764CC9">
        <w:t>.</w:t>
      </w:r>
    </w:p>
    <w:p w14:paraId="6C81FF08" w14:textId="77777777" w:rsidR="00FE0B51" w:rsidRPr="00764CC9" w:rsidRDefault="00FE0B51" w:rsidP="00F73BD2">
      <w:pPr>
        <w:spacing w:line="320" w:lineRule="exact"/>
        <w:ind w:left="-720"/>
      </w:pPr>
    </w:p>
    <w:p w14:paraId="6C81FF09" w14:textId="67801B56" w:rsidR="00F671C2" w:rsidRPr="00764CC9" w:rsidRDefault="0081462F" w:rsidP="00F73BD2">
      <w:pPr>
        <w:numPr>
          <w:ilvl w:val="0"/>
          <w:numId w:val="14"/>
        </w:numPr>
        <w:spacing w:line="320" w:lineRule="exact"/>
        <w:ind w:left="700" w:hanging="1420"/>
      </w:pPr>
      <w:r w:rsidRPr="00764CC9">
        <w:t>(4)</w:t>
      </w:r>
      <w:r w:rsidRPr="00764CC9">
        <w:tab/>
      </w:r>
      <w:r w:rsidR="00146F7B" w:rsidRPr="00764CC9">
        <w:t xml:space="preserve">This Order shall not affect the </w:t>
      </w:r>
      <w:r w:rsidR="00F3239C">
        <w:t>Commission’</w:t>
      </w:r>
      <w:r w:rsidR="00146F7B" w:rsidRPr="00764CC9">
        <w:t xml:space="preserve">s authority over rates, services, accounts, valuations, </w:t>
      </w:r>
      <w:r w:rsidR="00D60C6E" w:rsidRPr="00764CC9">
        <w:t>estimates</w:t>
      </w:r>
      <w:r w:rsidR="00146F7B" w:rsidRPr="00764CC9">
        <w:t xml:space="preserve"> or determination of costs, on any matters that may come before it</w:t>
      </w:r>
      <w:r w:rsidR="00D60C6E" w:rsidRPr="00764CC9">
        <w:t xml:space="preserve">. </w:t>
      </w:r>
      <w:r w:rsidR="00146F7B" w:rsidRPr="00764CC9">
        <w:t xml:space="preserve">Nor shall this Order granting </w:t>
      </w:r>
      <w:r w:rsidR="00A30859">
        <w:t>application</w:t>
      </w:r>
      <w:r w:rsidR="00146F7B" w:rsidRPr="00764CC9">
        <w:t xml:space="preserve"> be construed as an agreement to any estimate or determination of costs, or any valuation of property claimed or asserted.</w:t>
      </w:r>
    </w:p>
    <w:p w14:paraId="6C81FF0A" w14:textId="77777777" w:rsidR="0081462F" w:rsidRPr="00764CC9" w:rsidRDefault="0081462F" w:rsidP="00CF786D">
      <w:pPr>
        <w:pStyle w:val="FindingsConclusions"/>
        <w:numPr>
          <w:ilvl w:val="0"/>
          <w:numId w:val="0"/>
        </w:numPr>
      </w:pPr>
    </w:p>
    <w:p w14:paraId="6C81FF0B" w14:textId="288A5AA6" w:rsidR="00A30859" w:rsidRDefault="0081462F" w:rsidP="00F73BD2">
      <w:pPr>
        <w:numPr>
          <w:ilvl w:val="0"/>
          <w:numId w:val="14"/>
        </w:numPr>
        <w:spacing w:line="320" w:lineRule="exact"/>
        <w:ind w:left="700" w:hanging="1420"/>
      </w:pPr>
      <w:r w:rsidRPr="00764CC9">
        <w:t>(5)</w:t>
      </w:r>
      <w:r w:rsidRPr="00764CC9">
        <w:tab/>
        <w:t xml:space="preserve">The </w:t>
      </w:r>
      <w:r w:rsidR="00F3239C">
        <w:t>Commission</w:t>
      </w:r>
      <w:r w:rsidRPr="00764CC9">
        <w:t xml:space="preserve"> retains jurisdiction over the subject matter and</w:t>
      </w:r>
      <w:r w:rsidR="002414EB">
        <w:t xml:space="preserve"> </w:t>
      </w:r>
      <w:r w:rsidR="00D826C7">
        <w:t xml:space="preserve">Iliad </w:t>
      </w:r>
      <w:r w:rsidR="002414EB">
        <w:t>Water Service</w:t>
      </w:r>
      <w:r w:rsidR="00D826C7">
        <w:t>s</w:t>
      </w:r>
      <w:r w:rsidR="002414EB">
        <w:t>, Inc.</w:t>
      </w:r>
      <w:r w:rsidR="00F671C2" w:rsidRPr="00764CC9">
        <w:rPr>
          <w:bCs/>
        </w:rPr>
        <w:t xml:space="preserve">, and </w:t>
      </w:r>
      <w:r w:rsidR="00764E06">
        <w:rPr>
          <w:bCs/>
        </w:rPr>
        <w:t>Iliad Water Company, LLC</w:t>
      </w:r>
      <w:r w:rsidR="00023576" w:rsidRPr="00764CC9">
        <w:rPr>
          <w:bCs/>
        </w:rPr>
        <w:t xml:space="preserve"> </w:t>
      </w:r>
      <w:r w:rsidRPr="00764CC9">
        <w:t>to effectuate the provisions of this Order.</w:t>
      </w:r>
    </w:p>
    <w:p w14:paraId="5EC44DDF" w14:textId="77777777" w:rsidR="00A30859" w:rsidRDefault="00A30859">
      <w:r>
        <w:br w:type="page"/>
      </w:r>
    </w:p>
    <w:p w14:paraId="6BBF64C9" w14:textId="77777777" w:rsidR="0081462F" w:rsidRPr="00764CC9" w:rsidRDefault="0081462F" w:rsidP="00A30859">
      <w:pPr>
        <w:spacing w:line="320" w:lineRule="exact"/>
        <w:ind w:left="700"/>
      </w:pPr>
    </w:p>
    <w:p w14:paraId="6C81FF0C" w14:textId="0356C2DA" w:rsidR="0081462F" w:rsidRPr="00764CC9" w:rsidRDefault="0081462F" w:rsidP="00B045AE">
      <w:pPr>
        <w:spacing w:line="320" w:lineRule="exact"/>
      </w:pPr>
    </w:p>
    <w:p w14:paraId="6C81FF0D" w14:textId="365D1FD3" w:rsidR="0081462F" w:rsidRPr="00764CC9" w:rsidRDefault="0081462F" w:rsidP="00F73BD2">
      <w:pPr>
        <w:spacing w:line="320" w:lineRule="exact"/>
      </w:pPr>
      <w:r w:rsidRPr="00764CC9">
        <w:t xml:space="preserve">DATED at Olympia, Washington, and effective </w:t>
      </w:r>
      <w:r w:rsidR="00551872">
        <w:t>Ju</w:t>
      </w:r>
      <w:r w:rsidR="00D826C7">
        <w:t>ne</w:t>
      </w:r>
      <w:r w:rsidR="00551872">
        <w:t xml:space="preserve"> </w:t>
      </w:r>
      <w:r w:rsidR="00D826C7">
        <w:t>2</w:t>
      </w:r>
      <w:r w:rsidR="00551872">
        <w:t>3, 201</w:t>
      </w:r>
      <w:r w:rsidR="00D826C7">
        <w:t>6</w:t>
      </w:r>
      <w:r w:rsidRPr="00764CC9">
        <w:t>.</w:t>
      </w:r>
    </w:p>
    <w:p w14:paraId="6C81FF0E" w14:textId="77777777" w:rsidR="0081462F" w:rsidRPr="00764CC9" w:rsidRDefault="0081462F" w:rsidP="00F73BD2">
      <w:pPr>
        <w:pStyle w:val="Header"/>
        <w:tabs>
          <w:tab w:val="clear" w:pos="4320"/>
          <w:tab w:val="clear" w:pos="8640"/>
        </w:tabs>
        <w:spacing w:line="320" w:lineRule="exact"/>
      </w:pPr>
    </w:p>
    <w:p w14:paraId="6C81FF0F" w14:textId="77777777" w:rsidR="00F14B63" w:rsidRDefault="00F14B63" w:rsidP="00F14B63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City">
          <w:r>
            <w:t>WASHINGTON</w:t>
          </w:r>
        </w:smartTag>
      </w:smartTag>
      <w:r>
        <w:t xml:space="preserve"> UTILITIES AND TRANSPORTATION </w:t>
      </w:r>
      <w:r w:rsidR="00F3239C">
        <w:t>COMMISSION</w:t>
      </w:r>
    </w:p>
    <w:p w14:paraId="6C81FF10" w14:textId="77777777" w:rsidR="00F14B63" w:rsidRDefault="00F14B63" w:rsidP="00F14B63">
      <w:pPr>
        <w:spacing w:line="320" w:lineRule="exact"/>
      </w:pPr>
    </w:p>
    <w:p w14:paraId="6C81FF12" w14:textId="77777777" w:rsidR="00F14B63" w:rsidRDefault="00F14B63" w:rsidP="00F14B63">
      <w:pPr>
        <w:spacing w:line="320" w:lineRule="exact"/>
      </w:pPr>
    </w:p>
    <w:p w14:paraId="6C81FF16" w14:textId="378958DE" w:rsidR="00F14B63" w:rsidRDefault="00F14B63" w:rsidP="00F14B63">
      <w:pPr>
        <w:spacing w:line="320" w:lineRule="exact"/>
      </w:pPr>
      <w:r>
        <w:tab/>
      </w:r>
      <w:r>
        <w:tab/>
      </w:r>
      <w:r>
        <w:tab/>
      </w:r>
      <w:r>
        <w:tab/>
      </w:r>
    </w:p>
    <w:p w14:paraId="6C81FF17" w14:textId="77777777" w:rsidR="00F14B63" w:rsidRDefault="00F14B63" w:rsidP="00F14B63">
      <w:pPr>
        <w:spacing w:line="320" w:lineRule="exact"/>
      </w:pPr>
      <w:r>
        <w:tab/>
      </w:r>
      <w:r>
        <w:tab/>
      </w:r>
      <w:r>
        <w:tab/>
      </w:r>
      <w:r>
        <w:tab/>
        <w:t xml:space="preserve">PHILIP B. JONES, </w:t>
      </w:r>
      <w:r w:rsidR="00F3239C">
        <w:t>Commission</w:t>
      </w:r>
      <w:r>
        <w:t>er</w:t>
      </w:r>
    </w:p>
    <w:p w14:paraId="6C81FF18" w14:textId="77777777" w:rsidR="00F14B63" w:rsidRDefault="00F14B63" w:rsidP="00F14B63">
      <w:pPr>
        <w:spacing w:line="320" w:lineRule="exact"/>
      </w:pPr>
    </w:p>
    <w:p w14:paraId="6C81FF19" w14:textId="77777777" w:rsidR="00F14B63" w:rsidRDefault="00F14B63" w:rsidP="00F14B63">
      <w:pPr>
        <w:spacing w:line="320" w:lineRule="exact"/>
        <w:ind w:left="2160" w:firstLine="720"/>
      </w:pPr>
    </w:p>
    <w:p w14:paraId="6C81FF1A" w14:textId="77777777" w:rsidR="00F14B63" w:rsidRDefault="00F14B63" w:rsidP="00F14B63">
      <w:pPr>
        <w:spacing w:line="320" w:lineRule="exact"/>
        <w:ind w:left="2160" w:firstLine="720"/>
      </w:pPr>
    </w:p>
    <w:p w14:paraId="6C81FF1B" w14:textId="77777777" w:rsidR="00F14B63" w:rsidRDefault="00666F92" w:rsidP="00F14B63">
      <w:pPr>
        <w:spacing w:line="320" w:lineRule="exact"/>
        <w:ind w:left="2160" w:firstLine="720"/>
      </w:pPr>
      <w:r w:rsidRPr="0069534A">
        <w:t>ANN E. RENDAHL</w:t>
      </w:r>
      <w:r w:rsidR="00F14B63">
        <w:t xml:space="preserve">, </w:t>
      </w:r>
      <w:r w:rsidR="00F3239C">
        <w:t>Commission</w:t>
      </w:r>
      <w:r w:rsidR="00F14B63">
        <w:t>er</w:t>
      </w:r>
    </w:p>
    <w:p w14:paraId="6C81FF1C" w14:textId="77777777" w:rsidR="0081462F" w:rsidRPr="00764CC9" w:rsidRDefault="0081462F" w:rsidP="00F73BD2">
      <w:pPr>
        <w:spacing w:line="320" w:lineRule="exact"/>
        <w:ind w:left="2880" w:right="-144" w:firstLine="720"/>
      </w:pPr>
    </w:p>
    <w:p w14:paraId="6C81FF1F" w14:textId="11F26B58" w:rsidR="00B83619" w:rsidRPr="00764CC9" w:rsidRDefault="00B83619" w:rsidP="00A32DEE">
      <w:pPr>
        <w:spacing w:line="320" w:lineRule="exact"/>
      </w:pPr>
    </w:p>
    <w:sectPr w:rsidR="00B83619" w:rsidRPr="00764CC9" w:rsidSect="00631CE6">
      <w:headerReference w:type="default" r:id="rId11"/>
      <w:headerReference w:type="first" r:id="rId12"/>
      <w:type w:val="continuous"/>
      <w:pgSz w:w="12240" w:h="15840" w:code="1"/>
      <w:pgMar w:top="1440" w:right="1440" w:bottom="1440" w:left="2160" w:header="1008" w:footer="15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1FF22" w14:textId="77777777" w:rsidR="00791F66" w:rsidRDefault="00791F66">
      <w:r>
        <w:separator/>
      </w:r>
    </w:p>
  </w:endnote>
  <w:endnote w:type="continuationSeparator" w:id="0">
    <w:p w14:paraId="6C81FF23" w14:textId="77777777" w:rsidR="00791F66" w:rsidRDefault="0079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1FF20" w14:textId="77777777" w:rsidR="00791F66" w:rsidRDefault="00791F66">
      <w:r>
        <w:separator/>
      </w:r>
    </w:p>
  </w:footnote>
  <w:footnote w:type="continuationSeparator" w:id="0">
    <w:p w14:paraId="6C81FF21" w14:textId="77777777" w:rsidR="00791F66" w:rsidRDefault="00791F66">
      <w:r>
        <w:continuationSeparator/>
      </w:r>
    </w:p>
  </w:footnote>
  <w:footnote w:id="1">
    <w:p w14:paraId="6C81FF29" w14:textId="2FB6A0B6" w:rsidR="00627219" w:rsidRDefault="00627219">
      <w:pPr>
        <w:pStyle w:val="FootnoteText"/>
      </w:pPr>
      <w:r>
        <w:rPr>
          <w:rStyle w:val="FootnoteReference"/>
        </w:rPr>
        <w:footnoteRef/>
      </w:r>
      <w:r>
        <w:t xml:space="preserve"> After the </w:t>
      </w:r>
      <w:r w:rsidR="005D680A">
        <w:t>merger is completed</w:t>
      </w:r>
      <w:r>
        <w:t>, D</w:t>
      </w:r>
      <w:r w:rsidR="005D680A">
        <w:t>avid</w:t>
      </w:r>
      <w:r>
        <w:t xml:space="preserve"> Dorland</w:t>
      </w:r>
      <w:r w:rsidR="00320C69">
        <w:t xml:space="preserve">, </w:t>
      </w:r>
      <w:r w:rsidR="005D680A">
        <w:t xml:space="preserve">the </w:t>
      </w:r>
      <w:r w:rsidR="00320C69">
        <w:t xml:space="preserve">president </w:t>
      </w:r>
      <w:r w:rsidR="005D680A">
        <w:t xml:space="preserve">of Iliad, Inc., </w:t>
      </w:r>
      <w:r w:rsidR="00320C69">
        <w:t xml:space="preserve">will be </w:t>
      </w:r>
      <w:r w:rsidR="005D680A">
        <w:t>the sole Member of Iliad Water Company, LLC</w:t>
      </w:r>
      <w:r>
        <w:t>.</w:t>
      </w:r>
    </w:p>
  </w:footnote>
  <w:footnote w:id="2">
    <w:p w14:paraId="7F0986A7" w14:textId="5A7E4312" w:rsidR="00846C28" w:rsidRDefault="00846C2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D0B09">
        <w:rPr>
          <w:i/>
          <w:sz w:val="22"/>
          <w:szCs w:val="22"/>
        </w:rPr>
        <w:t xml:space="preserve">In Re Application of PacifiCorp &amp; Scottish Power, LLC, </w:t>
      </w:r>
      <w:r w:rsidRPr="007D0B09">
        <w:rPr>
          <w:sz w:val="22"/>
          <w:szCs w:val="22"/>
        </w:rPr>
        <w:t>Docket UE-981627, Third Supplemental Order on Prehearing Conference at 2-3 (April 2, 1999).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1FF24" w14:textId="699AABF0" w:rsidR="00CE7D6E" w:rsidRPr="00F04D8D" w:rsidRDefault="006570CA" w:rsidP="006570CA">
    <w:pPr>
      <w:pStyle w:val="Header"/>
      <w:rPr>
        <w:noProof/>
        <w:sz w:val="20"/>
        <w:szCs w:val="20"/>
      </w:rPr>
    </w:pPr>
    <w:r w:rsidRPr="00F04D8D">
      <w:rPr>
        <w:sz w:val="20"/>
        <w:szCs w:val="20"/>
      </w:rPr>
      <w:t>DOCKET UW-</w:t>
    </w:r>
    <w:r w:rsidR="00764E06">
      <w:rPr>
        <w:sz w:val="20"/>
        <w:szCs w:val="20"/>
      </w:rPr>
      <w:t>160</w:t>
    </w:r>
    <w:r w:rsidR="00D420DC">
      <w:rPr>
        <w:sz w:val="20"/>
        <w:szCs w:val="20"/>
      </w:rPr>
      <w:t>784</w:t>
    </w:r>
    <w:r w:rsidRPr="00F04D8D">
      <w:rPr>
        <w:sz w:val="20"/>
        <w:szCs w:val="20"/>
      </w:rPr>
      <w:tab/>
    </w:r>
    <w:r w:rsidRPr="00F04D8D">
      <w:rPr>
        <w:sz w:val="20"/>
        <w:szCs w:val="20"/>
      </w:rPr>
      <w:tab/>
      <w:t xml:space="preserve">Page </w:t>
    </w:r>
    <w:r w:rsidRPr="00F04D8D">
      <w:rPr>
        <w:sz w:val="20"/>
        <w:szCs w:val="20"/>
      </w:rPr>
      <w:fldChar w:fldCharType="begin"/>
    </w:r>
    <w:r w:rsidRPr="00F04D8D">
      <w:rPr>
        <w:sz w:val="20"/>
        <w:szCs w:val="20"/>
      </w:rPr>
      <w:instrText xml:space="preserve"> PAGE   \* MERGEFORMAT </w:instrText>
    </w:r>
    <w:r w:rsidRPr="00F04D8D">
      <w:rPr>
        <w:sz w:val="20"/>
        <w:szCs w:val="20"/>
      </w:rPr>
      <w:fldChar w:fldCharType="separate"/>
    </w:r>
    <w:r w:rsidR="00F124E8">
      <w:rPr>
        <w:noProof/>
        <w:sz w:val="20"/>
        <w:szCs w:val="20"/>
      </w:rPr>
      <w:t>2</w:t>
    </w:r>
    <w:r w:rsidRPr="00F04D8D">
      <w:rPr>
        <w:noProof/>
        <w:sz w:val="20"/>
        <w:szCs w:val="20"/>
      </w:rPr>
      <w:fldChar w:fldCharType="end"/>
    </w:r>
  </w:p>
  <w:p w14:paraId="6C81FF25" w14:textId="77777777" w:rsidR="006570CA" w:rsidRPr="00F04D8D" w:rsidRDefault="006570CA" w:rsidP="006570CA">
    <w:pPr>
      <w:pStyle w:val="Header"/>
      <w:rPr>
        <w:noProof/>
        <w:sz w:val="20"/>
        <w:szCs w:val="20"/>
      </w:rPr>
    </w:pPr>
    <w:r w:rsidRPr="00F04D8D">
      <w:rPr>
        <w:noProof/>
        <w:sz w:val="20"/>
        <w:szCs w:val="20"/>
      </w:rPr>
      <w:t>ORDER 01</w:t>
    </w:r>
  </w:p>
  <w:p w14:paraId="6C81FF26" w14:textId="77777777" w:rsidR="00631CE6" w:rsidRDefault="00631CE6" w:rsidP="006570CA">
    <w:pPr>
      <w:pStyle w:val="Header"/>
      <w:rPr>
        <w:noProof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1FF28" w14:textId="77777777" w:rsidR="00CE7D6E" w:rsidRDefault="00CE7D6E">
    <w:pPr>
      <w:pStyle w:val="Header"/>
      <w:tabs>
        <w:tab w:val="left" w:pos="7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313030B"/>
    <w:multiLevelType w:val="hybridMultilevel"/>
    <w:tmpl w:val="E4900A8E"/>
    <w:lvl w:ilvl="0" w:tplc="BFCA284A">
      <w:start w:val="1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B2E5860"/>
    <w:multiLevelType w:val="hybridMultilevel"/>
    <w:tmpl w:val="C59C7446"/>
    <w:lvl w:ilvl="0" w:tplc="15B041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10B56C6"/>
    <w:multiLevelType w:val="hybridMultilevel"/>
    <w:tmpl w:val="BB4CD954"/>
    <w:lvl w:ilvl="0" w:tplc="2B302ED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4DFE526B"/>
    <w:multiLevelType w:val="hybridMultilevel"/>
    <w:tmpl w:val="F7D092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532F70F3"/>
    <w:multiLevelType w:val="hybridMultilevel"/>
    <w:tmpl w:val="7D72FC16"/>
    <w:lvl w:ilvl="0" w:tplc="5C0EFF88">
      <w:start w:val="1"/>
      <w:numFmt w:val="decimal"/>
      <w:pStyle w:val="FindingsConclusion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725F08C4"/>
    <w:multiLevelType w:val="hybridMultilevel"/>
    <w:tmpl w:val="B8145A06"/>
    <w:lvl w:ilvl="0" w:tplc="A2D653A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4"/>
  </w:num>
  <w:num w:numId="5">
    <w:abstractNumId w:val="3"/>
  </w:num>
  <w:num w:numId="6">
    <w:abstractNumId w:val="11"/>
  </w:num>
  <w:num w:numId="7">
    <w:abstractNumId w:val="5"/>
  </w:num>
  <w:num w:numId="8">
    <w:abstractNumId w:val="13"/>
  </w:num>
  <w:num w:numId="9">
    <w:abstractNumId w:val="7"/>
  </w:num>
  <w:num w:numId="10">
    <w:abstractNumId w:val="12"/>
  </w:num>
  <w:num w:numId="11">
    <w:abstractNumId w:val="1"/>
  </w:num>
  <w:num w:numId="12">
    <w:abstractNumId w:val="2"/>
  </w:num>
  <w:num w:numId="13">
    <w:abstractNumId w:val="4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8"/>
  </w:num>
  <w:num w:numId="23">
    <w:abstractNumId w:val="10"/>
  </w:num>
  <w:num w:numId="24">
    <w:abstractNumId w:val="1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removeDateAndTime/>
  <w:hideSpellingErrors/>
  <w:hideGrammaticalErrors/>
  <w:activeWritingStyle w:appName="MSWord" w:lang="en-US" w:vendorID="64" w:dllVersion="131078" w:nlCheck="1" w:checkStyle="1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66"/>
    <w:rsid w:val="000007B5"/>
    <w:rsid w:val="00023576"/>
    <w:rsid w:val="00050FB7"/>
    <w:rsid w:val="00057390"/>
    <w:rsid w:val="00073186"/>
    <w:rsid w:val="000A18BB"/>
    <w:rsid w:val="000B0BD0"/>
    <w:rsid w:val="000B0F48"/>
    <w:rsid w:val="000C2E8F"/>
    <w:rsid w:val="000E2D13"/>
    <w:rsid w:val="000F2DA0"/>
    <w:rsid w:val="0012543D"/>
    <w:rsid w:val="00146F7B"/>
    <w:rsid w:val="00163C2B"/>
    <w:rsid w:val="00170C45"/>
    <w:rsid w:val="0017413D"/>
    <w:rsid w:val="001A05D6"/>
    <w:rsid w:val="001A36F8"/>
    <w:rsid w:val="001A52B8"/>
    <w:rsid w:val="001E316F"/>
    <w:rsid w:val="001E5DD1"/>
    <w:rsid w:val="001E651A"/>
    <w:rsid w:val="00215360"/>
    <w:rsid w:val="00216D65"/>
    <w:rsid w:val="00220DC7"/>
    <w:rsid w:val="00240722"/>
    <w:rsid w:val="002414EB"/>
    <w:rsid w:val="00251A40"/>
    <w:rsid w:val="00254A73"/>
    <w:rsid w:val="002847FC"/>
    <w:rsid w:val="002942EB"/>
    <w:rsid w:val="00297376"/>
    <w:rsid w:val="002A620B"/>
    <w:rsid w:val="002B0ED1"/>
    <w:rsid w:val="002E03AB"/>
    <w:rsid w:val="003054C1"/>
    <w:rsid w:val="00320776"/>
    <w:rsid w:val="00320C69"/>
    <w:rsid w:val="00322EC5"/>
    <w:rsid w:val="00323DDD"/>
    <w:rsid w:val="0032597D"/>
    <w:rsid w:val="003370F7"/>
    <w:rsid w:val="0034018E"/>
    <w:rsid w:val="00355BCD"/>
    <w:rsid w:val="003669C2"/>
    <w:rsid w:val="00367A3A"/>
    <w:rsid w:val="00372E5C"/>
    <w:rsid w:val="00375E3F"/>
    <w:rsid w:val="003A017D"/>
    <w:rsid w:val="003A1A81"/>
    <w:rsid w:val="003A1E13"/>
    <w:rsid w:val="003F5BB4"/>
    <w:rsid w:val="00400724"/>
    <w:rsid w:val="00407FED"/>
    <w:rsid w:val="00436B3A"/>
    <w:rsid w:val="00453BF1"/>
    <w:rsid w:val="004612A0"/>
    <w:rsid w:val="004B31C1"/>
    <w:rsid w:val="004C1FA2"/>
    <w:rsid w:val="00501F17"/>
    <w:rsid w:val="00505778"/>
    <w:rsid w:val="00521711"/>
    <w:rsid w:val="005267EF"/>
    <w:rsid w:val="0054205E"/>
    <w:rsid w:val="00551872"/>
    <w:rsid w:val="00553DF1"/>
    <w:rsid w:val="00560BD1"/>
    <w:rsid w:val="00590418"/>
    <w:rsid w:val="00591249"/>
    <w:rsid w:val="005A2AD1"/>
    <w:rsid w:val="005A5FFA"/>
    <w:rsid w:val="005D05C3"/>
    <w:rsid w:val="005D680A"/>
    <w:rsid w:val="005E0B74"/>
    <w:rsid w:val="005F2AED"/>
    <w:rsid w:val="005F71F1"/>
    <w:rsid w:val="00600357"/>
    <w:rsid w:val="00605ADF"/>
    <w:rsid w:val="00610E54"/>
    <w:rsid w:val="00621237"/>
    <w:rsid w:val="00627219"/>
    <w:rsid w:val="00631CE6"/>
    <w:rsid w:val="00650A7C"/>
    <w:rsid w:val="006570CA"/>
    <w:rsid w:val="00666F92"/>
    <w:rsid w:val="006677A0"/>
    <w:rsid w:val="0066794C"/>
    <w:rsid w:val="00670841"/>
    <w:rsid w:val="00672651"/>
    <w:rsid w:val="00675445"/>
    <w:rsid w:val="006976F2"/>
    <w:rsid w:val="006C269A"/>
    <w:rsid w:val="006C300C"/>
    <w:rsid w:val="006E021B"/>
    <w:rsid w:val="006E2497"/>
    <w:rsid w:val="00704C06"/>
    <w:rsid w:val="0073523C"/>
    <w:rsid w:val="00756B71"/>
    <w:rsid w:val="00764CC9"/>
    <w:rsid w:val="00764E06"/>
    <w:rsid w:val="00777BFA"/>
    <w:rsid w:val="00791F66"/>
    <w:rsid w:val="007B22F0"/>
    <w:rsid w:val="007C3CD3"/>
    <w:rsid w:val="007C3FB5"/>
    <w:rsid w:val="007D0B09"/>
    <w:rsid w:val="00805872"/>
    <w:rsid w:val="00805E15"/>
    <w:rsid w:val="0081462F"/>
    <w:rsid w:val="00833157"/>
    <w:rsid w:val="00846C28"/>
    <w:rsid w:val="00874FF8"/>
    <w:rsid w:val="00882CC6"/>
    <w:rsid w:val="0089198A"/>
    <w:rsid w:val="008C0F71"/>
    <w:rsid w:val="008D3B92"/>
    <w:rsid w:val="008D698F"/>
    <w:rsid w:val="008F28D2"/>
    <w:rsid w:val="008F2F16"/>
    <w:rsid w:val="008F7C25"/>
    <w:rsid w:val="00911135"/>
    <w:rsid w:val="0092794F"/>
    <w:rsid w:val="00930F01"/>
    <w:rsid w:val="00934545"/>
    <w:rsid w:val="009447E3"/>
    <w:rsid w:val="009735DF"/>
    <w:rsid w:val="009A292E"/>
    <w:rsid w:val="009B5E6D"/>
    <w:rsid w:val="009B69D2"/>
    <w:rsid w:val="009D3DE9"/>
    <w:rsid w:val="009D4DD2"/>
    <w:rsid w:val="00A17C3F"/>
    <w:rsid w:val="00A30859"/>
    <w:rsid w:val="00A32791"/>
    <w:rsid w:val="00A32DEE"/>
    <w:rsid w:val="00A33FA2"/>
    <w:rsid w:val="00A52B7E"/>
    <w:rsid w:val="00A57D75"/>
    <w:rsid w:val="00AA5105"/>
    <w:rsid w:val="00AA51A8"/>
    <w:rsid w:val="00AA629B"/>
    <w:rsid w:val="00AB54D4"/>
    <w:rsid w:val="00AB5A4C"/>
    <w:rsid w:val="00AB7DD1"/>
    <w:rsid w:val="00AC0026"/>
    <w:rsid w:val="00AC3508"/>
    <w:rsid w:val="00AE217A"/>
    <w:rsid w:val="00AE38FE"/>
    <w:rsid w:val="00AF3A91"/>
    <w:rsid w:val="00AF656B"/>
    <w:rsid w:val="00B045AE"/>
    <w:rsid w:val="00B059DD"/>
    <w:rsid w:val="00B0617F"/>
    <w:rsid w:val="00B36585"/>
    <w:rsid w:val="00B407E2"/>
    <w:rsid w:val="00B518C6"/>
    <w:rsid w:val="00B53E40"/>
    <w:rsid w:val="00B60A43"/>
    <w:rsid w:val="00B6291C"/>
    <w:rsid w:val="00B83092"/>
    <w:rsid w:val="00B83619"/>
    <w:rsid w:val="00B874D0"/>
    <w:rsid w:val="00BA35CA"/>
    <w:rsid w:val="00C23FB1"/>
    <w:rsid w:val="00C619BE"/>
    <w:rsid w:val="00C75424"/>
    <w:rsid w:val="00CA169C"/>
    <w:rsid w:val="00CA56F4"/>
    <w:rsid w:val="00CC0551"/>
    <w:rsid w:val="00CD6DA5"/>
    <w:rsid w:val="00CE0B7B"/>
    <w:rsid w:val="00CE694D"/>
    <w:rsid w:val="00CE7D6E"/>
    <w:rsid w:val="00CF786D"/>
    <w:rsid w:val="00D12461"/>
    <w:rsid w:val="00D20522"/>
    <w:rsid w:val="00D420DC"/>
    <w:rsid w:val="00D57424"/>
    <w:rsid w:val="00D603D0"/>
    <w:rsid w:val="00D60C6E"/>
    <w:rsid w:val="00D71524"/>
    <w:rsid w:val="00D826C7"/>
    <w:rsid w:val="00D848B3"/>
    <w:rsid w:val="00DB0CF5"/>
    <w:rsid w:val="00DB7B63"/>
    <w:rsid w:val="00DC24E3"/>
    <w:rsid w:val="00DD4123"/>
    <w:rsid w:val="00DF328D"/>
    <w:rsid w:val="00DF7296"/>
    <w:rsid w:val="00E63D2E"/>
    <w:rsid w:val="00E739B4"/>
    <w:rsid w:val="00E837BD"/>
    <w:rsid w:val="00E90AA2"/>
    <w:rsid w:val="00EA0172"/>
    <w:rsid w:val="00EB22FE"/>
    <w:rsid w:val="00EC513E"/>
    <w:rsid w:val="00EC756F"/>
    <w:rsid w:val="00F04D8D"/>
    <w:rsid w:val="00F1151D"/>
    <w:rsid w:val="00F1211F"/>
    <w:rsid w:val="00F124E8"/>
    <w:rsid w:val="00F14B63"/>
    <w:rsid w:val="00F31AD8"/>
    <w:rsid w:val="00F3239C"/>
    <w:rsid w:val="00F32EC1"/>
    <w:rsid w:val="00F671C2"/>
    <w:rsid w:val="00F72CD2"/>
    <w:rsid w:val="00F73BD2"/>
    <w:rsid w:val="00F73F62"/>
    <w:rsid w:val="00F7564A"/>
    <w:rsid w:val="00F87426"/>
    <w:rsid w:val="00F8767B"/>
    <w:rsid w:val="00FB2AF4"/>
    <w:rsid w:val="00FB7769"/>
    <w:rsid w:val="00FD5A92"/>
    <w:rsid w:val="00FE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hapeDefaults>
    <o:shapedefaults v:ext="edit" spidmax="55297"/>
    <o:shapelayout v:ext="edit">
      <o:idmap v:ext="edit" data="1"/>
    </o:shapelayout>
  </w:shapeDefaults>
  <w:decimalSymbol w:val="."/>
  <w:listSeparator w:val=","/>
  <w14:docId w14:val="6C81FE6D"/>
  <w15:chartTrackingRefBased/>
  <w15:docId w15:val="{987D7396-F3B1-48BA-9F31-0A31ECD0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spacing w:line="288" w:lineRule="auto"/>
      <w:ind w:left="-1080"/>
      <w:jc w:val="center"/>
      <w:outlineLvl w:val="2"/>
    </w:pPr>
    <w:rPr>
      <w:rFonts w:ascii="Palatino Linotype" w:hAnsi="Palatino Linotype"/>
      <w:b/>
      <w:bCs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05AD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670841"/>
    <w:rPr>
      <w:rFonts w:ascii="Tahoma" w:hAnsi="Tahoma" w:cs="Tahoma"/>
      <w:sz w:val="16"/>
      <w:szCs w:val="16"/>
    </w:rPr>
  </w:style>
  <w:style w:type="paragraph" w:customStyle="1" w:styleId="FindingsConclusions">
    <w:name w:val="Findings &amp; Conclusions"/>
    <w:basedOn w:val="Normal"/>
    <w:autoRedefine/>
    <w:rsid w:val="00CF786D"/>
    <w:pPr>
      <w:numPr>
        <w:numId w:val="14"/>
      </w:numPr>
      <w:spacing w:line="288" w:lineRule="auto"/>
    </w:pPr>
  </w:style>
  <w:style w:type="paragraph" w:styleId="FootnoteText">
    <w:name w:val="footnote text"/>
    <w:basedOn w:val="Normal"/>
    <w:semiHidden/>
    <w:rsid w:val="0034018E"/>
    <w:rPr>
      <w:sz w:val="20"/>
      <w:szCs w:val="20"/>
    </w:rPr>
  </w:style>
  <w:style w:type="character" w:styleId="FootnoteReference">
    <w:name w:val="footnote reference"/>
    <w:semiHidden/>
    <w:rsid w:val="0034018E"/>
    <w:rPr>
      <w:vertAlign w:val="superscript"/>
    </w:rPr>
  </w:style>
  <w:style w:type="character" w:styleId="Hyperlink">
    <w:name w:val="Hyperlink"/>
    <w:rsid w:val="00B0617F"/>
    <w:rPr>
      <w:color w:val="0000FF"/>
      <w:u w:val="none"/>
    </w:rPr>
  </w:style>
  <w:style w:type="character" w:styleId="FollowedHyperlink">
    <w:name w:val="FollowedHyperlink"/>
    <w:rsid w:val="00B0617F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323DDD"/>
    <w:pPr>
      <w:ind w:left="720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605A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605AD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rsid w:val="00930F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0F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30F01"/>
  </w:style>
  <w:style w:type="paragraph" w:styleId="CommentSubject">
    <w:name w:val="annotation subject"/>
    <w:basedOn w:val="CommentText"/>
    <w:next w:val="CommentText"/>
    <w:link w:val="CommentSubjectChar"/>
    <w:rsid w:val="00930F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30F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6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UTCFS2\GRP_Data\UTIL\Migrated-WATER\COMPANY%20FILINGS\1%20Short%20Term\Iliad%20companies\2015\150688%20Merger\Iliad%20Water%20Services%20Merger%20-%20UW-15068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Application for Transfer</CaseType>
    <IndustryCode xmlns="dc463f71-b30c-4ab2-9473-d307f9d35888">160</IndustryCode>
    <CaseStatus xmlns="dc463f71-b30c-4ab2-9473-d307f9d35888">Closed</CaseStatus>
    <OpenedDate xmlns="dc463f71-b30c-4ab2-9473-d307f9d35888">2016-05-31T07:00:00+00:00</OpenedDate>
    <Date1 xmlns="dc463f71-b30c-4ab2-9473-d307f9d35888">2016-06-23T07:00:00+00:00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Iliad Water Service, Inc.</CaseCompanyNames>
    <DocketNumber xmlns="dc463f71-b30c-4ab2-9473-d307f9d35888">160784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0E011695C80F449A276EC9916B5A0A0" ma:contentTypeVersion="104" ma:contentTypeDescription="" ma:contentTypeScope="" ma:versionID="75e1e3dba71c153463d9063b44b792d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5FE596-4DC1-4C22-9818-2DB0441F9CF9}"/>
</file>

<file path=customXml/itemProps2.xml><?xml version="1.0" encoding="utf-8"?>
<ds:datastoreItem xmlns:ds="http://schemas.openxmlformats.org/officeDocument/2006/customXml" ds:itemID="{024B166E-9D7F-47F7-B5D1-A09A61EC6D40}"/>
</file>

<file path=customXml/itemProps3.xml><?xml version="1.0" encoding="utf-8"?>
<ds:datastoreItem xmlns:ds="http://schemas.openxmlformats.org/officeDocument/2006/customXml" ds:itemID="{82A35229-6C64-473E-A8C9-DD680F245D49}"/>
</file>

<file path=customXml/itemProps4.xml><?xml version="1.0" encoding="utf-8"?>
<ds:datastoreItem xmlns:ds="http://schemas.openxmlformats.org/officeDocument/2006/customXml" ds:itemID="{16BD9AF9-22A9-47BE-AE92-A1B4A3C9FA23}"/>
</file>

<file path=customXml/itemProps5.xml><?xml version="1.0" encoding="utf-8"?>
<ds:datastoreItem xmlns:ds="http://schemas.openxmlformats.org/officeDocument/2006/customXml" ds:itemID="{4227BD7D-11E5-4EC9-812F-F96E96B2CE65}"/>
</file>

<file path=docProps/app.xml><?xml version="1.0" encoding="utf-8"?>
<Properties xmlns="http://schemas.openxmlformats.org/officeDocument/2006/extended-properties" xmlns:vt="http://schemas.openxmlformats.org/officeDocument/2006/docPropsVTypes">
  <Template>Iliad Water Services Merger - UW-150688</Template>
  <TotalTime>0</TotalTime>
  <Pages>5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Iliad Water Service - order to approve</vt:lpstr>
    </vt:vector>
  </TitlesOfParts>
  <Company/>
  <LinksUpToDate>false</LinksUpToDate>
  <CharactersWithSpaces>7031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Iliad Water Service - order to approve</dc:title>
  <dc:subject/>
  <dc:creator>DP Kermode</dc:creator>
  <cp:keywords/>
  <dc:description/>
  <cp:lastModifiedBy>Kern, Cathy (UTC)</cp:lastModifiedBy>
  <cp:revision>2</cp:revision>
  <dcterms:created xsi:type="dcterms:W3CDTF">2016-06-22T23:22:00Z</dcterms:created>
  <dcterms:modified xsi:type="dcterms:W3CDTF">2016-06-22T23:22:00Z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0x0101006E56B4D1795A2E4DB2F0B01679ED314A0060E011695C80F449A276EC9916B5A0A0</vt:lpwstr>
  </property>
  <property fmtid="{D5CDD505-2E9C-101B-9397-08002B2CF9AE}" pid="3" name="_docset_NoMedatataSyncRequired">
    <vt:lpwstr>False</vt:lpwstr>
  </property>
</Properties>
</file>