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590A03A8" w:rsidR="006C48F0" w:rsidRPr="00CE2ACB" w:rsidRDefault="006C48F0" w:rsidP="00BB4D74">
      <w:pPr>
        <w:spacing w:line="288" w:lineRule="auto"/>
        <w:jc w:val="center"/>
        <w:rPr>
          <w:b/>
        </w:rPr>
      </w:pPr>
      <w:r w:rsidRPr="00CE2ACB">
        <w:rPr>
          <w:b/>
        </w:rPr>
        <w:t>BEFORE THE WASHINGTON</w:t>
      </w:r>
    </w:p>
    <w:p w14:paraId="1C9BD868" w14:textId="77777777" w:rsidR="006C48F0" w:rsidRPr="00CE2ACB" w:rsidRDefault="006C48F0" w:rsidP="00BB4D74">
      <w:pPr>
        <w:pStyle w:val="BodyText"/>
        <w:spacing w:line="288" w:lineRule="auto"/>
        <w:rPr>
          <w:b/>
          <w:bCs/>
        </w:rPr>
      </w:pPr>
      <w:r w:rsidRPr="00CE2ACB">
        <w:rPr>
          <w:b/>
          <w:bCs/>
        </w:rPr>
        <w:t>UTILITIES AND TRANSPORTATION COMMISSION</w:t>
      </w:r>
    </w:p>
    <w:p w14:paraId="54415010" w14:textId="77777777" w:rsidR="00D32478" w:rsidRPr="00CE2ACB" w:rsidRDefault="00D32478" w:rsidP="00BB4D74">
      <w:pPr>
        <w:spacing w:line="288" w:lineRule="auto"/>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CE2ACB" w14:paraId="25FF6146" w14:textId="77777777" w:rsidTr="00B47CF3">
        <w:tc>
          <w:tcPr>
            <w:tcW w:w="4308" w:type="dxa"/>
          </w:tcPr>
          <w:p w14:paraId="68A94981" w14:textId="77777777" w:rsidR="006640FE" w:rsidRPr="00CE2ACB" w:rsidRDefault="006640FE" w:rsidP="00BB4D74">
            <w:pPr>
              <w:keepLines/>
              <w:spacing w:line="288" w:lineRule="auto"/>
            </w:pPr>
            <w:r w:rsidRPr="00CE2ACB">
              <w:rPr>
                <w:caps/>
              </w:rPr>
              <w:t>Washington Utilities and Transportation Commission</w:t>
            </w:r>
            <w:r w:rsidRPr="00CE2ACB">
              <w:t>,</w:t>
            </w:r>
          </w:p>
          <w:p w14:paraId="4175D5F2" w14:textId="77777777" w:rsidR="006640FE" w:rsidRPr="00CE2ACB" w:rsidRDefault="006640FE" w:rsidP="00BB4D74">
            <w:pPr>
              <w:keepLines/>
              <w:spacing w:line="288" w:lineRule="auto"/>
            </w:pPr>
          </w:p>
          <w:p w14:paraId="609D76F5" w14:textId="77777777" w:rsidR="006640FE" w:rsidRPr="00CE2ACB" w:rsidRDefault="006640FE" w:rsidP="00BB4D74">
            <w:pPr>
              <w:keepLines/>
              <w:tabs>
                <w:tab w:val="left" w:pos="2100"/>
              </w:tabs>
              <w:spacing w:line="288" w:lineRule="auto"/>
            </w:pPr>
            <w:r w:rsidRPr="00CE2ACB">
              <w:tab/>
              <w:t>Complainant,</w:t>
            </w:r>
          </w:p>
          <w:p w14:paraId="13E9913D" w14:textId="77777777" w:rsidR="006640FE" w:rsidRPr="00CE2ACB" w:rsidRDefault="006640FE" w:rsidP="00BB4D74">
            <w:pPr>
              <w:keepLines/>
              <w:spacing w:line="288" w:lineRule="auto"/>
            </w:pPr>
          </w:p>
          <w:p w14:paraId="02758AC9" w14:textId="77777777" w:rsidR="006640FE" w:rsidRPr="00CE2ACB" w:rsidRDefault="006640FE" w:rsidP="00BB4D74">
            <w:pPr>
              <w:keepLines/>
              <w:spacing w:line="288" w:lineRule="auto"/>
            </w:pPr>
            <w:r w:rsidRPr="00CE2ACB">
              <w:t>v.</w:t>
            </w:r>
          </w:p>
          <w:p w14:paraId="7259E847" w14:textId="77777777" w:rsidR="006640FE" w:rsidRPr="00CE2ACB" w:rsidRDefault="006640FE" w:rsidP="00BB4D74">
            <w:pPr>
              <w:keepLines/>
              <w:spacing w:line="288" w:lineRule="auto"/>
            </w:pPr>
          </w:p>
          <w:p w14:paraId="7E30F2E3" w14:textId="4BA1F9AF" w:rsidR="006640FE" w:rsidRPr="00CE2ACB" w:rsidRDefault="00CE2ACB" w:rsidP="00BB4D74">
            <w:pPr>
              <w:autoSpaceDE w:val="0"/>
              <w:autoSpaceDN w:val="0"/>
              <w:adjustRightInd w:val="0"/>
              <w:spacing w:line="288" w:lineRule="auto"/>
              <w:rPr>
                <w:caps/>
                <w:color w:val="000000"/>
              </w:rPr>
            </w:pPr>
            <w:r w:rsidRPr="00CE2ACB">
              <w:rPr>
                <w:caps/>
              </w:rPr>
              <w:t>TOPSOILS INC. d/b/a united recycling &amp; container</w:t>
            </w:r>
            <w:r w:rsidR="006640FE" w:rsidRPr="00CE2ACB">
              <w:rPr>
                <w:caps/>
                <w:color w:val="000000"/>
              </w:rPr>
              <w:t xml:space="preserve">, </w:t>
            </w:r>
          </w:p>
          <w:p w14:paraId="36E2F26A" w14:textId="77777777" w:rsidR="006640FE" w:rsidRPr="00CE2ACB" w:rsidRDefault="006640FE" w:rsidP="00BB4D74">
            <w:pPr>
              <w:pStyle w:val="Header"/>
              <w:keepLines/>
              <w:tabs>
                <w:tab w:val="clear" w:pos="4320"/>
                <w:tab w:val="clear" w:pos="8640"/>
              </w:tabs>
              <w:spacing w:line="288" w:lineRule="auto"/>
            </w:pPr>
          </w:p>
          <w:p w14:paraId="3B7AA167" w14:textId="77777777" w:rsidR="006640FE" w:rsidRPr="00CE2ACB" w:rsidRDefault="006640FE" w:rsidP="00BB4D74">
            <w:pPr>
              <w:keepLines/>
              <w:spacing w:line="288" w:lineRule="auto"/>
            </w:pPr>
            <w:r w:rsidRPr="00CE2ACB">
              <w:tab/>
            </w:r>
            <w:r w:rsidRPr="00CE2ACB">
              <w:tab/>
            </w:r>
            <w:r w:rsidRPr="00CE2ACB">
              <w:tab/>
              <w:t>Respondent.</w:t>
            </w:r>
          </w:p>
          <w:p w14:paraId="6A8EBE89" w14:textId="77777777" w:rsidR="006C48F0" w:rsidRPr="00CE2ACB" w:rsidRDefault="006C48F0" w:rsidP="00BB4D74">
            <w:pPr>
              <w:spacing w:line="288" w:lineRule="auto"/>
            </w:pPr>
            <w:r w:rsidRPr="00CE2ACB">
              <w:t xml:space="preserve">. . . . . . . . . . . . . . . . . . . . . . . . . . . . . . . . . </w:t>
            </w:r>
          </w:p>
        </w:tc>
        <w:tc>
          <w:tcPr>
            <w:tcW w:w="300" w:type="dxa"/>
          </w:tcPr>
          <w:p w14:paraId="013090F9" w14:textId="77777777" w:rsidR="006C48F0" w:rsidRPr="00CE2ACB" w:rsidRDefault="006C48F0" w:rsidP="00BB4D74">
            <w:pPr>
              <w:spacing w:line="288" w:lineRule="auto"/>
            </w:pPr>
            <w:r w:rsidRPr="00CE2ACB">
              <w:t>)</w:t>
            </w:r>
          </w:p>
          <w:p w14:paraId="3F3655F5" w14:textId="77777777" w:rsidR="006C48F0" w:rsidRPr="00CE2ACB" w:rsidRDefault="006C48F0" w:rsidP="00BB4D74">
            <w:pPr>
              <w:spacing w:line="288" w:lineRule="auto"/>
            </w:pPr>
            <w:r w:rsidRPr="00CE2ACB">
              <w:t>)</w:t>
            </w:r>
          </w:p>
          <w:p w14:paraId="228C6602" w14:textId="77777777" w:rsidR="006C48F0" w:rsidRPr="00CE2ACB" w:rsidRDefault="006C48F0" w:rsidP="00BB4D74">
            <w:pPr>
              <w:spacing w:line="288" w:lineRule="auto"/>
            </w:pPr>
            <w:r w:rsidRPr="00CE2ACB">
              <w:t>)</w:t>
            </w:r>
          </w:p>
          <w:p w14:paraId="7F321D09" w14:textId="77777777" w:rsidR="006C48F0" w:rsidRPr="00CE2ACB" w:rsidRDefault="006C48F0" w:rsidP="00BB4D74">
            <w:pPr>
              <w:spacing w:line="288" w:lineRule="auto"/>
            </w:pPr>
            <w:r w:rsidRPr="00CE2ACB">
              <w:t>)</w:t>
            </w:r>
          </w:p>
          <w:p w14:paraId="4090D8F5" w14:textId="77777777" w:rsidR="006C48F0" w:rsidRPr="00CE2ACB" w:rsidRDefault="006C48F0" w:rsidP="00BB4D74">
            <w:pPr>
              <w:spacing w:line="288" w:lineRule="auto"/>
            </w:pPr>
            <w:r w:rsidRPr="00CE2ACB">
              <w:t>)</w:t>
            </w:r>
          </w:p>
          <w:p w14:paraId="0FDFFE0E" w14:textId="77777777" w:rsidR="006C48F0" w:rsidRPr="00CE2ACB" w:rsidRDefault="006C48F0" w:rsidP="00BB4D74">
            <w:pPr>
              <w:spacing w:line="288" w:lineRule="auto"/>
            </w:pPr>
            <w:r w:rsidRPr="00CE2ACB">
              <w:t>)</w:t>
            </w:r>
          </w:p>
          <w:p w14:paraId="1F222AC4" w14:textId="77777777" w:rsidR="006C48F0" w:rsidRPr="00CE2ACB" w:rsidRDefault="006C48F0" w:rsidP="00BB4D74">
            <w:pPr>
              <w:spacing w:line="288" w:lineRule="auto"/>
            </w:pPr>
            <w:r w:rsidRPr="00CE2ACB">
              <w:t>)</w:t>
            </w:r>
          </w:p>
          <w:p w14:paraId="7CCF6635" w14:textId="77777777" w:rsidR="006C48F0" w:rsidRPr="00CE2ACB" w:rsidRDefault="006C48F0" w:rsidP="00BB4D74">
            <w:pPr>
              <w:spacing w:line="288" w:lineRule="auto"/>
            </w:pPr>
            <w:r w:rsidRPr="00CE2ACB">
              <w:t>)</w:t>
            </w:r>
          </w:p>
          <w:p w14:paraId="465149E8" w14:textId="77777777" w:rsidR="00CC764F" w:rsidRPr="00CE2ACB" w:rsidRDefault="006640FE" w:rsidP="00BB4D74">
            <w:pPr>
              <w:spacing w:line="288" w:lineRule="auto"/>
            </w:pPr>
            <w:r w:rsidRPr="00CE2ACB">
              <w:t>)</w:t>
            </w:r>
          </w:p>
          <w:p w14:paraId="7A3A3659" w14:textId="77777777" w:rsidR="006640FE" w:rsidRPr="00CE2ACB" w:rsidRDefault="006640FE" w:rsidP="00BB4D74">
            <w:pPr>
              <w:spacing w:line="288" w:lineRule="auto"/>
            </w:pPr>
            <w:r w:rsidRPr="00CE2ACB">
              <w:t>)</w:t>
            </w:r>
          </w:p>
          <w:p w14:paraId="19874C3E" w14:textId="77777777" w:rsidR="00A37402" w:rsidRPr="00CE2ACB" w:rsidRDefault="00A37402" w:rsidP="00BB4D74">
            <w:pPr>
              <w:spacing w:line="288" w:lineRule="auto"/>
            </w:pPr>
            <w:r w:rsidRPr="00CE2ACB">
              <w:t>)</w:t>
            </w:r>
          </w:p>
          <w:p w14:paraId="378D2272" w14:textId="0BE1F8CD" w:rsidR="00A37402" w:rsidRPr="00CE2ACB" w:rsidRDefault="00B47CF3" w:rsidP="00BB4D74">
            <w:pPr>
              <w:spacing w:line="288" w:lineRule="auto"/>
            </w:pPr>
            <w:r>
              <w:t>)</w:t>
            </w:r>
          </w:p>
        </w:tc>
        <w:tc>
          <w:tcPr>
            <w:tcW w:w="4288" w:type="dxa"/>
          </w:tcPr>
          <w:p w14:paraId="3C6F4F19" w14:textId="57E54B9C" w:rsidR="006C48F0" w:rsidRPr="00CE2ACB" w:rsidRDefault="006C48F0" w:rsidP="00BB4D74">
            <w:pPr>
              <w:spacing w:line="288" w:lineRule="auto"/>
              <w:ind w:left="192"/>
            </w:pPr>
            <w:r w:rsidRPr="00CE2ACB">
              <w:t xml:space="preserve">DOCKET </w:t>
            </w:r>
            <w:r w:rsidR="00A37402" w:rsidRPr="00CE2ACB">
              <w:t>TG</w:t>
            </w:r>
            <w:r w:rsidR="006640FE" w:rsidRPr="00CE2ACB">
              <w:t>-1</w:t>
            </w:r>
            <w:r w:rsidR="00CE2ACB" w:rsidRPr="00CE2ACB">
              <w:t>50233</w:t>
            </w:r>
          </w:p>
          <w:p w14:paraId="153A4A33" w14:textId="77777777" w:rsidR="0094070D" w:rsidRPr="00CE2ACB" w:rsidRDefault="0094070D" w:rsidP="00BB4D74">
            <w:pPr>
              <w:spacing w:line="288" w:lineRule="auto"/>
              <w:ind w:left="192"/>
            </w:pPr>
          </w:p>
          <w:p w14:paraId="783D5161" w14:textId="77777777" w:rsidR="00415CCC" w:rsidRPr="00CE2ACB" w:rsidRDefault="00415CCC" w:rsidP="00BB4D74">
            <w:pPr>
              <w:spacing w:line="288" w:lineRule="auto"/>
              <w:ind w:left="192"/>
            </w:pPr>
          </w:p>
          <w:p w14:paraId="6367E1AF" w14:textId="0371087B" w:rsidR="006C48F0" w:rsidRPr="00CE2ACB" w:rsidRDefault="006C48F0" w:rsidP="00BB4D74">
            <w:pPr>
              <w:spacing w:line="288" w:lineRule="auto"/>
              <w:ind w:left="192"/>
            </w:pPr>
            <w:r w:rsidRPr="00CE2ACB">
              <w:t>ORDER 0</w:t>
            </w:r>
            <w:r w:rsidR="00CE2ACB" w:rsidRPr="00CE2ACB">
              <w:t>3</w:t>
            </w:r>
          </w:p>
          <w:p w14:paraId="2349E2B3" w14:textId="77777777" w:rsidR="0094070D" w:rsidRDefault="0094070D" w:rsidP="00BB4D74">
            <w:pPr>
              <w:spacing w:line="288" w:lineRule="auto"/>
              <w:ind w:left="192"/>
            </w:pPr>
          </w:p>
          <w:p w14:paraId="08DE7E49" w14:textId="77777777" w:rsidR="00BB4D74" w:rsidRPr="00CE2ACB" w:rsidRDefault="00BB4D74" w:rsidP="00BB4D74">
            <w:pPr>
              <w:spacing w:line="288" w:lineRule="auto"/>
              <w:ind w:left="192"/>
            </w:pPr>
          </w:p>
          <w:p w14:paraId="648AA49F" w14:textId="77777777" w:rsidR="006C48F0" w:rsidRPr="00CE2ACB" w:rsidRDefault="006C48F0" w:rsidP="00BB4D74">
            <w:pPr>
              <w:spacing w:line="288" w:lineRule="auto"/>
              <w:ind w:left="192"/>
              <w:rPr>
                <w:b/>
                <w:bCs/>
              </w:rPr>
            </w:pPr>
          </w:p>
          <w:p w14:paraId="35DA5F6C" w14:textId="77777777" w:rsidR="006C48F0" w:rsidRPr="00CE2ACB" w:rsidRDefault="00F26FCC" w:rsidP="00BB4D74">
            <w:pPr>
              <w:spacing w:line="288" w:lineRule="auto"/>
              <w:ind w:left="192"/>
            </w:pPr>
            <w:r w:rsidRPr="00CE2ACB">
              <w:t xml:space="preserve">INITIAL </w:t>
            </w:r>
            <w:r w:rsidR="00317165" w:rsidRPr="00CE2ACB">
              <w:t xml:space="preserve">ORDER </w:t>
            </w:r>
            <w:r w:rsidRPr="00CE2ACB">
              <w:t>APPROVING SETTLEMENT AGREEMENT</w:t>
            </w:r>
            <w:r w:rsidR="00C84EFC" w:rsidRPr="00CE2ACB">
              <w:t xml:space="preserve"> </w:t>
            </w:r>
          </w:p>
          <w:p w14:paraId="158B8F26" w14:textId="77777777" w:rsidR="00603378" w:rsidRPr="00CE2ACB" w:rsidRDefault="00603378" w:rsidP="00BB4D74">
            <w:pPr>
              <w:spacing w:line="288" w:lineRule="auto"/>
              <w:ind w:left="192"/>
              <w:rPr>
                <w:b/>
              </w:rPr>
            </w:pPr>
          </w:p>
        </w:tc>
      </w:tr>
    </w:tbl>
    <w:p w14:paraId="5143844F" w14:textId="77777777" w:rsidR="00C41DF9" w:rsidRPr="00CE2ACB" w:rsidRDefault="00C41DF9" w:rsidP="00BB4D74">
      <w:pPr>
        <w:spacing w:line="288" w:lineRule="auto"/>
      </w:pPr>
    </w:p>
    <w:p w14:paraId="2637A849" w14:textId="77777777" w:rsidR="002851A4" w:rsidRPr="00CE2ACB" w:rsidRDefault="002851A4" w:rsidP="00BB4D74">
      <w:pPr>
        <w:spacing w:line="288" w:lineRule="auto"/>
        <w:jc w:val="center"/>
        <w:rPr>
          <w:b/>
        </w:rPr>
      </w:pPr>
      <w:r w:rsidRPr="00CE2ACB">
        <w:rPr>
          <w:b/>
        </w:rPr>
        <w:t>BACKGROUND</w:t>
      </w:r>
    </w:p>
    <w:p w14:paraId="403FCD57" w14:textId="77777777" w:rsidR="002851A4" w:rsidRPr="00CE2ACB" w:rsidRDefault="002851A4" w:rsidP="00BB4D74">
      <w:pPr>
        <w:spacing w:line="288" w:lineRule="auto"/>
      </w:pPr>
    </w:p>
    <w:p w14:paraId="6AB54DC2" w14:textId="7C41543F" w:rsidR="00D96159" w:rsidRPr="00CE2ACB" w:rsidRDefault="006C48F0" w:rsidP="00BB4D74">
      <w:pPr>
        <w:numPr>
          <w:ilvl w:val="0"/>
          <w:numId w:val="10"/>
        </w:numPr>
        <w:spacing w:line="288" w:lineRule="auto"/>
        <w:ind w:hanging="720"/>
      </w:pPr>
      <w:r w:rsidRPr="00CE2ACB">
        <w:t xml:space="preserve">On </w:t>
      </w:r>
      <w:r w:rsidR="00CE2ACB" w:rsidRPr="00CE2ACB">
        <w:t>April 9, 2015</w:t>
      </w:r>
      <w:r w:rsidR="00A213B7" w:rsidRPr="00CE2ACB">
        <w:t xml:space="preserve">, the </w:t>
      </w:r>
      <w:r w:rsidR="00E31BE9" w:rsidRPr="00CE2ACB">
        <w:t xml:space="preserve">Washington Utilities and Transportation </w:t>
      </w:r>
      <w:r w:rsidR="00DB2066" w:rsidRPr="00CE2ACB">
        <w:t xml:space="preserve">Commission </w:t>
      </w:r>
      <w:r w:rsidR="00E31BE9" w:rsidRPr="00CE2ACB">
        <w:t>(Commission)</w:t>
      </w:r>
      <w:r w:rsidR="00776F97" w:rsidRPr="00CE2ACB">
        <w:t>,</w:t>
      </w:r>
      <w:r w:rsidR="00503CF0" w:rsidRPr="00CE2ACB">
        <w:t xml:space="preserve"> entered Order 01, O</w:t>
      </w:r>
      <w:bookmarkStart w:id="0" w:name="_GoBack"/>
      <w:bookmarkEnd w:id="0"/>
      <w:r w:rsidR="00503CF0" w:rsidRPr="00CE2ACB">
        <w:t xml:space="preserve">rder Instituting Special Proceeding and Notice of Hearing; Complaint Seeking to Impose Penalties, </w:t>
      </w:r>
      <w:r w:rsidR="001657C6" w:rsidRPr="00CE2ACB">
        <w:t>and Notice of Hearing pursuant to RCW 81.04.510, initiating this docket on its own motion</w:t>
      </w:r>
      <w:r w:rsidR="00503CF0" w:rsidRPr="00CE2ACB">
        <w:t xml:space="preserve">. </w:t>
      </w:r>
      <w:r w:rsidR="001657C6" w:rsidRPr="00CE2ACB">
        <w:t>The Complaint alleges that</w:t>
      </w:r>
      <w:r w:rsidR="00503CF0" w:rsidRPr="00CE2ACB">
        <w:t xml:space="preserve"> </w:t>
      </w:r>
      <w:r w:rsidR="00CE2ACB" w:rsidRPr="00CE2ACB">
        <w:t>Topsoils Inc. d/b/a United Recycling &amp; Container</w:t>
      </w:r>
      <w:r w:rsidR="00F6641A">
        <w:rPr>
          <w:rStyle w:val="FootnoteReference"/>
        </w:rPr>
        <w:footnoteReference w:id="1"/>
      </w:r>
      <w:r w:rsidR="00503CF0" w:rsidRPr="00CE2ACB">
        <w:t xml:space="preserve"> (</w:t>
      </w:r>
      <w:r w:rsidR="00CE2ACB" w:rsidRPr="00CE2ACB">
        <w:t>United Recycling</w:t>
      </w:r>
      <w:r w:rsidR="00503CF0" w:rsidRPr="00CE2ACB">
        <w:t xml:space="preserve"> or Company) violated RCW 81.77.040 </w:t>
      </w:r>
      <w:r w:rsidR="00CE2ACB" w:rsidRPr="00CE2ACB">
        <w:t>two</w:t>
      </w:r>
      <w:r w:rsidR="00503CF0" w:rsidRPr="00CE2ACB">
        <w:t xml:space="preserve"> times by </w:t>
      </w:r>
      <w:r w:rsidR="00CE2ACB" w:rsidRPr="00CE2ACB">
        <w:t xml:space="preserve">advertising and offering to </w:t>
      </w:r>
      <w:r w:rsidR="00503CF0" w:rsidRPr="00CE2ACB">
        <w:t>haul solid waste for compensation without first having obtained from the Commission a certificate of pu</w:t>
      </w:r>
      <w:r w:rsidR="00CE2ACB" w:rsidRPr="00CE2ACB">
        <w:t>blic convenience and necessity.</w:t>
      </w:r>
      <w:r w:rsidR="00503CF0" w:rsidRPr="00CE2ACB">
        <w:t xml:space="preserve"> </w:t>
      </w:r>
      <w:r w:rsidR="001657C6" w:rsidRPr="00CE2ACB">
        <w:t xml:space="preserve">The Commission issued a </w:t>
      </w:r>
      <w:r w:rsidR="001657C6" w:rsidRPr="00CE2ACB">
        <w:rPr>
          <w:i/>
        </w:rPr>
        <w:t xml:space="preserve">Subpoena and Subpoenas Duces Tecum for Production of Documents </w:t>
      </w:r>
      <w:r w:rsidR="001657C6" w:rsidRPr="00CE2ACB">
        <w:t xml:space="preserve">(Subpoenas) to the Company requiring </w:t>
      </w:r>
      <w:r w:rsidR="00CE2ACB" w:rsidRPr="00CE2ACB">
        <w:t xml:space="preserve">United Recycling </w:t>
      </w:r>
      <w:r w:rsidR="001657C6" w:rsidRPr="00CE2ACB">
        <w:t>to appear before the Commission at a special proceeding on</w:t>
      </w:r>
      <w:r w:rsidR="00503CF0" w:rsidRPr="00CE2ACB">
        <w:t xml:space="preserve"> </w:t>
      </w:r>
      <w:r w:rsidR="00CE2ACB">
        <w:t>May 29</w:t>
      </w:r>
      <w:r w:rsidR="00503CF0" w:rsidRPr="00CE2ACB">
        <w:t>, 2015</w:t>
      </w:r>
      <w:r w:rsidR="00C23C7E" w:rsidRPr="00CE2ACB">
        <w:t>,</w:t>
      </w:r>
      <w:r w:rsidR="00CE2ACB">
        <w:t xml:space="preserve"> at 9:30 a.m.,</w:t>
      </w:r>
      <w:r w:rsidR="00C23C7E" w:rsidRPr="00CE2ACB">
        <w:t xml:space="preserve"> and to bring the documents specified in the Subpoenas</w:t>
      </w:r>
      <w:r w:rsidR="00503CF0" w:rsidRPr="00CE2ACB">
        <w:t xml:space="preserve">.  </w:t>
      </w:r>
      <w:r w:rsidR="00E814B6" w:rsidRPr="00CE2ACB">
        <w:br/>
      </w:r>
    </w:p>
    <w:p w14:paraId="63CF2754" w14:textId="34E16BAA" w:rsidR="00C23C7E" w:rsidRDefault="00E814B6" w:rsidP="00BB4D74">
      <w:pPr>
        <w:numPr>
          <w:ilvl w:val="0"/>
          <w:numId w:val="10"/>
        </w:numPr>
        <w:tabs>
          <w:tab w:val="clear" w:pos="0"/>
          <w:tab w:val="num" w:pos="720"/>
        </w:tabs>
        <w:spacing w:line="288" w:lineRule="auto"/>
        <w:ind w:hanging="720"/>
      </w:pPr>
      <w:r w:rsidRPr="00CE2ACB">
        <w:lastRenderedPageBreak/>
        <w:t xml:space="preserve">On </w:t>
      </w:r>
      <w:r w:rsidR="00CE2ACB">
        <w:t>April 22</w:t>
      </w:r>
      <w:r w:rsidR="00503CF0" w:rsidRPr="00CE2ACB">
        <w:t>, 2015</w:t>
      </w:r>
      <w:r w:rsidR="00602D0D" w:rsidRPr="00CE2ACB">
        <w:t xml:space="preserve">, </w:t>
      </w:r>
      <w:r w:rsidR="00E31BE9" w:rsidRPr="00CE2ACB">
        <w:t>the Commission’s regulatory staff (</w:t>
      </w:r>
      <w:r w:rsidRPr="00CE2ACB">
        <w:t>Staff</w:t>
      </w:r>
      <w:r w:rsidR="00E31BE9" w:rsidRPr="00CE2ACB">
        <w:t>)</w:t>
      </w:r>
      <w:r w:rsidR="00E31BE9" w:rsidRPr="00CE2ACB">
        <w:rPr>
          <w:rStyle w:val="FootnoteReference"/>
          <w:bCs/>
        </w:rPr>
        <w:footnoteReference w:id="2"/>
      </w:r>
      <w:r w:rsidR="00E31BE9" w:rsidRPr="00CE2ACB">
        <w:t xml:space="preserve"> </w:t>
      </w:r>
      <w:r w:rsidR="00602D0D" w:rsidRPr="00CE2ACB">
        <w:t xml:space="preserve">notified the Commission that </w:t>
      </w:r>
      <w:r w:rsidR="00CE57E3" w:rsidRPr="00CE2ACB">
        <w:t xml:space="preserve">the parties had reached </w:t>
      </w:r>
      <w:r w:rsidR="00602D0D" w:rsidRPr="00CE2ACB">
        <w:t>a settlement in principle</w:t>
      </w:r>
      <w:r w:rsidR="00CE2ACB">
        <w:t>. On May 19</w:t>
      </w:r>
      <w:r w:rsidR="00503CF0" w:rsidRPr="00CE2ACB">
        <w:t>, 2015,</w:t>
      </w:r>
      <w:r w:rsidR="00602D0D" w:rsidRPr="00CE2ACB">
        <w:t xml:space="preserve"> Staff </w:t>
      </w:r>
      <w:r w:rsidR="00FA0A8F" w:rsidRPr="00CE2ACB">
        <w:t xml:space="preserve">filed a </w:t>
      </w:r>
      <w:r w:rsidR="00D10D07" w:rsidRPr="00CE2ACB">
        <w:t>se</w:t>
      </w:r>
      <w:r w:rsidRPr="00CE2ACB">
        <w:t xml:space="preserve">ttlement </w:t>
      </w:r>
      <w:r w:rsidR="00D10D07" w:rsidRPr="00CE2ACB">
        <w:t>a</w:t>
      </w:r>
      <w:r w:rsidR="00FA0A8F" w:rsidRPr="00CE2ACB">
        <w:t xml:space="preserve">greement on behalf of the parties </w:t>
      </w:r>
      <w:r w:rsidR="00D10D07" w:rsidRPr="00CE2ACB">
        <w:t>(Settlement Agreement)</w:t>
      </w:r>
      <w:r w:rsidR="00B2030A" w:rsidRPr="00CE2ACB">
        <w:t xml:space="preserve">.  </w:t>
      </w:r>
    </w:p>
    <w:p w14:paraId="357336A0" w14:textId="77777777" w:rsidR="00BB4D74" w:rsidRPr="00CE2ACB" w:rsidRDefault="00BB4D74" w:rsidP="00BB4D74">
      <w:pPr>
        <w:spacing w:line="288" w:lineRule="auto"/>
      </w:pPr>
    </w:p>
    <w:p w14:paraId="7BF58911" w14:textId="78EC8028" w:rsidR="009A6407" w:rsidRDefault="001657C6" w:rsidP="00BB4D74">
      <w:pPr>
        <w:numPr>
          <w:ilvl w:val="0"/>
          <w:numId w:val="10"/>
        </w:numPr>
        <w:tabs>
          <w:tab w:val="clear" w:pos="0"/>
          <w:tab w:val="num" w:pos="720"/>
        </w:tabs>
        <w:spacing w:line="288" w:lineRule="auto"/>
        <w:ind w:hanging="720"/>
      </w:pPr>
      <w:r w:rsidRPr="00CE2ACB">
        <w:t>As part of the settlement</w:t>
      </w:r>
      <w:r w:rsidR="004E752F" w:rsidRPr="00CE2ACB">
        <w:t xml:space="preserve">, </w:t>
      </w:r>
      <w:r w:rsidR="00CE2ACB" w:rsidRPr="00CE2ACB">
        <w:t xml:space="preserve">United Recycling </w:t>
      </w:r>
      <w:r w:rsidR="004E752F" w:rsidRPr="00CE2ACB">
        <w:t xml:space="preserve">admits that it violated </w:t>
      </w:r>
      <w:r w:rsidR="003614B1" w:rsidRPr="00CE2ACB">
        <w:t xml:space="preserve">RCW 81.77.040 on </w:t>
      </w:r>
      <w:r w:rsidR="00CE2ACB">
        <w:t>two</w:t>
      </w:r>
      <w:r w:rsidR="003614B1" w:rsidRPr="00CE2ACB">
        <w:t xml:space="preserve"> </w:t>
      </w:r>
      <w:r w:rsidRPr="00CE2ACB">
        <w:t>occasions</w:t>
      </w:r>
      <w:r w:rsidR="002D72C4" w:rsidRPr="00CE2ACB">
        <w:t xml:space="preserve">.  </w:t>
      </w:r>
      <w:r w:rsidR="004E752F" w:rsidRPr="00CE2ACB">
        <w:t>The parties agree that the Commission should assess a penalty of $</w:t>
      </w:r>
      <w:r w:rsidR="00CE2ACB">
        <w:t>2</w:t>
      </w:r>
      <w:r w:rsidR="003614B1" w:rsidRPr="00CE2ACB">
        <w:t>,000</w:t>
      </w:r>
      <w:r w:rsidR="008D6290">
        <w:t xml:space="preserve">, which </w:t>
      </w:r>
      <w:r w:rsidR="00CE2ACB">
        <w:t xml:space="preserve">should be ordered due and payable </w:t>
      </w:r>
      <w:r w:rsidR="00B47CF3" w:rsidRPr="00CE2ACB">
        <w:t>within 10 days of the effective date of this Order</w:t>
      </w:r>
      <w:r w:rsidR="00CE2ACB">
        <w:t xml:space="preserve">. </w:t>
      </w:r>
    </w:p>
    <w:p w14:paraId="20035651" w14:textId="77777777" w:rsidR="00BB4D74" w:rsidRPr="00CE2ACB" w:rsidRDefault="00BB4D74" w:rsidP="00BB4D74">
      <w:pPr>
        <w:spacing w:line="288" w:lineRule="auto"/>
      </w:pPr>
    </w:p>
    <w:p w14:paraId="489F39D0" w14:textId="23FD6D34" w:rsidR="00CC5973" w:rsidRPr="00CE2ACB" w:rsidRDefault="003614B1" w:rsidP="00BB4D74">
      <w:pPr>
        <w:numPr>
          <w:ilvl w:val="0"/>
          <w:numId w:val="10"/>
        </w:numPr>
        <w:spacing w:line="288" w:lineRule="auto"/>
        <w:ind w:hanging="720"/>
      </w:pPr>
      <w:r w:rsidRPr="00CE2ACB">
        <w:t>Christopher Casey</w:t>
      </w:r>
      <w:r w:rsidR="00E31BE9" w:rsidRPr="00CE2ACB">
        <w:t xml:space="preserve">, Assistant Attorney General, Olympia, Washington, represents Staff.  </w:t>
      </w:r>
      <w:r w:rsidR="00CE2ACB">
        <w:t>Mark Bartlett</w:t>
      </w:r>
      <w:r w:rsidR="00E31BE9" w:rsidRPr="00CE2ACB">
        <w:t xml:space="preserve">, </w:t>
      </w:r>
      <w:r w:rsidR="00CE2ACB">
        <w:t>Davis Wright Tremaine LLP</w:t>
      </w:r>
      <w:r w:rsidR="00E31BE9" w:rsidRPr="00CE2ACB">
        <w:t xml:space="preserve">, </w:t>
      </w:r>
      <w:r w:rsidRPr="00CE2ACB">
        <w:t>Seattle</w:t>
      </w:r>
      <w:r w:rsidR="00E31BE9" w:rsidRPr="00CE2ACB">
        <w:t>, Washington, represent</w:t>
      </w:r>
      <w:r w:rsidR="00212638" w:rsidRPr="00CE2ACB">
        <w:t>s</w:t>
      </w:r>
      <w:r w:rsidR="00E31BE9" w:rsidRPr="00CE2ACB">
        <w:t xml:space="preserve"> </w:t>
      </w:r>
      <w:r w:rsidR="00CE2ACB" w:rsidRPr="00CE2ACB">
        <w:t>United Recycling</w:t>
      </w:r>
      <w:r w:rsidR="00E31BE9" w:rsidRPr="00CE2ACB">
        <w:t>.</w:t>
      </w:r>
      <w:r w:rsidR="00B2030A" w:rsidRPr="00CE2ACB">
        <w:br/>
      </w:r>
    </w:p>
    <w:p w14:paraId="1F79B216" w14:textId="77777777" w:rsidR="002851A4" w:rsidRPr="00CE2ACB" w:rsidRDefault="002851A4" w:rsidP="00BB4D74">
      <w:pPr>
        <w:spacing w:line="288" w:lineRule="auto"/>
        <w:jc w:val="center"/>
        <w:rPr>
          <w:rFonts w:eastAsia="Calibri"/>
          <w:b/>
        </w:rPr>
      </w:pPr>
      <w:r w:rsidRPr="00CE2ACB">
        <w:rPr>
          <w:rFonts w:eastAsia="Calibri"/>
          <w:b/>
        </w:rPr>
        <w:t>DISCUSSION AND DECISION</w:t>
      </w:r>
    </w:p>
    <w:p w14:paraId="1AB1C173" w14:textId="77777777" w:rsidR="002851A4" w:rsidRPr="00CE2ACB" w:rsidRDefault="002851A4" w:rsidP="00BB4D74">
      <w:pPr>
        <w:spacing w:line="288" w:lineRule="auto"/>
        <w:rPr>
          <w:rFonts w:eastAsia="Calibri"/>
        </w:rPr>
      </w:pPr>
    </w:p>
    <w:p w14:paraId="305708E2" w14:textId="77777777" w:rsidR="007069FF" w:rsidRPr="00CE2ACB" w:rsidRDefault="007069FF" w:rsidP="00BB4D74">
      <w:pPr>
        <w:numPr>
          <w:ilvl w:val="0"/>
          <w:numId w:val="10"/>
        </w:numPr>
        <w:spacing w:line="288" w:lineRule="auto"/>
        <w:ind w:hanging="720"/>
      </w:pPr>
      <w:r w:rsidRPr="00CE2ACB">
        <w:rPr>
          <w:color w:val="000000"/>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CE2ACB">
        <w:t>the</w:t>
      </w:r>
      <w:r w:rsidRPr="00CE2ACB">
        <w:rPr>
          <w:color w:val="000000"/>
        </w:rPr>
        <w:t xml:space="preserve"> commission.”  </w:t>
      </w:r>
      <w:r w:rsidRPr="00CE2ACB">
        <w:t>Thus</w:t>
      </w:r>
      <w:r w:rsidRPr="00CE2ACB">
        <w:rPr>
          <w:color w:val="000000"/>
        </w:rPr>
        <w:t>, the Commission considers the individual components of the Settlement Agreement under a three-part inquiry, asking:</w:t>
      </w:r>
    </w:p>
    <w:p w14:paraId="15FC911C" w14:textId="77777777" w:rsidR="007069FF" w:rsidRPr="00CE2ACB" w:rsidRDefault="007069FF" w:rsidP="00BB4D74">
      <w:pPr>
        <w:spacing w:line="288" w:lineRule="auto"/>
      </w:pPr>
    </w:p>
    <w:p w14:paraId="15578BD5" w14:textId="77777777" w:rsidR="007069FF" w:rsidRPr="00CE2ACB" w:rsidRDefault="007069FF" w:rsidP="00BB4D74">
      <w:pPr>
        <w:numPr>
          <w:ilvl w:val="0"/>
          <w:numId w:val="20"/>
        </w:numPr>
        <w:spacing w:line="288" w:lineRule="auto"/>
        <w:ind w:left="720"/>
        <w:rPr>
          <w:color w:val="000000"/>
        </w:rPr>
      </w:pPr>
      <w:r w:rsidRPr="00CE2ACB">
        <w:rPr>
          <w:color w:val="000000"/>
        </w:rPr>
        <w:t xml:space="preserve">Whether any aspect of the proposal is contrary to law. </w:t>
      </w:r>
    </w:p>
    <w:p w14:paraId="5A9C27BE" w14:textId="77777777" w:rsidR="007069FF" w:rsidRPr="00CE2ACB" w:rsidRDefault="007069FF" w:rsidP="00BB4D74">
      <w:pPr>
        <w:numPr>
          <w:ilvl w:val="0"/>
          <w:numId w:val="20"/>
        </w:numPr>
        <w:spacing w:line="288" w:lineRule="auto"/>
        <w:ind w:left="720"/>
        <w:rPr>
          <w:color w:val="000000"/>
        </w:rPr>
      </w:pPr>
      <w:r w:rsidRPr="00CE2ACB">
        <w:rPr>
          <w:color w:val="000000"/>
        </w:rPr>
        <w:t xml:space="preserve">Whether any aspect of the proposal offends public policy. </w:t>
      </w:r>
    </w:p>
    <w:p w14:paraId="33AD9B29" w14:textId="77777777" w:rsidR="007069FF" w:rsidRPr="00CE2ACB" w:rsidRDefault="007069FF" w:rsidP="00BB4D74">
      <w:pPr>
        <w:numPr>
          <w:ilvl w:val="0"/>
          <w:numId w:val="20"/>
        </w:numPr>
        <w:spacing w:line="288" w:lineRule="auto"/>
        <w:ind w:left="720"/>
        <w:rPr>
          <w:color w:val="000000"/>
        </w:rPr>
      </w:pPr>
      <w:r w:rsidRPr="00CE2ACB">
        <w:rPr>
          <w:color w:val="000000"/>
        </w:rPr>
        <w:t>Whether the evidence supports the proposed elements of the Settlement Agreement as a reasonable resolution of the issue(s) at hand.</w:t>
      </w:r>
    </w:p>
    <w:p w14:paraId="26264664" w14:textId="77777777" w:rsidR="007069FF" w:rsidRPr="00CE2ACB" w:rsidRDefault="007069FF" w:rsidP="00BB4D74">
      <w:pPr>
        <w:spacing w:line="288" w:lineRule="auto"/>
      </w:pPr>
    </w:p>
    <w:p w14:paraId="256743A5" w14:textId="77777777" w:rsidR="007069FF" w:rsidRPr="00CE2ACB" w:rsidRDefault="007069FF" w:rsidP="00BB4D74">
      <w:pPr>
        <w:spacing w:line="288" w:lineRule="auto"/>
      </w:pPr>
      <w:r w:rsidRPr="00CE2ACB">
        <w:rPr>
          <w:color w:val="000000"/>
        </w:rPr>
        <w:t>The Commission must determine one of three possible results:</w:t>
      </w:r>
    </w:p>
    <w:p w14:paraId="059AD834" w14:textId="77777777" w:rsidR="007069FF" w:rsidRPr="00CE2ACB" w:rsidRDefault="007069FF" w:rsidP="00BB4D74">
      <w:pPr>
        <w:spacing w:line="288" w:lineRule="auto"/>
      </w:pPr>
    </w:p>
    <w:p w14:paraId="2064EC67" w14:textId="77777777" w:rsidR="007069FF" w:rsidRPr="00CE2ACB" w:rsidRDefault="007069FF" w:rsidP="00BB4D74">
      <w:pPr>
        <w:numPr>
          <w:ilvl w:val="0"/>
          <w:numId w:val="20"/>
        </w:numPr>
        <w:spacing w:line="288" w:lineRule="auto"/>
        <w:ind w:left="720"/>
        <w:rPr>
          <w:color w:val="000000"/>
        </w:rPr>
      </w:pPr>
      <w:r w:rsidRPr="00CE2ACB">
        <w:t>Approve</w:t>
      </w:r>
      <w:r w:rsidRPr="00CE2ACB">
        <w:rPr>
          <w:color w:val="000000"/>
        </w:rPr>
        <w:t xml:space="preserve"> the proposed settlement without condition. </w:t>
      </w:r>
    </w:p>
    <w:p w14:paraId="5ACDF705" w14:textId="77777777" w:rsidR="007069FF" w:rsidRPr="00CE2ACB" w:rsidRDefault="007069FF" w:rsidP="00BB4D74">
      <w:pPr>
        <w:numPr>
          <w:ilvl w:val="0"/>
          <w:numId w:val="20"/>
        </w:numPr>
        <w:spacing w:line="288" w:lineRule="auto"/>
        <w:ind w:left="720"/>
        <w:rPr>
          <w:color w:val="000000"/>
        </w:rPr>
      </w:pPr>
      <w:r w:rsidRPr="00CE2ACB">
        <w:lastRenderedPageBreak/>
        <w:t>Approve</w:t>
      </w:r>
      <w:r w:rsidRPr="00CE2ACB">
        <w:rPr>
          <w:color w:val="000000"/>
        </w:rPr>
        <w:t xml:space="preserve"> the proposed settlement subject to conditions. </w:t>
      </w:r>
    </w:p>
    <w:p w14:paraId="2A8A5F39" w14:textId="77777777" w:rsidR="007069FF" w:rsidRPr="00CE2ACB" w:rsidRDefault="007069FF" w:rsidP="00BB4D74">
      <w:pPr>
        <w:numPr>
          <w:ilvl w:val="0"/>
          <w:numId w:val="20"/>
        </w:numPr>
        <w:spacing w:line="288" w:lineRule="auto"/>
        <w:ind w:left="720"/>
        <w:rPr>
          <w:color w:val="000000"/>
        </w:rPr>
      </w:pPr>
      <w:r w:rsidRPr="00CE2ACB">
        <w:t>Reject</w:t>
      </w:r>
      <w:r w:rsidRPr="00CE2ACB">
        <w:rPr>
          <w:color w:val="000000"/>
        </w:rPr>
        <w:t xml:space="preserve"> the proposed settlement.</w:t>
      </w:r>
      <w:r w:rsidRPr="00CE2ACB">
        <w:rPr>
          <w:color w:val="000000"/>
          <w:position w:val="8"/>
          <w:vertAlign w:val="superscript"/>
        </w:rPr>
        <w:t xml:space="preserve"> </w:t>
      </w:r>
    </w:p>
    <w:p w14:paraId="1973D079" w14:textId="77777777" w:rsidR="007069FF" w:rsidRPr="00CE2ACB" w:rsidRDefault="007069FF" w:rsidP="00BB4D74">
      <w:pPr>
        <w:spacing w:line="288" w:lineRule="auto"/>
        <w:ind w:left="720"/>
      </w:pPr>
    </w:p>
    <w:p w14:paraId="52E9A2E2" w14:textId="4C116287" w:rsidR="007069FF" w:rsidRDefault="007069FF" w:rsidP="00BB4D74">
      <w:pPr>
        <w:numPr>
          <w:ilvl w:val="0"/>
          <w:numId w:val="10"/>
        </w:numPr>
        <w:spacing w:line="288" w:lineRule="auto"/>
        <w:ind w:hanging="720"/>
      </w:pPr>
      <w:r w:rsidRPr="00CE2ACB">
        <w:t xml:space="preserve">We approve the Settlement Agreement without condition.  </w:t>
      </w:r>
      <w:r w:rsidR="00DC4C03" w:rsidRPr="00CE2ACB">
        <w:t xml:space="preserve">United Recycling </w:t>
      </w:r>
      <w:r w:rsidR="008452EF" w:rsidRPr="00CE2ACB">
        <w:t xml:space="preserve">admits </w:t>
      </w:r>
      <w:r w:rsidR="00212638" w:rsidRPr="00CE2ACB">
        <w:t xml:space="preserve">that </w:t>
      </w:r>
      <w:r w:rsidR="00F227AF" w:rsidRPr="00CE2ACB">
        <w:t>its conduct violated</w:t>
      </w:r>
      <w:r w:rsidR="00212638" w:rsidRPr="00CE2ACB">
        <w:t xml:space="preserve"> </w:t>
      </w:r>
      <w:r w:rsidR="003614B1" w:rsidRPr="00CE2ACB">
        <w:t>RCW 81.77.040</w:t>
      </w:r>
      <w:r w:rsidR="008C5DF0">
        <w:t xml:space="preserve"> and agrees to pay the full </w:t>
      </w:r>
      <w:r w:rsidR="00DC419F" w:rsidRPr="00CE2ACB">
        <w:t>$</w:t>
      </w:r>
      <w:r w:rsidR="00DC4C03">
        <w:t>2</w:t>
      </w:r>
      <w:r w:rsidR="008C5DF0">
        <w:t xml:space="preserve">,000 penalty sought by Staff in the </w:t>
      </w:r>
      <w:r w:rsidR="008D6290">
        <w:t>C</w:t>
      </w:r>
      <w:r w:rsidR="008C5DF0">
        <w:t>omplaint.</w:t>
      </w:r>
      <w:r w:rsidR="008C5DF0" w:rsidRPr="00CE2ACB">
        <w:t xml:space="preserve"> </w:t>
      </w:r>
      <w:r w:rsidRPr="00CE2ACB">
        <w:t xml:space="preserve">The terms </w:t>
      </w:r>
      <w:r w:rsidR="0074419B" w:rsidRPr="00CE2ACB">
        <w:t>of</w:t>
      </w:r>
      <w:r w:rsidRPr="00CE2ACB">
        <w:t xml:space="preserve"> the Settlement Agreement are not contrary to law or public policy and reasonably resolve </w:t>
      </w:r>
      <w:r w:rsidR="008D6290">
        <w:t xml:space="preserve">all issues in this proceeding. </w:t>
      </w:r>
      <w:r w:rsidR="008C5DF0">
        <w:t>Accordingly</w:t>
      </w:r>
      <w:r w:rsidR="00347C31" w:rsidRPr="00CE2ACB">
        <w:t xml:space="preserve">, we </w:t>
      </w:r>
      <w:r w:rsidRPr="00CE2ACB">
        <w:t>find the Settlement Agreement is consistent with the public interest</w:t>
      </w:r>
      <w:r w:rsidR="006B4B79" w:rsidRPr="00CE2ACB">
        <w:t xml:space="preserve"> and should be approved as filed.</w:t>
      </w:r>
    </w:p>
    <w:p w14:paraId="6A76C127" w14:textId="77777777" w:rsidR="00BB4D74" w:rsidRPr="00CE2ACB" w:rsidRDefault="00BB4D74" w:rsidP="00BB4D74">
      <w:pPr>
        <w:spacing w:line="288" w:lineRule="auto"/>
      </w:pPr>
    </w:p>
    <w:p w14:paraId="5DD3A26E" w14:textId="77777777" w:rsidR="00A43DC9" w:rsidRPr="00CE2ACB" w:rsidRDefault="00A43DC9" w:rsidP="00BB4D74">
      <w:pPr>
        <w:pStyle w:val="ListParagraph"/>
        <w:tabs>
          <w:tab w:val="left" w:pos="0"/>
        </w:tabs>
        <w:spacing w:line="288" w:lineRule="auto"/>
        <w:ind w:left="0"/>
        <w:jc w:val="center"/>
        <w:rPr>
          <w:b/>
        </w:rPr>
      </w:pPr>
      <w:r w:rsidRPr="00CE2ACB">
        <w:rPr>
          <w:b/>
        </w:rPr>
        <w:t>ORDER</w:t>
      </w:r>
    </w:p>
    <w:p w14:paraId="1B0B3559" w14:textId="77777777" w:rsidR="00A43DC9" w:rsidRPr="00CE2ACB" w:rsidRDefault="00A43DC9" w:rsidP="00BB4D74">
      <w:pPr>
        <w:spacing w:line="288" w:lineRule="auto"/>
        <w:ind w:left="-720" w:firstLine="720"/>
        <w:rPr>
          <w:b/>
        </w:rPr>
      </w:pPr>
    </w:p>
    <w:p w14:paraId="180A5394" w14:textId="77777777" w:rsidR="00A43DC9" w:rsidRPr="00CE2ACB" w:rsidRDefault="00A43DC9" w:rsidP="00BB4D74">
      <w:pPr>
        <w:spacing w:line="288" w:lineRule="auto"/>
        <w:ind w:left="-720" w:firstLine="720"/>
      </w:pPr>
      <w:r w:rsidRPr="00CE2ACB">
        <w:t>THE COMMISSION ORDERS:</w:t>
      </w:r>
    </w:p>
    <w:p w14:paraId="5F3509BD" w14:textId="77777777" w:rsidR="00A43DC9" w:rsidRPr="00CE2ACB" w:rsidRDefault="00A43DC9" w:rsidP="00BB4D74">
      <w:pPr>
        <w:spacing w:line="288" w:lineRule="auto"/>
        <w:ind w:left="-720" w:firstLine="720"/>
      </w:pPr>
    </w:p>
    <w:p w14:paraId="10C3819D" w14:textId="01623E66" w:rsidR="00A43DC9" w:rsidRPr="00CE2ACB" w:rsidRDefault="00A43DC9" w:rsidP="00BB4D74">
      <w:pPr>
        <w:numPr>
          <w:ilvl w:val="0"/>
          <w:numId w:val="10"/>
        </w:numPr>
        <w:spacing w:line="288" w:lineRule="auto"/>
        <w:ind w:left="720" w:hanging="1440"/>
        <w:rPr>
          <w:rFonts w:eastAsia="Calibri"/>
        </w:rPr>
      </w:pPr>
      <w:r w:rsidRPr="00CE2ACB">
        <w:rPr>
          <w:rFonts w:eastAsia="Calibri"/>
        </w:rPr>
        <w:t>(1)</w:t>
      </w:r>
      <w:r w:rsidRPr="00CE2ACB">
        <w:rPr>
          <w:rFonts w:eastAsia="Calibri"/>
        </w:rPr>
        <w:tab/>
      </w:r>
      <w:r w:rsidR="002851A4" w:rsidRPr="00CE2ACB">
        <w:rPr>
          <w:rFonts w:eastAsia="Calibri"/>
        </w:rPr>
        <w:t xml:space="preserve">The </w:t>
      </w:r>
      <w:r w:rsidR="002851A4" w:rsidRPr="00CE2ACB">
        <w:t>Settlement Agreement is approved without condition</w:t>
      </w:r>
      <w:r w:rsidR="00395E32" w:rsidRPr="00CE2ACB">
        <w:t>,</w:t>
      </w:r>
      <w:r w:rsidR="002851A4" w:rsidRPr="00CE2ACB">
        <w:t xml:space="preserve"> is attached as Exhibit A to, and incorporated into, this Order</w:t>
      </w:r>
      <w:r w:rsidR="00395E32" w:rsidRPr="00CE2ACB">
        <w:t>,</w:t>
      </w:r>
      <w:r w:rsidR="002851A4" w:rsidRPr="00CE2ACB">
        <w:t xml:space="preserve"> and </w:t>
      </w:r>
      <w:r w:rsidR="00395E32" w:rsidRPr="00CE2ACB">
        <w:t xml:space="preserve">is </w:t>
      </w:r>
      <w:r w:rsidR="002851A4" w:rsidRPr="00CE2ACB">
        <w:t>adopted as the final resolution of the disputed issues in th</w:t>
      </w:r>
      <w:r w:rsidR="00395E32" w:rsidRPr="00CE2ACB">
        <w:t>is</w:t>
      </w:r>
      <w:r w:rsidR="002851A4" w:rsidRPr="00CE2ACB">
        <w:t xml:space="preserve"> docket</w:t>
      </w:r>
      <w:r w:rsidR="008452EF" w:rsidRPr="00CE2ACB">
        <w:t>.</w:t>
      </w:r>
    </w:p>
    <w:p w14:paraId="3750115E" w14:textId="77777777" w:rsidR="002851A4" w:rsidRPr="00CE2ACB" w:rsidRDefault="002851A4" w:rsidP="00BB4D74">
      <w:pPr>
        <w:spacing w:line="288" w:lineRule="auto"/>
        <w:rPr>
          <w:rFonts w:eastAsia="Calibri"/>
        </w:rPr>
      </w:pPr>
    </w:p>
    <w:p w14:paraId="2C41CEB2" w14:textId="664530DF" w:rsidR="0043009C" w:rsidRPr="00CE2ACB" w:rsidRDefault="00A43DC9" w:rsidP="00BB4D74">
      <w:pPr>
        <w:numPr>
          <w:ilvl w:val="0"/>
          <w:numId w:val="10"/>
        </w:numPr>
        <w:spacing w:line="288" w:lineRule="auto"/>
        <w:ind w:hanging="720"/>
        <w:rPr>
          <w:rFonts w:eastAsia="Calibri"/>
        </w:rPr>
      </w:pPr>
      <w:r w:rsidRPr="00CE2ACB">
        <w:rPr>
          <w:rFonts w:eastAsia="Calibri"/>
        </w:rPr>
        <w:t>(2)</w:t>
      </w:r>
      <w:r w:rsidRPr="00CE2ACB">
        <w:rPr>
          <w:rFonts w:eastAsia="Calibri"/>
        </w:rPr>
        <w:tab/>
      </w:r>
      <w:r w:rsidR="008C5DF0">
        <w:t>Topsoils Inc. d</w:t>
      </w:r>
      <w:r w:rsidR="008C5DF0" w:rsidRPr="007A534D">
        <w:t>/b/a United Recycling &amp; Container</w:t>
      </w:r>
      <w:r w:rsidR="00230229" w:rsidRPr="00CE2ACB">
        <w:rPr>
          <w:rFonts w:eastAsia="Calibri"/>
        </w:rPr>
        <w:t xml:space="preserve"> must immediately cease and </w:t>
      </w:r>
      <w:r w:rsidR="008C5DF0">
        <w:rPr>
          <w:rFonts w:eastAsia="Calibri"/>
        </w:rPr>
        <w:br/>
        <w:t xml:space="preserve"> </w:t>
      </w:r>
      <w:r w:rsidR="008C5DF0">
        <w:rPr>
          <w:rFonts w:eastAsia="Calibri"/>
        </w:rPr>
        <w:tab/>
      </w:r>
      <w:r w:rsidR="00230229" w:rsidRPr="00CE2ACB">
        <w:rPr>
          <w:rFonts w:eastAsia="Calibri"/>
        </w:rPr>
        <w:t xml:space="preserve">desist </w:t>
      </w:r>
      <w:r w:rsidR="00230229" w:rsidRPr="00CE2ACB">
        <w:t xml:space="preserve">from providing all forms of solid waste collection services that require a </w:t>
      </w:r>
      <w:r w:rsidR="008C5DF0">
        <w:br/>
        <w:t xml:space="preserve"> </w:t>
      </w:r>
      <w:r w:rsidR="008C5DF0">
        <w:tab/>
      </w:r>
      <w:r w:rsidR="00230229" w:rsidRPr="00CE2ACB">
        <w:t>permit from the Commission.</w:t>
      </w:r>
      <w:r w:rsidR="00230229" w:rsidRPr="00CE2ACB">
        <w:br/>
      </w:r>
    </w:p>
    <w:p w14:paraId="71FD777E" w14:textId="14DD5DBD" w:rsidR="00230229" w:rsidRPr="00CE2ACB" w:rsidRDefault="0043009C" w:rsidP="00BB4D74">
      <w:pPr>
        <w:numPr>
          <w:ilvl w:val="0"/>
          <w:numId w:val="10"/>
        </w:numPr>
        <w:spacing w:line="288" w:lineRule="auto"/>
        <w:ind w:left="720" w:hanging="1440"/>
        <w:rPr>
          <w:rFonts w:eastAsia="Calibri"/>
        </w:rPr>
      </w:pPr>
      <w:r w:rsidRPr="00CE2ACB">
        <w:rPr>
          <w:rFonts w:eastAsia="Calibri"/>
        </w:rPr>
        <w:t>(3)</w:t>
      </w:r>
      <w:r w:rsidRPr="00CE2ACB">
        <w:rPr>
          <w:rFonts w:eastAsia="Calibri"/>
        </w:rPr>
        <w:tab/>
      </w:r>
      <w:r w:rsidR="008C5DF0">
        <w:t>Topsoils Inc. d</w:t>
      </w:r>
      <w:r w:rsidR="008C5DF0" w:rsidRPr="007A534D">
        <w:t>/b/a United Recycling &amp; Container</w:t>
      </w:r>
      <w:r w:rsidR="008C5DF0">
        <w:rPr>
          <w:rFonts w:eastAsia="Calibri"/>
        </w:rPr>
        <w:t xml:space="preserve"> is assessed a penalty of $2</w:t>
      </w:r>
      <w:r w:rsidR="00230229" w:rsidRPr="00CE2ACB">
        <w:rPr>
          <w:rFonts w:eastAsia="Calibri"/>
        </w:rPr>
        <w:t xml:space="preserve">,000, </w:t>
      </w:r>
      <w:r w:rsidR="008C5DF0">
        <w:rPr>
          <w:rFonts w:eastAsia="Calibri"/>
        </w:rPr>
        <w:t>which is due and payable</w:t>
      </w:r>
      <w:r w:rsidR="00DC419F" w:rsidRPr="00CE2ACB">
        <w:t xml:space="preserve"> within 10 days of the effective date of this Order.</w:t>
      </w:r>
    </w:p>
    <w:p w14:paraId="678A08F8" w14:textId="77777777" w:rsidR="00DB55BB" w:rsidRPr="008C5DF0" w:rsidRDefault="00DB55BB" w:rsidP="00BB4D74">
      <w:pPr>
        <w:spacing w:line="288" w:lineRule="auto"/>
        <w:rPr>
          <w:rFonts w:eastAsia="Calibri"/>
        </w:rPr>
      </w:pPr>
    </w:p>
    <w:p w14:paraId="3586F66C" w14:textId="363C1F94" w:rsidR="00A43DC9" w:rsidRPr="00CE2ACB" w:rsidRDefault="00DB55BB" w:rsidP="00BB4D74">
      <w:pPr>
        <w:numPr>
          <w:ilvl w:val="0"/>
          <w:numId w:val="10"/>
        </w:numPr>
        <w:spacing w:line="288" w:lineRule="auto"/>
        <w:ind w:hanging="720"/>
        <w:rPr>
          <w:rFonts w:eastAsia="Calibri"/>
        </w:rPr>
      </w:pPr>
      <w:r w:rsidRPr="00CE2ACB">
        <w:rPr>
          <w:rFonts w:eastAsia="Calibri"/>
        </w:rPr>
        <w:t>(</w:t>
      </w:r>
      <w:r w:rsidR="008C5DF0">
        <w:rPr>
          <w:rFonts w:eastAsia="Calibri"/>
        </w:rPr>
        <w:t>4</w:t>
      </w:r>
      <w:r w:rsidRPr="00CE2ACB">
        <w:rPr>
          <w:rFonts w:eastAsia="Calibri"/>
        </w:rPr>
        <w:t>)</w:t>
      </w:r>
      <w:r w:rsidRPr="00CE2ACB">
        <w:rPr>
          <w:rFonts w:eastAsia="Calibri"/>
        </w:rPr>
        <w:tab/>
      </w:r>
      <w:r w:rsidR="00A43DC9" w:rsidRPr="00CE2ACB">
        <w:rPr>
          <w:rFonts w:eastAsia="Calibri"/>
        </w:rPr>
        <w:t xml:space="preserve">The </w:t>
      </w:r>
      <w:r w:rsidR="002851A4" w:rsidRPr="00CE2ACB">
        <w:rPr>
          <w:rFonts w:eastAsia="Calibri"/>
        </w:rPr>
        <w:t>Commission retains jurisdiction to effectuate the terms of this Order</w:t>
      </w:r>
      <w:r w:rsidR="008E5161" w:rsidRPr="00CE2ACB">
        <w:rPr>
          <w:rFonts w:eastAsia="Calibri"/>
        </w:rPr>
        <w:t>.</w:t>
      </w:r>
    </w:p>
    <w:p w14:paraId="15A86F65" w14:textId="77777777" w:rsidR="005E28EE" w:rsidRPr="00CE2ACB" w:rsidRDefault="005E28EE" w:rsidP="00BB4D74">
      <w:pPr>
        <w:spacing w:line="288" w:lineRule="auto"/>
      </w:pPr>
      <w:bookmarkStart w:id="1" w:name="OLE_LINK3"/>
      <w:bookmarkStart w:id="2" w:name="OLE_LINK4"/>
    </w:p>
    <w:p w14:paraId="79C62737" w14:textId="31B992D0" w:rsidR="00C34B05" w:rsidRPr="00CE2ACB" w:rsidRDefault="00415CCC" w:rsidP="00BB4D74">
      <w:pPr>
        <w:spacing w:line="288" w:lineRule="auto"/>
        <w:ind w:left="-720"/>
      </w:pPr>
      <w:r w:rsidRPr="00CE2ACB">
        <w:tab/>
      </w:r>
      <w:r w:rsidR="00C34B05" w:rsidRPr="00CE2ACB">
        <w:t xml:space="preserve">Dated at Olympia, Washington, and effective </w:t>
      </w:r>
      <w:r w:rsidR="008C5DF0">
        <w:t>May 21</w:t>
      </w:r>
      <w:r w:rsidR="00230229" w:rsidRPr="00CE2ACB">
        <w:t>, 2015</w:t>
      </w:r>
      <w:r w:rsidR="00C34B05" w:rsidRPr="00CE2ACB">
        <w:t>.</w:t>
      </w:r>
    </w:p>
    <w:p w14:paraId="41DB6BA8" w14:textId="77777777" w:rsidR="00C34B05" w:rsidRPr="00CE2ACB" w:rsidRDefault="00C34B05" w:rsidP="00BB4D74">
      <w:pPr>
        <w:pStyle w:val="Header"/>
        <w:tabs>
          <w:tab w:val="clear" w:pos="4320"/>
          <w:tab w:val="clear" w:pos="8640"/>
        </w:tabs>
        <w:spacing w:line="288" w:lineRule="auto"/>
      </w:pPr>
    </w:p>
    <w:p w14:paraId="19BDDD7B" w14:textId="77777777" w:rsidR="00C34B05" w:rsidRPr="00CE2ACB" w:rsidRDefault="00C34B05" w:rsidP="00BB4D74">
      <w:pPr>
        <w:spacing w:line="288" w:lineRule="auto"/>
        <w:jc w:val="center"/>
      </w:pPr>
      <w:r w:rsidRPr="00CE2ACB">
        <w:t>WASHINGTON UTILITIES AND TRANSPORTATION COMMISSION</w:t>
      </w:r>
    </w:p>
    <w:p w14:paraId="23E67C2C" w14:textId="77777777" w:rsidR="00C34B05" w:rsidRPr="00CE2ACB" w:rsidRDefault="00C34B05" w:rsidP="00BB4D74">
      <w:pPr>
        <w:spacing w:line="288" w:lineRule="auto"/>
      </w:pPr>
    </w:p>
    <w:p w14:paraId="5C365835" w14:textId="77777777" w:rsidR="00C34B05" w:rsidRPr="00CE2ACB" w:rsidRDefault="00C34B05" w:rsidP="00BB4D74">
      <w:pPr>
        <w:spacing w:line="288" w:lineRule="auto"/>
      </w:pPr>
    </w:p>
    <w:p w14:paraId="2BE2DA3F" w14:textId="77777777" w:rsidR="00161D01" w:rsidRPr="00CE2ACB" w:rsidRDefault="00C34B05" w:rsidP="00BB4D74">
      <w:pPr>
        <w:spacing w:line="288" w:lineRule="auto"/>
      </w:pPr>
      <w:r w:rsidRPr="00CE2ACB">
        <w:tab/>
      </w:r>
      <w:r w:rsidRPr="00CE2ACB">
        <w:tab/>
      </w:r>
      <w:r w:rsidRPr="00CE2ACB">
        <w:tab/>
      </w:r>
      <w:r w:rsidRPr="00CE2ACB">
        <w:tab/>
      </w:r>
      <w:r w:rsidRPr="00CE2ACB">
        <w:tab/>
      </w:r>
    </w:p>
    <w:p w14:paraId="38DB796E" w14:textId="77777777" w:rsidR="00161D01" w:rsidRPr="00CE2ACB" w:rsidRDefault="00212638" w:rsidP="00BB4D74">
      <w:pPr>
        <w:spacing w:line="288" w:lineRule="auto"/>
        <w:ind w:left="4320"/>
        <w:rPr>
          <w:bCs/>
        </w:rPr>
      </w:pPr>
      <w:r w:rsidRPr="00CE2ACB">
        <w:rPr>
          <w:bCs/>
        </w:rPr>
        <w:t>RAYNE PEARSON</w:t>
      </w:r>
    </w:p>
    <w:p w14:paraId="56CE42EE" w14:textId="77777777" w:rsidR="002851A4" w:rsidRPr="00CE2ACB" w:rsidRDefault="00161D01" w:rsidP="00BB4D74">
      <w:pPr>
        <w:spacing w:line="288" w:lineRule="auto"/>
      </w:pPr>
      <w:r w:rsidRPr="00CE2ACB">
        <w:tab/>
      </w:r>
      <w:r w:rsidRPr="00CE2ACB">
        <w:tab/>
      </w:r>
      <w:r w:rsidRPr="00CE2ACB">
        <w:tab/>
      </w:r>
      <w:r w:rsidRPr="00CE2ACB">
        <w:tab/>
      </w:r>
      <w:r w:rsidRPr="00CE2ACB">
        <w:tab/>
      </w:r>
      <w:r w:rsidRPr="00CE2ACB">
        <w:tab/>
        <w:t>Administrative Law Judge</w:t>
      </w:r>
      <w:bookmarkEnd w:id="1"/>
      <w:bookmarkEnd w:id="2"/>
    </w:p>
    <w:p w14:paraId="41EA99B9" w14:textId="77777777" w:rsidR="002851A4" w:rsidRPr="00CE2ACB" w:rsidRDefault="002851A4" w:rsidP="002851A4">
      <w:pPr>
        <w:spacing w:line="288" w:lineRule="auto"/>
      </w:pPr>
    </w:p>
    <w:p w14:paraId="6018324F" w14:textId="77777777" w:rsidR="002851A4" w:rsidRPr="00CE2ACB" w:rsidRDefault="002851A4" w:rsidP="008C5DF0">
      <w:pPr>
        <w:spacing w:after="240" w:line="264" w:lineRule="auto"/>
        <w:jc w:val="center"/>
        <w:rPr>
          <w:b/>
        </w:rPr>
      </w:pPr>
      <w:r w:rsidRPr="00CE2ACB">
        <w:rPr>
          <w:b/>
        </w:rPr>
        <w:br w:type="page"/>
      </w:r>
      <w:r w:rsidRPr="00CE2ACB">
        <w:rPr>
          <w:b/>
        </w:rPr>
        <w:lastRenderedPageBreak/>
        <w:t>NOTICE TO PARTIES</w:t>
      </w:r>
    </w:p>
    <w:p w14:paraId="1B4EF451" w14:textId="77777777" w:rsidR="002851A4" w:rsidRPr="00CE2ACB" w:rsidRDefault="002851A4" w:rsidP="002851A4">
      <w:pPr>
        <w:spacing w:line="264" w:lineRule="auto"/>
      </w:pPr>
      <w:r w:rsidRPr="00CE2ACB">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CE2ACB" w:rsidRDefault="002851A4" w:rsidP="002851A4">
      <w:pPr>
        <w:spacing w:line="264" w:lineRule="auto"/>
      </w:pPr>
    </w:p>
    <w:p w14:paraId="6BAA4F9C" w14:textId="77777777" w:rsidR="002851A4" w:rsidRPr="00CE2ACB" w:rsidRDefault="002851A4" w:rsidP="002851A4">
      <w:pPr>
        <w:spacing w:line="264" w:lineRule="auto"/>
      </w:pPr>
      <w:r w:rsidRPr="00CE2ACB">
        <w:t xml:space="preserve">WAC 480-07-825(2) provides that any party to this proceeding has twenty (20) days after the entry of this Initial Order to file a </w:t>
      </w:r>
      <w:r w:rsidRPr="00CE2ACB">
        <w:rPr>
          <w:i/>
        </w:rPr>
        <w:t>Petition for Administrative Review</w:t>
      </w:r>
      <w:r w:rsidRPr="00CE2ACB">
        <w:t xml:space="preserve">.  What must be included in any Petition and other requirements for a Petition are stated in WAC 480-07-825(3).  WAC 480-07-825(4) states that any party may file an </w:t>
      </w:r>
      <w:r w:rsidRPr="00CE2ACB">
        <w:rPr>
          <w:i/>
        </w:rPr>
        <w:t xml:space="preserve">Answer </w:t>
      </w:r>
      <w:r w:rsidRPr="00CE2ACB">
        <w:t xml:space="preserve">to a Petition for review within ten (10) days after service of the Petition.  </w:t>
      </w:r>
    </w:p>
    <w:p w14:paraId="7FBD160B" w14:textId="77777777" w:rsidR="002851A4" w:rsidRPr="00CE2ACB" w:rsidRDefault="002851A4" w:rsidP="002851A4">
      <w:pPr>
        <w:spacing w:line="264" w:lineRule="auto"/>
      </w:pPr>
    </w:p>
    <w:p w14:paraId="1403A64D" w14:textId="77777777" w:rsidR="002851A4" w:rsidRPr="00CE2ACB" w:rsidRDefault="002851A4" w:rsidP="002851A4">
      <w:pPr>
        <w:spacing w:line="264" w:lineRule="auto"/>
      </w:pPr>
      <w:r w:rsidRPr="00CE2ACB">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6B0F86A7" w14:textId="77777777" w:rsidR="002851A4" w:rsidRPr="00CE2ACB" w:rsidRDefault="002851A4" w:rsidP="002851A4">
      <w:pPr>
        <w:spacing w:line="264" w:lineRule="auto"/>
      </w:pPr>
    </w:p>
    <w:p w14:paraId="4DAD94BA" w14:textId="77777777" w:rsidR="002851A4" w:rsidRPr="00CE2ACB" w:rsidRDefault="002851A4" w:rsidP="002851A4">
      <w:pPr>
        <w:spacing w:line="264" w:lineRule="auto"/>
      </w:pPr>
      <w:r w:rsidRPr="00CE2ACB">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CE2ACB" w:rsidRDefault="002851A4" w:rsidP="002851A4">
      <w:pPr>
        <w:spacing w:line="264" w:lineRule="auto"/>
      </w:pPr>
    </w:p>
    <w:p w14:paraId="13277F9D" w14:textId="77777777" w:rsidR="002851A4" w:rsidRPr="00CE2ACB" w:rsidRDefault="002851A4" w:rsidP="002851A4">
      <w:pPr>
        <w:spacing w:line="264" w:lineRule="auto"/>
      </w:pPr>
      <w:r w:rsidRPr="00CE2ACB">
        <w:t xml:space="preserve">One copy of any Petition or Answer filed must be served on each party of record with proof of service as required by WAC 480-07-150(8) and (9).  An original and </w:t>
      </w:r>
      <w:r w:rsidRPr="00CE2ACB">
        <w:rPr>
          <w:b/>
        </w:rPr>
        <w:t>five (5)</w:t>
      </w:r>
      <w:r w:rsidRPr="00CE2ACB">
        <w:t xml:space="preserve"> copies of any Petition or Answer must be filed by mail delivery to:</w:t>
      </w:r>
    </w:p>
    <w:p w14:paraId="6D5768BF" w14:textId="77777777" w:rsidR="002851A4" w:rsidRPr="00CE2ACB" w:rsidRDefault="002851A4" w:rsidP="002851A4">
      <w:pPr>
        <w:spacing w:line="264" w:lineRule="auto"/>
      </w:pPr>
    </w:p>
    <w:p w14:paraId="4D5A68DD" w14:textId="44151AF1" w:rsidR="002851A4" w:rsidRPr="00CE2ACB" w:rsidRDefault="002851A4" w:rsidP="002851A4">
      <w:pPr>
        <w:spacing w:line="264" w:lineRule="auto"/>
      </w:pPr>
      <w:r w:rsidRPr="00CE2ACB">
        <w:t xml:space="preserve">Attn:  </w:t>
      </w:r>
      <w:r w:rsidR="00655F16" w:rsidRPr="00CE2ACB">
        <w:t>Steven V. King</w:t>
      </w:r>
      <w:r w:rsidRPr="00CE2ACB">
        <w:t>, Executive Director and Secretary</w:t>
      </w:r>
    </w:p>
    <w:p w14:paraId="2075BB55" w14:textId="77777777" w:rsidR="002851A4" w:rsidRPr="00CE2ACB" w:rsidRDefault="002851A4" w:rsidP="002851A4">
      <w:pPr>
        <w:spacing w:line="264" w:lineRule="auto"/>
      </w:pPr>
      <w:r w:rsidRPr="00CE2ACB">
        <w:t>Washington Utilities and Transportation Commission</w:t>
      </w:r>
    </w:p>
    <w:p w14:paraId="5FA06592" w14:textId="77777777" w:rsidR="002851A4" w:rsidRPr="00CE2ACB" w:rsidRDefault="002851A4" w:rsidP="002851A4">
      <w:pPr>
        <w:spacing w:line="264" w:lineRule="auto"/>
      </w:pPr>
      <w:r w:rsidRPr="00CE2ACB">
        <w:t>P.O. Box 47250</w:t>
      </w:r>
    </w:p>
    <w:p w14:paraId="27658D00" w14:textId="77777777" w:rsidR="002851A4" w:rsidRPr="00CE2ACB" w:rsidRDefault="002851A4" w:rsidP="002851A4">
      <w:pPr>
        <w:spacing w:line="264" w:lineRule="auto"/>
      </w:pPr>
      <w:r w:rsidRPr="00CE2ACB">
        <w:t>Olympia, Washington  98504-7250</w:t>
      </w:r>
    </w:p>
    <w:p w14:paraId="7DDEEF3F" w14:textId="77777777" w:rsidR="002851A4" w:rsidRPr="00CE2ACB" w:rsidRDefault="002851A4" w:rsidP="002851A4">
      <w:pPr>
        <w:spacing w:line="264" w:lineRule="auto"/>
      </w:pPr>
      <w:r w:rsidRPr="00CE2ACB">
        <w:br w:type="page"/>
      </w:r>
    </w:p>
    <w:p w14:paraId="6C8D3134" w14:textId="77777777" w:rsidR="002851A4" w:rsidRPr="00CE2ACB" w:rsidRDefault="002851A4" w:rsidP="002851A4">
      <w:pPr>
        <w:spacing w:line="264" w:lineRule="auto"/>
      </w:pPr>
    </w:p>
    <w:p w14:paraId="7FA598B0" w14:textId="77777777" w:rsidR="002851A4" w:rsidRPr="00CE2ACB" w:rsidRDefault="002851A4" w:rsidP="002851A4">
      <w:pPr>
        <w:spacing w:line="264" w:lineRule="auto"/>
      </w:pPr>
    </w:p>
    <w:p w14:paraId="0EDFA16F" w14:textId="77777777" w:rsidR="002851A4" w:rsidRPr="00CE2ACB" w:rsidRDefault="002851A4" w:rsidP="002851A4">
      <w:pPr>
        <w:spacing w:line="264" w:lineRule="auto"/>
      </w:pPr>
    </w:p>
    <w:p w14:paraId="3440DECA" w14:textId="77777777" w:rsidR="002851A4" w:rsidRPr="00CE2ACB" w:rsidRDefault="002851A4" w:rsidP="002851A4">
      <w:pPr>
        <w:spacing w:line="264" w:lineRule="auto"/>
      </w:pPr>
    </w:p>
    <w:p w14:paraId="37AFBF74" w14:textId="77777777" w:rsidR="002851A4" w:rsidRPr="00CE2ACB" w:rsidRDefault="002851A4" w:rsidP="002851A4">
      <w:pPr>
        <w:spacing w:line="264" w:lineRule="auto"/>
      </w:pPr>
    </w:p>
    <w:p w14:paraId="6C509756" w14:textId="77777777" w:rsidR="002851A4" w:rsidRPr="00CE2ACB" w:rsidRDefault="002851A4" w:rsidP="002851A4">
      <w:pPr>
        <w:spacing w:line="264" w:lineRule="auto"/>
      </w:pPr>
    </w:p>
    <w:p w14:paraId="6ACAA20B" w14:textId="77777777" w:rsidR="002851A4" w:rsidRPr="00CE2ACB" w:rsidRDefault="002851A4" w:rsidP="002851A4">
      <w:pPr>
        <w:spacing w:line="264" w:lineRule="auto"/>
      </w:pPr>
    </w:p>
    <w:p w14:paraId="7AB77E19" w14:textId="77777777" w:rsidR="002851A4" w:rsidRPr="00CE2ACB" w:rsidRDefault="002851A4" w:rsidP="002851A4">
      <w:pPr>
        <w:spacing w:line="264" w:lineRule="auto"/>
      </w:pPr>
    </w:p>
    <w:p w14:paraId="6C6D79E5" w14:textId="77777777" w:rsidR="002851A4" w:rsidRPr="00CE2ACB" w:rsidRDefault="002851A4" w:rsidP="002851A4">
      <w:pPr>
        <w:spacing w:line="264" w:lineRule="auto"/>
      </w:pPr>
    </w:p>
    <w:p w14:paraId="3EEA26ED" w14:textId="77777777" w:rsidR="002851A4" w:rsidRPr="00CE2ACB" w:rsidRDefault="002851A4" w:rsidP="002851A4">
      <w:pPr>
        <w:spacing w:line="264" w:lineRule="auto"/>
      </w:pPr>
    </w:p>
    <w:p w14:paraId="37E418C1" w14:textId="77777777" w:rsidR="002851A4" w:rsidRPr="00CE2ACB" w:rsidRDefault="002851A4" w:rsidP="002851A4">
      <w:pPr>
        <w:spacing w:line="264" w:lineRule="auto"/>
        <w:jc w:val="center"/>
      </w:pPr>
      <w:r w:rsidRPr="00CE2ACB">
        <w:t>Exhibit A</w:t>
      </w:r>
    </w:p>
    <w:p w14:paraId="449688F8" w14:textId="77777777" w:rsidR="002851A4" w:rsidRPr="00CE2ACB" w:rsidRDefault="002851A4" w:rsidP="002851A4">
      <w:pPr>
        <w:spacing w:line="264" w:lineRule="auto"/>
        <w:jc w:val="center"/>
      </w:pPr>
      <w:r w:rsidRPr="00CE2ACB">
        <w:t>Settlement Agreement</w:t>
      </w:r>
    </w:p>
    <w:p w14:paraId="5E11584D" w14:textId="77777777" w:rsidR="002851A4" w:rsidRPr="00CE2ACB" w:rsidRDefault="002851A4" w:rsidP="002851A4">
      <w:pPr>
        <w:spacing w:line="264" w:lineRule="auto"/>
      </w:pPr>
    </w:p>
    <w:p w14:paraId="5A756361" w14:textId="77777777" w:rsidR="00D52D0C" w:rsidRPr="00CE2ACB"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pPr>
    </w:p>
    <w:sectPr w:rsidR="00D52D0C" w:rsidRPr="00CE2ACB" w:rsidSect="00CF0480">
      <w:headerReference w:type="default" r:id="rId11"/>
      <w:headerReference w:type="firs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386E4" w14:textId="77777777" w:rsidR="00746610" w:rsidRDefault="00746610">
      <w:r>
        <w:separator/>
      </w:r>
    </w:p>
  </w:endnote>
  <w:endnote w:type="continuationSeparator" w:id="0">
    <w:p w14:paraId="2BA5B321" w14:textId="77777777" w:rsidR="00746610" w:rsidRDefault="0074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5C374" w14:textId="77777777" w:rsidR="00746610" w:rsidRDefault="00746610">
      <w:r>
        <w:separator/>
      </w:r>
    </w:p>
  </w:footnote>
  <w:footnote w:type="continuationSeparator" w:id="0">
    <w:p w14:paraId="72A2977D" w14:textId="77777777" w:rsidR="00746610" w:rsidRDefault="00746610">
      <w:r>
        <w:continuationSeparator/>
      </w:r>
    </w:p>
  </w:footnote>
  <w:footnote w:id="1">
    <w:p w14:paraId="7149DD56" w14:textId="2FB9361B" w:rsidR="00F6641A" w:rsidRPr="00F6641A" w:rsidRDefault="00F6641A" w:rsidP="00BB4D74">
      <w:pPr>
        <w:pStyle w:val="FootnoteText"/>
        <w:spacing w:after="120"/>
        <w:rPr>
          <w:rFonts w:ascii="Times New Roman" w:hAnsi="Times New Roman"/>
          <w:sz w:val="22"/>
          <w:szCs w:val="22"/>
        </w:rPr>
      </w:pPr>
      <w:r w:rsidRPr="00F6641A">
        <w:rPr>
          <w:rStyle w:val="FootnoteReference"/>
          <w:rFonts w:ascii="Times New Roman" w:hAnsi="Times New Roman"/>
          <w:sz w:val="22"/>
          <w:szCs w:val="22"/>
        </w:rPr>
        <w:footnoteRef/>
      </w:r>
      <w:r w:rsidRPr="00F6641A">
        <w:rPr>
          <w:rFonts w:ascii="Times New Roman" w:hAnsi="Times New Roman"/>
          <w:sz w:val="22"/>
          <w:szCs w:val="22"/>
        </w:rPr>
        <w:t xml:space="preserve"> The Settlement Agreement filed by the parties </w:t>
      </w:r>
      <w:r>
        <w:rPr>
          <w:rFonts w:ascii="Times New Roman" w:hAnsi="Times New Roman"/>
          <w:sz w:val="22"/>
          <w:szCs w:val="22"/>
        </w:rPr>
        <w:t>r</w:t>
      </w:r>
      <w:r w:rsidRPr="00F6641A">
        <w:rPr>
          <w:rFonts w:ascii="Times New Roman" w:hAnsi="Times New Roman"/>
          <w:sz w:val="22"/>
          <w:szCs w:val="22"/>
        </w:rPr>
        <w:t xml:space="preserve">efers to the Company </w:t>
      </w:r>
      <w:r>
        <w:rPr>
          <w:rFonts w:ascii="Times New Roman" w:hAnsi="Times New Roman"/>
          <w:sz w:val="22"/>
          <w:szCs w:val="22"/>
        </w:rPr>
        <w:t xml:space="preserve">throughout the document </w:t>
      </w:r>
      <w:r w:rsidRPr="00F6641A">
        <w:rPr>
          <w:rFonts w:ascii="Times New Roman" w:hAnsi="Times New Roman"/>
          <w:sz w:val="22"/>
          <w:szCs w:val="22"/>
        </w:rPr>
        <w:t>as “Topsoil Inc.</w:t>
      </w:r>
      <w:r>
        <w:rPr>
          <w:rFonts w:ascii="Times New Roman" w:hAnsi="Times New Roman"/>
          <w:sz w:val="22"/>
          <w:szCs w:val="22"/>
        </w:rPr>
        <w:t xml:space="preserve"> d/b/a United Recycling &amp; Container</w:t>
      </w:r>
      <w:r w:rsidRPr="00F6641A">
        <w:rPr>
          <w:rFonts w:ascii="Times New Roman" w:hAnsi="Times New Roman"/>
          <w:sz w:val="22"/>
          <w:szCs w:val="22"/>
        </w:rPr>
        <w:t>,” which is a typographical error. The Company’s legal name is “Topsoils, Inc.</w:t>
      </w:r>
      <w:r>
        <w:rPr>
          <w:rFonts w:ascii="Times New Roman" w:hAnsi="Times New Roman"/>
          <w:sz w:val="22"/>
          <w:szCs w:val="22"/>
        </w:rPr>
        <w:t xml:space="preserve"> d/b/a United Recycling &amp; Container.</w:t>
      </w:r>
      <w:r w:rsidRPr="00F6641A">
        <w:rPr>
          <w:rFonts w:ascii="Times New Roman" w:hAnsi="Times New Roman"/>
          <w:sz w:val="22"/>
          <w:szCs w:val="22"/>
        </w:rPr>
        <w:t>”</w:t>
      </w:r>
    </w:p>
  </w:footnote>
  <w:footnote w:id="2">
    <w:p w14:paraId="5A01FA96" w14:textId="77777777" w:rsidR="00E31BE9" w:rsidRDefault="00E31BE9" w:rsidP="00BB4D74">
      <w:pPr>
        <w:spacing w:after="120"/>
        <w:rPr>
          <w:i/>
          <w:iCs/>
          <w:sz w:val="22"/>
          <w:szCs w:val="22"/>
        </w:rPr>
      </w:pPr>
      <w:r w:rsidRPr="00F6641A">
        <w:rPr>
          <w:rStyle w:val="FootnoteReference"/>
          <w:sz w:val="22"/>
          <w:szCs w:val="22"/>
        </w:rPr>
        <w:footnoteRef/>
      </w:r>
      <w:r w:rsidRPr="00F6641A">
        <w:rPr>
          <w:sz w:val="22"/>
          <w:szCs w:val="22"/>
        </w:rPr>
        <w:t xml:space="preserve"> In formal proceedings, such as this, the Commission’s regulatory staff participates </w:t>
      </w:r>
      <w:r w:rsidRPr="009D593C">
        <w:rPr>
          <w:sz w:val="22"/>
          <w:szCs w:val="22"/>
        </w:rPr>
        <w:t xml:space="preserve">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D593C">
        <w:rPr>
          <w:i/>
          <w:sz w:val="22"/>
          <w:szCs w:val="22"/>
        </w:rPr>
        <w:t xml:space="preserve">See </w:t>
      </w:r>
      <w:r w:rsidRPr="003613CA">
        <w:rPr>
          <w:sz w:val="22"/>
          <w:szCs w:val="22"/>
        </w:rPr>
        <w:t>RCW 34.05.455.</w:t>
      </w:r>
    </w:p>
    <w:p w14:paraId="18F736BE" w14:textId="77777777" w:rsidR="00E31BE9" w:rsidRPr="008738B8" w:rsidRDefault="00E31BE9" w:rsidP="00E31BE9">
      <w:pPr>
        <w:pStyle w:val="FootnoteText"/>
        <w:tabs>
          <w:tab w:val="left" w:pos="0"/>
        </w:tabs>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58AEA45D" w:rsidR="00F660C7" w:rsidRPr="009926F4" w:rsidRDefault="00F660C7">
    <w:pPr>
      <w:pStyle w:val="Header"/>
      <w:tabs>
        <w:tab w:val="left" w:pos="7500"/>
      </w:tabs>
      <w:rPr>
        <w:b/>
        <w:i/>
        <w:sz w:val="20"/>
        <w:szCs w:val="20"/>
      </w:rPr>
    </w:pPr>
    <w:r w:rsidRPr="00A3058F">
      <w:rPr>
        <w:b/>
        <w:sz w:val="20"/>
        <w:szCs w:val="20"/>
      </w:rPr>
      <w:t xml:space="preserve">DOCKET </w:t>
    </w:r>
    <w:r w:rsidR="00CE2ACB">
      <w:rPr>
        <w:b/>
        <w:sz w:val="20"/>
        <w:szCs w:val="20"/>
      </w:rPr>
      <w:t>TG-150233</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BF60DE">
      <w:rPr>
        <w:rStyle w:val="PageNumber"/>
        <w:b/>
        <w:noProof/>
        <w:sz w:val="20"/>
        <w:szCs w:val="20"/>
      </w:rPr>
      <w:t>5</w:t>
    </w:r>
    <w:r w:rsidRPr="00A3058F">
      <w:rPr>
        <w:rStyle w:val="PageNumber"/>
        <w:b/>
        <w:sz w:val="20"/>
        <w:szCs w:val="20"/>
      </w:rPr>
      <w:fldChar w:fldCharType="end"/>
    </w:r>
  </w:p>
  <w:p w14:paraId="5185AB29" w14:textId="5419A347"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CE2ACB">
      <w:rPr>
        <w:b/>
        <w:sz w:val="20"/>
        <w:szCs w:val="20"/>
      </w:rPr>
      <w:t>3</w:t>
    </w:r>
  </w:p>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0A64A081" w:rsidR="00F660C7" w:rsidRPr="0078378E" w:rsidRDefault="0078378E" w:rsidP="0078378E">
    <w:pPr>
      <w:pStyle w:val="Header"/>
      <w:tabs>
        <w:tab w:val="clear" w:pos="4320"/>
        <w:tab w:val="clear" w:pos="8640"/>
        <w:tab w:val="right" w:pos="8500"/>
      </w:tabs>
      <w:jc w:val="right"/>
      <w:rPr>
        <w:b/>
        <w:sz w:val="20"/>
        <w:szCs w:val="20"/>
      </w:rPr>
    </w:pPr>
    <w:r>
      <w:rPr>
        <w:b/>
        <w:sz w:val="20"/>
        <w:szCs w:val="20"/>
      </w:rPr>
      <w:t>[Service date May 21,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33960"/>
    <w:rsid w:val="00040E03"/>
    <w:rsid w:val="0004583F"/>
    <w:rsid w:val="00050223"/>
    <w:rsid w:val="000539B5"/>
    <w:rsid w:val="00056896"/>
    <w:rsid w:val="00060E92"/>
    <w:rsid w:val="00066BD7"/>
    <w:rsid w:val="000743E1"/>
    <w:rsid w:val="000749EC"/>
    <w:rsid w:val="00087CFD"/>
    <w:rsid w:val="00087F33"/>
    <w:rsid w:val="00091417"/>
    <w:rsid w:val="00093519"/>
    <w:rsid w:val="00093E12"/>
    <w:rsid w:val="000A18F8"/>
    <w:rsid w:val="000A65AE"/>
    <w:rsid w:val="000B1755"/>
    <w:rsid w:val="000C1BF5"/>
    <w:rsid w:val="000C45ED"/>
    <w:rsid w:val="000C48F0"/>
    <w:rsid w:val="000D09CD"/>
    <w:rsid w:val="000D0CEC"/>
    <w:rsid w:val="000D27AA"/>
    <w:rsid w:val="000D416C"/>
    <w:rsid w:val="000D7085"/>
    <w:rsid w:val="000F2CED"/>
    <w:rsid w:val="000F5858"/>
    <w:rsid w:val="001066EB"/>
    <w:rsid w:val="00110852"/>
    <w:rsid w:val="0011087F"/>
    <w:rsid w:val="0011708E"/>
    <w:rsid w:val="00122A12"/>
    <w:rsid w:val="00124E4D"/>
    <w:rsid w:val="001305AB"/>
    <w:rsid w:val="0013106B"/>
    <w:rsid w:val="00135F80"/>
    <w:rsid w:val="001413A3"/>
    <w:rsid w:val="00156E38"/>
    <w:rsid w:val="00161D01"/>
    <w:rsid w:val="00161E52"/>
    <w:rsid w:val="00162AD7"/>
    <w:rsid w:val="00163943"/>
    <w:rsid w:val="001657C6"/>
    <w:rsid w:val="00165D2E"/>
    <w:rsid w:val="001668DF"/>
    <w:rsid w:val="001743C6"/>
    <w:rsid w:val="0018207C"/>
    <w:rsid w:val="001843ED"/>
    <w:rsid w:val="00190527"/>
    <w:rsid w:val="00193EA4"/>
    <w:rsid w:val="001A10BC"/>
    <w:rsid w:val="001A6C13"/>
    <w:rsid w:val="001B1DE9"/>
    <w:rsid w:val="001B20FC"/>
    <w:rsid w:val="001B21C9"/>
    <w:rsid w:val="001B37E2"/>
    <w:rsid w:val="001B5A4D"/>
    <w:rsid w:val="001B76E5"/>
    <w:rsid w:val="001D36D6"/>
    <w:rsid w:val="001D38C1"/>
    <w:rsid w:val="001D38CD"/>
    <w:rsid w:val="001E224F"/>
    <w:rsid w:val="001E2D07"/>
    <w:rsid w:val="001E4C32"/>
    <w:rsid w:val="001E7255"/>
    <w:rsid w:val="001E7E97"/>
    <w:rsid w:val="001F093B"/>
    <w:rsid w:val="00203AED"/>
    <w:rsid w:val="0020555B"/>
    <w:rsid w:val="0020787F"/>
    <w:rsid w:val="00210B72"/>
    <w:rsid w:val="00212638"/>
    <w:rsid w:val="002130A7"/>
    <w:rsid w:val="0021399F"/>
    <w:rsid w:val="00216A6C"/>
    <w:rsid w:val="00222C70"/>
    <w:rsid w:val="00223D09"/>
    <w:rsid w:val="00224ED6"/>
    <w:rsid w:val="00226213"/>
    <w:rsid w:val="002267F5"/>
    <w:rsid w:val="00230229"/>
    <w:rsid w:val="0023263D"/>
    <w:rsid w:val="002327A0"/>
    <w:rsid w:val="00237564"/>
    <w:rsid w:val="0024536A"/>
    <w:rsid w:val="00246271"/>
    <w:rsid w:val="0025149F"/>
    <w:rsid w:val="00253B84"/>
    <w:rsid w:val="00253DC6"/>
    <w:rsid w:val="00257E99"/>
    <w:rsid w:val="00267BBF"/>
    <w:rsid w:val="0027078C"/>
    <w:rsid w:val="002851A4"/>
    <w:rsid w:val="00290475"/>
    <w:rsid w:val="002905AB"/>
    <w:rsid w:val="00294903"/>
    <w:rsid w:val="002959DD"/>
    <w:rsid w:val="002A1059"/>
    <w:rsid w:val="002A202A"/>
    <w:rsid w:val="002B411C"/>
    <w:rsid w:val="002B4CAE"/>
    <w:rsid w:val="002B638C"/>
    <w:rsid w:val="002B65F7"/>
    <w:rsid w:val="002C3999"/>
    <w:rsid w:val="002C39E5"/>
    <w:rsid w:val="002C4B2D"/>
    <w:rsid w:val="002D64F4"/>
    <w:rsid w:val="002D72C4"/>
    <w:rsid w:val="002E561A"/>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7C31"/>
    <w:rsid w:val="003518AF"/>
    <w:rsid w:val="00360219"/>
    <w:rsid w:val="003613CA"/>
    <w:rsid w:val="003614B1"/>
    <w:rsid w:val="003633BB"/>
    <w:rsid w:val="003814A6"/>
    <w:rsid w:val="003816EA"/>
    <w:rsid w:val="00382D56"/>
    <w:rsid w:val="00394F38"/>
    <w:rsid w:val="00395E32"/>
    <w:rsid w:val="003A315B"/>
    <w:rsid w:val="003A3E3D"/>
    <w:rsid w:val="003A65D0"/>
    <w:rsid w:val="003A6AEF"/>
    <w:rsid w:val="003B015D"/>
    <w:rsid w:val="003B48E5"/>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3009C"/>
    <w:rsid w:val="0043262B"/>
    <w:rsid w:val="004363C5"/>
    <w:rsid w:val="00436809"/>
    <w:rsid w:val="00440C11"/>
    <w:rsid w:val="00441A6D"/>
    <w:rsid w:val="00444E8D"/>
    <w:rsid w:val="004450F8"/>
    <w:rsid w:val="00445BEE"/>
    <w:rsid w:val="00446D7F"/>
    <w:rsid w:val="00450BD1"/>
    <w:rsid w:val="00457065"/>
    <w:rsid w:val="004671E9"/>
    <w:rsid w:val="0047091D"/>
    <w:rsid w:val="00471CF2"/>
    <w:rsid w:val="00472937"/>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4C1F"/>
    <w:rsid w:val="004E521E"/>
    <w:rsid w:val="004E752F"/>
    <w:rsid w:val="004F0424"/>
    <w:rsid w:val="004F3E1C"/>
    <w:rsid w:val="004F4C07"/>
    <w:rsid w:val="004F5D4C"/>
    <w:rsid w:val="00501BDD"/>
    <w:rsid w:val="00503866"/>
    <w:rsid w:val="00503CF0"/>
    <w:rsid w:val="0050560B"/>
    <w:rsid w:val="00506493"/>
    <w:rsid w:val="0050663B"/>
    <w:rsid w:val="00511797"/>
    <w:rsid w:val="00516891"/>
    <w:rsid w:val="00522B65"/>
    <w:rsid w:val="005266CF"/>
    <w:rsid w:val="00526C60"/>
    <w:rsid w:val="00532CAF"/>
    <w:rsid w:val="005332E5"/>
    <w:rsid w:val="00540FC5"/>
    <w:rsid w:val="00547DFD"/>
    <w:rsid w:val="00550283"/>
    <w:rsid w:val="005578B1"/>
    <w:rsid w:val="00566525"/>
    <w:rsid w:val="00566ABC"/>
    <w:rsid w:val="00566F0F"/>
    <w:rsid w:val="00570C58"/>
    <w:rsid w:val="00574824"/>
    <w:rsid w:val="005759DF"/>
    <w:rsid w:val="00592F9C"/>
    <w:rsid w:val="00593955"/>
    <w:rsid w:val="005971DF"/>
    <w:rsid w:val="005A22D0"/>
    <w:rsid w:val="005A272D"/>
    <w:rsid w:val="005A2B62"/>
    <w:rsid w:val="005A37BC"/>
    <w:rsid w:val="005A608F"/>
    <w:rsid w:val="005B3E8B"/>
    <w:rsid w:val="005C14C5"/>
    <w:rsid w:val="005C152F"/>
    <w:rsid w:val="005C50F9"/>
    <w:rsid w:val="005E28EE"/>
    <w:rsid w:val="005E2EFB"/>
    <w:rsid w:val="005F0FAE"/>
    <w:rsid w:val="00602D0D"/>
    <w:rsid w:val="00603378"/>
    <w:rsid w:val="00604FA8"/>
    <w:rsid w:val="00606933"/>
    <w:rsid w:val="0062391D"/>
    <w:rsid w:val="00625260"/>
    <w:rsid w:val="00632FFB"/>
    <w:rsid w:val="00635B01"/>
    <w:rsid w:val="006418A3"/>
    <w:rsid w:val="0064523D"/>
    <w:rsid w:val="00645388"/>
    <w:rsid w:val="006463BF"/>
    <w:rsid w:val="00647302"/>
    <w:rsid w:val="00652713"/>
    <w:rsid w:val="00653F70"/>
    <w:rsid w:val="00655F16"/>
    <w:rsid w:val="006574F1"/>
    <w:rsid w:val="00657C3C"/>
    <w:rsid w:val="00661B90"/>
    <w:rsid w:val="0066216E"/>
    <w:rsid w:val="006640FE"/>
    <w:rsid w:val="0066529F"/>
    <w:rsid w:val="006673D8"/>
    <w:rsid w:val="00671609"/>
    <w:rsid w:val="00671D25"/>
    <w:rsid w:val="006749DE"/>
    <w:rsid w:val="00693159"/>
    <w:rsid w:val="006A4CAF"/>
    <w:rsid w:val="006B2415"/>
    <w:rsid w:val="006B4B79"/>
    <w:rsid w:val="006B7DFD"/>
    <w:rsid w:val="006C0E03"/>
    <w:rsid w:val="006C48F0"/>
    <w:rsid w:val="006D1AC9"/>
    <w:rsid w:val="006D28B7"/>
    <w:rsid w:val="006E0530"/>
    <w:rsid w:val="006E1E9F"/>
    <w:rsid w:val="006E29D9"/>
    <w:rsid w:val="006E33BA"/>
    <w:rsid w:val="006E4A01"/>
    <w:rsid w:val="006E5595"/>
    <w:rsid w:val="006F1F39"/>
    <w:rsid w:val="006F6299"/>
    <w:rsid w:val="00701A3A"/>
    <w:rsid w:val="00704413"/>
    <w:rsid w:val="00705F32"/>
    <w:rsid w:val="007069FF"/>
    <w:rsid w:val="0071069F"/>
    <w:rsid w:val="007137D9"/>
    <w:rsid w:val="00721611"/>
    <w:rsid w:val="007243BB"/>
    <w:rsid w:val="00737BB8"/>
    <w:rsid w:val="00740ED6"/>
    <w:rsid w:val="0074419B"/>
    <w:rsid w:val="00746610"/>
    <w:rsid w:val="0075002E"/>
    <w:rsid w:val="00751AD5"/>
    <w:rsid w:val="0075236E"/>
    <w:rsid w:val="00753E7A"/>
    <w:rsid w:val="007544DE"/>
    <w:rsid w:val="00765FAD"/>
    <w:rsid w:val="00773B07"/>
    <w:rsid w:val="0077488A"/>
    <w:rsid w:val="00776562"/>
    <w:rsid w:val="00776F97"/>
    <w:rsid w:val="0077744C"/>
    <w:rsid w:val="00777A91"/>
    <w:rsid w:val="007825EA"/>
    <w:rsid w:val="00783100"/>
    <w:rsid w:val="0078378E"/>
    <w:rsid w:val="00787DAE"/>
    <w:rsid w:val="007A0E80"/>
    <w:rsid w:val="007A6909"/>
    <w:rsid w:val="007B37AC"/>
    <w:rsid w:val="007B4E87"/>
    <w:rsid w:val="007C080A"/>
    <w:rsid w:val="007C091F"/>
    <w:rsid w:val="007C2A48"/>
    <w:rsid w:val="007C2B76"/>
    <w:rsid w:val="007C2BFB"/>
    <w:rsid w:val="007D31C1"/>
    <w:rsid w:val="007E09AC"/>
    <w:rsid w:val="007F5092"/>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1C6B"/>
    <w:rsid w:val="0086319F"/>
    <w:rsid w:val="0086445E"/>
    <w:rsid w:val="00871A60"/>
    <w:rsid w:val="008738B8"/>
    <w:rsid w:val="00875A80"/>
    <w:rsid w:val="00875DD8"/>
    <w:rsid w:val="008859A7"/>
    <w:rsid w:val="00885A30"/>
    <w:rsid w:val="008A1A57"/>
    <w:rsid w:val="008A1F84"/>
    <w:rsid w:val="008A3826"/>
    <w:rsid w:val="008A4D72"/>
    <w:rsid w:val="008A5A4F"/>
    <w:rsid w:val="008A7705"/>
    <w:rsid w:val="008B1AB6"/>
    <w:rsid w:val="008B23AC"/>
    <w:rsid w:val="008C3790"/>
    <w:rsid w:val="008C3A8A"/>
    <w:rsid w:val="008C5DF0"/>
    <w:rsid w:val="008D0447"/>
    <w:rsid w:val="008D06E8"/>
    <w:rsid w:val="008D1A3D"/>
    <w:rsid w:val="008D3550"/>
    <w:rsid w:val="008D6290"/>
    <w:rsid w:val="008E1A4D"/>
    <w:rsid w:val="008E29F3"/>
    <w:rsid w:val="008E5161"/>
    <w:rsid w:val="008F01FD"/>
    <w:rsid w:val="008F7B23"/>
    <w:rsid w:val="009053D1"/>
    <w:rsid w:val="0090632B"/>
    <w:rsid w:val="00921118"/>
    <w:rsid w:val="00935719"/>
    <w:rsid w:val="00936308"/>
    <w:rsid w:val="0093784D"/>
    <w:rsid w:val="0094070D"/>
    <w:rsid w:val="009418E1"/>
    <w:rsid w:val="0094428E"/>
    <w:rsid w:val="0094590A"/>
    <w:rsid w:val="00955D5D"/>
    <w:rsid w:val="009573C9"/>
    <w:rsid w:val="009624C7"/>
    <w:rsid w:val="0096446E"/>
    <w:rsid w:val="00965E80"/>
    <w:rsid w:val="00982357"/>
    <w:rsid w:val="00991A0D"/>
    <w:rsid w:val="009926F4"/>
    <w:rsid w:val="009A04F7"/>
    <w:rsid w:val="009A14DC"/>
    <w:rsid w:val="009A1AAC"/>
    <w:rsid w:val="009A576B"/>
    <w:rsid w:val="009A6407"/>
    <w:rsid w:val="009B0BED"/>
    <w:rsid w:val="009B16FE"/>
    <w:rsid w:val="009B4586"/>
    <w:rsid w:val="009B50FC"/>
    <w:rsid w:val="009B5AAE"/>
    <w:rsid w:val="009B75CE"/>
    <w:rsid w:val="009C1CBE"/>
    <w:rsid w:val="009D593C"/>
    <w:rsid w:val="009D6DA9"/>
    <w:rsid w:val="009E0A5F"/>
    <w:rsid w:val="009E2756"/>
    <w:rsid w:val="009E771B"/>
    <w:rsid w:val="009F03CC"/>
    <w:rsid w:val="009F0ACA"/>
    <w:rsid w:val="009F1E33"/>
    <w:rsid w:val="009F5811"/>
    <w:rsid w:val="009F6C2C"/>
    <w:rsid w:val="009F7EA7"/>
    <w:rsid w:val="00A1302C"/>
    <w:rsid w:val="00A15598"/>
    <w:rsid w:val="00A1599D"/>
    <w:rsid w:val="00A213B7"/>
    <w:rsid w:val="00A22808"/>
    <w:rsid w:val="00A24A68"/>
    <w:rsid w:val="00A3058F"/>
    <w:rsid w:val="00A348A1"/>
    <w:rsid w:val="00A37402"/>
    <w:rsid w:val="00A42996"/>
    <w:rsid w:val="00A43DC9"/>
    <w:rsid w:val="00A44D90"/>
    <w:rsid w:val="00A47C2B"/>
    <w:rsid w:val="00A55AFF"/>
    <w:rsid w:val="00A55FC7"/>
    <w:rsid w:val="00A56A49"/>
    <w:rsid w:val="00A572F7"/>
    <w:rsid w:val="00A57DAC"/>
    <w:rsid w:val="00A60CFB"/>
    <w:rsid w:val="00A61EA6"/>
    <w:rsid w:val="00A62FCE"/>
    <w:rsid w:val="00A67096"/>
    <w:rsid w:val="00A70D52"/>
    <w:rsid w:val="00A80B43"/>
    <w:rsid w:val="00A812B5"/>
    <w:rsid w:val="00AA13A1"/>
    <w:rsid w:val="00AA1962"/>
    <w:rsid w:val="00AA5C0C"/>
    <w:rsid w:val="00AB1E17"/>
    <w:rsid w:val="00AB3F5E"/>
    <w:rsid w:val="00AD4C84"/>
    <w:rsid w:val="00AD70E0"/>
    <w:rsid w:val="00AE03DD"/>
    <w:rsid w:val="00AE1A00"/>
    <w:rsid w:val="00AE4895"/>
    <w:rsid w:val="00AE75C2"/>
    <w:rsid w:val="00AF3E15"/>
    <w:rsid w:val="00AF4DD1"/>
    <w:rsid w:val="00AF6EA4"/>
    <w:rsid w:val="00B0319E"/>
    <w:rsid w:val="00B03C88"/>
    <w:rsid w:val="00B10005"/>
    <w:rsid w:val="00B13A14"/>
    <w:rsid w:val="00B2030A"/>
    <w:rsid w:val="00B2284E"/>
    <w:rsid w:val="00B235D5"/>
    <w:rsid w:val="00B337DF"/>
    <w:rsid w:val="00B47765"/>
    <w:rsid w:val="00B47CF3"/>
    <w:rsid w:val="00B51389"/>
    <w:rsid w:val="00B517F6"/>
    <w:rsid w:val="00B520DA"/>
    <w:rsid w:val="00B64E29"/>
    <w:rsid w:val="00B65376"/>
    <w:rsid w:val="00B664D3"/>
    <w:rsid w:val="00B72462"/>
    <w:rsid w:val="00B773CD"/>
    <w:rsid w:val="00B8392B"/>
    <w:rsid w:val="00B86658"/>
    <w:rsid w:val="00B90CB9"/>
    <w:rsid w:val="00B91677"/>
    <w:rsid w:val="00BA5BA7"/>
    <w:rsid w:val="00BB0EDB"/>
    <w:rsid w:val="00BB4D74"/>
    <w:rsid w:val="00BB5222"/>
    <w:rsid w:val="00BC17A4"/>
    <w:rsid w:val="00BC1F6D"/>
    <w:rsid w:val="00BC2995"/>
    <w:rsid w:val="00BC2B36"/>
    <w:rsid w:val="00BC4ADB"/>
    <w:rsid w:val="00BC54C9"/>
    <w:rsid w:val="00BC688C"/>
    <w:rsid w:val="00BD161A"/>
    <w:rsid w:val="00BD6BDF"/>
    <w:rsid w:val="00BD7482"/>
    <w:rsid w:val="00BE5F3B"/>
    <w:rsid w:val="00BF0D7E"/>
    <w:rsid w:val="00BF5C27"/>
    <w:rsid w:val="00BF60DE"/>
    <w:rsid w:val="00C05FF3"/>
    <w:rsid w:val="00C0605F"/>
    <w:rsid w:val="00C12D92"/>
    <w:rsid w:val="00C12E31"/>
    <w:rsid w:val="00C13EF9"/>
    <w:rsid w:val="00C233C5"/>
    <w:rsid w:val="00C23C7E"/>
    <w:rsid w:val="00C26469"/>
    <w:rsid w:val="00C30AAA"/>
    <w:rsid w:val="00C3302B"/>
    <w:rsid w:val="00C34B05"/>
    <w:rsid w:val="00C41DF9"/>
    <w:rsid w:val="00C46A9E"/>
    <w:rsid w:val="00C529DB"/>
    <w:rsid w:val="00C5360E"/>
    <w:rsid w:val="00C550DC"/>
    <w:rsid w:val="00C56310"/>
    <w:rsid w:val="00C61727"/>
    <w:rsid w:val="00C67FF4"/>
    <w:rsid w:val="00C72E68"/>
    <w:rsid w:val="00C747F9"/>
    <w:rsid w:val="00C7603A"/>
    <w:rsid w:val="00C84EFC"/>
    <w:rsid w:val="00C87793"/>
    <w:rsid w:val="00C942B7"/>
    <w:rsid w:val="00CA73CC"/>
    <w:rsid w:val="00CB3A38"/>
    <w:rsid w:val="00CB5BA3"/>
    <w:rsid w:val="00CC032B"/>
    <w:rsid w:val="00CC5973"/>
    <w:rsid w:val="00CC764F"/>
    <w:rsid w:val="00CC7A16"/>
    <w:rsid w:val="00CE00E1"/>
    <w:rsid w:val="00CE2ACB"/>
    <w:rsid w:val="00CE57E3"/>
    <w:rsid w:val="00CE7D37"/>
    <w:rsid w:val="00CF0480"/>
    <w:rsid w:val="00CF193D"/>
    <w:rsid w:val="00CF1FE2"/>
    <w:rsid w:val="00CF3AD9"/>
    <w:rsid w:val="00CF784B"/>
    <w:rsid w:val="00D01377"/>
    <w:rsid w:val="00D0255A"/>
    <w:rsid w:val="00D0339B"/>
    <w:rsid w:val="00D03BDE"/>
    <w:rsid w:val="00D1007C"/>
    <w:rsid w:val="00D10D07"/>
    <w:rsid w:val="00D123B7"/>
    <w:rsid w:val="00D23426"/>
    <w:rsid w:val="00D24472"/>
    <w:rsid w:val="00D27AAC"/>
    <w:rsid w:val="00D30650"/>
    <w:rsid w:val="00D32478"/>
    <w:rsid w:val="00D37044"/>
    <w:rsid w:val="00D37088"/>
    <w:rsid w:val="00D413FF"/>
    <w:rsid w:val="00D42611"/>
    <w:rsid w:val="00D42AC8"/>
    <w:rsid w:val="00D46E3F"/>
    <w:rsid w:val="00D4799C"/>
    <w:rsid w:val="00D52D0C"/>
    <w:rsid w:val="00D532ED"/>
    <w:rsid w:val="00D55F69"/>
    <w:rsid w:val="00D57049"/>
    <w:rsid w:val="00D60475"/>
    <w:rsid w:val="00D65108"/>
    <w:rsid w:val="00D8365F"/>
    <w:rsid w:val="00D84C1C"/>
    <w:rsid w:val="00D84CB1"/>
    <w:rsid w:val="00D87220"/>
    <w:rsid w:val="00D92D5F"/>
    <w:rsid w:val="00D95410"/>
    <w:rsid w:val="00D96159"/>
    <w:rsid w:val="00DA5DBB"/>
    <w:rsid w:val="00DB2066"/>
    <w:rsid w:val="00DB55BB"/>
    <w:rsid w:val="00DC1377"/>
    <w:rsid w:val="00DC2871"/>
    <w:rsid w:val="00DC419F"/>
    <w:rsid w:val="00DC4C03"/>
    <w:rsid w:val="00DD0DCE"/>
    <w:rsid w:val="00DD1B44"/>
    <w:rsid w:val="00DE1A51"/>
    <w:rsid w:val="00DE1B7E"/>
    <w:rsid w:val="00DE62A6"/>
    <w:rsid w:val="00DF60A2"/>
    <w:rsid w:val="00E00106"/>
    <w:rsid w:val="00E06387"/>
    <w:rsid w:val="00E064C0"/>
    <w:rsid w:val="00E105D7"/>
    <w:rsid w:val="00E12B40"/>
    <w:rsid w:val="00E17F82"/>
    <w:rsid w:val="00E27AAB"/>
    <w:rsid w:val="00E27B1E"/>
    <w:rsid w:val="00E30EFE"/>
    <w:rsid w:val="00E31BE9"/>
    <w:rsid w:val="00E37F39"/>
    <w:rsid w:val="00E4229A"/>
    <w:rsid w:val="00E42483"/>
    <w:rsid w:val="00E42F47"/>
    <w:rsid w:val="00E468F3"/>
    <w:rsid w:val="00E512B4"/>
    <w:rsid w:val="00E52504"/>
    <w:rsid w:val="00E65763"/>
    <w:rsid w:val="00E65AB7"/>
    <w:rsid w:val="00E67A29"/>
    <w:rsid w:val="00E71B2D"/>
    <w:rsid w:val="00E72785"/>
    <w:rsid w:val="00E77DD3"/>
    <w:rsid w:val="00E814B6"/>
    <w:rsid w:val="00E85339"/>
    <w:rsid w:val="00E9026F"/>
    <w:rsid w:val="00E924CE"/>
    <w:rsid w:val="00E9557D"/>
    <w:rsid w:val="00E95B1E"/>
    <w:rsid w:val="00E9644B"/>
    <w:rsid w:val="00EA388B"/>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6641A"/>
    <w:rsid w:val="00F74668"/>
    <w:rsid w:val="00F7491D"/>
    <w:rsid w:val="00F90585"/>
    <w:rsid w:val="00F93FB7"/>
    <w:rsid w:val="00FA0A8F"/>
    <w:rsid w:val="00FA1E5A"/>
    <w:rsid w:val="00FA2E4B"/>
    <w:rsid w:val="00FC2AA6"/>
    <w:rsid w:val="00FC65B8"/>
    <w:rsid w:val="00FD354C"/>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2015-02-12T08:00:00+00:00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Topsoils, Inc.</CaseCompanyNames>
    <DocketNumber xmlns="dc463f71-b30c-4ab2-9473-d307f9d35888">150233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3736B69EB0514D91E5C7D8E4EF86CA" ma:contentTypeVersion="119" ma:contentTypeDescription="" ma:contentTypeScope="" ma:versionID="77d5feb575572b9b585e24989c4e7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BAE15-59AB-4F08-9A76-ED94FF6AE471}"/>
</file>

<file path=customXml/itemProps2.xml><?xml version="1.0" encoding="utf-8"?>
<ds:datastoreItem xmlns:ds="http://schemas.openxmlformats.org/officeDocument/2006/customXml" ds:itemID="{7A8DC14F-CD6F-4069-9385-9519FB167EA9}"/>
</file>

<file path=customXml/itemProps3.xml><?xml version="1.0" encoding="utf-8"?>
<ds:datastoreItem xmlns:ds="http://schemas.openxmlformats.org/officeDocument/2006/customXml" ds:itemID="{EFA29DC7-3B9C-46AB-A452-05ECCC2C48EF}"/>
</file>

<file path=customXml/itemProps4.xml><?xml version="1.0" encoding="utf-8"?>
<ds:datastoreItem xmlns:ds="http://schemas.openxmlformats.org/officeDocument/2006/customXml" ds:itemID="{178A2FCE-1538-49D8-A830-C425C8348EE4}"/>
</file>

<file path=customXml/itemProps5.xml><?xml version="1.0" encoding="utf-8"?>
<ds:datastoreItem xmlns:ds="http://schemas.openxmlformats.org/officeDocument/2006/customXml" ds:itemID="{A6AA3506-F350-4C09-8B05-2A7D49D8D14A}"/>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2015-05-20T23:31:00Z</dcterms:created>
  <dcterms:modified xsi:type="dcterms:W3CDTF">2015-05-21T15:48:00Z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0x0101006E56B4D1795A2E4DB2F0B01679ED314A002A3736B69EB0514D91E5C7D8E4EF86CA</vt:lpwstr>
  </property>
  <property fmtid="{D5CDD505-2E9C-101B-9397-08002B2CF9AE}" pid="3" name="_docset_NoMedatataSyncRequired">
    <vt:lpwstr>False</vt:lpwstr>
  </property>
</Properties>
</file>