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3AF" w:rsidRDefault="005073AF" w:rsidP="00394BC1">
      <w:pPr>
        <w:tabs>
          <w:tab w:val="center" w:pos="4680"/>
        </w:tabs>
        <w:jc w:val="center"/>
        <w:rPr>
          <w:b/>
          <w:bCs/>
        </w:rPr>
      </w:pPr>
    </w:p>
    <w:p w:rsidR="00F01C9B" w:rsidRPr="0093018D" w:rsidRDefault="00416823" w:rsidP="00394BC1">
      <w:pPr>
        <w:tabs>
          <w:tab w:val="center" w:pos="4680"/>
        </w:tabs>
        <w:jc w:val="center"/>
        <w:rPr>
          <w:b/>
          <w:bCs/>
        </w:rPr>
      </w:pPr>
      <w:r>
        <w:rPr>
          <w:b/>
          <w:bCs/>
        </w:rPr>
        <w:t>BEFORE THE WASHINGTON UTILITIES AND TRANSPORTATION COMMISSION</w:t>
      </w:r>
    </w:p>
    <w:p w:rsidR="005073AF" w:rsidRPr="00A04960" w:rsidRDefault="005073AF" w:rsidP="00394BC1">
      <w:pPr>
        <w:rPr>
          <w:b/>
          <w:bCs/>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5220"/>
      </w:tblGrid>
      <w:tr w:rsidR="005369B1" w:rsidRPr="005369B1" w:rsidTr="00416823">
        <w:tc>
          <w:tcPr>
            <w:tcW w:w="4590" w:type="dxa"/>
            <w:tcBorders>
              <w:top w:val="single" w:sz="6" w:space="0" w:color="FFFFFF"/>
              <w:left w:val="single" w:sz="6" w:space="0" w:color="FFFFFF"/>
              <w:bottom w:val="single" w:sz="7" w:space="0" w:color="000000"/>
              <w:right w:val="single" w:sz="6" w:space="0" w:color="FFFFFF"/>
            </w:tcBorders>
          </w:tcPr>
          <w:p w:rsidR="005369B1" w:rsidRDefault="005369B1" w:rsidP="005369B1">
            <w:pPr>
              <w:tabs>
                <w:tab w:val="left" w:pos="-1440"/>
              </w:tabs>
              <w:spacing w:before="0" w:after="0"/>
              <w:ind w:left="4320" w:hanging="4320"/>
              <w:rPr>
                <w:b/>
                <w:bCs/>
              </w:rPr>
            </w:pPr>
            <w:r w:rsidRPr="00A04960">
              <w:rPr>
                <w:b/>
                <w:bCs/>
              </w:rPr>
              <w:t>In the Matter of</w:t>
            </w:r>
          </w:p>
          <w:p w:rsidR="005369B1" w:rsidRPr="00A04960" w:rsidRDefault="005369B1" w:rsidP="005369B1">
            <w:pPr>
              <w:tabs>
                <w:tab w:val="left" w:pos="-1440"/>
              </w:tabs>
              <w:spacing w:before="0" w:after="0"/>
              <w:ind w:left="4320" w:hanging="4320"/>
              <w:rPr>
                <w:b/>
                <w:bCs/>
              </w:rPr>
            </w:pPr>
          </w:p>
          <w:p w:rsidR="005369B1" w:rsidRDefault="005369B1" w:rsidP="005369B1">
            <w:pPr>
              <w:tabs>
                <w:tab w:val="left" w:pos="-1440"/>
              </w:tabs>
              <w:spacing w:before="0" w:after="0"/>
              <w:rPr>
                <w:b/>
              </w:rPr>
            </w:pPr>
            <w:r w:rsidRPr="00A04960">
              <w:rPr>
                <w:b/>
              </w:rPr>
              <w:t>EVALUATING ELECTRIC UTILITY RENEWABLE PORTFOLIO STANDARD</w:t>
            </w:r>
            <w:r>
              <w:rPr>
                <w:b/>
              </w:rPr>
              <w:t xml:space="preserve"> REPORTS </w:t>
            </w:r>
            <w:r w:rsidRPr="00A04960">
              <w:rPr>
                <w:b/>
              </w:rPr>
              <w:t xml:space="preserve">UNDER THE ENERGY INDEPENDENCE ACT, </w:t>
            </w:r>
          </w:p>
          <w:p w:rsidR="005369B1" w:rsidRPr="00A04960" w:rsidRDefault="005369B1" w:rsidP="005369B1">
            <w:pPr>
              <w:tabs>
                <w:tab w:val="left" w:pos="-1440"/>
              </w:tabs>
              <w:spacing w:before="0" w:after="0"/>
              <w:rPr>
                <w:b/>
                <w:bCs/>
              </w:rPr>
            </w:pPr>
            <w:r w:rsidRPr="00A04960">
              <w:rPr>
                <w:b/>
              </w:rPr>
              <w:t>RCW 19.285 and WAC 480-109</w:t>
            </w:r>
          </w:p>
          <w:p w:rsidR="005369B1" w:rsidRPr="005369B1" w:rsidRDefault="005369B1" w:rsidP="005369B1">
            <w:pPr>
              <w:widowControl w:val="0"/>
              <w:autoSpaceDE w:val="0"/>
              <w:autoSpaceDN w:val="0"/>
              <w:adjustRightInd w:val="0"/>
              <w:spacing w:before="0" w:after="19"/>
            </w:pPr>
          </w:p>
        </w:tc>
        <w:tc>
          <w:tcPr>
            <w:tcW w:w="5220" w:type="dxa"/>
            <w:tcBorders>
              <w:top w:val="single" w:sz="6" w:space="0" w:color="FFFFFF"/>
              <w:left w:val="single" w:sz="7" w:space="0" w:color="000000"/>
              <w:bottom w:val="single" w:sz="6" w:space="0" w:color="FFFFFF"/>
              <w:right w:val="single" w:sz="6" w:space="0" w:color="FFFFFF"/>
            </w:tcBorders>
          </w:tcPr>
          <w:p w:rsidR="005369B1" w:rsidRDefault="00416823" w:rsidP="005369B1">
            <w:pPr>
              <w:spacing w:before="0" w:after="0"/>
              <w:ind w:left="416"/>
              <w:rPr>
                <w:b/>
                <w:bCs/>
              </w:rPr>
            </w:pPr>
            <w:r>
              <w:rPr>
                <w:b/>
                <w:bCs/>
              </w:rPr>
              <w:t xml:space="preserve">DOCKET </w:t>
            </w:r>
            <w:proofErr w:type="spellStart"/>
            <w:r>
              <w:rPr>
                <w:b/>
                <w:bCs/>
              </w:rPr>
              <w:t>UE</w:t>
            </w:r>
            <w:proofErr w:type="spellEnd"/>
            <w:r>
              <w:rPr>
                <w:b/>
                <w:bCs/>
              </w:rPr>
              <w:t xml:space="preserve">-120791 - </w:t>
            </w:r>
            <w:r w:rsidR="005369B1" w:rsidRPr="00A04960">
              <w:rPr>
                <w:b/>
                <w:bCs/>
              </w:rPr>
              <w:t xml:space="preserve">Avista Corporation </w:t>
            </w:r>
          </w:p>
          <w:p w:rsidR="005369B1" w:rsidRPr="00A04960" w:rsidRDefault="00416823" w:rsidP="005369B1">
            <w:pPr>
              <w:spacing w:before="0" w:after="0"/>
              <w:ind w:left="416"/>
              <w:rPr>
                <w:b/>
                <w:bCs/>
              </w:rPr>
            </w:pPr>
            <w:r>
              <w:rPr>
                <w:b/>
                <w:bCs/>
              </w:rPr>
              <w:t xml:space="preserve">DOCKET </w:t>
            </w:r>
            <w:proofErr w:type="spellStart"/>
            <w:r>
              <w:rPr>
                <w:b/>
                <w:bCs/>
              </w:rPr>
              <w:t>UE</w:t>
            </w:r>
            <w:proofErr w:type="spellEnd"/>
            <w:r>
              <w:rPr>
                <w:b/>
                <w:bCs/>
              </w:rPr>
              <w:t>-</w:t>
            </w:r>
            <w:r w:rsidR="005369B1">
              <w:rPr>
                <w:b/>
                <w:bCs/>
              </w:rPr>
              <w:t>120802</w:t>
            </w:r>
            <w:r>
              <w:rPr>
                <w:b/>
                <w:bCs/>
              </w:rPr>
              <w:t xml:space="preserve"> - </w:t>
            </w:r>
            <w:r w:rsidR="005369B1">
              <w:rPr>
                <w:b/>
                <w:bCs/>
              </w:rPr>
              <w:t>Puget Sound Energy</w:t>
            </w:r>
          </w:p>
          <w:p w:rsidR="005369B1" w:rsidRPr="00A04960" w:rsidRDefault="00416823" w:rsidP="005369B1">
            <w:pPr>
              <w:spacing w:before="0" w:after="0"/>
              <w:ind w:left="416"/>
              <w:rPr>
                <w:b/>
                <w:bCs/>
              </w:rPr>
            </w:pPr>
            <w:r>
              <w:rPr>
                <w:b/>
                <w:bCs/>
              </w:rPr>
              <w:t xml:space="preserve">DOCKET </w:t>
            </w:r>
            <w:proofErr w:type="spellStart"/>
            <w:r>
              <w:rPr>
                <w:b/>
                <w:bCs/>
              </w:rPr>
              <w:t>UE</w:t>
            </w:r>
            <w:proofErr w:type="spellEnd"/>
            <w:r>
              <w:rPr>
                <w:b/>
                <w:bCs/>
              </w:rPr>
              <w:t xml:space="preserve">-120813 - </w:t>
            </w:r>
            <w:r w:rsidR="005369B1" w:rsidRPr="00A04960">
              <w:rPr>
                <w:b/>
                <w:bCs/>
              </w:rPr>
              <w:t xml:space="preserve">Pacific Power and </w:t>
            </w:r>
            <w:r>
              <w:rPr>
                <w:b/>
                <w:bCs/>
              </w:rPr>
              <w:tab/>
            </w:r>
            <w:r>
              <w:rPr>
                <w:b/>
                <w:bCs/>
              </w:rPr>
              <w:tab/>
            </w:r>
            <w:r w:rsidR="005369B1" w:rsidRPr="00A04960">
              <w:rPr>
                <w:b/>
                <w:bCs/>
              </w:rPr>
              <w:t xml:space="preserve">Light Company </w:t>
            </w:r>
            <w:proofErr w:type="spellStart"/>
            <w:r w:rsidR="005369B1" w:rsidRPr="00A04960">
              <w:rPr>
                <w:b/>
                <w:bCs/>
              </w:rPr>
              <w:t>dba</w:t>
            </w:r>
            <w:proofErr w:type="spellEnd"/>
            <w:r w:rsidR="005369B1" w:rsidRPr="00A04960">
              <w:rPr>
                <w:b/>
                <w:bCs/>
              </w:rPr>
              <w:t xml:space="preserve"> PacifiCorp</w:t>
            </w:r>
          </w:p>
          <w:p w:rsidR="005369B1" w:rsidRPr="005369B1" w:rsidRDefault="005369B1" w:rsidP="00416823">
            <w:pPr>
              <w:widowControl w:val="0"/>
              <w:autoSpaceDE w:val="0"/>
              <w:autoSpaceDN w:val="0"/>
              <w:adjustRightInd w:val="0"/>
              <w:spacing w:before="0" w:after="19"/>
            </w:pPr>
          </w:p>
        </w:tc>
      </w:tr>
    </w:tbl>
    <w:p w:rsidR="009B54B5" w:rsidRPr="00A04960" w:rsidRDefault="009B54B5" w:rsidP="00416823">
      <w:pPr>
        <w:rPr>
          <w:b/>
          <w:bCs/>
        </w:rPr>
      </w:pPr>
    </w:p>
    <w:p w:rsidR="00746F5A" w:rsidRDefault="00746F5A" w:rsidP="00394BC1">
      <w:pPr>
        <w:rPr>
          <w:b/>
          <w:bCs/>
        </w:rPr>
      </w:pPr>
      <w:bookmarkStart w:id="0" w:name="_GoBack"/>
      <w:bookmarkEnd w:id="0"/>
    </w:p>
    <w:p w:rsidR="00416823" w:rsidRPr="00A04960" w:rsidRDefault="00416823" w:rsidP="00416823">
      <w:pPr>
        <w:tabs>
          <w:tab w:val="center" w:pos="4680"/>
        </w:tabs>
        <w:jc w:val="center"/>
        <w:rPr>
          <w:b/>
          <w:bCs/>
        </w:rPr>
      </w:pPr>
      <w:r>
        <w:rPr>
          <w:b/>
          <w:bCs/>
        </w:rPr>
        <w:t>STAFF</w:t>
      </w:r>
      <w:r w:rsidRPr="00A04960">
        <w:rPr>
          <w:b/>
          <w:bCs/>
        </w:rPr>
        <w:t xml:space="preserve"> COMMENTS OF</w:t>
      </w:r>
    </w:p>
    <w:p w:rsidR="00416823" w:rsidRPr="00A04960" w:rsidRDefault="00416823" w:rsidP="00416823">
      <w:pPr>
        <w:tabs>
          <w:tab w:val="center" w:pos="4680"/>
        </w:tabs>
        <w:jc w:val="center"/>
        <w:rPr>
          <w:b/>
          <w:bCs/>
        </w:rPr>
      </w:pPr>
      <w:r w:rsidRPr="00A04960">
        <w:rPr>
          <w:b/>
          <w:bCs/>
        </w:rPr>
        <w:t>THE WASHINGTON UTILITIES</w:t>
      </w:r>
    </w:p>
    <w:p w:rsidR="00416823" w:rsidRPr="00A04960" w:rsidRDefault="00416823" w:rsidP="00416823">
      <w:pPr>
        <w:tabs>
          <w:tab w:val="center" w:pos="4680"/>
        </w:tabs>
        <w:jc w:val="center"/>
        <w:rPr>
          <w:b/>
          <w:bCs/>
        </w:rPr>
      </w:pPr>
      <w:r w:rsidRPr="00A04960">
        <w:rPr>
          <w:b/>
          <w:bCs/>
        </w:rPr>
        <w:t>AND</w:t>
      </w:r>
    </w:p>
    <w:p w:rsidR="00416823" w:rsidRPr="00A04960" w:rsidRDefault="00416823" w:rsidP="00416823">
      <w:pPr>
        <w:tabs>
          <w:tab w:val="center" w:pos="4680"/>
        </w:tabs>
        <w:jc w:val="center"/>
        <w:rPr>
          <w:b/>
          <w:bCs/>
        </w:rPr>
      </w:pPr>
      <w:r w:rsidRPr="00A04960">
        <w:rPr>
          <w:b/>
          <w:bCs/>
        </w:rPr>
        <w:t>TRANSPORTATION COMMISSION</w:t>
      </w:r>
    </w:p>
    <w:p w:rsidR="00416823" w:rsidRPr="00A04960" w:rsidRDefault="00416823" w:rsidP="00416823">
      <w:pPr>
        <w:tabs>
          <w:tab w:val="center" w:pos="4680"/>
        </w:tabs>
        <w:jc w:val="center"/>
        <w:rPr>
          <w:b/>
          <w:bCs/>
        </w:rPr>
      </w:pPr>
      <w:r w:rsidRPr="00A04960">
        <w:rPr>
          <w:b/>
          <w:bCs/>
        </w:rPr>
        <w:t>July 16, 2012</w:t>
      </w:r>
    </w:p>
    <w:p w:rsidR="00416823" w:rsidRPr="00A04960" w:rsidRDefault="00416823" w:rsidP="00416823">
      <w:pPr>
        <w:tabs>
          <w:tab w:val="center" w:pos="4680"/>
        </w:tabs>
        <w:jc w:val="center"/>
        <w:rPr>
          <w:b/>
          <w:bCs/>
        </w:rPr>
      </w:pPr>
    </w:p>
    <w:p w:rsidR="00746F5A" w:rsidRPr="00A04960" w:rsidRDefault="00746F5A" w:rsidP="00394BC1">
      <w:pPr>
        <w:rPr>
          <w:b/>
          <w:bCs/>
        </w:rPr>
      </w:pPr>
    </w:p>
    <w:p w:rsidR="005073AF" w:rsidRPr="00A04960" w:rsidRDefault="005073AF" w:rsidP="00394BC1">
      <w:pPr>
        <w:rPr>
          <w:b/>
          <w:bCs/>
        </w:rPr>
      </w:pPr>
    </w:p>
    <w:p w:rsidR="005073AF" w:rsidRPr="00A04960" w:rsidRDefault="005073AF" w:rsidP="00394BC1">
      <w:pPr>
        <w:rPr>
          <w:b/>
          <w:bCs/>
        </w:rPr>
      </w:pPr>
    </w:p>
    <w:p w:rsidR="00F023C6" w:rsidRDefault="00F023C6">
      <w:pPr>
        <w:spacing w:before="0" w:after="0"/>
        <w:rPr>
          <w:b/>
          <w:bCs/>
        </w:rPr>
      </w:pPr>
      <w:r>
        <w:rPr>
          <w:b/>
          <w:bCs/>
        </w:rPr>
        <w:br w:type="page"/>
      </w:r>
    </w:p>
    <w:p w:rsidR="005073AF" w:rsidRPr="00A04960" w:rsidRDefault="005073AF" w:rsidP="00394BC1">
      <w:pPr>
        <w:rPr>
          <w:b/>
          <w:bCs/>
        </w:rPr>
      </w:pPr>
    </w:p>
    <w:p w:rsidR="005073AF" w:rsidRPr="00A04960" w:rsidRDefault="005073AF" w:rsidP="00394BC1">
      <w:pPr>
        <w:spacing w:before="0" w:after="0"/>
        <w:jc w:val="center"/>
        <w:rPr>
          <w:b/>
        </w:rPr>
      </w:pPr>
      <w:r w:rsidRPr="00A04960">
        <w:rPr>
          <w:b/>
        </w:rPr>
        <w:t>TABLE OF CONTENTS</w:t>
      </w:r>
    </w:p>
    <w:p w:rsidR="005073AF" w:rsidRPr="00A04960" w:rsidRDefault="005073AF" w:rsidP="00394BC1">
      <w:pPr>
        <w:spacing w:before="0" w:after="0"/>
        <w:jc w:val="center"/>
        <w:rPr>
          <w:b/>
        </w:rPr>
      </w:pPr>
    </w:p>
    <w:p w:rsidR="005073AF" w:rsidRPr="00A04960" w:rsidRDefault="005073AF" w:rsidP="00B734FB">
      <w:pPr>
        <w:tabs>
          <w:tab w:val="left" w:pos="1890"/>
        </w:tabs>
        <w:spacing w:before="0" w:after="0" w:line="360" w:lineRule="auto"/>
      </w:pPr>
    </w:p>
    <w:p w:rsidR="005073AF" w:rsidRPr="004B72C2" w:rsidRDefault="006E3297" w:rsidP="00624EA3">
      <w:pPr>
        <w:numPr>
          <w:ilvl w:val="0"/>
          <w:numId w:val="31"/>
        </w:numPr>
        <w:tabs>
          <w:tab w:val="left" w:pos="1980"/>
          <w:tab w:val="right" w:leader="dot" w:pos="8910"/>
        </w:tabs>
        <w:spacing w:before="0" w:after="0" w:line="360" w:lineRule="auto"/>
        <w:contextualSpacing/>
      </w:pPr>
      <w:r w:rsidRPr="004B72C2">
        <w:t>INTRODUCTIO</w:t>
      </w:r>
      <w:r w:rsidR="00624EA3" w:rsidRPr="004B72C2">
        <w:t>N</w:t>
      </w:r>
      <w:r w:rsidR="00624EA3" w:rsidRPr="004B72C2">
        <w:tab/>
        <w:t xml:space="preserve">page </w:t>
      </w:r>
      <w:r w:rsidRPr="004B72C2">
        <w:t>3</w:t>
      </w:r>
    </w:p>
    <w:p w:rsidR="0031617F" w:rsidRPr="004B72C2" w:rsidRDefault="0031617F" w:rsidP="00624EA3">
      <w:pPr>
        <w:numPr>
          <w:ilvl w:val="0"/>
          <w:numId w:val="31"/>
        </w:numPr>
        <w:tabs>
          <w:tab w:val="left" w:pos="1260"/>
          <w:tab w:val="right" w:leader="dot" w:pos="8910"/>
        </w:tabs>
        <w:spacing w:after="0" w:line="360" w:lineRule="auto"/>
        <w:contextualSpacing/>
      </w:pPr>
      <w:r w:rsidRPr="004B72C2">
        <w:t>BACKGROUND</w:t>
      </w:r>
      <w:r w:rsidR="00624EA3" w:rsidRPr="004B72C2">
        <w:t>, LAW, APPLICATION</w:t>
      </w:r>
      <w:r w:rsidRPr="004B72C2">
        <w:tab/>
      </w:r>
      <w:r w:rsidR="00624EA3" w:rsidRPr="004B72C2">
        <w:t xml:space="preserve">page </w:t>
      </w:r>
      <w:r w:rsidRPr="004B72C2">
        <w:t>4</w:t>
      </w:r>
    </w:p>
    <w:p w:rsidR="00F11EA1" w:rsidRPr="004B72C2" w:rsidRDefault="00290E52" w:rsidP="00624EA3">
      <w:pPr>
        <w:numPr>
          <w:ilvl w:val="0"/>
          <w:numId w:val="31"/>
        </w:numPr>
        <w:tabs>
          <w:tab w:val="left" w:pos="1260"/>
          <w:tab w:val="right" w:leader="dot" w:pos="8910"/>
        </w:tabs>
        <w:spacing w:after="0" w:line="360" w:lineRule="auto"/>
        <w:contextualSpacing/>
      </w:pPr>
      <w:r w:rsidRPr="004B72C2">
        <w:t>RENEWABLE PORTFOLIO STANDARD</w:t>
      </w:r>
      <w:r w:rsidR="00635420" w:rsidRPr="004B72C2">
        <w:t>S</w:t>
      </w:r>
      <w:r w:rsidRPr="004B72C2">
        <w:t xml:space="preserve"> WORKGROUP</w:t>
      </w:r>
      <w:r w:rsidR="005430CA" w:rsidRPr="004B72C2">
        <w:tab/>
      </w:r>
      <w:r w:rsidR="00624EA3" w:rsidRPr="004B72C2">
        <w:t>page</w:t>
      </w:r>
      <w:r w:rsidR="00AB6F18" w:rsidRPr="004B72C2">
        <w:t xml:space="preserve"> 6</w:t>
      </w:r>
    </w:p>
    <w:p w:rsidR="00927E2F" w:rsidRPr="004B72C2" w:rsidRDefault="00927E2F" w:rsidP="00927E2F">
      <w:pPr>
        <w:numPr>
          <w:ilvl w:val="0"/>
          <w:numId w:val="31"/>
        </w:numPr>
        <w:tabs>
          <w:tab w:val="left" w:pos="1260"/>
          <w:tab w:val="right" w:leader="dot" w:pos="8910"/>
        </w:tabs>
        <w:spacing w:before="0" w:after="0" w:line="360" w:lineRule="auto"/>
        <w:contextualSpacing/>
      </w:pPr>
      <w:r w:rsidRPr="004B72C2">
        <w:t>WESTERN RENEWABLE ENERGY GENERATION INFORMATION SYSTEM (WREGIS)</w:t>
      </w:r>
      <w:r w:rsidRPr="004B72C2">
        <w:tab/>
        <w:t xml:space="preserve">page </w:t>
      </w:r>
      <w:r w:rsidR="00AB6F18" w:rsidRPr="004B72C2">
        <w:t>7</w:t>
      </w:r>
    </w:p>
    <w:p w:rsidR="005B7135" w:rsidRPr="004B72C2" w:rsidRDefault="005B7135" w:rsidP="00624EA3">
      <w:pPr>
        <w:numPr>
          <w:ilvl w:val="0"/>
          <w:numId w:val="31"/>
        </w:numPr>
        <w:tabs>
          <w:tab w:val="left" w:pos="1260"/>
          <w:tab w:val="right" w:leader="dot" w:pos="8910"/>
        </w:tabs>
        <w:spacing w:before="0" w:after="0" w:line="360" w:lineRule="auto"/>
        <w:contextualSpacing/>
      </w:pPr>
      <w:r w:rsidRPr="004B72C2">
        <w:t>INCREMENTAL HYDRO</w:t>
      </w:r>
      <w:r w:rsidR="00927E2F" w:rsidRPr="004B72C2">
        <w:t>POWER ELECTRICITY CALCULATION </w:t>
      </w:r>
      <w:r w:rsidRPr="004B72C2">
        <w:t>METHODOLOGIES</w:t>
      </w:r>
      <w:r w:rsidRPr="004B72C2">
        <w:tab/>
        <w:t xml:space="preserve">page </w:t>
      </w:r>
      <w:r w:rsidR="00AB6F18" w:rsidRPr="004B72C2">
        <w:t>7</w:t>
      </w:r>
      <w:r w:rsidR="00E6441D" w:rsidRPr="004B72C2">
        <w:t xml:space="preserve"> </w:t>
      </w:r>
    </w:p>
    <w:p w:rsidR="007A3E2E" w:rsidRPr="004B72C2" w:rsidRDefault="007A3E2E" w:rsidP="007A3E2E">
      <w:pPr>
        <w:numPr>
          <w:ilvl w:val="0"/>
          <w:numId w:val="31"/>
        </w:numPr>
        <w:tabs>
          <w:tab w:val="left" w:pos="1260"/>
          <w:tab w:val="right" w:leader="dot" w:pos="8910"/>
        </w:tabs>
        <w:spacing w:before="0" w:after="0" w:line="360" w:lineRule="auto"/>
        <w:contextualSpacing/>
      </w:pPr>
      <w:r w:rsidRPr="004B72C2">
        <w:t>DATA REQUESTS</w:t>
      </w:r>
      <w:r w:rsidRPr="004B72C2">
        <w:tab/>
        <w:t>page 1</w:t>
      </w:r>
      <w:r w:rsidR="00AB6F18" w:rsidRPr="004B72C2">
        <w:t>1</w:t>
      </w:r>
    </w:p>
    <w:p w:rsidR="00F11EA1" w:rsidRPr="004B72C2" w:rsidRDefault="00582EF8" w:rsidP="00624EA3">
      <w:pPr>
        <w:numPr>
          <w:ilvl w:val="0"/>
          <w:numId w:val="31"/>
        </w:numPr>
        <w:tabs>
          <w:tab w:val="left" w:pos="1260"/>
          <w:tab w:val="right" w:leader="dot" w:pos="8910"/>
        </w:tabs>
        <w:spacing w:before="0" w:after="0" w:line="360" w:lineRule="auto"/>
        <w:contextualSpacing/>
      </w:pPr>
      <w:r w:rsidRPr="004B72C2">
        <w:t xml:space="preserve">UE-120802 </w:t>
      </w:r>
      <w:r w:rsidR="00E8434D" w:rsidRPr="004B72C2">
        <w:t>P</w:t>
      </w:r>
      <w:r w:rsidR="006F6B72" w:rsidRPr="004B72C2">
        <w:t>UGET SOUND ENERGY</w:t>
      </w:r>
      <w:r w:rsidR="00566063" w:rsidRPr="004B72C2">
        <w:tab/>
      </w:r>
      <w:r w:rsidR="00E6441D" w:rsidRPr="004B72C2">
        <w:t xml:space="preserve">page </w:t>
      </w:r>
      <w:r w:rsidR="007A3E2E" w:rsidRPr="004B72C2">
        <w:t>1</w:t>
      </w:r>
      <w:r w:rsidR="00A31CDB">
        <w:t>2</w:t>
      </w:r>
    </w:p>
    <w:p w:rsidR="00F11EA1" w:rsidRPr="004B72C2" w:rsidRDefault="00582EF8" w:rsidP="00624EA3">
      <w:pPr>
        <w:numPr>
          <w:ilvl w:val="0"/>
          <w:numId w:val="31"/>
        </w:numPr>
        <w:tabs>
          <w:tab w:val="left" w:pos="1260"/>
          <w:tab w:val="right" w:leader="dot" w:pos="8910"/>
        </w:tabs>
        <w:spacing w:before="0" w:after="0" w:line="360" w:lineRule="auto"/>
        <w:contextualSpacing/>
      </w:pPr>
      <w:r w:rsidRPr="004B72C2">
        <w:t>UE-120791 A</w:t>
      </w:r>
      <w:r w:rsidR="007F5565" w:rsidRPr="004B72C2">
        <w:t>VISTA</w:t>
      </w:r>
      <w:r w:rsidR="006F6B72" w:rsidRPr="004B72C2">
        <w:t xml:space="preserve"> CORPORATION</w:t>
      </w:r>
      <w:r w:rsidR="00566063" w:rsidRPr="004B72C2">
        <w:tab/>
      </w:r>
      <w:r w:rsidR="002A6F96" w:rsidRPr="004B72C2">
        <w:t>page 1</w:t>
      </w:r>
      <w:r w:rsidR="00AB6F18" w:rsidRPr="004B72C2">
        <w:t>3</w:t>
      </w:r>
    </w:p>
    <w:p w:rsidR="002C1394" w:rsidRPr="004B72C2" w:rsidRDefault="00582EF8" w:rsidP="00624EA3">
      <w:pPr>
        <w:numPr>
          <w:ilvl w:val="0"/>
          <w:numId w:val="31"/>
        </w:numPr>
        <w:tabs>
          <w:tab w:val="left" w:pos="1260"/>
          <w:tab w:val="right" w:leader="dot" w:pos="8910"/>
        </w:tabs>
        <w:spacing w:before="0" w:after="0" w:line="360" w:lineRule="auto"/>
        <w:contextualSpacing/>
      </w:pPr>
      <w:r w:rsidRPr="004B72C2">
        <w:t xml:space="preserve">UE-120813 </w:t>
      </w:r>
      <w:r w:rsidR="0075036A" w:rsidRPr="004B72C2">
        <w:t>PACIFIC</w:t>
      </w:r>
      <w:r w:rsidR="00927E2F" w:rsidRPr="004B72C2">
        <w:t>ORP</w:t>
      </w:r>
      <w:r w:rsidR="00566063" w:rsidRPr="004B72C2">
        <w:tab/>
      </w:r>
      <w:r w:rsidR="002A6F96" w:rsidRPr="004B72C2">
        <w:t>page 1</w:t>
      </w:r>
      <w:r w:rsidR="00AB6F18" w:rsidRPr="004B72C2">
        <w:t>5</w:t>
      </w:r>
      <w:r w:rsidRPr="004B72C2">
        <w:t xml:space="preserve"> </w:t>
      </w:r>
    </w:p>
    <w:p w:rsidR="005073AF" w:rsidRPr="004B72C2" w:rsidRDefault="006E3297" w:rsidP="00624EA3">
      <w:pPr>
        <w:numPr>
          <w:ilvl w:val="0"/>
          <w:numId w:val="31"/>
        </w:numPr>
        <w:tabs>
          <w:tab w:val="left" w:pos="1260"/>
          <w:tab w:val="right" w:leader="dot" w:pos="8910"/>
        </w:tabs>
        <w:spacing w:before="0" w:after="0" w:line="360" w:lineRule="auto"/>
        <w:contextualSpacing/>
      </w:pPr>
      <w:r w:rsidRPr="004B72C2">
        <w:t>INTEREST</w:t>
      </w:r>
      <w:r w:rsidR="00DE38A9" w:rsidRPr="004B72C2">
        <w:t>E</w:t>
      </w:r>
      <w:r w:rsidRPr="004B72C2">
        <w:t>D PARTIES</w:t>
      </w:r>
      <w:r w:rsidR="00AB6F18" w:rsidRPr="004B72C2">
        <w:t>’</w:t>
      </w:r>
      <w:r w:rsidRPr="004B72C2">
        <w:t xml:space="preserve"> </w:t>
      </w:r>
      <w:r w:rsidR="005073AF" w:rsidRPr="004B72C2">
        <w:t>RESPONSE</w:t>
      </w:r>
      <w:r w:rsidR="005073AF" w:rsidRPr="004B72C2" w:rsidDel="00524879">
        <w:t xml:space="preserve"> </w:t>
      </w:r>
      <w:r w:rsidRPr="004B72C2">
        <w:tab/>
      </w:r>
      <w:r w:rsidR="002A6F96" w:rsidRPr="004B72C2">
        <w:t xml:space="preserve">page </w:t>
      </w:r>
      <w:r w:rsidR="00A31CDB">
        <w:t>17</w:t>
      </w:r>
    </w:p>
    <w:p w:rsidR="005073AF" w:rsidRPr="004B72C2" w:rsidRDefault="00C727C7" w:rsidP="00624EA3">
      <w:pPr>
        <w:numPr>
          <w:ilvl w:val="0"/>
          <w:numId w:val="31"/>
        </w:numPr>
        <w:tabs>
          <w:tab w:val="right" w:leader="dot" w:pos="8910"/>
        </w:tabs>
        <w:spacing w:before="0" w:after="0" w:line="360" w:lineRule="auto"/>
        <w:contextualSpacing/>
      </w:pPr>
      <w:r w:rsidRPr="004B72C2">
        <w:t>ISSUES FOR BROADER CONSIDERATION</w:t>
      </w:r>
      <w:r w:rsidR="006E3297" w:rsidRPr="004B72C2">
        <w:tab/>
      </w:r>
      <w:r w:rsidR="002A6F96" w:rsidRPr="004B72C2">
        <w:t xml:space="preserve">page </w:t>
      </w:r>
      <w:r w:rsidR="00AB6F18" w:rsidRPr="004B72C2">
        <w:t>17</w:t>
      </w:r>
    </w:p>
    <w:p w:rsidR="0075036A" w:rsidRPr="004B72C2" w:rsidRDefault="007C217E" w:rsidP="00624EA3">
      <w:pPr>
        <w:numPr>
          <w:ilvl w:val="0"/>
          <w:numId w:val="31"/>
        </w:numPr>
        <w:tabs>
          <w:tab w:val="left" w:pos="1980"/>
          <w:tab w:val="right" w:leader="dot" w:pos="8910"/>
        </w:tabs>
        <w:spacing w:before="0" w:after="0" w:line="360" w:lineRule="auto"/>
        <w:contextualSpacing/>
      </w:pPr>
      <w:r w:rsidRPr="004B72C2">
        <w:t>STAFF</w:t>
      </w:r>
      <w:r w:rsidR="00C727C7" w:rsidRPr="004B72C2">
        <w:t xml:space="preserve"> POSITION</w:t>
      </w:r>
      <w:r w:rsidR="006E3297" w:rsidRPr="004B72C2">
        <w:tab/>
      </w:r>
      <w:r w:rsidR="002A6F96" w:rsidRPr="004B72C2">
        <w:t xml:space="preserve">page </w:t>
      </w:r>
      <w:r w:rsidR="00A31CDB">
        <w:t>21</w:t>
      </w:r>
    </w:p>
    <w:p w:rsidR="005430CA" w:rsidRPr="004B72C2" w:rsidRDefault="005430CA" w:rsidP="00624EA3">
      <w:pPr>
        <w:numPr>
          <w:ilvl w:val="0"/>
          <w:numId w:val="31"/>
        </w:numPr>
        <w:tabs>
          <w:tab w:val="left" w:pos="1980"/>
          <w:tab w:val="right" w:leader="dot" w:pos="8910"/>
        </w:tabs>
        <w:spacing w:before="0" w:after="0" w:line="360" w:lineRule="auto"/>
        <w:contextualSpacing/>
      </w:pPr>
      <w:r w:rsidRPr="004B72C2">
        <w:t>APPENDICES</w:t>
      </w:r>
      <w:r w:rsidRPr="004B72C2">
        <w:tab/>
      </w:r>
      <w:r w:rsidR="008E704F" w:rsidRPr="004B72C2">
        <w:t>page 2</w:t>
      </w:r>
      <w:r w:rsidR="00AB6F18" w:rsidRPr="004B72C2">
        <w:t>2</w:t>
      </w:r>
    </w:p>
    <w:p w:rsidR="005073AF" w:rsidRPr="00A04960" w:rsidRDefault="005073AF" w:rsidP="00B734FB">
      <w:pPr>
        <w:spacing w:line="360" w:lineRule="auto"/>
        <w:rPr>
          <w:b/>
        </w:rPr>
      </w:pPr>
    </w:p>
    <w:p w:rsidR="00416823" w:rsidRDefault="00416823">
      <w:pPr>
        <w:spacing w:before="0" w:after="0"/>
      </w:pPr>
      <w:r>
        <w:br w:type="page"/>
      </w:r>
    </w:p>
    <w:p w:rsidR="00372277" w:rsidRPr="00A04960" w:rsidRDefault="00564208" w:rsidP="001F51E0">
      <w:pPr>
        <w:pStyle w:val="Heading1"/>
        <w:spacing w:before="240"/>
        <w:ind w:left="634"/>
      </w:pPr>
      <w:r w:rsidRPr="00BC6A20">
        <w:lastRenderedPageBreak/>
        <w:t>Introduction</w:t>
      </w:r>
    </w:p>
    <w:p w:rsidR="00864FAC" w:rsidRPr="005041D3" w:rsidRDefault="00173051" w:rsidP="0042605A">
      <w:pPr>
        <w:rPr>
          <w:rFonts w:eastAsiaTheme="minorHAnsi"/>
        </w:rPr>
      </w:pPr>
      <w:r>
        <w:t xml:space="preserve">The Energy Independence Act (EIA), RCW 19.285, was voted into law in 2006 and requires utilities to </w:t>
      </w:r>
      <w:r w:rsidR="00DF357A">
        <w:t>acquire</w:t>
      </w:r>
      <w:r>
        <w:t xml:space="preserve"> renewable energy </w:t>
      </w:r>
      <w:r w:rsidR="00DF357A">
        <w:t>resources</w:t>
      </w:r>
      <w:r>
        <w:t xml:space="preserve">. </w:t>
      </w:r>
      <w:r w:rsidR="00B624CB">
        <w:t>Pursuant to RCW 19.285.070 and WAC 480-109-040, the three regulated</w:t>
      </w:r>
      <w:r w:rsidR="00352541" w:rsidRPr="00A04960">
        <w:t xml:space="preserve"> electric utilities</w:t>
      </w:r>
      <w:r w:rsidR="00005CA6" w:rsidRPr="00A04960">
        <w:t xml:space="preserve"> </w:t>
      </w:r>
      <w:r w:rsidR="00B624CB">
        <w:t>submitted the Renewable</w:t>
      </w:r>
      <w:r w:rsidR="009905BE">
        <w:t xml:space="preserve"> </w:t>
      </w:r>
      <w:r w:rsidR="00046934">
        <w:t xml:space="preserve">Portfolio Standard </w:t>
      </w:r>
      <w:r w:rsidR="00B624CB">
        <w:t>Report</w:t>
      </w:r>
      <w:r w:rsidR="00307AC9">
        <w:t>s</w:t>
      </w:r>
      <w:r w:rsidR="00046934">
        <w:t xml:space="preserve"> (RPS Reports)</w:t>
      </w:r>
      <w:r w:rsidR="00B624CB">
        <w:t xml:space="preserve"> to the Washington Utilities and </w:t>
      </w:r>
      <w:r w:rsidR="00864FAC">
        <w:t>Transportation</w:t>
      </w:r>
      <w:r w:rsidR="00B624CB">
        <w:t xml:space="preserve"> Commission (Commission)</w:t>
      </w:r>
      <w:r>
        <w:t>,</w:t>
      </w:r>
      <w:r w:rsidR="00B624CB">
        <w:t xml:space="preserve"> </w:t>
      </w:r>
      <w:r>
        <w:t>detailing</w:t>
      </w:r>
      <w:r w:rsidR="00B624CB">
        <w:t xml:space="preserve"> </w:t>
      </w:r>
      <w:r w:rsidR="00DF357A">
        <w:t>each</w:t>
      </w:r>
      <w:r w:rsidR="00B624CB">
        <w:t xml:space="preserve"> </w:t>
      </w:r>
      <w:r w:rsidR="00DF357A">
        <w:t>company</w:t>
      </w:r>
      <w:r>
        <w:t>’</w:t>
      </w:r>
      <w:r w:rsidR="00DF357A">
        <w:t>s</w:t>
      </w:r>
      <w:r>
        <w:t xml:space="preserve"> </w:t>
      </w:r>
      <w:r w:rsidR="00B624CB">
        <w:t xml:space="preserve">progress in meeting the </w:t>
      </w:r>
      <w:r w:rsidR="006C2E07">
        <w:t xml:space="preserve">renewable portfolio standard (RPS) </w:t>
      </w:r>
      <w:r w:rsidR="00B624CB">
        <w:t>targets established in RCW 19.285.040</w:t>
      </w:r>
      <w:r w:rsidR="00E07BC9">
        <w:t xml:space="preserve">. </w:t>
      </w:r>
      <w:r w:rsidR="00DF357A">
        <w:t>T</w:t>
      </w:r>
      <w:r>
        <w:t>he first year utilities are required to submit the reports</w:t>
      </w:r>
      <w:r w:rsidR="00DF357A">
        <w:t xml:space="preserve"> is 2012</w:t>
      </w:r>
      <w:r w:rsidR="00307132">
        <w:t>, so t</w:t>
      </w:r>
      <w:r w:rsidR="005041D3">
        <w:t xml:space="preserve">he Commission </w:t>
      </w:r>
      <w:r w:rsidR="007C217E">
        <w:t>Staff</w:t>
      </w:r>
      <w:r w:rsidR="005041D3">
        <w:t xml:space="preserve"> (</w:t>
      </w:r>
      <w:r w:rsidR="007C217E">
        <w:t>Staff</w:t>
      </w:r>
      <w:r w:rsidR="005041D3">
        <w:t>) comments</w:t>
      </w:r>
      <w:r w:rsidR="001538BE">
        <w:t xml:space="preserve"> below</w:t>
      </w:r>
      <w:r w:rsidR="005041D3">
        <w:t xml:space="preserve"> </w:t>
      </w:r>
      <w:r w:rsidR="009905BE">
        <w:t xml:space="preserve">reflect </w:t>
      </w:r>
      <w:r w:rsidR="005041D3">
        <w:t xml:space="preserve">the first opportunity to </w:t>
      </w:r>
      <w:r w:rsidR="001538BE">
        <w:t>review</w:t>
      </w:r>
      <w:r w:rsidR="006C2E07">
        <w:t xml:space="preserve"> the actions taken and results achieved</w:t>
      </w:r>
      <w:r w:rsidR="001538BE">
        <w:t xml:space="preserve"> by the utilities</w:t>
      </w:r>
      <w:r w:rsidR="006C2E07">
        <w:t xml:space="preserve"> under </w:t>
      </w:r>
      <w:r w:rsidR="0042605A">
        <w:t>WAC 480</w:t>
      </w:r>
      <w:r w:rsidR="0042605A">
        <w:noBreakHyphen/>
        <w:t>109</w:t>
      </w:r>
      <w:r w:rsidR="0042605A">
        <w:noBreakHyphen/>
        <w:t>040</w:t>
      </w:r>
      <w:r w:rsidR="005041D3">
        <w:t>.</w:t>
      </w:r>
    </w:p>
    <w:p w:rsidR="00421733" w:rsidRDefault="00A804AD" w:rsidP="0042605A">
      <w:r>
        <w:t>As required by law,</w:t>
      </w:r>
      <w:r w:rsidRPr="00A804AD">
        <w:rPr>
          <w:vertAlign w:val="superscript"/>
        </w:rPr>
        <w:footnoteReference w:id="1"/>
      </w:r>
      <w:r w:rsidRPr="00A804AD">
        <w:t xml:space="preserve"> </w:t>
      </w:r>
      <w:r>
        <w:t xml:space="preserve">the </w:t>
      </w:r>
      <w:r w:rsidR="00046934">
        <w:t>RPS</w:t>
      </w:r>
      <w:r w:rsidR="001B7765">
        <w:t xml:space="preserve"> reports </w:t>
      </w:r>
      <w:r w:rsidR="00307AC9">
        <w:t>were</w:t>
      </w:r>
      <w:r w:rsidR="006C2E07">
        <w:t xml:space="preserve"> </w:t>
      </w:r>
      <w:r w:rsidR="00307AC9">
        <w:t>filed</w:t>
      </w:r>
      <w:r w:rsidR="00DF4B37">
        <w:t xml:space="preserve"> on</w:t>
      </w:r>
      <w:r w:rsidR="0042666C">
        <w:t xml:space="preserve"> June 1, 2012</w:t>
      </w:r>
      <w:r w:rsidR="00AB7E7C">
        <w:t>,</w:t>
      </w:r>
      <w:r w:rsidR="00307AC9">
        <w:t xml:space="preserve"> </w:t>
      </w:r>
      <w:r w:rsidR="00864FAC">
        <w:rPr>
          <w:bCs/>
        </w:rPr>
        <w:t xml:space="preserve">by </w:t>
      </w:r>
      <w:r w:rsidR="00864FAC" w:rsidRPr="003778A7">
        <w:rPr>
          <w:bCs/>
        </w:rPr>
        <w:t>Avista Corporation</w:t>
      </w:r>
      <w:r w:rsidR="00864FAC">
        <w:rPr>
          <w:bCs/>
        </w:rPr>
        <w:t xml:space="preserve"> (Avista)</w:t>
      </w:r>
      <w:r w:rsidR="00307AC9">
        <w:rPr>
          <w:bCs/>
        </w:rPr>
        <w:t xml:space="preserve"> in </w:t>
      </w:r>
      <w:r w:rsidR="00944186">
        <w:rPr>
          <w:bCs/>
        </w:rPr>
        <w:t>D</w:t>
      </w:r>
      <w:r w:rsidR="00307AC9">
        <w:rPr>
          <w:bCs/>
        </w:rPr>
        <w:t>ocket UE</w:t>
      </w:r>
      <w:r w:rsidR="00D04F17">
        <w:rPr>
          <w:bCs/>
        </w:rPr>
        <w:noBreakHyphen/>
      </w:r>
      <w:r w:rsidR="00307AC9">
        <w:rPr>
          <w:bCs/>
        </w:rPr>
        <w:t>120791;</w:t>
      </w:r>
      <w:r w:rsidR="00864FAC">
        <w:rPr>
          <w:bCs/>
        </w:rPr>
        <w:t xml:space="preserve"> by </w:t>
      </w:r>
      <w:r w:rsidR="00864FAC" w:rsidRPr="003778A7">
        <w:rPr>
          <w:bCs/>
        </w:rPr>
        <w:t xml:space="preserve">Pacific Power and Light Company </w:t>
      </w:r>
      <w:proofErr w:type="spellStart"/>
      <w:r w:rsidR="00864FAC" w:rsidRPr="003778A7">
        <w:rPr>
          <w:bCs/>
        </w:rPr>
        <w:t>dba</w:t>
      </w:r>
      <w:proofErr w:type="spellEnd"/>
      <w:r w:rsidR="00864FAC" w:rsidRPr="003778A7">
        <w:rPr>
          <w:bCs/>
        </w:rPr>
        <w:t xml:space="preserve"> PacifiCorp</w:t>
      </w:r>
      <w:r w:rsidR="00864FAC">
        <w:rPr>
          <w:bCs/>
        </w:rPr>
        <w:t xml:space="preserve"> (PacifiCorp)</w:t>
      </w:r>
      <w:r w:rsidR="00944186">
        <w:rPr>
          <w:bCs/>
        </w:rPr>
        <w:t xml:space="preserve"> in D</w:t>
      </w:r>
      <w:r w:rsidR="00307AC9">
        <w:rPr>
          <w:bCs/>
        </w:rPr>
        <w:t>ocket UE</w:t>
      </w:r>
      <w:r w:rsidR="00D04F17">
        <w:rPr>
          <w:bCs/>
        </w:rPr>
        <w:noBreakHyphen/>
      </w:r>
      <w:r w:rsidR="00307AC9">
        <w:rPr>
          <w:bCs/>
        </w:rPr>
        <w:t>120813</w:t>
      </w:r>
      <w:r w:rsidR="00864FAC">
        <w:rPr>
          <w:bCs/>
        </w:rPr>
        <w:t xml:space="preserve">; and </w:t>
      </w:r>
      <w:r w:rsidR="00307AC9">
        <w:rPr>
          <w:bCs/>
        </w:rPr>
        <w:t xml:space="preserve">by </w:t>
      </w:r>
      <w:r w:rsidR="00864FAC" w:rsidRPr="003778A7">
        <w:rPr>
          <w:bCs/>
        </w:rPr>
        <w:t>Puget Sound Energy</w:t>
      </w:r>
      <w:r w:rsidR="00864FAC">
        <w:rPr>
          <w:bCs/>
        </w:rPr>
        <w:t xml:space="preserve"> (PSE) </w:t>
      </w:r>
      <w:r w:rsidR="00307AC9">
        <w:rPr>
          <w:bCs/>
        </w:rPr>
        <w:t xml:space="preserve">in </w:t>
      </w:r>
      <w:r w:rsidR="00944186">
        <w:rPr>
          <w:bCs/>
        </w:rPr>
        <w:t>D</w:t>
      </w:r>
      <w:r w:rsidR="00307AC9">
        <w:rPr>
          <w:bCs/>
        </w:rPr>
        <w:t xml:space="preserve">ocket </w:t>
      </w:r>
      <w:r w:rsidR="00307AC9" w:rsidRPr="003778A7">
        <w:rPr>
          <w:bCs/>
        </w:rPr>
        <w:t>UE</w:t>
      </w:r>
      <w:r w:rsidR="00D04F17">
        <w:rPr>
          <w:bCs/>
        </w:rPr>
        <w:noBreakHyphen/>
      </w:r>
      <w:r w:rsidR="00307AC9" w:rsidRPr="003778A7">
        <w:rPr>
          <w:bCs/>
        </w:rPr>
        <w:t>120802</w:t>
      </w:r>
      <w:r w:rsidR="00864FAC" w:rsidRPr="00864FAC">
        <w:rPr>
          <w:sz w:val="20"/>
          <w:szCs w:val="20"/>
        </w:rPr>
        <w:t xml:space="preserve">. </w:t>
      </w:r>
      <w:r w:rsidR="00B624CB">
        <w:t xml:space="preserve">The EIA requires large </w:t>
      </w:r>
      <w:r w:rsidR="00B734FB">
        <w:t xml:space="preserve">electric </w:t>
      </w:r>
      <w:r w:rsidR="00B624CB">
        <w:t xml:space="preserve">utilities </w:t>
      </w:r>
      <w:r w:rsidR="00DF357A">
        <w:t xml:space="preserve">with over 25,000 Washington customers </w:t>
      </w:r>
      <w:r w:rsidR="00B624CB">
        <w:t xml:space="preserve">to obtain </w:t>
      </w:r>
      <w:r w:rsidR="00893D6C">
        <w:t>15</w:t>
      </w:r>
      <w:r w:rsidR="00B624CB">
        <w:t xml:space="preserve"> percent of their electricity from new ren</w:t>
      </w:r>
      <w:r w:rsidR="00864FAC">
        <w:t>ewable resources by 2020</w:t>
      </w:r>
      <w:r w:rsidR="00DF4B37">
        <w:t>, with gradually increasing intermediate targets</w:t>
      </w:r>
      <w:r w:rsidR="00E07BC9">
        <w:t xml:space="preserve">. </w:t>
      </w:r>
      <w:r w:rsidR="00DF357A">
        <w:t>T</w:t>
      </w:r>
      <w:r w:rsidR="00B624CB">
        <w:t>he first compliance year is 2012</w:t>
      </w:r>
      <w:r w:rsidR="005E6EFD">
        <w:t xml:space="preserve">, when utilities must meet three percent of estimated load with </w:t>
      </w:r>
      <w:r w:rsidR="0042605A">
        <w:t>eligible</w:t>
      </w:r>
      <w:r w:rsidR="005E6EFD">
        <w:t xml:space="preserve"> renewable energy resources</w:t>
      </w:r>
      <w:r w:rsidR="00DF357A">
        <w:t xml:space="preserve"> (RCW 19.285.040)</w:t>
      </w:r>
      <w:r w:rsidR="005E6EFD">
        <w:t>.</w:t>
      </w:r>
      <w:r w:rsidR="00DF4B37">
        <w:t xml:space="preserve"> </w:t>
      </w:r>
      <w:r w:rsidR="006A53AD">
        <w:t>The</w:t>
      </w:r>
      <w:r w:rsidR="00DF4B37">
        <w:t xml:space="preserve"> companies are required to submit annual reports on June 1</w:t>
      </w:r>
      <w:r w:rsidR="00DF357A">
        <w:t xml:space="preserve"> of each year</w:t>
      </w:r>
      <w:r w:rsidR="00DF4B37">
        <w:t>, beginning in 2012</w:t>
      </w:r>
      <w:r w:rsidR="00864FAC">
        <w:t>.</w:t>
      </w:r>
      <w:r w:rsidR="00C6506A">
        <w:rPr>
          <w:rStyle w:val="FootnoteReference"/>
        </w:rPr>
        <w:footnoteReference w:id="2"/>
      </w:r>
      <w:r w:rsidR="00864FAC">
        <w:t xml:space="preserve"> </w:t>
      </w:r>
    </w:p>
    <w:p w:rsidR="00B734FB" w:rsidRDefault="00DF4B37" w:rsidP="0042605A">
      <w:r>
        <w:t xml:space="preserve">The </w:t>
      </w:r>
      <w:r w:rsidR="00DF357A">
        <w:t xml:space="preserve">2012 </w:t>
      </w:r>
      <w:r w:rsidR="00046934">
        <w:t>RPS</w:t>
      </w:r>
      <w:r>
        <w:t xml:space="preserve"> reports describe acquisition of Renewable Energy Credits (RECs) or </w:t>
      </w:r>
      <w:r w:rsidR="00E33E8C">
        <w:t>eligible</w:t>
      </w:r>
      <w:r>
        <w:t xml:space="preserve"> renewable resources. </w:t>
      </w:r>
      <w:r w:rsidR="006A53AD">
        <w:t>T</w:t>
      </w:r>
      <w:r w:rsidR="00864FAC">
        <w:t xml:space="preserve">he </w:t>
      </w:r>
      <w:r w:rsidR="00046934">
        <w:t>RPS</w:t>
      </w:r>
      <w:r w:rsidR="00864FAC">
        <w:t xml:space="preserve"> reports </w:t>
      </w:r>
      <w:r w:rsidR="006A53AD">
        <w:t xml:space="preserve">from Avista and PacifiCorp </w:t>
      </w:r>
      <w:r>
        <w:t>include</w:t>
      </w:r>
      <w:r w:rsidR="00AE1333">
        <w:t xml:space="preserve"> </w:t>
      </w:r>
      <w:r w:rsidR="00074DFA">
        <w:t xml:space="preserve">electricity from </w:t>
      </w:r>
      <w:r w:rsidR="00864FAC">
        <w:t xml:space="preserve">hydroelectric </w:t>
      </w:r>
      <w:r w:rsidR="0023110D">
        <w:t xml:space="preserve">efficiency </w:t>
      </w:r>
      <w:r w:rsidR="00864FAC">
        <w:t>upgrade</w:t>
      </w:r>
      <w:r w:rsidR="00074DFA">
        <w:t>s</w:t>
      </w:r>
      <w:r w:rsidR="00E07BC9">
        <w:t xml:space="preserve">. </w:t>
      </w:r>
      <w:r w:rsidR="006A53AD">
        <w:t>All three</w:t>
      </w:r>
      <w:r w:rsidR="00864FAC">
        <w:t xml:space="preserve"> companies identified their plans for meeting the renewable energy targets</w:t>
      </w:r>
      <w:r w:rsidR="00173051">
        <w:t xml:space="preserve"> </w:t>
      </w:r>
      <w:r w:rsidR="00074DFA">
        <w:t>through the remainder of 2012</w:t>
      </w:r>
      <w:r w:rsidR="00864FAC">
        <w:t>.</w:t>
      </w:r>
    </w:p>
    <w:p w:rsidR="00B624CB" w:rsidRDefault="007C217E" w:rsidP="008F42B8">
      <w:r>
        <w:t>Staff</w:t>
      </w:r>
      <w:r w:rsidR="00E07BC9">
        <w:t>’s comments will provide:</w:t>
      </w:r>
    </w:p>
    <w:p w:rsidR="00E07BC9" w:rsidRDefault="00E07BC9" w:rsidP="008F42B8">
      <w:pPr>
        <w:pStyle w:val="ListParagraph"/>
        <w:numPr>
          <w:ilvl w:val="0"/>
          <w:numId w:val="36"/>
        </w:numPr>
      </w:pPr>
      <w:r>
        <w:t xml:space="preserve">An analysis of the </w:t>
      </w:r>
      <w:r w:rsidR="00046934">
        <w:t xml:space="preserve">RPS </w:t>
      </w:r>
      <w:r>
        <w:t>reports submitted by the companies.</w:t>
      </w:r>
    </w:p>
    <w:p w:rsidR="00E07BC9" w:rsidRDefault="00E07BC9" w:rsidP="008F42B8">
      <w:pPr>
        <w:pStyle w:val="ListParagraph"/>
        <w:numPr>
          <w:ilvl w:val="0"/>
          <w:numId w:val="36"/>
        </w:numPr>
      </w:pPr>
      <w:r>
        <w:t>An analysis of issues common to all three companies.</w:t>
      </w:r>
    </w:p>
    <w:p w:rsidR="00E07BC9" w:rsidRDefault="00E07BC9" w:rsidP="008F42B8">
      <w:pPr>
        <w:pStyle w:val="ListParagraph"/>
        <w:numPr>
          <w:ilvl w:val="0"/>
          <w:numId w:val="36"/>
        </w:numPr>
      </w:pPr>
      <w:r>
        <w:t>A recommendation to approve the report</w:t>
      </w:r>
      <w:r w:rsidR="00216133">
        <w:t>s</w:t>
      </w:r>
      <w:r>
        <w:t xml:space="preserve"> from </w:t>
      </w:r>
      <w:r w:rsidR="00216133">
        <w:t>all three companies as having met the reporting requirements in RCW 19.285 and WAC 480-109</w:t>
      </w:r>
      <w:r>
        <w:t>.</w:t>
      </w:r>
    </w:p>
    <w:p w:rsidR="00A24A32" w:rsidRDefault="00E07BC9" w:rsidP="000A149A">
      <w:pPr>
        <w:pStyle w:val="ListParagraph"/>
        <w:numPr>
          <w:ilvl w:val="0"/>
          <w:numId w:val="36"/>
        </w:numPr>
      </w:pPr>
      <w:r>
        <w:t xml:space="preserve">A recommendation to </w:t>
      </w:r>
      <w:r w:rsidR="00216133">
        <w:t>defer</w:t>
      </w:r>
      <w:r w:rsidR="00A24A32">
        <w:t xml:space="preserve"> final determination of compliance in meeting 2012 renewable energy targets until</w:t>
      </w:r>
      <w:r w:rsidR="000A149A">
        <w:t xml:space="preserve"> certain conditions are met, but no later than June 1, 2014.</w:t>
      </w:r>
    </w:p>
    <w:p w:rsidR="000A149A" w:rsidRDefault="000A149A" w:rsidP="000A149A">
      <w:pPr>
        <w:pStyle w:val="ListParagraph"/>
        <w:numPr>
          <w:ilvl w:val="0"/>
          <w:numId w:val="36"/>
        </w:numPr>
        <w:spacing w:before="0" w:after="0"/>
      </w:pPr>
      <w:r>
        <w:t>A recommendation to</w:t>
      </w:r>
      <w:r w:rsidR="00074DFA">
        <w:t xml:space="preserve"> set a 30-</w:t>
      </w:r>
      <w:r w:rsidRPr="0010137D">
        <w:t xml:space="preserve">day </w:t>
      </w:r>
      <w:r w:rsidR="00074DFA">
        <w:t>dead</w:t>
      </w:r>
      <w:r w:rsidRPr="0010137D">
        <w:t>line for companies to retire RECs following final determination of compliance.</w:t>
      </w:r>
    </w:p>
    <w:p w:rsidR="0051530A" w:rsidRDefault="0051530A" w:rsidP="008F42B8">
      <w:pPr>
        <w:pStyle w:val="ListParagraph"/>
        <w:numPr>
          <w:ilvl w:val="0"/>
          <w:numId w:val="36"/>
        </w:numPr>
      </w:pPr>
      <w:r>
        <w:t>A recommendation to hold additional workshops as necessary through the Renewable Portfolio Standards Working Group (UE-110523)</w:t>
      </w:r>
      <w:r w:rsidR="000A149A">
        <w:t xml:space="preserve"> and to consult with the </w:t>
      </w:r>
      <w:r w:rsidR="005E1E00">
        <w:t xml:space="preserve">United States </w:t>
      </w:r>
      <w:r w:rsidR="000A149A">
        <w:t>Army Corps of Engineers</w:t>
      </w:r>
      <w:r>
        <w:t xml:space="preserve"> to evaluate incremental hydro methodologies.</w:t>
      </w:r>
    </w:p>
    <w:p w:rsidR="000A149A" w:rsidRDefault="000A149A" w:rsidP="008F42B8">
      <w:pPr>
        <w:pStyle w:val="ListParagraph"/>
        <w:numPr>
          <w:ilvl w:val="0"/>
          <w:numId w:val="36"/>
        </w:numPr>
      </w:pPr>
      <w:r>
        <w:rPr>
          <w:color w:val="000000" w:themeColor="text1"/>
        </w:rPr>
        <w:t xml:space="preserve">A recommendation to </w:t>
      </w:r>
      <w:r w:rsidRPr="008E704F">
        <w:rPr>
          <w:color w:val="000000" w:themeColor="text1"/>
        </w:rPr>
        <w:t>open a rulemaking proce</w:t>
      </w:r>
      <w:r>
        <w:rPr>
          <w:color w:val="000000" w:themeColor="text1"/>
        </w:rPr>
        <w:t>ss</w:t>
      </w:r>
      <w:r w:rsidRPr="008E704F">
        <w:rPr>
          <w:color w:val="000000" w:themeColor="text1"/>
        </w:rPr>
        <w:t xml:space="preserve"> to </w:t>
      </w:r>
      <w:r w:rsidR="00451211">
        <w:rPr>
          <w:color w:val="000000" w:themeColor="text1"/>
        </w:rPr>
        <w:t>update WAC 480-109</w:t>
      </w:r>
      <w:r w:rsidRPr="008E704F">
        <w:rPr>
          <w:color w:val="000000" w:themeColor="text1"/>
        </w:rPr>
        <w:t xml:space="preserve">.  </w:t>
      </w:r>
    </w:p>
    <w:p w:rsidR="000909D7" w:rsidRPr="00290E52" w:rsidRDefault="00DA01B1" w:rsidP="000D7F7E">
      <w:pPr>
        <w:pStyle w:val="Heading1"/>
      </w:pPr>
      <w:r w:rsidRPr="00290E52">
        <w:lastRenderedPageBreak/>
        <w:t>Back</w:t>
      </w:r>
      <w:r w:rsidR="000909D7" w:rsidRPr="00290E52">
        <w:t>ground</w:t>
      </w:r>
      <w:r w:rsidR="00624EA3">
        <w:t>, Law</w:t>
      </w:r>
      <w:r w:rsidR="005E6EFD">
        <w:t xml:space="preserve"> and</w:t>
      </w:r>
      <w:r w:rsidR="00624EA3">
        <w:t xml:space="preserve"> Application</w:t>
      </w:r>
    </w:p>
    <w:p w:rsidR="00DA01B1" w:rsidRDefault="009B5738" w:rsidP="008F42B8">
      <w:r>
        <w:t>Over the past decade</w:t>
      </w:r>
      <w:r w:rsidR="00DA01B1">
        <w:t xml:space="preserve"> there has been much debate about how the United States should generate</w:t>
      </w:r>
      <w:r>
        <w:t xml:space="preserve"> </w:t>
      </w:r>
      <w:r w:rsidR="00DA01B1">
        <w:t>electricity</w:t>
      </w:r>
      <w:r w:rsidR="00E07BC9">
        <w:t xml:space="preserve">. </w:t>
      </w:r>
      <w:r w:rsidR="00DA01B1">
        <w:t>Policy-makers have sought ways to increase the diversity of energy sources, reduce air pollution, and sustain harvestable fish populations while maintaining a reliable and affordable electricity supply</w:t>
      </w:r>
      <w:r w:rsidR="00E07BC9">
        <w:t xml:space="preserve">. </w:t>
      </w:r>
      <w:r w:rsidR="00DA01B1">
        <w:t>Among the programs that have been proposed are Renewable Portfolio Standards, which require retail sellers of electric power to obtain a certain percentage of their power from renewable resources, such as wind, solar, or geothermal resources.</w:t>
      </w:r>
    </w:p>
    <w:p w:rsidR="00DA01B1" w:rsidRDefault="00DA01B1" w:rsidP="008F42B8">
      <w:r>
        <w:t>A</w:t>
      </w:r>
      <w:r w:rsidR="005607AF">
        <w:t>lthough a</w:t>
      </w:r>
      <w:r>
        <w:t xml:space="preserve"> federal RPS has not</w:t>
      </w:r>
      <w:r w:rsidR="005607AF">
        <w:t xml:space="preserve"> been</w:t>
      </w:r>
      <w:r>
        <w:t xml:space="preserve"> enacted</w:t>
      </w:r>
      <w:r w:rsidR="005607AF">
        <w:t xml:space="preserve">, </w:t>
      </w:r>
      <w:r w:rsidR="00893D6C">
        <w:t xml:space="preserve">29 </w:t>
      </w:r>
      <w:r>
        <w:t>states have enacted Renewable Portfolio Standards</w:t>
      </w:r>
      <w:r w:rsidR="001B7765">
        <w:t xml:space="preserve">, including </w:t>
      </w:r>
      <w:r w:rsidR="00173051">
        <w:t>Washington</w:t>
      </w:r>
      <w:r w:rsidR="001B7765">
        <w:t xml:space="preserve"> State.</w:t>
      </w:r>
      <w:r>
        <w:rPr>
          <w:rStyle w:val="FootnoteReference"/>
          <w:rFonts w:eastAsiaTheme="majorEastAsia"/>
        </w:rPr>
        <w:footnoteReference w:id="3"/>
      </w:r>
      <w:r w:rsidR="000909D7">
        <w:t xml:space="preserve"> </w:t>
      </w:r>
      <w:r>
        <w:t>Washington voters approved the Energy Independence Act in the 2006 general election</w:t>
      </w:r>
      <w:r w:rsidR="00E07BC9">
        <w:t xml:space="preserve">. </w:t>
      </w:r>
      <w:r>
        <w:t xml:space="preserve">Now codified as Chapter 19.285 of the Revised Code of Washington, </w:t>
      </w:r>
      <w:r w:rsidR="005E6EFD">
        <w:t xml:space="preserve">the EIA </w:t>
      </w:r>
      <w:r w:rsidR="005607AF">
        <w:t>establishes</w:t>
      </w:r>
      <w:r>
        <w:t xml:space="preserve"> a Renewable Portfolio Standard</w:t>
      </w:r>
      <w:r w:rsidR="00E07BC9">
        <w:t xml:space="preserve">. </w:t>
      </w:r>
      <w:r>
        <w:t xml:space="preserve">RCW 19.285.040(2)(a) requires electric utilities with more than 25,000 customers in the state of </w:t>
      </w:r>
      <w:r w:rsidR="00624EA3">
        <w:t>Washington to do the following:</w:t>
      </w:r>
    </w:p>
    <w:p w:rsidR="00DA01B1" w:rsidRPr="002D1E86" w:rsidRDefault="00DA01B1" w:rsidP="008F42B8">
      <w:pPr>
        <w:pStyle w:val="PlainText"/>
        <w:ind w:left="720" w:right="720"/>
        <w:rPr>
          <w:rFonts w:ascii="Times New Roman" w:hAnsi="Times New Roman"/>
          <w:sz w:val="24"/>
          <w:szCs w:val="24"/>
        </w:rPr>
      </w:pPr>
      <w:r w:rsidRPr="002D1E86">
        <w:rPr>
          <w:rFonts w:ascii="Times New Roman" w:hAnsi="Times New Roman"/>
          <w:sz w:val="24"/>
          <w:szCs w:val="24"/>
        </w:rPr>
        <w:t>Each qualifying utility shall use eligible renewable resources or acquire equivalent renewable energy credits, or a combination of both, to meet the following annual targets:</w:t>
      </w:r>
    </w:p>
    <w:p w:rsidR="00DA01B1" w:rsidRPr="002D1E86" w:rsidRDefault="00DA01B1" w:rsidP="008F42B8">
      <w:pPr>
        <w:pStyle w:val="PlainText"/>
        <w:ind w:left="1440" w:right="720" w:hanging="720"/>
        <w:rPr>
          <w:rFonts w:ascii="Times New Roman" w:hAnsi="Times New Roman"/>
          <w:sz w:val="24"/>
          <w:szCs w:val="24"/>
        </w:rPr>
      </w:pPr>
      <w:r w:rsidRPr="002D1E86">
        <w:rPr>
          <w:rFonts w:ascii="Times New Roman" w:hAnsi="Times New Roman"/>
          <w:sz w:val="24"/>
          <w:szCs w:val="24"/>
        </w:rPr>
        <w:t>(</w:t>
      </w:r>
      <w:proofErr w:type="spellStart"/>
      <w:r w:rsidRPr="002D1E86">
        <w:rPr>
          <w:rFonts w:ascii="Times New Roman" w:hAnsi="Times New Roman"/>
          <w:sz w:val="24"/>
          <w:szCs w:val="24"/>
        </w:rPr>
        <w:t>i</w:t>
      </w:r>
      <w:proofErr w:type="spellEnd"/>
      <w:r w:rsidRPr="002D1E86">
        <w:rPr>
          <w:rFonts w:ascii="Times New Roman" w:hAnsi="Times New Roman"/>
          <w:sz w:val="24"/>
          <w:szCs w:val="24"/>
        </w:rPr>
        <w:t xml:space="preserve">) </w:t>
      </w:r>
      <w:r>
        <w:rPr>
          <w:rFonts w:ascii="Times New Roman" w:hAnsi="Times New Roman"/>
          <w:sz w:val="24"/>
          <w:szCs w:val="24"/>
        </w:rPr>
        <w:tab/>
      </w:r>
      <w:r w:rsidRPr="002D1E86">
        <w:rPr>
          <w:rFonts w:ascii="Times New Roman" w:hAnsi="Times New Roman"/>
          <w:sz w:val="24"/>
          <w:szCs w:val="24"/>
        </w:rPr>
        <w:t>At least three percent of its load by January 1, 2012, and each year thereafter through December 31, 2015;</w:t>
      </w:r>
    </w:p>
    <w:p w:rsidR="00DA01B1" w:rsidRPr="002D1E86" w:rsidRDefault="00DA01B1" w:rsidP="008F42B8">
      <w:pPr>
        <w:pStyle w:val="PlainText"/>
        <w:ind w:left="1440" w:right="720" w:hanging="720"/>
        <w:rPr>
          <w:rFonts w:ascii="Times New Roman" w:hAnsi="Times New Roman"/>
          <w:sz w:val="24"/>
          <w:szCs w:val="24"/>
        </w:rPr>
      </w:pPr>
      <w:r w:rsidRPr="002D1E86">
        <w:rPr>
          <w:rFonts w:ascii="Times New Roman" w:hAnsi="Times New Roman"/>
          <w:sz w:val="24"/>
          <w:szCs w:val="24"/>
        </w:rPr>
        <w:t xml:space="preserve">(ii) </w:t>
      </w:r>
      <w:r>
        <w:rPr>
          <w:rFonts w:ascii="Times New Roman" w:hAnsi="Times New Roman"/>
          <w:sz w:val="24"/>
          <w:szCs w:val="24"/>
        </w:rPr>
        <w:tab/>
      </w:r>
      <w:r w:rsidRPr="002D1E86">
        <w:rPr>
          <w:rFonts w:ascii="Times New Roman" w:hAnsi="Times New Roman"/>
          <w:sz w:val="24"/>
          <w:szCs w:val="24"/>
        </w:rPr>
        <w:t>At least nine percent of its load by January 1, 2016, and each year thereafter through December 31, 2019; and</w:t>
      </w:r>
    </w:p>
    <w:p w:rsidR="00DA01B1" w:rsidRPr="002D1E86" w:rsidRDefault="00DA01B1" w:rsidP="008F42B8">
      <w:pPr>
        <w:pStyle w:val="PlainText"/>
        <w:ind w:left="1440" w:right="720" w:hanging="720"/>
        <w:rPr>
          <w:rFonts w:ascii="Times New Roman" w:hAnsi="Times New Roman"/>
          <w:sz w:val="24"/>
          <w:szCs w:val="24"/>
        </w:rPr>
      </w:pPr>
      <w:r w:rsidRPr="002D1E86">
        <w:rPr>
          <w:rFonts w:ascii="Times New Roman" w:hAnsi="Times New Roman"/>
          <w:sz w:val="24"/>
          <w:szCs w:val="24"/>
        </w:rPr>
        <w:t xml:space="preserve">(iii) </w:t>
      </w:r>
      <w:r>
        <w:rPr>
          <w:rFonts w:ascii="Times New Roman" w:hAnsi="Times New Roman"/>
          <w:sz w:val="24"/>
          <w:szCs w:val="24"/>
        </w:rPr>
        <w:tab/>
      </w:r>
      <w:r w:rsidRPr="002D1E86">
        <w:rPr>
          <w:rFonts w:ascii="Times New Roman" w:hAnsi="Times New Roman"/>
          <w:sz w:val="24"/>
          <w:szCs w:val="24"/>
        </w:rPr>
        <w:t>At least fifteen percent of its load by January 1, 2020, and each year thereafter.</w:t>
      </w:r>
    </w:p>
    <w:p w:rsidR="00DA01B1" w:rsidRDefault="009B5738" w:rsidP="008F42B8">
      <w:r>
        <w:t>Utilities may acquire n</w:t>
      </w:r>
      <w:r w:rsidR="00DA01B1">
        <w:t xml:space="preserve">ine types of </w:t>
      </w:r>
      <w:r>
        <w:t xml:space="preserve">eligible </w:t>
      </w:r>
      <w:r w:rsidR="00DA01B1">
        <w:t>renewable resources</w:t>
      </w:r>
      <w:r>
        <w:t xml:space="preserve"> to be in compliance with the law,</w:t>
      </w:r>
      <w:r w:rsidR="00DA01B1">
        <w:t xml:space="preserve"> including wind, solar, and geothermal energy.</w:t>
      </w:r>
      <w:r>
        <w:rPr>
          <w:rStyle w:val="FootnoteReference"/>
        </w:rPr>
        <w:footnoteReference w:id="4"/>
      </w:r>
      <w:r w:rsidR="00DA01B1">
        <w:t xml:space="preserve"> A renewable resource is “eligible” if the generation facility started operating after March 31, 1999, in the Pacific Northwest south of Canada.</w:t>
      </w:r>
      <w:r w:rsidR="00DA01B1">
        <w:rPr>
          <w:rStyle w:val="FootnoteReference"/>
          <w:rFonts w:eastAsiaTheme="majorEastAsia"/>
        </w:rPr>
        <w:footnoteReference w:id="5"/>
      </w:r>
      <w:r w:rsidR="005E6EFD">
        <w:t xml:space="preserve"> C</w:t>
      </w:r>
      <w:r w:rsidR="00DA01B1">
        <w:t>ertain types of facilities</w:t>
      </w:r>
      <w:r w:rsidR="005E6EFD">
        <w:t xml:space="preserve"> may qualify for multiplier credits</w:t>
      </w:r>
      <w:r w:rsidR="00DA01B1">
        <w:t>.</w:t>
      </w:r>
      <w:r w:rsidR="00DA01B1">
        <w:rPr>
          <w:rStyle w:val="FootnoteReference"/>
          <w:rFonts w:eastAsiaTheme="majorEastAsia"/>
        </w:rPr>
        <w:footnoteReference w:id="6"/>
      </w:r>
      <w:r w:rsidR="00DA01B1">
        <w:t xml:space="preserve"> With </w:t>
      </w:r>
      <w:r w:rsidR="005E6EFD">
        <w:t>the exception of incremental hydroelectric efficiency improvements</w:t>
      </w:r>
      <w:r w:rsidR="00DA01B1">
        <w:t>, fresh water hydroelectric</w:t>
      </w:r>
      <w:r>
        <w:t>ity</w:t>
      </w:r>
      <w:r w:rsidR="00DA01B1">
        <w:t xml:space="preserve"> </w:t>
      </w:r>
      <w:r>
        <w:t>is</w:t>
      </w:r>
      <w:r w:rsidR="00DA01B1">
        <w:t xml:space="preserve"> not </w:t>
      </w:r>
      <w:r w:rsidR="005E6EFD">
        <w:t xml:space="preserve">considered </w:t>
      </w:r>
      <w:r w:rsidR="00DA01B1">
        <w:t>an eligible renewable resource.</w:t>
      </w:r>
      <w:r w:rsidR="00DA01B1">
        <w:rPr>
          <w:rStyle w:val="FootnoteReference"/>
          <w:rFonts w:eastAsiaTheme="majorEastAsia"/>
        </w:rPr>
        <w:footnoteReference w:id="7"/>
      </w:r>
      <w:r w:rsidR="00DA01B1">
        <w:t xml:space="preserve">  Electricity generated outside the Pacific Northwest is “eligible” only under limited circumstances.</w:t>
      </w:r>
    </w:p>
    <w:p w:rsidR="00DA01B1" w:rsidRDefault="005607AF" w:rsidP="008F42B8">
      <w:r>
        <w:t xml:space="preserve">Utilities may also acquire </w:t>
      </w:r>
      <w:r w:rsidR="009B5738">
        <w:t>RECs,</w:t>
      </w:r>
      <w:r w:rsidR="000909D7">
        <w:t xml:space="preserve"> </w:t>
      </w:r>
      <w:r w:rsidR="009B5738">
        <w:t>also</w:t>
      </w:r>
      <w:r w:rsidR="00DA01B1">
        <w:t xml:space="preserve"> called “green tag</w:t>
      </w:r>
      <w:r w:rsidR="009B5738">
        <w:t>s</w:t>
      </w:r>
      <w:r w:rsidR="00DA01B1">
        <w:t xml:space="preserve">,” </w:t>
      </w:r>
      <w:r>
        <w:t xml:space="preserve">which </w:t>
      </w:r>
      <w:r w:rsidR="009B5738">
        <w:t>are</w:t>
      </w:r>
      <w:r w:rsidR="00DA01B1">
        <w:t xml:space="preserve"> tradable certificate</w:t>
      </w:r>
      <w:r w:rsidR="009B5738">
        <w:t>s</w:t>
      </w:r>
      <w:r w:rsidR="00DA01B1">
        <w:t xml:space="preserve"> of proof of </w:t>
      </w:r>
      <w:r w:rsidR="009B5738">
        <w:t>generation from</w:t>
      </w:r>
      <w:r w:rsidR="00DA01B1">
        <w:t xml:space="preserve"> one megawatt-hour of an eligible renewable resource.</w:t>
      </w:r>
      <w:r w:rsidR="00DA01B1">
        <w:rPr>
          <w:rStyle w:val="FootnoteReference"/>
          <w:rFonts w:eastAsiaTheme="majorEastAsia"/>
        </w:rPr>
        <w:footnoteReference w:id="8"/>
      </w:r>
      <w:r w:rsidR="00DA01B1">
        <w:t xml:space="preserve"> The credits can be bought and </w:t>
      </w:r>
      <w:r w:rsidR="00DA01B1">
        <w:lastRenderedPageBreak/>
        <w:t>sold in the marketplace.</w:t>
      </w:r>
      <w:r w:rsidR="00DA01B1">
        <w:rPr>
          <w:rStyle w:val="FootnoteReference"/>
          <w:rFonts w:eastAsiaTheme="majorEastAsia"/>
        </w:rPr>
        <w:footnoteReference w:id="9"/>
      </w:r>
      <w:r w:rsidR="00DA01B1">
        <w:t xml:space="preserve"> A renewable energy credit may be used once for RPS compliance, either during the year in which it is produced or during the </w:t>
      </w:r>
      <w:r w:rsidR="00811415">
        <w:t>preceding or subsequent year to the target</w:t>
      </w:r>
      <w:r w:rsidR="006A53AD">
        <w:t xml:space="preserve"> year</w:t>
      </w:r>
      <w:r w:rsidR="00DA01B1">
        <w:t>.</w:t>
      </w:r>
      <w:r w:rsidR="00DA01B1">
        <w:rPr>
          <w:rStyle w:val="FootnoteReference"/>
          <w:rFonts w:eastAsiaTheme="majorEastAsia"/>
        </w:rPr>
        <w:footnoteReference w:id="10"/>
      </w:r>
    </w:p>
    <w:p w:rsidR="00DA01B1" w:rsidRDefault="00DA01B1" w:rsidP="008F42B8">
      <w:r>
        <w:t>The statute provides utilities with four means of RPS compliance</w:t>
      </w:r>
      <w:r w:rsidR="00E07BC9">
        <w:t xml:space="preserve">. </w:t>
      </w:r>
      <w:r>
        <w:t>A utility may:</w:t>
      </w:r>
    </w:p>
    <w:p w:rsidR="00DA01B1" w:rsidRDefault="00DA01B1" w:rsidP="008F42B8">
      <w:pPr>
        <w:ind w:left="720" w:hanging="720"/>
      </w:pPr>
      <w:r>
        <w:t>●</w:t>
      </w:r>
      <w:r>
        <w:tab/>
        <w:t>Meet the targets by using eligible renewable resources,</w:t>
      </w:r>
      <w:r w:rsidRPr="00A656E5">
        <w:t xml:space="preserve"> </w:t>
      </w:r>
      <w:r>
        <w:t>acquiring renewable energy credits, or some combination of those two.</w:t>
      </w:r>
      <w:r>
        <w:rPr>
          <w:rStyle w:val="FootnoteReference"/>
          <w:rFonts w:eastAsiaTheme="majorEastAsia"/>
        </w:rPr>
        <w:footnoteReference w:id="11"/>
      </w:r>
    </w:p>
    <w:p w:rsidR="00DA01B1" w:rsidRDefault="00DA01B1" w:rsidP="008F42B8">
      <w:pPr>
        <w:ind w:left="720" w:hanging="720"/>
      </w:pPr>
      <w:r>
        <w:t>●</w:t>
      </w:r>
      <w:r>
        <w:tab/>
        <w:t>Invest at least four percent of its total annual retail revenue requirement on some combination of eligible renewable resources and renewable energy credits.</w:t>
      </w:r>
      <w:r>
        <w:rPr>
          <w:rStyle w:val="FootnoteReference"/>
          <w:rFonts w:eastAsiaTheme="majorEastAsia"/>
        </w:rPr>
        <w:footnoteReference w:id="12"/>
      </w:r>
    </w:p>
    <w:p w:rsidR="00DA01B1" w:rsidRDefault="00DA01B1" w:rsidP="008F42B8">
      <w:pPr>
        <w:ind w:left="720" w:hanging="720"/>
      </w:pPr>
      <w:r>
        <w:t>●</w:t>
      </w:r>
      <w:r>
        <w:tab/>
        <w:t>Make certain showings about its load, electricity purchases, and investments in eligible renewable resources and renewable energy credits.</w:t>
      </w:r>
      <w:r>
        <w:rPr>
          <w:rStyle w:val="FootnoteReference"/>
          <w:rFonts w:eastAsiaTheme="majorEastAsia"/>
        </w:rPr>
        <w:footnoteReference w:id="13"/>
      </w:r>
    </w:p>
    <w:p w:rsidR="00DA01B1" w:rsidRDefault="00DA01B1" w:rsidP="008F42B8">
      <w:pPr>
        <w:ind w:left="720" w:hanging="720"/>
      </w:pPr>
      <w:r>
        <w:t>●</w:t>
      </w:r>
      <w:r>
        <w:tab/>
        <w:t>Show that events beyond the utility’s reasonable control prevented it from meeting the target.</w:t>
      </w:r>
      <w:r>
        <w:rPr>
          <w:rStyle w:val="FootnoteReference"/>
          <w:rFonts w:eastAsiaTheme="majorEastAsia"/>
        </w:rPr>
        <w:footnoteReference w:id="14"/>
      </w:r>
    </w:p>
    <w:p w:rsidR="00DA01B1" w:rsidRDefault="00DA01B1" w:rsidP="008F42B8">
      <w:r>
        <w:t>Beginning in 2012, investor-owned utilities must report to the</w:t>
      </w:r>
      <w:r w:rsidR="00046934">
        <w:t xml:space="preserve"> Commission</w:t>
      </w:r>
      <w:r w:rsidR="006778DB">
        <w:t>,</w:t>
      </w:r>
      <w:r w:rsidR="00046934">
        <w:t xml:space="preserve"> and </w:t>
      </w:r>
      <w:r w:rsidR="0042605A">
        <w:t xml:space="preserve">all </w:t>
      </w:r>
      <w:r w:rsidR="00046934">
        <w:t>utilities</w:t>
      </w:r>
      <w:r>
        <w:t xml:space="preserve"> </w:t>
      </w:r>
      <w:r w:rsidR="00944186">
        <w:t xml:space="preserve">subject to the EIA </w:t>
      </w:r>
      <w:r w:rsidR="00046934">
        <w:t xml:space="preserve">must report to the </w:t>
      </w:r>
      <w:r>
        <w:t>Washington Department of Commerce</w:t>
      </w:r>
      <w:r w:rsidR="006778DB">
        <w:t>,</w:t>
      </w:r>
      <w:r>
        <w:t xml:space="preserve"> on their progress in meeting the statutory renewable </w:t>
      </w:r>
      <w:r w:rsidR="0097265C">
        <w:t>energy</w:t>
      </w:r>
      <w:r>
        <w:t xml:space="preserve"> targets.</w:t>
      </w:r>
      <w:r>
        <w:rPr>
          <w:rStyle w:val="FootnoteReference"/>
          <w:rFonts w:eastAsiaTheme="majorEastAsia"/>
        </w:rPr>
        <w:footnoteReference w:id="15"/>
      </w:r>
      <w:r>
        <w:t xml:space="preserve"> </w:t>
      </w:r>
      <w:r w:rsidR="005607AF">
        <w:t xml:space="preserve">The Commission has authority to </w:t>
      </w:r>
      <w:r w:rsidR="002A0A88">
        <w:t xml:space="preserve">determine whether </w:t>
      </w:r>
      <w:r w:rsidR="005607AF">
        <w:t xml:space="preserve">investor-owned utilities meet the </w:t>
      </w:r>
      <w:r w:rsidR="00421733">
        <w:t>RPS</w:t>
      </w:r>
      <w:r w:rsidR="005607AF">
        <w:t xml:space="preserve"> </w:t>
      </w:r>
      <w:r w:rsidR="00A91C91">
        <w:t>established in</w:t>
      </w:r>
      <w:r w:rsidR="005607AF">
        <w:t xml:space="preserve"> </w:t>
      </w:r>
      <w:r w:rsidR="00A91C91">
        <w:t>RCW</w:t>
      </w:r>
      <w:r w:rsidR="00E97105">
        <w:t xml:space="preserve"> </w:t>
      </w:r>
      <w:r w:rsidR="005607AF">
        <w:t>19.285.</w:t>
      </w:r>
      <w:r w:rsidR="005607AF">
        <w:rPr>
          <w:rStyle w:val="FootnoteReference"/>
        </w:rPr>
        <w:footnoteReference w:id="16"/>
      </w:r>
      <w:r w:rsidR="005607AF">
        <w:t xml:space="preserve"> </w:t>
      </w:r>
      <w:r w:rsidR="0042605A">
        <w:t>The State Auditor has authority to audit compliance by utilities that are not investor-owned.</w:t>
      </w:r>
      <w:r w:rsidR="0042605A">
        <w:rPr>
          <w:rStyle w:val="FootnoteReference"/>
        </w:rPr>
        <w:footnoteReference w:id="17"/>
      </w:r>
      <w:r w:rsidR="0042605A">
        <w:t xml:space="preserve"> </w:t>
      </w:r>
      <w:r>
        <w:t>A utility that fails to meet the targets must pay a penalty of $50 for each megawatt-hour of shortfall.</w:t>
      </w:r>
      <w:r w:rsidR="002A0A88">
        <w:rPr>
          <w:rStyle w:val="FootnoteReference"/>
        </w:rPr>
        <w:footnoteReference w:id="18"/>
      </w:r>
    </w:p>
    <w:p w:rsidR="00A50BB5" w:rsidRDefault="00340ED0" w:rsidP="008F42B8">
      <w:r>
        <w:t xml:space="preserve">RCW </w:t>
      </w:r>
      <w:r w:rsidR="00DA01B1">
        <w:t>19.285</w:t>
      </w:r>
      <w:r w:rsidR="00B22218">
        <w:t>.080</w:t>
      </w:r>
      <w:r w:rsidR="00DA01B1">
        <w:t xml:space="preserve"> authorizes the Commission to </w:t>
      </w:r>
      <w:r w:rsidR="00DA01B1" w:rsidRPr="00F1355C">
        <w:t>“adopt rules to ensure the proper implementation and enforcement of this chapter as it applies to investor-owned utilities.”</w:t>
      </w:r>
      <w:r w:rsidR="00DA01B1">
        <w:rPr>
          <w:rStyle w:val="FootnoteReference"/>
          <w:rFonts w:eastAsiaTheme="majorEastAsia"/>
        </w:rPr>
        <w:footnoteReference w:id="19"/>
      </w:r>
      <w:r w:rsidR="00DA01B1" w:rsidRPr="00F1355C">
        <w:t xml:space="preserve"> </w:t>
      </w:r>
      <w:r w:rsidR="00DA01B1">
        <w:t xml:space="preserve">In 2007, the Commission </w:t>
      </w:r>
      <w:r w:rsidR="00DA01B1" w:rsidRPr="00F1355C">
        <w:t>adopted a set of rules</w:t>
      </w:r>
      <w:r w:rsidR="00A50BB5">
        <w:t xml:space="preserve"> to implement the law, which are now </w:t>
      </w:r>
      <w:r w:rsidR="00DA01B1" w:rsidRPr="00F1355C">
        <w:t>Chapter 480</w:t>
      </w:r>
      <w:r w:rsidR="00DA01B1" w:rsidRPr="00F1355C">
        <w:noBreakHyphen/>
        <w:t xml:space="preserve">109 of the Washington Administrative </w:t>
      </w:r>
      <w:r w:rsidR="00DA01B1" w:rsidRPr="00F1355C">
        <w:lastRenderedPageBreak/>
        <w:t>Code.</w:t>
      </w:r>
      <w:r w:rsidR="00DA01B1">
        <w:rPr>
          <w:rStyle w:val="FootnoteReference"/>
          <w:rFonts w:eastAsiaTheme="majorEastAsia"/>
        </w:rPr>
        <w:footnoteReference w:id="20"/>
      </w:r>
      <w:r w:rsidR="00DA01B1">
        <w:t xml:space="preserve"> </w:t>
      </w:r>
      <w:r w:rsidR="000909D7">
        <w:t xml:space="preserve"> </w:t>
      </w:r>
      <w:r w:rsidR="006778DB">
        <w:t>The Washington Department of Commerce has adopted rules to guide compliance by utilities that are not investor-owned.</w:t>
      </w:r>
      <w:r w:rsidR="006778DB">
        <w:rPr>
          <w:rStyle w:val="FootnoteReference"/>
        </w:rPr>
        <w:footnoteReference w:id="21"/>
      </w:r>
    </w:p>
    <w:p w:rsidR="00B96B09" w:rsidRPr="0023110D" w:rsidRDefault="00811415" w:rsidP="00B96B09">
      <w:pPr>
        <w:rPr>
          <w:color w:val="000000" w:themeColor="text1"/>
        </w:rPr>
      </w:pPr>
      <w:r w:rsidRPr="0023110D">
        <w:rPr>
          <w:color w:val="000000" w:themeColor="text1"/>
        </w:rPr>
        <w:t xml:space="preserve">For the current filing, </w:t>
      </w:r>
      <w:r w:rsidR="007C217E">
        <w:rPr>
          <w:color w:val="000000" w:themeColor="text1"/>
        </w:rPr>
        <w:t>Staff</w:t>
      </w:r>
      <w:r w:rsidRPr="0023110D">
        <w:rPr>
          <w:color w:val="000000" w:themeColor="text1"/>
        </w:rPr>
        <w:t xml:space="preserve"> </w:t>
      </w:r>
      <w:r w:rsidR="00046934" w:rsidRPr="0023110D">
        <w:rPr>
          <w:color w:val="000000" w:themeColor="text1"/>
        </w:rPr>
        <w:t>is</w:t>
      </w:r>
      <w:r w:rsidRPr="0023110D">
        <w:rPr>
          <w:color w:val="000000" w:themeColor="text1"/>
        </w:rPr>
        <w:t xml:space="preserve"> unable to </w:t>
      </w:r>
      <w:r w:rsidR="005B5CC1">
        <w:rPr>
          <w:color w:val="000000" w:themeColor="text1"/>
        </w:rPr>
        <w:t>conclude</w:t>
      </w:r>
      <w:r w:rsidRPr="0023110D">
        <w:rPr>
          <w:color w:val="000000" w:themeColor="text1"/>
        </w:rPr>
        <w:t xml:space="preserve"> that the companies have </w:t>
      </w:r>
      <w:r w:rsidR="00074DFA">
        <w:rPr>
          <w:color w:val="000000" w:themeColor="text1"/>
        </w:rPr>
        <w:t xml:space="preserve">met the 2012 target </w:t>
      </w:r>
      <w:r w:rsidRPr="0023110D">
        <w:rPr>
          <w:color w:val="000000" w:themeColor="text1"/>
        </w:rPr>
        <w:t xml:space="preserve">because RECs </w:t>
      </w:r>
      <w:r w:rsidR="00D01A69">
        <w:rPr>
          <w:color w:val="000000" w:themeColor="text1"/>
        </w:rPr>
        <w:t>produced</w:t>
      </w:r>
      <w:r w:rsidRPr="0023110D">
        <w:rPr>
          <w:color w:val="000000" w:themeColor="text1"/>
        </w:rPr>
        <w:t xml:space="preserve"> during the remainder of 2012 and in 2013 may be applied toward meeting the 2012 target. As a result, </w:t>
      </w:r>
      <w:r w:rsidR="00B96B09" w:rsidRPr="0023110D">
        <w:rPr>
          <w:color w:val="000000" w:themeColor="text1"/>
        </w:rPr>
        <w:t xml:space="preserve">Commission </w:t>
      </w:r>
      <w:r w:rsidR="007C217E">
        <w:rPr>
          <w:color w:val="000000" w:themeColor="text1"/>
        </w:rPr>
        <w:t>Staff</w:t>
      </w:r>
      <w:r w:rsidR="00B96B09" w:rsidRPr="0023110D">
        <w:rPr>
          <w:color w:val="000000" w:themeColor="text1"/>
        </w:rPr>
        <w:t xml:space="preserve"> </w:t>
      </w:r>
      <w:r w:rsidR="00B056AA" w:rsidRPr="0023110D">
        <w:rPr>
          <w:color w:val="000000" w:themeColor="text1"/>
        </w:rPr>
        <w:t xml:space="preserve">will </w:t>
      </w:r>
      <w:r w:rsidR="005B5CC1">
        <w:rPr>
          <w:color w:val="000000" w:themeColor="text1"/>
        </w:rPr>
        <w:t>analyze whether</w:t>
      </w:r>
      <w:r w:rsidRPr="0023110D">
        <w:rPr>
          <w:color w:val="000000" w:themeColor="text1"/>
        </w:rPr>
        <w:t xml:space="preserve"> </w:t>
      </w:r>
      <w:r w:rsidR="00B96B09" w:rsidRPr="0023110D">
        <w:rPr>
          <w:color w:val="000000" w:themeColor="text1"/>
        </w:rPr>
        <w:t xml:space="preserve">regulated utilities </w:t>
      </w:r>
      <w:r w:rsidRPr="0023110D">
        <w:rPr>
          <w:color w:val="000000" w:themeColor="text1"/>
        </w:rPr>
        <w:t xml:space="preserve">appear </w:t>
      </w:r>
      <w:r w:rsidR="00B056AA" w:rsidRPr="0023110D">
        <w:rPr>
          <w:color w:val="000000" w:themeColor="text1"/>
        </w:rPr>
        <w:t xml:space="preserve">to be </w:t>
      </w:r>
      <w:r w:rsidR="00B96B09" w:rsidRPr="0023110D">
        <w:rPr>
          <w:color w:val="000000" w:themeColor="text1"/>
        </w:rPr>
        <w:t xml:space="preserve">“on track” to meet </w:t>
      </w:r>
      <w:r w:rsidRPr="0023110D">
        <w:rPr>
          <w:color w:val="000000" w:themeColor="text1"/>
        </w:rPr>
        <w:t>the 2012</w:t>
      </w:r>
      <w:r w:rsidR="00B96B09" w:rsidRPr="0023110D">
        <w:rPr>
          <w:color w:val="000000" w:themeColor="text1"/>
        </w:rPr>
        <w:t xml:space="preserve"> renewable energy target </w:t>
      </w:r>
      <w:r w:rsidR="00B056AA" w:rsidRPr="0023110D">
        <w:rPr>
          <w:color w:val="000000" w:themeColor="text1"/>
        </w:rPr>
        <w:t xml:space="preserve">if they demonstrate </w:t>
      </w:r>
      <w:r w:rsidR="00BA2248">
        <w:rPr>
          <w:color w:val="000000" w:themeColor="text1"/>
        </w:rPr>
        <w:t xml:space="preserve">through some combination of renewable resources acquired </w:t>
      </w:r>
      <w:r w:rsidR="00B056AA" w:rsidRPr="0023110D">
        <w:rPr>
          <w:color w:val="000000" w:themeColor="text1"/>
        </w:rPr>
        <w:t>that they</w:t>
      </w:r>
      <w:r w:rsidR="00B96B09" w:rsidRPr="0023110D">
        <w:rPr>
          <w:color w:val="000000" w:themeColor="text1"/>
        </w:rPr>
        <w:t>:</w:t>
      </w:r>
    </w:p>
    <w:p w:rsidR="00B96B09" w:rsidRPr="0023110D" w:rsidRDefault="0075203A" w:rsidP="00B96B09">
      <w:pPr>
        <w:pStyle w:val="ListParagraph"/>
        <w:numPr>
          <w:ilvl w:val="0"/>
          <w:numId w:val="40"/>
        </w:numPr>
        <w:spacing w:before="0" w:after="0"/>
        <w:rPr>
          <w:color w:val="000000" w:themeColor="text1"/>
        </w:rPr>
      </w:pPr>
      <w:r>
        <w:rPr>
          <w:color w:val="000000" w:themeColor="text1"/>
        </w:rPr>
        <w:t>o</w:t>
      </w:r>
      <w:r w:rsidR="00B96B09" w:rsidRPr="0023110D">
        <w:rPr>
          <w:color w:val="000000" w:themeColor="text1"/>
        </w:rPr>
        <w:t xml:space="preserve">wn </w:t>
      </w:r>
      <w:r w:rsidR="006778DB">
        <w:rPr>
          <w:color w:val="000000" w:themeColor="text1"/>
        </w:rPr>
        <w:t xml:space="preserve">eligible </w:t>
      </w:r>
      <w:r w:rsidR="00B96B09" w:rsidRPr="0023110D">
        <w:rPr>
          <w:color w:val="000000" w:themeColor="text1"/>
        </w:rPr>
        <w:t>renewable resources</w:t>
      </w:r>
      <w:r w:rsidR="00B056AA" w:rsidRPr="0023110D">
        <w:rPr>
          <w:color w:val="000000" w:themeColor="text1"/>
        </w:rPr>
        <w:t xml:space="preserve"> to meet the target</w:t>
      </w:r>
      <w:r>
        <w:rPr>
          <w:color w:val="000000" w:themeColor="text1"/>
        </w:rPr>
        <w:t>,</w:t>
      </w:r>
      <w:r w:rsidR="00B96B09" w:rsidRPr="0023110D">
        <w:rPr>
          <w:color w:val="000000" w:themeColor="text1"/>
        </w:rPr>
        <w:t xml:space="preserve"> or</w:t>
      </w:r>
    </w:p>
    <w:p w:rsidR="00BA2248" w:rsidRDefault="0075203A" w:rsidP="00BA2248">
      <w:pPr>
        <w:pStyle w:val="ListParagraph"/>
        <w:numPr>
          <w:ilvl w:val="0"/>
          <w:numId w:val="40"/>
        </w:numPr>
        <w:spacing w:before="0" w:after="0"/>
        <w:rPr>
          <w:color w:val="000000" w:themeColor="text1"/>
        </w:rPr>
      </w:pPr>
      <w:r>
        <w:rPr>
          <w:color w:val="000000" w:themeColor="text1"/>
        </w:rPr>
        <w:t>h</w:t>
      </w:r>
      <w:r w:rsidR="00B96B09" w:rsidRPr="0023110D">
        <w:rPr>
          <w:color w:val="000000" w:themeColor="text1"/>
        </w:rPr>
        <w:t xml:space="preserve">ave contracts for </w:t>
      </w:r>
      <w:r w:rsidR="006778DB">
        <w:rPr>
          <w:color w:val="000000" w:themeColor="text1"/>
        </w:rPr>
        <w:t xml:space="preserve">eligible </w:t>
      </w:r>
      <w:r w:rsidR="00B056AA" w:rsidRPr="0023110D">
        <w:rPr>
          <w:color w:val="000000" w:themeColor="text1"/>
        </w:rPr>
        <w:t xml:space="preserve">renewable </w:t>
      </w:r>
      <w:r w:rsidR="00B96B09" w:rsidRPr="0023110D">
        <w:rPr>
          <w:color w:val="000000" w:themeColor="text1"/>
        </w:rPr>
        <w:t>resources</w:t>
      </w:r>
      <w:r w:rsidR="00B056AA" w:rsidRPr="0023110D">
        <w:rPr>
          <w:color w:val="000000" w:themeColor="text1"/>
        </w:rPr>
        <w:t xml:space="preserve"> to meet the target</w:t>
      </w:r>
      <w:r>
        <w:rPr>
          <w:color w:val="000000" w:themeColor="text1"/>
        </w:rPr>
        <w:t>,</w:t>
      </w:r>
      <w:r w:rsidR="00B96B09" w:rsidRPr="0023110D">
        <w:rPr>
          <w:color w:val="000000" w:themeColor="text1"/>
        </w:rPr>
        <w:t xml:space="preserve"> or</w:t>
      </w:r>
    </w:p>
    <w:p w:rsidR="00B96B09" w:rsidRPr="00BA2248" w:rsidRDefault="0075203A" w:rsidP="00BA2248">
      <w:pPr>
        <w:pStyle w:val="ListParagraph"/>
        <w:numPr>
          <w:ilvl w:val="0"/>
          <w:numId w:val="40"/>
        </w:numPr>
        <w:spacing w:before="0" w:after="0"/>
        <w:rPr>
          <w:color w:val="000000" w:themeColor="text1"/>
        </w:rPr>
      </w:pPr>
      <w:r>
        <w:rPr>
          <w:color w:val="000000" w:themeColor="text1"/>
        </w:rPr>
        <w:t>h</w:t>
      </w:r>
      <w:r w:rsidR="00B96B09" w:rsidRPr="00BA2248">
        <w:rPr>
          <w:color w:val="000000" w:themeColor="text1"/>
        </w:rPr>
        <w:t>ave contracts for RECs</w:t>
      </w:r>
      <w:r w:rsidR="00B056AA" w:rsidRPr="00BA2248">
        <w:rPr>
          <w:color w:val="000000" w:themeColor="text1"/>
        </w:rPr>
        <w:t xml:space="preserve"> to meet the target</w:t>
      </w:r>
      <w:r w:rsidR="006778DB">
        <w:rPr>
          <w:color w:val="000000" w:themeColor="text1"/>
        </w:rPr>
        <w:t>.</w:t>
      </w:r>
    </w:p>
    <w:p w:rsidR="00B734FB" w:rsidRPr="005B7135" w:rsidRDefault="00DA01B1" w:rsidP="000D7F7E">
      <w:pPr>
        <w:pStyle w:val="Heading1"/>
      </w:pPr>
      <w:r w:rsidRPr="005B7135">
        <w:t>R</w:t>
      </w:r>
      <w:r w:rsidR="00624EA3" w:rsidRPr="005B7135">
        <w:t>enewable Portfolio Standards Workgroup</w:t>
      </w:r>
    </w:p>
    <w:p w:rsidR="00383E3A" w:rsidRDefault="00B734FB" w:rsidP="008F42B8">
      <w:r>
        <w:t xml:space="preserve">In order to evaluate the </w:t>
      </w:r>
      <w:r w:rsidR="00046934">
        <w:t>RPS</w:t>
      </w:r>
      <w:r>
        <w:t xml:space="preserve"> reports submitted by the regulated electric utilities, the Commission must be provided adequate information and supporting documentation</w:t>
      </w:r>
      <w:r w:rsidR="00E07BC9">
        <w:t xml:space="preserve">. </w:t>
      </w:r>
      <w:r>
        <w:t xml:space="preserve">To </w:t>
      </w:r>
      <w:r w:rsidR="00D56BD1">
        <w:t xml:space="preserve">facilitate </w:t>
      </w:r>
      <w:r>
        <w:t>compl</w:t>
      </w:r>
      <w:r w:rsidR="00D56BD1">
        <w:t>iance</w:t>
      </w:r>
      <w:r>
        <w:t xml:space="preserve"> with the Energy Independence A</w:t>
      </w:r>
      <w:r w:rsidR="00EA1E50">
        <w:t xml:space="preserve">ct, the Commission </w:t>
      </w:r>
      <w:r w:rsidR="007C217E">
        <w:t>Staff</w:t>
      </w:r>
      <w:r w:rsidR="00EA1E50">
        <w:t xml:space="preserve"> initiated a coordinated and methodical planning effort through </w:t>
      </w:r>
      <w:r w:rsidR="00290E52">
        <w:t xml:space="preserve">a </w:t>
      </w:r>
      <w:r w:rsidR="007C217E">
        <w:t>Staff</w:t>
      </w:r>
      <w:r w:rsidR="00EA1E50">
        <w:t xml:space="preserve"> investigation, </w:t>
      </w:r>
      <w:r w:rsidR="00D56BD1">
        <w:t>Docket UE</w:t>
      </w:r>
      <w:r w:rsidR="00D56BD1">
        <w:noBreakHyphen/>
      </w:r>
      <w:r w:rsidR="00EA1E50">
        <w:t>110523</w:t>
      </w:r>
      <w:r w:rsidR="00E07BC9">
        <w:t xml:space="preserve">. </w:t>
      </w:r>
    </w:p>
    <w:p w:rsidR="005A7D68" w:rsidRPr="00624EA3" w:rsidRDefault="00EC64F8" w:rsidP="008F42B8">
      <w:r>
        <w:t>D</w:t>
      </w:r>
      <w:r w:rsidR="00EA1E50" w:rsidRPr="00383E3A">
        <w:t>ocket</w:t>
      </w:r>
      <w:r w:rsidR="003A1C8A">
        <w:t xml:space="preserve"> UE</w:t>
      </w:r>
      <w:r w:rsidR="003A1C8A">
        <w:noBreakHyphen/>
      </w:r>
      <w:r>
        <w:t>110523</w:t>
      </w:r>
      <w:r w:rsidR="00EA1E50" w:rsidRPr="00383E3A">
        <w:t xml:space="preserve"> was opened in March of 2011 and a series of workshops, discussions and informal</w:t>
      </w:r>
      <w:r w:rsidR="00EA1E50">
        <w:t xml:space="preserve"> negotiations facilitated by Commission </w:t>
      </w:r>
      <w:r w:rsidR="007C217E">
        <w:t>Staff</w:t>
      </w:r>
      <w:r w:rsidR="00EA1E50">
        <w:t xml:space="preserve"> were </w:t>
      </w:r>
      <w:r>
        <w:t xml:space="preserve">completed </w:t>
      </w:r>
      <w:r w:rsidR="00EA1E50">
        <w:t>in March of 2012</w:t>
      </w:r>
      <w:r w:rsidR="00A21414">
        <w:t xml:space="preserve"> </w:t>
      </w:r>
      <w:r>
        <w:t xml:space="preserve">in </w:t>
      </w:r>
      <w:r w:rsidR="00A21414">
        <w:t>what was called the Renewable Portfolio Standards Workgroup</w:t>
      </w:r>
      <w:r w:rsidR="00EA1E50">
        <w:t>. The workshops were scheduled monthly through 2011 and 2012</w:t>
      </w:r>
      <w:r w:rsidR="003A1C8A">
        <w:t>,</w:t>
      </w:r>
      <w:r w:rsidR="00EA1E50">
        <w:t xml:space="preserve"> and consensus </w:t>
      </w:r>
      <w:r>
        <w:t xml:space="preserve">documents </w:t>
      </w:r>
      <w:r w:rsidR="00A341FF">
        <w:t>on reporting</w:t>
      </w:r>
      <w:r w:rsidR="00624EA3">
        <w:t xml:space="preserve"> expectations </w:t>
      </w:r>
      <w:r>
        <w:t>and</w:t>
      </w:r>
      <w:r w:rsidRPr="00A04960">
        <w:rPr>
          <w:rFonts w:eastAsiaTheme="minorHAnsi"/>
        </w:rPr>
        <w:t xml:space="preserve"> incremental hydro</w:t>
      </w:r>
      <w:r w:rsidR="003A1C8A">
        <w:rPr>
          <w:rFonts w:eastAsiaTheme="minorHAnsi"/>
        </w:rPr>
        <w:t>power</w:t>
      </w:r>
      <w:r w:rsidRPr="00A04960">
        <w:rPr>
          <w:rFonts w:eastAsiaTheme="minorHAnsi"/>
        </w:rPr>
        <w:t xml:space="preserve"> methodologies </w:t>
      </w:r>
      <w:r w:rsidR="00624EA3">
        <w:t>w</w:t>
      </w:r>
      <w:r w:rsidR="005041D3">
        <w:t>ere filed in docket UE</w:t>
      </w:r>
      <w:r w:rsidR="003A1C8A">
        <w:noBreakHyphen/>
      </w:r>
      <w:r w:rsidR="005041D3">
        <w:t>110523</w:t>
      </w:r>
      <w:r w:rsidR="00E07BC9">
        <w:t xml:space="preserve">. </w:t>
      </w:r>
      <w:r w:rsidR="005A7D68" w:rsidRPr="00A04960">
        <w:rPr>
          <w:rFonts w:eastAsiaTheme="minorHAnsi"/>
        </w:rPr>
        <w:t xml:space="preserve">The RPS workgroup </w:t>
      </w:r>
      <w:r w:rsidR="0023110D">
        <w:rPr>
          <w:rFonts w:eastAsiaTheme="minorHAnsi"/>
        </w:rPr>
        <w:t>participants</w:t>
      </w:r>
      <w:r w:rsidR="005A7D68" w:rsidRPr="00A04960">
        <w:rPr>
          <w:rFonts w:eastAsiaTheme="minorHAnsi"/>
        </w:rPr>
        <w:t xml:space="preserve"> included representatives from Commission </w:t>
      </w:r>
      <w:r w:rsidR="007C217E">
        <w:rPr>
          <w:rFonts w:eastAsiaTheme="minorHAnsi"/>
        </w:rPr>
        <w:t>Staff</w:t>
      </w:r>
      <w:r w:rsidR="005A7D68" w:rsidRPr="00A04960">
        <w:rPr>
          <w:rFonts w:eastAsiaTheme="minorHAnsi"/>
        </w:rPr>
        <w:t>; the Investor Owned Utilities; the Department of Commerce; the Office of the State Auditor; the Public Counsel Unit of the Attorney General’s office; Oregon Department of Energy; California Department of Energy; Snohomish County Public Utility District; Tacoma Power; Northwest Energy Coalition; and Renewable Northwest Project.</w:t>
      </w:r>
    </w:p>
    <w:p w:rsidR="005A7D68" w:rsidRPr="00A04960" w:rsidRDefault="00EB42C0" w:rsidP="008F42B8">
      <w:pPr>
        <w:spacing w:before="0" w:after="200"/>
        <w:rPr>
          <w:rFonts w:eastAsiaTheme="minorHAnsi"/>
        </w:rPr>
      </w:pPr>
      <w:r>
        <w:rPr>
          <w:rFonts w:eastAsiaTheme="minorHAnsi"/>
        </w:rPr>
        <w:t xml:space="preserve">Through the RPS workgroup, Staff sought to develop a consistent reporting model. The RPS workgroup also addressed legal requirements, timelines, public participation, and interested parties’ access to data. </w:t>
      </w:r>
      <w:r w:rsidR="00CE2817">
        <w:rPr>
          <w:rFonts w:eastAsiaTheme="minorHAnsi"/>
        </w:rPr>
        <w:t>A</w:t>
      </w:r>
      <w:r w:rsidR="005A7D68" w:rsidRPr="00A04960">
        <w:rPr>
          <w:rFonts w:eastAsiaTheme="minorHAnsi"/>
        </w:rPr>
        <w:t>nalyses</w:t>
      </w:r>
      <w:r w:rsidR="00CE2817">
        <w:rPr>
          <w:rFonts w:eastAsiaTheme="minorHAnsi"/>
        </w:rPr>
        <w:t xml:space="preserve"> s</w:t>
      </w:r>
      <w:r w:rsidR="00CE2817" w:rsidRPr="00A04960">
        <w:rPr>
          <w:rFonts w:eastAsiaTheme="minorHAnsi"/>
        </w:rPr>
        <w:t>upporting the RPS workgroup recommendations wer</w:t>
      </w:r>
      <w:r w:rsidR="00CE2817">
        <w:rPr>
          <w:rFonts w:eastAsiaTheme="minorHAnsi"/>
        </w:rPr>
        <w:t>e</w:t>
      </w:r>
      <w:r w:rsidR="005A7D68" w:rsidRPr="00A04960">
        <w:rPr>
          <w:rFonts w:eastAsiaTheme="minorHAnsi"/>
        </w:rPr>
        <w:t xml:space="preserve"> conducted by </w:t>
      </w:r>
      <w:r w:rsidR="003A1C8A">
        <w:rPr>
          <w:rFonts w:eastAsiaTheme="minorHAnsi"/>
        </w:rPr>
        <w:t>an</w:t>
      </w:r>
      <w:r w:rsidR="005A7D68" w:rsidRPr="00A04960">
        <w:rPr>
          <w:rFonts w:eastAsiaTheme="minorHAnsi"/>
        </w:rPr>
        <w:t xml:space="preserve"> </w:t>
      </w:r>
      <w:r w:rsidR="003A1C8A">
        <w:rPr>
          <w:rFonts w:eastAsiaTheme="minorHAnsi"/>
        </w:rPr>
        <w:t xml:space="preserve">informal </w:t>
      </w:r>
      <w:r w:rsidR="005A7D68" w:rsidRPr="00A04960">
        <w:rPr>
          <w:rFonts w:eastAsiaTheme="minorHAnsi"/>
        </w:rPr>
        <w:t>Technical Working Group</w:t>
      </w:r>
      <w:r>
        <w:rPr>
          <w:rFonts w:eastAsiaTheme="minorHAnsi"/>
        </w:rPr>
        <w:t xml:space="preserve"> that included representatives from Commission Staff and Department of Commerce staff</w:t>
      </w:r>
      <w:r w:rsidR="005A7D68" w:rsidRPr="00A04960">
        <w:rPr>
          <w:rFonts w:eastAsiaTheme="minorHAnsi"/>
        </w:rPr>
        <w:t>.</w:t>
      </w:r>
      <w:r w:rsidR="003A1C8A">
        <w:rPr>
          <w:rStyle w:val="FootnoteReference"/>
          <w:rFonts w:eastAsiaTheme="minorHAnsi"/>
        </w:rPr>
        <w:footnoteReference w:id="22"/>
      </w:r>
    </w:p>
    <w:p w:rsidR="00A67F6E" w:rsidRDefault="00EB42C0" w:rsidP="008F42B8">
      <w:r>
        <w:t xml:space="preserve">Throughout the RPS workgroup process, </w:t>
      </w:r>
      <w:r w:rsidR="007C217E">
        <w:t>Staff</w:t>
      </w:r>
      <w:r w:rsidR="005041D3">
        <w:t xml:space="preserve"> </w:t>
      </w:r>
      <w:r w:rsidR="001E29AD">
        <w:t>asked</w:t>
      </w:r>
      <w:r w:rsidR="00CE2817">
        <w:t xml:space="preserve"> </w:t>
      </w:r>
      <w:r w:rsidR="005041D3">
        <w:t xml:space="preserve">each </w:t>
      </w:r>
      <w:r>
        <w:t>investor-owned electric utility</w:t>
      </w:r>
      <w:r w:rsidR="005041D3">
        <w:t xml:space="preserve"> </w:t>
      </w:r>
      <w:r w:rsidR="001E29AD">
        <w:t xml:space="preserve">to </w:t>
      </w:r>
      <w:r w:rsidR="00A341FF">
        <w:t xml:space="preserve">file a draft </w:t>
      </w:r>
      <w:r w:rsidR="00A35E7D">
        <w:t>RPS</w:t>
      </w:r>
      <w:r w:rsidR="005041D3">
        <w:t xml:space="preserve"> report for</w:t>
      </w:r>
      <w:r w:rsidR="00A341FF">
        <w:t xml:space="preserve"> review </w:t>
      </w:r>
      <w:r w:rsidR="005041D3">
        <w:t xml:space="preserve">and comment </w:t>
      </w:r>
      <w:r w:rsidR="00A341FF">
        <w:t xml:space="preserve">by </w:t>
      </w:r>
      <w:r w:rsidR="007C217E">
        <w:t>Staff</w:t>
      </w:r>
      <w:r w:rsidR="00A341FF">
        <w:t xml:space="preserve"> </w:t>
      </w:r>
      <w:r>
        <w:t>before</w:t>
      </w:r>
      <w:r w:rsidR="00A341FF">
        <w:t xml:space="preserve"> June 1, 2012</w:t>
      </w:r>
      <w:r w:rsidR="00CE2817">
        <w:t xml:space="preserve">, so that </w:t>
      </w:r>
      <w:r w:rsidR="007C217E">
        <w:t>Staff</w:t>
      </w:r>
      <w:r w:rsidR="00CE2817">
        <w:t xml:space="preserve"> could</w:t>
      </w:r>
      <w:r w:rsidR="0042133B">
        <w:t xml:space="preserve"> work with the companies on the content and format of the reports</w:t>
      </w:r>
      <w:r w:rsidR="00A341FF">
        <w:t>.</w:t>
      </w:r>
      <w:r w:rsidR="0042133B">
        <w:rPr>
          <w:rStyle w:val="FootnoteReference"/>
        </w:rPr>
        <w:footnoteReference w:id="23"/>
      </w:r>
      <w:r w:rsidR="00A341FF">
        <w:t xml:space="preserve"> In first workshop discussions of March 2011, </w:t>
      </w:r>
      <w:r w:rsidR="007C217E">
        <w:t>Staff</w:t>
      </w:r>
      <w:r w:rsidR="00A341FF">
        <w:t xml:space="preserve"> </w:t>
      </w:r>
      <w:r w:rsidR="00A341FF">
        <w:lastRenderedPageBreak/>
        <w:t xml:space="preserve">requested </w:t>
      </w:r>
      <w:r w:rsidR="005041D3">
        <w:t>such drafts to be submitted no later than</w:t>
      </w:r>
      <w:r w:rsidR="00A341FF">
        <w:t xml:space="preserve"> Apr</w:t>
      </w:r>
      <w:r w:rsidR="005041D3">
        <w:t>il 2012</w:t>
      </w:r>
      <w:r w:rsidR="00A341FF">
        <w:t xml:space="preserve">. </w:t>
      </w:r>
      <w:r>
        <w:t xml:space="preserve">Only Avista accepted the opportunity to receive Staff comments before the June 1, 2012, filing deadline.  </w:t>
      </w:r>
      <w:r w:rsidR="00A341FF">
        <w:t xml:space="preserve">Avista </w:t>
      </w:r>
      <w:r w:rsidR="009C4C03">
        <w:t>submitted</w:t>
      </w:r>
      <w:r w:rsidR="00A341FF">
        <w:t xml:space="preserve"> two rounds of reporting drafts, and </w:t>
      </w:r>
      <w:r>
        <w:t xml:space="preserve">made experts </w:t>
      </w:r>
      <w:r w:rsidR="00A341FF">
        <w:t xml:space="preserve">available to </w:t>
      </w:r>
      <w:r>
        <w:t xml:space="preserve">explain the materials </w:t>
      </w:r>
      <w:r w:rsidR="00A341FF">
        <w:t xml:space="preserve">and </w:t>
      </w:r>
      <w:r>
        <w:t>to respond to questions from Staff</w:t>
      </w:r>
      <w:r w:rsidR="006A53AD">
        <w:t>.</w:t>
      </w:r>
    </w:p>
    <w:p w:rsidR="00E410BA" w:rsidRPr="00E410BA" w:rsidRDefault="00EB42C0" w:rsidP="001E29AD">
      <w:r>
        <w:t>Representatives</w:t>
      </w:r>
      <w:r w:rsidR="00D70428">
        <w:t xml:space="preserve"> </w:t>
      </w:r>
      <w:r w:rsidR="009C4C03">
        <w:t xml:space="preserve">from </w:t>
      </w:r>
      <w:r w:rsidR="00D70428">
        <w:t xml:space="preserve">the California Department of Energy and </w:t>
      </w:r>
      <w:r w:rsidR="00413F11">
        <w:t xml:space="preserve">the </w:t>
      </w:r>
      <w:r w:rsidR="00D70428">
        <w:t>Oregon Department of E</w:t>
      </w:r>
      <w:r w:rsidR="00383E3A">
        <w:t>nergy provided invaluable insight into</w:t>
      </w:r>
      <w:r w:rsidR="00D70428">
        <w:t xml:space="preserve"> those</w:t>
      </w:r>
      <w:r w:rsidR="00383E3A">
        <w:t xml:space="preserve"> sta</w:t>
      </w:r>
      <w:r w:rsidR="00D70428">
        <w:t>te</w:t>
      </w:r>
      <w:r>
        <w:t>s’</w:t>
      </w:r>
      <w:r w:rsidR="00D70428">
        <w:t xml:space="preserve"> requirements</w:t>
      </w:r>
      <w:r>
        <w:t xml:space="preserve"> </w:t>
      </w:r>
      <w:r w:rsidR="00413F11">
        <w:t>and</w:t>
      </w:r>
      <w:r w:rsidR="00383E3A">
        <w:t xml:space="preserve"> reporting </w:t>
      </w:r>
      <w:r w:rsidR="00413F11">
        <w:t>standards</w:t>
      </w:r>
      <w:r w:rsidR="00E07BC9">
        <w:t xml:space="preserve">. </w:t>
      </w:r>
      <w:r w:rsidR="00D70428">
        <w:t xml:space="preserve">Oregon </w:t>
      </w:r>
      <w:r w:rsidR="00CE2817">
        <w:t>contributed</w:t>
      </w:r>
      <w:r w:rsidR="00D165EE">
        <w:t xml:space="preserve"> engineering </w:t>
      </w:r>
      <w:r w:rsidR="00413F11">
        <w:t xml:space="preserve">expertise, and shared </w:t>
      </w:r>
      <w:r w:rsidR="00D165EE">
        <w:t>recommendations</w:t>
      </w:r>
      <w:r w:rsidR="00E83C84">
        <w:t xml:space="preserve"> from</w:t>
      </w:r>
      <w:r w:rsidR="00D70428">
        <w:t xml:space="preserve"> the </w:t>
      </w:r>
      <w:r w:rsidR="00413F11">
        <w:t xml:space="preserve">United States </w:t>
      </w:r>
      <w:r w:rsidR="00D70428">
        <w:t xml:space="preserve">Army Corps of Engineers on </w:t>
      </w:r>
      <w:r w:rsidR="00D15364">
        <w:t xml:space="preserve">incremental </w:t>
      </w:r>
      <w:r w:rsidR="00D70428">
        <w:t>hyd</w:t>
      </w:r>
      <w:r w:rsidR="00E83C84">
        <w:t>ro</w:t>
      </w:r>
      <w:r w:rsidR="00D15364">
        <w:t>electric generation analysis</w:t>
      </w:r>
      <w:r w:rsidR="00E83C84">
        <w:t xml:space="preserve"> methods</w:t>
      </w:r>
      <w:r w:rsidR="00E07BC9">
        <w:t xml:space="preserve">. </w:t>
      </w:r>
      <w:r w:rsidR="00D165EE">
        <w:t xml:space="preserve"> Oregon Department of Energy </w:t>
      </w:r>
      <w:r w:rsidR="007C217E">
        <w:t>Staff</w:t>
      </w:r>
      <w:r w:rsidR="00D165EE">
        <w:t xml:space="preserve"> used the work of the Washington Commission </w:t>
      </w:r>
      <w:r w:rsidR="007C217E">
        <w:t>Staff</w:t>
      </w:r>
      <w:r w:rsidR="00D165EE">
        <w:t xml:space="preserve"> to choose a specific model for hydro (model #2) for Oregon and PacifiCorp’s </w:t>
      </w:r>
      <w:r w:rsidR="001E29AD">
        <w:t xml:space="preserve">Oregon </w:t>
      </w:r>
      <w:r w:rsidR="00A35E7D">
        <w:t>RPS</w:t>
      </w:r>
      <w:r w:rsidR="00D165EE">
        <w:t xml:space="preserve"> report. </w:t>
      </w:r>
    </w:p>
    <w:p w:rsidR="007104CD" w:rsidRPr="008E45D3" w:rsidRDefault="00A35E7D" w:rsidP="000D7F7E">
      <w:pPr>
        <w:pStyle w:val="Heading1"/>
        <w:rPr>
          <w:rFonts w:eastAsiaTheme="minorHAnsi"/>
        </w:rPr>
      </w:pPr>
      <w:r w:rsidRPr="00A35E7D">
        <w:rPr>
          <w:rFonts w:eastAsiaTheme="minorHAnsi"/>
        </w:rPr>
        <w:t>Western Renewable Energy Generation Information System</w:t>
      </w:r>
      <w:r>
        <w:rPr>
          <w:rFonts w:eastAsiaTheme="minorHAnsi"/>
        </w:rPr>
        <w:t xml:space="preserve"> (</w:t>
      </w:r>
      <w:r w:rsidR="00943A89" w:rsidRPr="008E45D3">
        <w:rPr>
          <w:rFonts w:eastAsiaTheme="minorHAnsi"/>
        </w:rPr>
        <w:t>WREGIS</w:t>
      </w:r>
      <w:r>
        <w:rPr>
          <w:rFonts w:eastAsiaTheme="minorHAnsi"/>
        </w:rPr>
        <w:t>)</w:t>
      </w:r>
    </w:p>
    <w:p w:rsidR="007104CD" w:rsidRPr="005B7135" w:rsidRDefault="007104CD" w:rsidP="001E29AD">
      <w:pPr>
        <w:rPr>
          <w:rFonts w:eastAsiaTheme="minorHAnsi"/>
          <w:color w:val="000000" w:themeColor="text1"/>
        </w:rPr>
      </w:pPr>
      <w:r w:rsidRPr="00A04960">
        <w:rPr>
          <w:rFonts w:eastAsiaTheme="minorHAnsi"/>
          <w:bCs/>
          <w:color w:val="000000" w:themeColor="text1"/>
        </w:rPr>
        <w:t>The Western Renewable Energy Generation Information System (WREGIS)</w:t>
      </w:r>
      <w:r w:rsidRPr="00A04960">
        <w:rPr>
          <w:rFonts w:eastAsiaTheme="minorHAnsi"/>
          <w:color w:val="000000" w:themeColor="text1"/>
        </w:rPr>
        <w:t xml:space="preserve"> is an independent, renewable energy tracking system for the region covered by the Western Electricity Coordinating Council. WREGIS tracks renewable energy generation from units that register in the system using verifiable data</w:t>
      </w:r>
      <w:r w:rsidR="0062505E">
        <w:rPr>
          <w:rFonts w:eastAsiaTheme="minorHAnsi"/>
          <w:color w:val="000000" w:themeColor="text1"/>
        </w:rPr>
        <w:t>,</w:t>
      </w:r>
      <w:r w:rsidRPr="00A04960">
        <w:rPr>
          <w:rFonts w:eastAsiaTheme="minorHAnsi"/>
          <w:color w:val="000000" w:themeColor="text1"/>
        </w:rPr>
        <w:t xml:space="preserve"> and creates renewable energy certificates for this generation. WREGIS Certificates can be used to verify compliance with state regulatory requirements. </w:t>
      </w:r>
      <w:r w:rsidR="00A35E7D">
        <w:rPr>
          <w:rFonts w:eastAsiaTheme="minorHAnsi"/>
          <w:color w:val="000000" w:themeColor="text1"/>
        </w:rPr>
        <w:t>A</w:t>
      </w:r>
      <w:r w:rsidR="0062505E">
        <w:rPr>
          <w:rFonts w:eastAsiaTheme="minorHAnsi"/>
          <w:color w:val="000000" w:themeColor="text1"/>
        </w:rPr>
        <w:t>n unresolved</w:t>
      </w:r>
      <w:r w:rsidRPr="00A04960">
        <w:rPr>
          <w:rFonts w:eastAsiaTheme="minorHAnsi"/>
          <w:color w:val="000000" w:themeColor="text1"/>
        </w:rPr>
        <w:t xml:space="preserve"> issue with </w:t>
      </w:r>
      <w:r w:rsidR="0062505E">
        <w:rPr>
          <w:rFonts w:eastAsiaTheme="minorHAnsi"/>
          <w:color w:val="000000" w:themeColor="text1"/>
        </w:rPr>
        <w:t xml:space="preserve">respect to </w:t>
      </w:r>
      <w:r w:rsidR="003206EE">
        <w:rPr>
          <w:rFonts w:eastAsiaTheme="minorHAnsi"/>
          <w:color w:val="000000" w:themeColor="text1"/>
        </w:rPr>
        <w:t>determining</w:t>
      </w:r>
      <w:r w:rsidR="0062505E">
        <w:rPr>
          <w:rFonts w:eastAsiaTheme="minorHAnsi"/>
          <w:color w:val="000000" w:themeColor="text1"/>
        </w:rPr>
        <w:t xml:space="preserve"> </w:t>
      </w:r>
      <w:r w:rsidR="00A35E7D">
        <w:rPr>
          <w:rFonts w:eastAsiaTheme="minorHAnsi"/>
          <w:color w:val="000000" w:themeColor="text1"/>
        </w:rPr>
        <w:t xml:space="preserve">compliance </w:t>
      </w:r>
      <w:r w:rsidR="0062505E">
        <w:rPr>
          <w:rFonts w:eastAsiaTheme="minorHAnsi"/>
          <w:color w:val="000000" w:themeColor="text1"/>
        </w:rPr>
        <w:t xml:space="preserve">in Washington </w:t>
      </w:r>
      <w:r w:rsidR="00A35E7D">
        <w:rPr>
          <w:rFonts w:eastAsiaTheme="minorHAnsi"/>
          <w:color w:val="000000" w:themeColor="text1"/>
        </w:rPr>
        <w:t>is</w:t>
      </w:r>
      <w:r w:rsidR="002D38B5" w:rsidRPr="00A04960">
        <w:rPr>
          <w:rFonts w:eastAsiaTheme="minorHAnsi"/>
          <w:color w:val="000000" w:themeColor="text1"/>
        </w:rPr>
        <w:t xml:space="preserve"> the </w:t>
      </w:r>
      <w:r w:rsidR="0062505E">
        <w:rPr>
          <w:rFonts w:eastAsiaTheme="minorHAnsi"/>
          <w:color w:val="000000" w:themeColor="text1"/>
        </w:rPr>
        <w:t xml:space="preserve">lack of a </w:t>
      </w:r>
      <w:r w:rsidR="003206EE">
        <w:rPr>
          <w:rFonts w:eastAsiaTheme="minorHAnsi"/>
          <w:color w:val="000000" w:themeColor="text1"/>
        </w:rPr>
        <w:t xml:space="preserve">Washington </w:t>
      </w:r>
      <w:r w:rsidRPr="00A04960">
        <w:rPr>
          <w:rFonts w:eastAsiaTheme="minorHAnsi"/>
          <w:color w:val="000000" w:themeColor="text1"/>
        </w:rPr>
        <w:t xml:space="preserve">WREGIS administrator </w:t>
      </w:r>
      <w:r w:rsidR="0062505E">
        <w:rPr>
          <w:rFonts w:eastAsiaTheme="minorHAnsi"/>
          <w:color w:val="000000" w:themeColor="text1"/>
        </w:rPr>
        <w:t xml:space="preserve">who can verify that a particular REC in the WREGIS system satisfies the requirements of RCW Chapter 19.285.  Legislation enacted in 2012 may enable the </w:t>
      </w:r>
      <w:r w:rsidRPr="00A04960">
        <w:rPr>
          <w:rFonts w:eastAsiaTheme="minorHAnsi"/>
          <w:color w:val="000000" w:themeColor="text1"/>
        </w:rPr>
        <w:t xml:space="preserve">Washington Department of Commerce </w:t>
      </w:r>
      <w:r w:rsidR="0062505E">
        <w:rPr>
          <w:rFonts w:eastAsiaTheme="minorHAnsi"/>
          <w:color w:val="000000" w:themeColor="text1"/>
        </w:rPr>
        <w:t>to take on that role</w:t>
      </w:r>
      <w:r w:rsidRPr="00A04960">
        <w:rPr>
          <w:rFonts w:eastAsiaTheme="minorHAnsi"/>
          <w:color w:val="000000" w:themeColor="text1"/>
        </w:rPr>
        <w:t>.</w:t>
      </w:r>
      <w:r w:rsidR="0062505E">
        <w:rPr>
          <w:rStyle w:val="FootnoteReference"/>
          <w:rFonts w:eastAsiaTheme="minorHAnsi"/>
          <w:color w:val="000000" w:themeColor="text1"/>
        </w:rPr>
        <w:footnoteReference w:id="24"/>
      </w:r>
      <w:r w:rsidR="005B7135">
        <w:rPr>
          <w:rFonts w:eastAsiaTheme="minorHAnsi"/>
          <w:color w:val="000000" w:themeColor="text1"/>
        </w:rPr>
        <w:t xml:space="preserve"> </w:t>
      </w:r>
      <w:r w:rsidR="00FC2C4A">
        <w:rPr>
          <w:rFonts w:eastAsiaTheme="minorHAnsi"/>
          <w:color w:val="000000" w:themeColor="text1"/>
        </w:rPr>
        <w:t>The process is</w:t>
      </w:r>
      <w:r w:rsidR="0081139D">
        <w:rPr>
          <w:rFonts w:eastAsiaTheme="minorHAnsi"/>
          <w:color w:val="000000" w:themeColor="text1"/>
        </w:rPr>
        <w:t xml:space="preserve"> currently</w:t>
      </w:r>
      <w:r w:rsidR="00FC2C4A">
        <w:rPr>
          <w:rFonts w:eastAsiaTheme="minorHAnsi"/>
          <w:color w:val="000000" w:themeColor="text1"/>
        </w:rPr>
        <w:t xml:space="preserve"> under development at the Department of Commerce.</w:t>
      </w:r>
      <w:r w:rsidR="0081139D">
        <w:rPr>
          <w:rFonts w:eastAsiaTheme="minorHAnsi"/>
          <w:color w:val="000000" w:themeColor="text1"/>
        </w:rPr>
        <w:t xml:space="preserve"> </w:t>
      </w:r>
    </w:p>
    <w:p w:rsidR="00D414D7" w:rsidRPr="002A6F96" w:rsidRDefault="00D414D7" w:rsidP="000D7F7E">
      <w:pPr>
        <w:pStyle w:val="Heading1"/>
        <w:rPr>
          <w:rFonts w:eastAsia="Calibri"/>
        </w:rPr>
      </w:pPr>
      <w:r w:rsidRPr="002A6F96">
        <w:rPr>
          <w:rFonts w:eastAsia="Calibri"/>
        </w:rPr>
        <w:t>Incremental Hydro</w:t>
      </w:r>
      <w:r w:rsidR="003206EE">
        <w:rPr>
          <w:rFonts w:eastAsia="Calibri"/>
        </w:rPr>
        <w:t>power</w:t>
      </w:r>
      <w:r w:rsidRPr="002A6F96">
        <w:rPr>
          <w:rFonts w:eastAsia="Calibri"/>
        </w:rPr>
        <w:t xml:space="preserve"> Electricity Calculation Methodologies</w:t>
      </w:r>
    </w:p>
    <w:p w:rsidR="00F51D6E" w:rsidRDefault="00D414D7" w:rsidP="001E29AD">
      <w:pPr>
        <w:rPr>
          <w:rFonts w:eastAsia="Calibri"/>
        </w:rPr>
      </w:pPr>
      <w:r w:rsidRPr="005B7135">
        <w:rPr>
          <w:rFonts w:eastAsia="Calibri"/>
        </w:rPr>
        <w:t xml:space="preserve">Under certain circumstances, incremental electricity produced as a result of </w:t>
      </w:r>
      <w:r w:rsidR="00672BA5">
        <w:rPr>
          <w:rFonts w:eastAsia="Calibri"/>
        </w:rPr>
        <w:t xml:space="preserve">hydropower </w:t>
      </w:r>
      <w:r w:rsidRPr="005B7135">
        <w:rPr>
          <w:rFonts w:eastAsia="Calibri"/>
        </w:rPr>
        <w:t>efficiency improvements completed after March 31, 1999</w:t>
      </w:r>
      <w:r w:rsidR="009A3E84">
        <w:rPr>
          <w:rFonts w:eastAsia="Calibri"/>
        </w:rPr>
        <w:t>,</w:t>
      </w:r>
      <w:r w:rsidRPr="005B7135">
        <w:rPr>
          <w:rFonts w:eastAsia="Calibri"/>
        </w:rPr>
        <w:t xml:space="preserve"> may qualify as an eligible renewable resource for purposes of </w:t>
      </w:r>
      <w:r w:rsidR="003206EE">
        <w:rPr>
          <w:rFonts w:eastAsia="Calibri"/>
        </w:rPr>
        <w:t>meeting</w:t>
      </w:r>
      <w:r w:rsidRPr="005B7135">
        <w:rPr>
          <w:rFonts w:eastAsia="Calibri"/>
        </w:rPr>
        <w:t xml:space="preserve"> </w:t>
      </w:r>
      <w:r w:rsidR="003206EE">
        <w:rPr>
          <w:rFonts w:eastAsia="Calibri"/>
        </w:rPr>
        <w:t>the renewable energy targets of the Energy Independence Act</w:t>
      </w:r>
      <w:r w:rsidR="00E07BC9">
        <w:rPr>
          <w:rFonts w:eastAsia="Calibri"/>
        </w:rPr>
        <w:t>.</w:t>
      </w:r>
      <w:r w:rsidR="003206EE">
        <w:rPr>
          <w:rStyle w:val="FootnoteReference"/>
          <w:rFonts w:eastAsia="Calibri"/>
        </w:rPr>
        <w:footnoteReference w:id="25"/>
      </w:r>
      <w:r w:rsidR="00E07BC9">
        <w:rPr>
          <w:rFonts w:eastAsia="Calibri"/>
        </w:rPr>
        <w:t xml:space="preserve"> </w:t>
      </w:r>
      <w:r w:rsidR="0065625E" w:rsidRPr="0065625E">
        <w:rPr>
          <w:rFonts w:eastAsia="Calibri"/>
        </w:rPr>
        <w:t>The statute is clear that RECs cannot be created from incremental hydropower,</w:t>
      </w:r>
      <w:r w:rsidR="00F51D6E">
        <w:rPr>
          <w:rStyle w:val="FootnoteReference"/>
          <w:rFonts w:eastAsia="Calibri"/>
        </w:rPr>
        <w:footnoteReference w:id="26"/>
      </w:r>
      <w:r w:rsidR="0065625E" w:rsidRPr="0065625E">
        <w:rPr>
          <w:rFonts w:eastAsia="Calibri"/>
        </w:rPr>
        <w:t xml:space="preserve"> but it is silent about selling incremental hydropower when no RECs are created or registered. </w:t>
      </w:r>
      <w:r w:rsidR="0065625E">
        <w:rPr>
          <w:rFonts w:eastAsia="Calibri"/>
        </w:rPr>
        <w:t>The Department of Commerce has taken the position that incremental hydropower, when sold with its environmental attributes, should be treated in exactly the same manner as when one utility sells another utility wind power when no RECs are created or registered.</w:t>
      </w:r>
      <w:r w:rsidR="00F51D6E">
        <w:rPr>
          <w:rStyle w:val="FootnoteReference"/>
          <w:rFonts w:eastAsia="Calibri"/>
        </w:rPr>
        <w:footnoteReference w:id="27"/>
      </w:r>
      <w:r w:rsidR="0065625E">
        <w:rPr>
          <w:rFonts w:eastAsia="Calibri"/>
        </w:rPr>
        <w:t xml:space="preserve"> </w:t>
      </w:r>
      <w:r w:rsidR="00E53980">
        <w:rPr>
          <w:rFonts w:eastAsia="Calibri"/>
        </w:rPr>
        <w:t xml:space="preserve">In the </w:t>
      </w:r>
      <w:r w:rsidR="0043209D">
        <w:rPr>
          <w:rFonts w:eastAsia="Calibri"/>
        </w:rPr>
        <w:t>filings</w:t>
      </w:r>
      <w:r w:rsidR="00E53980">
        <w:rPr>
          <w:rFonts w:eastAsia="Calibri"/>
        </w:rPr>
        <w:t xml:space="preserve"> currently before the Commission, Avista and PacifiCorp report that they are using some incremental hydropower purchased from Grant County Public Utility District</w:t>
      </w:r>
      <w:r w:rsidR="00951B23">
        <w:rPr>
          <w:rFonts w:eastAsia="Calibri"/>
        </w:rPr>
        <w:t>, as well as incremental hydropower from facilities that they own</w:t>
      </w:r>
      <w:r w:rsidR="001E29AD">
        <w:rPr>
          <w:rFonts w:eastAsia="Calibri"/>
        </w:rPr>
        <w:t xml:space="preserve"> in the Pacific Northwest</w:t>
      </w:r>
      <w:r w:rsidR="00E53980">
        <w:rPr>
          <w:rFonts w:eastAsia="Calibri"/>
        </w:rPr>
        <w:t xml:space="preserve">. </w:t>
      </w:r>
    </w:p>
    <w:p w:rsidR="00D414D7" w:rsidRPr="005B7135" w:rsidRDefault="00D414D7" w:rsidP="00CF3CE2">
      <w:pPr>
        <w:rPr>
          <w:rFonts w:eastAsia="Calibri"/>
        </w:rPr>
      </w:pPr>
      <w:r w:rsidRPr="005B7135">
        <w:rPr>
          <w:rFonts w:eastAsia="Calibri"/>
        </w:rPr>
        <w:lastRenderedPageBreak/>
        <w:t>Hydro modeling tools, requirements and methods may vary significantly across utilities and individual hydro projects due to:</w:t>
      </w:r>
      <w:r w:rsidR="0050648B">
        <w:rPr>
          <w:rFonts w:eastAsia="Calibri"/>
        </w:rPr>
        <w:t xml:space="preserve"> </w:t>
      </w:r>
      <w:r w:rsidRPr="005B7135">
        <w:rPr>
          <w:rFonts w:eastAsia="Calibri"/>
        </w:rPr>
        <w:t>multi-jurisdictional requirements;</w:t>
      </w:r>
      <w:r w:rsidR="0050648B">
        <w:rPr>
          <w:rFonts w:eastAsia="Calibri"/>
        </w:rPr>
        <w:t xml:space="preserve"> </w:t>
      </w:r>
      <w:r w:rsidRPr="005B7135">
        <w:rPr>
          <w:rFonts w:eastAsia="Calibri"/>
        </w:rPr>
        <w:t>relative significance of hydro in each utility’s portfolio;</w:t>
      </w:r>
      <w:r w:rsidR="0050648B">
        <w:rPr>
          <w:rFonts w:eastAsia="Calibri"/>
        </w:rPr>
        <w:t xml:space="preserve"> </w:t>
      </w:r>
      <w:r w:rsidRPr="005B7135">
        <w:rPr>
          <w:rFonts w:eastAsia="Calibri"/>
        </w:rPr>
        <w:t>plans for</w:t>
      </w:r>
      <w:r w:rsidR="0050648B">
        <w:rPr>
          <w:rFonts w:eastAsia="Calibri"/>
        </w:rPr>
        <w:t xml:space="preserve"> additional hydro improvements; </w:t>
      </w:r>
      <w:r w:rsidRPr="005B7135">
        <w:rPr>
          <w:rFonts w:eastAsia="Calibri"/>
        </w:rPr>
        <w:t>varying needs for hyd</w:t>
      </w:r>
      <w:r w:rsidR="0050648B">
        <w:rPr>
          <w:rFonts w:eastAsia="Calibri"/>
        </w:rPr>
        <w:t>ro data and analysis tools; and t</w:t>
      </w:r>
      <w:r w:rsidR="0010348B" w:rsidRPr="005B7135">
        <w:rPr>
          <w:rFonts w:eastAsia="Calibri"/>
        </w:rPr>
        <w:t>ype</w:t>
      </w:r>
      <w:r w:rsidRPr="005B7135">
        <w:rPr>
          <w:rFonts w:eastAsia="Calibri"/>
        </w:rPr>
        <w:t xml:space="preserve"> of hydro project (storage vs. run of river).</w:t>
      </w:r>
      <w:r w:rsidR="00672BA5">
        <w:rPr>
          <w:rStyle w:val="FootnoteReference"/>
          <w:rFonts w:eastAsia="Calibri"/>
        </w:rPr>
        <w:footnoteReference w:id="28"/>
      </w:r>
    </w:p>
    <w:p w:rsidR="0088117F" w:rsidRDefault="00AA410F" w:rsidP="00CF3CE2">
      <w:pPr>
        <w:rPr>
          <w:rFonts w:eastAsia="Calibri"/>
        </w:rPr>
      </w:pPr>
      <w:r>
        <w:rPr>
          <w:rFonts w:eastAsia="Calibri"/>
        </w:rPr>
        <w:t>E</w:t>
      </w:r>
      <w:r w:rsidR="00D414D7" w:rsidRPr="005B7135">
        <w:rPr>
          <w:rFonts w:eastAsia="Calibri"/>
        </w:rPr>
        <w:t>lectricity generated by upgrades does not ne</w:t>
      </w:r>
      <w:r w:rsidR="0050648B">
        <w:rPr>
          <w:rFonts w:eastAsia="Calibri"/>
        </w:rPr>
        <w:t>cessarily correlate with inflow</w:t>
      </w:r>
      <w:r w:rsidR="00E07BC9">
        <w:rPr>
          <w:rFonts w:eastAsia="Calibri"/>
        </w:rPr>
        <w:t xml:space="preserve">. </w:t>
      </w:r>
      <w:r w:rsidR="00F61351">
        <w:rPr>
          <w:rFonts w:eastAsia="Calibri"/>
        </w:rPr>
        <w:t>Because of the different efficiency curves under different flow patterns, i</w:t>
      </w:r>
      <w:r w:rsidR="00D414D7" w:rsidRPr="005B7135">
        <w:rPr>
          <w:rFonts w:eastAsia="Calibri"/>
        </w:rPr>
        <w:t>t may be possible</w:t>
      </w:r>
      <w:r w:rsidR="00F61351">
        <w:rPr>
          <w:rFonts w:eastAsia="Calibri"/>
        </w:rPr>
        <w:t xml:space="preserve"> at some generation facilities</w:t>
      </w:r>
      <w:r w:rsidR="00D414D7" w:rsidRPr="005B7135">
        <w:rPr>
          <w:rFonts w:eastAsia="Calibri"/>
        </w:rPr>
        <w:t xml:space="preserve"> to generate more </w:t>
      </w:r>
      <w:r w:rsidR="00F61351">
        <w:rPr>
          <w:rFonts w:eastAsia="Calibri"/>
        </w:rPr>
        <w:t xml:space="preserve">eligible incremental </w:t>
      </w:r>
      <w:r w:rsidR="00D414D7" w:rsidRPr="005B7135">
        <w:rPr>
          <w:rFonts w:eastAsia="Calibri"/>
        </w:rPr>
        <w:t>renewable electricity in a poor water yea</w:t>
      </w:r>
      <w:r w:rsidR="0050648B">
        <w:rPr>
          <w:rFonts w:eastAsia="Calibri"/>
        </w:rPr>
        <w:t xml:space="preserve">r than during a high water year. </w:t>
      </w:r>
      <w:r w:rsidR="00D414D7" w:rsidRPr="005B7135">
        <w:rPr>
          <w:rFonts w:eastAsia="Calibri"/>
        </w:rPr>
        <w:t>Some methods for calculating incremental hydro provide more stable year-to-year renewable electricity quantities than others</w:t>
      </w:r>
      <w:r w:rsidR="0033325B">
        <w:rPr>
          <w:rFonts w:eastAsia="Calibri"/>
        </w:rPr>
        <w:t>.</w:t>
      </w:r>
      <w:r w:rsidR="0050648B">
        <w:rPr>
          <w:rFonts w:eastAsia="Calibri"/>
        </w:rPr>
        <w:t xml:space="preserve"> </w:t>
      </w:r>
      <w:r w:rsidR="00D414D7" w:rsidRPr="005B7135">
        <w:rPr>
          <w:rFonts w:eastAsia="Calibri"/>
        </w:rPr>
        <w:t xml:space="preserve">Volatile </w:t>
      </w:r>
      <w:r w:rsidR="0033325B">
        <w:rPr>
          <w:rFonts w:eastAsia="Calibri"/>
        </w:rPr>
        <w:t>flow levels</w:t>
      </w:r>
      <w:r w:rsidR="0033325B" w:rsidRPr="005B7135">
        <w:rPr>
          <w:rFonts w:eastAsia="Calibri"/>
        </w:rPr>
        <w:t xml:space="preserve"> </w:t>
      </w:r>
      <w:r w:rsidR="0033325B">
        <w:rPr>
          <w:rFonts w:eastAsia="Calibri"/>
        </w:rPr>
        <w:t>could</w:t>
      </w:r>
      <w:r w:rsidR="0033325B" w:rsidRPr="005B7135">
        <w:rPr>
          <w:rFonts w:eastAsia="Calibri"/>
        </w:rPr>
        <w:t xml:space="preserve"> </w:t>
      </w:r>
      <w:r w:rsidR="00D414D7" w:rsidRPr="005B7135">
        <w:rPr>
          <w:rFonts w:eastAsia="Calibri"/>
        </w:rPr>
        <w:t>lead utilities to acquire excess renewable electricity to ensure compliance in low years</w:t>
      </w:r>
      <w:r w:rsidR="0033325B">
        <w:rPr>
          <w:rFonts w:eastAsia="Calibri"/>
        </w:rPr>
        <w:t xml:space="preserve">, and thus </w:t>
      </w:r>
      <w:r w:rsidR="00D414D7" w:rsidRPr="005B7135">
        <w:rPr>
          <w:rFonts w:eastAsia="Calibri"/>
        </w:rPr>
        <w:t>lead</w:t>
      </w:r>
      <w:r w:rsidR="0050648B">
        <w:rPr>
          <w:rFonts w:eastAsia="Calibri"/>
        </w:rPr>
        <w:t xml:space="preserve"> to higher costs for customers</w:t>
      </w:r>
      <w:r w:rsidR="0033325B">
        <w:rPr>
          <w:rFonts w:eastAsia="Calibri"/>
        </w:rPr>
        <w:t xml:space="preserve">. </w:t>
      </w:r>
      <w:r>
        <w:rPr>
          <w:rFonts w:eastAsia="Calibri"/>
        </w:rPr>
        <w:t>Because t</w:t>
      </w:r>
      <w:r w:rsidR="00F61351">
        <w:rPr>
          <w:rFonts w:eastAsia="Calibri"/>
        </w:rPr>
        <w:t xml:space="preserve">he EIA </w:t>
      </w:r>
      <w:r>
        <w:rPr>
          <w:rFonts w:eastAsia="Calibri"/>
        </w:rPr>
        <w:t>does not permit</w:t>
      </w:r>
      <w:r w:rsidR="00F61351">
        <w:rPr>
          <w:rFonts w:eastAsia="Calibri"/>
        </w:rPr>
        <w:t xml:space="preserve"> the creation of REC</w:t>
      </w:r>
      <w:r w:rsidR="0033325B">
        <w:rPr>
          <w:rFonts w:eastAsia="Calibri"/>
        </w:rPr>
        <w:t>s</w:t>
      </w:r>
      <w:r w:rsidR="00F61351">
        <w:rPr>
          <w:rFonts w:eastAsia="Calibri"/>
        </w:rPr>
        <w:t xml:space="preserve"> from incremental hydroelectric generation</w:t>
      </w:r>
      <w:r>
        <w:rPr>
          <w:rFonts w:eastAsia="Calibri"/>
        </w:rPr>
        <w:t xml:space="preserve">, electricity attributable to hydropower efficiency improvements may be used for RPS compliance only in the </w:t>
      </w:r>
      <w:r w:rsidR="00600563">
        <w:rPr>
          <w:rFonts w:eastAsia="Calibri"/>
        </w:rPr>
        <w:t xml:space="preserve">year in which it is generated. </w:t>
      </w:r>
      <w:r w:rsidR="0088117F">
        <w:rPr>
          <w:rFonts w:eastAsia="Calibri"/>
        </w:rPr>
        <w:t xml:space="preserve">That makes </w:t>
      </w:r>
      <w:r>
        <w:rPr>
          <w:rFonts w:eastAsia="Calibri"/>
        </w:rPr>
        <w:t>year-to-year predictability particularly important</w:t>
      </w:r>
      <w:r w:rsidR="00F61351">
        <w:rPr>
          <w:rFonts w:eastAsia="Calibri"/>
        </w:rPr>
        <w:t>.</w:t>
      </w:r>
      <w:r w:rsidR="00D414D7" w:rsidRPr="005B7135">
        <w:rPr>
          <w:rFonts w:eastAsia="Calibri"/>
        </w:rPr>
        <w:t xml:space="preserve"> The inability to trade these attributes limits a utility’s ability to use excess </w:t>
      </w:r>
      <w:r w:rsidR="0033325B">
        <w:rPr>
          <w:rFonts w:eastAsia="Calibri"/>
        </w:rPr>
        <w:t xml:space="preserve">hydro </w:t>
      </w:r>
      <w:r w:rsidR="00CF3CE2">
        <w:rPr>
          <w:rFonts w:eastAsia="Calibri"/>
        </w:rPr>
        <w:t>generation</w:t>
      </w:r>
      <w:r w:rsidR="00D414D7" w:rsidRPr="005B7135">
        <w:rPr>
          <w:rFonts w:eastAsia="Calibri"/>
        </w:rPr>
        <w:t xml:space="preserve"> in surplus years to off</w:t>
      </w:r>
      <w:r w:rsidR="0050648B">
        <w:rPr>
          <w:rFonts w:eastAsia="Calibri"/>
        </w:rPr>
        <w:t>set shortages in deficit years</w:t>
      </w:r>
      <w:r w:rsidR="009C4C03">
        <w:rPr>
          <w:rFonts w:eastAsia="Calibri"/>
        </w:rPr>
        <w:t>.</w:t>
      </w:r>
    </w:p>
    <w:p w:rsidR="00D414D7" w:rsidRDefault="00CF3CE2" w:rsidP="00CF3CE2">
      <w:pPr>
        <w:rPr>
          <w:rFonts w:eastAsia="Calibri"/>
        </w:rPr>
      </w:pPr>
      <w:r w:rsidRPr="00CF3CE2">
        <w:rPr>
          <w:rFonts w:eastAsia="Calibri"/>
        </w:rPr>
        <w:t xml:space="preserve">The RPS workgroup agreed on three optional methodologies for calculating incremental hydroelectric efficiency improvements. </w:t>
      </w:r>
      <w:r w:rsidR="00D414D7" w:rsidRPr="005B7135">
        <w:rPr>
          <w:rFonts w:eastAsia="Calibri"/>
        </w:rPr>
        <w:t>The amount of renewable electricity from incremental hydro improvements will vary from year to year</w:t>
      </w:r>
      <w:r>
        <w:rPr>
          <w:rFonts w:eastAsia="Calibri"/>
        </w:rPr>
        <w:t>,</w:t>
      </w:r>
      <w:r w:rsidR="00D414D7" w:rsidRPr="005B7135">
        <w:rPr>
          <w:rFonts w:eastAsia="Calibri"/>
        </w:rPr>
        <w:t xml:space="preserve"> depending on the calculation method used. </w:t>
      </w:r>
      <w:r>
        <w:rPr>
          <w:rFonts w:eastAsia="Calibri"/>
        </w:rPr>
        <w:t>O</w:t>
      </w:r>
      <w:r w:rsidR="00D414D7" w:rsidRPr="005B7135">
        <w:rPr>
          <w:rFonts w:eastAsia="Calibri"/>
        </w:rPr>
        <w:t>ver time</w:t>
      </w:r>
      <w:r>
        <w:rPr>
          <w:rFonts w:eastAsia="Calibri"/>
        </w:rPr>
        <w:t>, however,</w:t>
      </w:r>
      <w:r w:rsidR="00D414D7" w:rsidRPr="005B7135">
        <w:rPr>
          <w:rFonts w:eastAsia="Calibri"/>
        </w:rPr>
        <w:t xml:space="preserve"> each of the methods outlined below can be expected</w:t>
      </w:r>
      <w:r w:rsidR="0050648B">
        <w:rPr>
          <w:rFonts w:eastAsia="Calibri"/>
        </w:rPr>
        <w:t xml:space="preserve"> to result in </w:t>
      </w:r>
      <w:r w:rsidR="0033325B">
        <w:rPr>
          <w:rFonts w:eastAsia="Calibri"/>
        </w:rPr>
        <w:t xml:space="preserve">roughly equivalent </w:t>
      </w:r>
      <w:r w:rsidR="0050648B">
        <w:rPr>
          <w:rFonts w:eastAsia="Calibri"/>
        </w:rPr>
        <w:t>quantities</w:t>
      </w:r>
      <w:r w:rsidR="0033325B">
        <w:rPr>
          <w:rFonts w:eastAsia="Calibri"/>
        </w:rPr>
        <w:t>.</w:t>
      </w:r>
      <w:r w:rsidR="0050648B">
        <w:rPr>
          <w:rFonts w:eastAsia="Calibri"/>
        </w:rPr>
        <w:t xml:space="preserve"> </w:t>
      </w:r>
      <w:r w:rsidR="00D414D7" w:rsidRPr="005B7135">
        <w:rPr>
          <w:rFonts w:eastAsia="Calibri"/>
        </w:rPr>
        <w:t>Given the differences in modeling tools, requirements and methods across utilities and between individual projects, each utility select</w:t>
      </w:r>
      <w:r w:rsidR="009A3E84">
        <w:rPr>
          <w:rFonts w:eastAsia="Calibri"/>
        </w:rPr>
        <w:t>ed</w:t>
      </w:r>
      <w:r w:rsidR="00D414D7" w:rsidRPr="005B7135">
        <w:rPr>
          <w:rFonts w:eastAsia="Calibri"/>
        </w:rPr>
        <w:t xml:space="preserve"> the method most appropriate to its projects, circumstances, and the improvements being quantified.</w:t>
      </w:r>
    </w:p>
    <w:p w:rsidR="0050648B" w:rsidRPr="00A04960" w:rsidRDefault="00D414D7" w:rsidP="00C761B6">
      <w:pPr>
        <w:outlineLvl w:val="0"/>
        <w:rPr>
          <w:rFonts w:eastAsia="Calibri"/>
        </w:rPr>
      </w:pPr>
      <w:r w:rsidRPr="0050648B">
        <w:rPr>
          <w:rFonts w:eastAsia="Calibri"/>
        </w:rPr>
        <w:t>Each</w:t>
      </w:r>
      <w:r w:rsidRPr="005B7135">
        <w:rPr>
          <w:rFonts w:eastAsia="Calibri"/>
        </w:rPr>
        <w:t xml:space="preserve"> method considers the hydroelectric system configuration in two steady states</w:t>
      </w:r>
      <w:r w:rsidR="0033325B" w:rsidRPr="008F42B8">
        <w:rPr>
          <w:rFonts w:eastAsia="Calibri"/>
        </w:rPr>
        <w:t>:</w:t>
      </w:r>
      <w:r w:rsidRPr="005B7135">
        <w:rPr>
          <w:rFonts w:eastAsia="Calibri"/>
        </w:rPr>
        <w:t xml:space="preserve"> electricity produced by the system </w:t>
      </w:r>
      <w:r w:rsidRPr="005B7135">
        <w:rPr>
          <w:rFonts w:eastAsia="Calibri"/>
          <w:i/>
        </w:rPr>
        <w:t>without</w:t>
      </w:r>
      <w:r w:rsidRPr="005B7135">
        <w:rPr>
          <w:rFonts w:eastAsia="Calibri"/>
        </w:rPr>
        <w:t xml:space="preserve"> incremental improvements </w:t>
      </w:r>
      <w:r w:rsidR="0033325B">
        <w:rPr>
          <w:rFonts w:eastAsia="Calibri"/>
        </w:rPr>
        <w:t>and</w:t>
      </w:r>
      <w:r w:rsidRPr="005B7135">
        <w:rPr>
          <w:rFonts w:eastAsia="Calibri"/>
        </w:rPr>
        <w:t xml:space="preserve"> electricity produced by the system </w:t>
      </w:r>
      <w:r w:rsidRPr="005B7135">
        <w:rPr>
          <w:rFonts w:eastAsia="Calibri"/>
          <w:i/>
        </w:rPr>
        <w:t>with</w:t>
      </w:r>
      <w:r w:rsidRPr="005B7135">
        <w:rPr>
          <w:rFonts w:eastAsia="Calibri"/>
        </w:rPr>
        <w:t xml:space="preserve"> incremental improvements</w:t>
      </w:r>
      <w:r w:rsidR="00EE29FC" w:rsidRPr="005B7135">
        <w:rPr>
          <w:rFonts w:eastAsia="Calibri"/>
        </w:rPr>
        <w:t>. The</w:t>
      </w:r>
      <w:r w:rsidRPr="005B7135">
        <w:rPr>
          <w:rFonts w:eastAsia="Calibri"/>
        </w:rPr>
        <w:t xml:space="preserve"> difference between the first and second state determines the incremental renewable electricity attributable to the improvements.</w:t>
      </w:r>
    </w:p>
    <w:p w:rsidR="00D414D7" w:rsidRDefault="0050648B" w:rsidP="00C761B6">
      <w:pPr>
        <w:spacing w:after="0"/>
        <w:rPr>
          <w:rFonts w:eastAsia="Calibri"/>
        </w:rPr>
      </w:pPr>
      <w:r w:rsidRPr="005B7135">
        <w:rPr>
          <w:rFonts w:eastAsia="Calibri"/>
        </w:rPr>
        <w:t>The three option</w:t>
      </w:r>
      <w:r w:rsidR="006917B0">
        <w:rPr>
          <w:rFonts w:eastAsia="Calibri"/>
        </w:rPr>
        <w:t xml:space="preserve">al incremental hydroelectric generation methods that the RPS Workgroup </w:t>
      </w:r>
      <w:r w:rsidR="000D7F7E">
        <w:rPr>
          <w:rFonts w:eastAsia="Calibri"/>
        </w:rPr>
        <w:t xml:space="preserve">suggested </w:t>
      </w:r>
      <w:r w:rsidR="00CF3CE2">
        <w:rPr>
          <w:rFonts w:eastAsia="Calibri"/>
        </w:rPr>
        <w:t>appropriate are</w:t>
      </w:r>
      <w:r w:rsidRPr="005B7135">
        <w:rPr>
          <w:rFonts w:eastAsia="Calibri"/>
        </w:rPr>
        <w:t>:</w:t>
      </w:r>
    </w:p>
    <w:p w:rsidR="002A6F96" w:rsidRPr="005B7135" w:rsidRDefault="002A6F96" w:rsidP="008F42B8">
      <w:pPr>
        <w:spacing w:before="0" w:after="200"/>
        <w:contextualSpacing/>
        <w:rPr>
          <w:rFonts w:eastAsia="Calibri"/>
        </w:rPr>
      </w:pPr>
    </w:p>
    <w:p w:rsidR="00D414D7" w:rsidRPr="005B7135" w:rsidRDefault="00D414D7" w:rsidP="008F42B8">
      <w:pPr>
        <w:spacing w:before="0" w:after="200"/>
        <w:contextualSpacing/>
        <w:rPr>
          <w:rFonts w:eastAsia="Calibri"/>
        </w:rPr>
      </w:pPr>
      <w:r w:rsidRPr="005B7135">
        <w:rPr>
          <w:rFonts w:eastAsia="Calibri"/>
          <w:u w:val="single"/>
        </w:rPr>
        <w:t>Method 1</w:t>
      </w:r>
      <w:r w:rsidRPr="005B7135">
        <w:rPr>
          <w:rFonts w:eastAsia="Calibri"/>
        </w:rPr>
        <w:t>: Annual calculation using hydro model and actual inflows or generation</w:t>
      </w:r>
      <w:r w:rsidR="00CC780B">
        <w:rPr>
          <w:rFonts w:eastAsia="Calibri"/>
        </w:rPr>
        <w:t>.</w:t>
      </w:r>
    </w:p>
    <w:p w:rsidR="00D414D7" w:rsidRPr="005B7135" w:rsidRDefault="00D414D7" w:rsidP="008F42B8">
      <w:pPr>
        <w:numPr>
          <w:ilvl w:val="1"/>
          <w:numId w:val="22"/>
        </w:numPr>
        <w:spacing w:before="0" w:after="200"/>
        <w:ind w:left="720"/>
        <w:contextualSpacing/>
        <w:rPr>
          <w:rFonts w:eastAsia="Calibri"/>
        </w:rPr>
      </w:pPr>
      <w:r w:rsidRPr="005B7135">
        <w:rPr>
          <w:rFonts w:eastAsia="Calibri"/>
        </w:rPr>
        <w:t xml:space="preserve">The difference between the two states </w:t>
      </w:r>
      <w:r w:rsidR="00B163D5">
        <w:rPr>
          <w:rFonts w:eastAsia="Calibri"/>
        </w:rPr>
        <w:t xml:space="preserve">(before and after efficiency improvements) </w:t>
      </w:r>
      <w:r w:rsidRPr="005B7135">
        <w:rPr>
          <w:rFonts w:eastAsia="Calibri"/>
        </w:rPr>
        <w:t>determines the amount of renewable electricity available for that specific calendar year.</w:t>
      </w:r>
    </w:p>
    <w:p w:rsidR="00D414D7" w:rsidRPr="005B7135" w:rsidRDefault="00D414D7" w:rsidP="008F42B8">
      <w:pPr>
        <w:numPr>
          <w:ilvl w:val="1"/>
          <w:numId w:val="22"/>
        </w:numPr>
        <w:spacing w:before="0" w:after="200"/>
        <w:ind w:left="720"/>
        <w:contextualSpacing/>
        <w:rPr>
          <w:rFonts w:eastAsia="Calibri"/>
        </w:rPr>
      </w:pPr>
      <w:r w:rsidRPr="005B7135">
        <w:rPr>
          <w:rFonts w:eastAsia="Calibri"/>
        </w:rPr>
        <w:t>Requires an annual model run to determine amount of electricity that would have been produced</w:t>
      </w:r>
      <w:r w:rsidR="00B163D5">
        <w:rPr>
          <w:rFonts w:eastAsia="Calibri"/>
        </w:rPr>
        <w:t xml:space="preserve"> </w:t>
      </w:r>
      <w:r w:rsidRPr="005B7135">
        <w:rPr>
          <w:rFonts w:eastAsia="Calibri"/>
        </w:rPr>
        <w:t>without the improvements in each year.</w:t>
      </w:r>
    </w:p>
    <w:p w:rsidR="00D414D7" w:rsidRPr="005B7135" w:rsidRDefault="00D414D7" w:rsidP="008F42B8">
      <w:pPr>
        <w:numPr>
          <w:ilvl w:val="1"/>
          <w:numId w:val="22"/>
        </w:numPr>
        <w:spacing w:before="0" w:after="200"/>
        <w:ind w:left="720"/>
        <w:contextualSpacing/>
        <w:rPr>
          <w:rFonts w:eastAsia="Calibri"/>
        </w:rPr>
      </w:pPr>
      <w:r w:rsidRPr="005B7135">
        <w:rPr>
          <w:rFonts w:eastAsia="Calibri"/>
        </w:rPr>
        <w:lastRenderedPageBreak/>
        <w:t xml:space="preserve">Renewable electricity quantity </w:t>
      </w:r>
      <w:r w:rsidR="00B163D5">
        <w:rPr>
          <w:rFonts w:eastAsia="Calibri"/>
        </w:rPr>
        <w:t>is expected to</w:t>
      </w:r>
      <w:r w:rsidRPr="005B7135">
        <w:rPr>
          <w:rFonts w:eastAsia="Calibri"/>
        </w:rPr>
        <w:t xml:space="preserve"> vary</w:t>
      </w:r>
      <w:r w:rsidR="00B163D5">
        <w:rPr>
          <w:rFonts w:eastAsia="Calibri"/>
        </w:rPr>
        <w:t xml:space="preserve"> significantly</w:t>
      </w:r>
      <w:r w:rsidRPr="005B7135">
        <w:rPr>
          <w:rFonts w:eastAsia="Calibri"/>
        </w:rPr>
        <w:t xml:space="preserve"> from year to year depending on</w:t>
      </w:r>
      <w:r w:rsidR="00B163D5">
        <w:rPr>
          <w:rFonts w:eastAsia="Calibri"/>
        </w:rPr>
        <w:t xml:space="preserve"> variable</w:t>
      </w:r>
      <w:r w:rsidRPr="005B7135">
        <w:rPr>
          <w:rFonts w:eastAsia="Calibri"/>
        </w:rPr>
        <w:t xml:space="preserve"> inflow</w:t>
      </w:r>
      <w:r w:rsidR="00B163D5">
        <w:rPr>
          <w:rFonts w:eastAsia="Calibri"/>
        </w:rPr>
        <w:t xml:space="preserve"> conditions and duration</w:t>
      </w:r>
      <w:r w:rsidR="009905BE">
        <w:rPr>
          <w:rFonts w:eastAsia="Calibri"/>
        </w:rPr>
        <w:t>.</w:t>
      </w:r>
    </w:p>
    <w:p w:rsidR="00D414D7" w:rsidRPr="005B7135" w:rsidRDefault="00D414D7" w:rsidP="00C761B6">
      <w:pPr>
        <w:spacing w:before="0" w:after="200"/>
        <w:contextualSpacing/>
        <w:rPr>
          <w:rFonts w:eastAsia="Calibri"/>
        </w:rPr>
      </w:pPr>
    </w:p>
    <w:p w:rsidR="00D414D7" w:rsidRPr="005B7135" w:rsidRDefault="00D414D7" w:rsidP="008F42B8">
      <w:pPr>
        <w:spacing w:before="0" w:after="200"/>
        <w:contextualSpacing/>
        <w:rPr>
          <w:rFonts w:eastAsia="Calibri"/>
        </w:rPr>
      </w:pPr>
      <w:r w:rsidRPr="005B7135">
        <w:rPr>
          <w:rFonts w:eastAsia="Calibri"/>
          <w:u w:val="single"/>
        </w:rPr>
        <w:t>Method 2</w:t>
      </w:r>
      <w:r w:rsidRPr="005B7135">
        <w:rPr>
          <w:rFonts w:eastAsia="Calibri"/>
        </w:rPr>
        <w:t xml:space="preserve">: One-time calculation of renewable electricity </w:t>
      </w:r>
      <w:r w:rsidRPr="005B7135">
        <w:rPr>
          <w:rFonts w:eastAsia="Calibri"/>
          <w:i/>
        </w:rPr>
        <w:t>percentage</w:t>
      </w:r>
      <w:r w:rsidRPr="005B7135">
        <w:rPr>
          <w:rFonts w:eastAsia="Calibri"/>
        </w:rPr>
        <w:t xml:space="preserve"> using an historical period of inflow or generation.</w:t>
      </w:r>
    </w:p>
    <w:p w:rsidR="00D414D7" w:rsidRPr="005B7135" w:rsidRDefault="00D414D7" w:rsidP="008F42B8">
      <w:pPr>
        <w:numPr>
          <w:ilvl w:val="1"/>
          <w:numId w:val="22"/>
        </w:numPr>
        <w:spacing w:before="0" w:after="200"/>
        <w:ind w:left="720"/>
        <w:contextualSpacing/>
        <w:rPr>
          <w:rFonts w:eastAsia="Calibri"/>
        </w:rPr>
      </w:pPr>
      <w:r w:rsidRPr="005B7135">
        <w:rPr>
          <w:rFonts w:eastAsia="Calibri"/>
        </w:rPr>
        <w:t>Historical inflow or generation based on minimum of 5</w:t>
      </w:r>
      <w:r w:rsidR="00CF3CE2">
        <w:rPr>
          <w:rFonts w:eastAsia="Calibri"/>
        </w:rPr>
        <w:t xml:space="preserve"> </w:t>
      </w:r>
      <w:r w:rsidRPr="005B7135">
        <w:rPr>
          <w:rFonts w:eastAsia="Calibri"/>
        </w:rPr>
        <w:t xml:space="preserve">years, </w:t>
      </w:r>
      <w:r w:rsidR="00B163D5">
        <w:rPr>
          <w:rFonts w:eastAsia="Calibri"/>
        </w:rPr>
        <w:t xml:space="preserve">for </w:t>
      </w:r>
      <w:r w:rsidRPr="005B7135">
        <w:rPr>
          <w:rFonts w:eastAsia="Calibri"/>
        </w:rPr>
        <w:t>the entire available inflow record or generation, as determined by the utility.</w:t>
      </w:r>
    </w:p>
    <w:p w:rsidR="00D414D7" w:rsidRPr="005B7135" w:rsidRDefault="00D414D7" w:rsidP="008F42B8">
      <w:pPr>
        <w:numPr>
          <w:ilvl w:val="1"/>
          <w:numId w:val="22"/>
        </w:numPr>
        <w:spacing w:before="0" w:after="200"/>
        <w:ind w:left="720"/>
        <w:contextualSpacing/>
        <w:rPr>
          <w:rFonts w:eastAsia="Calibri"/>
        </w:rPr>
      </w:pPr>
      <w:r w:rsidRPr="005B7135">
        <w:rPr>
          <w:rFonts w:eastAsia="Calibri"/>
        </w:rPr>
        <w:t>Electricity output in each state</w:t>
      </w:r>
      <w:r w:rsidR="00377E12">
        <w:rPr>
          <w:rFonts w:eastAsia="Calibri"/>
        </w:rPr>
        <w:t xml:space="preserve"> (before and after improvements)</w:t>
      </w:r>
      <w:r w:rsidRPr="005B7135">
        <w:rPr>
          <w:rFonts w:eastAsia="Calibri"/>
        </w:rPr>
        <w:t xml:space="preserve"> is calculated using a hydro model</w:t>
      </w:r>
      <w:r w:rsidR="00B163D5">
        <w:rPr>
          <w:rFonts w:eastAsia="Calibri"/>
        </w:rPr>
        <w:t xml:space="preserve"> for all flow conditions</w:t>
      </w:r>
      <w:r w:rsidR="000526E3">
        <w:rPr>
          <w:rFonts w:eastAsia="Calibri"/>
        </w:rPr>
        <w:t>.</w:t>
      </w:r>
    </w:p>
    <w:p w:rsidR="00D414D7" w:rsidRPr="005B7135" w:rsidRDefault="00D414D7" w:rsidP="008F42B8">
      <w:pPr>
        <w:numPr>
          <w:ilvl w:val="1"/>
          <w:numId w:val="22"/>
        </w:numPr>
        <w:spacing w:before="0" w:after="200"/>
        <w:ind w:left="720"/>
        <w:contextualSpacing/>
        <w:rPr>
          <w:rFonts w:eastAsia="Calibri"/>
        </w:rPr>
      </w:pPr>
      <w:r w:rsidRPr="005B7135">
        <w:rPr>
          <w:rFonts w:eastAsia="Calibri"/>
        </w:rPr>
        <w:t>The difference between the two states, as a</w:t>
      </w:r>
      <w:r w:rsidR="00377E12">
        <w:rPr>
          <w:rFonts w:eastAsia="Calibri"/>
        </w:rPr>
        <w:t>n average efficiency</w:t>
      </w:r>
      <w:r w:rsidRPr="005B7135">
        <w:rPr>
          <w:rFonts w:eastAsia="Calibri"/>
        </w:rPr>
        <w:t xml:space="preserve"> percentage, is then applied to the actual generation in all future years to determine the </w:t>
      </w:r>
      <w:r w:rsidR="00377E12">
        <w:rPr>
          <w:rFonts w:eastAsia="Calibri"/>
        </w:rPr>
        <w:t>eligible</w:t>
      </w:r>
      <w:r w:rsidRPr="005B7135">
        <w:rPr>
          <w:rFonts w:eastAsia="Calibri"/>
        </w:rPr>
        <w:t xml:space="preserve"> renewable</w:t>
      </w:r>
      <w:r w:rsidR="00377E12">
        <w:rPr>
          <w:rFonts w:eastAsia="Calibri"/>
        </w:rPr>
        <w:t xml:space="preserve"> resource</w:t>
      </w:r>
      <w:r w:rsidRPr="005B7135">
        <w:rPr>
          <w:rFonts w:eastAsia="Calibri"/>
        </w:rPr>
        <w:t xml:space="preserve"> electricity in each year</w:t>
      </w:r>
      <w:r w:rsidR="000526E3">
        <w:rPr>
          <w:rFonts w:eastAsia="Calibri"/>
        </w:rPr>
        <w:t>.</w:t>
      </w:r>
    </w:p>
    <w:p w:rsidR="00D414D7" w:rsidRPr="005B7135" w:rsidRDefault="00D414D7" w:rsidP="008F42B8">
      <w:pPr>
        <w:numPr>
          <w:ilvl w:val="1"/>
          <w:numId w:val="22"/>
        </w:numPr>
        <w:spacing w:before="0" w:after="200"/>
        <w:ind w:left="720"/>
        <w:contextualSpacing/>
        <w:rPr>
          <w:rFonts w:eastAsia="Calibri"/>
        </w:rPr>
      </w:pPr>
      <w:r w:rsidRPr="005B7135">
        <w:rPr>
          <w:rFonts w:eastAsia="Calibri"/>
        </w:rPr>
        <w:t>Renewable electricity quantity will vary from year to year depending on inflow</w:t>
      </w:r>
      <w:r w:rsidR="00377E12">
        <w:rPr>
          <w:rFonts w:eastAsia="Calibri"/>
        </w:rPr>
        <w:t xml:space="preserve"> duration and conditions but will be a straight percentage based on actual generation each year.</w:t>
      </w:r>
    </w:p>
    <w:p w:rsidR="00D414D7" w:rsidRPr="005B7135" w:rsidRDefault="00D414D7" w:rsidP="00C761B6">
      <w:pPr>
        <w:spacing w:before="0" w:after="200"/>
        <w:contextualSpacing/>
        <w:rPr>
          <w:rFonts w:eastAsia="Calibri"/>
        </w:rPr>
      </w:pPr>
    </w:p>
    <w:p w:rsidR="00D414D7" w:rsidRPr="005B7135" w:rsidRDefault="00D414D7" w:rsidP="008F42B8">
      <w:pPr>
        <w:spacing w:before="0" w:after="200"/>
        <w:contextualSpacing/>
        <w:rPr>
          <w:rFonts w:eastAsia="Calibri"/>
        </w:rPr>
      </w:pPr>
      <w:r w:rsidRPr="005B7135">
        <w:rPr>
          <w:rFonts w:eastAsia="Calibri"/>
          <w:u w:val="single"/>
        </w:rPr>
        <w:t>Method 3</w:t>
      </w:r>
      <w:r w:rsidRPr="005B7135">
        <w:rPr>
          <w:rFonts w:eastAsia="Calibri"/>
        </w:rPr>
        <w:t>: One-time calculation of renewable electricity using an historical period of inflow or generation.</w:t>
      </w:r>
      <w:r w:rsidR="00C761B6" w:rsidRPr="00C761B6">
        <w:rPr>
          <w:rFonts w:eastAsia="Calibri"/>
          <w:vertAlign w:val="superscript"/>
        </w:rPr>
        <w:footnoteReference w:id="29"/>
      </w:r>
    </w:p>
    <w:p w:rsidR="00D414D7" w:rsidRPr="00A04960" w:rsidRDefault="00D414D7" w:rsidP="008F42B8">
      <w:pPr>
        <w:numPr>
          <w:ilvl w:val="1"/>
          <w:numId w:val="22"/>
        </w:numPr>
        <w:spacing w:before="0" w:after="200"/>
        <w:ind w:left="720"/>
        <w:contextualSpacing/>
        <w:rPr>
          <w:rFonts w:eastAsia="Calibri"/>
        </w:rPr>
      </w:pPr>
      <w:r w:rsidRPr="00A04960">
        <w:rPr>
          <w:rFonts w:eastAsia="Calibri"/>
        </w:rPr>
        <w:t xml:space="preserve">Historical inflow or generation based on minimum of 5-years </w:t>
      </w:r>
      <w:r w:rsidR="00963593">
        <w:rPr>
          <w:rFonts w:eastAsia="Calibri"/>
        </w:rPr>
        <w:t>for</w:t>
      </w:r>
      <w:r w:rsidRPr="00A04960">
        <w:rPr>
          <w:rFonts w:eastAsia="Calibri"/>
        </w:rPr>
        <w:t xml:space="preserve"> the entire available inflow record or generation, as determined by the utility.</w:t>
      </w:r>
    </w:p>
    <w:p w:rsidR="00D414D7" w:rsidRPr="00A04960" w:rsidRDefault="00D414D7" w:rsidP="008F42B8">
      <w:pPr>
        <w:numPr>
          <w:ilvl w:val="1"/>
          <w:numId w:val="22"/>
        </w:numPr>
        <w:spacing w:before="0" w:after="200"/>
        <w:ind w:left="720"/>
        <w:contextualSpacing/>
        <w:rPr>
          <w:rFonts w:eastAsia="Calibri"/>
        </w:rPr>
      </w:pPr>
      <w:r w:rsidRPr="00A04960">
        <w:rPr>
          <w:rFonts w:eastAsia="Calibri"/>
        </w:rPr>
        <w:t>Electricity output in each state is calculated using a hydro model</w:t>
      </w:r>
      <w:r w:rsidR="00963593">
        <w:rPr>
          <w:rFonts w:eastAsia="Calibri"/>
        </w:rPr>
        <w:t xml:space="preserve"> for all flow conditions and an annual average incremental hydroelectric generation value is calculated</w:t>
      </w:r>
      <w:r w:rsidR="006B0C12">
        <w:rPr>
          <w:rFonts w:eastAsia="Calibri"/>
        </w:rPr>
        <w:t>.</w:t>
      </w:r>
    </w:p>
    <w:p w:rsidR="00D414D7" w:rsidRPr="00A04960" w:rsidRDefault="00D414D7" w:rsidP="008F42B8">
      <w:pPr>
        <w:numPr>
          <w:ilvl w:val="1"/>
          <w:numId w:val="22"/>
        </w:numPr>
        <w:spacing w:before="0" w:after="200"/>
        <w:ind w:left="720"/>
        <w:contextualSpacing/>
        <w:rPr>
          <w:rFonts w:eastAsia="Calibri"/>
        </w:rPr>
      </w:pPr>
      <w:r w:rsidRPr="00A04960">
        <w:rPr>
          <w:rFonts w:eastAsia="Calibri"/>
        </w:rPr>
        <w:t xml:space="preserve">The </w:t>
      </w:r>
      <w:r w:rsidR="00963593">
        <w:rPr>
          <w:rFonts w:eastAsia="Calibri"/>
        </w:rPr>
        <w:t xml:space="preserve">average </w:t>
      </w:r>
      <w:r w:rsidRPr="00A04960">
        <w:rPr>
          <w:rFonts w:eastAsia="Calibri"/>
        </w:rPr>
        <w:t xml:space="preserve">difference between the two states, </w:t>
      </w:r>
      <w:r w:rsidR="00C761B6">
        <w:rPr>
          <w:rFonts w:eastAsia="Calibri"/>
        </w:rPr>
        <w:t>in megawatt-hours</w:t>
      </w:r>
      <w:r w:rsidRPr="00A04960">
        <w:rPr>
          <w:rFonts w:eastAsia="Calibri"/>
        </w:rPr>
        <w:t xml:space="preserve">, is then used for </w:t>
      </w:r>
      <w:r w:rsidR="00963593">
        <w:rPr>
          <w:rFonts w:eastAsia="Calibri"/>
        </w:rPr>
        <w:t xml:space="preserve">all </w:t>
      </w:r>
      <w:r w:rsidRPr="00A04960">
        <w:rPr>
          <w:rFonts w:eastAsia="Calibri"/>
        </w:rPr>
        <w:t>future years as the available renewable electricity</w:t>
      </w:r>
      <w:r w:rsidR="00963593">
        <w:rPr>
          <w:rFonts w:eastAsia="Calibri"/>
        </w:rPr>
        <w:t xml:space="preserve"> regardless of actual generation.</w:t>
      </w:r>
    </w:p>
    <w:p w:rsidR="00E11BE2" w:rsidRDefault="00E11BE2" w:rsidP="008F42B8">
      <w:pPr>
        <w:spacing w:before="0" w:after="200"/>
        <w:contextualSpacing/>
        <w:rPr>
          <w:rFonts w:eastAsia="Calibri"/>
        </w:rPr>
      </w:pPr>
    </w:p>
    <w:p w:rsidR="00A80E66" w:rsidRDefault="00A80E66" w:rsidP="00112F92">
      <w:pPr>
        <w:spacing w:before="0"/>
        <w:rPr>
          <w:rFonts w:eastAsia="Calibri"/>
        </w:rPr>
      </w:pPr>
      <w:r w:rsidRPr="00A04960">
        <w:rPr>
          <w:rFonts w:eastAsia="Calibri"/>
        </w:rPr>
        <w:t xml:space="preserve">Regardless of method chosen, </w:t>
      </w:r>
      <w:r w:rsidR="0004199A">
        <w:rPr>
          <w:rFonts w:eastAsia="Calibri"/>
        </w:rPr>
        <w:t xml:space="preserve">the RPS Workgroup agreed that </w:t>
      </w:r>
      <w:r w:rsidRPr="00A04960">
        <w:rPr>
          <w:rFonts w:eastAsia="Calibri"/>
        </w:rPr>
        <w:t xml:space="preserve">a utility or Commission </w:t>
      </w:r>
      <w:r w:rsidR="007C217E">
        <w:rPr>
          <w:rFonts w:eastAsia="Calibri"/>
        </w:rPr>
        <w:t>Staff</w:t>
      </w:r>
      <w:r w:rsidRPr="00A04960">
        <w:rPr>
          <w:rFonts w:eastAsia="Calibri"/>
        </w:rPr>
        <w:t xml:space="preserve"> may request to update </w:t>
      </w:r>
      <w:r w:rsidR="00AD2FF4">
        <w:rPr>
          <w:rFonts w:eastAsia="Calibri"/>
        </w:rPr>
        <w:t>the</w:t>
      </w:r>
      <w:r w:rsidRPr="00A04960">
        <w:rPr>
          <w:rFonts w:eastAsia="Calibri"/>
        </w:rPr>
        <w:t xml:space="preserve"> </w:t>
      </w:r>
      <w:r w:rsidR="0023110D">
        <w:rPr>
          <w:rFonts w:eastAsia="Calibri"/>
        </w:rPr>
        <w:t>model</w:t>
      </w:r>
      <w:r w:rsidRPr="00A04960">
        <w:rPr>
          <w:rFonts w:eastAsia="Calibri"/>
        </w:rPr>
        <w:t xml:space="preserve"> aft</w:t>
      </w:r>
      <w:r>
        <w:rPr>
          <w:rFonts w:eastAsia="Calibri"/>
        </w:rPr>
        <w:t xml:space="preserve">er </w:t>
      </w:r>
      <w:r w:rsidR="00C761B6">
        <w:rPr>
          <w:rFonts w:eastAsia="Calibri"/>
        </w:rPr>
        <w:t>five</w:t>
      </w:r>
      <w:r>
        <w:rPr>
          <w:rFonts w:eastAsia="Calibri"/>
        </w:rPr>
        <w:t xml:space="preserve"> years or more of actual operation, </w:t>
      </w:r>
      <w:r w:rsidRPr="00A04960">
        <w:rPr>
          <w:rFonts w:eastAsia="Calibri"/>
        </w:rPr>
        <w:t>for all projects completed after December 31, 2008</w:t>
      </w:r>
      <w:r>
        <w:rPr>
          <w:rFonts w:eastAsia="Calibri"/>
        </w:rPr>
        <w:t xml:space="preserve">. </w:t>
      </w:r>
      <w:r w:rsidRPr="00A04960">
        <w:rPr>
          <w:rFonts w:eastAsia="Calibri"/>
        </w:rPr>
        <w:t>Actual generation results can vary from model</w:t>
      </w:r>
      <w:r>
        <w:rPr>
          <w:rFonts w:eastAsia="Calibri"/>
        </w:rPr>
        <w:t>ing</w:t>
      </w:r>
      <w:r w:rsidR="00E07BC9">
        <w:rPr>
          <w:rFonts w:eastAsia="Calibri"/>
        </w:rPr>
        <w:t xml:space="preserve">. </w:t>
      </w:r>
      <w:r>
        <w:rPr>
          <w:rFonts w:eastAsia="Calibri"/>
        </w:rPr>
        <w:t xml:space="preserve">For recent efficiency upgrades, a </w:t>
      </w:r>
      <w:r w:rsidR="00C761B6">
        <w:rPr>
          <w:rFonts w:eastAsia="Calibri"/>
        </w:rPr>
        <w:t>five-</w:t>
      </w:r>
      <w:r>
        <w:rPr>
          <w:rFonts w:eastAsia="Calibri"/>
        </w:rPr>
        <w:t>year or longer period of actual operation should generate sufficiently broad and repeatable operating conditions to model the actual results of the efficiency upgrade</w:t>
      </w:r>
      <w:r w:rsidR="00E07BC9">
        <w:rPr>
          <w:rFonts w:eastAsia="Calibri"/>
        </w:rPr>
        <w:t xml:space="preserve">. </w:t>
      </w:r>
      <w:r>
        <w:rPr>
          <w:rFonts w:eastAsia="Calibri"/>
        </w:rPr>
        <w:t>Where actual performance data differs from the modeling, the incremental renewable energy would be a</w:t>
      </w:r>
      <w:r w:rsidRPr="00A04960">
        <w:rPr>
          <w:rFonts w:eastAsia="Calibri"/>
        </w:rPr>
        <w:t>djust</w:t>
      </w:r>
      <w:r>
        <w:rPr>
          <w:rFonts w:eastAsia="Calibri"/>
        </w:rPr>
        <w:t>ed to reflect the</w:t>
      </w:r>
      <w:r w:rsidRPr="00A04960">
        <w:rPr>
          <w:rFonts w:eastAsia="Calibri"/>
        </w:rPr>
        <w:t xml:space="preserve"> </w:t>
      </w:r>
      <w:r>
        <w:rPr>
          <w:rFonts w:eastAsia="Calibri"/>
        </w:rPr>
        <w:t>actual</w:t>
      </w:r>
      <w:r w:rsidRPr="00A04960">
        <w:rPr>
          <w:rFonts w:eastAsia="Calibri"/>
        </w:rPr>
        <w:t xml:space="preserve"> results </w:t>
      </w:r>
      <w:r>
        <w:rPr>
          <w:rFonts w:eastAsia="Calibri"/>
        </w:rPr>
        <w:t>of the future efficiency averages in place of the modeling.</w:t>
      </w:r>
      <w:r w:rsidRPr="00A04960">
        <w:rPr>
          <w:rFonts w:eastAsia="Calibri"/>
        </w:rPr>
        <w:t xml:space="preserve"> Where study suggests a modification of renewable electricity quantities, such renewable electricity quantities shall be adjusted for future years</w:t>
      </w:r>
      <w:r w:rsidR="00C761B6">
        <w:rPr>
          <w:rFonts w:eastAsia="Calibri"/>
        </w:rPr>
        <w:t>, but</w:t>
      </w:r>
      <w:r w:rsidRPr="00A04960">
        <w:rPr>
          <w:rFonts w:eastAsia="Calibri"/>
        </w:rPr>
        <w:t xml:space="preserve"> changes will not be retroactive into the past.</w:t>
      </w:r>
    </w:p>
    <w:p w:rsidR="002A6F96" w:rsidRPr="008F42B8" w:rsidRDefault="002A6F96" w:rsidP="00416823">
      <w:pPr>
        <w:keepNext/>
        <w:rPr>
          <w:b/>
        </w:rPr>
      </w:pPr>
      <w:r w:rsidRPr="00E56536">
        <w:rPr>
          <w:b/>
        </w:rPr>
        <w:lastRenderedPageBreak/>
        <w:t>Discussion of Incremental Hydro Models</w:t>
      </w:r>
    </w:p>
    <w:p w:rsidR="002A6F96" w:rsidRDefault="002A6F96" w:rsidP="002A6F96">
      <w:r>
        <w:t xml:space="preserve">Incremental hydro generation resulting from efficiency gains from hydropower upgrades was calculated by PacifiCorp using Method 2 and by Avista using Method 3. PSE is not </w:t>
      </w:r>
      <w:r w:rsidR="00073959">
        <w:t>c</w:t>
      </w:r>
      <w:r>
        <w:t>laiming incremental hydro generation for 2012.</w:t>
      </w:r>
    </w:p>
    <w:p w:rsidR="002A6F96" w:rsidRDefault="002A6F96" w:rsidP="00112F92">
      <w:r>
        <w:t xml:space="preserve">Although these methods provide the general guidelines by which the companies may model their incremental hydro generation, they do not provide specific rules to which the models must conform. As a result, both Avista and </w:t>
      </w:r>
      <w:r w:rsidR="00F90D10">
        <w:t>PacifiCorp</w:t>
      </w:r>
      <w:r>
        <w:t xml:space="preserve"> have develop</w:t>
      </w:r>
      <w:r w:rsidR="00C761B6">
        <w:t>ed</w:t>
      </w:r>
      <w:r>
        <w:t xml:space="preserve"> incremental hydro models according to company-generated model assumptions and parameters. Although each company has developed incremental hydro models that conform to the general guidelines described by one of the three methods from the RPS Workgroup, </w:t>
      </w:r>
      <w:r w:rsidR="007C217E">
        <w:t>Staff</w:t>
      </w:r>
      <w:r>
        <w:t xml:space="preserve"> believes that some of the assumptions and parameters employed by Avista and PacifiCorp may not be appropriate. Specific examples include:</w:t>
      </w:r>
    </w:p>
    <w:p w:rsidR="002A6F96" w:rsidRDefault="002A6F96" w:rsidP="00112F92">
      <w:pPr>
        <w:pStyle w:val="ListParagraph"/>
        <w:numPr>
          <w:ilvl w:val="0"/>
          <w:numId w:val="39"/>
        </w:numPr>
      </w:pPr>
      <w:r>
        <w:t xml:space="preserve">PacifiCorp disallows negative efficiency gains in </w:t>
      </w:r>
      <w:r w:rsidR="00740E42">
        <w:t>its</w:t>
      </w:r>
      <w:r>
        <w:t xml:space="preserve"> model. In other words, under certain conditions</w:t>
      </w:r>
      <w:r w:rsidR="00740E42">
        <w:t>,</w:t>
      </w:r>
      <w:r>
        <w:t xml:space="preserve"> turbine power curves suggest that the pre-upgrade facility is </w:t>
      </w:r>
      <w:r>
        <w:rPr>
          <w:i/>
        </w:rPr>
        <w:t xml:space="preserve">more </w:t>
      </w:r>
      <w:r>
        <w:t xml:space="preserve">efficient than the post-upgrade facility, but the Company excludes these efficiency losses </w:t>
      </w:r>
      <w:r w:rsidR="00740E42">
        <w:t>from</w:t>
      </w:r>
      <w:r>
        <w:t xml:space="preserve"> the calculation of incremental hydro gain</w:t>
      </w:r>
      <w:r w:rsidR="00740E42">
        <w:t>.</w:t>
      </w:r>
    </w:p>
    <w:p w:rsidR="002A6F96" w:rsidRPr="009D20D2" w:rsidRDefault="002A6F96" w:rsidP="00112F92">
      <w:pPr>
        <w:pStyle w:val="ListParagraph"/>
        <w:numPr>
          <w:ilvl w:val="0"/>
          <w:numId w:val="39"/>
        </w:numPr>
        <w:contextualSpacing/>
      </w:pPr>
      <w:r>
        <w:t>Avista does not appear to have controlled for changes in turbine capacity or for flow-through in cubic feet per second (</w:t>
      </w:r>
      <w:proofErr w:type="spellStart"/>
      <w:r>
        <w:t>cfs</w:t>
      </w:r>
      <w:proofErr w:type="spellEnd"/>
      <w:r>
        <w:t xml:space="preserve">) in </w:t>
      </w:r>
      <w:r w:rsidR="00740E42">
        <w:t>its</w:t>
      </w:r>
      <w:r>
        <w:t xml:space="preserve"> models. This is concerning to </w:t>
      </w:r>
      <w:r w:rsidR="007C217E">
        <w:t>Staff</w:t>
      </w:r>
      <w:r>
        <w:t xml:space="preserve"> because an increase in turbine capacity </w:t>
      </w:r>
      <w:r w:rsidR="00D7455B">
        <w:t>doe</w:t>
      </w:r>
      <w:r>
        <w:t>s not necessarily correlate 100 percent with efficiency gains</w:t>
      </w:r>
      <w:r w:rsidR="00275052">
        <w:t>,</w:t>
      </w:r>
      <w:r>
        <w:t xml:space="preserve"> given that higher flow rates may be required to achieve the larger output of a higher-capacity turbine. </w:t>
      </w:r>
      <w:r w:rsidR="005D78E9">
        <w:t xml:space="preserve">It is unclear whether </w:t>
      </w:r>
      <w:r w:rsidR="00112F92">
        <w:t>s</w:t>
      </w:r>
      <w:r>
        <w:t xml:space="preserve">uch increases in flow rates </w:t>
      </w:r>
      <w:r w:rsidR="005D78E9">
        <w:t>might be</w:t>
      </w:r>
      <w:r>
        <w:t xml:space="preserve"> a</w:t>
      </w:r>
      <w:r w:rsidR="00112F92">
        <w:t>n impermissible</w:t>
      </w:r>
      <w:r>
        <w:t xml:space="preserve"> new water diversion under RCW 19.285.030(10)(b).</w:t>
      </w:r>
      <w:r w:rsidR="0051429D">
        <w:rPr>
          <w:rStyle w:val="FootnoteReference"/>
        </w:rPr>
        <w:footnoteReference w:id="30"/>
      </w:r>
      <w:r>
        <w:t xml:space="preserve"> The reported incremental gain should be derived from the </w:t>
      </w:r>
      <w:r>
        <w:rPr>
          <w:i/>
        </w:rPr>
        <w:t>efficiency</w:t>
      </w:r>
      <w:r>
        <w:t xml:space="preserve"> improvements of hydro facilities at various points along the x-axis (</w:t>
      </w:r>
      <w:proofErr w:type="spellStart"/>
      <w:r>
        <w:t>cfs</w:t>
      </w:r>
      <w:proofErr w:type="spellEnd"/>
      <w:r>
        <w:t>) of the turbine power curve and applied to the typical operational conditions of the respective facility. Such methods would isolate the incremental gain specifically attributable to efficiency improvements.</w:t>
      </w:r>
      <w:r w:rsidR="00275052">
        <w:rPr>
          <w:rStyle w:val="FootnoteReference"/>
        </w:rPr>
        <w:footnoteReference w:id="31"/>
      </w:r>
    </w:p>
    <w:p w:rsidR="002A6F96" w:rsidRDefault="002A6F96" w:rsidP="002A6F96">
      <w:r>
        <w:t xml:space="preserve">The above examples do not represent an exhaustive list of </w:t>
      </w:r>
      <w:r w:rsidR="007C217E">
        <w:t>Staff</w:t>
      </w:r>
      <w:r>
        <w:t xml:space="preserve">’s concerns with the methodologies employed by Avista and PacifiCorp but, rather, point to a need for higher-resolution scrutiny of the detail contained within each company’s incremental hydro models, including company-subjected model constraints and assumptions. </w:t>
      </w:r>
      <w:r w:rsidR="007C217E">
        <w:t>Staff</w:t>
      </w:r>
      <w:r>
        <w:t xml:space="preserve"> was unable to complete an in-depth review of each company’s hydro models within the time </w:t>
      </w:r>
      <w:r w:rsidR="00E65BA5">
        <w:t>available</w:t>
      </w:r>
      <w:r w:rsidR="00D7455B">
        <w:t>,</w:t>
      </w:r>
      <w:r>
        <w:t xml:space="preserve"> and recommends more time be granted for a more thorough analysis of the incremental hydro models and calculation methodologies. Further, </w:t>
      </w:r>
      <w:r w:rsidR="007C217E">
        <w:t>Staff</w:t>
      </w:r>
      <w:r>
        <w:t xml:space="preserve"> feels that these issues indicate a need for more specific guidelines for incremental hydro calculations. Accordingly, </w:t>
      </w:r>
      <w:r w:rsidR="007C217E">
        <w:t>Staff</w:t>
      </w:r>
      <w:r>
        <w:t xml:space="preserve"> recommends more time be granted for the development of these specific guidelines which, themselves, rely in part upon a more detailed analysis of the models and the identification of points at which the </w:t>
      </w:r>
      <w:r>
        <w:lastRenderedPageBreak/>
        <w:t xml:space="preserve">model is allowed to be inappropriately flexible. </w:t>
      </w:r>
      <w:r w:rsidR="007C217E">
        <w:t>Staff</w:t>
      </w:r>
      <w:r>
        <w:t xml:space="preserve"> recommends </w:t>
      </w:r>
      <w:r w:rsidR="00E65BA5">
        <w:t xml:space="preserve">that a </w:t>
      </w:r>
      <w:r>
        <w:t xml:space="preserve">regional workgroup </w:t>
      </w:r>
      <w:r w:rsidR="00E65BA5">
        <w:t xml:space="preserve">be convened </w:t>
      </w:r>
      <w:r>
        <w:t xml:space="preserve">to help develop specific guidelines for calculating incremental hydro guidelines, subject to formal approval by the Commission. </w:t>
      </w:r>
    </w:p>
    <w:p w:rsidR="002A6F96" w:rsidRPr="008F1B5D" w:rsidRDefault="002A6F96" w:rsidP="002A6F96">
      <w:r>
        <w:t xml:space="preserve">In considering whether to grant </w:t>
      </w:r>
      <w:r w:rsidR="007C217E">
        <w:t>Staff</w:t>
      </w:r>
      <w:r>
        <w:t xml:space="preserve"> additional time for scrutiny of the incremental hydro models, </w:t>
      </w:r>
      <w:r w:rsidR="00261678">
        <w:t xml:space="preserve">the Commission should be aware </w:t>
      </w:r>
      <w:r>
        <w:t xml:space="preserve">that a final conclusion cannot be made regarding PacifiCorp’s compliance until after December 31, 2012, given that incremental hydro Method 2 requires actual 2012 flow data for the calculation of 2012 incremental hydro generation. </w:t>
      </w:r>
      <w:r w:rsidR="00261678">
        <w:t xml:space="preserve">Because </w:t>
      </w:r>
      <w:r>
        <w:t xml:space="preserve">it is unlikely </w:t>
      </w:r>
      <w:r w:rsidR="00261678">
        <w:t xml:space="preserve">that </w:t>
      </w:r>
      <w:r>
        <w:t xml:space="preserve">a final determination on PacifiCorp’s 2012 renewable compliance can be made before 2013, </w:t>
      </w:r>
      <w:r w:rsidR="007C217E">
        <w:t>Staff</w:t>
      </w:r>
      <w:r>
        <w:t xml:space="preserve"> recommends </w:t>
      </w:r>
      <w:r w:rsidR="00261678">
        <w:t xml:space="preserve">that the Commission wait until 2013 before making </w:t>
      </w:r>
      <w:r>
        <w:t xml:space="preserve">a final decision on the </w:t>
      </w:r>
      <w:r w:rsidR="00261678">
        <w:t>merits</w:t>
      </w:r>
      <w:r>
        <w:t xml:space="preserve"> of the details of the incremental hydro calculation methodologies. In the interim, </w:t>
      </w:r>
      <w:r w:rsidR="007C217E">
        <w:t>Staff</w:t>
      </w:r>
      <w:r>
        <w:t xml:space="preserve"> will work with the companies and interested parties to perform a detailed analysis of the incremental hydro models and draft stricter guidelines for each calculation methodology. </w:t>
      </w:r>
      <w:r w:rsidR="00261678">
        <w:t xml:space="preserve">Because </w:t>
      </w:r>
      <w:r>
        <w:t xml:space="preserve">the Commission has </w:t>
      </w:r>
      <w:r w:rsidR="00261678">
        <w:t xml:space="preserve">not </w:t>
      </w:r>
      <w:r>
        <w:t>yet formally adopt</w:t>
      </w:r>
      <w:r w:rsidR="00261678">
        <w:t>ed</w:t>
      </w:r>
      <w:r>
        <w:t xml:space="preserve"> a specific methodology for the calculation of incremental hydro generation, </w:t>
      </w:r>
      <w:r w:rsidR="007C217E">
        <w:t>Staff</w:t>
      </w:r>
      <w:r>
        <w:t xml:space="preserve"> would like additional time to comment on the benefits and drawbacks of each model and recommend that the Commission formally adopt a specific methodology or methodologies. Such comments and recommendation would require a thorough examination of each model and a statistical comparison of the accuracy of each model and </w:t>
      </w:r>
      <w:r w:rsidRPr="008F1B5D">
        <w:t>methodology in representing reality over a to-be-defined time</w:t>
      </w:r>
      <w:r w:rsidR="00D7455B">
        <w:t xml:space="preserve"> period</w:t>
      </w:r>
      <w:r w:rsidRPr="008F1B5D">
        <w:t xml:space="preserve">. </w:t>
      </w:r>
    </w:p>
    <w:p w:rsidR="002A6F96" w:rsidRPr="008F42B8" w:rsidRDefault="002A6F96" w:rsidP="0017302C">
      <w:r w:rsidRPr="008F1B5D">
        <w:t>PacifiCorp has submitted incremental hydro reports utilizing Method 2</w:t>
      </w:r>
      <w:r>
        <w:t xml:space="preserve"> to other states in the Pacific Northwest. </w:t>
      </w:r>
      <w:r w:rsidR="007E1BB9">
        <w:t xml:space="preserve">In </w:t>
      </w:r>
      <w:r>
        <w:t xml:space="preserve">Oregon, </w:t>
      </w:r>
      <w:r w:rsidR="007E1BB9">
        <w:t>th</w:t>
      </w:r>
      <w:r w:rsidR="00D7455B">
        <w:t>at state’s</w:t>
      </w:r>
      <w:r w:rsidR="007E1BB9">
        <w:t xml:space="preserve"> </w:t>
      </w:r>
      <w:r>
        <w:t xml:space="preserve">Department of Energy </w:t>
      </w:r>
      <w:r w:rsidR="007E1BB9">
        <w:t xml:space="preserve">is responsible for </w:t>
      </w:r>
      <w:r>
        <w:t xml:space="preserve">reviewing PacifiCorp’s incremental hydro model and incremental generation calculation methodology. Commission </w:t>
      </w:r>
      <w:r w:rsidR="007C217E">
        <w:t>Staff</w:t>
      </w:r>
      <w:r>
        <w:t xml:space="preserve"> would like an opportunity to work with the </w:t>
      </w:r>
      <w:r w:rsidR="00D7455B">
        <w:t>Oregon Department of Energy</w:t>
      </w:r>
      <w:r>
        <w:t xml:space="preserve"> to vet PacifiCorp’s model </w:t>
      </w:r>
      <w:r w:rsidR="00D7455B">
        <w:t xml:space="preserve">thoroughly, </w:t>
      </w:r>
      <w:r>
        <w:t xml:space="preserve">and </w:t>
      </w:r>
      <w:r w:rsidR="00D7455B">
        <w:t>to develop</w:t>
      </w:r>
      <w:r>
        <w:t xml:space="preserve"> recommendations for the adoption of additional, if not stricter, guidelines for Method 2. </w:t>
      </w:r>
      <w:r w:rsidR="00D7455B">
        <w:t>Because</w:t>
      </w:r>
      <w:r>
        <w:t xml:space="preserve"> the Oregon Department of Energy has not completed </w:t>
      </w:r>
      <w:r w:rsidR="007E1BB9">
        <w:t>its</w:t>
      </w:r>
      <w:r>
        <w:t xml:space="preserve"> analysis of PacifiCorp’s report, </w:t>
      </w:r>
      <w:r w:rsidR="00D7455B">
        <w:t xml:space="preserve">the results of </w:t>
      </w:r>
      <w:r w:rsidR="007E1BB9">
        <w:t>its</w:t>
      </w:r>
      <w:r>
        <w:t xml:space="preserve"> analysis cannot be incorporated into these </w:t>
      </w:r>
      <w:r w:rsidR="007C217E">
        <w:t>Staff</w:t>
      </w:r>
      <w:r>
        <w:t xml:space="preserve"> Comments. </w:t>
      </w:r>
      <w:r w:rsidR="007C217E">
        <w:t>Staff</w:t>
      </w:r>
      <w:r>
        <w:t xml:space="preserve"> feels that it would be worthwhile to postpone a decision on incremental hydro generation reports so that </w:t>
      </w:r>
      <w:r w:rsidR="007C217E">
        <w:t>Staff</w:t>
      </w:r>
      <w:r>
        <w:t xml:space="preserve"> </w:t>
      </w:r>
      <w:r w:rsidR="00D7455B">
        <w:t xml:space="preserve">may </w:t>
      </w:r>
      <w:r>
        <w:t xml:space="preserve">work collaboratively with the </w:t>
      </w:r>
      <w:r w:rsidR="00D7455B">
        <w:t>Oregon Department of Energy</w:t>
      </w:r>
      <w:r>
        <w:t xml:space="preserve">. </w:t>
      </w:r>
      <w:r w:rsidR="007E1BB9">
        <w:t>Because</w:t>
      </w:r>
      <w:r>
        <w:t xml:space="preserve"> this higher level of scrutiny is being applied to PacifiCorp and to Method 2, </w:t>
      </w:r>
      <w:r w:rsidR="007C217E">
        <w:t>Staff</w:t>
      </w:r>
      <w:r>
        <w:t xml:space="preserve"> recommends additional time be granted to apply a higher level of scrutiny to the other companies and the other two methods for calculating incremental hydro generation. </w:t>
      </w:r>
    </w:p>
    <w:p w:rsidR="00307132" w:rsidRPr="005B7135" w:rsidRDefault="00307132" w:rsidP="000D7F7E">
      <w:pPr>
        <w:pStyle w:val="Heading1"/>
        <w:rPr>
          <w:rFonts w:eastAsiaTheme="minorHAnsi"/>
        </w:rPr>
      </w:pPr>
      <w:r w:rsidRPr="005B7135">
        <w:rPr>
          <w:rFonts w:eastAsiaTheme="minorHAnsi"/>
        </w:rPr>
        <w:t>Data Requests</w:t>
      </w:r>
    </w:p>
    <w:p w:rsidR="00307132" w:rsidRDefault="00307132" w:rsidP="0017302C">
      <w:pPr>
        <w:rPr>
          <w:rFonts w:eastAsiaTheme="minorHAnsi"/>
          <w:bCs/>
          <w:color w:val="000000"/>
        </w:rPr>
      </w:pPr>
      <w:r>
        <w:rPr>
          <w:rFonts w:eastAsiaTheme="minorHAnsi"/>
          <w:bCs/>
          <w:color w:val="000000"/>
        </w:rPr>
        <w:t>On May 22, 2012</w:t>
      </w:r>
      <w:r w:rsidR="00D7455B">
        <w:rPr>
          <w:rFonts w:eastAsiaTheme="minorHAnsi"/>
          <w:bCs/>
          <w:color w:val="000000"/>
        </w:rPr>
        <w:t>,</w:t>
      </w:r>
      <w:r>
        <w:rPr>
          <w:rFonts w:eastAsiaTheme="minorHAnsi"/>
          <w:bCs/>
          <w:color w:val="000000"/>
        </w:rPr>
        <w:t xml:space="preserve"> the c</w:t>
      </w:r>
      <w:r w:rsidRPr="00A04960">
        <w:rPr>
          <w:rFonts w:eastAsiaTheme="minorHAnsi"/>
          <w:bCs/>
          <w:color w:val="000000"/>
        </w:rPr>
        <w:t xml:space="preserve">ompanies were asked to </w:t>
      </w:r>
      <w:r w:rsidRPr="00A04960">
        <w:rPr>
          <w:rFonts w:eastAsiaTheme="minorHAnsi"/>
          <w:color w:val="000000"/>
        </w:rPr>
        <w:t xml:space="preserve">include detailed analysis and </w:t>
      </w:r>
      <w:r>
        <w:rPr>
          <w:rFonts w:eastAsiaTheme="minorHAnsi"/>
          <w:color w:val="000000"/>
        </w:rPr>
        <w:t xml:space="preserve">relevant </w:t>
      </w:r>
      <w:r w:rsidRPr="00A04960">
        <w:rPr>
          <w:rFonts w:eastAsiaTheme="minorHAnsi"/>
          <w:color w:val="000000"/>
        </w:rPr>
        <w:t>data in attachments</w:t>
      </w:r>
      <w:r>
        <w:rPr>
          <w:rFonts w:eastAsiaTheme="minorHAnsi"/>
          <w:color w:val="000000"/>
        </w:rPr>
        <w:t>.</w:t>
      </w:r>
      <w:r w:rsidR="000E7D70">
        <w:rPr>
          <w:rStyle w:val="FootnoteReference"/>
          <w:rFonts w:eastAsiaTheme="minorHAnsi"/>
          <w:color w:val="000000"/>
        </w:rPr>
        <w:footnoteReference w:id="32"/>
      </w:r>
      <w:r>
        <w:rPr>
          <w:rFonts w:eastAsiaTheme="minorHAnsi"/>
          <w:color w:val="000000"/>
        </w:rPr>
        <w:t xml:space="preserve"> </w:t>
      </w:r>
      <w:r w:rsidRPr="00A04960">
        <w:rPr>
          <w:rFonts w:eastAsiaTheme="minorHAnsi"/>
          <w:color w:val="000000"/>
        </w:rPr>
        <w:t xml:space="preserve">This request </w:t>
      </w:r>
      <w:r>
        <w:rPr>
          <w:rFonts w:eastAsiaTheme="minorHAnsi"/>
          <w:color w:val="000000"/>
        </w:rPr>
        <w:t>wa</w:t>
      </w:r>
      <w:r w:rsidRPr="00A04960">
        <w:rPr>
          <w:rFonts w:eastAsiaTheme="minorHAnsi"/>
          <w:color w:val="000000"/>
        </w:rPr>
        <w:t>s intended to assist companies in substantiating their compliance</w:t>
      </w:r>
      <w:r w:rsidR="00A20C4C">
        <w:rPr>
          <w:rFonts w:eastAsiaTheme="minorHAnsi"/>
          <w:color w:val="000000"/>
        </w:rPr>
        <w:t xml:space="preserve">, allow </w:t>
      </w:r>
      <w:r w:rsidR="007C217E">
        <w:rPr>
          <w:rFonts w:eastAsiaTheme="minorHAnsi"/>
          <w:color w:val="000000"/>
        </w:rPr>
        <w:t>Staff</w:t>
      </w:r>
      <w:r w:rsidR="00A20C4C">
        <w:rPr>
          <w:rFonts w:eastAsiaTheme="minorHAnsi"/>
          <w:color w:val="000000"/>
        </w:rPr>
        <w:t xml:space="preserve"> time to review incremental hydro models</w:t>
      </w:r>
      <w:r w:rsidRPr="00A04960">
        <w:rPr>
          <w:rFonts w:eastAsiaTheme="minorHAnsi"/>
          <w:color w:val="000000"/>
        </w:rPr>
        <w:t xml:space="preserve"> and avoid data requests.</w:t>
      </w:r>
      <w:r w:rsidRPr="00A04960">
        <w:rPr>
          <w:rFonts w:eastAsiaTheme="minorHAnsi"/>
          <w:bCs/>
          <w:color w:val="000000"/>
        </w:rPr>
        <w:t xml:space="preserve"> Specifically, the companies were asked to include </w:t>
      </w:r>
      <w:r>
        <w:rPr>
          <w:rFonts w:eastAsiaTheme="minorHAnsi"/>
          <w:bCs/>
          <w:color w:val="000000"/>
        </w:rPr>
        <w:t xml:space="preserve">the following information </w:t>
      </w:r>
      <w:r w:rsidRPr="00A04960">
        <w:rPr>
          <w:rFonts w:eastAsiaTheme="minorHAnsi"/>
          <w:bCs/>
          <w:color w:val="000000"/>
        </w:rPr>
        <w:t xml:space="preserve">in their </w:t>
      </w:r>
      <w:r w:rsidR="00A35E7D">
        <w:rPr>
          <w:rFonts w:eastAsiaTheme="minorHAnsi"/>
          <w:bCs/>
          <w:color w:val="000000"/>
        </w:rPr>
        <w:t xml:space="preserve">RPS </w:t>
      </w:r>
      <w:r>
        <w:rPr>
          <w:rFonts w:eastAsiaTheme="minorHAnsi"/>
          <w:bCs/>
          <w:color w:val="000000"/>
        </w:rPr>
        <w:t>reports</w:t>
      </w:r>
      <w:r w:rsidRPr="00A04960">
        <w:rPr>
          <w:rFonts w:eastAsiaTheme="minorHAnsi"/>
          <w:color w:val="000000"/>
        </w:rPr>
        <w:t>:</w:t>
      </w:r>
      <w:r w:rsidRPr="00A04960">
        <w:rPr>
          <w:rFonts w:eastAsiaTheme="minorHAnsi"/>
          <w:bCs/>
          <w:color w:val="000000"/>
        </w:rPr>
        <w:t xml:space="preserve"> </w:t>
      </w:r>
    </w:p>
    <w:p w:rsidR="00307132" w:rsidRPr="00A04960" w:rsidRDefault="00307132" w:rsidP="00307132">
      <w:pPr>
        <w:pStyle w:val="ListParagraph"/>
        <w:numPr>
          <w:ilvl w:val="0"/>
          <w:numId w:val="21"/>
        </w:numPr>
        <w:spacing w:before="0" w:after="0"/>
        <w:rPr>
          <w:rFonts w:eastAsiaTheme="minorHAnsi"/>
          <w:bCs/>
          <w:color w:val="000000"/>
        </w:rPr>
      </w:pPr>
      <w:r w:rsidRPr="00A04960">
        <w:rPr>
          <w:rFonts w:eastAsiaTheme="minorHAnsi"/>
          <w:color w:val="000000"/>
        </w:rPr>
        <w:t>Applicable renewable contracts (include a copy of the contract as an attachment or</w:t>
      </w:r>
      <w:r w:rsidR="001F4A2F">
        <w:rPr>
          <w:rFonts w:eastAsiaTheme="minorHAnsi"/>
          <w:color w:val="000000"/>
        </w:rPr>
        <w:t>,</w:t>
      </w:r>
      <w:r w:rsidRPr="00A04960">
        <w:rPr>
          <w:rFonts w:eastAsiaTheme="minorHAnsi"/>
          <w:color w:val="000000"/>
        </w:rPr>
        <w:t xml:space="preserve"> if the contract was filed in a prior Docket, the docket numb</w:t>
      </w:r>
      <w:r w:rsidR="00434ECA">
        <w:rPr>
          <w:rFonts w:eastAsiaTheme="minorHAnsi"/>
          <w:color w:val="000000"/>
        </w:rPr>
        <w:t>er and contract identification).</w:t>
      </w:r>
    </w:p>
    <w:p w:rsidR="00307132" w:rsidRPr="00A04960" w:rsidRDefault="00307132" w:rsidP="00307132">
      <w:pPr>
        <w:pStyle w:val="ListParagraph"/>
        <w:numPr>
          <w:ilvl w:val="0"/>
          <w:numId w:val="21"/>
        </w:numPr>
        <w:spacing w:before="0" w:after="0"/>
        <w:rPr>
          <w:rFonts w:eastAsiaTheme="minorHAnsi"/>
          <w:bCs/>
          <w:color w:val="000000"/>
        </w:rPr>
      </w:pPr>
      <w:r w:rsidRPr="00A04960">
        <w:rPr>
          <w:rFonts w:eastAsiaTheme="minorHAnsi"/>
          <w:color w:val="000000"/>
        </w:rPr>
        <w:lastRenderedPageBreak/>
        <w:t>Modeling and data references</w:t>
      </w:r>
      <w:r>
        <w:rPr>
          <w:rFonts w:eastAsiaTheme="minorHAnsi"/>
          <w:color w:val="000000"/>
        </w:rPr>
        <w:t xml:space="preserve">. </w:t>
      </w:r>
      <w:r w:rsidRPr="00A04960">
        <w:rPr>
          <w:rFonts w:eastAsiaTheme="minorHAnsi"/>
          <w:color w:val="000000"/>
        </w:rPr>
        <w:t>For instance if a historic hydro model is used to demonstrate compliance and this model or associated data and analysis was filed with the Commission in a prior docket, include the docket number, date submitted, and document reference description</w:t>
      </w:r>
      <w:r w:rsidR="00434ECA">
        <w:rPr>
          <w:rFonts w:eastAsiaTheme="minorHAnsi"/>
          <w:color w:val="000000"/>
        </w:rPr>
        <w:t>.</w:t>
      </w:r>
    </w:p>
    <w:p w:rsidR="00307132" w:rsidRPr="00A04960" w:rsidRDefault="00434ECA" w:rsidP="00307132">
      <w:pPr>
        <w:pStyle w:val="ListParagraph"/>
        <w:numPr>
          <w:ilvl w:val="0"/>
          <w:numId w:val="21"/>
        </w:numPr>
        <w:spacing w:before="0" w:after="0"/>
        <w:rPr>
          <w:rFonts w:eastAsiaTheme="minorHAnsi"/>
          <w:bCs/>
          <w:color w:val="000000"/>
        </w:rPr>
      </w:pPr>
      <w:r>
        <w:rPr>
          <w:rFonts w:eastAsiaTheme="minorHAnsi"/>
          <w:color w:val="000000"/>
        </w:rPr>
        <w:t>Supporting “Access” database.</w:t>
      </w:r>
    </w:p>
    <w:p w:rsidR="00307132" w:rsidRPr="00A04960" w:rsidRDefault="00307132" w:rsidP="00307132">
      <w:pPr>
        <w:pStyle w:val="ListParagraph"/>
        <w:numPr>
          <w:ilvl w:val="0"/>
          <w:numId w:val="21"/>
        </w:numPr>
        <w:spacing w:before="0" w:after="0"/>
        <w:rPr>
          <w:rFonts w:eastAsiaTheme="minorHAnsi"/>
          <w:bCs/>
          <w:color w:val="000000"/>
        </w:rPr>
      </w:pPr>
      <w:r w:rsidRPr="00A04960">
        <w:rPr>
          <w:rFonts w:eastAsiaTheme="minorHAnsi"/>
          <w:color w:val="000000"/>
        </w:rPr>
        <w:t>Excel spreadsheets that include analysis with formulas intact such as flow and generation for incremental hydro, and energy produ</w:t>
      </w:r>
      <w:r w:rsidR="00434ECA">
        <w:rPr>
          <w:rFonts w:eastAsiaTheme="minorHAnsi"/>
          <w:color w:val="000000"/>
        </w:rPr>
        <w:t>ction data for biomass and wind.</w:t>
      </w:r>
    </w:p>
    <w:p w:rsidR="00307132" w:rsidRPr="00A04960" w:rsidRDefault="00307132" w:rsidP="00307132">
      <w:pPr>
        <w:pStyle w:val="ListParagraph"/>
        <w:numPr>
          <w:ilvl w:val="0"/>
          <w:numId w:val="21"/>
        </w:numPr>
        <w:spacing w:before="0" w:after="0"/>
        <w:rPr>
          <w:rFonts w:eastAsiaTheme="minorHAnsi"/>
          <w:bCs/>
          <w:color w:val="000000"/>
        </w:rPr>
      </w:pPr>
      <w:r w:rsidRPr="00A04960">
        <w:rPr>
          <w:rFonts w:eastAsiaTheme="minorHAnsi"/>
          <w:color w:val="000000"/>
        </w:rPr>
        <w:t xml:space="preserve">WREGIS numbers for </w:t>
      </w:r>
      <w:r w:rsidR="00DD157A">
        <w:rPr>
          <w:rFonts w:eastAsiaTheme="minorHAnsi"/>
          <w:color w:val="000000"/>
        </w:rPr>
        <w:t>RECs</w:t>
      </w:r>
      <w:r>
        <w:rPr>
          <w:rFonts w:eastAsiaTheme="minorHAnsi"/>
          <w:color w:val="000000"/>
        </w:rPr>
        <w:t xml:space="preserve"> to be retired.</w:t>
      </w:r>
    </w:p>
    <w:p w:rsidR="00307132" w:rsidRPr="00A04960" w:rsidRDefault="00307132" w:rsidP="00307132">
      <w:pPr>
        <w:pStyle w:val="ListParagraph"/>
        <w:numPr>
          <w:ilvl w:val="0"/>
          <w:numId w:val="21"/>
        </w:numPr>
        <w:spacing w:before="0" w:after="0"/>
        <w:rPr>
          <w:rFonts w:eastAsiaTheme="minorHAnsi"/>
          <w:bCs/>
          <w:color w:val="000000"/>
        </w:rPr>
      </w:pPr>
      <w:r w:rsidRPr="00A04960">
        <w:rPr>
          <w:rFonts w:eastAsiaTheme="minorHAnsi"/>
          <w:color w:val="000000"/>
        </w:rPr>
        <w:t>A table of Contents.</w:t>
      </w:r>
    </w:p>
    <w:p w:rsidR="00307132" w:rsidRDefault="00307132" w:rsidP="0017302C">
      <w:pPr>
        <w:rPr>
          <w:rFonts w:eastAsiaTheme="minorHAnsi"/>
          <w:color w:val="000000"/>
        </w:rPr>
      </w:pPr>
      <w:r w:rsidRPr="00A04960">
        <w:rPr>
          <w:rFonts w:eastAsiaTheme="minorHAnsi"/>
          <w:bCs/>
          <w:color w:val="000000"/>
        </w:rPr>
        <w:t>Additionally, companies were asked to provide on or before June 1, 2012</w:t>
      </w:r>
      <w:r w:rsidR="00D7455B">
        <w:rPr>
          <w:rFonts w:eastAsiaTheme="minorHAnsi"/>
          <w:bCs/>
          <w:color w:val="000000"/>
        </w:rPr>
        <w:t>,</w:t>
      </w:r>
      <w:r w:rsidRPr="00A04960">
        <w:rPr>
          <w:rFonts w:eastAsiaTheme="minorHAnsi"/>
          <w:color w:val="000000"/>
        </w:rPr>
        <w:t xml:space="preserve"> information on their “</w:t>
      </w:r>
      <w:r>
        <w:rPr>
          <w:rFonts w:eastAsiaTheme="minorHAnsi"/>
          <w:color w:val="000000"/>
        </w:rPr>
        <w:t>compliance</w:t>
      </w:r>
      <w:r w:rsidRPr="00A04960">
        <w:rPr>
          <w:rFonts w:eastAsiaTheme="minorHAnsi"/>
          <w:color w:val="000000"/>
        </w:rPr>
        <w:t xml:space="preserve"> position” in regard to renewable energy; projected load; the percentage of </w:t>
      </w:r>
      <w:r>
        <w:rPr>
          <w:rFonts w:eastAsiaTheme="minorHAnsi"/>
          <w:color w:val="000000"/>
        </w:rPr>
        <w:t xml:space="preserve">RECs </w:t>
      </w:r>
      <w:r w:rsidRPr="00A04960">
        <w:rPr>
          <w:rFonts w:eastAsiaTheme="minorHAnsi"/>
          <w:color w:val="000000"/>
        </w:rPr>
        <w:t xml:space="preserve">the company intends to hold in reserve “above” the percentage required to meet the load, the percentage calculation and how the percentage was derived. </w:t>
      </w:r>
    </w:p>
    <w:p w:rsidR="00482650" w:rsidRDefault="00307132" w:rsidP="0017302C">
      <w:pPr>
        <w:rPr>
          <w:rFonts w:eastAsiaTheme="minorHAnsi"/>
          <w:color w:val="000000"/>
        </w:rPr>
      </w:pPr>
      <w:r>
        <w:rPr>
          <w:rFonts w:eastAsiaTheme="minorHAnsi"/>
          <w:color w:val="000000"/>
        </w:rPr>
        <w:t>None of the companies w</w:t>
      </w:r>
      <w:r w:rsidR="001D5D6E">
        <w:rPr>
          <w:rFonts w:eastAsiaTheme="minorHAnsi"/>
          <w:color w:val="000000"/>
        </w:rPr>
        <w:t>as</w:t>
      </w:r>
      <w:r>
        <w:rPr>
          <w:rFonts w:eastAsiaTheme="minorHAnsi"/>
          <w:color w:val="000000"/>
        </w:rPr>
        <w:t xml:space="preserve"> able to provide the WREGIS numbers because the Department of Commerce has not determined Washington eligibility for any </w:t>
      </w:r>
      <w:proofErr w:type="spellStart"/>
      <w:r>
        <w:rPr>
          <w:rFonts w:eastAsiaTheme="minorHAnsi"/>
          <w:color w:val="000000"/>
        </w:rPr>
        <w:t>RECs.</w:t>
      </w:r>
      <w:proofErr w:type="spellEnd"/>
      <w:r w:rsidR="001D5D6E">
        <w:rPr>
          <w:rStyle w:val="FootnoteReference"/>
          <w:rFonts w:eastAsiaTheme="minorHAnsi"/>
          <w:color w:val="000000"/>
        </w:rPr>
        <w:footnoteReference w:id="33"/>
      </w:r>
    </w:p>
    <w:p w:rsidR="00D31DD1" w:rsidRPr="00A04960" w:rsidRDefault="000E7D70" w:rsidP="0017302C">
      <w:r>
        <w:rPr>
          <w:rFonts w:eastAsia="Calibri"/>
        </w:rPr>
        <w:t xml:space="preserve">The companies were repeatedly encouraged to submit their </w:t>
      </w:r>
      <w:r w:rsidR="00A35E7D">
        <w:rPr>
          <w:rFonts w:eastAsia="Calibri"/>
        </w:rPr>
        <w:t>RPS</w:t>
      </w:r>
      <w:r>
        <w:rPr>
          <w:rFonts w:eastAsia="Calibri"/>
        </w:rPr>
        <w:t xml:space="preserve"> reports early, to provide time for </w:t>
      </w:r>
      <w:r w:rsidR="007C217E">
        <w:rPr>
          <w:rFonts w:eastAsia="Calibri"/>
        </w:rPr>
        <w:t>Staff</w:t>
      </w:r>
      <w:r>
        <w:rPr>
          <w:rFonts w:eastAsia="Calibri"/>
        </w:rPr>
        <w:t xml:space="preserve"> to work with </w:t>
      </w:r>
      <w:r w:rsidR="001D5D6E">
        <w:rPr>
          <w:rFonts w:eastAsia="Calibri"/>
        </w:rPr>
        <w:t>each</w:t>
      </w:r>
      <w:r>
        <w:rPr>
          <w:rFonts w:eastAsia="Calibri"/>
        </w:rPr>
        <w:t xml:space="preserve"> company to ensure the report included the necessary information and to review incremental hydro models as necessary. </w:t>
      </w:r>
      <w:r w:rsidR="007F0177">
        <w:rPr>
          <w:rFonts w:eastAsia="Calibri"/>
        </w:rPr>
        <w:t>Only Avista</w:t>
      </w:r>
      <w:r>
        <w:rPr>
          <w:rFonts w:eastAsia="Calibri"/>
        </w:rPr>
        <w:t xml:space="preserve"> submitted early, leading </w:t>
      </w:r>
      <w:r w:rsidR="007C217E">
        <w:rPr>
          <w:rFonts w:eastAsia="Calibri"/>
        </w:rPr>
        <w:t>Staff</w:t>
      </w:r>
      <w:r>
        <w:rPr>
          <w:rFonts w:eastAsia="Calibri"/>
        </w:rPr>
        <w:t xml:space="preserve"> to send</w:t>
      </w:r>
      <w:r w:rsidR="007F0177">
        <w:rPr>
          <w:rFonts w:eastAsia="Calibri"/>
        </w:rPr>
        <w:t xml:space="preserve"> substantial</w:t>
      </w:r>
      <w:r>
        <w:rPr>
          <w:rFonts w:eastAsia="Calibri"/>
        </w:rPr>
        <w:t xml:space="preserve"> data requests to </w:t>
      </w:r>
      <w:r w:rsidR="007F0177">
        <w:rPr>
          <w:rFonts w:eastAsia="Calibri"/>
        </w:rPr>
        <w:t>PSE and PacifiCorp</w:t>
      </w:r>
      <w:r>
        <w:rPr>
          <w:rFonts w:eastAsia="Calibri"/>
        </w:rPr>
        <w:t>. PSE responded in a timely manner to the data requests and provided sufficient information</w:t>
      </w:r>
      <w:r w:rsidR="007F0177">
        <w:rPr>
          <w:rFonts w:eastAsia="Calibri"/>
        </w:rPr>
        <w:t>, and</w:t>
      </w:r>
      <w:r>
        <w:rPr>
          <w:rFonts w:eastAsia="Calibri"/>
        </w:rPr>
        <w:t xml:space="preserve"> also </w:t>
      </w:r>
      <w:r w:rsidRPr="00451211">
        <w:rPr>
          <w:rFonts w:eastAsia="Calibri"/>
        </w:rPr>
        <w:t xml:space="preserve">filed revised </w:t>
      </w:r>
      <w:r w:rsidR="00451211" w:rsidRPr="00451211">
        <w:rPr>
          <w:rFonts w:eastAsia="Calibri"/>
        </w:rPr>
        <w:t>pages to its RPS report</w:t>
      </w:r>
      <w:r w:rsidRPr="00451211">
        <w:rPr>
          <w:rFonts w:eastAsia="Calibri"/>
        </w:rPr>
        <w:t xml:space="preserve"> in response to </w:t>
      </w:r>
      <w:r w:rsidR="007C217E" w:rsidRPr="00451211">
        <w:rPr>
          <w:rFonts w:eastAsia="Calibri"/>
        </w:rPr>
        <w:t>Staff</w:t>
      </w:r>
      <w:r w:rsidRPr="00451211">
        <w:rPr>
          <w:rFonts w:eastAsia="Calibri"/>
        </w:rPr>
        <w:t xml:space="preserve"> request</w:t>
      </w:r>
      <w:r>
        <w:rPr>
          <w:rFonts w:eastAsia="Calibri"/>
        </w:rPr>
        <w:t xml:space="preserve">. PacifiCorp failed to send the requested information about the incremental hydro models to </w:t>
      </w:r>
      <w:r w:rsidR="007C217E">
        <w:rPr>
          <w:rFonts w:eastAsia="Calibri"/>
        </w:rPr>
        <w:t>Staff</w:t>
      </w:r>
      <w:r>
        <w:rPr>
          <w:rFonts w:eastAsia="Calibri"/>
        </w:rPr>
        <w:t xml:space="preserve"> in time for that information to be incorporated into these comments. </w:t>
      </w:r>
    </w:p>
    <w:p w:rsidR="00404D65" w:rsidRPr="008F42B8" w:rsidRDefault="0017302C" w:rsidP="000D7F7E">
      <w:pPr>
        <w:pStyle w:val="Heading1"/>
      </w:pPr>
      <w:r>
        <w:t xml:space="preserve">UE-120802 </w:t>
      </w:r>
      <w:r w:rsidR="00E6441D" w:rsidRPr="008F42B8">
        <w:t>PUGET SOUND ENERGY</w:t>
      </w:r>
    </w:p>
    <w:p w:rsidR="00404D65" w:rsidRPr="00695126" w:rsidRDefault="007C217E" w:rsidP="008F42B8">
      <w:pPr>
        <w:spacing w:before="0" w:after="0"/>
        <w:rPr>
          <w:rFonts w:eastAsiaTheme="minorHAnsi"/>
        </w:rPr>
      </w:pPr>
      <w:r>
        <w:t>Staff</w:t>
      </w:r>
      <w:r w:rsidR="00B62552" w:rsidRPr="00695126">
        <w:t xml:space="preserve"> believes </w:t>
      </w:r>
      <w:r w:rsidR="00A35E7D">
        <w:t>t</w:t>
      </w:r>
      <w:r w:rsidR="00B62552" w:rsidRPr="00695126">
        <w:t xml:space="preserve">he materials submitted with </w:t>
      </w:r>
      <w:r w:rsidR="00A35E7D">
        <w:t>PSE</w:t>
      </w:r>
      <w:r w:rsidR="00B62552" w:rsidRPr="00695126">
        <w:t xml:space="preserve">’s June 1, 2012 </w:t>
      </w:r>
      <w:r w:rsidR="00A35E7D">
        <w:t>RPS</w:t>
      </w:r>
      <w:r w:rsidR="00B62552" w:rsidRPr="00695126">
        <w:t xml:space="preserve"> Report </w:t>
      </w:r>
      <w:r w:rsidR="00A35E7D">
        <w:t xml:space="preserve">and additional documentation </w:t>
      </w:r>
      <w:r w:rsidR="00B62552" w:rsidRPr="00695126">
        <w:t>comply with reporting requirements under RCW 19.285.070 and WAC 480-109-</w:t>
      </w:r>
      <w:r w:rsidR="00D51B92">
        <w:t>0</w:t>
      </w:r>
      <w:r w:rsidR="00B62552" w:rsidRPr="00695126">
        <w:t xml:space="preserve">40 and demonstrate that </w:t>
      </w:r>
      <w:r w:rsidR="00B62552">
        <w:t xml:space="preserve">PSE </w:t>
      </w:r>
      <w:r w:rsidR="00B62552" w:rsidRPr="00695126">
        <w:t xml:space="preserve">is </w:t>
      </w:r>
      <w:r w:rsidR="00A35E7D">
        <w:t>on track</w:t>
      </w:r>
      <w:r w:rsidR="00B62552" w:rsidRPr="00695126">
        <w:t xml:space="preserve"> to meet </w:t>
      </w:r>
      <w:r w:rsidR="00B62552">
        <w:t>its</w:t>
      </w:r>
      <w:r w:rsidR="00B62552" w:rsidRPr="00695126">
        <w:t xml:space="preserve"> 2012 </w:t>
      </w:r>
      <w:r w:rsidR="001366EE">
        <w:t>RPS</w:t>
      </w:r>
      <w:r w:rsidR="00B62552" w:rsidRPr="00695126">
        <w:t xml:space="preserve"> target of using eligible renewable resources and RECs to supply at least three percent of the </w:t>
      </w:r>
      <w:r w:rsidR="00B62552">
        <w:t>c</w:t>
      </w:r>
      <w:r w:rsidR="00B62552" w:rsidRPr="00695126">
        <w:t>ompany’s Washington load</w:t>
      </w:r>
      <w:r w:rsidR="00B62552">
        <w:t>.</w:t>
      </w:r>
    </w:p>
    <w:p w:rsidR="00024CC6" w:rsidRDefault="00024CC6" w:rsidP="008F42B8">
      <w:pPr>
        <w:spacing w:before="0" w:after="0"/>
        <w:rPr>
          <w:rFonts w:eastAsiaTheme="minorHAnsi"/>
        </w:rPr>
      </w:pPr>
    </w:p>
    <w:tbl>
      <w:tblPr>
        <w:tblStyle w:val="TableGrid"/>
        <w:tblW w:w="0" w:type="auto"/>
        <w:tblInd w:w="720" w:type="dxa"/>
        <w:tblLook w:val="04A0" w:firstRow="1" w:lastRow="0" w:firstColumn="1" w:lastColumn="0" w:noHBand="0" w:noVBand="1"/>
      </w:tblPr>
      <w:tblGrid>
        <w:gridCol w:w="3798"/>
        <w:gridCol w:w="1890"/>
        <w:gridCol w:w="1508"/>
        <w:gridCol w:w="1552"/>
      </w:tblGrid>
      <w:tr w:rsidR="000F0F39" w:rsidRPr="00695126" w:rsidTr="00212DB3">
        <w:tc>
          <w:tcPr>
            <w:tcW w:w="3798" w:type="dxa"/>
          </w:tcPr>
          <w:p w:rsidR="000F0F39" w:rsidRPr="00695126" w:rsidRDefault="000F0F39" w:rsidP="008F42B8">
            <w:pPr>
              <w:pStyle w:val="ListParagraph"/>
              <w:ind w:left="0"/>
            </w:pPr>
          </w:p>
        </w:tc>
        <w:tc>
          <w:tcPr>
            <w:tcW w:w="1890" w:type="dxa"/>
          </w:tcPr>
          <w:p w:rsidR="000F0F39" w:rsidRPr="00695126" w:rsidRDefault="000F0F39" w:rsidP="008F42B8">
            <w:pPr>
              <w:pStyle w:val="ListParagraph"/>
              <w:ind w:left="0"/>
              <w:rPr>
                <w:b/>
              </w:rPr>
            </w:pPr>
            <w:r w:rsidRPr="00695126">
              <w:rPr>
                <w:b/>
              </w:rPr>
              <w:t>2010</w:t>
            </w:r>
          </w:p>
        </w:tc>
        <w:tc>
          <w:tcPr>
            <w:tcW w:w="1508" w:type="dxa"/>
          </w:tcPr>
          <w:p w:rsidR="000F0F39" w:rsidRPr="00695126" w:rsidRDefault="000F0F39" w:rsidP="008F42B8">
            <w:pPr>
              <w:pStyle w:val="ListParagraph"/>
              <w:ind w:left="0"/>
              <w:rPr>
                <w:b/>
              </w:rPr>
            </w:pPr>
            <w:r w:rsidRPr="00695126">
              <w:rPr>
                <w:b/>
              </w:rPr>
              <w:t>2011</w:t>
            </w:r>
          </w:p>
        </w:tc>
        <w:tc>
          <w:tcPr>
            <w:tcW w:w="1552" w:type="dxa"/>
          </w:tcPr>
          <w:p w:rsidR="000F0F39" w:rsidRPr="00695126" w:rsidRDefault="000F0F39" w:rsidP="008F42B8">
            <w:pPr>
              <w:pStyle w:val="ListParagraph"/>
              <w:ind w:left="0"/>
              <w:rPr>
                <w:b/>
              </w:rPr>
            </w:pPr>
            <w:r w:rsidRPr="00695126">
              <w:rPr>
                <w:b/>
              </w:rPr>
              <w:t>2012</w:t>
            </w:r>
          </w:p>
        </w:tc>
      </w:tr>
      <w:tr w:rsidR="000F0F39" w:rsidRPr="00695126" w:rsidTr="00212DB3">
        <w:tc>
          <w:tcPr>
            <w:tcW w:w="3798" w:type="dxa"/>
          </w:tcPr>
          <w:p w:rsidR="000F0F39" w:rsidRPr="00695126" w:rsidRDefault="000F0F39" w:rsidP="008F42B8">
            <w:pPr>
              <w:pStyle w:val="ListParagraph"/>
              <w:ind w:left="0"/>
              <w:rPr>
                <w:b/>
              </w:rPr>
            </w:pPr>
            <w:r w:rsidRPr="00695126">
              <w:rPr>
                <w:b/>
              </w:rPr>
              <w:t>Washington Retail Load (</w:t>
            </w:r>
            <w:proofErr w:type="spellStart"/>
            <w:r w:rsidRPr="00695126">
              <w:rPr>
                <w:b/>
              </w:rPr>
              <w:t>MWh</w:t>
            </w:r>
            <w:proofErr w:type="spellEnd"/>
            <w:r w:rsidRPr="00695126">
              <w:rPr>
                <w:b/>
              </w:rPr>
              <w:t>)</w:t>
            </w:r>
          </w:p>
        </w:tc>
        <w:tc>
          <w:tcPr>
            <w:tcW w:w="1890" w:type="dxa"/>
          </w:tcPr>
          <w:p w:rsidR="000F0F39" w:rsidRPr="00695126" w:rsidRDefault="000F0F39" w:rsidP="008F42B8">
            <w:pPr>
              <w:pStyle w:val="ListParagraph"/>
              <w:ind w:left="0"/>
            </w:pPr>
            <w:r>
              <w:t>20,901,139</w:t>
            </w:r>
          </w:p>
        </w:tc>
        <w:tc>
          <w:tcPr>
            <w:tcW w:w="1508" w:type="dxa"/>
          </w:tcPr>
          <w:p w:rsidR="000F0F39" w:rsidRPr="00695126" w:rsidRDefault="000F0F39" w:rsidP="008F42B8">
            <w:pPr>
              <w:pStyle w:val="ListParagraph"/>
              <w:ind w:left="0"/>
            </w:pPr>
            <w:r>
              <w:t>21,496,074</w:t>
            </w:r>
          </w:p>
        </w:tc>
        <w:tc>
          <w:tcPr>
            <w:tcW w:w="1552" w:type="dxa"/>
          </w:tcPr>
          <w:p w:rsidR="000F0F39" w:rsidRPr="00695126" w:rsidRDefault="000F0F39" w:rsidP="008F42B8">
            <w:pPr>
              <w:pStyle w:val="ListParagraph"/>
              <w:ind w:left="0"/>
              <w:rPr>
                <w:b/>
              </w:rPr>
            </w:pPr>
          </w:p>
        </w:tc>
      </w:tr>
      <w:tr w:rsidR="000F0F39" w:rsidRPr="00695126" w:rsidTr="00212DB3">
        <w:tc>
          <w:tcPr>
            <w:tcW w:w="3798" w:type="dxa"/>
          </w:tcPr>
          <w:p w:rsidR="000F0F39" w:rsidRPr="00695126" w:rsidRDefault="000F0F39" w:rsidP="008F42B8">
            <w:pPr>
              <w:pStyle w:val="ListParagraph"/>
              <w:ind w:left="0"/>
              <w:rPr>
                <w:b/>
              </w:rPr>
            </w:pPr>
            <w:r w:rsidRPr="00695126">
              <w:rPr>
                <w:b/>
              </w:rPr>
              <w:t>Target Load (</w:t>
            </w:r>
            <w:proofErr w:type="spellStart"/>
            <w:r w:rsidRPr="00695126">
              <w:rPr>
                <w:b/>
              </w:rPr>
              <w:t>MWh</w:t>
            </w:r>
            <w:proofErr w:type="spellEnd"/>
            <w:r w:rsidRPr="00695126">
              <w:rPr>
                <w:b/>
              </w:rPr>
              <w:t>)</w:t>
            </w:r>
          </w:p>
        </w:tc>
        <w:tc>
          <w:tcPr>
            <w:tcW w:w="1890" w:type="dxa"/>
          </w:tcPr>
          <w:p w:rsidR="000F0F39" w:rsidRPr="00695126" w:rsidRDefault="000F0F39" w:rsidP="008F42B8">
            <w:pPr>
              <w:pStyle w:val="ListParagraph"/>
              <w:ind w:left="0"/>
            </w:pPr>
          </w:p>
        </w:tc>
        <w:tc>
          <w:tcPr>
            <w:tcW w:w="1508" w:type="dxa"/>
          </w:tcPr>
          <w:p w:rsidR="000F0F39" w:rsidRPr="00695126" w:rsidRDefault="000F0F39" w:rsidP="008F42B8">
            <w:pPr>
              <w:pStyle w:val="ListParagraph"/>
              <w:ind w:left="0"/>
            </w:pPr>
          </w:p>
        </w:tc>
        <w:tc>
          <w:tcPr>
            <w:tcW w:w="1552" w:type="dxa"/>
          </w:tcPr>
          <w:p w:rsidR="000F0F39" w:rsidRPr="00695126" w:rsidRDefault="000F0F39" w:rsidP="008F42B8">
            <w:pPr>
              <w:pStyle w:val="ListParagraph"/>
              <w:ind w:left="0"/>
            </w:pPr>
            <w:r>
              <w:t>21,198,607</w:t>
            </w:r>
          </w:p>
        </w:tc>
      </w:tr>
      <w:tr w:rsidR="000F0F39" w:rsidRPr="00695126" w:rsidTr="00212DB3">
        <w:tc>
          <w:tcPr>
            <w:tcW w:w="3798" w:type="dxa"/>
          </w:tcPr>
          <w:p w:rsidR="000F0F39" w:rsidRPr="00695126" w:rsidRDefault="000F0F39" w:rsidP="008F42B8">
            <w:pPr>
              <w:pStyle w:val="ListParagraph"/>
              <w:ind w:left="0"/>
              <w:rPr>
                <w:b/>
              </w:rPr>
            </w:pPr>
            <w:r w:rsidRPr="00695126">
              <w:rPr>
                <w:b/>
              </w:rPr>
              <w:t>RCW 19.285 Requirement</w:t>
            </w:r>
          </w:p>
        </w:tc>
        <w:tc>
          <w:tcPr>
            <w:tcW w:w="1890" w:type="dxa"/>
          </w:tcPr>
          <w:p w:rsidR="000F0F39" w:rsidRPr="00695126" w:rsidRDefault="000F0F39" w:rsidP="008F42B8">
            <w:pPr>
              <w:pStyle w:val="ListParagraph"/>
              <w:ind w:left="0"/>
            </w:pPr>
            <w:r w:rsidRPr="00695126">
              <w:t>0%</w:t>
            </w:r>
          </w:p>
        </w:tc>
        <w:tc>
          <w:tcPr>
            <w:tcW w:w="1508" w:type="dxa"/>
          </w:tcPr>
          <w:p w:rsidR="000F0F39" w:rsidRPr="00695126" w:rsidRDefault="000F0F39" w:rsidP="008F42B8">
            <w:pPr>
              <w:pStyle w:val="ListParagraph"/>
              <w:ind w:left="0"/>
            </w:pPr>
            <w:r w:rsidRPr="00695126">
              <w:t>0%</w:t>
            </w:r>
          </w:p>
        </w:tc>
        <w:tc>
          <w:tcPr>
            <w:tcW w:w="1552" w:type="dxa"/>
          </w:tcPr>
          <w:p w:rsidR="000F0F39" w:rsidRPr="00695126" w:rsidRDefault="000F0F39" w:rsidP="008F42B8">
            <w:pPr>
              <w:pStyle w:val="ListParagraph"/>
              <w:ind w:left="0"/>
            </w:pPr>
            <w:r w:rsidRPr="00695126">
              <w:t>3%</w:t>
            </w:r>
          </w:p>
        </w:tc>
      </w:tr>
      <w:tr w:rsidR="000F0F39" w:rsidRPr="00695126" w:rsidTr="00212DB3">
        <w:tc>
          <w:tcPr>
            <w:tcW w:w="3798" w:type="dxa"/>
          </w:tcPr>
          <w:p w:rsidR="000F0F39" w:rsidRPr="00695126" w:rsidRDefault="000F0F39" w:rsidP="008F42B8">
            <w:pPr>
              <w:pStyle w:val="ListParagraph"/>
              <w:ind w:left="0"/>
              <w:rPr>
                <w:b/>
              </w:rPr>
            </w:pPr>
            <w:r w:rsidRPr="00695126">
              <w:rPr>
                <w:b/>
              </w:rPr>
              <w:t>Requirement (</w:t>
            </w:r>
            <w:proofErr w:type="spellStart"/>
            <w:r w:rsidRPr="00695126">
              <w:rPr>
                <w:b/>
              </w:rPr>
              <w:t>MWh</w:t>
            </w:r>
            <w:proofErr w:type="spellEnd"/>
            <w:r w:rsidRPr="00695126">
              <w:rPr>
                <w:b/>
              </w:rPr>
              <w:t>)</w:t>
            </w:r>
          </w:p>
        </w:tc>
        <w:tc>
          <w:tcPr>
            <w:tcW w:w="1890" w:type="dxa"/>
          </w:tcPr>
          <w:p w:rsidR="000F0F39" w:rsidRPr="00695126" w:rsidRDefault="000F0F39" w:rsidP="008F42B8">
            <w:pPr>
              <w:pStyle w:val="ListParagraph"/>
              <w:ind w:left="0"/>
            </w:pPr>
            <w:r w:rsidRPr="00695126">
              <w:t>0</w:t>
            </w:r>
          </w:p>
        </w:tc>
        <w:tc>
          <w:tcPr>
            <w:tcW w:w="1508" w:type="dxa"/>
          </w:tcPr>
          <w:p w:rsidR="000F0F39" w:rsidRPr="00695126" w:rsidRDefault="000F0F39" w:rsidP="008F42B8">
            <w:pPr>
              <w:pStyle w:val="ListParagraph"/>
              <w:ind w:left="0"/>
            </w:pPr>
            <w:r w:rsidRPr="00695126">
              <w:t>0</w:t>
            </w:r>
          </w:p>
        </w:tc>
        <w:tc>
          <w:tcPr>
            <w:tcW w:w="1552" w:type="dxa"/>
          </w:tcPr>
          <w:p w:rsidR="000F0F39" w:rsidRPr="00695126" w:rsidRDefault="000F0F39" w:rsidP="008F42B8">
            <w:pPr>
              <w:pStyle w:val="ListParagraph"/>
              <w:ind w:left="0"/>
            </w:pPr>
            <w:r>
              <w:t>635,958</w:t>
            </w:r>
          </w:p>
        </w:tc>
      </w:tr>
    </w:tbl>
    <w:p w:rsidR="00A35E7D" w:rsidRDefault="00027B3B" w:rsidP="001F51E0">
      <w:pPr>
        <w:spacing w:before="240"/>
        <w:rPr>
          <w:rFonts w:eastAsiaTheme="minorHAnsi"/>
        </w:rPr>
      </w:pPr>
      <w:r w:rsidRPr="00695126">
        <w:lastRenderedPageBreak/>
        <w:t>P</w:t>
      </w:r>
      <w:r>
        <w:t>SE’s</w:t>
      </w:r>
      <w:r w:rsidRPr="00695126">
        <w:t xml:space="preserve"> average annual load for its Washington State customers for 2010-2011 </w:t>
      </w:r>
      <w:r>
        <w:t xml:space="preserve">was 21,198,607 </w:t>
      </w:r>
      <w:r w:rsidR="00212DB3">
        <w:t>megawatt-hours</w:t>
      </w:r>
      <w:r w:rsidRPr="00695126">
        <w:t xml:space="preserve">. The </w:t>
      </w:r>
      <w:r>
        <w:t>c</w:t>
      </w:r>
      <w:r w:rsidRPr="00695126">
        <w:t xml:space="preserve">ompany’s 2012 Renewable </w:t>
      </w:r>
      <w:r>
        <w:t xml:space="preserve">energy </w:t>
      </w:r>
      <w:r w:rsidRPr="00695126">
        <w:t>target</w:t>
      </w:r>
      <w:r w:rsidR="00482650">
        <w:t xml:space="preserve"> </w:t>
      </w:r>
      <w:r w:rsidRPr="00695126">
        <w:t xml:space="preserve">is </w:t>
      </w:r>
      <w:r w:rsidR="008250ED">
        <w:t>635,958</w:t>
      </w:r>
      <w:r w:rsidRPr="00695126">
        <w:t xml:space="preserve"> </w:t>
      </w:r>
      <w:r w:rsidR="00212DB3">
        <w:t>megawatt-hours</w:t>
      </w:r>
      <w:r w:rsidRPr="00695126">
        <w:t>.</w:t>
      </w:r>
      <w:r>
        <w:t xml:space="preserve"> </w:t>
      </w:r>
      <w:r w:rsidR="006B49E2">
        <w:rPr>
          <w:rFonts w:eastAsiaTheme="minorHAnsi"/>
        </w:rPr>
        <w:t>T</w:t>
      </w:r>
      <w:r>
        <w:rPr>
          <w:rFonts w:eastAsiaTheme="minorHAnsi"/>
        </w:rPr>
        <w:t>he company’s</w:t>
      </w:r>
      <w:r w:rsidRPr="00695126">
        <w:rPr>
          <w:rFonts w:eastAsiaTheme="minorHAnsi"/>
        </w:rPr>
        <w:t xml:space="preserve"> </w:t>
      </w:r>
      <w:r w:rsidR="00404D65" w:rsidRPr="00695126">
        <w:rPr>
          <w:rFonts w:eastAsiaTheme="minorHAnsi"/>
        </w:rPr>
        <w:t xml:space="preserve">initial </w:t>
      </w:r>
      <w:r w:rsidR="00221326">
        <w:rPr>
          <w:rFonts w:eastAsiaTheme="minorHAnsi"/>
        </w:rPr>
        <w:t>RPS</w:t>
      </w:r>
      <w:r w:rsidR="00404D65" w:rsidRPr="00695126">
        <w:rPr>
          <w:rFonts w:eastAsiaTheme="minorHAnsi"/>
        </w:rPr>
        <w:t xml:space="preserve"> report did not include data for the amount of </w:t>
      </w:r>
      <w:r w:rsidR="005A6EA4">
        <w:rPr>
          <w:rFonts w:eastAsiaTheme="minorHAnsi"/>
        </w:rPr>
        <w:t>renewable energy</w:t>
      </w:r>
      <w:r w:rsidR="00404D65" w:rsidRPr="00695126">
        <w:rPr>
          <w:rFonts w:eastAsiaTheme="minorHAnsi"/>
        </w:rPr>
        <w:t xml:space="preserve"> generated from its facilities</w:t>
      </w:r>
      <w:r w:rsidR="00E07BC9">
        <w:rPr>
          <w:rFonts w:eastAsiaTheme="minorHAnsi"/>
        </w:rPr>
        <w:t xml:space="preserve">. </w:t>
      </w:r>
      <w:r w:rsidR="00404D65" w:rsidRPr="00695126">
        <w:rPr>
          <w:rFonts w:eastAsiaTheme="minorHAnsi"/>
        </w:rPr>
        <w:t xml:space="preserve">The reason for this </w:t>
      </w:r>
      <w:r w:rsidR="00A35E7D">
        <w:rPr>
          <w:rFonts w:eastAsiaTheme="minorHAnsi"/>
        </w:rPr>
        <w:t>is</w:t>
      </w:r>
      <w:r w:rsidR="00404D65" w:rsidRPr="00695126">
        <w:rPr>
          <w:rFonts w:eastAsiaTheme="minorHAnsi"/>
        </w:rPr>
        <w:t xml:space="preserve"> that PSE </w:t>
      </w:r>
      <w:r w:rsidR="00CF2DED">
        <w:rPr>
          <w:rFonts w:eastAsiaTheme="minorHAnsi"/>
        </w:rPr>
        <w:t>does</w:t>
      </w:r>
      <w:r w:rsidR="00404D65" w:rsidRPr="00695126">
        <w:rPr>
          <w:rFonts w:eastAsiaTheme="minorHAnsi"/>
        </w:rPr>
        <w:t xml:space="preserve"> not wish to div</w:t>
      </w:r>
      <w:r w:rsidR="005A6EA4">
        <w:rPr>
          <w:rFonts w:eastAsiaTheme="minorHAnsi"/>
        </w:rPr>
        <w:t>ulge</w:t>
      </w:r>
      <w:r w:rsidR="00404D65" w:rsidRPr="00695126">
        <w:rPr>
          <w:rFonts w:eastAsiaTheme="minorHAnsi"/>
        </w:rPr>
        <w:t xml:space="preserve"> </w:t>
      </w:r>
      <w:r>
        <w:rPr>
          <w:rFonts w:eastAsiaTheme="minorHAnsi"/>
        </w:rPr>
        <w:t xml:space="preserve">sensitive </w:t>
      </w:r>
      <w:r w:rsidR="00404D65" w:rsidRPr="00695126">
        <w:rPr>
          <w:rFonts w:eastAsiaTheme="minorHAnsi"/>
        </w:rPr>
        <w:t xml:space="preserve">information that could </w:t>
      </w:r>
      <w:r w:rsidR="005A6EA4">
        <w:rPr>
          <w:rFonts w:eastAsiaTheme="minorHAnsi"/>
        </w:rPr>
        <w:t>adversely affect</w:t>
      </w:r>
      <w:r w:rsidR="00404D65" w:rsidRPr="00695126">
        <w:rPr>
          <w:rFonts w:eastAsiaTheme="minorHAnsi"/>
        </w:rPr>
        <w:t xml:space="preserve"> its market position. </w:t>
      </w:r>
      <w:r w:rsidR="005A6EA4">
        <w:rPr>
          <w:rFonts w:eastAsiaTheme="minorHAnsi"/>
        </w:rPr>
        <w:t>U</w:t>
      </w:r>
      <w:r w:rsidR="00404D65" w:rsidRPr="00695126">
        <w:rPr>
          <w:rFonts w:eastAsiaTheme="minorHAnsi"/>
        </w:rPr>
        <w:t>pon request</w:t>
      </w:r>
      <w:r w:rsidR="005A6EA4">
        <w:rPr>
          <w:rFonts w:eastAsiaTheme="minorHAnsi"/>
        </w:rPr>
        <w:t>,</w:t>
      </w:r>
      <w:r w:rsidR="00404D65" w:rsidRPr="00695126">
        <w:rPr>
          <w:rFonts w:eastAsiaTheme="minorHAnsi"/>
        </w:rPr>
        <w:t xml:space="preserve"> PSE </w:t>
      </w:r>
      <w:r w:rsidR="006B49E2">
        <w:rPr>
          <w:rFonts w:eastAsiaTheme="minorHAnsi"/>
        </w:rPr>
        <w:t>submitted additional information</w:t>
      </w:r>
      <w:r w:rsidR="00212DB3">
        <w:rPr>
          <w:rFonts w:eastAsiaTheme="minorHAnsi"/>
        </w:rPr>
        <w:t xml:space="preserve"> to Staff</w:t>
      </w:r>
      <w:r w:rsidR="006B49E2">
        <w:rPr>
          <w:rFonts w:eastAsiaTheme="minorHAnsi"/>
        </w:rPr>
        <w:t xml:space="preserve"> on July 6, 2012, which</w:t>
      </w:r>
      <w:r w:rsidR="00404D65" w:rsidRPr="00695126">
        <w:rPr>
          <w:rFonts w:eastAsiaTheme="minorHAnsi"/>
        </w:rPr>
        <w:t xml:space="preserve"> </w:t>
      </w:r>
      <w:r w:rsidR="006B49E2">
        <w:rPr>
          <w:rFonts w:eastAsiaTheme="minorHAnsi"/>
        </w:rPr>
        <w:t xml:space="preserve">showed that </w:t>
      </w:r>
      <w:r w:rsidR="005A6EA4">
        <w:rPr>
          <w:rFonts w:eastAsiaTheme="minorHAnsi"/>
        </w:rPr>
        <w:t xml:space="preserve">its </w:t>
      </w:r>
      <w:r w:rsidR="00404D65" w:rsidRPr="00695126">
        <w:rPr>
          <w:rFonts w:eastAsiaTheme="minorHAnsi"/>
        </w:rPr>
        <w:t xml:space="preserve">facilities </w:t>
      </w:r>
      <w:r w:rsidR="005A6EA4">
        <w:rPr>
          <w:rFonts w:eastAsiaTheme="minorHAnsi"/>
        </w:rPr>
        <w:t>generated</w:t>
      </w:r>
      <w:r w:rsidR="006B49E2">
        <w:rPr>
          <w:rFonts w:eastAsiaTheme="minorHAnsi"/>
        </w:rPr>
        <w:t xml:space="preserve"> 1,166,224 </w:t>
      </w:r>
      <w:r w:rsidR="005A6EA4">
        <w:rPr>
          <w:rFonts w:eastAsiaTheme="minorHAnsi"/>
        </w:rPr>
        <w:t>megawatt-hours</w:t>
      </w:r>
      <w:r w:rsidR="00DD157A">
        <w:rPr>
          <w:rFonts w:eastAsiaTheme="minorHAnsi"/>
        </w:rPr>
        <w:t xml:space="preserve"> in 2011</w:t>
      </w:r>
      <w:r w:rsidR="00A35E7D">
        <w:rPr>
          <w:rFonts w:eastAsiaTheme="minorHAnsi"/>
        </w:rPr>
        <w:t xml:space="preserve">, identified by facility. </w:t>
      </w:r>
      <w:r w:rsidR="0054157B">
        <w:rPr>
          <w:rFonts w:eastAsiaTheme="minorHAnsi"/>
        </w:rPr>
        <w:t xml:space="preserve">PSE also provided additional information on the generation capacity of PSE’s </w:t>
      </w:r>
      <w:r w:rsidR="005A6EA4">
        <w:rPr>
          <w:rFonts w:eastAsiaTheme="minorHAnsi"/>
        </w:rPr>
        <w:t xml:space="preserve">eligible </w:t>
      </w:r>
      <w:r w:rsidR="0054157B">
        <w:rPr>
          <w:rFonts w:eastAsiaTheme="minorHAnsi"/>
        </w:rPr>
        <w:t>renewable res</w:t>
      </w:r>
      <w:r w:rsidR="00EE59D4">
        <w:rPr>
          <w:rFonts w:eastAsiaTheme="minorHAnsi"/>
        </w:rPr>
        <w:t xml:space="preserve">ources </w:t>
      </w:r>
      <w:r w:rsidR="00717887">
        <w:rPr>
          <w:rFonts w:eastAsiaTheme="minorHAnsi"/>
        </w:rPr>
        <w:t>with testimony it filed in the 2011 PSE General Rate Case.</w:t>
      </w:r>
      <w:r w:rsidR="00717887">
        <w:rPr>
          <w:rStyle w:val="FootnoteReference"/>
          <w:rFonts w:eastAsiaTheme="minorHAnsi"/>
        </w:rPr>
        <w:footnoteReference w:id="34"/>
      </w:r>
    </w:p>
    <w:p w:rsidR="00404D65" w:rsidRPr="00695126" w:rsidRDefault="001366EE" w:rsidP="00B5284A">
      <w:pPr>
        <w:rPr>
          <w:rFonts w:eastAsiaTheme="minorHAnsi"/>
        </w:rPr>
      </w:pPr>
      <w:r>
        <w:rPr>
          <w:rFonts w:eastAsiaTheme="minorHAnsi"/>
        </w:rPr>
        <w:t xml:space="preserve">PSE </w:t>
      </w:r>
      <w:r w:rsidR="0015619F">
        <w:rPr>
          <w:rFonts w:eastAsiaTheme="minorHAnsi"/>
        </w:rPr>
        <w:t xml:space="preserve">converted all of its 2011 renewable generation to RECs and sold them </w:t>
      </w:r>
      <w:r w:rsidR="006B49E2">
        <w:rPr>
          <w:rFonts w:eastAsiaTheme="minorHAnsi"/>
        </w:rPr>
        <w:t>to other entities</w:t>
      </w:r>
      <w:r w:rsidR="0015619F">
        <w:rPr>
          <w:rFonts w:eastAsiaTheme="minorHAnsi"/>
        </w:rPr>
        <w:t>,</w:t>
      </w:r>
      <w:r w:rsidR="006B49E2">
        <w:rPr>
          <w:rFonts w:eastAsiaTheme="minorHAnsi"/>
        </w:rPr>
        <w:t xml:space="preserve"> and </w:t>
      </w:r>
      <w:r w:rsidR="0017302C">
        <w:rPr>
          <w:rFonts w:eastAsiaTheme="minorHAnsi"/>
        </w:rPr>
        <w:t>is</w:t>
      </w:r>
      <w:r w:rsidR="006B49E2">
        <w:rPr>
          <w:rFonts w:eastAsiaTheme="minorHAnsi"/>
        </w:rPr>
        <w:t xml:space="preserve"> not </w:t>
      </w:r>
      <w:r w:rsidR="0015619F">
        <w:rPr>
          <w:rFonts w:eastAsiaTheme="minorHAnsi"/>
        </w:rPr>
        <w:t>us</w:t>
      </w:r>
      <w:r w:rsidR="0017302C">
        <w:rPr>
          <w:rFonts w:eastAsiaTheme="minorHAnsi"/>
        </w:rPr>
        <w:t>ing</w:t>
      </w:r>
      <w:r w:rsidR="0015619F">
        <w:rPr>
          <w:rFonts w:eastAsiaTheme="minorHAnsi"/>
        </w:rPr>
        <w:t xml:space="preserve"> them for its own </w:t>
      </w:r>
      <w:r w:rsidR="006B49E2">
        <w:rPr>
          <w:rFonts w:eastAsiaTheme="minorHAnsi"/>
        </w:rPr>
        <w:t>2012 compliance.</w:t>
      </w:r>
      <w:r w:rsidR="00404D65" w:rsidRPr="00695126">
        <w:rPr>
          <w:rFonts w:eastAsiaTheme="minorHAnsi"/>
        </w:rPr>
        <w:t xml:space="preserve"> </w:t>
      </w:r>
      <w:r w:rsidR="000A2305">
        <w:rPr>
          <w:rFonts w:eastAsiaTheme="minorHAnsi"/>
        </w:rPr>
        <w:t xml:space="preserve">The company </w:t>
      </w:r>
      <w:r w:rsidR="00A35E7D">
        <w:rPr>
          <w:rFonts w:eastAsiaTheme="minorHAnsi"/>
        </w:rPr>
        <w:t>intends to</w:t>
      </w:r>
      <w:r w:rsidR="000A2305">
        <w:rPr>
          <w:rFonts w:eastAsiaTheme="minorHAnsi"/>
        </w:rPr>
        <w:t xml:space="preserve"> wait to retire RECs</w:t>
      </w:r>
      <w:r w:rsidR="00640F50">
        <w:rPr>
          <w:rFonts w:eastAsiaTheme="minorHAnsi"/>
        </w:rPr>
        <w:t xml:space="preserve"> for</w:t>
      </w:r>
      <w:r w:rsidR="000A2305">
        <w:rPr>
          <w:rFonts w:eastAsiaTheme="minorHAnsi"/>
        </w:rPr>
        <w:t xml:space="preserve"> 2012 </w:t>
      </w:r>
      <w:r w:rsidR="00640F50">
        <w:rPr>
          <w:rFonts w:eastAsiaTheme="minorHAnsi"/>
        </w:rPr>
        <w:t>compliance</w:t>
      </w:r>
      <w:r w:rsidR="000A2305">
        <w:rPr>
          <w:rFonts w:eastAsiaTheme="minorHAnsi"/>
        </w:rPr>
        <w:t xml:space="preserve"> until after it has filed the 2013 or 2014 annual reports.</w:t>
      </w:r>
      <w:r w:rsidR="00A35E7D">
        <w:rPr>
          <w:rFonts w:eastAsiaTheme="minorHAnsi"/>
        </w:rPr>
        <w:t xml:space="preserve"> </w:t>
      </w:r>
      <w:r w:rsidR="00404D65" w:rsidRPr="00695126">
        <w:rPr>
          <w:rFonts w:eastAsiaTheme="minorHAnsi"/>
        </w:rPr>
        <w:t xml:space="preserve">PSE does not expect to use any alternative compliance mechanisms or incremental efficiency improvements at hydroelectric facilities to meet its 2012 renewable target. </w:t>
      </w:r>
    </w:p>
    <w:p w:rsidR="00404D65" w:rsidRPr="00695126" w:rsidRDefault="007C217E" w:rsidP="00B5284A">
      <w:pPr>
        <w:rPr>
          <w:rFonts w:eastAsiaTheme="minorHAnsi"/>
        </w:rPr>
      </w:pPr>
      <w:r>
        <w:rPr>
          <w:rFonts w:eastAsiaTheme="minorHAnsi"/>
        </w:rPr>
        <w:t>Staff</w:t>
      </w:r>
      <w:r w:rsidR="00404D65" w:rsidRPr="00695126">
        <w:rPr>
          <w:rFonts w:eastAsiaTheme="minorHAnsi"/>
        </w:rPr>
        <w:t xml:space="preserve"> visited PSE on </w:t>
      </w:r>
      <w:r w:rsidR="00CF2DED">
        <w:rPr>
          <w:rFonts w:eastAsiaTheme="minorHAnsi"/>
        </w:rPr>
        <w:t>July 3, 2012</w:t>
      </w:r>
      <w:r w:rsidR="00D51B92">
        <w:rPr>
          <w:rFonts w:eastAsiaTheme="minorHAnsi"/>
        </w:rPr>
        <w:t>,</w:t>
      </w:r>
      <w:r w:rsidR="00404D65" w:rsidRPr="00695126">
        <w:rPr>
          <w:rFonts w:eastAsiaTheme="minorHAnsi"/>
        </w:rPr>
        <w:t xml:space="preserve"> </w:t>
      </w:r>
      <w:r w:rsidR="00640F50">
        <w:rPr>
          <w:rFonts w:eastAsiaTheme="minorHAnsi"/>
        </w:rPr>
        <w:t>to</w:t>
      </w:r>
      <w:r w:rsidR="00640F50" w:rsidRPr="00695126">
        <w:rPr>
          <w:rFonts w:eastAsiaTheme="minorHAnsi"/>
        </w:rPr>
        <w:t xml:space="preserve"> </w:t>
      </w:r>
      <w:r w:rsidR="00404D65" w:rsidRPr="00695126">
        <w:rPr>
          <w:rFonts w:eastAsiaTheme="minorHAnsi"/>
        </w:rPr>
        <w:t xml:space="preserve">view the company’s WREGIS account, which </w:t>
      </w:r>
      <w:r w:rsidR="00E639B8">
        <w:rPr>
          <w:rFonts w:eastAsiaTheme="minorHAnsi"/>
        </w:rPr>
        <w:t>includes the number of megawatt-</w:t>
      </w:r>
      <w:r w:rsidR="00404D65" w:rsidRPr="00695126">
        <w:rPr>
          <w:rFonts w:eastAsiaTheme="minorHAnsi"/>
        </w:rPr>
        <w:t>hours and REC</w:t>
      </w:r>
      <w:r w:rsidR="00CF2DED">
        <w:rPr>
          <w:rFonts w:eastAsiaTheme="minorHAnsi"/>
        </w:rPr>
        <w:t>s</w:t>
      </w:r>
      <w:r w:rsidR="00404D65" w:rsidRPr="00695126">
        <w:rPr>
          <w:rFonts w:eastAsiaTheme="minorHAnsi"/>
        </w:rPr>
        <w:t xml:space="preserve"> generated from PSE</w:t>
      </w:r>
      <w:r w:rsidR="00CF2DED">
        <w:rPr>
          <w:rFonts w:eastAsiaTheme="minorHAnsi"/>
        </w:rPr>
        <w:t>’s eligible</w:t>
      </w:r>
      <w:r w:rsidR="00404D65" w:rsidRPr="00695126">
        <w:rPr>
          <w:rFonts w:eastAsiaTheme="minorHAnsi"/>
        </w:rPr>
        <w:t xml:space="preserve"> facilities through </w:t>
      </w:r>
      <w:r w:rsidR="00640F50">
        <w:rPr>
          <w:rFonts w:eastAsiaTheme="minorHAnsi"/>
        </w:rPr>
        <w:t xml:space="preserve">March </w:t>
      </w:r>
      <w:r w:rsidR="00404D65" w:rsidRPr="00695126">
        <w:rPr>
          <w:rFonts w:eastAsiaTheme="minorHAnsi"/>
        </w:rPr>
        <w:t>2012</w:t>
      </w:r>
      <w:r w:rsidR="00E07BC9">
        <w:rPr>
          <w:rFonts w:eastAsiaTheme="minorHAnsi"/>
        </w:rPr>
        <w:t xml:space="preserve">. </w:t>
      </w:r>
      <w:r w:rsidR="00E639B8">
        <w:rPr>
          <w:rFonts w:eastAsiaTheme="minorHAnsi"/>
        </w:rPr>
        <w:t>There is a three-</w:t>
      </w:r>
      <w:r w:rsidR="00640F50">
        <w:rPr>
          <w:rFonts w:eastAsiaTheme="minorHAnsi"/>
        </w:rPr>
        <w:t xml:space="preserve">month lag between electricity generation and availability of RECs in WREGIS, so this </w:t>
      </w:r>
      <w:r w:rsidR="003D1479">
        <w:rPr>
          <w:rFonts w:eastAsiaTheme="minorHAnsi"/>
        </w:rPr>
        <w:t>was</w:t>
      </w:r>
      <w:r w:rsidR="00640F50">
        <w:rPr>
          <w:rFonts w:eastAsiaTheme="minorHAnsi"/>
        </w:rPr>
        <w:t xml:space="preserve"> the most current data available. PSE has been using WREGIS to register and trade RECs since 2008</w:t>
      </w:r>
      <w:r w:rsidR="000E7D70">
        <w:rPr>
          <w:rFonts w:eastAsiaTheme="minorHAnsi"/>
        </w:rPr>
        <w:t xml:space="preserve">. </w:t>
      </w:r>
      <w:r w:rsidR="00404D65" w:rsidRPr="00695126">
        <w:rPr>
          <w:rFonts w:eastAsiaTheme="minorHAnsi"/>
        </w:rPr>
        <w:t xml:space="preserve">Although the RECs have not </w:t>
      </w:r>
      <w:r w:rsidR="00640F50">
        <w:rPr>
          <w:rFonts w:eastAsiaTheme="minorHAnsi"/>
        </w:rPr>
        <w:t xml:space="preserve">been recognized by </w:t>
      </w:r>
      <w:r w:rsidR="00404D65" w:rsidRPr="00695126">
        <w:rPr>
          <w:rFonts w:eastAsiaTheme="minorHAnsi"/>
        </w:rPr>
        <w:t xml:space="preserve">WREGIS </w:t>
      </w:r>
      <w:r w:rsidR="00640F50">
        <w:rPr>
          <w:rFonts w:eastAsiaTheme="minorHAnsi"/>
        </w:rPr>
        <w:t xml:space="preserve">as eligible for Washington compliance </w:t>
      </w:r>
      <w:r w:rsidR="00404D65" w:rsidRPr="00695126">
        <w:rPr>
          <w:rFonts w:eastAsiaTheme="minorHAnsi"/>
        </w:rPr>
        <w:t xml:space="preserve">yet, the eligible renewable generating facilities are registered </w:t>
      </w:r>
      <w:r w:rsidR="000A2305">
        <w:rPr>
          <w:rFonts w:eastAsiaTheme="minorHAnsi"/>
        </w:rPr>
        <w:t>in</w:t>
      </w:r>
      <w:r w:rsidR="000A2305" w:rsidRPr="00695126">
        <w:rPr>
          <w:rFonts w:eastAsiaTheme="minorHAnsi"/>
        </w:rPr>
        <w:t xml:space="preserve"> </w:t>
      </w:r>
      <w:r w:rsidR="00404D65" w:rsidRPr="00695126">
        <w:rPr>
          <w:rFonts w:eastAsiaTheme="minorHAnsi"/>
        </w:rPr>
        <w:t xml:space="preserve">the system and PSE appears to be properly documenting the renewable generation from those facilities. </w:t>
      </w:r>
      <w:r w:rsidR="003D1479">
        <w:rPr>
          <w:rFonts w:eastAsiaTheme="minorHAnsi"/>
        </w:rPr>
        <w:t>The volume of RECs registered in WREGIS for the first three months of 2012</w:t>
      </w:r>
      <w:r w:rsidR="003D1479" w:rsidRPr="00695126">
        <w:rPr>
          <w:rFonts w:eastAsiaTheme="minorHAnsi"/>
        </w:rPr>
        <w:t xml:space="preserve"> </w:t>
      </w:r>
      <w:r w:rsidR="00404D65" w:rsidRPr="00695126">
        <w:rPr>
          <w:rFonts w:eastAsiaTheme="minorHAnsi"/>
        </w:rPr>
        <w:t xml:space="preserve">is consistent with multiple communications from PSE to the Commission, outlined in the </w:t>
      </w:r>
      <w:r w:rsidR="00E639B8">
        <w:rPr>
          <w:rFonts w:eastAsiaTheme="minorHAnsi"/>
        </w:rPr>
        <w:t>RPS</w:t>
      </w:r>
      <w:r w:rsidR="00CF2DED">
        <w:rPr>
          <w:rFonts w:eastAsiaTheme="minorHAnsi"/>
        </w:rPr>
        <w:t xml:space="preserve"> </w:t>
      </w:r>
      <w:r w:rsidR="00404D65" w:rsidRPr="00695126">
        <w:rPr>
          <w:rFonts w:eastAsiaTheme="minorHAnsi"/>
        </w:rPr>
        <w:t>report, that PSE is “on track to meet the Renewable Energy Target requirement for the (current) year 2012.”</w:t>
      </w:r>
    </w:p>
    <w:p w:rsidR="00404D65" w:rsidRDefault="00404D65" w:rsidP="00B5284A">
      <w:pPr>
        <w:rPr>
          <w:rFonts w:eastAsiaTheme="minorHAnsi"/>
        </w:rPr>
      </w:pPr>
      <w:r w:rsidRPr="00695126">
        <w:rPr>
          <w:rFonts w:eastAsiaTheme="minorHAnsi"/>
        </w:rPr>
        <w:t xml:space="preserve">Based on </w:t>
      </w:r>
      <w:r w:rsidR="007C217E">
        <w:rPr>
          <w:rFonts w:eastAsiaTheme="minorHAnsi"/>
        </w:rPr>
        <w:t>Staff</w:t>
      </w:r>
      <w:r w:rsidR="00482650">
        <w:rPr>
          <w:rFonts w:eastAsiaTheme="minorHAnsi"/>
        </w:rPr>
        <w:t xml:space="preserve">’s viewing of PSE’s WREGIS account and the </w:t>
      </w:r>
      <w:r w:rsidR="000A2305">
        <w:rPr>
          <w:rFonts w:eastAsiaTheme="minorHAnsi"/>
        </w:rPr>
        <w:t xml:space="preserve">data provided on </w:t>
      </w:r>
      <w:r w:rsidR="001366EE">
        <w:rPr>
          <w:rFonts w:eastAsiaTheme="minorHAnsi"/>
        </w:rPr>
        <w:t>July 6</w:t>
      </w:r>
      <w:r w:rsidR="00482650">
        <w:rPr>
          <w:rFonts w:eastAsiaTheme="minorHAnsi"/>
        </w:rPr>
        <w:t>, 2012</w:t>
      </w:r>
      <w:r w:rsidR="001366EE">
        <w:rPr>
          <w:rFonts w:eastAsiaTheme="minorHAnsi"/>
        </w:rPr>
        <w:t xml:space="preserve">, </w:t>
      </w:r>
      <w:r w:rsidR="00737366">
        <w:rPr>
          <w:rFonts w:eastAsiaTheme="minorHAnsi"/>
        </w:rPr>
        <w:t xml:space="preserve">and filed on July 12, 2012, </w:t>
      </w:r>
      <w:r w:rsidR="007C217E">
        <w:rPr>
          <w:rFonts w:eastAsiaTheme="minorHAnsi"/>
        </w:rPr>
        <w:t>Staff</w:t>
      </w:r>
      <w:r w:rsidRPr="00695126">
        <w:rPr>
          <w:rFonts w:eastAsiaTheme="minorHAnsi"/>
        </w:rPr>
        <w:t xml:space="preserve"> </w:t>
      </w:r>
      <w:r w:rsidR="00CF2DED">
        <w:rPr>
          <w:rFonts w:eastAsiaTheme="minorHAnsi"/>
        </w:rPr>
        <w:t xml:space="preserve">is </w:t>
      </w:r>
      <w:r w:rsidRPr="00695126">
        <w:rPr>
          <w:rFonts w:eastAsiaTheme="minorHAnsi"/>
        </w:rPr>
        <w:t xml:space="preserve">confident that PSE </w:t>
      </w:r>
      <w:r w:rsidR="00A35E7D">
        <w:rPr>
          <w:rFonts w:eastAsiaTheme="minorHAnsi"/>
        </w:rPr>
        <w:t>is on track to meet</w:t>
      </w:r>
      <w:r w:rsidR="000A2305" w:rsidRPr="00695126">
        <w:rPr>
          <w:rFonts w:eastAsiaTheme="minorHAnsi"/>
        </w:rPr>
        <w:t xml:space="preserve"> </w:t>
      </w:r>
      <w:r w:rsidR="00A35E7D">
        <w:rPr>
          <w:rFonts w:eastAsiaTheme="minorHAnsi"/>
        </w:rPr>
        <w:t>the 2012 RPS t</w:t>
      </w:r>
      <w:r w:rsidRPr="00695126">
        <w:rPr>
          <w:rFonts w:eastAsiaTheme="minorHAnsi"/>
        </w:rPr>
        <w:t>arget.</w:t>
      </w:r>
    </w:p>
    <w:p w:rsidR="00C87186" w:rsidRPr="008F42B8" w:rsidRDefault="00C87186" w:rsidP="00E438EB">
      <w:pPr>
        <w:rPr>
          <w:rFonts w:eastAsiaTheme="minorHAnsi"/>
          <w:b/>
        </w:rPr>
      </w:pPr>
      <w:r>
        <w:rPr>
          <w:rFonts w:eastAsiaTheme="minorHAnsi"/>
          <w:b/>
        </w:rPr>
        <w:t>Reporting Requirements</w:t>
      </w:r>
    </w:p>
    <w:p w:rsidR="00404D65" w:rsidRDefault="007C217E" w:rsidP="00E438EB">
      <w:r>
        <w:rPr>
          <w:rFonts w:eastAsiaTheme="minorHAnsi"/>
        </w:rPr>
        <w:t>Staff</w:t>
      </w:r>
      <w:r w:rsidR="000F0F39">
        <w:rPr>
          <w:rFonts w:eastAsiaTheme="minorHAnsi"/>
        </w:rPr>
        <w:t xml:space="preserve"> believe</w:t>
      </w:r>
      <w:r w:rsidR="0017302C">
        <w:rPr>
          <w:rFonts w:eastAsiaTheme="minorHAnsi"/>
        </w:rPr>
        <w:t>s</w:t>
      </w:r>
      <w:r w:rsidR="000F0F39">
        <w:rPr>
          <w:rFonts w:eastAsiaTheme="minorHAnsi"/>
        </w:rPr>
        <w:t xml:space="preserve"> </w:t>
      </w:r>
      <w:r w:rsidR="000F0F39" w:rsidRPr="00695126">
        <w:t>P</w:t>
      </w:r>
      <w:r w:rsidR="000F0F39">
        <w:t>SE</w:t>
      </w:r>
      <w:r w:rsidR="001366EE">
        <w:t>’s initial RPS report did not meet the</w:t>
      </w:r>
      <w:r w:rsidR="000F0F39" w:rsidRPr="00695126">
        <w:t xml:space="preserve"> requirements </w:t>
      </w:r>
      <w:r w:rsidR="00212DB3">
        <w:t>of</w:t>
      </w:r>
      <w:r w:rsidR="00B63DEF">
        <w:t xml:space="preserve"> RCW 19.285.070, WAC 480</w:t>
      </w:r>
      <w:r w:rsidR="00B63DEF">
        <w:noBreakHyphen/>
      </w:r>
      <w:r w:rsidR="000F0F39" w:rsidRPr="00695126">
        <w:t>109</w:t>
      </w:r>
      <w:r w:rsidR="00B63DEF">
        <w:noBreakHyphen/>
      </w:r>
      <w:r w:rsidR="000F0F39" w:rsidRPr="00695126">
        <w:t xml:space="preserve">40, and the May 22, 2012 </w:t>
      </w:r>
      <w:r>
        <w:t>Staff</w:t>
      </w:r>
      <w:r w:rsidR="000F0F39" w:rsidRPr="00695126">
        <w:t xml:space="preserve"> information request filed under Docket UE</w:t>
      </w:r>
      <w:r w:rsidR="006D7616">
        <w:noBreakHyphen/>
      </w:r>
      <w:r w:rsidR="000F0F39" w:rsidRPr="00695126">
        <w:t>110523</w:t>
      </w:r>
      <w:r w:rsidR="00E07BC9">
        <w:t>.</w:t>
      </w:r>
      <w:r w:rsidR="001652F9">
        <w:rPr>
          <w:rStyle w:val="FootnoteReference"/>
        </w:rPr>
        <w:footnoteReference w:id="35"/>
      </w:r>
      <w:r w:rsidR="00E07BC9">
        <w:t xml:space="preserve"> </w:t>
      </w:r>
      <w:r w:rsidR="0075203A">
        <w:rPr>
          <w:rFonts w:eastAsiaTheme="minorHAnsi"/>
        </w:rPr>
        <w:t xml:space="preserve">Because PSE is not requesting a determination of compliance with the 2012 target </w:t>
      </w:r>
      <w:r w:rsidR="00B63DEF">
        <w:rPr>
          <w:rFonts w:eastAsiaTheme="minorHAnsi"/>
        </w:rPr>
        <w:t>in</w:t>
      </w:r>
      <w:r w:rsidR="0075203A">
        <w:rPr>
          <w:rFonts w:eastAsiaTheme="minorHAnsi"/>
        </w:rPr>
        <w:t xml:space="preserve"> this report, </w:t>
      </w:r>
      <w:r>
        <w:rPr>
          <w:rFonts w:eastAsiaTheme="minorHAnsi"/>
        </w:rPr>
        <w:t>Staff</w:t>
      </w:r>
      <w:r w:rsidR="0075203A">
        <w:rPr>
          <w:rFonts w:eastAsiaTheme="minorHAnsi"/>
        </w:rPr>
        <w:t xml:space="preserve"> believes</w:t>
      </w:r>
      <w:r w:rsidR="001366EE">
        <w:t xml:space="preserve"> the supplemental information provided </w:t>
      </w:r>
      <w:r w:rsidR="00B63DEF">
        <w:t>to</w:t>
      </w:r>
      <w:r w:rsidR="001366EE">
        <w:t xml:space="preserve"> </w:t>
      </w:r>
      <w:r>
        <w:t>Staff</w:t>
      </w:r>
      <w:r w:rsidR="001366EE">
        <w:t xml:space="preserve"> </w:t>
      </w:r>
      <w:r w:rsidR="00B63DEF">
        <w:t xml:space="preserve">on </w:t>
      </w:r>
      <w:r w:rsidR="001366EE">
        <w:t>July 6, 201</w:t>
      </w:r>
      <w:r w:rsidR="00B63DEF">
        <w:t>2</w:t>
      </w:r>
      <w:r w:rsidR="002E151C">
        <w:t>, and filed on July 12, 2012</w:t>
      </w:r>
      <w:r w:rsidR="00B63DEF">
        <w:t>,</w:t>
      </w:r>
      <w:r w:rsidR="001366EE">
        <w:t xml:space="preserve"> </w:t>
      </w:r>
      <w:r w:rsidR="00B63DEF">
        <w:t xml:space="preserve">contains </w:t>
      </w:r>
      <w:r w:rsidR="001366EE">
        <w:t>the information required by the statute and rule</w:t>
      </w:r>
      <w:r w:rsidR="0075203A">
        <w:t xml:space="preserve"> at this time</w:t>
      </w:r>
      <w:r w:rsidR="001366EE">
        <w:t>.</w:t>
      </w:r>
      <w:r w:rsidR="0075203A">
        <w:t xml:space="preserve"> When the company files for compliance determination, it will need to provide the vintage, location, WREGIS identification and other such information required for the RECs to be retired for 2012 compliance.</w:t>
      </w:r>
      <w:r w:rsidR="001366EE">
        <w:t xml:space="preserve"> </w:t>
      </w:r>
      <w:r>
        <w:rPr>
          <w:rFonts w:eastAsiaTheme="minorHAnsi"/>
        </w:rPr>
        <w:t>Staff</w:t>
      </w:r>
      <w:r w:rsidR="001366EE">
        <w:rPr>
          <w:rFonts w:eastAsiaTheme="minorHAnsi"/>
        </w:rPr>
        <w:t xml:space="preserve"> strongly encourages PSE to include data on all qualifying renewable generation to date in future RPS reports, to provide the </w:t>
      </w:r>
      <w:r w:rsidR="001366EE">
        <w:rPr>
          <w:rFonts w:eastAsiaTheme="minorHAnsi"/>
        </w:rPr>
        <w:lastRenderedPageBreak/>
        <w:t xml:space="preserve">Commission with complete information on target year progress. </w:t>
      </w:r>
      <w:r w:rsidR="00F45847">
        <w:t>Following final action by the Commission on this report, the company must send a summary of the report to customers within 90 days.</w:t>
      </w:r>
      <w:r w:rsidR="00F45847">
        <w:rPr>
          <w:rStyle w:val="FootnoteReference"/>
        </w:rPr>
        <w:footnoteReference w:id="36"/>
      </w:r>
    </w:p>
    <w:p w:rsidR="001C6502" w:rsidRPr="00695126" w:rsidRDefault="0017302C" w:rsidP="000D7F7E">
      <w:pPr>
        <w:pStyle w:val="Heading1"/>
      </w:pPr>
      <w:r>
        <w:t xml:space="preserve">UE-120791 </w:t>
      </w:r>
      <w:r w:rsidR="00120859" w:rsidRPr="00695126">
        <w:t>A</w:t>
      </w:r>
      <w:r w:rsidR="00F45847">
        <w:t>VISTA CORPORATION</w:t>
      </w:r>
    </w:p>
    <w:p w:rsidR="00B62552" w:rsidRPr="008F42B8" w:rsidRDefault="007C217E" w:rsidP="008F42B8">
      <w:pPr>
        <w:spacing w:before="0" w:after="0"/>
        <w:rPr>
          <w:rFonts w:eastAsiaTheme="minorHAnsi"/>
        </w:rPr>
      </w:pPr>
      <w:r>
        <w:t>Staff</w:t>
      </w:r>
      <w:r w:rsidR="001366EE">
        <w:t xml:space="preserve"> believes t</w:t>
      </w:r>
      <w:r w:rsidR="00B62552" w:rsidRPr="00695126">
        <w:t xml:space="preserve">he materials submitted with </w:t>
      </w:r>
      <w:r w:rsidR="001366EE">
        <w:t>Avista</w:t>
      </w:r>
      <w:r w:rsidR="00B62552" w:rsidRPr="00695126">
        <w:t xml:space="preserve">’s June 1, 2012 </w:t>
      </w:r>
      <w:r w:rsidR="001366EE">
        <w:t>RPS</w:t>
      </w:r>
      <w:r w:rsidR="00B62552" w:rsidRPr="00695126">
        <w:t xml:space="preserve"> Report comply with reporting requirements under RCW 19.285.070 and WAC 480-109-</w:t>
      </w:r>
      <w:r w:rsidR="00D51B92">
        <w:t>0</w:t>
      </w:r>
      <w:r w:rsidR="00B62552" w:rsidRPr="00695126">
        <w:t>40</w:t>
      </w:r>
      <w:r w:rsidR="00212DB3">
        <w:t>,</w:t>
      </w:r>
      <w:r w:rsidR="00B62552" w:rsidRPr="00695126">
        <w:t xml:space="preserve"> and demonstrate that</w:t>
      </w:r>
      <w:r w:rsidR="00B62552">
        <w:t xml:space="preserve"> Avista </w:t>
      </w:r>
      <w:r w:rsidR="00B62552" w:rsidRPr="00695126">
        <w:t xml:space="preserve">is </w:t>
      </w:r>
      <w:r w:rsidR="001366EE">
        <w:t>on track</w:t>
      </w:r>
      <w:r w:rsidR="00B62552" w:rsidRPr="00695126">
        <w:t xml:space="preserve"> to meet </w:t>
      </w:r>
      <w:r w:rsidR="00B62552">
        <w:t>its</w:t>
      </w:r>
      <w:r w:rsidR="00B62552" w:rsidRPr="00695126">
        <w:t xml:space="preserve"> 2012 </w:t>
      </w:r>
      <w:r w:rsidR="001366EE">
        <w:t>RPS</w:t>
      </w:r>
      <w:r w:rsidR="00B62552" w:rsidRPr="00695126">
        <w:t xml:space="preserve"> target of using eligible renewable resources and RECs to supply at least three percent of the </w:t>
      </w:r>
      <w:r w:rsidR="00B62552">
        <w:t>c</w:t>
      </w:r>
      <w:r w:rsidR="00B62552" w:rsidRPr="00695126">
        <w:t>ompany’s Washington load</w:t>
      </w:r>
      <w:r w:rsidR="00B62552">
        <w:t>.</w:t>
      </w:r>
    </w:p>
    <w:p w:rsidR="002A3432" w:rsidRDefault="002A3432" w:rsidP="002A3432">
      <w:r>
        <w:t xml:space="preserve">Avista plans to meet 100 percent of its RPS target using qualified hydroelectric upgrades.  </w:t>
      </w:r>
      <w:r w:rsidR="007C217E">
        <w:t>Staff</w:t>
      </w:r>
      <w:r w:rsidRPr="000F1A65">
        <w:t xml:space="preserve"> needs additional time to understand and evaluate the model used</w:t>
      </w:r>
      <w:r>
        <w:t xml:space="preserve"> by the company</w:t>
      </w:r>
      <w:r w:rsidRPr="000F1A65">
        <w:t xml:space="preserve"> to determine incremental hydro</w:t>
      </w:r>
      <w:r>
        <w:t>electric</w:t>
      </w:r>
      <w:r w:rsidRPr="000F1A65">
        <w:t xml:space="preserve"> generation. Until the model is review</w:t>
      </w:r>
      <w:r>
        <w:t>ed</w:t>
      </w:r>
      <w:r w:rsidRPr="000F1A65">
        <w:t xml:space="preserve">, </w:t>
      </w:r>
      <w:r w:rsidR="007C217E">
        <w:t>Staff</w:t>
      </w:r>
      <w:r w:rsidRPr="000F1A65">
        <w:t xml:space="preserve"> cannot determine whether Avista is on track to meet the target.</w:t>
      </w:r>
    </w:p>
    <w:p w:rsidR="00701CB3" w:rsidRDefault="00701CB3">
      <w:pPr>
        <w:spacing w:before="0" w:after="0"/>
      </w:pPr>
    </w:p>
    <w:tbl>
      <w:tblPr>
        <w:tblStyle w:val="TableGrid"/>
        <w:tblW w:w="0" w:type="auto"/>
        <w:tblInd w:w="720" w:type="dxa"/>
        <w:tblLook w:val="04A0" w:firstRow="1" w:lastRow="0" w:firstColumn="1" w:lastColumn="0" w:noHBand="0" w:noVBand="1"/>
      </w:tblPr>
      <w:tblGrid>
        <w:gridCol w:w="3798"/>
        <w:gridCol w:w="1620"/>
        <w:gridCol w:w="1440"/>
        <w:gridCol w:w="1530"/>
      </w:tblGrid>
      <w:tr w:rsidR="0047763B" w:rsidRPr="00695126" w:rsidTr="0017302C">
        <w:tc>
          <w:tcPr>
            <w:tcW w:w="3798" w:type="dxa"/>
          </w:tcPr>
          <w:p w:rsidR="0047763B" w:rsidRPr="00695126" w:rsidRDefault="0047763B" w:rsidP="008F42B8">
            <w:pPr>
              <w:pStyle w:val="ListParagraph"/>
              <w:ind w:left="0"/>
            </w:pPr>
          </w:p>
        </w:tc>
        <w:tc>
          <w:tcPr>
            <w:tcW w:w="1620" w:type="dxa"/>
          </w:tcPr>
          <w:p w:rsidR="0047763B" w:rsidRPr="00695126" w:rsidRDefault="0047763B" w:rsidP="008F42B8">
            <w:pPr>
              <w:pStyle w:val="ListParagraph"/>
              <w:ind w:left="0"/>
              <w:rPr>
                <w:b/>
              </w:rPr>
            </w:pPr>
            <w:r w:rsidRPr="00695126">
              <w:rPr>
                <w:b/>
              </w:rPr>
              <w:t>2010</w:t>
            </w:r>
          </w:p>
        </w:tc>
        <w:tc>
          <w:tcPr>
            <w:tcW w:w="1440" w:type="dxa"/>
          </w:tcPr>
          <w:p w:rsidR="0047763B" w:rsidRPr="00695126" w:rsidRDefault="0047763B" w:rsidP="008F42B8">
            <w:pPr>
              <w:pStyle w:val="ListParagraph"/>
              <w:ind w:left="0"/>
              <w:rPr>
                <w:b/>
              </w:rPr>
            </w:pPr>
            <w:r w:rsidRPr="00695126">
              <w:rPr>
                <w:b/>
              </w:rPr>
              <w:t>2011</w:t>
            </w:r>
          </w:p>
        </w:tc>
        <w:tc>
          <w:tcPr>
            <w:tcW w:w="1530" w:type="dxa"/>
          </w:tcPr>
          <w:p w:rsidR="0047763B" w:rsidRPr="00695126" w:rsidRDefault="0047763B" w:rsidP="008F42B8">
            <w:pPr>
              <w:pStyle w:val="ListParagraph"/>
              <w:ind w:left="0"/>
              <w:rPr>
                <w:b/>
              </w:rPr>
            </w:pPr>
            <w:r w:rsidRPr="00695126">
              <w:rPr>
                <w:b/>
              </w:rPr>
              <w:t>2012</w:t>
            </w:r>
          </w:p>
        </w:tc>
      </w:tr>
      <w:tr w:rsidR="0047763B" w:rsidRPr="00695126" w:rsidTr="0017302C">
        <w:tc>
          <w:tcPr>
            <w:tcW w:w="3798" w:type="dxa"/>
          </w:tcPr>
          <w:p w:rsidR="0047763B" w:rsidRPr="00695126" w:rsidRDefault="0047763B" w:rsidP="008F42B8">
            <w:pPr>
              <w:pStyle w:val="ListParagraph"/>
              <w:ind w:left="0"/>
              <w:rPr>
                <w:b/>
              </w:rPr>
            </w:pPr>
            <w:r w:rsidRPr="00695126">
              <w:rPr>
                <w:b/>
              </w:rPr>
              <w:t>Washington Retail Load (</w:t>
            </w:r>
            <w:proofErr w:type="spellStart"/>
            <w:r w:rsidRPr="00695126">
              <w:rPr>
                <w:b/>
              </w:rPr>
              <w:t>MWh</w:t>
            </w:r>
            <w:proofErr w:type="spellEnd"/>
            <w:r w:rsidRPr="00695126">
              <w:rPr>
                <w:b/>
              </w:rPr>
              <w:t>)</w:t>
            </w:r>
          </w:p>
        </w:tc>
        <w:tc>
          <w:tcPr>
            <w:tcW w:w="1620" w:type="dxa"/>
          </w:tcPr>
          <w:p w:rsidR="0047763B" w:rsidRPr="00695126" w:rsidRDefault="0047763B" w:rsidP="008F42B8">
            <w:pPr>
              <w:pStyle w:val="ListParagraph"/>
              <w:ind w:left="0"/>
            </w:pPr>
            <w:r w:rsidRPr="00695126">
              <w:t>5,467,176</w:t>
            </w:r>
          </w:p>
        </w:tc>
        <w:tc>
          <w:tcPr>
            <w:tcW w:w="1440" w:type="dxa"/>
          </w:tcPr>
          <w:p w:rsidR="0047763B" w:rsidRPr="00695126" w:rsidRDefault="0047763B" w:rsidP="008F42B8">
            <w:pPr>
              <w:pStyle w:val="ListParagraph"/>
              <w:ind w:left="0"/>
            </w:pPr>
            <w:r w:rsidRPr="00695126">
              <w:t>5,602,601</w:t>
            </w:r>
          </w:p>
        </w:tc>
        <w:tc>
          <w:tcPr>
            <w:tcW w:w="1530" w:type="dxa"/>
          </w:tcPr>
          <w:p w:rsidR="0047763B" w:rsidRPr="00695126" w:rsidRDefault="0047763B" w:rsidP="008F42B8">
            <w:pPr>
              <w:pStyle w:val="ListParagraph"/>
              <w:ind w:left="0"/>
              <w:rPr>
                <w:b/>
              </w:rPr>
            </w:pPr>
          </w:p>
        </w:tc>
      </w:tr>
      <w:tr w:rsidR="0047763B" w:rsidRPr="00695126" w:rsidTr="0017302C">
        <w:tc>
          <w:tcPr>
            <w:tcW w:w="3798" w:type="dxa"/>
          </w:tcPr>
          <w:p w:rsidR="0047763B" w:rsidRPr="00695126" w:rsidRDefault="0047763B" w:rsidP="008F42B8">
            <w:pPr>
              <w:pStyle w:val="ListParagraph"/>
              <w:ind w:left="0"/>
              <w:rPr>
                <w:b/>
              </w:rPr>
            </w:pPr>
            <w:r w:rsidRPr="00695126">
              <w:rPr>
                <w:b/>
              </w:rPr>
              <w:t>Target Load (</w:t>
            </w:r>
            <w:proofErr w:type="spellStart"/>
            <w:r w:rsidRPr="00695126">
              <w:rPr>
                <w:b/>
              </w:rPr>
              <w:t>MWh</w:t>
            </w:r>
            <w:proofErr w:type="spellEnd"/>
            <w:r w:rsidRPr="00695126">
              <w:rPr>
                <w:b/>
              </w:rPr>
              <w:t>)</w:t>
            </w:r>
          </w:p>
        </w:tc>
        <w:tc>
          <w:tcPr>
            <w:tcW w:w="1620" w:type="dxa"/>
          </w:tcPr>
          <w:p w:rsidR="0047763B" w:rsidRPr="00695126" w:rsidRDefault="0047763B" w:rsidP="008F42B8">
            <w:pPr>
              <w:pStyle w:val="ListParagraph"/>
              <w:ind w:left="0"/>
            </w:pPr>
          </w:p>
        </w:tc>
        <w:tc>
          <w:tcPr>
            <w:tcW w:w="1440" w:type="dxa"/>
          </w:tcPr>
          <w:p w:rsidR="0047763B" w:rsidRPr="00695126" w:rsidRDefault="0047763B" w:rsidP="008F42B8">
            <w:pPr>
              <w:pStyle w:val="ListParagraph"/>
              <w:ind w:left="0"/>
            </w:pPr>
          </w:p>
        </w:tc>
        <w:tc>
          <w:tcPr>
            <w:tcW w:w="1530" w:type="dxa"/>
          </w:tcPr>
          <w:p w:rsidR="0047763B" w:rsidRPr="00695126" w:rsidRDefault="0047763B" w:rsidP="008F42B8">
            <w:pPr>
              <w:pStyle w:val="ListParagraph"/>
              <w:ind w:left="0"/>
            </w:pPr>
            <w:r w:rsidRPr="00695126">
              <w:t>5,534,889</w:t>
            </w:r>
          </w:p>
        </w:tc>
      </w:tr>
      <w:tr w:rsidR="0047763B" w:rsidRPr="00695126" w:rsidTr="0017302C">
        <w:tc>
          <w:tcPr>
            <w:tcW w:w="3798" w:type="dxa"/>
          </w:tcPr>
          <w:p w:rsidR="0047763B" w:rsidRPr="00695126" w:rsidRDefault="0047763B" w:rsidP="008F42B8">
            <w:pPr>
              <w:pStyle w:val="ListParagraph"/>
              <w:ind w:left="0"/>
              <w:rPr>
                <w:b/>
              </w:rPr>
            </w:pPr>
            <w:r w:rsidRPr="00695126">
              <w:rPr>
                <w:b/>
              </w:rPr>
              <w:t>RCW 19.285 Requirement</w:t>
            </w:r>
          </w:p>
        </w:tc>
        <w:tc>
          <w:tcPr>
            <w:tcW w:w="1620" w:type="dxa"/>
          </w:tcPr>
          <w:p w:rsidR="0047763B" w:rsidRPr="00695126" w:rsidRDefault="0047763B" w:rsidP="008F42B8">
            <w:pPr>
              <w:pStyle w:val="ListParagraph"/>
              <w:ind w:left="0"/>
            </w:pPr>
            <w:r w:rsidRPr="00695126">
              <w:t>0%</w:t>
            </w:r>
          </w:p>
        </w:tc>
        <w:tc>
          <w:tcPr>
            <w:tcW w:w="1440" w:type="dxa"/>
          </w:tcPr>
          <w:p w:rsidR="0047763B" w:rsidRPr="00695126" w:rsidRDefault="0047763B" w:rsidP="008F42B8">
            <w:pPr>
              <w:pStyle w:val="ListParagraph"/>
              <w:ind w:left="0"/>
            </w:pPr>
            <w:r w:rsidRPr="00695126">
              <w:t>0%</w:t>
            </w:r>
          </w:p>
        </w:tc>
        <w:tc>
          <w:tcPr>
            <w:tcW w:w="1530" w:type="dxa"/>
          </w:tcPr>
          <w:p w:rsidR="0047763B" w:rsidRPr="00695126" w:rsidRDefault="0047763B" w:rsidP="008F42B8">
            <w:pPr>
              <w:pStyle w:val="ListParagraph"/>
              <w:ind w:left="0"/>
            </w:pPr>
            <w:r w:rsidRPr="00695126">
              <w:t>3%</w:t>
            </w:r>
          </w:p>
        </w:tc>
      </w:tr>
      <w:tr w:rsidR="0047763B" w:rsidRPr="00695126" w:rsidTr="0017302C">
        <w:tc>
          <w:tcPr>
            <w:tcW w:w="3798" w:type="dxa"/>
          </w:tcPr>
          <w:p w:rsidR="0047763B" w:rsidRPr="00695126" w:rsidRDefault="0047763B" w:rsidP="008F42B8">
            <w:pPr>
              <w:pStyle w:val="ListParagraph"/>
              <w:ind w:left="0"/>
              <w:rPr>
                <w:b/>
              </w:rPr>
            </w:pPr>
            <w:r w:rsidRPr="00695126">
              <w:rPr>
                <w:b/>
              </w:rPr>
              <w:t>Requirement (</w:t>
            </w:r>
            <w:proofErr w:type="spellStart"/>
            <w:r w:rsidRPr="00695126">
              <w:rPr>
                <w:b/>
              </w:rPr>
              <w:t>MWh</w:t>
            </w:r>
            <w:proofErr w:type="spellEnd"/>
            <w:r w:rsidRPr="00695126">
              <w:rPr>
                <w:b/>
              </w:rPr>
              <w:t>)</w:t>
            </w:r>
          </w:p>
        </w:tc>
        <w:tc>
          <w:tcPr>
            <w:tcW w:w="1620" w:type="dxa"/>
          </w:tcPr>
          <w:p w:rsidR="0047763B" w:rsidRPr="00695126" w:rsidRDefault="0047763B" w:rsidP="008F42B8">
            <w:pPr>
              <w:pStyle w:val="ListParagraph"/>
              <w:ind w:left="0"/>
            </w:pPr>
            <w:r w:rsidRPr="00695126">
              <w:t>0</w:t>
            </w:r>
          </w:p>
        </w:tc>
        <w:tc>
          <w:tcPr>
            <w:tcW w:w="1440" w:type="dxa"/>
          </w:tcPr>
          <w:p w:rsidR="0047763B" w:rsidRPr="00695126" w:rsidRDefault="0047763B" w:rsidP="008F42B8">
            <w:pPr>
              <w:pStyle w:val="ListParagraph"/>
              <w:ind w:left="0"/>
            </w:pPr>
            <w:r w:rsidRPr="00695126">
              <w:t>0</w:t>
            </w:r>
          </w:p>
        </w:tc>
        <w:tc>
          <w:tcPr>
            <w:tcW w:w="1530" w:type="dxa"/>
          </w:tcPr>
          <w:p w:rsidR="0047763B" w:rsidRPr="00695126" w:rsidRDefault="0047763B" w:rsidP="008F42B8">
            <w:pPr>
              <w:pStyle w:val="ListParagraph"/>
              <w:ind w:left="0"/>
            </w:pPr>
            <w:r w:rsidRPr="00695126">
              <w:t>166,047</w:t>
            </w:r>
          </w:p>
        </w:tc>
      </w:tr>
    </w:tbl>
    <w:p w:rsidR="002A3432" w:rsidRDefault="002A3432" w:rsidP="00A95951">
      <w:pPr>
        <w:spacing w:before="240"/>
      </w:pPr>
      <w:r w:rsidRPr="00695126">
        <w:t xml:space="preserve">Avista’s average retail load </w:t>
      </w:r>
      <w:r>
        <w:t xml:space="preserve">for 2010-2011 </w:t>
      </w:r>
      <w:r w:rsidRPr="00695126">
        <w:t>is 5,534,889</w:t>
      </w:r>
      <w:r>
        <w:t xml:space="preserve"> </w:t>
      </w:r>
      <w:r w:rsidR="006D7616">
        <w:t>megawatt-hours,</w:t>
      </w:r>
      <w:r>
        <w:t xml:space="preserve"> which results in a 2012 renewable target of</w:t>
      </w:r>
      <w:r w:rsidRPr="00695126">
        <w:t xml:space="preserve"> 166,047</w:t>
      </w:r>
      <w:r>
        <w:t xml:space="preserve"> </w:t>
      </w:r>
      <w:r w:rsidR="006D7616">
        <w:t>megawatt-hours</w:t>
      </w:r>
      <w:r>
        <w:t xml:space="preserve">. </w:t>
      </w:r>
      <w:r w:rsidRPr="00695126">
        <w:t xml:space="preserve">Based on estimates provided </w:t>
      </w:r>
      <w:r>
        <w:t>in the R</w:t>
      </w:r>
      <w:r w:rsidR="0017302C">
        <w:t>PS</w:t>
      </w:r>
      <w:r>
        <w:t xml:space="preserve"> Report</w:t>
      </w:r>
      <w:r w:rsidRPr="00695126">
        <w:t>, the company anticipates generating a total of 215,654</w:t>
      </w:r>
      <w:r>
        <w:t xml:space="preserve"> </w:t>
      </w:r>
      <w:r w:rsidR="006D7616">
        <w:t>megawatt-hours</w:t>
      </w:r>
      <w:r w:rsidRPr="00695126">
        <w:t xml:space="preserve"> of </w:t>
      </w:r>
      <w:r w:rsidR="006D7616">
        <w:t xml:space="preserve">eligible </w:t>
      </w:r>
      <w:r w:rsidRPr="00695126">
        <w:t xml:space="preserve">renewable </w:t>
      </w:r>
      <w:r w:rsidR="006D7616">
        <w:t>resources</w:t>
      </w:r>
      <w:r>
        <w:t xml:space="preserve">. </w:t>
      </w:r>
    </w:p>
    <w:p w:rsidR="002A3432" w:rsidRDefault="002A3432" w:rsidP="002A3432">
      <w:r w:rsidRPr="00695126">
        <w:t xml:space="preserve">Generation will result mainly from qualified hydroelectric upgrades to </w:t>
      </w:r>
      <w:r w:rsidR="00D51B92" w:rsidRPr="00695126">
        <w:t>Company</w:t>
      </w:r>
      <w:r w:rsidR="00D51B92">
        <w:t>-</w:t>
      </w:r>
      <w:r w:rsidRPr="00695126">
        <w:t>owned facilities located on the Spokane and Clark Fork Rivers</w:t>
      </w:r>
      <w:r>
        <w:t xml:space="preserve">. </w:t>
      </w:r>
      <w:r w:rsidRPr="00695126">
        <w:t xml:space="preserve">Additional hydroelectric </w:t>
      </w:r>
      <w:r>
        <w:t>resources</w:t>
      </w:r>
      <w:r w:rsidRPr="00695126">
        <w:t xml:space="preserve"> also include upgrades completed by </w:t>
      </w:r>
      <w:r w:rsidR="00715F0C">
        <w:t xml:space="preserve">Grant </w:t>
      </w:r>
      <w:r w:rsidRPr="00695126">
        <w:t>County Public Utility District (</w:t>
      </w:r>
      <w:proofErr w:type="spellStart"/>
      <w:r w:rsidRPr="00695126">
        <w:t>PUD</w:t>
      </w:r>
      <w:proofErr w:type="spellEnd"/>
      <w:r w:rsidRPr="00695126">
        <w:t>)</w:t>
      </w:r>
      <w:r w:rsidR="00F96233">
        <w:t xml:space="preserve"> at</w:t>
      </w:r>
      <w:r w:rsidRPr="00695126">
        <w:t xml:space="preserve"> </w:t>
      </w:r>
      <w:proofErr w:type="spellStart"/>
      <w:r w:rsidRPr="00695126">
        <w:t>Wanapum</w:t>
      </w:r>
      <w:proofErr w:type="spellEnd"/>
      <w:r w:rsidRPr="00695126">
        <w:t xml:space="preserve"> Dam</w:t>
      </w:r>
      <w:r w:rsidR="00CD10DD">
        <w:t xml:space="preserve"> on the Columbia River</w:t>
      </w:r>
      <w:r>
        <w:t>.</w:t>
      </w:r>
      <w:r w:rsidR="00B34918">
        <w:rPr>
          <w:rStyle w:val="FootnoteReference"/>
        </w:rPr>
        <w:footnoteReference w:id="37"/>
      </w:r>
      <w:r>
        <w:t xml:space="preserve"> </w:t>
      </w:r>
      <w:r w:rsidRPr="00695126">
        <w:t xml:space="preserve">Through existing power sales purchases with the PUD, Avista receives credit for </w:t>
      </w:r>
      <w:r>
        <w:t xml:space="preserve">just </w:t>
      </w:r>
      <w:r w:rsidR="00E14C0A">
        <w:t>under</w:t>
      </w:r>
      <w:r>
        <w:t xml:space="preserve"> </w:t>
      </w:r>
      <w:r w:rsidR="00E14C0A">
        <w:t>four</w:t>
      </w:r>
      <w:r>
        <w:t xml:space="preserve"> percent </w:t>
      </w:r>
      <w:r w:rsidRPr="00695126">
        <w:t>of the incremental energy produced as part of these upgrades. A small segment of the renewable portfolio for 2012 will be wind generation</w:t>
      </w:r>
      <w:r>
        <w:t xml:space="preserve">. </w:t>
      </w:r>
      <w:r w:rsidRPr="00695126">
        <w:t>This generation will result from the Palouse Wind Power Project, which is currently under construction</w:t>
      </w:r>
      <w:r>
        <w:t xml:space="preserve">. </w:t>
      </w:r>
      <w:r w:rsidR="007F456C">
        <w:t xml:space="preserve">Company </w:t>
      </w:r>
      <w:r w:rsidRPr="00695126">
        <w:t>information</w:t>
      </w:r>
      <w:r w:rsidR="007F456C">
        <w:t xml:space="preserve"> indicates that</w:t>
      </w:r>
      <w:r w:rsidRPr="00695126">
        <w:t xml:space="preserve"> this facility will begin production late in 2012</w:t>
      </w:r>
      <w:r>
        <w:t xml:space="preserve">. </w:t>
      </w:r>
    </w:p>
    <w:p w:rsidR="002A3432" w:rsidRPr="00695126" w:rsidRDefault="002A3432" w:rsidP="0017302C">
      <w:pPr>
        <w:spacing w:after="240"/>
      </w:pPr>
      <w:r w:rsidRPr="00695126">
        <w:lastRenderedPageBreak/>
        <w:t xml:space="preserve">The table below details qualifying hydroelectric upgrade </w:t>
      </w:r>
      <w:r w:rsidR="00E14C0A">
        <w:t>generation</w:t>
      </w:r>
      <w:r w:rsidRPr="00695126">
        <w:t xml:space="preserve"> expected in 2012 and qualifying wind generation for the Company’s 2012 compliance period. </w:t>
      </w:r>
    </w:p>
    <w:tbl>
      <w:tblPr>
        <w:tblStyle w:val="TableGrid"/>
        <w:tblW w:w="0" w:type="auto"/>
        <w:tblLook w:val="04A0" w:firstRow="1" w:lastRow="0" w:firstColumn="1" w:lastColumn="0" w:noHBand="0" w:noVBand="1"/>
      </w:tblPr>
      <w:tblGrid>
        <w:gridCol w:w="4513"/>
        <w:gridCol w:w="2435"/>
        <w:gridCol w:w="3348"/>
      </w:tblGrid>
      <w:tr w:rsidR="0047763B" w:rsidRPr="00695126">
        <w:trPr>
          <w:trHeight w:val="516"/>
        </w:trPr>
        <w:tc>
          <w:tcPr>
            <w:tcW w:w="4513" w:type="dxa"/>
          </w:tcPr>
          <w:p w:rsidR="0047763B" w:rsidRPr="00695126" w:rsidRDefault="0047763B" w:rsidP="008F42B8">
            <w:pPr>
              <w:jc w:val="center"/>
              <w:rPr>
                <w:b/>
              </w:rPr>
            </w:pPr>
            <w:r w:rsidRPr="00695126">
              <w:rPr>
                <w:b/>
              </w:rPr>
              <w:t>Renewable Generation Resource</w:t>
            </w:r>
          </w:p>
        </w:tc>
        <w:tc>
          <w:tcPr>
            <w:tcW w:w="2435" w:type="dxa"/>
          </w:tcPr>
          <w:p w:rsidR="0047763B" w:rsidRPr="00695126" w:rsidRDefault="0047763B" w:rsidP="008F42B8">
            <w:pPr>
              <w:jc w:val="center"/>
              <w:rPr>
                <w:b/>
              </w:rPr>
            </w:pPr>
            <w:r w:rsidRPr="00695126">
              <w:rPr>
                <w:b/>
              </w:rPr>
              <w:t>2012</w:t>
            </w:r>
          </w:p>
        </w:tc>
        <w:tc>
          <w:tcPr>
            <w:tcW w:w="3348" w:type="dxa"/>
          </w:tcPr>
          <w:p w:rsidR="0047763B" w:rsidRPr="00695126" w:rsidRDefault="0047763B" w:rsidP="008F42B8">
            <w:pPr>
              <w:jc w:val="center"/>
              <w:rPr>
                <w:b/>
              </w:rPr>
            </w:pPr>
            <w:r w:rsidRPr="00695126">
              <w:rPr>
                <w:b/>
              </w:rPr>
              <w:t>Percentage of Total Portfolio</w:t>
            </w:r>
          </w:p>
        </w:tc>
      </w:tr>
      <w:tr w:rsidR="0047763B" w:rsidRPr="00695126">
        <w:trPr>
          <w:trHeight w:val="516"/>
        </w:trPr>
        <w:tc>
          <w:tcPr>
            <w:tcW w:w="4513" w:type="dxa"/>
          </w:tcPr>
          <w:p w:rsidR="0047763B" w:rsidRPr="00695126" w:rsidRDefault="0047763B" w:rsidP="008F42B8">
            <w:pPr>
              <w:jc w:val="center"/>
            </w:pPr>
            <w:r w:rsidRPr="00695126">
              <w:t>Water (Qualified Hydroelectric Upgrades)</w:t>
            </w:r>
          </w:p>
        </w:tc>
        <w:tc>
          <w:tcPr>
            <w:tcW w:w="2435" w:type="dxa"/>
          </w:tcPr>
          <w:p w:rsidR="0047763B" w:rsidRPr="00695126" w:rsidRDefault="0047763B" w:rsidP="008F42B8">
            <w:pPr>
              <w:jc w:val="center"/>
            </w:pPr>
            <w:r w:rsidRPr="00695126">
              <w:t xml:space="preserve">180,681 </w:t>
            </w:r>
            <w:proofErr w:type="spellStart"/>
            <w:r w:rsidRPr="00695126">
              <w:t>MWh</w:t>
            </w:r>
            <w:proofErr w:type="spellEnd"/>
          </w:p>
        </w:tc>
        <w:tc>
          <w:tcPr>
            <w:tcW w:w="3348" w:type="dxa"/>
          </w:tcPr>
          <w:p w:rsidR="0047763B" w:rsidRPr="00695126" w:rsidRDefault="0047763B" w:rsidP="008F42B8">
            <w:pPr>
              <w:jc w:val="center"/>
            </w:pPr>
            <w:r w:rsidRPr="00695126">
              <w:t>84%</w:t>
            </w:r>
          </w:p>
        </w:tc>
      </w:tr>
      <w:tr w:rsidR="0047763B" w:rsidRPr="00695126">
        <w:trPr>
          <w:trHeight w:val="516"/>
        </w:trPr>
        <w:tc>
          <w:tcPr>
            <w:tcW w:w="4513" w:type="dxa"/>
          </w:tcPr>
          <w:p w:rsidR="0047763B" w:rsidRPr="00695126" w:rsidRDefault="0047763B" w:rsidP="008F42B8">
            <w:pPr>
              <w:jc w:val="center"/>
            </w:pPr>
            <w:r w:rsidRPr="00695126">
              <w:t>Wind</w:t>
            </w:r>
          </w:p>
        </w:tc>
        <w:tc>
          <w:tcPr>
            <w:tcW w:w="2435" w:type="dxa"/>
          </w:tcPr>
          <w:p w:rsidR="0047763B" w:rsidRPr="00695126" w:rsidRDefault="0047763B" w:rsidP="008F42B8">
            <w:pPr>
              <w:jc w:val="center"/>
            </w:pPr>
            <w:r w:rsidRPr="00695126">
              <w:t xml:space="preserve">34,973 </w:t>
            </w:r>
            <w:proofErr w:type="spellStart"/>
            <w:r w:rsidRPr="00695126">
              <w:t>MWh</w:t>
            </w:r>
            <w:proofErr w:type="spellEnd"/>
          </w:p>
        </w:tc>
        <w:tc>
          <w:tcPr>
            <w:tcW w:w="3348" w:type="dxa"/>
          </w:tcPr>
          <w:p w:rsidR="0047763B" w:rsidRPr="00695126" w:rsidRDefault="0047763B" w:rsidP="008F42B8">
            <w:pPr>
              <w:jc w:val="center"/>
            </w:pPr>
            <w:r w:rsidRPr="00695126">
              <w:t>16%</w:t>
            </w:r>
          </w:p>
        </w:tc>
      </w:tr>
      <w:tr w:rsidR="0047763B" w:rsidRPr="00695126">
        <w:trPr>
          <w:trHeight w:val="532"/>
        </w:trPr>
        <w:tc>
          <w:tcPr>
            <w:tcW w:w="4513" w:type="dxa"/>
          </w:tcPr>
          <w:p w:rsidR="0047763B" w:rsidRPr="00695126" w:rsidRDefault="0047763B" w:rsidP="008F42B8">
            <w:pPr>
              <w:jc w:val="center"/>
              <w:rPr>
                <w:b/>
              </w:rPr>
            </w:pPr>
            <w:r w:rsidRPr="00695126">
              <w:rPr>
                <w:b/>
              </w:rPr>
              <w:t>Total</w:t>
            </w:r>
          </w:p>
        </w:tc>
        <w:tc>
          <w:tcPr>
            <w:tcW w:w="2435" w:type="dxa"/>
          </w:tcPr>
          <w:p w:rsidR="0047763B" w:rsidRPr="00695126" w:rsidRDefault="0047763B" w:rsidP="008F42B8">
            <w:pPr>
              <w:jc w:val="center"/>
              <w:rPr>
                <w:b/>
              </w:rPr>
            </w:pPr>
            <w:r w:rsidRPr="00695126">
              <w:rPr>
                <w:b/>
              </w:rPr>
              <w:t xml:space="preserve">215,654 </w:t>
            </w:r>
            <w:proofErr w:type="spellStart"/>
            <w:r w:rsidRPr="00695126">
              <w:rPr>
                <w:b/>
              </w:rPr>
              <w:t>MWh</w:t>
            </w:r>
            <w:proofErr w:type="spellEnd"/>
          </w:p>
        </w:tc>
        <w:tc>
          <w:tcPr>
            <w:tcW w:w="3348" w:type="dxa"/>
          </w:tcPr>
          <w:p w:rsidR="0047763B" w:rsidRPr="00695126" w:rsidRDefault="0047763B" w:rsidP="008F42B8">
            <w:pPr>
              <w:jc w:val="center"/>
              <w:rPr>
                <w:b/>
              </w:rPr>
            </w:pPr>
            <w:r w:rsidRPr="00695126">
              <w:rPr>
                <w:b/>
              </w:rPr>
              <w:t>100%</w:t>
            </w:r>
          </w:p>
        </w:tc>
      </w:tr>
    </w:tbl>
    <w:p w:rsidR="002A3432" w:rsidRPr="00695126" w:rsidRDefault="002A3432" w:rsidP="0017302C">
      <w:pPr>
        <w:spacing w:before="240"/>
      </w:pPr>
      <w:r>
        <w:t xml:space="preserve">Avista anticipates a surplus of 49,607 </w:t>
      </w:r>
      <w:r w:rsidR="007F456C">
        <w:t>megawatt-hours</w:t>
      </w:r>
      <w:r>
        <w:t xml:space="preserve"> above the 2012 compliance target. </w:t>
      </w:r>
      <w:r w:rsidRPr="00695126">
        <w:t>However, qualified hydroelectric upgrades must be used for compliance in the year in which they are generated</w:t>
      </w:r>
      <w:r>
        <w:t>, whereas the RECs from wind generation may be applied toward the 2013 compliance target.</w:t>
      </w:r>
      <w:r w:rsidR="007B7E53">
        <w:rPr>
          <w:rStyle w:val="FootnoteReference"/>
        </w:rPr>
        <w:footnoteReference w:id="38"/>
      </w:r>
      <w:r>
        <w:t xml:space="preserve"> </w:t>
      </w:r>
      <w:r w:rsidRPr="00695126">
        <w:t xml:space="preserve">  </w:t>
      </w:r>
    </w:p>
    <w:p w:rsidR="002A3432" w:rsidRPr="00695126" w:rsidRDefault="002A3432" w:rsidP="002A3432">
      <w:r>
        <w:t>Avista</w:t>
      </w:r>
      <w:r w:rsidRPr="00695126">
        <w:t xml:space="preserve"> does not plan to use any </w:t>
      </w:r>
      <w:r>
        <w:t>RECs</w:t>
      </w:r>
      <w:r w:rsidRPr="00695126">
        <w:t xml:space="preserve"> as part of </w:t>
      </w:r>
      <w:r w:rsidR="007F456C">
        <w:t>its</w:t>
      </w:r>
      <w:r w:rsidRPr="00695126">
        <w:t xml:space="preserve"> compliance in 2012. In 2008, the Company </w:t>
      </w:r>
      <w:r>
        <w:t>established a contract to purchase</w:t>
      </w:r>
      <w:r w:rsidRPr="00695126">
        <w:t xml:space="preserve"> 50,000 RECs per year from the Stateline Wind Project for the 2012 through 2015 compliance period to comply with RCW 19.285 requirements</w:t>
      </w:r>
      <w:r>
        <w:t xml:space="preserve">. </w:t>
      </w:r>
      <w:r w:rsidRPr="00695126">
        <w:t xml:space="preserve">However, these RECs were sold because they were determined to be in excess of the Company’s needs in 2011 </w:t>
      </w:r>
      <w:r w:rsidR="00D51B92">
        <w:t>due to</w:t>
      </w:r>
      <w:r w:rsidRPr="00695126">
        <w:t xml:space="preserve"> the acquisition of the Palouse Wind Power Purchase Agreement and decisions concerning the need for reserves for qualifying hydroelectric upgrades</w:t>
      </w:r>
      <w:r>
        <w:t xml:space="preserve">. Avista </w:t>
      </w:r>
      <w:r w:rsidR="00C151DA">
        <w:t xml:space="preserve">has an existing contract to </w:t>
      </w:r>
      <w:r>
        <w:t>purchase</w:t>
      </w:r>
      <w:r w:rsidR="00D51B92">
        <w:t xml:space="preserve"> RECs</w:t>
      </w:r>
      <w:r>
        <w:t xml:space="preserve"> from the Stateline Wind Project after 2015</w:t>
      </w:r>
      <w:r w:rsidRPr="00695126">
        <w:t xml:space="preserve"> </w:t>
      </w:r>
      <w:r>
        <w:t>to be used for 2016 RPS</w:t>
      </w:r>
      <w:r w:rsidRPr="00695126">
        <w:t xml:space="preserve"> obligations, which increase</w:t>
      </w:r>
      <w:r>
        <w:t>s</w:t>
      </w:r>
      <w:r w:rsidRPr="00695126">
        <w:t xml:space="preserve"> from 3% to 9% of the Company’s total anticipated Washington </w:t>
      </w:r>
      <w:r w:rsidR="00D51B92">
        <w:t>s</w:t>
      </w:r>
      <w:r w:rsidR="00D51B92" w:rsidRPr="00695126">
        <w:t xml:space="preserve">tate </w:t>
      </w:r>
      <w:r w:rsidRPr="00695126">
        <w:t xml:space="preserve">retail load for that year. </w:t>
      </w:r>
    </w:p>
    <w:p w:rsidR="002A3432" w:rsidRDefault="002A3432" w:rsidP="002A3432">
      <w:r w:rsidRPr="00695126">
        <w:t xml:space="preserve">Based on the information provided, </w:t>
      </w:r>
      <w:r w:rsidR="007F456C">
        <w:t xml:space="preserve">Staff concludes that </w:t>
      </w:r>
      <w:r w:rsidRPr="00695126">
        <w:t xml:space="preserve">Avista </w:t>
      </w:r>
      <w:r>
        <w:t>may be</w:t>
      </w:r>
      <w:r w:rsidRPr="00695126">
        <w:t xml:space="preserve"> on track to meet </w:t>
      </w:r>
      <w:r>
        <w:t>its</w:t>
      </w:r>
      <w:r w:rsidRPr="00695126">
        <w:t xml:space="preserve"> renewable targets for 2012</w:t>
      </w:r>
      <w:r>
        <w:t xml:space="preserve">. However, </w:t>
      </w:r>
      <w:r w:rsidR="00D51B92">
        <w:t xml:space="preserve">for the reasons described in Section </w:t>
      </w:r>
      <w:r w:rsidR="000D7F7E">
        <w:t>5 of these Comments</w:t>
      </w:r>
      <w:r w:rsidR="000F038F">
        <w:t xml:space="preserve">, </w:t>
      </w:r>
      <w:r>
        <w:t xml:space="preserve">further </w:t>
      </w:r>
      <w:r w:rsidRPr="00695126">
        <w:t>information</w:t>
      </w:r>
      <w:r>
        <w:t xml:space="preserve"> regarding the model used to calculate incremental hydroelectric generation will need to be </w:t>
      </w:r>
      <w:r w:rsidRPr="00695126">
        <w:t>reviewed</w:t>
      </w:r>
      <w:r>
        <w:t>.  A final determination can then be made</w:t>
      </w:r>
      <w:r w:rsidRPr="00695126">
        <w:t xml:space="preserve"> following the completion of the 2012 compliance period. </w:t>
      </w:r>
    </w:p>
    <w:p w:rsidR="002A3432" w:rsidRPr="00F008BF" w:rsidRDefault="002A3432" w:rsidP="007F456C">
      <w:pPr>
        <w:rPr>
          <w:rFonts w:eastAsiaTheme="minorHAnsi"/>
          <w:b/>
        </w:rPr>
      </w:pPr>
      <w:r>
        <w:rPr>
          <w:rFonts w:eastAsiaTheme="minorHAnsi"/>
          <w:b/>
        </w:rPr>
        <w:t>Reporting Requirements</w:t>
      </w:r>
    </w:p>
    <w:p w:rsidR="002A3432" w:rsidRDefault="0075203A" w:rsidP="007F456C">
      <w:r>
        <w:rPr>
          <w:rFonts w:eastAsiaTheme="minorHAnsi"/>
        </w:rPr>
        <w:t xml:space="preserve">Because Avista is not requesting a determination of compliance with the 2012 target in this report, </w:t>
      </w:r>
      <w:r w:rsidR="007C217E">
        <w:rPr>
          <w:rFonts w:eastAsiaTheme="minorHAnsi"/>
        </w:rPr>
        <w:t>Staff</w:t>
      </w:r>
      <w:r>
        <w:rPr>
          <w:rFonts w:eastAsiaTheme="minorHAnsi"/>
        </w:rPr>
        <w:t xml:space="preserve"> believe</w:t>
      </w:r>
      <w:r>
        <w:t>s Avista</w:t>
      </w:r>
      <w:r w:rsidR="002A3432" w:rsidRPr="00695126">
        <w:t xml:space="preserve"> has met </w:t>
      </w:r>
      <w:r w:rsidR="002A3432">
        <w:t>its</w:t>
      </w:r>
      <w:r w:rsidR="002A3432" w:rsidRPr="00695126">
        <w:t xml:space="preserve"> reporting requirements </w:t>
      </w:r>
      <w:r>
        <w:t xml:space="preserve">at this time </w:t>
      </w:r>
      <w:r w:rsidR="002A3432" w:rsidRPr="00695126">
        <w:t>pursuant to RCW 19.285.070, WAC 480</w:t>
      </w:r>
      <w:r w:rsidR="007F456C">
        <w:noBreakHyphen/>
      </w:r>
      <w:r w:rsidR="002A3432" w:rsidRPr="00695126">
        <w:t>109</w:t>
      </w:r>
      <w:r w:rsidR="007F456C">
        <w:noBreakHyphen/>
      </w:r>
      <w:r w:rsidR="002A3432" w:rsidRPr="00695126">
        <w:t xml:space="preserve">40, and the May 22, 2012 </w:t>
      </w:r>
      <w:r w:rsidR="007C217E">
        <w:t>Staff</w:t>
      </w:r>
      <w:r w:rsidR="002A3432" w:rsidRPr="00695126">
        <w:t xml:space="preserve"> information request filed under Docket UE</w:t>
      </w:r>
      <w:r w:rsidR="007F456C">
        <w:noBreakHyphen/>
      </w:r>
      <w:r w:rsidR="002A3432" w:rsidRPr="00695126">
        <w:t>110523</w:t>
      </w:r>
      <w:r w:rsidR="002A3432">
        <w:t xml:space="preserve">. </w:t>
      </w:r>
      <w:r w:rsidR="00505BE3">
        <w:t xml:space="preserve">Avista used a reporting template developed by the Department of Commerce to submit renewable energy information to that agency, </w:t>
      </w:r>
      <w:r w:rsidR="007F456C">
        <w:t>as required by RCW 19.285.070(1) and WAC 480</w:t>
      </w:r>
      <w:r w:rsidR="007F456C">
        <w:noBreakHyphen/>
        <w:t>109</w:t>
      </w:r>
      <w:r w:rsidR="007F456C">
        <w:noBreakHyphen/>
        <w:t xml:space="preserve">040(1).  </w:t>
      </w:r>
      <w:r w:rsidR="002A3432">
        <w:t xml:space="preserve">Following final action by the Commission on </w:t>
      </w:r>
      <w:r w:rsidR="00505BE3">
        <w:t>Avista’s</w:t>
      </w:r>
      <w:r w:rsidR="002A3432">
        <w:t xml:space="preserve"> report, the company must </w:t>
      </w:r>
      <w:r w:rsidR="0017302C">
        <w:t>provide</w:t>
      </w:r>
      <w:r w:rsidR="002A3432">
        <w:t xml:space="preserve"> a summary of the report to customers within 90 days.</w:t>
      </w:r>
      <w:r w:rsidR="002A3432">
        <w:rPr>
          <w:rStyle w:val="FootnoteReference"/>
        </w:rPr>
        <w:footnoteReference w:id="39"/>
      </w:r>
    </w:p>
    <w:p w:rsidR="00A74E14" w:rsidRPr="00695126" w:rsidRDefault="0017302C" w:rsidP="00416823">
      <w:pPr>
        <w:pStyle w:val="Heading1"/>
        <w:keepNext/>
        <w:ind w:left="634"/>
      </w:pPr>
      <w:r>
        <w:lastRenderedPageBreak/>
        <w:t xml:space="preserve">UE-120813 </w:t>
      </w:r>
      <w:r w:rsidR="00695126">
        <w:t>PACIFICORP</w:t>
      </w:r>
    </w:p>
    <w:p w:rsidR="00A74E14" w:rsidRPr="00695126" w:rsidRDefault="007C217E" w:rsidP="0073784F">
      <w:pPr>
        <w:spacing w:after="240"/>
      </w:pPr>
      <w:r>
        <w:t>Staff</w:t>
      </w:r>
      <w:r w:rsidR="001366EE">
        <w:t xml:space="preserve"> believes t</w:t>
      </w:r>
      <w:r w:rsidR="00A74E14" w:rsidRPr="00695126">
        <w:t xml:space="preserve">he materials submitted with </w:t>
      </w:r>
      <w:r w:rsidR="001366EE">
        <w:t>PacifiCorp</w:t>
      </w:r>
      <w:r w:rsidR="00A74E14" w:rsidRPr="00695126">
        <w:t>’s June 1, 2012 R</w:t>
      </w:r>
      <w:r w:rsidR="001366EE">
        <w:t>PS</w:t>
      </w:r>
      <w:r w:rsidR="00A74E14" w:rsidRPr="00695126">
        <w:t xml:space="preserve"> Report comply with reporting requirements u</w:t>
      </w:r>
      <w:r w:rsidR="00623936">
        <w:t>nder RCW 19.285.070 and WAC 480</w:t>
      </w:r>
      <w:r w:rsidR="00623936">
        <w:noBreakHyphen/>
        <w:t>109</w:t>
      </w:r>
      <w:r w:rsidR="00623936">
        <w:noBreakHyphen/>
      </w:r>
      <w:r w:rsidR="00A74E14" w:rsidRPr="00695126">
        <w:t xml:space="preserve">40 and demonstrate that </w:t>
      </w:r>
      <w:r w:rsidR="00A04960" w:rsidRPr="00695126">
        <w:t>PacifiCorp</w:t>
      </w:r>
      <w:r w:rsidR="00A74E14" w:rsidRPr="00695126">
        <w:t xml:space="preserve"> is </w:t>
      </w:r>
      <w:r w:rsidR="001366EE">
        <w:t>on track to meet its 2012 RPS</w:t>
      </w:r>
      <w:r w:rsidR="00A74E14" w:rsidRPr="00695126">
        <w:t xml:space="preserve"> target of using eligible renewable resources and RECs to supply at least three percent of the </w:t>
      </w:r>
      <w:r w:rsidR="00640F50">
        <w:t>c</w:t>
      </w:r>
      <w:r w:rsidR="00A74E14" w:rsidRPr="00695126">
        <w:t>ompany’s Washington load.</w:t>
      </w:r>
    </w:p>
    <w:tbl>
      <w:tblPr>
        <w:tblStyle w:val="TableGrid"/>
        <w:tblW w:w="0" w:type="auto"/>
        <w:tblInd w:w="720" w:type="dxa"/>
        <w:tblLook w:val="04A0" w:firstRow="1" w:lastRow="0" w:firstColumn="1" w:lastColumn="0" w:noHBand="0" w:noVBand="1"/>
      </w:tblPr>
      <w:tblGrid>
        <w:gridCol w:w="3798"/>
        <w:gridCol w:w="1440"/>
        <w:gridCol w:w="1620"/>
        <w:gridCol w:w="1800"/>
      </w:tblGrid>
      <w:tr w:rsidR="000F0F39" w:rsidRPr="00695126" w:rsidTr="0073784F">
        <w:tc>
          <w:tcPr>
            <w:tcW w:w="3798" w:type="dxa"/>
          </w:tcPr>
          <w:p w:rsidR="000F0F39" w:rsidRPr="00695126" w:rsidRDefault="000F0F39" w:rsidP="008F42B8">
            <w:pPr>
              <w:pStyle w:val="ListParagraph"/>
              <w:ind w:left="0"/>
            </w:pPr>
          </w:p>
        </w:tc>
        <w:tc>
          <w:tcPr>
            <w:tcW w:w="1440" w:type="dxa"/>
          </w:tcPr>
          <w:p w:rsidR="000F0F39" w:rsidRPr="00695126" w:rsidRDefault="000F0F39" w:rsidP="008F42B8">
            <w:pPr>
              <w:pStyle w:val="ListParagraph"/>
              <w:ind w:left="0"/>
              <w:rPr>
                <w:b/>
              </w:rPr>
            </w:pPr>
            <w:r w:rsidRPr="00695126">
              <w:rPr>
                <w:b/>
              </w:rPr>
              <w:t>2010</w:t>
            </w:r>
          </w:p>
        </w:tc>
        <w:tc>
          <w:tcPr>
            <w:tcW w:w="1620" w:type="dxa"/>
          </w:tcPr>
          <w:p w:rsidR="000F0F39" w:rsidRPr="00695126" w:rsidRDefault="000F0F39" w:rsidP="008F42B8">
            <w:pPr>
              <w:pStyle w:val="ListParagraph"/>
              <w:ind w:left="0"/>
              <w:rPr>
                <w:b/>
              </w:rPr>
            </w:pPr>
            <w:r w:rsidRPr="00695126">
              <w:rPr>
                <w:b/>
              </w:rPr>
              <w:t>2011</w:t>
            </w:r>
          </w:p>
        </w:tc>
        <w:tc>
          <w:tcPr>
            <w:tcW w:w="1800" w:type="dxa"/>
          </w:tcPr>
          <w:p w:rsidR="000F0F39" w:rsidRPr="00695126" w:rsidRDefault="000F0F39" w:rsidP="008F42B8">
            <w:pPr>
              <w:pStyle w:val="ListParagraph"/>
              <w:ind w:left="0"/>
              <w:rPr>
                <w:b/>
              </w:rPr>
            </w:pPr>
            <w:r w:rsidRPr="00695126">
              <w:rPr>
                <w:b/>
              </w:rPr>
              <w:t>2012</w:t>
            </w:r>
          </w:p>
        </w:tc>
      </w:tr>
      <w:tr w:rsidR="000F0F39" w:rsidRPr="00695126" w:rsidTr="0073784F">
        <w:tc>
          <w:tcPr>
            <w:tcW w:w="3798" w:type="dxa"/>
          </w:tcPr>
          <w:p w:rsidR="000F0F39" w:rsidRPr="00695126" w:rsidRDefault="000F0F39" w:rsidP="008F42B8">
            <w:pPr>
              <w:pStyle w:val="ListParagraph"/>
              <w:ind w:left="0"/>
              <w:rPr>
                <w:b/>
              </w:rPr>
            </w:pPr>
            <w:r w:rsidRPr="00695126">
              <w:rPr>
                <w:b/>
              </w:rPr>
              <w:t>Washington Retail Load (</w:t>
            </w:r>
            <w:proofErr w:type="spellStart"/>
            <w:r w:rsidRPr="00695126">
              <w:rPr>
                <w:b/>
              </w:rPr>
              <w:t>MWh</w:t>
            </w:r>
            <w:proofErr w:type="spellEnd"/>
            <w:r w:rsidRPr="00695126">
              <w:rPr>
                <w:b/>
              </w:rPr>
              <w:t>)</w:t>
            </w:r>
          </w:p>
        </w:tc>
        <w:tc>
          <w:tcPr>
            <w:tcW w:w="1440" w:type="dxa"/>
          </w:tcPr>
          <w:p w:rsidR="000F0F39" w:rsidRPr="00695126" w:rsidRDefault="00027B3B" w:rsidP="008F42B8">
            <w:pPr>
              <w:pStyle w:val="ListParagraph"/>
              <w:ind w:left="0"/>
            </w:pPr>
            <w:r>
              <w:t>3,984,631</w:t>
            </w:r>
          </w:p>
        </w:tc>
        <w:tc>
          <w:tcPr>
            <w:tcW w:w="1620" w:type="dxa"/>
          </w:tcPr>
          <w:p w:rsidR="000F0F39" w:rsidRPr="00695126" w:rsidRDefault="00027B3B" w:rsidP="008F42B8">
            <w:pPr>
              <w:pStyle w:val="ListParagraph"/>
              <w:ind w:left="0"/>
            </w:pPr>
            <w:r>
              <w:t>4,005,863</w:t>
            </w:r>
          </w:p>
        </w:tc>
        <w:tc>
          <w:tcPr>
            <w:tcW w:w="1800" w:type="dxa"/>
          </w:tcPr>
          <w:p w:rsidR="000F0F39" w:rsidRPr="00695126" w:rsidRDefault="000F0F39" w:rsidP="008F42B8">
            <w:pPr>
              <w:pStyle w:val="ListParagraph"/>
              <w:ind w:left="0"/>
              <w:rPr>
                <w:b/>
              </w:rPr>
            </w:pPr>
          </w:p>
        </w:tc>
      </w:tr>
      <w:tr w:rsidR="000F0F39" w:rsidRPr="00695126" w:rsidTr="0073784F">
        <w:tc>
          <w:tcPr>
            <w:tcW w:w="3798" w:type="dxa"/>
          </w:tcPr>
          <w:p w:rsidR="000F0F39" w:rsidRPr="00695126" w:rsidRDefault="000F0F39" w:rsidP="008F42B8">
            <w:pPr>
              <w:pStyle w:val="ListParagraph"/>
              <w:ind w:left="0"/>
              <w:rPr>
                <w:b/>
              </w:rPr>
            </w:pPr>
            <w:r w:rsidRPr="00695126">
              <w:rPr>
                <w:b/>
              </w:rPr>
              <w:t>Target Load (</w:t>
            </w:r>
            <w:proofErr w:type="spellStart"/>
            <w:r w:rsidRPr="00695126">
              <w:rPr>
                <w:b/>
              </w:rPr>
              <w:t>MWh</w:t>
            </w:r>
            <w:proofErr w:type="spellEnd"/>
            <w:r w:rsidRPr="00695126">
              <w:rPr>
                <w:b/>
              </w:rPr>
              <w:t>)</w:t>
            </w:r>
          </w:p>
        </w:tc>
        <w:tc>
          <w:tcPr>
            <w:tcW w:w="1440" w:type="dxa"/>
          </w:tcPr>
          <w:p w:rsidR="000F0F39" w:rsidRPr="00695126" w:rsidRDefault="000F0F39" w:rsidP="008F42B8">
            <w:pPr>
              <w:pStyle w:val="ListParagraph"/>
              <w:ind w:left="0"/>
            </w:pPr>
          </w:p>
        </w:tc>
        <w:tc>
          <w:tcPr>
            <w:tcW w:w="1620" w:type="dxa"/>
          </w:tcPr>
          <w:p w:rsidR="000F0F39" w:rsidRPr="00695126" w:rsidRDefault="000F0F39" w:rsidP="008F42B8">
            <w:pPr>
              <w:pStyle w:val="ListParagraph"/>
              <w:ind w:left="0"/>
            </w:pPr>
          </w:p>
        </w:tc>
        <w:tc>
          <w:tcPr>
            <w:tcW w:w="1800" w:type="dxa"/>
          </w:tcPr>
          <w:p w:rsidR="000F0F39" w:rsidRPr="00695126" w:rsidRDefault="00027B3B" w:rsidP="008F42B8">
            <w:pPr>
              <w:pStyle w:val="ListParagraph"/>
              <w:ind w:left="0"/>
            </w:pPr>
            <w:r>
              <w:t>3,995,427</w:t>
            </w:r>
          </w:p>
        </w:tc>
      </w:tr>
      <w:tr w:rsidR="000F0F39" w:rsidRPr="00695126" w:rsidTr="0073784F">
        <w:tc>
          <w:tcPr>
            <w:tcW w:w="3798" w:type="dxa"/>
          </w:tcPr>
          <w:p w:rsidR="000F0F39" w:rsidRPr="00695126" w:rsidRDefault="000F0F39" w:rsidP="008F42B8">
            <w:pPr>
              <w:pStyle w:val="ListParagraph"/>
              <w:ind w:left="0"/>
              <w:rPr>
                <w:b/>
              </w:rPr>
            </w:pPr>
            <w:r w:rsidRPr="00695126">
              <w:rPr>
                <w:b/>
              </w:rPr>
              <w:t>RCW 19.285 Requirement</w:t>
            </w:r>
          </w:p>
        </w:tc>
        <w:tc>
          <w:tcPr>
            <w:tcW w:w="1440" w:type="dxa"/>
          </w:tcPr>
          <w:p w:rsidR="000F0F39" w:rsidRPr="00695126" w:rsidRDefault="000F0F39" w:rsidP="008F42B8">
            <w:pPr>
              <w:pStyle w:val="ListParagraph"/>
              <w:ind w:left="0"/>
            </w:pPr>
            <w:r w:rsidRPr="00695126">
              <w:t>0%</w:t>
            </w:r>
          </w:p>
        </w:tc>
        <w:tc>
          <w:tcPr>
            <w:tcW w:w="1620" w:type="dxa"/>
          </w:tcPr>
          <w:p w:rsidR="000F0F39" w:rsidRPr="00695126" w:rsidRDefault="000F0F39" w:rsidP="008F42B8">
            <w:pPr>
              <w:pStyle w:val="ListParagraph"/>
              <w:ind w:left="0"/>
            </w:pPr>
            <w:r w:rsidRPr="00695126">
              <w:t>0%</w:t>
            </w:r>
          </w:p>
        </w:tc>
        <w:tc>
          <w:tcPr>
            <w:tcW w:w="1800" w:type="dxa"/>
          </w:tcPr>
          <w:p w:rsidR="000F0F39" w:rsidRPr="00695126" w:rsidRDefault="000F0F39" w:rsidP="008F42B8">
            <w:pPr>
              <w:pStyle w:val="ListParagraph"/>
              <w:ind w:left="0"/>
            </w:pPr>
            <w:r w:rsidRPr="00695126">
              <w:t>3%</w:t>
            </w:r>
          </w:p>
        </w:tc>
      </w:tr>
      <w:tr w:rsidR="000F0F39" w:rsidRPr="00695126" w:rsidTr="0073784F">
        <w:tc>
          <w:tcPr>
            <w:tcW w:w="3798" w:type="dxa"/>
          </w:tcPr>
          <w:p w:rsidR="000F0F39" w:rsidRPr="00695126" w:rsidRDefault="000F0F39" w:rsidP="008F42B8">
            <w:pPr>
              <w:pStyle w:val="ListParagraph"/>
              <w:ind w:left="0"/>
              <w:rPr>
                <w:b/>
              </w:rPr>
            </w:pPr>
            <w:r w:rsidRPr="00695126">
              <w:rPr>
                <w:b/>
              </w:rPr>
              <w:t>Requirement (</w:t>
            </w:r>
            <w:proofErr w:type="spellStart"/>
            <w:r w:rsidRPr="00695126">
              <w:rPr>
                <w:b/>
              </w:rPr>
              <w:t>MWh</w:t>
            </w:r>
            <w:proofErr w:type="spellEnd"/>
            <w:r w:rsidRPr="00695126">
              <w:rPr>
                <w:b/>
              </w:rPr>
              <w:t>)</w:t>
            </w:r>
          </w:p>
        </w:tc>
        <w:tc>
          <w:tcPr>
            <w:tcW w:w="1440" w:type="dxa"/>
          </w:tcPr>
          <w:p w:rsidR="000F0F39" w:rsidRPr="00695126" w:rsidRDefault="000F0F39" w:rsidP="008F42B8">
            <w:pPr>
              <w:pStyle w:val="ListParagraph"/>
              <w:ind w:left="0"/>
            </w:pPr>
            <w:r w:rsidRPr="00695126">
              <w:t>0</w:t>
            </w:r>
          </w:p>
        </w:tc>
        <w:tc>
          <w:tcPr>
            <w:tcW w:w="1620" w:type="dxa"/>
          </w:tcPr>
          <w:p w:rsidR="000F0F39" w:rsidRPr="00695126" w:rsidRDefault="000F0F39" w:rsidP="008F42B8">
            <w:pPr>
              <w:pStyle w:val="ListParagraph"/>
              <w:ind w:left="0"/>
            </w:pPr>
            <w:r w:rsidRPr="00695126">
              <w:t>0</w:t>
            </w:r>
          </w:p>
        </w:tc>
        <w:tc>
          <w:tcPr>
            <w:tcW w:w="1800" w:type="dxa"/>
          </w:tcPr>
          <w:p w:rsidR="000F0F39" w:rsidRPr="00695126" w:rsidRDefault="00027B3B" w:rsidP="008F42B8">
            <w:pPr>
              <w:pStyle w:val="ListParagraph"/>
              <w:ind w:left="0"/>
            </w:pPr>
            <w:r>
              <w:t>119,857</w:t>
            </w:r>
          </w:p>
        </w:tc>
      </w:tr>
    </w:tbl>
    <w:p w:rsidR="00A74E14" w:rsidRPr="00695126" w:rsidRDefault="00A04960" w:rsidP="008F42B8">
      <w:r w:rsidRPr="00695126">
        <w:t>PacifiCorp</w:t>
      </w:r>
      <w:r w:rsidR="00A74E14" w:rsidRPr="00695126">
        <w:t xml:space="preserve"> reports an average annual load for its Washington State customers for 2010-2011 of 3,995,247 </w:t>
      </w:r>
      <w:r w:rsidR="00623936">
        <w:t>megawatt-hours</w:t>
      </w:r>
      <w:r w:rsidR="00A74E14" w:rsidRPr="00695126">
        <w:t xml:space="preserve">. The </w:t>
      </w:r>
      <w:r w:rsidR="00B62552">
        <w:t>c</w:t>
      </w:r>
      <w:r w:rsidR="00A74E14" w:rsidRPr="00695126">
        <w:t xml:space="preserve">ompany’s 2012 Renewable </w:t>
      </w:r>
      <w:r w:rsidR="000F0F39">
        <w:t xml:space="preserve">energy </w:t>
      </w:r>
      <w:r w:rsidR="00A74E14" w:rsidRPr="00695126">
        <w:t xml:space="preserve">target is 119,857 </w:t>
      </w:r>
      <w:r w:rsidR="00623936">
        <w:t>megawatt-hours</w:t>
      </w:r>
      <w:r w:rsidR="00A74E14" w:rsidRPr="00695126">
        <w:t xml:space="preserve">. </w:t>
      </w:r>
      <w:r w:rsidRPr="00695126">
        <w:t>PacifiCorp</w:t>
      </w:r>
      <w:r w:rsidR="00A74E14" w:rsidRPr="00695126">
        <w:t xml:space="preserve"> has sufficiently demonstrated that </w:t>
      </w:r>
      <w:r w:rsidR="00623936">
        <w:t>it is able</w:t>
      </w:r>
      <w:r w:rsidR="00A74E14" w:rsidRPr="00695126">
        <w:t xml:space="preserve"> to achieve this target with a combination of RECs from company-owned resources, unbundled REC purchases, and incremental generation from eligible hydroelectric f</w:t>
      </w:r>
      <w:r w:rsidR="001366EE">
        <w:t>acility upgrades</w:t>
      </w:r>
      <w:r w:rsidR="00A74E14" w:rsidRPr="00695126">
        <w:t xml:space="preserve">. The Company is claiming a Washington-allocated volume of 117,716 </w:t>
      </w:r>
      <w:r w:rsidR="00623936">
        <w:t>megawatt-hours</w:t>
      </w:r>
      <w:r w:rsidR="00A74E14" w:rsidRPr="00695126">
        <w:t xml:space="preserve"> from wind-generated RECs and 2,141 </w:t>
      </w:r>
      <w:r w:rsidR="00623936">
        <w:t>megawatt-hours</w:t>
      </w:r>
      <w:r w:rsidR="00A74E14" w:rsidRPr="00695126">
        <w:t xml:space="preserve"> from qualifying incremental hydroelectric generation (pg. 6). Incremental generation from qualifying hydroelectric facilities has been provided in </w:t>
      </w:r>
      <w:r w:rsidR="000F038F">
        <w:t>the company’s</w:t>
      </w:r>
      <w:r w:rsidR="000F038F" w:rsidRPr="00695126">
        <w:t xml:space="preserve"> </w:t>
      </w:r>
      <w:r w:rsidR="00A74E14" w:rsidRPr="00695126">
        <w:t xml:space="preserve">report as a forward-looking model estimate and, as a consequence, cannot be verified until on or after December 31, 2012, when actual 2012 hydro facility generation data become complete. However, given that incremental hydro generation represents less than 2 percent of the Company’s claimed 2012 qualifying renewable volume, hydro generation forecasting errors are highly unlikely to influence </w:t>
      </w:r>
      <w:r w:rsidR="007C217E">
        <w:t>Staff</w:t>
      </w:r>
      <w:r w:rsidR="00A74E14" w:rsidRPr="00695126">
        <w:t xml:space="preserve">’s conclusion that </w:t>
      </w:r>
      <w:r w:rsidRPr="00695126">
        <w:t>PacifiCorp</w:t>
      </w:r>
      <w:r w:rsidR="00A74E14" w:rsidRPr="00695126">
        <w:t xml:space="preserve"> </w:t>
      </w:r>
      <w:r w:rsidR="000F038F">
        <w:t>is on track to meet</w:t>
      </w:r>
      <w:r w:rsidR="00A74E14" w:rsidRPr="00695126">
        <w:t xml:space="preserve"> </w:t>
      </w:r>
      <w:r w:rsidR="00623936">
        <w:t>its</w:t>
      </w:r>
      <w:r w:rsidR="00A74E14" w:rsidRPr="00695126">
        <w:t xml:space="preserve"> target. </w:t>
      </w:r>
    </w:p>
    <w:p w:rsidR="00A74E14" w:rsidRPr="00695126" w:rsidRDefault="00026A2C" w:rsidP="008F42B8">
      <w:pPr>
        <w:rPr>
          <w:b/>
        </w:rPr>
      </w:pPr>
      <w:r>
        <w:rPr>
          <w:b/>
        </w:rPr>
        <w:t>Incremental H</w:t>
      </w:r>
      <w:r w:rsidR="00A74E14" w:rsidRPr="00695126">
        <w:rPr>
          <w:b/>
        </w:rPr>
        <w:t xml:space="preserve">ydro </w:t>
      </w:r>
      <w:r>
        <w:rPr>
          <w:b/>
        </w:rPr>
        <w:t>I</w:t>
      </w:r>
      <w:r w:rsidR="000F038F">
        <w:rPr>
          <w:b/>
        </w:rPr>
        <w:t>nteraction with</w:t>
      </w:r>
      <w:r w:rsidR="000F038F" w:rsidRPr="00695126">
        <w:rPr>
          <w:b/>
        </w:rPr>
        <w:t xml:space="preserve"> </w:t>
      </w:r>
      <w:r>
        <w:rPr>
          <w:b/>
        </w:rPr>
        <w:t>REC R</w:t>
      </w:r>
      <w:r w:rsidR="00A74E14" w:rsidRPr="00695126">
        <w:rPr>
          <w:b/>
        </w:rPr>
        <w:t>etirements</w:t>
      </w:r>
    </w:p>
    <w:p w:rsidR="00A74E14" w:rsidRPr="00695126" w:rsidRDefault="0054157B" w:rsidP="008F42B8">
      <w:r>
        <w:t>In contrast to incremental hydro’s</w:t>
      </w:r>
      <w:r w:rsidR="00A74E14" w:rsidRPr="00695126">
        <w:t xml:space="preserve"> marginal contribution to the fulfillment of the Company’s 2012 requirements, hydro generation forecasting errors are highly relevant to the overall conversation due to the fact that they will influence the number of RECs that should be retired for compliance with 2012 renewable requirements. Incremental hydro generation doe</w:t>
      </w:r>
      <w:r w:rsidR="00505BE3">
        <w:t xml:space="preserve">s not produce RECs and may </w:t>
      </w:r>
      <w:r w:rsidR="00A74E14" w:rsidRPr="00695126">
        <w:t>be used</w:t>
      </w:r>
      <w:r w:rsidR="00505BE3">
        <w:t xml:space="preserve"> only</w:t>
      </w:r>
      <w:r w:rsidR="00A74E14" w:rsidRPr="00695126">
        <w:t xml:space="preserve"> to fulfill renewable requirements in the year in which the incremental electricity is generated</w:t>
      </w:r>
      <w:r w:rsidR="00505BE3" w:rsidRPr="00505BE3">
        <w:t>.</w:t>
      </w:r>
      <w:r w:rsidR="00505BE3" w:rsidRPr="00505BE3">
        <w:rPr>
          <w:vertAlign w:val="superscript"/>
        </w:rPr>
        <w:footnoteReference w:id="40"/>
      </w:r>
      <w:r w:rsidR="00505BE3" w:rsidRPr="00505BE3">
        <w:t xml:space="preserve"> </w:t>
      </w:r>
      <w:r w:rsidR="00505BE3">
        <w:t xml:space="preserve"> </w:t>
      </w:r>
      <w:r w:rsidR="00A74E14" w:rsidRPr="00695126">
        <w:t xml:space="preserve">Consequently, incremental hydro generation in 2012 must be </w:t>
      </w:r>
      <w:r w:rsidR="00505BE3">
        <w:t>used</w:t>
      </w:r>
      <w:r w:rsidR="00A74E14" w:rsidRPr="00695126">
        <w:t xml:space="preserve"> in 2012. Therefore, pre-2013 retirement of RECs for compliance with the Company’s 2012 renewable requirement for Washington is not recommended; some RECs may be unnecessarily retired and doing so would add costs to the Company’s compliance with renewable resource acquisition requirements which could then, in turn, be passed onto Washington ratepayers. For example, if </w:t>
      </w:r>
      <w:r w:rsidR="00A04960" w:rsidRPr="00695126">
        <w:t>PacifiCorp</w:t>
      </w:r>
      <w:r w:rsidR="00A74E14" w:rsidRPr="00695126">
        <w:t xml:space="preserve"> underestimated the 2012 volume of </w:t>
      </w:r>
      <w:r w:rsidR="00A74E14" w:rsidRPr="00695126">
        <w:lastRenderedPageBreak/>
        <w:t xml:space="preserve">incremental hydro generation and the actual volume turns out to be greater than 2,141 </w:t>
      </w:r>
      <w:r w:rsidR="0073784F">
        <w:t>megawatt-hours</w:t>
      </w:r>
      <w:r w:rsidR="00A74E14" w:rsidRPr="00695126">
        <w:t xml:space="preserve">, it follows that fewer than the 117,716 RECs the company has set aside for 2012 compliance would need to be retired. The number of RECs that </w:t>
      </w:r>
      <w:r w:rsidR="00A74E14" w:rsidRPr="00695126">
        <w:rPr>
          <w:i/>
        </w:rPr>
        <w:t>should</w:t>
      </w:r>
      <w:r w:rsidR="00A74E14" w:rsidRPr="00695126">
        <w:t xml:space="preserve"> be retired cannot be known until actual 2012 incremental hydro generation is known. Therefore, </w:t>
      </w:r>
      <w:r w:rsidR="007C217E">
        <w:t>Staff</w:t>
      </w:r>
      <w:r w:rsidR="001366EE">
        <w:t xml:space="preserve"> </w:t>
      </w:r>
      <w:r w:rsidR="00A74E14" w:rsidRPr="00695126">
        <w:t>recommend</w:t>
      </w:r>
      <w:r w:rsidR="001366EE">
        <w:t>s</w:t>
      </w:r>
      <w:r w:rsidR="00A74E14" w:rsidRPr="00695126">
        <w:t xml:space="preserve"> </w:t>
      </w:r>
      <w:r w:rsidR="0023110D">
        <w:t>that</w:t>
      </w:r>
      <w:r w:rsidR="00A74E14" w:rsidRPr="00695126">
        <w:t xml:space="preserve"> REC retirement </w:t>
      </w:r>
      <w:r w:rsidR="001366EE">
        <w:t>for 2012 compliance</w:t>
      </w:r>
      <w:r w:rsidR="00A74E14" w:rsidRPr="00695126">
        <w:t xml:space="preserve"> </w:t>
      </w:r>
      <w:r w:rsidR="0023110D">
        <w:t>is delayed until the Commission issues final determination of 2012 compliance.</w:t>
      </w:r>
      <w:r w:rsidR="00A74E14" w:rsidRPr="00695126">
        <w:t xml:space="preserve"> </w:t>
      </w:r>
    </w:p>
    <w:p w:rsidR="00A74E14" w:rsidRPr="00695126" w:rsidRDefault="00A74E14" w:rsidP="008F42B8">
      <w:r w:rsidRPr="00695126">
        <w:rPr>
          <w:b/>
        </w:rPr>
        <w:t xml:space="preserve">Incremental Hydro Models </w:t>
      </w:r>
    </w:p>
    <w:p w:rsidR="00A74E14" w:rsidRPr="00695126" w:rsidRDefault="00A74E14" w:rsidP="008F42B8">
      <w:r w:rsidRPr="00695126">
        <w:t xml:space="preserve">In its June 1, 2012 filing, </w:t>
      </w:r>
      <w:r w:rsidR="00A04960" w:rsidRPr="00695126">
        <w:t>PacifiCorp</w:t>
      </w:r>
      <w:r w:rsidRPr="00695126">
        <w:t xml:space="preserve"> included a compact disc containing CONFIDENTIAL spre</w:t>
      </w:r>
      <w:r w:rsidR="0023110D">
        <w:t>adsheets wherein the Company</w:t>
      </w:r>
      <w:r w:rsidRPr="00695126">
        <w:t xml:space="preserve"> presented </w:t>
      </w:r>
      <w:r w:rsidR="00505BE3">
        <w:t>its</w:t>
      </w:r>
      <w:r w:rsidRPr="00695126">
        <w:t xml:space="preserve"> models for calculating incremental hydro generation resulting from facility efficiency improvements. Although any deviation of actual 2012 hydro production from 2012 estimates is very unlikely to influence </w:t>
      </w:r>
      <w:r w:rsidR="007C217E">
        <w:t>Staff</w:t>
      </w:r>
      <w:r w:rsidRPr="00695126">
        <w:t xml:space="preserve">’s conclusion that </w:t>
      </w:r>
      <w:r w:rsidR="00A04960" w:rsidRPr="00695126">
        <w:t>PacifiCorp</w:t>
      </w:r>
      <w:r w:rsidRPr="00695126">
        <w:t xml:space="preserve"> </w:t>
      </w:r>
      <w:r w:rsidR="004025A3">
        <w:t>is expected to meet</w:t>
      </w:r>
      <w:r w:rsidRPr="00695126">
        <w:t xml:space="preserve"> </w:t>
      </w:r>
      <w:r w:rsidR="004025A3">
        <w:t>its</w:t>
      </w:r>
      <w:r w:rsidR="004025A3" w:rsidRPr="00695126">
        <w:t xml:space="preserve"> </w:t>
      </w:r>
      <w:r w:rsidRPr="00695126">
        <w:t xml:space="preserve">2012 renewable target (as described in the previous section), it is still necessary that </w:t>
      </w:r>
      <w:r w:rsidR="007C217E">
        <w:t>Staff</w:t>
      </w:r>
      <w:r w:rsidRPr="00695126">
        <w:t xml:space="preserve"> scrutinize the model underlying these calculations to ensure that it has been properly constructed. In legitimizing the reported level of incremental hydro generation, </w:t>
      </w:r>
      <w:r w:rsidR="007C217E">
        <w:t>Staff</w:t>
      </w:r>
      <w:r w:rsidRPr="00695126">
        <w:t xml:space="preserve"> would be in effect legitimizing the model inputs, assumptions and parameters upon which the annual incremental generation calculations are based. We are establishing, through the investigation of the information associated with this 2012 report, a foundation for future calculations of qualifying incremental hydro generation. </w:t>
      </w:r>
      <w:r w:rsidR="007C217E">
        <w:t>Staff</w:t>
      </w:r>
      <w:r w:rsidR="004025A3">
        <w:t xml:space="preserve"> does</w:t>
      </w:r>
      <w:r w:rsidRPr="00695126">
        <w:t xml:space="preserve"> not feel that the models can be adequately evaluated within the time</w:t>
      </w:r>
      <w:r w:rsidR="00505BE3">
        <w:t xml:space="preserve"> available</w:t>
      </w:r>
      <w:r w:rsidRPr="00695126">
        <w:t xml:space="preserve">. </w:t>
      </w:r>
      <w:r w:rsidR="007C217E">
        <w:t>Staff</w:t>
      </w:r>
      <w:r w:rsidRPr="00695126">
        <w:t xml:space="preserve"> recommends that </w:t>
      </w:r>
      <w:r w:rsidR="0023110D">
        <w:t>additional</w:t>
      </w:r>
      <w:r w:rsidRPr="00695126">
        <w:t xml:space="preserve"> time be granted for proper scrutiny of the incremental hydro models. </w:t>
      </w:r>
    </w:p>
    <w:p w:rsidR="00A74E14" w:rsidRPr="00695126" w:rsidRDefault="00A74E14" w:rsidP="008F42B8">
      <w:r w:rsidRPr="00695126">
        <w:rPr>
          <w:b/>
        </w:rPr>
        <w:t>Reporting Requirements</w:t>
      </w:r>
    </w:p>
    <w:p w:rsidR="00A74E14" w:rsidRDefault="0075203A" w:rsidP="008F42B8">
      <w:r>
        <w:rPr>
          <w:rFonts w:eastAsiaTheme="minorHAnsi"/>
        </w:rPr>
        <w:t xml:space="preserve">Because PacifiCorp is not requesting a determination of compliance with the 2012 target in this report, </w:t>
      </w:r>
      <w:r w:rsidR="00A04960" w:rsidRPr="00695126">
        <w:t>PacifiCorp</w:t>
      </w:r>
      <w:r w:rsidR="00A74E14" w:rsidRPr="00695126">
        <w:t xml:space="preserve"> </w:t>
      </w:r>
      <w:r w:rsidR="00DA353F">
        <w:t>appears to have</w:t>
      </w:r>
      <w:r w:rsidR="00A74E14" w:rsidRPr="00695126">
        <w:t xml:space="preserve"> met</w:t>
      </w:r>
      <w:r w:rsidR="000F0F39">
        <w:t xml:space="preserve"> its</w:t>
      </w:r>
      <w:r w:rsidR="00A74E14" w:rsidRPr="00695126">
        <w:t xml:space="preserve"> reporting requirements </w:t>
      </w:r>
      <w:r>
        <w:t xml:space="preserve">at this time </w:t>
      </w:r>
      <w:r w:rsidR="00A74E14" w:rsidRPr="00695126">
        <w:t xml:space="preserve">pursuant to RCW 19.285.070, WAC 480-109-40, and the May 22, 2012 </w:t>
      </w:r>
      <w:r w:rsidR="007C217E">
        <w:t>Staff</w:t>
      </w:r>
      <w:r w:rsidR="00A74E14" w:rsidRPr="00695126">
        <w:t xml:space="preserve"> information request filed under Docket UE-110523</w:t>
      </w:r>
      <w:r w:rsidR="00FE3125">
        <w:t xml:space="preserve">. </w:t>
      </w:r>
      <w:r w:rsidR="00F45847">
        <w:t>Following final action by the Commission on this report, the company must send a summary of the report to customers within 90 days.</w:t>
      </w:r>
      <w:r w:rsidR="00F45847">
        <w:rPr>
          <w:rStyle w:val="FootnoteReference"/>
        </w:rPr>
        <w:footnoteReference w:id="41"/>
      </w:r>
    </w:p>
    <w:p w:rsidR="00505BE3" w:rsidRPr="00A04960" w:rsidRDefault="00505BE3" w:rsidP="008F42B8">
      <w:r>
        <w:t>PacifiCorp</w:t>
      </w:r>
      <w:r w:rsidRPr="00505BE3">
        <w:t xml:space="preserve"> used a reporting template developed by the Department of Commerce to submit renewable energy information to that agency, as required by RCW 19.285.070(1) and WAC 480</w:t>
      </w:r>
      <w:r w:rsidRPr="00505BE3">
        <w:noBreakHyphen/>
        <w:t>109</w:t>
      </w:r>
      <w:r w:rsidRPr="00505BE3">
        <w:noBreakHyphen/>
        <w:t>040(1).</w:t>
      </w:r>
    </w:p>
    <w:p w:rsidR="0073784F" w:rsidRPr="00695126" w:rsidRDefault="0073784F" w:rsidP="000D7F7E">
      <w:pPr>
        <w:pStyle w:val="Heading1"/>
      </w:pPr>
      <w:r>
        <w:t>Interested Parties’ Response</w:t>
      </w:r>
    </w:p>
    <w:p w:rsidR="007C217E" w:rsidRDefault="007C217E" w:rsidP="0073784F">
      <w:r>
        <w:t>Staff</w:t>
      </w:r>
      <w:r w:rsidR="005517D3">
        <w:t xml:space="preserve"> contacted interested parties from Public Counsel, Northwest Energy Coalition</w:t>
      </w:r>
      <w:r>
        <w:t xml:space="preserve"> (NWEC)</w:t>
      </w:r>
      <w:r w:rsidR="005517D3">
        <w:t>, Renewable Northwest Project</w:t>
      </w:r>
      <w:r>
        <w:t>,</w:t>
      </w:r>
      <w:r w:rsidR="005517D3">
        <w:t xml:space="preserve"> the Energy Project</w:t>
      </w:r>
      <w:r>
        <w:t xml:space="preserve"> and the Oregon Department of Energy</w:t>
      </w:r>
      <w:r w:rsidR="00E07BC9">
        <w:t xml:space="preserve">. </w:t>
      </w:r>
      <w:r>
        <w:t>NWEC raised a concern</w:t>
      </w:r>
      <w:r w:rsidR="005517D3">
        <w:t xml:space="preserve"> that </w:t>
      </w:r>
      <w:r>
        <w:t>Avista</w:t>
      </w:r>
      <w:r w:rsidR="005517D3">
        <w:t xml:space="preserve"> generated renewable energy from </w:t>
      </w:r>
      <w:proofErr w:type="spellStart"/>
      <w:r w:rsidR="005517D3">
        <w:t>Noxon</w:t>
      </w:r>
      <w:proofErr w:type="spellEnd"/>
      <w:r w:rsidR="005517D3">
        <w:t xml:space="preserve"> Rapids 2 for only part of 2011</w:t>
      </w:r>
      <w:r w:rsidR="007C1698">
        <w:t xml:space="preserve"> </w:t>
      </w:r>
      <w:r w:rsidR="005517D3">
        <w:t>but capitalized the cost over an entire year, thus affecting the revenue requirement and the amount the company intends to collect from ratepayers</w:t>
      </w:r>
      <w:r w:rsidR="00E07BC9">
        <w:t xml:space="preserve">. </w:t>
      </w:r>
      <w:r w:rsidR="00616B6D">
        <w:t>Companies may be considered in compliance with the law if they invest four percent of the total annual retail revenue requirement in the incremental costs of eligible renewable resources</w:t>
      </w:r>
      <w:r w:rsidR="00563462">
        <w:t xml:space="preserve"> or </w:t>
      </w:r>
      <w:proofErr w:type="spellStart"/>
      <w:r w:rsidR="00563462">
        <w:t>RECs</w:t>
      </w:r>
      <w:r w:rsidR="00616B6D">
        <w:t>.</w:t>
      </w:r>
      <w:proofErr w:type="spellEnd"/>
      <w:r w:rsidR="00616B6D">
        <w:rPr>
          <w:rStyle w:val="FootnoteReference"/>
        </w:rPr>
        <w:footnoteReference w:id="42"/>
      </w:r>
      <w:r w:rsidR="00CB2134">
        <w:t xml:space="preserve"> </w:t>
      </w:r>
      <w:r w:rsidR="00563462">
        <w:t xml:space="preserve">Avista is currently significantly below the </w:t>
      </w:r>
      <w:r w:rsidR="000F038F">
        <w:t xml:space="preserve">four </w:t>
      </w:r>
      <w:r w:rsidR="00563462">
        <w:t>percent revenue requirement, but this issue might affect the amount of renewable resources the company must acquire</w:t>
      </w:r>
      <w:r w:rsidR="007C1698" w:rsidRPr="007C1698">
        <w:t xml:space="preserve"> </w:t>
      </w:r>
      <w:r w:rsidR="007C1698">
        <w:t>in the future</w:t>
      </w:r>
      <w:r w:rsidR="00563462">
        <w:t>.</w:t>
      </w:r>
      <w:r>
        <w:t xml:space="preserve"> </w:t>
      </w:r>
    </w:p>
    <w:p w:rsidR="007C217E" w:rsidRDefault="007C217E" w:rsidP="0073784F">
      <w:r>
        <w:lastRenderedPageBreak/>
        <w:t>NWEC shared Staff</w:t>
      </w:r>
      <w:r w:rsidR="00326540">
        <w:t>’s</w:t>
      </w:r>
      <w:r>
        <w:t xml:space="preserve"> concern that all three companies use market prices for comparison with renewable energy in incremental cost calculations (discussed below).  </w:t>
      </w:r>
    </w:p>
    <w:p w:rsidR="00DA353F" w:rsidRDefault="00DA353F" w:rsidP="0073784F">
      <w:r>
        <w:t>On July 10, 2012, Staff consulted with Oregon Department of Energy (ODOE) regarding incremental hydro calculation issues and REC</w:t>
      </w:r>
      <w:r w:rsidR="00326540">
        <w:t xml:space="preserve"> issue</w:t>
      </w:r>
      <w:r>
        <w:t>s relevant to both agencies. ODOE has consulted with the US Army Corps of Engineers (ACE) to assist in evaluati</w:t>
      </w:r>
      <w:r w:rsidR="00326540">
        <w:t>ng</w:t>
      </w:r>
      <w:r>
        <w:t xml:space="preserve"> hydro models proposed by regulated companies in Oregon. ACE hydrologists with specific expertise in modeling have been reviewing hydro models proposed by utilities in Oregon. ODOE echoed concerns with aspects of the Washington models that are already being considered by Staff. ODOE also raised the concern that incremental hydro resources may be double counted between Washington and Oregon by PacifiCorp and Avista, because incremental hydro does not generate RECs eligible for use in Washington, but RECs may be used to meet Oregon or other state</w:t>
      </w:r>
      <w:r w:rsidR="0073784F">
        <w:t>s</w:t>
      </w:r>
      <w:r w:rsidR="00CB2134">
        <w:t xml:space="preserve">’ requirements. </w:t>
      </w:r>
      <w:r>
        <w:t xml:space="preserve">Staff requests additional time to investigate this issue. </w:t>
      </w:r>
    </w:p>
    <w:p w:rsidR="00451211" w:rsidRPr="00B32F46" w:rsidRDefault="00DD157A" w:rsidP="000D7F7E">
      <w:pPr>
        <w:pStyle w:val="Heading1"/>
      </w:pPr>
      <w:r>
        <w:t xml:space="preserve">Issues for </w:t>
      </w:r>
      <w:r w:rsidR="00C727C7">
        <w:t xml:space="preserve">Broader </w:t>
      </w:r>
      <w:r>
        <w:t>Consideration</w:t>
      </w:r>
    </w:p>
    <w:p w:rsidR="00451211" w:rsidRDefault="00451211" w:rsidP="00451211">
      <w:pPr>
        <w:rPr>
          <w:b/>
          <w:bCs/>
          <w:color w:val="000000"/>
        </w:rPr>
      </w:pPr>
      <w:r>
        <w:rPr>
          <w:b/>
          <w:bCs/>
          <w:color w:val="000000"/>
        </w:rPr>
        <w:t xml:space="preserve">Initial RPS Target Year </w:t>
      </w:r>
    </w:p>
    <w:p w:rsidR="00451211" w:rsidRDefault="00451211" w:rsidP="00451211">
      <w:pPr>
        <w:rPr>
          <w:color w:val="000000"/>
        </w:rPr>
      </w:pPr>
      <w:r>
        <w:rPr>
          <w:color w:val="000000"/>
        </w:rPr>
        <w:t>The statute and the rule</w:t>
      </w:r>
      <w:r w:rsidR="002A2AC4">
        <w:rPr>
          <w:color w:val="000000"/>
        </w:rPr>
        <w:t>s</w:t>
      </w:r>
      <w:r>
        <w:rPr>
          <w:color w:val="000000"/>
        </w:rPr>
        <w:t xml:space="preserve"> clearly establish the first target date for complying with the RPS requirements in the EIA as January 1, 2012</w:t>
      </w:r>
      <w:r w:rsidR="003A3B57">
        <w:rPr>
          <w:color w:val="000000"/>
        </w:rPr>
        <w:t>.</w:t>
      </w:r>
      <w:r w:rsidR="002A2AC4">
        <w:rPr>
          <w:rStyle w:val="FootnoteReference"/>
          <w:color w:val="000000"/>
        </w:rPr>
        <w:footnoteReference w:id="43"/>
      </w:r>
      <w:r>
        <w:rPr>
          <w:color w:val="000000"/>
        </w:rPr>
        <w:t xml:space="preserve"> Elsewhere in the rule</w:t>
      </w:r>
      <w:r w:rsidR="002A2AC4">
        <w:rPr>
          <w:color w:val="000000"/>
        </w:rPr>
        <w:t>s</w:t>
      </w:r>
      <w:r>
        <w:rPr>
          <w:color w:val="000000"/>
        </w:rPr>
        <w:t xml:space="preserve">, the target is referred to as the </w:t>
      </w:r>
      <w:r w:rsidR="002A2AC4">
        <w:rPr>
          <w:color w:val="000000"/>
        </w:rPr>
        <w:t>“</w:t>
      </w:r>
      <w:r>
        <w:rPr>
          <w:color w:val="000000"/>
        </w:rPr>
        <w:t>annual renewable resource requirement.</w:t>
      </w:r>
      <w:r w:rsidR="002A2AC4">
        <w:rPr>
          <w:color w:val="000000"/>
        </w:rPr>
        <w:t>”</w:t>
      </w:r>
      <w:r w:rsidR="002A2AC4">
        <w:rPr>
          <w:rStyle w:val="FootnoteReference"/>
          <w:color w:val="000000"/>
        </w:rPr>
        <w:footnoteReference w:id="44"/>
      </w:r>
      <w:r>
        <w:rPr>
          <w:color w:val="000000"/>
        </w:rPr>
        <w:t xml:space="preserve"> Further, WAC 480</w:t>
      </w:r>
      <w:r>
        <w:rPr>
          <w:color w:val="000000"/>
        </w:rPr>
        <w:noBreakHyphen/>
        <w:t>109</w:t>
      </w:r>
      <w:r>
        <w:rPr>
          <w:color w:val="000000"/>
        </w:rPr>
        <w:noBreakHyphen/>
        <w:t xml:space="preserve">020(1)(a) specifies that the target must be met for the </w:t>
      </w:r>
      <w:r w:rsidR="003A3B57">
        <w:rPr>
          <w:color w:val="000000"/>
        </w:rPr>
        <w:t>remainder of the year.</w:t>
      </w:r>
      <w:r>
        <w:rPr>
          <w:color w:val="000000"/>
        </w:rPr>
        <w:t xml:space="preserve"> This establishes that the renewable resource requirement must be met for the entire target year, not just o</w:t>
      </w:r>
      <w:r w:rsidR="002A2AC4">
        <w:rPr>
          <w:color w:val="000000"/>
        </w:rPr>
        <w:t>n January 1 of the target year.</w:t>
      </w:r>
      <w:r>
        <w:rPr>
          <w:color w:val="000000"/>
        </w:rPr>
        <w:t xml:space="preserve"> </w:t>
      </w:r>
    </w:p>
    <w:p w:rsidR="00451211" w:rsidRDefault="00451211" w:rsidP="00451211">
      <w:pPr>
        <w:rPr>
          <w:color w:val="000000"/>
        </w:rPr>
      </w:pPr>
      <w:r>
        <w:rPr>
          <w:color w:val="000000"/>
        </w:rPr>
        <w:t>A source of confusion on defining the first target year comes from paragraph 33 in General Order R</w:t>
      </w:r>
      <w:r w:rsidR="003A3B57">
        <w:rPr>
          <w:color w:val="000000"/>
        </w:rPr>
        <w:noBreakHyphen/>
      </w:r>
      <w:r>
        <w:rPr>
          <w:color w:val="000000"/>
        </w:rPr>
        <w:t>546, adopting WAC 480-109.</w:t>
      </w:r>
      <w:r w:rsidR="00F845BC">
        <w:rPr>
          <w:rStyle w:val="FootnoteReference"/>
          <w:color w:val="000000"/>
        </w:rPr>
        <w:footnoteReference w:id="45"/>
      </w:r>
      <w:r>
        <w:rPr>
          <w:color w:val="000000"/>
        </w:rPr>
        <w:t xml:space="preserve"> In that Order, the Commission stated: </w:t>
      </w:r>
    </w:p>
    <w:p w:rsidR="00451211" w:rsidRDefault="00451211" w:rsidP="00451211">
      <w:pPr>
        <w:ind w:left="720" w:right="720"/>
        <w:rPr>
          <w:color w:val="000000"/>
        </w:rPr>
      </w:pPr>
      <w:r w:rsidRPr="00875E90">
        <w:rPr>
          <w:color w:val="000000"/>
        </w:rPr>
        <w:t>The statute requires, and the rules provide, that by January 1, 2012, a utility must demonstrate that three percent of its average load for 2010 and 2011 was either produced by renewable resources during 2011, and/or RE</w:t>
      </w:r>
      <w:r>
        <w:rPr>
          <w:color w:val="000000"/>
        </w:rPr>
        <w:t>Cs acquired by January 1, 2012.</w:t>
      </w:r>
      <w:r w:rsidRPr="00875E90">
        <w:rPr>
          <w:color w:val="000000"/>
        </w:rPr>
        <w:t xml:space="preserve"> </w:t>
      </w:r>
      <w:r>
        <w:rPr>
          <w:color w:val="000000"/>
        </w:rPr>
        <w:t>The rule provision that RECs may represent megawatt-hours generated in 2010, 2011, or 2012 is consistent with the statute.</w:t>
      </w:r>
    </w:p>
    <w:p w:rsidR="00451211" w:rsidRDefault="00451211" w:rsidP="00451211">
      <w:pPr>
        <w:rPr>
          <w:color w:val="000000"/>
        </w:rPr>
      </w:pPr>
      <w:r>
        <w:rPr>
          <w:color w:val="000000"/>
        </w:rPr>
        <w:t>This seems to suggest that the Commission interpreted 2011 to be the first target year. RCW 19.285.040(1)(a) is the only place where the first target year is specified; thereafter the statute simply refers to “the target year.” Nowhere in the statute or rule is a 2011 target mentioned. The statute states that utilities must use eligible renewable resources or acquire RECs to meet the annual targets by January 1, 2012. The rules adopted by the Department of Commerce explicitly require utilities to own the eligible renewable resources, have contracts for renewable resources or have contracts for RECs no later than January 1 of the target year,</w:t>
      </w:r>
      <w:r w:rsidR="008A0CCA">
        <w:rPr>
          <w:rStyle w:val="FootnoteReference"/>
          <w:color w:val="000000"/>
        </w:rPr>
        <w:footnoteReference w:id="46"/>
      </w:r>
      <w:r>
        <w:rPr>
          <w:color w:val="000000"/>
        </w:rPr>
        <w:t xml:space="preserve"> which is defined as 2012 in WAC 194</w:t>
      </w:r>
      <w:r w:rsidR="003A3B57">
        <w:rPr>
          <w:color w:val="000000"/>
        </w:rPr>
        <w:noBreakHyphen/>
        <w:t>37</w:t>
      </w:r>
      <w:r w:rsidR="003A3B57">
        <w:rPr>
          <w:color w:val="000000"/>
        </w:rPr>
        <w:noBreakHyphen/>
        <w:t>110(1)(b).</w:t>
      </w:r>
      <w:r>
        <w:rPr>
          <w:color w:val="000000"/>
        </w:rPr>
        <w:t xml:space="preserve"> Resources </w:t>
      </w:r>
      <w:r>
        <w:rPr>
          <w:color w:val="000000"/>
        </w:rPr>
        <w:lastRenderedPageBreak/>
        <w:t>acquired by January 1, 2012</w:t>
      </w:r>
      <w:r w:rsidR="00057939">
        <w:rPr>
          <w:color w:val="000000"/>
        </w:rPr>
        <w:t>,</w:t>
      </w:r>
      <w:r>
        <w:rPr>
          <w:color w:val="000000"/>
        </w:rPr>
        <w:t xml:space="preserve"> may also </w:t>
      </w:r>
      <w:r w:rsidRPr="00875E90">
        <w:rPr>
          <w:color w:val="000000"/>
        </w:rPr>
        <w:t xml:space="preserve">produce </w:t>
      </w:r>
      <w:r>
        <w:rPr>
          <w:color w:val="000000"/>
        </w:rPr>
        <w:t>RECs during the remainder of the target year and the subsequent year to meet the annual target.</w:t>
      </w:r>
      <w:r w:rsidR="009E7A08">
        <w:rPr>
          <w:rStyle w:val="FootnoteReference"/>
          <w:color w:val="000000"/>
        </w:rPr>
        <w:footnoteReference w:id="47"/>
      </w:r>
      <w:r>
        <w:rPr>
          <w:color w:val="000000"/>
        </w:rPr>
        <w:t xml:space="preserve"> </w:t>
      </w:r>
    </w:p>
    <w:p w:rsidR="00451211" w:rsidRDefault="00451211" w:rsidP="00451211">
      <w:pPr>
        <w:rPr>
          <w:color w:val="000000"/>
        </w:rPr>
      </w:pPr>
      <w:r>
        <w:rPr>
          <w:color w:val="000000"/>
        </w:rPr>
        <w:t>Further, WAC 480-109-040(1)(d) states “The [June 1, 2012] report must describe the steps the utility is taking to meet the renewable resource requirements for the current year.” This statement indicates that 2012 is the first target year, because it is also the first reporting year, and reporting must be done on meeting the target for the current year.</w:t>
      </w:r>
    </w:p>
    <w:p w:rsidR="003A3B57" w:rsidRDefault="00451211" w:rsidP="00451211">
      <w:pPr>
        <w:rPr>
          <w:color w:val="000000"/>
        </w:rPr>
      </w:pPr>
      <w:r>
        <w:rPr>
          <w:color w:val="000000"/>
        </w:rPr>
        <w:t xml:space="preserve">However, the Commission stated in paragraph 38 of </w:t>
      </w:r>
      <w:r w:rsidR="003A3B57">
        <w:rPr>
          <w:color w:val="000000"/>
        </w:rPr>
        <w:t>O</w:t>
      </w:r>
      <w:r>
        <w:rPr>
          <w:color w:val="000000"/>
        </w:rPr>
        <w:t xml:space="preserve">rder </w:t>
      </w:r>
      <w:r w:rsidR="003A3B57">
        <w:rPr>
          <w:color w:val="000000"/>
        </w:rPr>
        <w:t>R</w:t>
      </w:r>
      <w:r w:rsidR="003A3B57">
        <w:rPr>
          <w:color w:val="000000"/>
        </w:rPr>
        <w:noBreakHyphen/>
        <w:t xml:space="preserve">546 </w:t>
      </w:r>
      <w:r>
        <w:rPr>
          <w:color w:val="000000"/>
        </w:rPr>
        <w:t>adopting WAC 480-109</w:t>
      </w:r>
      <w:r w:rsidR="003A3B57">
        <w:rPr>
          <w:color w:val="000000"/>
        </w:rPr>
        <w:t>:</w:t>
      </w:r>
    </w:p>
    <w:p w:rsidR="00451211" w:rsidRDefault="00451211" w:rsidP="00451211">
      <w:pPr>
        <w:ind w:left="720" w:right="720"/>
        <w:rPr>
          <w:color w:val="1F497D"/>
        </w:rPr>
      </w:pPr>
      <w:r>
        <w:rPr>
          <w:color w:val="000000"/>
        </w:rPr>
        <w:t xml:space="preserve">The rule </w:t>
      </w:r>
      <w:r w:rsidR="003A3B57">
        <w:rPr>
          <w:color w:val="000000"/>
        </w:rPr>
        <w:t>[WAC 480</w:t>
      </w:r>
      <w:r w:rsidR="003A3B57">
        <w:rPr>
          <w:color w:val="000000"/>
        </w:rPr>
        <w:noBreakHyphen/>
        <w:t>109</w:t>
      </w:r>
      <w:r w:rsidR="003A3B57">
        <w:rPr>
          <w:color w:val="000000"/>
        </w:rPr>
        <w:noBreakHyphen/>
        <w:t xml:space="preserve">040(1)(d)] </w:t>
      </w:r>
      <w:r>
        <w:rPr>
          <w:color w:val="000000"/>
        </w:rPr>
        <w:t>is sufficiently clear that in the first report submitted on June 1, 2012, a utility must demonstrate that it complied with the requirements of</w:t>
      </w:r>
      <w:r w:rsidR="003A3B57">
        <w:rPr>
          <w:color w:val="000000"/>
        </w:rPr>
        <w:t xml:space="preserve"> WAC 480</w:t>
      </w:r>
      <w:r w:rsidR="003A3B57">
        <w:rPr>
          <w:color w:val="000000"/>
        </w:rPr>
        <w:noBreakHyphen/>
        <w:t>109</w:t>
      </w:r>
      <w:r w:rsidR="003A3B57">
        <w:rPr>
          <w:color w:val="000000"/>
        </w:rPr>
        <w:noBreakHyphen/>
        <w:t xml:space="preserve">020 </w:t>
      </w:r>
      <w:r>
        <w:rPr>
          <w:color w:val="000000"/>
        </w:rPr>
        <w:t>and describe its progress towards meeting the January 1, 2013, renewable target.</w:t>
      </w:r>
    </w:p>
    <w:p w:rsidR="00451211" w:rsidRPr="00451211" w:rsidRDefault="00451211" w:rsidP="00451211">
      <w:pPr>
        <w:rPr>
          <w:color w:val="000000"/>
        </w:rPr>
      </w:pPr>
      <w:r>
        <w:rPr>
          <w:color w:val="000000"/>
        </w:rPr>
        <w:t xml:space="preserve">That the utilities are reporting on compliance with the requirements of WAC 480-109-020 on June </w:t>
      </w:r>
      <w:r w:rsidRPr="00875E90">
        <w:rPr>
          <w:color w:val="000000"/>
        </w:rPr>
        <w:t xml:space="preserve">1, </w:t>
      </w:r>
      <w:r>
        <w:rPr>
          <w:color w:val="000000"/>
        </w:rPr>
        <w:t xml:space="preserve">2012, implies that that 2012 </w:t>
      </w:r>
      <w:r w:rsidRPr="00875E90">
        <w:rPr>
          <w:color w:val="000000"/>
        </w:rPr>
        <w:t>is</w:t>
      </w:r>
      <w:r>
        <w:rPr>
          <w:color w:val="000000"/>
        </w:rPr>
        <w:t xml:space="preserve"> the first compliance year, and that the information provided on progress toward meeting the 2013 renewable target is not intended for compliance purposes at that tim</w:t>
      </w:r>
      <w:r w:rsidR="00EE209B">
        <w:rPr>
          <w:color w:val="000000"/>
        </w:rPr>
        <w:t>e.</w:t>
      </w:r>
      <w:r>
        <w:rPr>
          <w:color w:val="000000"/>
        </w:rPr>
        <w:t xml:space="preserve"> It appears that between paragraph 33 an</w:t>
      </w:r>
      <w:r w:rsidR="00672B49">
        <w:rPr>
          <w:color w:val="000000"/>
        </w:rPr>
        <w:t>d paragraph 38, General Order R</w:t>
      </w:r>
      <w:r w:rsidR="00672B49">
        <w:rPr>
          <w:color w:val="000000"/>
        </w:rPr>
        <w:noBreakHyphen/>
      </w:r>
      <w:r>
        <w:rPr>
          <w:color w:val="000000"/>
        </w:rPr>
        <w:t xml:space="preserve">546 is </w:t>
      </w:r>
      <w:r w:rsidR="00672B49">
        <w:rPr>
          <w:color w:val="000000"/>
        </w:rPr>
        <w:t xml:space="preserve">internally </w:t>
      </w:r>
      <w:r>
        <w:rPr>
          <w:color w:val="000000"/>
        </w:rPr>
        <w:t xml:space="preserve">inconsistent in its implicit determination of the target year. </w:t>
      </w:r>
    </w:p>
    <w:p w:rsidR="00451211" w:rsidRPr="00451211" w:rsidRDefault="00451211" w:rsidP="00451211">
      <w:pPr>
        <w:rPr>
          <w:rFonts w:cstheme="minorHAnsi"/>
        </w:rPr>
      </w:pPr>
      <w:r>
        <w:rPr>
          <w:rFonts w:cstheme="minorHAnsi"/>
        </w:rPr>
        <w:t xml:space="preserve">Paragraph 33 of General Order R-546 is the only reference to a 2011 initial target year that Staff was able to find in the statute, the rules adopted by the Commission and Commerce, or the recommendations of RPS Working Group. Based on this body of work, Staff interprets the </w:t>
      </w:r>
      <w:r w:rsidR="00057939">
        <w:rPr>
          <w:rFonts w:cstheme="minorHAnsi"/>
        </w:rPr>
        <w:t xml:space="preserve">statute </w:t>
      </w:r>
      <w:r>
        <w:rPr>
          <w:rFonts w:cstheme="minorHAnsi"/>
        </w:rPr>
        <w:t>and rule to set the initial RPS target year for the EIA as 2012.</w:t>
      </w:r>
    </w:p>
    <w:p w:rsidR="00451211" w:rsidRPr="00451211" w:rsidRDefault="00451211" w:rsidP="00451211">
      <w:pPr>
        <w:rPr>
          <w:color w:val="000000"/>
        </w:rPr>
      </w:pPr>
      <w:r>
        <w:rPr>
          <w:color w:val="000000"/>
        </w:rPr>
        <w:t>Turning to reporting, the utilities may use RECs generated during the target year and subsequent year,</w:t>
      </w:r>
      <w:r w:rsidR="00C76623">
        <w:rPr>
          <w:rStyle w:val="FootnoteReference"/>
          <w:color w:val="000000"/>
        </w:rPr>
        <w:footnoteReference w:id="48"/>
      </w:r>
      <w:r>
        <w:rPr>
          <w:color w:val="000000"/>
        </w:rPr>
        <w:t xml:space="preserve"> which means it is unlikely that the reports will be able to indicate whether the company is in compliance for that year. Rather the RPS reports can provide current year progress and renewable acquisition for prior year compliance. Compliance for any given year might not be determined until subsequent years. For example, a company could hold 2012 and 2013 RECs in reserve for 2012 compliance and not decide how many 2013 RECs to use until the 2014 compliance year (</w:t>
      </w:r>
      <w:r w:rsidR="00775AD6">
        <w:rPr>
          <w:color w:val="000000"/>
        </w:rPr>
        <w:t>s</w:t>
      </w:r>
      <w:r>
        <w:rPr>
          <w:color w:val="000000"/>
        </w:rPr>
        <w:t>ee Appendix B). As recommended by the report from the RPS Workgroup, Staff supports setting a timeline for determining final compliance no later than June 1 two years after a given compliance year (e.g. provide final determination by June 1, 2014</w:t>
      </w:r>
      <w:r w:rsidR="00775AD6">
        <w:rPr>
          <w:color w:val="000000"/>
        </w:rPr>
        <w:t xml:space="preserve"> for the 2012 compliance year).</w:t>
      </w:r>
      <w:r>
        <w:rPr>
          <w:color w:val="000000"/>
        </w:rPr>
        <w:t xml:space="preserve"> Establishing a two-year timeline for final compliance determination would prevent a backlog of unapproved compliance filings.</w:t>
      </w:r>
    </w:p>
    <w:p w:rsidR="00451211" w:rsidRDefault="00451211" w:rsidP="00451211">
      <w:pPr>
        <w:rPr>
          <w:b/>
          <w:bCs/>
          <w:color w:val="000000"/>
        </w:rPr>
      </w:pPr>
      <w:r>
        <w:rPr>
          <w:b/>
          <w:bCs/>
          <w:color w:val="000000"/>
        </w:rPr>
        <w:t xml:space="preserve">REC </w:t>
      </w:r>
      <w:r w:rsidR="00026A2C">
        <w:rPr>
          <w:b/>
          <w:bCs/>
          <w:color w:val="000000"/>
        </w:rPr>
        <w:t>Acquisition T</w:t>
      </w:r>
      <w:r>
        <w:rPr>
          <w:b/>
          <w:bCs/>
          <w:color w:val="000000"/>
        </w:rPr>
        <w:t>imeline</w:t>
      </w:r>
    </w:p>
    <w:p w:rsidR="00451211" w:rsidRDefault="00451211" w:rsidP="00451211">
      <w:pPr>
        <w:rPr>
          <w:color w:val="000000"/>
        </w:rPr>
      </w:pPr>
      <w:r>
        <w:rPr>
          <w:color w:val="000000"/>
        </w:rPr>
        <w:t xml:space="preserve">In addition to confusion around the initial target year, there is also a lack of clarity surrounding when renewable resources and/or RECs must be acquired. Unless </w:t>
      </w:r>
      <w:r w:rsidRPr="00875E90">
        <w:rPr>
          <w:color w:val="000000"/>
        </w:rPr>
        <w:t>converted to</w:t>
      </w:r>
      <w:r>
        <w:rPr>
          <w:color w:val="000000"/>
        </w:rPr>
        <w:t xml:space="preserve"> REC</w:t>
      </w:r>
      <w:r w:rsidRPr="00875E90">
        <w:rPr>
          <w:color w:val="000000"/>
        </w:rPr>
        <w:t>s</w:t>
      </w:r>
      <w:r>
        <w:rPr>
          <w:color w:val="000000"/>
        </w:rPr>
        <w:t xml:space="preserve">, </w:t>
      </w:r>
      <w:r w:rsidRPr="00875E90">
        <w:rPr>
          <w:color w:val="000000"/>
        </w:rPr>
        <w:t>megawatt-hours from</w:t>
      </w:r>
      <w:r>
        <w:rPr>
          <w:color w:val="000000"/>
        </w:rPr>
        <w:t xml:space="preserve"> eligible renewable resources must be used for target year compliance in the year in which </w:t>
      </w:r>
      <w:r w:rsidRPr="00875E90">
        <w:rPr>
          <w:color w:val="000000"/>
        </w:rPr>
        <w:t>they were</w:t>
      </w:r>
      <w:r>
        <w:rPr>
          <w:color w:val="000000"/>
        </w:rPr>
        <w:t xml:space="preserve"> </w:t>
      </w:r>
      <w:r>
        <w:rPr>
          <w:color w:val="000000"/>
        </w:rPr>
        <w:lastRenderedPageBreak/>
        <w:t>generated.</w:t>
      </w:r>
      <w:r w:rsidR="00775AD6">
        <w:rPr>
          <w:rStyle w:val="FootnoteReference"/>
          <w:color w:val="000000"/>
        </w:rPr>
        <w:footnoteReference w:id="49"/>
      </w:r>
      <w:r>
        <w:rPr>
          <w:color w:val="000000"/>
        </w:rPr>
        <w:t xml:space="preserve"> However, the only eligible renewable resource that cannot </w:t>
      </w:r>
      <w:r w:rsidRPr="00875E90">
        <w:rPr>
          <w:color w:val="000000"/>
        </w:rPr>
        <w:t>produce</w:t>
      </w:r>
      <w:r>
        <w:rPr>
          <w:color w:val="000000"/>
        </w:rPr>
        <w:t xml:space="preserve"> REC</w:t>
      </w:r>
      <w:r w:rsidRPr="00875E90">
        <w:rPr>
          <w:color w:val="000000"/>
        </w:rPr>
        <w:t>s</w:t>
      </w:r>
      <w:r>
        <w:rPr>
          <w:color w:val="000000"/>
        </w:rPr>
        <w:t xml:space="preserve"> is a generation facility that is powered by fresh water.</w:t>
      </w:r>
      <w:r w:rsidR="004B6608">
        <w:rPr>
          <w:rStyle w:val="FootnoteReference"/>
          <w:color w:val="000000"/>
        </w:rPr>
        <w:footnoteReference w:id="50"/>
      </w:r>
      <w:r>
        <w:rPr>
          <w:color w:val="000000"/>
        </w:rPr>
        <w:t xml:space="preserve"> </w:t>
      </w:r>
      <w:r w:rsidR="002A2AC4">
        <w:rPr>
          <w:color w:val="000000"/>
        </w:rPr>
        <w:t>A</w:t>
      </w:r>
      <w:r>
        <w:rPr>
          <w:color w:val="000000"/>
        </w:rPr>
        <w:t xml:space="preserve">ll other eligible renewable resources may be </w:t>
      </w:r>
      <w:r w:rsidRPr="00875E90">
        <w:rPr>
          <w:color w:val="000000"/>
        </w:rPr>
        <w:t>converted to</w:t>
      </w:r>
      <w:r>
        <w:rPr>
          <w:color w:val="000000"/>
        </w:rPr>
        <w:t xml:space="preserve"> </w:t>
      </w:r>
      <w:proofErr w:type="spellStart"/>
      <w:r>
        <w:rPr>
          <w:color w:val="000000"/>
        </w:rPr>
        <w:t>RECs.</w:t>
      </w:r>
      <w:proofErr w:type="spellEnd"/>
    </w:p>
    <w:p w:rsidR="00451211" w:rsidRDefault="00451211" w:rsidP="00451211">
      <w:pPr>
        <w:rPr>
          <w:color w:val="000000"/>
        </w:rPr>
      </w:pPr>
      <w:r>
        <w:rPr>
          <w:color w:val="000000"/>
        </w:rPr>
        <w:t>RCW 19.285.040(2)(e) states that RECs from the target year, the preceding year and the subsequent year may be used to comply with the target.</w:t>
      </w:r>
      <w:r w:rsidRPr="00875E90">
        <w:rPr>
          <w:rStyle w:val="FootnoteReference"/>
          <w:color w:val="000000"/>
        </w:rPr>
        <w:footnoteReference w:id="51"/>
      </w:r>
      <w:r w:rsidRPr="00875E90">
        <w:rPr>
          <w:color w:val="000000"/>
          <w:vertAlign w:val="superscript"/>
        </w:rPr>
        <w:t xml:space="preserve"> </w:t>
      </w:r>
      <w:r>
        <w:rPr>
          <w:color w:val="000000"/>
        </w:rPr>
        <w:t xml:space="preserve">WAC 480-109-020(2) states “Renewable energy credits produced during the target year, the preceding year or the subsequent year may be used to comply with this annual renewable resource requirement provided that they were </w:t>
      </w:r>
      <w:r>
        <w:rPr>
          <w:i/>
          <w:iCs/>
          <w:color w:val="000000"/>
        </w:rPr>
        <w:t>acquired by January 1 of the target year</w:t>
      </w:r>
      <w:r w:rsidR="000B05B1">
        <w:rPr>
          <w:color w:val="000000"/>
        </w:rPr>
        <w:t xml:space="preserve">” </w:t>
      </w:r>
      <w:r>
        <w:rPr>
          <w:color w:val="000000"/>
        </w:rPr>
        <w:t>(emphasis added).</w:t>
      </w:r>
    </w:p>
    <w:p w:rsidR="00451211" w:rsidRDefault="00451211" w:rsidP="00451211">
      <w:pPr>
        <w:rPr>
          <w:color w:val="000000"/>
        </w:rPr>
      </w:pPr>
      <w:r>
        <w:rPr>
          <w:color w:val="000000"/>
        </w:rPr>
        <w:t>General Order R-546, paragraph 33 also states:</w:t>
      </w:r>
    </w:p>
    <w:p w:rsidR="00451211" w:rsidRDefault="00451211" w:rsidP="00451211">
      <w:pPr>
        <w:ind w:left="720"/>
        <w:rPr>
          <w:color w:val="000000"/>
        </w:rPr>
      </w:pPr>
      <w:r>
        <w:rPr>
          <w:color w:val="000000"/>
        </w:rPr>
        <w:t>The statute requires, and the rules provide, that by January 1, 2012, a utility must demonstrate that three percent of its average load for 2010 and 2011 was either produced by renewable resources during 2011, and/or RECs acquired by January 1, 2012.</w:t>
      </w:r>
    </w:p>
    <w:p w:rsidR="00451211" w:rsidRDefault="00451211" w:rsidP="00451211">
      <w:pPr>
        <w:rPr>
          <w:color w:val="000000"/>
        </w:rPr>
      </w:pPr>
      <w:r>
        <w:rPr>
          <w:color w:val="000000"/>
        </w:rPr>
        <w:t>RECs are produced only when electricity from renewable resources is generated; RECs</w:t>
      </w:r>
      <w:r w:rsidR="000B05B1">
        <w:rPr>
          <w:color w:val="000000"/>
        </w:rPr>
        <w:t xml:space="preserve"> cannot be produced in advance.</w:t>
      </w:r>
      <w:r>
        <w:rPr>
          <w:color w:val="000000"/>
        </w:rPr>
        <w:t xml:space="preserve"> Therefore</w:t>
      </w:r>
      <w:r w:rsidR="000B05B1">
        <w:rPr>
          <w:color w:val="000000"/>
        </w:rPr>
        <w:t>,</w:t>
      </w:r>
      <w:r>
        <w:rPr>
          <w:color w:val="000000"/>
        </w:rPr>
        <w:t xml:space="preserve"> if companies are to be able to use RECs produced in the target year and subsequent year, they cannot be acquired by January 1 of the target year. The rules for reporting requirements should be consistent with the</w:t>
      </w:r>
      <w:r w:rsidR="000B05B1">
        <w:rPr>
          <w:color w:val="000000"/>
        </w:rPr>
        <w:t xml:space="preserve"> constraints of the REC market.</w:t>
      </w:r>
      <w:r>
        <w:rPr>
          <w:color w:val="000000"/>
        </w:rPr>
        <w:t xml:space="preserve"> </w:t>
      </w:r>
    </w:p>
    <w:p w:rsidR="00451211" w:rsidRDefault="00451211" w:rsidP="00451211">
      <w:pPr>
        <w:rPr>
          <w:color w:val="000000"/>
        </w:rPr>
      </w:pPr>
      <w:r>
        <w:rPr>
          <w:color w:val="000000"/>
        </w:rPr>
        <w:t>Rules adopted by the Department of Commerce address this issue by requiring utilities to acquire the resources or contracts for the RECs, rather than the actual RECs themselves, by January 1 of the target year.</w:t>
      </w:r>
      <w:r w:rsidR="000B05B1">
        <w:rPr>
          <w:rStyle w:val="FootnoteReference"/>
          <w:color w:val="000000"/>
        </w:rPr>
        <w:footnoteReference w:id="52"/>
      </w:r>
      <w:r>
        <w:rPr>
          <w:color w:val="000000"/>
        </w:rPr>
        <w:t xml:space="preserve"> Utilities can then apply the RECs </w:t>
      </w:r>
      <w:r w:rsidRPr="00875E90">
        <w:rPr>
          <w:color w:val="000000"/>
        </w:rPr>
        <w:t>produced</w:t>
      </w:r>
      <w:r>
        <w:rPr>
          <w:color w:val="000000"/>
        </w:rPr>
        <w:t xml:space="preserve"> during the target year toward the target. </w:t>
      </w:r>
    </w:p>
    <w:p w:rsidR="00451211" w:rsidRPr="00B32F46" w:rsidRDefault="00451211" w:rsidP="00BA3901">
      <w:pPr>
        <w:rPr>
          <w:color w:val="000000"/>
        </w:rPr>
      </w:pPr>
      <w:r w:rsidRPr="00875E90">
        <w:rPr>
          <w:color w:val="000000"/>
        </w:rPr>
        <w:t>Staff believes</w:t>
      </w:r>
      <w:r>
        <w:rPr>
          <w:color w:val="000000"/>
        </w:rPr>
        <w:t xml:space="preserve"> there are substantially different interpretations of the statute in the </w:t>
      </w:r>
      <w:r w:rsidR="00057939">
        <w:rPr>
          <w:color w:val="000000"/>
        </w:rPr>
        <w:t xml:space="preserve">Commission’s order adopting the rules and the plain language of the </w:t>
      </w:r>
      <w:r>
        <w:rPr>
          <w:color w:val="000000"/>
        </w:rPr>
        <w:t>rules adopted by the Commission and the Department of Commerce. In 2012, the Washington Legislature amended RCW Chapter 19.285 to alter the extent to which biomass energy qualifies as an eligible renewable resource.</w:t>
      </w:r>
      <w:r w:rsidR="000B05B1">
        <w:rPr>
          <w:rStyle w:val="FootnoteReference"/>
          <w:color w:val="000000"/>
        </w:rPr>
        <w:footnoteReference w:id="53"/>
      </w:r>
      <w:r>
        <w:rPr>
          <w:color w:val="000000"/>
        </w:rPr>
        <w:t xml:space="preserve"> Because of the legislative amendments, some of the rules in WAC 480-109 </w:t>
      </w:r>
      <w:r w:rsidR="000B05B1">
        <w:rPr>
          <w:color w:val="000000"/>
        </w:rPr>
        <w:t xml:space="preserve">are </w:t>
      </w:r>
      <w:r>
        <w:rPr>
          <w:color w:val="000000"/>
        </w:rPr>
        <w:t xml:space="preserve">no longer </w:t>
      </w:r>
      <w:r w:rsidR="000B05B1">
        <w:rPr>
          <w:color w:val="000000"/>
        </w:rPr>
        <w:t xml:space="preserve">consistent with </w:t>
      </w:r>
      <w:r>
        <w:rPr>
          <w:color w:val="000000"/>
        </w:rPr>
        <w:t xml:space="preserve">the statute. </w:t>
      </w:r>
      <w:r w:rsidRPr="00875E90">
        <w:rPr>
          <w:color w:val="000000"/>
        </w:rPr>
        <w:t>For both of those reasons,</w:t>
      </w:r>
      <w:r w:rsidRPr="00451211">
        <w:rPr>
          <w:color w:val="000000"/>
        </w:rPr>
        <w:t xml:space="preserve"> </w:t>
      </w:r>
      <w:r>
        <w:rPr>
          <w:color w:val="000000"/>
        </w:rPr>
        <w:t>Staff recommends that the Commission initiate a rule making</w:t>
      </w:r>
      <w:r w:rsidR="00B32F46">
        <w:rPr>
          <w:color w:val="000000"/>
        </w:rPr>
        <w:t xml:space="preserve"> process to update WAC 480-109.</w:t>
      </w:r>
    </w:p>
    <w:p w:rsidR="00BA3901" w:rsidRPr="008F42B8" w:rsidRDefault="00BA3901" w:rsidP="00BA3901">
      <w:pPr>
        <w:rPr>
          <w:b/>
        </w:rPr>
      </w:pPr>
      <w:r w:rsidRPr="008F42B8">
        <w:rPr>
          <w:b/>
        </w:rPr>
        <w:t>Incremental Cost Calculations</w:t>
      </w:r>
    </w:p>
    <w:p w:rsidR="00BA3901" w:rsidRDefault="00BA3901" w:rsidP="00BA3901">
      <w:r>
        <w:t>Each of the companies is required to report on the “type and cost of the least-cost substitute resources available to the utility that do not qualify as eligible renewable resources.</w:t>
      </w:r>
      <w:r w:rsidR="00577206">
        <w:t>”</w:t>
      </w:r>
      <w:r>
        <w:rPr>
          <w:rStyle w:val="FootnoteReference"/>
        </w:rPr>
        <w:footnoteReference w:id="54"/>
      </w:r>
      <w:r>
        <w:t xml:space="preserve"> A company may be considered in compliance with the EIA if it has invested </w:t>
      </w:r>
      <w:r w:rsidR="00577206">
        <w:t>four</w:t>
      </w:r>
      <w:r>
        <w:t xml:space="preserve"> percent of its total annual retail revenue </w:t>
      </w:r>
      <w:r>
        <w:lastRenderedPageBreak/>
        <w:t>requirement on the incremental costs of eligible renewable resources, the cost of RECs, or both. Although none of</w:t>
      </w:r>
      <w:r w:rsidR="00057939">
        <w:t xml:space="preserve"> the</w:t>
      </w:r>
      <w:r>
        <w:t xml:space="preserve"> three investor-owned utilities intend</w:t>
      </w:r>
      <w:r w:rsidR="00560651">
        <w:t>s</w:t>
      </w:r>
      <w:r>
        <w:t xml:space="preserve"> to use this alternative means of compliance</w:t>
      </w:r>
      <w:r w:rsidR="00560651">
        <w:t xml:space="preserve"> for 2012</w:t>
      </w:r>
      <w:r>
        <w:t>, the way they calculate incremental cost may become important in future years.</w:t>
      </w:r>
    </w:p>
    <w:p w:rsidR="00577206" w:rsidRDefault="00BA3901" w:rsidP="00BA3901">
      <w:r>
        <w:t>As defined in RCW 19.</w:t>
      </w:r>
      <w:r w:rsidR="00057939">
        <w:t>285</w:t>
      </w:r>
      <w:r>
        <w:t>.050(1)(b)</w:t>
      </w:r>
      <w:r w:rsidR="00577206">
        <w:t>:</w:t>
      </w:r>
    </w:p>
    <w:p w:rsidR="00BA3901" w:rsidRDefault="00BA3901" w:rsidP="00577206">
      <w:pPr>
        <w:ind w:left="720" w:right="720"/>
      </w:pPr>
      <w:r>
        <w:t xml:space="preserve">The incremental cost of an eligible renewable resource is calculated as the difference between the levelized delivered cost of the eligible renewable resource, regardless of the ownership, compared to the levelized delivered cost of an equivalent amount of </w:t>
      </w:r>
      <w:r w:rsidR="00057939">
        <w:t xml:space="preserve">reasonably </w:t>
      </w:r>
      <w:r>
        <w:t>available substitute resources that do not qualify as eligible resources, where the resources being compared have the same co</w:t>
      </w:r>
      <w:r w:rsidR="00577206">
        <w:t>ntract length or facility life.</w:t>
      </w:r>
      <w:r>
        <w:t xml:space="preserve">  </w:t>
      </w:r>
    </w:p>
    <w:p w:rsidR="00BA3901" w:rsidRDefault="00BA3901" w:rsidP="00BA3901">
      <w:r>
        <w:t xml:space="preserve">Instead of comparing renewable resources to resources with the same contract length or facility life, all three companies used market prices to calculate incremental cost. </w:t>
      </w:r>
      <w:r>
        <w:rPr>
          <w:rFonts w:eastAsiaTheme="minorHAnsi"/>
        </w:rPr>
        <w:t>PSE used</w:t>
      </w:r>
      <w:r w:rsidRPr="004C07F8">
        <w:rPr>
          <w:rFonts w:eastAsiaTheme="minorHAnsi"/>
        </w:rPr>
        <w:t xml:space="preserve"> the cost of short-term market purchases for the energy component and the cost of a </w:t>
      </w:r>
      <w:proofErr w:type="spellStart"/>
      <w:r w:rsidRPr="004C07F8">
        <w:rPr>
          <w:rFonts w:eastAsiaTheme="minorHAnsi"/>
        </w:rPr>
        <w:t>peaker</w:t>
      </w:r>
      <w:proofErr w:type="spellEnd"/>
      <w:r w:rsidRPr="004C07F8">
        <w:rPr>
          <w:rFonts w:eastAsiaTheme="minorHAnsi"/>
        </w:rPr>
        <w:t xml:space="preserve"> unit for the capacity component</w:t>
      </w:r>
      <w:r>
        <w:rPr>
          <w:rFonts w:eastAsiaTheme="minorHAnsi"/>
        </w:rPr>
        <w:t xml:space="preserve">, and Avista used </w:t>
      </w:r>
      <w:r w:rsidRPr="004C07F8">
        <w:t>the 2011 Mid-Columbia wholesale electric market power prices</w:t>
      </w:r>
      <w:r>
        <w:t xml:space="preserve"> as the available substitute resource. PacifiCorp also used Mid-Columbia wholesale prices for comparing the cost of incremental hydro</w:t>
      </w:r>
      <w:r w:rsidR="000D15D2">
        <w:t>. B</w:t>
      </w:r>
      <w:r w:rsidR="00560651">
        <w:t>ecause</w:t>
      </w:r>
      <w:r>
        <w:t xml:space="preserve"> acquisition of renewable energy from hydroelectric efficiency upgrades does not require building new facilities, </w:t>
      </w:r>
      <w:r w:rsidR="000D15D2">
        <w:t xml:space="preserve">however, </w:t>
      </w:r>
      <w:r w:rsidR="007C217E">
        <w:t>Staff</w:t>
      </w:r>
      <w:r>
        <w:t xml:space="preserve"> </w:t>
      </w:r>
      <w:r w:rsidR="00560651">
        <w:t>has less concern</w:t>
      </w:r>
      <w:r>
        <w:t xml:space="preserve"> with PacifiCorp’s use of market prices as the available substitute resource.</w:t>
      </w:r>
    </w:p>
    <w:p w:rsidR="00BA3901" w:rsidRDefault="00BA3901" w:rsidP="00BA3901">
      <w:r>
        <w:t xml:space="preserve">In general, </w:t>
      </w:r>
      <w:r w:rsidR="007C217E">
        <w:t>Staff</w:t>
      </w:r>
      <w:r>
        <w:t xml:space="preserve"> does not consider market prices of wholesale power as equivalent in contract length or facility life with investment in renewable resources, and </w:t>
      </w:r>
      <w:r w:rsidR="00057939">
        <w:t xml:space="preserve">they </w:t>
      </w:r>
      <w:r>
        <w:t xml:space="preserve">should not be used for incremental cost comparisons. </w:t>
      </w:r>
    </w:p>
    <w:p w:rsidR="0073784F" w:rsidRPr="004C07F8" w:rsidRDefault="007C217E" w:rsidP="00BA3901">
      <w:r>
        <w:t>Staff</w:t>
      </w:r>
      <w:r w:rsidR="00BA3901">
        <w:t xml:space="preserve"> also has concerns with the way PacifiCorp treats the negative incremental cost of incremental hydroelectric resources. </w:t>
      </w:r>
      <w:r>
        <w:t>Staff</w:t>
      </w:r>
      <w:r w:rsidR="00BA3901">
        <w:t xml:space="preserve"> believes that PacifiCorp should report the negative incremental cost instead of reporting it as zero, so that this information can appropriately inform ratemaking procedures.</w:t>
      </w:r>
    </w:p>
    <w:p w:rsidR="007005DB" w:rsidRPr="008F42B8" w:rsidRDefault="007005DB" w:rsidP="008F42B8">
      <w:pPr>
        <w:rPr>
          <w:b/>
        </w:rPr>
      </w:pPr>
      <w:r w:rsidRPr="008F42B8">
        <w:rPr>
          <w:b/>
        </w:rPr>
        <w:t>WREGIS and REC Retirement</w:t>
      </w:r>
    </w:p>
    <w:p w:rsidR="00451211" w:rsidRDefault="007005DB" w:rsidP="008F42B8">
      <w:r>
        <w:t xml:space="preserve">Until </w:t>
      </w:r>
      <w:r w:rsidR="0004435D">
        <w:t>a</w:t>
      </w:r>
      <w:r>
        <w:t xml:space="preserve"> Washington WREGIS administrator determines the eligibility of RECs for meeting Washington compliance standards, the Commission </w:t>
      </w:r>
      <w:r w:rsidR="0004435D">
        <w:t xml:space="preserve">may </w:t>
      </w:r>
      <w:r>
        <w:t>be unable to make final compliance determinations</w:t>
      </w:r>
      <w:r w:rsidR="00DD157A">
        <w:t xml:space="preserve"> and utilities </w:t>
      </w:r>
      <w:r w:rsidR="0004435D">
        <w:t xml:space="preserve">may </w:t>
      </w:r>
      <w:r w:rsidR="00DD157A">
        <w:t>be unable to retire RECs for any compliance year</w:t>
      </w:r>
      <w:r w:rsidR="00E07BC9">
        <w:t xml:space="preserve">. </w:t>
      </w:r>
      <w:r>
        <w:t xml:space="preserve">Likewise, </w:t>
      </w:r>
      <w:r w:rsidR="000D15D2">
        <w:t>the State Auditor</w:t>
      </w:r>
      <w:r>
        <w:t xml:space="preserve"> will be unable to determine compliance of the </w:t>
      </w:r>
      <w:r w:rsidR="000D15D2">
        <w:t xml:space="preserve">consumer-owned </w:t>
      </w:r>
      <w:r>
        <w:t>utilities in meeting their renewable acquisition targets</w:t>
      </w:r>
      <w:r w:rsidR="00E07BC9">
        <w:t xml:space="preserve">. </w:t>
      </w:r>
      <w:r w:rsidR="007C217E">
        <w:t>Staff</w:t>
      </w:r>
      <w:r>
        <w:t xml:space="preserve"> would like to reiterate that it is in the public interest for</w:t>
      </w:r>
      <w:r w:rsidR="0004435D">
        <w:t xml:space="preserve"> the Department of</w:t>
      </w:r>
      <w:r>
        <w:t xml:space="preserve"> Commerce to develop its WREGIS capacity as soon as possible, and preferably before the end of 2012</w:t>
      </w:r>
      <w:r w:rsidR="00E07BC9">
        <w:t xml:space="preserve">. </w:t>
      </w:r>
    </w:p>
    <w:p w:rsidR="0075203A" w:rsidRPr="00451211" w:rsidRDefault="0075203A" w:rsidP="008F42B8">
      <w:r w:rsidRPr="0075203A">
        <w:rPr>
          <w:b/>
        </w:rPr>
        <w:t>Other Issues</w:t>
      </w:r>
    </w:p>
    <w:p w:rsidR="003E7881" w:rsidRDefault="0075203A" w:rsidP="008F42B8">
      <w:r>
        <w:t xml:space="preserve">There may be additional issues that </w:t>
      </w:r>
      <w:r w:rsidR="007C217E">
        <w:t>Staff</w:t>
      </w:r>
      <w:r>
        <w:t xml:space="preserve"> has missed in the review of the RPS reports, or additional information that may become available after these comments are submitted that may prompt </w:t>
      </w:r>
      <w:r w:rsidR="007C217E">
        <w:t>Staff</w:t>
      </w:r>
      <w:r>
        <w:t xml:space="preserve"> to </w:t>
      </w:r>
      <w:r w:rsidR="0004435D">
        <w:t xml:space="preserve">update </w:t>
      </w:r>
      <w:r>
        <w:t>the recommendations.</w:t>
      </w:r>
    </w:p>
    <w:p w:rsidR="003D1479" w:rsidRPr="00D21CF9" w:rsidRDefault="007C217E" w:rsidP="000D7F7E">
      <w:pPr>
        <w:pStyle w:val="Heading1"/>
      </w:pPr>
      <w:r>
        <w:t>Staff</w:t>
      </w:r>
      <w:r w:rsidR="003D1479" w:rsidRPr="00D21CF9">
        <w:t xml:space="preserve"> Position</w:t>
      </w:r>
    </w:p>
    <w:p w:rsidR="003D1479" w:rsidRPr="0010137D" w:rsidRDefault="007C217E" w:rsidP="0073784F">
      <w:r>
        <w:t>Staff</w:t>
      </w:r>
      <w:r w:rsidR="0051530A" w:rsidRPr="004921A7">
        <w:t xml:space="preserve"> recommends that</w:t>
      </w:r>
      <w:r w:rsidR="0051530A" w:rsidRPr="0010137D">
        <w:t xml:space="preserve"> the Commission approve the reports from all three companies as having met the reporting require</w:t>
      </w:r>
      <w:r w:rsidR="000D15D2">
        <w:t>ments in RCW 19.285 and WAC 480</w:t>
      </w:r>
      <w:r w:rsidR="000D15D2">
        <w:noBreakHyphen/>
      </w:r>
      <w:r w:rsidR="0051530A" w:rsidRPr="0010137D">
        <w:t>109.</w:t>
      </w:r>
      <w:r w:rsidR="000A149A">
        <w:t xml:space="preserve">  </w:t>
      </w:r>
    </w:p>
    <w:p w:rsidR="0051530A" w:rsidRPr="0010137D" w:rsidRDefault="007C217E" w:rsidP="0073784F">
      <w:r>
        <w:lastRenderedPageBreak/>
        <w:t>Staff</w:t>
      </w:r>
      <w:r w:rsidR="0051530A" w:rsidRPr="0010137D">
        <w:t xml:space="preserve"> recommends that the Commission </w:t>
      </w:r>
      <w:r w:rsidR="003D1479" w:rsidRPr="0010137D">
        <w:t>defe</w:t>
      </w:r>
      <w:r w:rsidR="0051530A" w:rsidRPr="0010137D">
        <w:t>r</w:t>
      </w:r>
      <w:r w:rsidR="003D1479" w:rsidRPr="0010137D">
        <w:t xml:space="preserve"> final determination of </w:t>
      </w:r>
      <w:r w:rsidR="0051530A" w:rsidRPr="0010137D">
        <w:t xml:space="preserve">2012 </w:t>
      </w:r>
      <w:r w:rsidR="003D1479" w:rsidRPr="0010137D">
        <w:t>compliance</w:t>
      </w:r>
      <w:r w:rsidR="0023110D">
        <w:t>.</w:t>
      </w:r>
      <w:r w:rsidR="0051530A" w:rsidRPr="0010137D">
        <w:t xml:space="preserve"> </w:t>
      </w:r>
      <w:r w:rsidR="005E0432" w:rsidRPr="0010137D">
        <w:t xml:space="preserve">In order to maintain a consistent timeline, </w:t>
      </w:r>
      <w:r>
        <w:t>Staff</w:t>
      </w:r>
      <w:r w:rsidR="005E0432" w:rsidRPr="0010137D">
        <w:t xml:space="preserve"> recommends that the Commission require companies to file for final compliance determination no later than June </w:t>
      </w:r>
      <w:r w:rsidR="0023110D">
        <w:t>1 two years after the target</w:t>
      </w:r>
      <w:r w:rsidR="005E0432" w:rsidRPr="0010137D">
        <w:t xml:space="preserve"> year, or June 1, 2014</w:t>
      </w:r>
      <w:r w:rsidR="0004435D">
        <w:t>,</w:t>
      </w:r>
      <w:r w:rsidR="005E0432" w:rsidRPr="0010137D">
        <w:t xml:space="preserve"> for the 2012 </w:t>
      </w:r>
      <w:r w:rsidR="0023110D">
        <w:t>target</w:t>
      </w:r>
      <w:r w:rsidR="005E0432" w:rsidRPr="0010137D">
        <w:t xml:space="preserve"> year. However, companies may request a compliance determination at any time </w:t>
      </w:r>
      <w:r w:rsidR="000D15D2">
        <w:t>before</w:t>
      </w:r>
      <w:r w:rsidR="005E0432" w:rsidRPr="0010137D">
        <w:t xml:space="preserve"> that deadline.</w:t>
      </w:r>
    </w:p>
    <w:p w:rsidR="005D6068" w:rsidRPr="0010137D" w:rsidRDefault="005E0432" w:rsidP="0073784F">
      <w:r w:rsidRPr="0010137D">
        <w:t xml:space="preserve">Additionally </w:t>
      </w:r>
      <w:r w:rsidR="007C217E">
        <w:t>Staff</w:t>
      </w:r>
      <w:r w:rsidRPr="0010137D">
        <w:t xml:space="preserve"> request that the Commission defer issuing final compliance determinations until</w:t>
      </w:r>
      <w:r w:rsidR="005D6068" w:rsidRPr="0010137D">
        <w:t>:</w:t>
      </w:r>
    </w:p>
    <w:p w:rsidR="005D6068" w:rsidRPr="0010137D" w:rsidRDefault="003D1479" w:rsidP="008F42B8">
      <w:pPr>
        <w:pStyle w:val="ListParagraph"/>
        <w:numPr>
          <w:ilvl w:val="0"/>
          <w:numId w:val="38"/>
        </w:numPr>
        <w:spacing w:before="0" w:after="0"/>
      </w:pPr>
      <w:r w:rsidRPr="0010137D">
        <w:t>WREGIS identification is provided for the</w:t>
      </w:r>
      <w:r w:rsidR="005E0432" w:rsidRPr="0010137D">
        <w:t xml:space="preserve"> specific</w:t>
      </w:r>
      <w:r w:rsidRPr="0010137D">
        <w:t xml:space="preserve"> RECs to be </w:t>
      </w:r>
      <w:r w:rsidR="005E0432" w:rsidRPr="0010137D">
        <w:t>retired</w:t>
      </w:r>
      <w:r w:rsidRPr="0010137D">
        <w:t xml:space="preserve"> for 2012 compliance</w:t>
      </w:r>
      <w:r w:rsidR="00A02A34">
        <w:t>.</w:t>
      </w:r>
    </w:p>
    <w:p w:rsidR="005D6068" w:rsidRPr="0010137D" w:rsidRDefault="003D1479" w:rsidP="008F42B8">
      <w:pPr>
        <w:pStyle w:val="ListParagraph"/>
        <w:numPr>
          <w:ilvl w:val="0"/>
          <w:numId w:val="38"/>
        </w:numPr>
        <w:spacing w:before="0" w:after="0"/>
      </w:pPr>
      <w:r w:rsidRPr="0010137D">
        <w:t xml:space="preserve">Commission </w:t>
      </w:r>
      <w:r w:rsidR="007C217E">
        <w:t>Staff</w:t>
      </w:r>
      <w:r w:rsidRPr="0010137D">
        <w:t xml:space="preserve"> review incremental hydroelectric models</w:t>
      </w:r>
      <w:r w:rsidR="0023110D">
        <w:t xml:space="preserve"> and the Commission issues formal approval of one or </w:t>
      </w:r>
      <w:r w:rsidR="000D15D2">
        <w:t>more</w:t>
      </w:r>
      <w:r w:rsidR="0023110D">
        <w:t xml:space="preserve"> models</w:t>
      </w:r>
      <w:r w:rsidRPr="0010137D">
        <w:t>.</w:t>
      </w:r>
    </w:p>
    <w:p w:rsidR="003D1479" w:rsidRPr="0010137D" w:rsidRDefault="003D1479" w:rsidP="00A02A34">
      <w:pPr>
        <w:pStyle w:val="ListParagraph"/>
        <w:numPr>
          <w:ilvl w:val="0"/>
          <w:numId w:val="38"/>
        </w:numPr>
        <w:spacing w:before="0"/>
      </w:pPr>
      <w:r w:rsidRPr="0010137D">
        <w:t>Actual generation has occurred for incremental hydroelectric resources to be used for 2012 compliance, if company uses models #1 or 2.</w:t>
      </w:r>
    </w:p>
    <w:p w:rsidR="005D6068" w:rsidRPr="0010137D" w:rsidRDefault="007C217E" w:rsidP="00A02A34">
      <w:pPr>
        <w:spacing w:after="0"/>
      </w:pPr>
      <w:r>
        <w:t>Staff</w:t>
      </w:r>
      <w:r w:rsidR="005D6068" w:rsidRPr="0010137D">
        <w:t xml:space="preserve"> recommends that the Commission </w:t>
      </w:r>
      <w:r w:rsidR="000A4119">
        <w:t>set a 30-</w:t>
      </w:r>
      <w:r w:rsidR="008F42B8" w:rsidRPr="0010137D">
        <w:t xml:space="preserve">day </w:t>
      </w:r>
      <w:r w:rsidR="000A4119">
        <w:t>deadl</w:t>
      </w:r>
      <w:r w:rsidR="005D6068" w:rsidRPr="0010137D">
        <w:t>ine for companies to retire RECs following final determination of compliance.</w:t>
      </w:r>
    </w:p>
    <w:p w:rsidR="0023110D" w:rsidRDefault="007C217E" w:rsidP="008E704F">
      <w:r>
        <w:t>Staff</w:t>
      </w:r>
      <w:r w:rsidR="005D6068" w:rsidRPr="0010137D">
        <w:t xml:space="preserve"> recommends that the Commission host </w:t>
      </w:r>
      <w:r w:rsidR="0051530A" w:rsidRPr="0010137D">
        <w:t>additional workshops as necessary through the Renewable Portfolio Standards Working Group (UE-110523</w:t>
      </w:r>
      <w:r w:rsidR="00F90D10" w:rsidRPr="0010137D">
        <w:t>) to</w:t>
      </w:r>
      <w:r w:rsidR="0051530A" w:rsidRPr="0010137D">
        <w:t xml:space="preserve"> evaluate </w:t>
      </w:r>
      <w:r w:rsidR="002A6F96" w:rsidRPr="0010137D">
        <w:t>incremental hydro methodologies for formal approval by the Commission.</w:t>
      </w:r>
      <w:r w:rsidR="00DA353F">
        <w:t xml:space="preserve"> </w:t>
      </w:r>
      <w:r w:rsidR="0004435D">
        <w:t>In support of that evaluation</w:t>
      </w:r>
      <w:r w:rsidR="00DA353F">
        <w:t xml:space="preserve">, </w:t>
      </w:r>
      <w:r w:rsidR="000A4119" w:rsidRPr="000A4119">
        <w:t xml:space="preserve">Staff </w:t>
      </w:r>
      <w:r w:rsidR="0004435D">
        <w:t>will</w:t>
      </w:r>
      <w:r w:rsidR="000A4119" w:rsidRPr="000A4119">
        <w:t xml:space="preserve"> consult with the United States Army Corp</w:t>
      </w:r>
      <w:r w:rsidR="00A02A34">
        <w:t>s</w:t>
      </w:r>
      <w:r w:rsidR="000A4119" w:rsidRPr="000A4119">
        <w:t xml:space="preserve"> of Engineers to evaluate the models being used by Washington companies</w:t>
      </w:r>
      <w:r w:rsidR="00DA353F">
        <w:t xml:space="preserve">. </w:t>
      </w:r>
    </w:p>
    <w:p w:rsidR="00451211" w:rsidRPr="00451211" w:rsidRDefault="007C217E" w:rsidP="00451211">
      <w:pPr>
        <w:rPr>
          <w:color w:val="000000" w:themeColor="text1"/>
        </w:rPr>
        <w:sectPr w:rsidR="00451211" w:rsidRPr="00451211" w:rsidSect="004E2B1E">
          <w:headerReference w:type="default" r:id="rId9"/>
          <w:footerReference w:type="default" r:id="rId10"/>
          <w:pgSz w:w="12240" w:h="15840" w:code="1"/>
          <w:pgMar w:top="1440" w:right="1080" w:bottom="1440" w:left="1080" w:header="720" w:footer="720" w:gutter="0"/>
          <w:cols w:space="288"/>
          <w:titlePg/>
          <w:docGrid w:linePitch="360"/>
        </w:sectPr>
      </w:pPr>
      <w:r>
        <w:rPr>
          <w:color w:val="000000" w:themeColor="text1"/>
        </w:rPr>
        <w:t>Staff</w:t>
      </w:r>
      <w:r w:rsidR="008E704F" w:rsidRPr="008E704F">
        <w:rPr>
          <w:color w:val="000000" w:themeColor="text1"/>
        </w:rPr>
        <w:t xml:space="preserve"> recommends</w:t>
      </w:r>
      <w:r w:rsidR="00915301" w:rsidRPr="008E704F">
        <w:rPr>
          <w:color w:val="000000" w:themeColor="text1"/>
        </w:rPr>
        <w:t xml:space="preserve"> the Commission open a rulemaking proceeding to </w:t>
      </w:r>
      <w:r w:rsidR="00451211">
        <w:rPr>
          <w:color w:val="000000" w:themeColor="text1"/>
        </w:rPr>
        <w:t>update WAC 480-109 as discussed in Section 11 of these Comments.</w:t>
      </w:r>
    </w:p>
    <w:p w:rsidR="007F0811" w:rsidRPr="007F0811" w:rsidRDefault="007F0811" w:rsidP="008F42B8"/>
    <w:p w:rsidR="00695820" w:rsidRPr="008F42B8" w:rsidRDefault="00BB1FD9" w:rsidP="008F42B8">
      <w:pPr>
        <w:rPr>
          <w:b/>
        </w:rPr>
      </w:pPr>
      <w:r w:rsidRPr="008F42B8">
        <w:rPr>
          <w:b/>
        </w:rPr>
        <w:t>Appendix A</w:t>
      </w:r>
      <w:r w:rsidR="00695820">
        <w:rPr>
          <w:b/>
        </w:rPr>
        <w:t xml:space="preserve">: </w:t>
      </w:r>
      <w:r w:rsidRPr="008F42B8">
        <w:rPr>
          <w:b/>
        </w:rPr>
        <w:t xml:space="preserve"> </w:t>
      </w:r>
      <w:r w:rsidR="00B624CB" w:rsidRPr="008F42B8">
        <w:rPr>
          <w:b/>
        </w:rPr>
        <w:t xml:space="preserve">Summary table of the legal requirements </w:t>
      </w:r>
    </w:p>
    <w:p w:rsidR="00695820" w:rsidRPr="00A04960" w:rsidRDefault="00695820" w:rsidP="008F42B8">
      <w:r>
        <w:t>Below is a</w:t>
      </w:r>
      <w:r w:rsidRPr="00A04960">
        <w:t xml:space="preserve"> checklist of the required contents</w:t>
      </w:r>
      <w:r w:rsidR="000A4119">
        <w:t xml:space="preserve"> of the investor-owned utilities’ reports</w:t>
      </w:r>
      <w:r w:rsidRPr="00A04960">
        <w:t xml:space="preserve">:  </w:t>
      </w:r>
    </w:p>
    <w:tbl>
      <w:tblPr>
        <w:tblStyle w:val="TableGrid1"/>
        <w:tblW w:w="11628" w:type="dxa"/>
        <w:tblLayout w:type="fixed"/>
        <w:tblLook w:val="04A0" w:firstRow="1" w:lastRow="0" w:firstColumn="1" w:lastColumn="0" w:noHBand="0" w:noVBand="1"/>
      </w:tblPr>
      <w:tblGrid>
        <w:gridCol w:w="3258"/>
        <w:gridCol w:w="3870"/>
        <w:gridCol w:w="1620"/>
        <w:gridCol w:w="990"/>
        <w:gridCol w:w="720"/>
        <w:gridCol w:w="1170"/>
      </w:tblGrid>
      <w:tr w:rsidR="000A4119" w:rsidRPr="00A04960" w:rsidTr="007F0811">
        <w:trPr>
          <w:trHeight w:val="272"/>
          <w:tblHeader/>
        </w:trPr>
        <w:tc>
          <w:tcPr>
            <w:tcW w:w="3258" w:type="dxa"/>
          </w:tcPr>
          <w:p w:rsidR="00695820" w:rsidRPr="00A04960" w:rsidRDefault="00695820" w:rsidP="007F0811">
            <w:pPr>
              <w:rPr>
                <w:b/>
              </w:rPr>
            </w:pPr>
            <w:r w:rsidRPr="00A04960">
              <w:rPr>
                <w:b/>
              </w:rPr>
              <w:t>RCW 19.285</w:t>
            </w:r>
          </w:p>
        </w:tc>
        <w:tc>
          <w:tcPr>
            <w:tcW w:w="3870" w:type="dxa"/>
          </w:tcPr>
          <w:p w:rsidR="00695820" w:rsidRPr="00A04960" w:rsidRDefault="00695820" w:rsidP="007F0811">
            <w:pPr>
              <w:rPr>
                <w:b/>
              </w:rPr>
            </w:pPr>
            <w:r w:rsidRPr="00A04960">
              <w:rPr>
                <w:b/>
              </w:rPr>
              <w:t>WAC 480-109</w:t>
            </w:r>
          </w:p>
        </w:tc>
        <w:tc>
          <w:tcPr>
            <w:tcW w:w="1620" w:type="dxa"/>
          </w:tcPr>
          <w:p w:rsidR="00695820" w:rsidRPr="00A04960" w:rsidRDefault="00695820" w:rsidP="007F0811">
            <w:pPr>
              <w:rPr>
                <w:b/>
              </w:rPr>
            </w:pPr>
          </w:p>
        </w:tc>
        <w:tc>
          <w:tcPr>
            <w:tcW w:w="990" w:type="dxa"/>
          </w:tcPr>
          <w:p w:rsidR="00695820" w:rsidRPr="00014C46" w:rsidRDefault="00695820" w:rsidP="007F0811">
            <w:pPr>
              <w:jc w:val="center"/>
              <w:rPr>
                <w:b/>
              </w:rPr>
            </w:pPr>
            <w:r w:rsidRPr="008E66CA">
              <w:rPr>
                <w:b/>
              </w:rPr>
              <w:t>Avista</w:t>
            </w:r>
          </w:p>
        </w:tc>
        <w:tc>
          <w:tcPr>
            <w:tcW w:w="720" w:type="dxa"/>
          </w:tcPr>
          <w:p w:rsidR="00695820" w:rsidRPr="00014C46" w:rsidRDefault="00695820" w:rsidP="007F0811">
            <w:pPr>
              <w:ind w:left="2160" w:hanging="2160"/>
              <w:jc w:val="center"/>
              <w:rPr>
                <w:b/>
              </w:rPr>
            </w:pPr>
            <w:r w:rsidRPr="00014C46">
              <w:rPr>
                <w:b/>
              </w:rPr>
              <w:t>PSE</w:t>
            </w:r>
          </w:p>
        </w:tc>
        <w:tc>
          <w:tcPr>
            <w:tcW w:w="1170" w:type="dxa"/>
          </w:tcPr>
          <w:p w:rsidR="00695820" w:rsidRPr="0095321C" w:rsidRDefault="00695820" w:rsidP="007F0811">
            <w:pPr>
              <w:ind w:left="2160" w:hanging="2160"/>
              <w:jc w:val="center"/>
              <w:rPr>
                <w:b/>
                <w:sz w:val="20"/>
                <w:szCs w:val="20"/>
                <w:highlight w:val="yellow"/>
              </w:rPr>
            </w:pPr>
            <w:r w:rsidRPr="008E66CA">
              <w:rPr>
                <w:b/>
                <w:sz w:val="20"/>
                <w:szCs w:val="20"/>
              </w:rPr>
              <w:t>PacifiCorp</w:t>
            </w:r>
          </w:p>
        </w:tc>
      </w:tr>
      <w:tr w:rsidR="000A4119" w:rsidRPr="00A04960" w:rsidTr="007F0811">
        <w:trPr>
          <w:trHeight w:val="2492"/>
        </w:trPr>
        <w:tc>
          <w:tcPr>
            <w:tcW w:w="3258" w:type="dxa"/>
          </w:tcPr>
          <w:p w:rsidR="00695820" w:rsidRPr="00A04960" w:rsidRDefault="00695820" w:rsidP="008F42B8">
            <w:pPr>
              <w:spacing w:before="0" w:after="0"/>
            </w:pPr>
            <w:r w:rsidRPr="00A04960">
              <w:t xml:space="preserve">For each year that a qualifying utility elects to demonstrate alternative compliance under RCW </w:t>
            </w:r>
            <w:hyperlink r:id="rId11" w:history="1">
              <w:r w:rsidRPr="00A04960">
                <w:rPr>
                  <w:color w:val="0000FF"/>
                  <w:u w:val="single"/>
                </w:rPr>
                <w:t>19.285.040</w:t>
              </w:r>
            </w:hyperlink>
            <w:r w:rsidRPr="00A04960">
              <w:t>(2) (d) or (</w:t>
            </w:r>
            <w:proofErr w:type="spellStart"/>
            <w:r w:rsidRPr="00A04960">
              <w:t>i</w:t>
            </w:r>
            <w:proofErr w:type="spellEnd"/>
            <w:r w:rsidRPr="00A04960">
              <w:t xml:space="preserve">) or </w:t>
            </w:r>
            <w:hyperlink r:id="rId12" w:history="1">
              <w:r w:rsidRPr="00A04960">
                <w:rPr>
                  <w:color w:val="0000FF"/>
                  <w:u w:val="single"/>
                </w:rPr>
                <w:t>19.285.050</w:t>
              </w:r>
            </w:hyperlink>
            <w:r w:rsidRPr="00A04960">
              <w:t>(1), it must include in its annual report relevant data to demonstrate that it met the criteria in that section.</w:t>
            </w:r>
          </w:p>
        </w:tc>
        <w:tc>
          <w:tcPr>
            <w:tcW w:w="3870" w:type="dxa"/>
          </w:tcPr>
          <w:p w:rsidR="00695820" w:rsidRPr="00A04960" w:rsidRDefault="00695820" w:rsidP="008F42B8">
            <w:pPr>
              <w:spacing w:before="0" w:after="0"/>
            </w:pPr>
            <w:r w:rsidRPr="00A04960">
              <w:t xml:space="preserve">The report must state if the utility is relying upon one of the alternative compliance mechanisms provided in WAC </w:t>
            </w:r>
            <w:hyperlink r:id="rId13" w:history="1">
              <w:r w:rsidRPr="00A04960">
                <w:rPr>
                  <w:color w:val="0000FF"/>
                  <w:u w:val="single"/>
                </w:rPr>
                <w:t>480-109-030</w:t>
              </w:r>
            </w:hyperlink>
            <w:r w:rsidRPr="00A04960">
              <w:t xml:space="preserve"> instead of meeting its renewable resource target. A utility using an alternative compliance mechanism must include sufficient data, documentation and other information in its report to demonstrate that it qualifies to use that alternative mechanism.</w:t>
            </w:r>
          </w:p>
        </w:tc>
        <w:tc>
          <w:tcPr>
            <w:tcW w:w="1620" w:type="dxa"/>
          </w:tcPr>
          <w:p w:rsidR="00695820" w:rsidRPr="00A04960" w:rsidRDefault="00695820" w:rsidP="008F42B8">
            <w:pPr>
              <w:spacing w:before="0" w:after="0"/>
              <w:rPr>
                <w:b/>
              </w:rPr>
            </w:pPr>
            <w:r w:rsidRPr="00A04960">
              <w:rPr>
                <w:b/>
              </w:rPr>
              <w:t>Alternative Compliance</w:t>
            </w:r>
          </w:p>
          <w:p w:rsidR="00695820" w:rsidRPr="00A04960" w:rsidRDefault="00695820" w:rsidP="008F42B8">
            <w:pPr>
              <w:spacing w:before="0" w:after="0"/>
            </w:pPr>
          </w:p>
          <w:p w:rsidR="00695820" w:rsidRPr="00A04960" w:rsidRDefault="00695820" w:rsidP="008F42B8">
            <w:pPr>
              <w:spacing w:before="0" w:after="0"/>
            </w:pPr>
          </w:p>
        </w:tc>
        <w:tc>
          <w:tcPr>
            <w:tcW w:w="990" w:type="dxa"/>
          </w:tcPr>
          <w:p w:rsidR="00695820" w:rsidRPr="0095321C" w:rsidRDefault="00E81F85" w:rsidP="00E81F85">
            <w:pPr>
              <w:spacing w:before="0" w:after="0"/>
              <w:jc w:val="center"/>
            </w:pPr>
            <w:r>
              <w:t>N/A</w:t>
            </w:r>
          </w:p>
        </w:tc>
        <w:tc>
          <w:tcPr>
            <w:tcW w:w="720" w:type="dxa"/>
          </w:tcPr>
          <w:p w:rsidR="00695820" w:rsidRPr="0095321C" w:rsidRDefault="00695820" w:rsidP="008F42B8">
            <w:pPr>
              <w:spacing w:before="0" w:after="0"/>
              <w:ind w:left="2160" w:hanging="2160"/>
              <w:jc w:val="center"/>
            </w:pPr>
            <w:r w:rsidRPr="0095321C">
              <w:t>N/A</w:t>
            </w:r>
          </w:p>
          <w:p w:rsidR="00695820" w:rsidRPr="0095321C" w:rsidRDefault="00695820" w:rsidP="008F42B8">
            <w:pPr>
              <w:spacing w:before="0" w:after="0"/>
              <w:ind w:left="2160" w:hanging="2160"/>
              <w:jc w:val="center"/>
            </w:pPr>
          </w:p>
        </w:tc>
        <w:tc>
          <w:tcPr>
            <w:tcW w:w="1170" w:type="dxa"/>
          </w:tcPr>
          <w:p w:rsidR="00695820" w:rsidRPr="0095321C" w:rsidRDefault="00E81F85" w:rsidP="00E81F85">
            <w:pPr>
              <w:spacing w:before="0" w:after="0"/>
              <w:jc w:val="center"/>
            </w:pPr>
            <w:r>
              <w:t>N/A</w:t>
            </w:r>
          </w:p>
        </w:tc>
      </w:tr>
      <w:tr w:rsidR="000A4119" w:rsidRPr="00A04960" w:rsidTr="007F0811">
        <w:trPr>
          <w:trHeight w:val="1196"/>
        </w:trPr>
        <w:tc>
          <w:tcPr>
            <w:tcW w:w="3258" w:type="dxa"/>
          </w:tcPr>
          <w:p w:rsidR="00695820" w:rsidRPr="00A04960" w:rsidRDefault="007F0811" w:rsidP="007F0811">
            <w:pPr>
              <w:spacing w:before="0" w:after="0"/>
            </w:pPr>
            <w:r>
              <w:t>the utility’</w:t>
            </w:r>
            <w:r w:rsidR="00695820" w:rsidRPr="00A04960">
              <w:t>s annual load for the prior two years</w:t>
            </w:r>
          </w:p>
        </w:tc>
        <w:tc>
          <w:tcPr>
            <w:tcW w:w="3870" w:type="dxa"/>
          </w:tcPr>
          <w:p w:rsidR="00695820" w:rsidRPr="00A04960" w:rsidRDefault="007F0811" w:rsidP="008F42B8">
            <w:pPr>
              <w:spacing w:before="0" w:after="0"/>
            </w:pPr>
            <w:r>
              <w:t>the utility’</w:t>
            </w:r>
            <w:r w:rsidR="00695820" w:rsidRPr="00A04960">
              <w:t>s annu</w:t>
            </w:r>
            <w:r>
              <w:t>al load for the prior two years</w:t>
            </w:r>
          </w:p>
        </w:tc>
        <w:tc>
          <w:tcPr>
            <w:tcW w:w="1620" w:type="dxa"/>
          </w:tcPr>
          <w:p w:rsidR="00695820" w:rsidRPr="008F42B8" w:rsidRDefault="00695820" w:rsidP="008F42B8">
            <w:pPr>
              <w:spacing w:before="0" w:after="0"/>
              <w:rPr>
                <w:b/>
              </w:rPr>
            </w:pPr>
            <w:r w:rsidRPr="00A04960">
              <w:rPr>
                <w:b/>
              </w:rPr>
              <w:t>Ann</w:t>
            </w:r>
            <w:r w:rsidR="007C1698">
              <w:rPr>
                <w:b/>
              </w:rPr>
              <w:t>ual Load For Previous Two Years</w:t>
            </w:r>
          </w:p>
        </w:tc>
        <w:tc>
          <w:tcPr>
            <w:tcW w:w="990" w:type="dxa"/>
          </w:tcPr>
          <w:p w:rsidR="00695820" w:rsidRPr="0095321C" w:rsidRDefault="00E81F85" w:rsidP="008F42B8">
            <w:pPr>
              <w:spacing w:before="0" w:after="0"/>
              <w:jc w:val="center"/>
            </w:pPr>
            <w:r>
              <w:t>Yes</w:t>
            </w:r>
          </w:p>
        </w:tc>
        <w:tc>
          <w:tcPr>
            <w:tcW w:w="720" w:type="dxa"/>
          </w:tcPr>
          <w:p w:rsidR="00695820" w:rsidRPr="0095321C" w:rsidRDefault="00695820" w:rsidP="008F42B8">
            <w:pPr>
              <w:spacing w:before="0" w:after="0"/>
              <w:ind w:left="2160" w:hanging="2160"/>
              <w:jc w:val="center"/>
            </w:pPr>
            <w:r w:rsidRPr="0095321C">
              <w:t>Yes</w:t>
            </w:r>
          </w:p>
        </w:tc>
        <w:tc>
          <w:tcPr>
            <w:tcW w:w="1170" w:type="dxa"/>
          </w:tcPr>
          <w:p w:rsidR="00695820" w:rsidRPr="0095321C" w:rsidRDefault="00E81F85" w:rsidP="008F42B8">
            <w:pPr>
              <w:spacing w:before="0" w:after="0"/>
              <w:ind w:left="2160" w:hanging="2160"/>
              <w:jc w:val="center"/>
            </w:pPr>
            <w:r>
              <w:t>Yes</w:t>
            </w:r>
          </w:p>
        </w:tc>
      </w:tr>
      <w:tr w:rsidR="000A4119" w:rsidRPr="00A04960" w:rsidTr="007F0811">
        <w:trPr>
          <w:trHeight w:val="368"/>
        </w:trPr>
        <w:tc>
          <w:tcPr>
            <w:tcW w:w="3258" w:type="dxa"/>
          </w:tcPr>
          <w:p w:rsidR="00695820" w:rsidRPr="00A04960" w:rsidRDefault="00695820" w:rsidP="008F42B8">
            <w:pPr>
              <w:spacing w:before="0" w:after="0"/>
            </w:pPr>
            <w:r w:rsidRPr="00A04960">
              <w:t>the amount of megawatt-hours needed to meet the annual renewable energy target</w:t>
            </w:r>
          </w:p>
          <w:p w:rsidR="00695820" w:rsidRPr="00A04960" w:rsidRDefault="00695820" w:rsidP="008F42B8">
            <w:pPr>
              <w:spacing w:before="0" w:after="0"/>
            </w:pPr>
          </w:p>
        </w:tc>
        <w:tc>
          <w:tcPr>
            <w:tcW w:w="3870" w:type="dxa"/>
          </w:tcPr>
          <w:p w:rsidR="00695820" w:rsidRPr="00A04960" w:rsidRDefault="00695820" w:rsidP="008F42B8">
            <w:pPr>
              <w:spacing w:before="0" w:after="0"/>
            </w:pPr>
            <w:r w:rsidRPr="00A04960">
              <w:t>the total number of megawatt-hours from eligible renewable resources and/or renewable resource credits the utility needed to meet its annual renewable energy target by January 1 of the target year</w:t>
            </w:r>
          </w:p>
        </w:tc>
        <w:tc>
          <w:tcPr>
            <w:tcW w:w="1620" w:type="dxa"/>
          </w:tcPr>
          <w:p w:rsidR="00695820" w:rsidRPr="00A04960" w:rsidRDefault="00695820" w:rsidP="007F0811">
            <w:pPr>
              <w:spacing w:before="0" w:after="0"/>
            </w:pPr>
            <w:r w:rsidRPr="00A04960">
              <w:rPr>
                <w:b/>
              </w:rPr>
              <w:t>Renewable Energy Target</w:t>
            </w:r>
          </w:p>
        </w:tc>
        <w:tc>
          <w:tcPr>
            <w:tcW w:w="990" w:type="dxa"/>
          </w:tcPr>
          <w:p w:rsidR="00695820" w:rsidRPr="0095321C" w:rsidRDefault="00E81F85" w:rsidP="008F42B8">
            <w:pPr>
              <w:spacing w:before="0" w:after="0"/>
              <w:jc w:val="center"/>
            </w:pPr>
            <w:r>
              <w:t>Yes</w:t>
            </w:r>
          </w:p>
        </w:tc>
        <w:tc>
          <w:tcPr>
            <w:tcW w:w="720" w:type="dxa"/>
          </w:tcPr>
          <w:p w:rsidR="00695820" w:rsidRPr="0095321C" w:rsidRDefault="00695820" w:rsidP="008F42B8">
            <w:pPr>
              <w:spacing w:before="0" w:after="0"/>
              <w:ind w:left="2160" w:hanging="2160"/>
              <w:jc w:val="center"/>
            </w:pPr>
            <w:r w:rsidRPr="0095321C">
              <w:t>Yes</w:t>
            </w:r>
          </w:p>
        </w:tc>
        <w:tc>
          <w:tcPr>
            <w:tcW w:w="1170" w:type="dxa"/>
          </w:tcPr>
          <w:p w:rsidR="00695820" w:rsidRPr="0095321C" w:rsidRDefault="00E81F85" w:rsidP="008F42B8">
            <w:pPr>
              <w:spacing w:before="0" w:after="0"/>
              <w:ind w:left="2160" w:hanging="2160"/>
              <w:jc w:val="center"/>
            </w:pPr>
            <w:r>
              <w:t>Yes</w:t>
            </w:r>
          </w:p>
        </w:tc>
      </w:tr>
      <w:tr w:rsidR="000A4119" w:rsidRPr="00A04960" w:rsidTr="007F0811">
        <w:trPr>
          <w:trHeight w:val="1763"/>
        </w:trPr>
        <w:tc>
          <w:tcPr>
            <w:tcW w:w="3258" w:type="dxa"/>
          </w:tcPr>
          <w:p w:rsidR="00695820" w:rsidRPr="00A04960" w:rsidRDefault="00695820" w:rsidP="007F0811">
            <w:pPr>
              <w:spacing w:before="0" w:after="0"/>
            </w:pPr>
            <w:r w:rsidRPr="00A04960">
              <w:t>the amount of megawatt-hours of each type of eligible renewable resource acquired,</w:t>
            </w:r>
            <w:r w:rsidR="007F0811">
              <w:t xml:space="preserve"> </w:t>
            </w:r>
            <w:r w:rsidRPr="00A04960">
              <w:t>the type and amount of ren</w:t>
            </w:r>
            <w:r w:rsidR="007C1698">
              <w:t>ewable energy credits acquired</w:t>
            </w:r>
          </w:p>
        </w:tc>
        <w:tc>
          <w:tcPr>
            <w:tcW w:w="3870" w:type="dxa"/>
          </w:tcPr>
          <w:p w:rsidR="00695820" w:rsidRPr="00A04960" w:rsidRDefault="00695820" w:rsidP="007F0811">
            <w:pPr>
              <w:spacing w:before="0" w:after="0"/>
            </w:pPr>
            <w:r w:rsidRPr="00A04960">
              <w:t>the amount (in megawatt-hours) and cost of each type of eligible renewable resource used</w:t>
            </w:r>
          </w:p>
        </w:tc>
        <w:tc>
          <w:tcPr>
            <w:tcW w:w="1620" w:type="dxa"/>
          </w:tcPr>
          <w:p w:rsidR="00695820" w:rsidRDefault="00695820" w:rsidP="008F42B8">
            <w:pPr>
              <w:spacing w:before="0" w:after="0"/>
              <w:rPr>
                <w:b/>
              </w:rPr>
            </w:pPr>
            <w:r w:rsidRPr="00A04960">
              <w:rPr>
                <w:b/>
              </w:rPr>
              <w:t>Renewable Energy Acquired To H</w:t>
            </w:r>
            <w:r>
              <w:rPr>
                <w:b/>
              </w:rPr>
              <w:t>ave Met Renewable Energy Target</w:t>
            </w:r>
          </w:p>
          <w:p w:rsidR="007F0811" w:rsidRPr="0039642E" w:rsidRDefault="007F0811" w:rsidP="008F42B8">
            <w:pPr>
              <w:spacing w:before="0" w:after="0"/>
              <w:rPr>
                <w:b/>
              </w:rPr>
            </w:pPr>
          </w:p>
        </w:tc>
        <w:tc>
          <w:tcPr>
            <w:tcW w:w="990" w:type="dxa"/>
          </w:tcPr>
          <w:p w:rsidR="00695820" w:rsidRPr="0095321C" w:rsidRDefault="00E81F85" w:rsidP="008F42B8">
            <w:pPr>
              <w:spacing w:before="0" w:after="0"/>
              <w:jc w:val="center"/>
            </w:pPr>
            <w:r>
              <w:t>Yes</w:t>
            </w:r>
          </w:p>
        </w:tc>
        <w:tc>
          <w:tcPr>
            <w:tcW w:w="720" w:type="dxa"/>
          </w:tcPr>
          <w:p w:rsidR="00695820" w:rsidRPr="0095321C" w:rsidRDefault="00695820" w:rsidP="008F42B8">
            <w:pPr>
              <w:spacing w:before="0" w:after="0"/>
              <w:ind w:left="2160" w:hanging="2160"/>
              <w:jc w:val="center"/>
            </w:pPr>
            <w:r w:rsidRPr="0095321C">
              <w:t>Yes</w:t>
            </w:r>
          </w:p>
        </w:tc>
        <w:tc>
          <w:tcPr>
            <w:tcW w:w="1170" w:type="dxa"/>
          </w:tcPr>
          <w:p w:rsidR="00695820" w:rsidRPr="0095321C" w:rsidRDefault="00E81F85" w:rsidP="008F42B8">
            <w:pPr>
              <w:spacing w:before="0" w:after="0"/>
              <w:ind w:left="2160" w:hanging="2160"/>
              <w:jc w:val="center"/>
            </w:pPr>
            <w:r>
              <w:t>Yes</w:t>
            </w:r>
          </w:p>
        </w:tc>
      </w:tr>
      <w:tr w:rsidR="000A4119" w:rsidRPr="00A04960" w:rsidTr="007F0811">
        <w:trPr>
          <w:trHeight w:val="272"/>
        </w:trPr>
        <w:tc>
          <w:tcPr>
            <w:tcW w:w="3258" w:type="dxa"/>
          </w:tcPr>
          <w:p w:rsidR="00695820" w:rsidRPr="00A04960" w:rsidRDefault="00695820" w:rsidP="008F42B8">
            <w:pPr>
              <w:spacing w:before="0" w:after="0"/>
            </w:pPr>
            <w:r w:rsidRPr="00A04960">
              <w:lastRenderedPageBreak/>
              <w:t>The percent of its total annual retail revenue requirement invested in the incremental cost of eligible renewable resources and the cost of renewable energy credits.</w:t>
            </w:r>
          </w:p>
          <w:p w:rsidR="00695820" w:rsidRPr="00A04960" w:rsidRDefault="00695820" w:rsidP="008F42B8">
            <w:pPr>
              <w:spacing w:before="0" w:after="0"/>
            </w:pPr>
          </w:p>
        </w:tc>
        <w:tc>
          <w:tcPr>
            <w:tcW w:w="3870" w:type="dxa"/>
          </w:tcPr>
          <w:p w:rsidR="00695820" w:rsidRPr="00A04960" w:rsidRDefault="00695820" w:rsidP="008F42B8">
            <w:pPr>
              <w:spacing w:before="0" w:after="0"/>
            </w:pPr>
            <w:r w:rsidRPr="00A04960">
              <w:t>the type and cost (per megawatt-hour) of the least-cost substitute resources available to the utility that do not qualify as eligible renewable resources, the incremental cost of eligible renewable resources and renewable energy credits, and the ratio of this investment relative to the utility's total annual retail revenue requirement.</w:t>
            </w:r>
          </w:p>
        </w:tc>
        <w:tc>
          <w:tcPr>
            <w:tcW w:w="1620" w:type="dxa"/>
          </w:tcPr>
          <w:p w:rsidR="00695820" w:rsidRPr="00A04960" w:rsidRDefault="00695820" w:rsidP="007F0811">
            <w:pPr>
              <w:spacing w:before="0" w:after="0"/>
            </w:pPr>
            <w:r w:rsidRPr="00A04960">
              <w:rPr>
                <w:b/>
              </w:rPr>
              <w:t>Incremental Cost Compared To Annual Retail Revenue Requirement</w:t>
            </w:r>
          </w:p>
        </w:tc>
        <w:tc>
          <w:tcPr>
            <w:tcW w:w="990" w:type="dxa"/>
          </w:tcPr>
          <w:p w:rsidR="00695820" w:rsidRPr="0095321C" w:rsidRDefault="00E81F85" w:rsidP="00E81F85">
            <w:pPr>
              <w:spacing w:before="0" w:after="0"/>
              <w:jc w:val="center"/>
            </w:pPr>
            <w:r>
              <w:t>Yes</w:t>
            </w:r>
          </w:p>
        </w:tc>
        <w:tc>
          <w:tcPr>
            <w:tcW w:w="720" w:type="dxa"/>
          </w:tcPr>
          <w:p w:rsidR="00695820" w:rsidRPr="0095321C" w:rsidRDefault="00E81F85" w:rsidP="00E81F85">
            <w:pPr>
              <w:spacing w:before="0" w:after="0"/>
              <w:ind w:left="2160" w:hanging="2160"/>
            </w:pPr>
            <w:r>
              <w:t>Yes</w:t>
            </w:r>
          </w:p>
        </w:tc>
        <w:tc>
          <w:tcPr>
            <w:tcW w:w="1170" w:type="dxa"/>
          </w:tcPr>
          <w:p w:rsidR="00695820" w:rsidRPr="0095321C" w:rsidRDefault="00E81F85" w:rsidP="00E81F85">
            <w:pPr>
              <w:spacing w:before="0" w:after="0"/>
              <w:ind w:left="2160" w:hanging="2160"/>
              <w:jc w:val="center"/>
            </w:pPr>
            <w:r>
              <w:t>Yes</w:t>
            </w:r>
          </w:p>
        </w:tc>
      </w:tr>
      <w:tr w:rsidR="000A4119" w:rsidRPr="00A04960" w:rsidTr="007F0811">
        <w:trPr>
          <w:trHeight w:val="288"/>
        </w:trPr>
        <w:tc>
          <w:tcPr>
            <w:tcW w:w="3258" w:type="dxa"/>
          </w:tcPr>
          <w:p w:rsidR="00695820" w:rsidRPr="00A04960" w:rsidRDefault="00695820" w:rsidP="008F42B8">
            <w:pPr>
              <w:spacing w:before="0" w:after="0"/>
            </w:pPr>
          </w:p>
        </w:tc>
        <w:tc>
          <w:tcPr>
            <w:tcW w:w="3870" w:type="dxa"/>
          </w:tcPr>
          <w:p w:rsidR="00695820" w:rsidRPr="00A04960" w:rsidRDefault="00695820" w:rsidP="008F42B8">
            <w:pPr>
              <w:spacing w:before="0" w:after="0"/>
            </w:pPr>
            <w:r w:rsidRPr="00A04960">
              <w:t>The report must describe the steps the utility is taking to meet the renewable resource requirements for the current year. This description should indicate whether the utility plans to use or acquire its own renewable resources, plans to or has acquired contracted renewable resources, or plans to use an alternative compliance mechanism.</w:t>
            </w:r>
          </w:p>
        </w:tc>
        <w:tc>
          <w:tcPr>
            <w:tcW w:w="1620" w:type="dxa"/>
          </w:tcPr>
          <w:p w:rsidR="00695820" w:rsidRPr="00A04960" w:rsidRDefault="00695820" w:rsidP="008F42B8">
            <w:pPr>
              <w:spacing w:before="0" w:after="0"/>
            </w:pPr>
            <w:r w:rsidRPr="00A04960">
              <w:rPr>
                <w:b/>
              </w:rPr>
              <w:t>Current Year Progress</w:t>
            </w:r>
          </w:p>
          <w:p w:rsidR="00695820" w:rsidRPr="00A04960" w:rsidRDefault="00695820" w:rsidP="008F42B8">
            <w:pPr>
              <w:spacing w:before="0" w:after="0"/>
            </w:pPr>
          </w:p>
        </w:tc>
        <w:tc>
          <w:tcPr>
            <w:tcW w:w="990" w:type="dxa"/>
          </w:tcPr>
          <w:p w:rsidR="00695820" w:rsidRPr="0095321C" w:rsidRDefault="00E81F85" w:rsidP="008F42B8">
            <w:pPr>
              <w:spacing w:before="0" w:after="0"/>
              <w:jc w:val="center"/>
            </w:pPr>
            <w:r>
              <w:t>Yes</w:t>
            </w:r>
          </w:p>
        </w:tc>
        <w:tc>
          <w:tcPr>
            <w:tcW w:w="720" w:type="dxa"/>
          </w:tcPr>
          <w:p w:rsidR="00695820" w:rsidRPr="00E81F85" w:rsidRDefault="00695820" w:rsidP="008F42B8">
            <w:pPr>
              <w:spacing w:before="0" w:after="0"/>
              <w:jc w:val="center"/>
            </w:pPr>
            <w:r w:rsidRPr="00E81F85">
              <w:t>Yes</w:t>
            </w:r>
          </w:p>
        </w:tc>
        <w:tc>
          <w:tcPr>
            <w:tcW w:w="1170" w:type="dxa"/>
          </w:tcPr>
          <w:p w:rsidR="00695820" w:rsidRPr="0095321C" w:rsidRDefault="00E81F85" w:rsidP="008F42B8">
            <w:pPr>
              <w:spacing w:before="0" w:after="0"/>
              <w:ind w:left="2160" w:hanging="2160"/>
              <w:jc w:val="center"/>
            </w:pPr>
            <w:r>
              <w:t>Yes</w:t>
            </w:r>
          </w:p>
        </w:tc>
      </w:tr>
    </w:tbl>
    <w:p w:rsidR="000A4119" w:rsidRDefault="000A4119" w:rsidP="008F42B8">
      <w:pPr>
        <w:spacing w:before="0" w:after="0"/>
        <w:sectPr w:rsidR="000A4119" w:rsidSect="000A4119">
          <w:pgSz w:w="15840" w:h="12240" w:orient="landscape" w:code="1"/>
          <w:pgMar w:top="1080" w:right="1440" w:bottom="1080" w:left="1440" w:header="720" w:footer="720" w:gutter="0"/>
          <w:cols w:space="288"/>
          <w:titlePg/>
          <w:docGrid w:linePitch="360"/>
        </w:sectPr>
      </w:pPr>
    </w:p>
    <w:p w:rsidR="001876AC" w:rsidRPr="008F42B8" w:rsidRDefault="00602ED7" w:rsidP="008F42B8">
      <w:pPr>
        <w:spacing w:line="360" w:lineRule="auto"/>
      </w:pPr>
      <w:r w:rsidRPr="008F42B8">
        <w:rPr>
          <w:b/>
        </w:rPr>
        <w:lastRenderedPageBreak/>
        <w:t>Appendix B</w:t>
      </w:r>
      <w:r w:rsidR="001876AC">
        <w:rPr>
          <w:b/>
        </w:rPr>
        <w:t>:</w:t>
      </w:r>
      <w:r w:rsidR="00BB1FD9" w:rsidRPr="008F42B8">
        <w:rPr>
          <w:b/>
        </w:rPr>
        <w:t xml:space="preserve"> </w:t>
      </w:r>
      <w:r w:rsidRPr="008F42B8">
        <w:rPr>
          <w:b/>
        </w:rPr>
        <w:t>Timeline for Renewable Energy Percentages 2012-2020</w:t>
      </w:r>
      <w:r w:rsidR="001876AC">
        <w:rPr>
          <w:b/>
        </w:rPr>
        <w:t xml:space="preserve"> (UE-110523)</w:t>
      </w:r>
    </w:p>
    <w:tbl>
      <w:tblPr>
        <w:tblStyle w:val="TableGrid"/>
        <w:tblW w:w="0" w:type="auto"/>
        <w:tblLook w:val="04A0" w:firstRow="1" w:lastRow="0" w:firstColumn="1" w:lastColumn="0" w:noHBand="0" w:noVBand="1"/>
      </w:tblPr>
      <w:tblGrid>
        <w:gridCol w:w="1278"/>
        <w:gridCol w:w="8370"/>
      </w:tblGrid>
      <w:tr w:rsidR="00C6506A" w:rsidRPr="000E164D" w:rsidTr="00C6506A">
        <w:trPr>
          <w:trHeight w:val="872"/>
        </w:trPr>
        <w:tc>
          <w:tcPr>
            <w:tcW w:w="1278" w:type="dxa"/>
          </w:tcPr>
          <w:p w:rsidR="00C6506A" w:rsidRPr="008F42B8" w:rsidRDefault="00C6506A" w:rsidP="001876AC">
            <w:pPr>
              <w:rPr>
                <w:rFonts w:cs="Arial"/>
                <w:b/>
                <w:sz w:val="18"/>
                <w:szCs w:val="18"/>
                <w:highlight w:val="yellow"/>
              </w:rPr>
            </w:pPr>
            <w:r w:rsidRPr="008F42B8">
              <w:rPr>
                <w:rFonts w:cs="Arial"/>
                <w:b/>
                <w:sz w:val="18"/>
                <w:szCs w:val="18"/>
                <w:highlight w:val="yellow"/>
              </w:rPr>
              <w:t xml:space="preserve">2010 &amp; 2011  </w:t>
            </w:r>
          </w:p>
          <w:p w:rsidR="00C6506A" w:rsidRPr="008F42B8" w:rsidRDefault="00C6506A" w:rsidP="001876AC">
            <w:pPr>
              <w:rPr>
                <w:rFonts w:cs="Arial"/>
                <w:b/>
                <w:sz w:val="18"/>
                <w:szCs w:val="18"/>
                <w:highlight w:val="yellow"/>
              </w:rPr>
            </w:pPr>
            <w:r w:rsidRPr="008F42B8">
              <w:rPr>
                <w:rFonts w:cs="Arial"/>
                <w:b/>
                <w:sz w:val="18"/>
                <w:szCs w:val="18"/>
                <w:highlight w:val="yellow"/>
              </w:rPr>
              <w:t>Two year average load for 2012</w:t>
            </w:r>
          </w:p>
        </w:tc>
        <w:tc>
          <w:tcPr>
            <w:tcW w:w="8370" w:type="dxa"/>
          </w:tcPr>
          <w:p w:rsidR="00C6506A" w:rsidRPr="008F42B8" w:rsidRDefault="00C6506A" w:rsidP="001876AC">
            <w:pPr>
              <w:rPr>
                <w:rFonts w:cs="Arial"/>
                <w:b/>
                <w:sz w:val="18"/>
                <w:szCs w:val="18"/>
                <w:highlight w:val="lightGray"/>
              </w:rPr>
            </w:pPr>
            <w:r w:rsidRPr="008F42B8">
              <w:rPr>
                <w:rFonts w:cs="Arial"/>
                <w:b/>
                <w:sz w:val="18"/>
                <w:szCs w:val="18"/>
                <w:highlight w:val="lightGray"/>
              </w:rPr>
              <w:t>Note: Target Year reference is compliance year</w:t>
            </w:r>
            <w:r w:rsidR="00E07BC9">
              <w:rPr>
                <w:rFonts w:cs="Arial"/>
                <w:b/>
                <w:sz w:val="18"/>
                <w:szCs w:val="18"/>
                <w:highlight w:val="lightGray"/>
              </w:rPr>
              <w:t xml:space="preserve">. </w:t>
            </w:r>
            <w:r w:rsidRPr="008F42B8">
              <w:rPr>
                <w:rFonts w:cs="Arial"/>
                <w:b/>
                <w:sz w:val="18"/>
                <w:szCs w:val="18"/>
                <w:highlight w:val="lightGray"/>
              </w:rPr>
              <w:t>Language from law.</w:t>
            </w:r>
          </w:p>
          <w:p w:rsidR="00C6506A" w:rsidRPr="008F42B8" w:rsidRDefault="00C6506A" w:rsidP="001876AC">
            <w:pPr>
              <w:rPr>
                <w:rFonts w:cs="Arial"/>
                <w:b/>
                <w:sz w:val="18"/>
                <w:szCs w:val="18"/>
                <w:highlight w:val="lightGray"/>
              </w:rPr>
            </w:pPr>
            <w:r w:rsidRPr="008F42B8">
              <w:rPr>
                <w:rFonts w:cs="Arial"/>
                <w:b/>
                <w:sz w:val="18"/>
                <w:szCs w:val="18"/>
                <w:highlight w:val="lightGray"/>
              </w:rPr>
              <w:t>The focus of the chart is to demonstrate 2012 compliance timeframe</w:t>
            </w:r>
            <w:r w:rsidR="00E07BC9">
              <w:rPr>
                <w:rFonts w:cs="Arial"/>
                <w:b/>
                <w:sz w:val="18"/>
                <w:szCs w:val="18"/>
                <w:highlight w:val="lightGray"/>
              </w:rPr>
              <w:t xml:space="preserve">. </w:t>
            </w:r>
          </w:p>
          <w:p w:rsidR="00C6506A" w:rsidRPr="000E164D" w:rsidRDefault="00C6506A" w:rsidP="001876AC">
            <w:pPr>
              <w:rPr>
                <w:rFonts w:cs="Arial"/>
                <w:sz w:val="20"/>
                <w:szCs w:val="20"/>
              </w:rPr>
            </w:pPr>
            <w:r w:rsidRPr="008F42B8">
              <w:rPr>
                <w:rFonts w:cs="Arial"/>
                <w:b/>
                <w:sz w:val="18"/>
                <w:szCs w:val="18"/>
                <w:highlight w:val="lightGray"/>
              </w:rPr>
              <w:t>Future years have similar parallel construction.</w:t>
            </w:r>
          </w:p>
        </w:tc>
      </w:tr>
    </w:tbl>
    <w:p w:rsidR="001876AC" w:rsidRPr="008F42B8" w:rsidRDefault="001876AC" w:rsidP="001876AC">
      <w:pPr>
        <w:spacing w:after="0"/>
        <w:rPr>
          <w:rFonts w:cs="Arial"/>
          <w:sz w:val="16"/>
          <w:szCs w:val="16"/>
        </w:rPr>
      </w:pPr>
    </w:p>
    <w:tbl>
      <w:tblPr>
        <w:tblStyle w:val="TableGrid"/>
        <w:tblW w:w="9630" w:type="dxa"/>
        <w:tblInd w:w="18" w:type="dxa"/>
        <w:tblLook w:val="04A0" w:firstRow="1" w:lastRow="0" w:firstColumn="1" w:lastColumn="0" w:noHBand="0" w:noVBand="1"/>
      </w:tblPr>
      <w:tblGrid>
        <w:gridCol w:w="630"/>
        <w:gridCol w:w="640"/>
        <w:gridCol w:w="1523"/>
        <w:gridCol w:w="1501"/>
        <w:gridCol w:w="1556"/>
        <w:gridCol w:w="630"/>
        <w:gridCol w:w="630"/>
        <w:gridCol w:w="630"/>
        <w:gridCol w:w="630"/>
        <w:gridCol w:w="630"/>
        <w:gridCol w:w="630"/>
      </w:tblGrid>
      <w:tr w:rsidR="001876AC" w:rsidRPr="001876AC" w:rsidTr="008F42B8">
        <w:trPr>
          <w:trHeight w:val="314"/>
        </w:trPr>
        <w:tc>
          <w:tcPr>
            <w:tcW w:w="9630" w:type="dxa"/>
            <w:gridSpan w:val="11"/>
          </w:tcPr>
          <w:p w:rsidR="001876AC" w:rsidRPr="008F42B8" w:rsidRDefault="001876AC" w:rsidP="001876AC">
            <w:pPr>
              <w:jc w:val="center"/>
              <w:rPr>
                <w:rFonts w:cs="Arial"/>
                <w:b/>
                <w:sz w:val="18"/>
                <w:szCs w:val="18"/>
              </w:rPr>
            </w:pPr>
            <w:r w:rsidRPr="008F42B8">
              <w:rPr>
                <w:rFonts w:cs="Arial"/>
                <w:b/>
                <w:sz w:val="18"/>
                <w:szCs w:val="18"/>
              </w:rPr>
              <w:t xml:space="preserve">Target Load %:  </w:t>
            </w:r>
            <w:r w:rsidRPr="008F42B8">
              <w:rPr>
                <w:rFonts w:cs="Arial"/>
                <w:b/>
                <w:i/>
                <w:sz w:val="18"/>
                <w:szCs w:val="18"/>
              </w:rPr>
              <w:t>WAC 480-108-020 (1) (a)</w:t>
            </w:r>
            <w:r w:rsidRPr="008F42B8">
              <w:rPr>
                <w:rFonts w:cs="Arial"/>
                <w:b/>
                <w:sz w:val="18"/>
                <w:szCs w:val="18"/>
              </w:rPr>
              <w:t xml:space="preserve"> Eligible Renewable Resources (ERR)</w:t>
            </w:r>
          </w:p>
        </w:tc>
      </w:tr>
      <w:tr w:rsidR="001876AC" w:rsidRPr="001876AC" w:rsidTr="008F42B8">
        <w:tc>
          <w:tcPr>
            <w:tcW w:w="630" w:type="dxa"/>
          </w:tcPr>
          <w:p w:rsidR="001876AC" w:rsidRPr="008F42B8" w:rsidRDefault="001876AC" w:rsidP="001876AC">
            <w:pPr>
              <w:jc w:val="center"/>
              <w:rPr>
                <w:rFonts w:cs="Arial"/>
                <w:b/>
                <w:sz w:val="18"/>
                <w:szCs w:val="18"/>
                <w:highlight w:val="yellow"/>
              </w:rPr>
            </w:pPr>
          </w:p>
        </w:tc>
        <w:tc>
          <w:tcPr>
            <w:tcW w:w="640" w:type="dxa"/>
          </w:tcPr>
          <w:p w:rsidR="001876AC" w:rsidRPr="008F42B8" w:rsidRDefault="001876AC" w:rsidP="001876AC">
            <w:pPr>
              <w:jc w:val="center"/>
              <w:rPr>
                <w:rFonts w:cs="Arial"/>
                <w:b/>
                <w:sz w:val="18"/>
                <w:szCs w:val="18"/>
                <w:highlight w:val="yellow"/>
              </w:rPr>
            </w:pPr>
          </w:p>
        </w:tc>
        <w:tc>
          <w:tcPr>
            <w:tcW w:w="1523" w:type="dxa"/>
          </w:tcPr>
          <w:p w:rsidR="001876AC" w:rsidRPr="008F42B8" w:rsidRDefault="001876AC" w:rsidP="001876AC">
            <w:pPr>
              <w:jc w:val="center"/>
              <w:rPr>
                <w:rFonts w:cs="Arial"/>
                <w:b/>
                <w:sz w:val="18"/>
                <w:szCs w:val="18"/>
                <w:highlight w:val="lightGray"/>
              </w:rPr>
            </w:pPr>
            <w:r w:rsidRPr="008F42B8">
              <w:rPr>
                <w:rFonts w:cs="Arial"/>
                <w:b/>
                <w:sz w:val="18"/>
                <w:szCs w:val="18"/>
                <w:highlight w:val="lightGray"/>
              </w:rPr>
              <w:t>3%</w:t>
            </w:r>
          </w:p>
        </w:tc>
        <w:tc>
          <w:tcPr>
            <w:tcW w:w="1501" w:type="dxa"/>
          </w:tcPr>
          <w:p w:rsidR="001876AC" w:rsidRPr="008F42B8" w:rsidRDefault="001876AC" w:rsidP="001876AC">
            <w:pPr>
              <w:jc w:val="center"/>
              <w:rPr>
                <w:rFonts w:cs="Arial"/>
                <w:b/>
                <w:sz w:val="18"/>
                <w:szCs w:val="18"/>
                <w:highlight w:val="lightGray"/>
              </w:rPr>
            </w:pPr>
            <w:r w:rsidRPr="008F42B8">
              <w:rPr>
                <w:rFonts w:cs="Arial"/>
                <w:b/>
                <w:sz w:val="18"/>
                <w:szCs w:val="18"/>
                <w:highlight w:val="lightGray"/>
              </w:rPr>
              <w:t>3%</w:t>
            </w:r>
          </w:p>
        </w:tc>
        <w:tc>
          <w:tcPr>
            <w:tcW w:w="1556" w:type="dxa"/>
          </w:tcPr>
          <w:p w:rsidR="001876AC" w:rsidRPr="008F42B8" w:rsidRDefault="001876AC" w:rsidP="001876AC">
            <w:pPr>
              <w:jc w:val="center"/>
              <w:rPr>
                <w:rFonts w:cs="Arial"/>
                <w:b/>
                <w:sz w:val="18"/>
                <w:szCs w:val="18"/>
                <w:highlight w:val="lightGray"/>
              </w:rPr>
            </w:pPr>
            <w:r w:rsidRPr="008F42B8">
              <w:rPr>
                <w:rFonts w:cs="Arial"/>
                <w:b/>
                <w:sz w:val="18"/>
                <w:szCs w:val="18"/>
                <w:highlight w:val="lightGray"/>
              </w:rPr>
              <w:t>3%</w:t>
            </w:r>
          </w:p>
        </w:tc>
        <w:tc>
          <w:tcPr>
            <w:tcW w:w="630" w:type="dxa"/>
          </w:tcPr>
          <w:p w:rsidR="001876AC" w:rsidRPr="008F42B8" w:rsidRDefault="001876AC" w:rsidP="001876AC">
            <w:pPr>
              <w:jc w:val="center"/>
              <w:rPr>
                <w:rFonts w:cs="Arial"/>
                <w:b/>
                <w:sz w:val="18"/>
                <w:szCs w:val="18"/>
                <w:highlight w:val="lightGray"/>
              </w:rPr>
            </w:pPr>
            <w:r w:rsidRPr="008F42B8">
              <w:rPr>
                <w:rFonts w:cs="Arial"/>
                <w:b/>
                <w:sz w:val="18"/>
                <w:szCs w:val="18"/>
                <w:highlight w:val="lightGray"/>
              </w:rPr>
              <w:t>3%</w:t>
            </w:r>
          </w:p>
        </w:tc>
        <w:tc>
          <w:tcPr>
            <w:tcW w:w="630" w:type="dxa"/>
          </w:tcPr>
          <w:p w:rsidR="001876AC" w:rsidRPr="008F42B8" w:rsidRDefault="001876AC" w:rsidP="001876AC">
            <w:pPr>
              <w:jc w:val="center"/>
              <w:rPr>
                <w:rFonts w:cs="Arial"/>
                <w:b/>
                <w:sz w:val="18"/>
                <w:szCs w:val="18"/>
              </w:rPr>
            </w:pPr>
            <w:r w:rsidRPr="008F42B8">
              <w:rPr>
                <w:rFonts w:cs="Arial"/>
                <w:b/>
                <w:sz w:val="18"/>
                <w:szCs w:val="18"/>
              </w:rPr>
              <w:t>9%</w:t>
            </w:r>
          </w:p>
        </w:tc>
        <w:tc>
          <w:tcPr>
            <w:tcW w:w="630" w:type="dxa"/>
          </w:tcPr>
          <w:p w:rsidR="001876AC" w:rsidRPr="008F42B8" w:rsidRDefault="001876AC" w:rsidP="001876AC">
            <w:pPr>
              <w:jc w:val="center"/>
              <w:rPr>
                <w:rFonts w:cs="Arial"/>
                <w:b/>
                <w:sz w:val="18"/>
                <w:szCs w:val="18"/>
              </w:rPr>
            </w:pPr>
            <w:r w:rsidRPr="008F42B8">
              <w:rPr>
                <w:rFonts w:cs="Arial"/>
                <w:b/>
                <w:sz w:val="18"/>
                <w:szCs w:val="18"/>
              </w:rPr>
              <w:t>9%</w:t>
            </w:r>
          </w:p>
        </w:tc>
        <w:tc>
          <w:tcPr>
            <w:tcW w:w="630" w:type="dxa"/>
          </w:tcPr>
          <w:p w:rsidR="001876AC" w:rsidRPr="008F42B8" w:rsidRDefault="001876AC" w:rsidP="001876AC">
            <w:pPr>
              <w:jc w:val="center"/>
              <w:rPr>
                <w:rFonts w:cs="Arial"/>
                <w:b/>
                <w:sz w:val="18"/>
                <w:szCs w:val="18"/>
              </w:rPr>
            </w:pPr>
            <w:r w:rsidRPr="008F42B8">
              <w:rPr>
                <w:rFonts w:cs="Arial"/>
                <w:b/>
                <w:sz w:val="18"/>
                <w:szCs w:val="18"/>
              </w:rPr>
              <w:t>9%</w:t>
            </w:r>
          </w:p>
        </w:tc>
        <w:tc>
          <w:tcPr>
            <w:tcW w:w="630" w:type="dxa"/>
          </w:tcPr>
          <w:p w:rsidR="001876AC" w:rsidRPr="008F42B8" w:rsidRDefault="001876AC" w:rsidP="001876AC">
            <w:pPr>
              <w:jc w:val="center"/>
              <w:rPr>
                <w:rFonts w:cs="Arial"/>
                <w:b/>
                <w:sz w:val="18"/>
                <w:szCs w:val="18"/>
              </w:rPr>
            </w:pPr>
            <w:r w:rsidRPr="008F42B8">
              <w:rPr>
                <w:rFonts w:cs="Arial"/>
                <w:b/>
                <w:sz w:val="18"/>
                <w:szCs w:val="18"/>
              </w:rPr>
              <w:t>9%</w:t>
            </w:r>
          </w:p>
        </w:tc>
        <w:tc>
          <w:tcPr>
            <w:tcW w:w="630" w:type="dxa"/>
          </w:tcPr>
          <w:p w:rsidR="001876AC" w:rsidRPr="008F42B8" w:rsidRDefault="001876AC" w:rsidP="001876AC">
            <w:pPr>
              <w:jc w:val="center"/>
              <w:rPr>
                <w:rFonts w:cs="Arial"/>
                <w:b/>
                <w:sz w:val="18"/>
                <w:szCs w:val="18"/>
                <w:highlight w:val="cyan"/>
              </w:rPr>
            </w:pPr>
            <w:r w:rsidRPr="008F42B8">
              <w:rPr>
                <w:rFonts w:cs="Arial"/>
                <w:b/>
                <w:sz w:val="18"/>
                <w:szCs w:val="18"/>
                <w:highlight w:val="cyan"/>
              </w:rPr>
              <w:t>15%</w:t>
            </w:r>
          </w:p>
        </w:tc>
      </w:tr>
      <w:tr w:rsidR="001876AC" w:rsidRPr="001876AC" w:rsidTr="008F42B8">
        <w:trPr>
          <w:trHeight w:val="359"/>
        </w:trPr>
        <w:tc>
          <w:tcPr>
            <w:tcW w:w="630" w:type="dxa"/>
          </w:tcPr>
          <w:p w:rsidR="001876AC" w:rsidRPr="008F42B8" w:rsidRDefault="001876AC" w:rsidP="001876AC">
            <w:pPr>
              <w:jc w:val="center"/>
              <w:rPr>
                <w:rFonts w:cs="Arial"/>
                <w:b/>
                <w:sz w:val="18"/>
                <w:szCs w:val="18"/>
                <w:highlight w:val="yellow"/>
              </w:rPr>
            </w:pPr>
            <w:r w:rsidRPr="008F42B8">
              <w:rPr>
                <w:rFonts w:cs="Arial"/>
                <w:b/>
                <w:sz w:val="18"/>
                <w:szCs w:val="18"/>
                <w:highlight w:val="yellow"/>
              </w:rPr>
              <w:t>2010</w:t>
            </w:r>
          </w:p>
        </w:tc>
        <w:tc>
          <w:tcPr>
            <w:tcW w:w="640" w:type="dxa"/>
          </w:tcPr>
          <w:p w:rsidR="001876AC" w:rsidRPr="008F42B8" w:rsidRDefault="001876AC" w:rsidP="001876AC">
            <w:pPr>
              <w:jc w:val="center"/>
              <w:rPr>
                <w:rFonts w:cs="Arial"/>
                <w:b/>
                <w:sz w:val="18"/>
                <w:szCs w:val="18"/>
                <w:highlight w:val="yellow"/>
              </w:rPr>
            </w:pPr>
            <w:r w:rsidRPr="008F42B8">
              <w:rPr>
                <w:rFonts w:cs="Arial"/>
                <w:b/>
                <w:sz w:val="18"/>
                <w:szCs w:val="18"/>
                <w:highlight w:val="yellow"/>
              </w:rPr>
              <w:t>2011</w:t>
            </w:r>
          </w:p>
        </w:tc>
        <w:tc>
          <w:tcPr>
            <w:tcW w:w="1523" w:type="dxa"/>
          </w:tcPr>
          <w:p w:rsidR="001876AC" w:rsidRPr="008F42B8" w:rsidRDefault="001876AC" w:rsidP="001876AC">
            <w:pPr>
              <w:jc w:val="center"/>
              <w:rPr>
                <w:rFonts w:cs="Arial"/>
                <w:b/>
                <w:sz w:val="18"/>
                <w:szCs w:val="18"/>
                <w:highlight w:val="lightGray"/>
              </w:rPr>
            </w:pPr>
            <w:r w:rsidRPr="008F42B8">
              <w:rPr>
                <w:rFonts w:cs="Arial"/>
                <w:b/>
                <w:sz w:val="18"/>
                <w:szCs w:val="18"/>
                <w:highlight w:val="lightGray"/>
              </w:rPr>
              <w:t>2012</w:t>
            </w:r>
          </w:p>
        </w:tc>
        <w:tc>
          <w:tcPr>
            <w:tcW w:w="1501" w:type="dxa"/>
          </w:tcPr>
          <w:p w:rsidR="001876AC" w:rsidRPr="008F42B8" w:rsidRDefault="001876AC" w:rsidP="001876AC">
            <w:pPr>
              <w:jc w:val="center"/>
              <w:rPr>
                <w:rFonts w:cs="Arial"/>
                <w:b/>
                <w:sz w:val="18"/>
                <w:szCs w:val="18"/>
                <w:highlight w:val="lightGray"/>
              </w:rPr>
            </w:pPr>
            <w:r w:rsidRPr="008F42B8">
              <w:rPr>
                <w:rFonts w:cs="Arial"/>
                <w:b/>
                <w:sz w:val="18"/>
                <w:szCs w:val="18"/>
                <w:highlight w:val="lightGray"/>
              </w:rPr>
              <w:t>2013</w:t>
            </w:r>
          </w:p>
        </w:tc>
        <w:tc>
          <w:tcPr>
            <w:tcW w:w="1556" w:type="dxa"/>
          </w:tcPr>
          <w:p w:rsidR="001876AC" w:rsidRPr="008F42B8" w:rsidRDefault="001876AC" w:rsidP="001876AC">
            <w:pPr>
              <w:jc w:val="center"/>
              <w:rPr>
                <w:rFonts w:cs="Arial"/>
                <w:b/>
                <w:sz w:val="18"/>
                <w:szCs w:val="18"/>
                <w:highlight w:val="lightGray"/>
              </w:rPr>
            </w:pPr>
            <w:r w:rsidRPr="008F42B8">
              <w:rPr>
                <w:rFonts w:cs="Arial"/>
                <w:b/>
                <w:sz w:val="18"/>
                <w:szCs w:val="18"/>
                <w:highlight w:val="lightGray"/>
              </w:rPr>
              <w:t>2014</w:t>
            </w:r>
          </w:p>
        </w:tc>
        <w:tc>
          <w:tcPr>
            <w:tcW w:w="630" w:type="dxa"/>
          </w:tcPr>
          <w:p w:rsidR="001876AC" w:rsidRPr="008F42B8" w:rsidRDefault="001876AC" w:rsidP="001876AC">
            <w:pPr>
              <w:jc w:val="center"/>
              <w:rPr>
                <w:rFonts w:cs="Arial"/>
                <w:b/>
                <w:sz w:val="18"/>
                <w:szCs w:val="18"/>
                <w:highlight w:val="lightGray"/>
              </w:rPr>
            </w:pPr>
            <w:r w:rsidRPr="008F42B8">
              <w:rPr>
                <w:rFonts w:cs="Arial"/>
                <w:b/>
                <w:sz w:val="18"/>
                <w:szCs w:val="18"/>
                <w:highlight w:val="lightGray"/>
              </w:rPr>
              <w:t>2015</w:t>
            </w:r>
          </w:p>
        </w:tc>
        <w:tc>
          <w:tcPr>
            <w:tcW w:w="630" w:type="dxa"/>
          </w:tcPr>
          <w:p w:rsidR="001876AC" w:rsidRPr="008F42B8" w:rsidRDefault="001876AC" w:rsidP="001876AC">
            <w:pPr>
              <w:jc w:val="center"/>
              <w:rPr>
                <w:rFonts w:cs="Arial"/>
                <w:b/>
                <w:sz w:val="18"/>
                <w:szCs w:val="18"/>
              </w:rPr>
            </w:pPr>
            <w:r w:rsidRPr="008F42B8">
              <w:rPr>
                <w:rFonts w:cs="Arial"/>
                <w:b/>
                <w:sz w:val="18"/>
                <w:szCs w:val="18"/>
              </w:rPr>
              <w:t>2016</w:t>
            </w:r>
          </w:p>
        </w:tc>
        <w:tc>
          <w:tcPr>
            <w:tcW w:w="630" w:type="dxa"/>
          </w:tcPr>
          <w:p w:rsidR="001876AC" w:rsidRPr="008F42B8" w:rsidRDefault="001876AC" w:rsidP="001876AC">
            <w:pPr>
              <w:jc w:val="center"/>
              <w:rPr>
                <w:rFonts w:cs="Arial"/>
                <w:b/>
                <w:sz w:val="18"/>
                <w:szCs w:val="18"/>
              </w:rPr>
            </w:pPr>
            <w:r w:rsidRPr="008F42B8">
              <w:rPr>
                <w:rFonts w:cs="Arial"/>
                <w:b/>
                <w:sz w:val="18"/>
                <w:szCs w:val="18"/>
              </w:rPr>
              <w:t>2017</w:t>
            </w:r>
          </w:p>
        </w:tc>
        <w:tc>
          <w:tcPr>
            <w:tcW w:w="630" w:type="dxa"/>
          </w:tcPr>
          <w:p w:rsidR="001876AC" w:rsidRPr="008F42B8" w:rsidRDefault="001876AC" w:rsidP="001876AC">
            <w:pPr>
              <w:jc w:val="center"/>
              <w:rPr>
                <w:rFonts w:cs="Arial"/>
                <w:b/>
                <w:sz w:val="18"/>
                <w:szCs w:val="18"/>
              </w:rPr>
            </w:pPr>
            <w:r w:rsidRPr="008F42B8">
              <w:rPr>
                <w:rFonts w:cs="Arial"/>
                <w:b/>
                <w:sz w:val="18"/>
                <w:szCs w:val="18"/>
              </w:rPr>
              <w:t>2018</w:t>
            </w:r>
          </w:p>
        </w:tc>
        <w:tc>
          <w:tcPr>
            <w:tcW w:w="630" w:type="dxa"/>
          </w:tcPr>
          <w:p w:rsidR="001876AC" w:rsidRPr="008F42B8" w:rsidRDefault="001876AC" w:rsidP="001876AC">
            <w:pPr>
              <w:jc w:val="center"/>
              <w:rPr>
                <w:rFonts w:cs="Arial"/>
                <w:b/>
                <w:sz w:val="18"/>
                <w:szCs w:val="18"/>
              </w:rPr>
            </w:pPr>
            <w:r w:rsidRPr="008F42B8">
              <w:rPr>
                <w:rFonts w:cs="Arial"/>
                <w:b/>
                <w:sz w:val="18"/>
                <w:szCs w:val="18"/>
              </w:rPr>
              <w:t>2019</w:t>
            </w:r>
          </w:p>
        </w:tc>
        <w:tc>
          <w:tcPr>
            <w:tcW w:w="630" w:type="dxa"/>
          </w:tcPr>
          <w:p w:rsidR="001876AC" w:rsidRPr="008F42B8" w:rsidRDefault="001876AC" w:rsidP="001876AC">
            <w:pPr>
              <w:jc w:val="center"/>
              <w:rPr>
                <w:rFonts w:cs="Arial"/>
                <w:b/>
                <w:sz w:val="18"/>
                <w:szCs w:val="18"/>
                <w:highlight w:val="cyan"/>
              </w:rPr>
            </w:pPr>
            <w:r w:rsidRPr="008F42B8">
              <w:rPr>
                <w:rFonts w:cs="Arial"/>
                <w:b/>
                <w:sz w:val="18"/>
                <w:szCs w:val="18"/>
                <w:highlight w:val="cyan"/>
              </w:rPr>
              <w:t>2020</w:t>
            </w:r>
          </w:p>
        </w:tc>
      </w:tr>
      <w:tr w:rsidR="001876AC" w:rsidRPr="001876AC" w:rsidTr="008F42B8">
        <w:trPr>
          <w:trHeight w:val="1286"/>
        </w:trPr>
        <w:tc>
          <w:tcPr>
            <w:tcW w:w="630" w:type="dxa"/>
          </w:tcPr>
          <w:p w:rsidR="001876AC" w:rsidRPr="008F42B8" w:rsidRDefault="001876AC" w:rsidP="001876AC">
            <w:pPr>
              <w:jc w:val="center"/>
              <w:rPr>
                <w:rFonts w:cs="Arial"/>
                <w:sz w:val="18"/>
                <w:szCs w:val="18"/>
              </w:rPr>
            </w:pPr>
          </w:p>
        </w:tc>
        <w:tc>
          <w:tcPr>
            <w:tcW w:w="640" w:type="dxa"/>
          </w:tcPr>
          <w:p w:rsidR="001876AC" w:rsidRPr="008F42B8" w:rsidRDefault="001876AC" w:rsidP="001876AC">
            <w:pPr>
              <w:jc w:val="center"/>
              <w:rPr>
                <w:rFonts w:cs="Arial"/>
                <w:sz w:val="18"/>
                <w:szCs w:val="18"/>
              </w:rPr>
            </w:pPr>
          </w:p>
        </w:tc>
        <w:tc>
          <w:tcPr>
            <w:tcW w:w="1523" w:type="dxa"/>
          </w:tcPr>
          <w:p w:rsidR="001876AC" w:rsidRPr="008F42B8" w:rsidRDefault="001876AC" w:rsidP="001876AC">
            <w:pPr>
              <w:rPr>
                <w:rFonts w:cs="Arial"/>
                <w:sz w:val="18"/>
                <w:szCs w:val="18"/>
              </w:rPr>
            </w:pPr>
            <w:r w:rsidRPr="008F42B8">
              <w:rPr>
                <w:rFonts w:cs="Arial"/>
                <w:sz w:val="18"/>
                <w:szCs w:val="18"/>
              </w:rPr>
              <w:t>Current to 6/1/</w:t>
            </w:r>
            <w:r w:rsidR="00F90D10" w:rsidRPr="008F42B8">
              <w:rPr>
                <w:rFonts w:cs="Arial"/>
                <w:sz w:val="18"/>
                <w:szCs w:val="18"/>
              </w:rPr>
              <w:t>2012 REC</w:t>
            </w:r>
            <w:r w:rsidRPr="008F42B8">
              <w:rPr>
                <w:rFonts w:cs="Arial"/>
                <w:sz w:val="18"/>
                <w:szCs w:val="18"/>
              </w:rPr>
              <w:t xml:space="preserve"> “Preapproval</w:t>
            </w:r>
            <w:r w:rsidR="00C6506A">
              <w:rPr>
                <w:rFonts w:cs="Arial"/>
                <w:sz w:val="18"/>
                <w:szCs w:val="18"/>
              </w:rPr>
              <w:t>.</w:t>
            </w:r>
            <w:r w:rsidRPr="008F42B8">
              <w:rPr>
                <w:rFonts w:cs="Arial"/>
                <w:sz w:val="18"/>
                <w:szCs w:val="18"/>
              </w:rPr>
              <w:t>”</w:t>
            </w:r>
          </w:p>
          <w:p w:rsidR="001876AC" w:rsidRPr="001876AC" w:rsidRDefault="001876AC" w:rsidP="001876AC">
            <w:pPr>
              <w:rPr>
                <w:rFonts w:cs="Arial"/>
                <w:i/>
                <w:sz w:val="18"/>
                <w:szCs w:val="18"/>
              </w:rPr>
            </w:pPr>
            <w:proofErr w:type="spellStart"/>
            <w:r w:rsidRPr="001876AC">
              <w:rPr>
                <w:rFonts w:cs="Arial"/>
                <w:i/>
                <w:sz w:val="18"/>
                <w:szCs w:val="18"/>
              </w:rPr>
              <w:t>UE100849</w:t>
            </w:r>
            <w:proofErr w:type="spellEnd"/>
            <w:r w:rsidRPr="001876AC">
              <w:rPr>
                <w:rFonts w:cs="Arial"/>
                <w:i/>
                <w:sz w:val="18"/>
                <w:szCs w:val="18"/>
              </w:rPr>
              <w:t xml:space="preserve"> </w:t>
            </w:r>
            <w:proofErr w:type="spellStart"/>
            <w:r w:rsidRPr="001876AC">
              <w:rPr>
                <w:rFonts w:cs="Arial"/>
                <w:i/>
                <w:sz w:val="18"/>
                <w:szCs w:val="18"/>
              </w:rPr>
              <w:t>para</w:t>
            </w:r>
            <w:proofErr w:type="spellEnd"/>
            <w:r w:rsidRPr="001876AC">
              <w:rPr>
                <w:rFonts w:cs="Arial"/>
                <w:i/>
                <w:sz w:val="18"/>
                <w:szCs w:val="18"/>
              </w:rPr>
              <w:t xml:space="preserve"> 70 on 12/30/10  </w:t>
            </w:r>
          </w:p>
        </w:tc>
        <w:tc>
          <w:tcPr>
            <w:tcW w:w="1501" w:type="dxa"/>
          </w:tcPr>
          <w:p w:rsidR="001876AC" w:rsidRPr="008F42B8" w:rsidRDefault="001876AC" w:rsidP="001876AC">
            <w:pPr>
              <w:rPr>
                <w:rFonts w:cs="Arial"/>
                <w:b/>
                <w:sz w:val="18"/>
                <w:szCs w:val="18"/>
              </w:rPr>
            </w:pPr>
          </w:p>
        </w:tc>
        <w:tc>
          <w:tcPr>
            <w:tcW w:w="1556" w:type="dxa"/>
          </w:tcPr>
          <w:p w:rsidR="001876AC" w:rsidRPr="008F42B8" w:rsidRDefault="001876AC" w:rsidP="001876AC">
            <w:pPr>
              <w:rPr>
                <w:rFonts w:cs="Arial"/>
                <w:b/>
                <w:sz w:val="18"/>
                <w:szCs w:val="18"/>
              </w:rPr>
            </w:pPr>
          </w:p>
        </w:tc>
        <w:tc>
          <w:tcPr>
            <w:tcW w:w="630" w:type="dxa"/>
          </w:tcPr>
          <w:p w:rsidR="001876AC" w:rsidRPr="008F42B8" w:rsidRDefault="001876AC" w:rsidP="001876AC">
            <w:pPr>
              <w:jc w:val="center"/>
              <w:rPr>
                <w:rFonts w:cs="Arial"/>
                <w:sz w:val="18"/>
                <w:szCs w:val="18"/>
              </w:rPr>
            </w:pPr>
          </w:p>
        </w:tc>
        <w:tc>
          <w:tcPr>
            <w:tcW w:w="630" w:type="dxa"/>
          </w:tcPr>
          <w:p w:rsidR="001876AC" w:rsidRPr="008F42B8" w:rsidRDefault="001876AC" w:rsidP="001876AC">
            <w:pPr>
              <w:jc w:val="center"/>
              <w:rPr>
                <w:rFonts w:cs="Arial"/>
                <w:sz w:val="18"/>
                <w:szCs w:val="18"/>
              </w:rPr>
            </w:pPr>
          </w:p>
        </w:tc>
        <w:tc>
          <w:tcPr>
            <w:tcW w:w="630" w:type="dxa"/>
          </w:tcPr>
          <w:p w:rsidR="001876AC" w:rsidRPr="008F42B8" w:rsidRDefault="001876AC" w:rsidP="001876AC">
            <w:pPr>
              <w:jc w:val="center"/>
              <w:rPr>
                <w:rFonts w:cs="Arial"/>
                <w:sz w:val="18"/>
                <w:szCs w:val="18"/>
              </w:rPr>
            </w:pPr>
          </w:p>
        </w:tc>
        <w:tc>
          <w:tcPr>
            <w:tcW w:w="630" w:type="dxa"/>
          </w:tcPr>
          <w:p w:rsidR="001876AC" w:rsidRPr="008F42B8" w:rsidRDefault="001876AC" w:rsidP="001876AC">
            <w:pPr>
              <w:jc w:val="center"/>
              <w:rPr>
                <w:rFonts w:cs="Arial"/>
                <w:sz w:val="18"/>
                <w:szCs w:val="18"/>
              </w:rPr>
            </w:pPr>
          </w:p>
        </w:tc>
        <w:tc>
          <w:tcPr>
            <w:tcW w:w="630" w:type="dxa"/>
          </w:tcPr>
          <w:p w:rsidR="001876AC" w:rsidRPr="008F42B8" w:rsidRDefault="001876AC" w:rsidP="001876AC">
            <w:pPr>
              <w:jc w:val="center"/>
              <w:rPr>
                <w:rFonts w:cs="Arial"/>
                <w:sz w:val="18"/>
                <w:szCs w:val="18"/>
              </w:rPr>
            </w:pPr>
          </w:p>
        </w:tc>
        <w:tc>
          <w:tcPr>
            <w:tcW w:w="630" w:type="dxa"/>
          </w:tcPr>
          <w:p w:rsidR="001876AC" w:rsidRPr="008F42B8" w:rsidRDefault="001876AC" w:rsidP="001876AC">
            <w:pPr>
              <w:jc w:val="center"/>
              <w:rPr>
                <w:rFonts w:cs="Arial"/>
                <w:sz w:val="18"/>
                <w:szCs w:val="18"/>
              </w:rPr>
            </w:pPr>
          </w:p>
        </w:tc>
      </w:tr>
      <w:tr w:rsidR="001876AC" w:rsidRPr="001876AC" w:rsidTr="008F42B8">
        <w:tc>
          <w:tcPr>
            <w:tcW w:w="630" w:type="dxa"/>
          </w:tcPr>
          <w:p w:rsidR="001876AC" w:rsidRPr="008F42B8" w:rsidRDefault="001876AC" w:rsidP="001876AC">
            <w:pPr>
              <w:jc w:val="center"/>
              <w:rPr>
                <w:rFonts w:cs="Arial"/>
                <w:sz w:val="18"/>
                <w:szCs w:val="18"/>
              </w:rPr>
            </w:pPr>
          </w:p>
        </w:tc>
        <w:tc>
          <w:tcPr>
            <w:tcW w:w="640" w:type="dxa"/>
          </w:tcPr>
          <w:p w:rsidR="001876AC" w:rsidRPr="008F42B8" w:rsidRDefault="001876AC" w:rsidP="001876AC">
            <w:pPr>
              <w:jc w:val="center"/>
              <w:rPr>
                <w:rFonts w:cs="Arial"/>
                <w:sz w:val="18"/>
                <w:szCs w:val="18"/>
              </w:rPr>
            </w:pPr>
          </w:p>
        </w:tc>
        <w:tc>
          <w:tcPr>
            <w:tcW w:w="1523" w:type="dxa"/>
          </w:tcPr>
          <w:p w:rsidR="001876AC" w:rsidRPr="008F42B8" w:rsidRDefault="001876AC" w:rsidP="001876AC">
            <w:pPr>
              <w:rPr>
                <w:rFonts w:cs="Arial"/>
                <w:b/>
                <w:sz w:val="18"/>
                <w:szCs w:val="18"/>
              </w:rPr>
            </w:pPr>
            <w:r w:rsidRPr="008F42B8">
              <w:rPr>
                <w:rFonts w:cs="Arial"/>
                <w:b/>
                <w:sz w:val="18"/>
                <w:szCs w:val="18"/>
              </w:rPr>
              <w:t>1/1/2012</w:t>
            </w:r>
          </w:p>
          <w:p w:rsidR="001876AC" w:rsidRPr="008F42B8" w:rsidRDefault="001876AC" w:rsidP="001876AC">
            <w:pPr>
              <w:rPr>
                <w:rFonts w:cs="Arial"/>
                <w:sz w:val="18"/>
                <w:szCs w:val="18"/>
              </w:rPr>
            </w:pPr>
            <w:r w:rsidRPr="008F42B8">
              <w:rPr>
                <w:rFonts w:cs="Arial"/>
                <w:sz w:val="18"/>
                <w:szCs w:val="18"/>
              </w:rPr>
              <w:t xml:space="preserve">Utility owned or acquired </w:t>
            </w:r>
            <w:r w:rsidR="00C6506A">
              <w:rPr>
                <w:rFonts w:cs="Arial"/>
                <w:sz w:val="18"/>
                <w:szCs w:val="18"/>
              </w:rPr>
              <w:t>RECs</w:t>
            </w:r>
            <w:r w:rsidRPr="008F42B8">
              <w:rPr>
                <w:rFonts w:cs="Arial"/>
                <w:sz w:val="18"/>
                <w:szCs w:val="18"/>
              </w:rPr>
              <w:t xml:space="preserve"> for 2012 compliance</w:t>
            </w:r>
            <w:r w:rsidR="00C6506A">
              <w:rPr>
                <w:rFonts w:cs="Arial"/>
                <w:sz w:val="18"/>
                <w:szCs w:val="18"/>
              </w:rPr>
              <w:t>.</w:t>
            </w:r>
          </w:p>
          <w:p w:rsidR="001876AC" w:rsidRPr="001876AC" w:rsidRDefault="001876AC" w:rsidP="001876AC">
            <w:pPr>
              <w:rPr>
                <w:rFonts w:cs="Arial"/>
                <w:i/>
                <w:sz w:val="18"/>
                <w:szCs w:val="18"/>
              </w:rPr>
            </w:pPr>
            <w:r w:rsidRPr="001876AC">
              <w:rPr>
                <w:rFonts w:cs="Arial"/>
                <w:i/>
                <w:sz w:val="18"/>
                <w:szCs w:val="18"/>
              </w:rPr>
              <w:t>WAC 480-109-020 (1) and (2)</w:t>
            </w:r>
          </w:p>
        </w:tc>
        <w:tc>
          <w:tcPr>
            <w:tcW w:w="1501" w:type="dxa"/>
          </w:tcPr>
          <w:p w:rsidR="001876AC" w:rsidRPr="008F42B8" w:rsidRDefault="001876AC" w:rsidP="001876AC">
            <w:pPr>
              <w:rPr>
                <w:rFonts w:cs="Arial"/>
                <w:b/>
                <w:sz w:val="18"/>
                <w:szCs w:val="18"/>
              </w:rPr>
            </w:pPr>
            <w:r w:rsidRPr="008F42B8">
              <w:rPr>
                <w:rFonts w:cs="Arial"/>
                <w:b/>
                <w:sz w:val="18"/>
                <w:szCs w:val="18"/>
              </w:rPr>
              <w:t>1/1/2013</w:t>
            </w:r>
          </w:p>
          <w:p w:rsidR="001876AC" w:rsidRPr="008F42B8" w:rsidRDefault="001876AC" w:rsidP="001876AC">
            <w:pPr>
              <w:rPr>
                <w:rFonts w:cs="Arial"/>
                <w:sz w:val="18"/>
                <w:szCs w:val="18"/>
              </w:rPr>
            </w:pPr>
            <w:r w:rsidRPr="008F42B8">
              <w:rPr>
                <w:rFonts w:cs="Arial"/>
                <w:sz w:val="18"/>
                <w:szCs w:val="18"/>
              </w:rPr>
              <w:t>Utility</w:t>
            </w:r>
            <w:r>
              <w:rPr>
                <w:rFonts w:cs="Arial"/>
                <w:sz w:val="18"/>
                <w:szCs w:val="18"/>
              </w:rPr>
              <w:t xml:space="preserve"> owned or acquired</w:t>
            </w:r>
            <w:r w:rsidRPr="008F42B8">
              <w:rPr>
                <w:rFonts w:cs="Arial"/>
                <w:sz w:val="18"/>
                <w:szCs w:val="18"/>
              </w:rPr>
              <w:t xml:space="preserve"> RECs for 2013 “Target Year”-based on average load for 2011 and 2012.</w:t>
            </w:r>
          </w:p>
        </w:tc>
        <w:tc>
          <w:tcPr>
            <w:tcW w:w="1556" w:type="dxa"/>
          </w:tcPr>
          <w:p w:rsidR="001876AC" w:rsidRPr="008F42B8" w:rsidRDefault="001876AC" w:rsidP="001876AC">
            <w:pPr>
              <w:rPr>
                <w:rFonts w:cs="Arial"/>
                <w:b/>
                <w:sz w:val="18"/>
                <w:szCs w:val="18"/>
              </w:rPr>
            </w:pPr>
            <w:r w:rsidRPr="008F42B8">
              <w:rPr>
                <w:rFonts w:cs="Arial"/>
                <w:b/>
                <w:sz w:val="18"/>
                <w:szCs w:val="18"/>
              </w:rPr>
              <w:t>1/1/2014</w:t>
            </w:r>
          </w:p>
          <w:p w:rsidR="001876AC" w:rsidRPr="008F42B8" w:rsidRDefault="001876AC" w:rsidP="001876AC">
            <w:pPr>
              <w:rPr>
                <w:rFonts w:cs="Arial"/>
                <w:sz w:val="18"/>
                <w:szCs w:val="18"/>
              </w:rPr>
            </w:pPr>
            <w:r w:rsidRPr="008F42B8">
              <w:rPr>
                <w:rFonts w:cs="Arial"/>
                <w:sz w:val="18"/>
                <w:szCs w:val="18"/>
              </w:rPr>
              <w:t>Utility owned or acquired RECs for 2014 “Target Year” based on average load for 2012 and 2013.</w:t>
            </w:r>
          </w:p>
        </w:tc>
        <w:tc>
          <w:tcPr>
            <w:tcW w:w="630" w:type="dxa"/>
          </w:tcPr>
          <w:p w:rsidR="001876AC" w:rsidRPr="008F42B8" w:rsidRDefault="001876AC" w:rsidP="001876AC">
            <w:pPr>
              <w:jc w:val="center"/>
              <w:rPr>
                <w:rFonts w:cs="Arial"/>
                <w:sz w:val="18"/>
                <w:szCs w:val="18"/>
              </w:rPr>
            </w:pPr>
          </w:p>
        </w:tc>
        <w:tc>
          <w:tcPr>
            <w:tcW w:w="630" w:type="dxa"/>
          </w:tcPr>
          <w:p w:rsidR="001876AC" w:rsidRPr="008F42B8" w:rsidRDefault="001876AC" w:rsidP="001876AC">
            <w:pPr>
              <w:jc w:val="center"/>
              <w:rPr>
                <w:rFonts w:cs="Arial"/>
                <w:sz w:val="18"/>
                <w:szCs w:val="18"/>
              </w:rPr>
            </w:pPr>
          </w:p>
        </w:tc>
        <w:tc>
          <w:tcPr>
            <w:tcW w:w="630" w:type="dxa"/>
          </w:tcPr>
          <w:p w:rsidR="001876AC" w:rsidRPr="008F42B8" w:rsidRDefault="001876AC" w:rsidP="001876AC">
            <w:pPr>
              <w:jc w:val="center"/>
              <w:rPr>
                <w:rFonts w:cs="Arial"/>
                <w:sz w:val="18"/>
                <w:szCs w:val="18"/>
              </w:rPr>
            </w:pPr>
          </w:p>
        </w:tc>
        <w:tc>
          <w:tcPr>
            <w:tcW w:w="630" w:type="dxa"/>
          </w:tcPr>
          <w:p w:rsidR="001876AC" w:rsidRPr="008F42B8" w:rsidRDefault="001876AC" w:rsidP="001876AC">
            <w:pPr>
              <w:jc w:val="center"/>
              <w:rPr>
                <w:rFonts w:cs="Arial"/>
                <w:sz w:val="18"/>
                <w:szCs w:val="18"/>
              </w:rPr>
            </w:pPr>
          </w:p>
        </w:tc>
        <w:tc>
          <w:tcPr>
            <w:tcW w:w="630" w:type="dxa"/>
          </w:tcPr>
          <w:p w:rsidR="001876AC" w:rsidRPr="008F42B8" w:rsidRDefault="001876AC" w:rsidP="001876AC">
            <w:pPr>
              <w:jc w:val="center"/>
              <w:rPr>
                <w:rFonts w:cs="Arial"/>
                <w:sz w:val="18"/>
                <w:szCs w:val="18"/>
              </w:rPr>
            </w:pPr>
          </w:p>
        </w:tc>
        <w:tc>
          <w:tcPr>
            <w:tcW w:w="630" w:type="dxa"/>
          </w:tcPr>
          <w:p w:rsidR="001876AC" w:rsidRPr="008F42B8" w:rsidRDefault="001876AC" w:rsidP="001876AC">
            <w:pPr>
              <w:jc w:val="center"/>
              <w:rPr>
                <w:rFonts w:cs="Arial"/>
                <w:sz w:val="18"/>
                <w:szCs w:val="18"/>
              </w:rPr>
            </w:pPr>
          </w:p>
        </w:tc>
      </w:tr>
      <w:tr w:rsidR="001876AC" w:rsidRPr="001876AC" w:rsidTr="008F42B8">
        <w:trPr>
          <w:trHeight w:val="1691"/>
        </w:trPr>
        <w:tc>
          <w:tcPr>
            <w:tcW w:w="630" w:type="dxa"/>
          </w:tcPr>
          <w:p w:rsidR="001876AC" w:rsidRPr="008F42B8" w:rsidRDefault="001876AC" w:rsidP="001876AC">
            <w:pPr>
              <w:jc w:val="center"/>
              <w:rPr>
                <w:rFonts w:cs="Arial"/>
                <w:sz w:val="18"/>
                <w:szCs w:val="18"/>
              </w:rPr>
            </w:pPr>
          </w:p>
        </w:tc>
        <w:tc>
          <w:tcPr>
            <w:tcW w:w="640" w:type="dxa"/>
          </w:tcPr>
          <w:p w:rsidR="001876AC" w:rsidRPr="008F42B8" w:rsidRDefault="001876AC" w:rsidP="001876AC">
            <w:pPr>
              <w:jc w:val="center"/>
              <w:rPr>
                <w:rFonts w:cs="Arial"/>
                <w:sz w:val="18"/>
                <w:szCs w:val="18"/>
              </w:rPr>
            </w:pPr>
          </w:p>
        </w:tc>
        <w:tc>
          <w:tcPr>
            <w:tcW w:w="1523" w:type="dxa"/>
          </w:tcPr>
          <w:p w:rsidR="001876AC" w:rsidRPr="008F42B8" w:rsidRDefault="001876AC" w:rsidP="001876AC">
            <w:pPr>
              <w:rPr>
                <w:rFonts w:cs="Arial"/>
                <w:b/>
                <w:sz w:val="18"/>
                <w:szCs w:val="18"/>
              </w:rPr>
            </w:pPr>
            <w:r w:rsidRPr="008F42B8">
              <w:rPr>
                <w:rFonts w:cs="Arial"/>
                <w:b/>
                <w:sz w:val="18"/>
                <w:szCs w:val="18"/>
              </w:rPr>
              <w:t>6/1/2012</w:t>
            </w:r>
          </w:p>
          <w:p w:rsidR="001876AC" w:rsidRPr="008F42B8" w:rsidRDefault="001876AC" w:rsidP="001876AC">
            <w:pPr>
              <w:rPr>
                <w:rFonts w:cs="Arial"/>
                <w:sz w:val="18"/>
                <w:szCs w:val="18"/>
              </w:rPr>
            </w:pPr>
            <w:r w:rsidRPr="008F42B8">
              <w:rPr>
                <w:rFonts w:cs="Arial"/>
                <w:sz w:val="18"/>
                <w:szCs w:val="18"/>
              </w:rPr>
              <w:t xml:space="preserve">Utility Report on compliance status for 2012 </w:t>
            </w:r>
          </w:p>
          <w:p w:rsidR="001876AC" w:rsidRPr="008F42B8" w:rsidRDefault="001876AC" w:rsidP="001876AC">
            <w:pPr>
              <w:rPr>
                <w:rFonts w:cs="Arial"/>
                <w:i/>
                <w:sz w:val="18"/>
                <w:szCs w:val="18"/>
              </w:rPr>
            </w:pPr>
            <w:r w:rsidRPr="001876AC">
              <w:rPr>
                <w:rFonts w:cs="Arial"/>
                <w:i/>
                <w:sz w:val="18"/>
                <w:szCs w:val="18"/>
              </w:rPr>
              <w:t>WAC 480-109-040 (1)</w:t>
            </w:r>
          </w:p>
        </w:tc>
        <w:tc>
          <w:tcPr>
            <w:tcW w:w="1501" w:type="dxa"/>
          </w:tcPr>
          <w:p w:rsidR="001876AC" w:rsidRPr="008F42B8" w:rsidRDefault="001876AC" w:rsidP="001876AC">
            <w:pPr>
              <w:rPr>
                <w:rFonts w:cs="Arial"/>
                <w:b/>
                <w:sz w:val="18"/>
                <w:szCs w:val="18"/>
              </w:rPr>
            </w:pPr>
            <w:r w:rsidRPr="008F42B8">
              <w:rPr>
                <w:rFonts w:cs="Arial"/>
                <w:b/>
                <w:sz w:val="18"/>
                <w:szCs w:val="18"/>
              </w:rPr>
              <w:t>6/1/2013</w:t>
            </w:r>
          </w:p>
          <w:p w:rsidR="001876AC" w:rsidRPr="008F42B8" w:rsidRDefault="001876AC" w:rsidP="001876AC">
            <w:pPr>
              <w:rPr>
                <w:rFonts w:cs="Arial"/>
                <w:sz w:val="18"/>
                <w:szCs w:val="18"/>
              </w:rPr>
            </w:pPr>
            <w:r w:rsidRPr="008F42B8">
              <w:rPr>
                <w:rFonts w:cs="Arial"/>
                <w:sz w:val="18"/>
                <w:szCs w:val="18"/>
              </w:rPr>
              <w:t>Report on Compliance Status for 2012 and 2013</w:t>
            </w:r>
            <w:r w:rsidR="00C6506A">
              <w:rPr>
                <w:rFonts w:cs="Arial"/>
                <w:sz w:val="18"/>
                <w:szCs w:val="18"/>
              </w:rPr>
              <w:t>.</w:t>
            </w:r>
          </w:p>
          <w:p w:rsidR="001876AC" w:rsidRPr="008F42B8" w:rsidRDefault="001876AC" w:rsidP="001876AC">
            <w:pPr>
              <w:rPr>
                <w:rFonts w:cs="Arial"/>
                <w:sz w:val="18"/>
                <w:szCs w:val="18"/>
              </w:rPr>
            </w:pPr>
          </w:p>
        </w:tc>
        <w:tc>
          <w:tcPr>
            <w:tcW w:w="1556" w:type="dxa"/>
          </w:tcPr>
          <w:p w:rsidR="001876AC" w:rsidRPr="008F42B8" w:rsidRDefault="001876AC" w:rsidP="001876AC">
            <w:pPr>
              <w:rPr>
                <w:rFonts w:cs="Arial"/>
                <w:b/>
                <w:sz w:val="18"/>
                <w:szCs w:val="18"/>
              </w:rPr>
            </w:pPr>
            <w:r w:rsidRPr="008F42B8">
              <w:rPr>
                <w:rFonts w:cs="Arial"/>
                <w:b/>
                <w:sz w:val="18"/>
                <w:szCs w:val="18"/>
              </w:rPr>
              <w:t>6/1/2014</w:t>
            </w:r>
          </w:p>
          <w:p w:rsidR="001876AC" w:rsidRPr="008F42B8" w:rsidRDefault="001876AC" w:rsidP="001876AC">
            <w:pPr>
              <w:rPr>
                <w:rFonts w:cs="Arial"/>
                <w:sz w:val="18"/>
                <w:szCs w:val="18"/>
              </w:rPr>
            </w:pPr>
            <w:r w:rsidRPr="008F42B8">
              <w:rPr>
                <w:rFonts w:cs="Arial"/>
                <w:sz w:val="18"/>
                <w:szCs w:val="18"/>
              </w:rPr>
              <w:t>Report on 2012 final, 2013 status, and 2014 status</w:t>
            </w:r>
            <w:r w:rsidR="00C6506A">
              <w:rPr>
                <w:rFonts w:cs="Arial"/>
                <w:sz w:val="18"/>
                <w:szCs w:val="18"/>
              </w:rPr>
              <w:t>.</w:t>
            </w:r>
          </w:p>
        </w:tc>
        <w:tc>
          <w:tcPr>
            <w:tcW w:w="630" w:type="dxa"/>
          </w:tcPr>
          <w:p w:rsidR="001876AC" w:rsidRPr="008F42B8" w:rsidRDefault="001876AC" w:rsidP="001876AC">
            <w:pPr>
              <w:jc w:val="center"/>
              <w:rPr>
                <w:rFonts w:cs="Arial"/>
                <w:sz w:val="18"/>
                <w:szCs w:val="18"/>
              </w:rPr>
            </w:pPr>
          </w:p>
        </w:tc>
        <w:tc>
          <w:tcPr>
            <w:tcW w:w="630" w:type="dxa"/>
          </w:tcPr>
          <w:p w:rsidR="001876AC" w:rsidRPr="008F42B8" w:rsidRDefault="001876AC" w:rsidP="001876AC">
            <w:pPr>
              <w:jc w:val="center"/>
              <w:rPr>
                <w:rFonts w:cs="Arial"/>
                <w:sz w:val="18"/>
                <w:szCs w:val="18"/>
              </w:rPr>
            </w:pPr>
          </w:p>
        </w:tc>
        <w:tc>
          <w:tcPr>
            <w:tcW w:w="630" w:type="dxa"/>
          </w:tcPr>
          <w:p w:rsidR="001876AC" w:rsidRPr="008F42B8" w:rsidRDefault="001876AC" w:rsidP="001876AC">
            <w:pPr>
              <w:jc w:val="center"/>
              <w:rPr>
                <w:rFonts w:cs="Arial"/>
                <w:sz w:val="18"/>
                <w:szCs w:val="18"/>
              </w:rPr>
            </w:pPr>
          </w:p>
        </w:tc>
        <w:tc>
          <w:tcPr>
            <w:tcW w:w="630" w:type="dxa"/>
          </w:tcPr>
          <w:p w:rsidR="001876AC" w:rsidRPr="008F42B8" w:rsidRDefault="001876AC" w:rsidP="001876AC">
            <w:pPr>
              <w:jc w:val="center"/>
              <w:rPr>
                <w:rFonts w:cs="Arial"/>
                <w:sz w:val="18"/>
                <w:szCs w:val="18"/>
              </w:rPr>
            </w:pPr>
          </w:p>
        </w:tc>
        <w:tc>
          <w:tcPr>
            <w:tcW w:w="630" w:type="dxa"/>
          </w:tcPr>
          <w:p w:rsidR="001876AC" w:rsidRPr="008F42B8" w:rsidRDefault="001876AC" w:rsidP="001876AC">
            <w:pPr>
              <w:jc w:val="center"/>
              <w:rPr>
                <w:rFonts w:cs="Arial"/>
                <w:sz w:val="18"/>
                <w:szCs w:val="18"/>
              </w:rPr>
            </w:pPr>
          </w:p>
        </w:tc>
        <w:tc>
          <w:tcPr>
            <w:tcW w:w="630" w:type="dxa"/>
          </w:tcPr>
          <w:p w:rsidR="001876AC" w:rsidRPr="008F42B8" w:rsidRDefault="001876AC" w:rsidP="001876AC">
            <w:pPr>
              <w:jc w:val="center"/>
              <w:rPr>
                <w:rFonts w:cs="Arial"/>
                <w:sz w:val="18"/>
                <w:szCs w:val="18"/>
              </w:rPr>
            </w:pPr>
          </w:p>
        </w:tc>
      </w:tr>
      <w:tr w:rsidR="001876AC" w:rsidRPr="001876AC" w:rsidTr="008F42B8">
        <w:tc>
          <w:tcPr>
            <w:tcW w:w="630" w:type="dxa"/>
          </w:tcPr>
          <w:p w:rsidR="001876AC" w:rsidRPr="008F42B8" w:rsidRDefault="001876AC" w:rsidP="001876AC">
            <w:pPr>
              <w:jc w:val="center"/>
              <w:rPr>
                <w:rFonts w:cs="Arial"/>
                <w:sz w:val="18"/>
                <w:szCs w:val="18"/>
              </w:rPr>
            </w:pPr>
          </w:p>
        </w:tc>
        <w:tc>
          <w:tcPr>
            <w:tcW w:w="640" w:type="dxa"/>
          </w:tcPr>
          <w:p w:rsidR="001876AC" w:rsidRPr="008F42B8" w:rsidRDefault="001876AC" w:rsidP="001876AC">
            <w:pPr>
              <w:jc w:val="center"/>
              <w:rPr>
                <w:rFonts w:cs="Arial"/>
                <w:sz w:val="18"/>
                <w:szCs w:val="18"/>
              </w:rPr>
            </w:pPr>
          </w:p>
        </w:tc>
        <w:tc>
          <w:tcPr>
            <w:tcW w:w="1523" w:type="dxa"/>
          </w:tcPr>
          <w:p w:rsidR="001876AC" w:rsidRPr="008F42B8" w:rsidRDefault="001876AC" w:rsidP="001876AC">
            <w:pPr>
              <w:rPr>
                <w:rFonts w:cs="Arial"/>
                <w:b/>
                <w:sz w:val="18"/>
                <w:szCs w:val="18"/>
              </w:rPr>
            </w:pPr>
            <w:r w:rsidRPr="008F42B8">
              <w:rPr>
                <w:rFonts w:cs="Arial"/>
                <w:b/>
                <w:sz w:val="18"/>
                <w:szCs w:val="18"/>
              </w:rPr>
              <w:t>7/1/2012</w:t>
            </w:r>
          </w:p>
          <w:p w:rsidR="001876AC" w:rsidRPr="008F42B8" w:rsidRDefault="001876AC" w:rsidP="001876AC">
            <w:pPr>
              <w:rPr>
                <w:rFonts w:cs="Arial"/>
                <w:sz w:val="18"/>
                <w:szCs w:val="18"/>
              </w:rPr>
            </w:pPr>
            <w:r w:rsidRPr="008F42B8">
              <w:rPr>
                <w:rFonts w:cs="Arial"/>
                <w:sz w:val="18"/>
                <w:szCs w:val="18"/>
              </w:rPr>
              <w:t xml:space="preserve">Interested parties and </w:t>
            </w:r>
            <w:r w:rsidR="007C217E">
              <w:rPr>
                <w:rFonts w:cs="Arial"/>
                <w:sz w:val="18"/>
                <w:szCs w:val="18"/>
              </w:rPr>
              <w:t>Staff</w:t>
            </w:r>
            <w:r w:rsidRPr="008F42B8">
              <w:rPr>
                <w:rFonts w:cs="Arial"/>
                <w:sz w:val="18"/>
                <w:szCs w:val="18"/>
              </w:rPr>
              <w:t xml:space="preserve"> comments on utility reports</w:t>
            </w:r>
            <w:r w:rsidR="00C6506A">
              <w:rPr>
                <w:rFonts w:cs="Arial"/>
                <w:sz w:val="18"/>
                <w:szCs w:val="18"/>
              </w:rPr>
              <w:t>.</w:t>
            </w:r>
          </w:p>
          <w:p w:rsidR="001876AC" w:rsidRPr="008F42B8" w:rsidRDefault="001876AC" w:rsidP="001876AC">
            <w:pPr>
              <w:rPr>
                <w:rFonts w:cs="Arial"/>
                <w:i/>
                <w:sz w:val="18"/>
                <w:szCs w:val="18"/>
              </w:rPr>
            </w:pPr>
            <w:r w:rsidRPr="001876AC">
              <w:rPr>
                <w:rFonts w:cs="Arial"/>
                <w:i/>
                <w:sz w:val="18"/>
                <w:szCs w:val="18"/>
              </w:rPr>
              <w:t>WAC</w:t>
            </w:r>
            <w:r>
              <w:rPr>
                <w:rFonts w:cs="Arial"/>
                <w:i/>
                <w:sz w:val="18"/>
                <w:szCs w:val="18"/>
              </w:rPr>
              <w:t xml:space="preserve"> </w:t>
            </w:r>
            <w:r w:rsidRPr="001876AC">
              <w:rPr>
                <w:rFonts w:cs="Arial"/>
                <w:i/>
                <w:sz w:val="18"/>
                <w:szCs w:val="18"/>
              </w:rPr>
              <w:t>480-109-040 (2)</w:t>
            </w:r>
          </w:p>
        </w:tc>
        <w:tc>
          <w:tcPr>
            <w:tcW w:w="1501" w:type="dxa"/>
          </w:tcPr>
          <w:p w:rsidR="001876AC" w:rsidRPr="008F42B8" w:rsidRDefault="001876AC" w:rsidP="001876AC">
            <w:pPr>
              <w:rPr>
                <w:rFonts w:cs="Arial"/>
                <w:b/>
                <w:sz w:val="18"/>
                <w:szCs w:val="18"/>
              </w:rPr>
            </w:pPr>
            <w:r w:rsidRPr="008F42B8">
              <w:rPr>
                <w:rFonts w:cs="Arial"/>
                <w:b/>
                <w:sz w:val="18"/>
                <w:szCs w:val="18"/>
              </w:rPr>
              <w:t>7/1/2013</w:t>
            </w:r>
          </w:p>
          <w:p w:rsidR="001876AC" w:rsidRPr="008F42B8" w:rsidRDefault="001876AC" w:rsidP="001876AC">
            <w:pPr>
              <w:rPr>
                <w:rFonts w:cs="Arial"/>
                <w:sz w:val="18"/>
                <w:szCs w:val="18"/>
              </w:rPr>
            </w:pPr>
            <w:r w:rsidRPr="008F42B8">
              <w:rPr>
                <w:rFonts w:cs="Arial"/>
                <w:sz w:val="18"/>
                <w:szCs w:val="18"/>
              </w:rPr>
              <w:t xml:space="preserve">Interested parties and </w:t>
            </w:r>
            <w:r w:rsidR="007C217E">
              <w:rPr>
                <w:rFonts w:cs="Arial"/>
                <w:sz w:val="18"/>
                <w:szCs w:val="18"/>
              </w:rPr>
              <w:t>Staff</w:t>
            </w:r>
            <w:r w:rsidRPr="008F42B8">
              <w:rPr>
                <w:rFonts w:cs="Arial"/>
                <w:sz w:val="18"/>
                <w:szCs w:val="18"/>
              </w:rPr>
              <w:t xml:space="preserve"> comments</w:t>
            </w:r>
            <w:r w:rsidR="00C6506A">
              <w:rPr>
                <w:rFonts w:cs="Arial"/>
                <w:sz w:val="18"/>
                <w:szCs w:val="18"/>
              </w:rPr>
              <w:t>.</w:t>
            </w:r>
          </w:p>
        </w:tc>
        <w:tc>
          <w:tcPr>
            <w:tcW w:w="1556" w:type="dxa"/>
          </w:tcPr>
          <w:p w:rsidR="001876AC" w:rsidRPr="008F42B8" w:rsidRDefault="001876AC" w:rsidP="001876AC">
            <w:pPr>
              <w:rPr>
                <w:rFonts w:cs="Arial"/>
                <w:b/>
                <w:sz w:val="18"/>
                <w:szCs w:val="18"/>
              </w:rPr>
            </w:pPr>
            <w:r w:rsidRPr="008F42B8">
              <w:rPr>
                <w:rFonts w:cs="Arial"/>
                <w:b/>
                <w:sz w:val="18"/>
                <w:szCs w:val="18"/>
              </w:rPr>
              <w:t>7/1/2014</w:t>
            </w:r>
          </w:p>
          <w:p w:rsidR="001876AC" w:rsidRPr="008F42B8" w:rsidRDefault="001876AC" w:rsidP="001876AC">
            <w:pPr>
              <w:rPr>
                <w:rFonts w:cs="Arial"/>
                <w:sz w:val="18"/>
                <w:szCs w:val="18"/>
              </w:rPr>
            </w:pPr>
            <w:r w:rsidRPr="008F42B8">
              <w:rPr>
                <w:rFonts w:cs="Arial"/>
                <w:sz w:val="18"/>
                <w:szCs w:val="18"/>
              </w:rPr>
              <w:t xml:space="preserve">Interested parties and </w:t>
            </w:r>
            <w:r w:rsidR="007C217E">
              <w:rPr>
                <w:rFonts w:cs="Arial"/>
                <w:sz w:val="18"/>
                <w:szCs w:val="18"/>
              </w:rPr>
              <w:t>Staff</w:t>
            </w:r>
            <w:r w:rsidRPr="008F42B8">
              <w:rPr>
                <w:rFonts w:cs="Arial"/>
                <w:sz w:val="18"/>
                <w:szCs w:val="18"/>
              </w:rPr>
              <w:t xml:space="preserve"> comments</w:t>
            </w:r>
            <w:r w:rsidR="00C6506A">
              <w:rPr>
                <w:rFonts w:cs="Arial"/>
                <w:sz w:val="18"/>
                <w:szCs w:val="18"/>
              </w:rPr>
              <w:t>.</w:t>
            </w:r>
          </w:p>
        </w:tc>
        <w:tc>
          <w:tcPr>
            <w:tcW w:w="630" w:type="dxa"/>
          </w:tcPr>
          <w:p w:rsidR="001876AC" w:rsidRPr="008F42B8" w:rsidRDefault="001876AC" w:rsidP="001876AC">
            <w:pPr>
              <w:jc w:val="center"/>
              <w:rPr>
                <w:rFonts w:cs="Arial"/>
                <w:sz w:val="18"/>
                <w:szCs w:val="18"/>
              </w:rPr>
            </w:pPr>
          </w:p>
        </w:tc>
        <w:tc>
          <w:tcPr>
            <w:tcW w:w="630" w:type="dxa"/>
          </w:tcPr>
          <w:p w:rsidR="001876AC" w:rsidRPr="008F42B8" w:rsidRDefault="001876AC" w:rsidP="001876AC">
            <w:pPr>
              <w:jc w:val="center"/>
              <w:rPr>
                <w:rFonts w:cs="Arial"/>
                <w:sz w:val="18"/>
                <w:szCs w:val="18"/>
              </w:rPr>
            </w:pPr>
          </w:p>
        </w:tc>
        <w:tc>
          <w:tcPr>
            <w:tcW w:w="630" w:type="dxa"/>
          </w:tcPr>
          <w:p w:rsidR="001876AC" w:rsidRPr="008F42B8" w:rsidRDefault="001876AC" w:rsidP="001876AC">
            <w:pPr>
              <w:jc w:val="center"/>
              <w:rPr>
                <w:rFonts w:cs="Arial"/>
                <w:sz w:val="18"/>
                <w:szCs w:val="18"/>
              </w:rPr>
            </w:pPr>
          </w:p>
        </w:tc>
        <w:tc>
          <w:tcPr>
            <w:tcW w:w="630" w:type="dxa"/>
          </w:tcPr>
          <w:p w:rsidR="001876AC" w:rsidRPr="008F42B8" w:rsidRDefault="001876AC" w:rsidP="001876AC">
            <w:pPr>
              <w:jc w:val="center"/>
              <w:rPr>
                <w:rFonts w:cs="Arial"/>
                <w:sz w:val="18"/>
                <w:szCs w:val="18"/>
              </w:rPr>
            </w:pPr>
          </w:p>
        </w:tc>
        <w:tc>
          <w:tcPr>
            <w:tcW w:w="630" w:type="dxa"/>
          </w:tcPr>
          <w:p w:rsidR="001876AC" w:rsidRPr="008F42B8" w:rsidRDefault="001876AC" w:rsidP="001876AC">
            <w:pPr>
              <w:jc w:val="center"/>
              <w:rPr>
                <w:rFonts w:cs="Arial"/>
                <w:sz w:val="18"/>
                <w:szCs w:val="18"/>
              </w:rPr>
            </w:pPr>
          </w:p>
        </w:tc>
        <w:tc>
          <w:tcPr>
            <w:tcW w:w="630" w:type="dxa"/>
          </w:tcPr>
          <w:p w:rsidR="001876AC" w:rsidRPr="008F42B8" w:rsidRDefault="001876AC" w:rsidP="001876AC">
            <w:pPr>
              <w:jc w:val="center"/>
              <w:rPr>
                <w:rFonts w:cs="Arial"/>
                <w:sz w:val="18"/>
                <w:szCs w:val="18"/>
              </w:rPr>
            </w:pPr>
          </w:p>
        </w:tc>
      </w:tr>
      <w:tr w:rsidR="001876AC" w:rsidRPr="001876AC" w:rsidTr="008F42B8">
        <w:trPr>
          <w:trHeight w:val="188"/>
        </w:trPr>
        <w:tc>
          <w:tcPr>
            <w:tcW w:w="630" w:type="dxa"/>
          </w:tcPr>
          <w:p w:rsidR="001876AC" w:rsidRPr="008F42B8" w:rsidRDefault="001876AC" w:rsidP="001876AC">
            <w:pPr>
              <w:jc w:val="center"/>
              <w:rPr>
                <w:rFonts w:cs="Arial"/>
                <w:sz w:val="18"/>
                <w:szCs w:val="18"/>
              </w:rPr>
            </w:pPr>
          </w:p>
        </w:tc>
        <w:tc>
          <w:tcPr>
            <w:tcW w:w="640" w:type="dxa"/>
          </w:tcPr>
          <w:p w:rsidR="001876AC" w:rsidRPr="008F42B8" w:rsidRDefault="001876AC" w:rsidP="001876AC">
            <w:pPr>
              <w:jc w:val="center"/>
              <w:rPr>
                <w:rFonts w:cs="Arial"/>
                <w:sz w:val="18"/>
                <w:szCs w:val="18"/>
              </w:rPr>
            </w:pPr>
          </w:p>
        </w:tc>
        <w:tc>
          <w:tcPr>
            <w:tcW w:w="1523" w:type="dxa"/>
          </w:tcPr>
          <w:p w:rsidR="001876AC" w:rsidRPr="008F42B8" w:rsidRDefault="001876AC" w:rsidP="001876AC">
            <w:pPr>
              <w:rPr>
                <w:rFonts w:cs="Arial"/>
                <w:sz w:val="18"/>
                <w:szCs w:val="18"/>
              </w:rPr>
            </w:pPr>
            <w:r w:rsidRPr="008F42B8">
              <w:rPr>
                <w:rFonts w:cs="Arial"/>
                <w:b/>
                <w:sz w:val="18"/>
                <w:szCs w:val="18"/>
              </w:rPr>
              <w:t>Commission Determination</w:t>
            </w:r>
            <w:r w:rsidRPr="008F42B8">
              <w:rPr>
                <w:rFonts w:cs="Arial"/>
                <w:sz w:val="18"/>
                <w:szCs w:val="18"/>
              </w:rPr>
              <w:t xml:space="preserve"> of full or partial compliance for 2012</w:t>
            </w:r>
            <w:r w:rsidR="00C6506A">
              <w:rPr>
                <w:rFonts w:cs="Arial"/>
                <w:sz w:val="18"/>
                <w:szCs w:val="18"/>
              </w:rPr>
              <w:t>.</w:t>
            </w:r>
          </w:p>
        </w:tc>
        <w:tc>
          <w:tcPr>
            <w:tcW w:w="1501" w:type="dxa"/>
          </w:tcPr>
          <w:p w:rsidR="001876AC" w:rsidRPr="008F42B8" w:rsidRDefault="001876AC" w:rsidP="001876AC">
            <w:pPr>
              <w:rPr>
                <w:rFonts w:cs="Arial"/>
                <w:sz w:val="18"/>
                <w:szCs w:val="18"/>
              </w:rPr>
            </w:pPr>
            <w:r w:rsidRPr="008F42B8">
              <w:rPr>
                <w:rFonts w:cs="Arial"/>
                <w:b/>
                <w:sz w:val="18"/>
                <w:szCs w:val="18"/>
              </w:rPr>
              <w:t>Commission Determination</w:t>
            </w:r>
            <w:r w:rsidRPr="008F42B8">
              <w:rPr>
                <w:rFonts w:cs="Arial"/>
                <w:sz w:val="18"/>
                <w:szCs w:val="18"/>
              </w:rPr>
              <w:t xml:space="preserve"> of full or partial compliance for 2012 and 2013</w:t>
            </w:r>
            <w:r w:rsidR="00C6506A">
              <w:rPr>
                <w:rFonts w:cs="Arial"/>
                <w:sz w:val="18"/>
                <w:szCs w:val="18"/>
              </w:rPr>
              <w:t>.</w:t>
            </w:r>
          </w:p>
        </w:tc>
        <w:tc>
          <w:tcPr>
            <w:tcW w:w="1556" w:type="dxa"/>
          </w:tcPr>
          <w:p w:rsidR="001876AC" w:rsidRPr="008F42B8" w:rsidRDefault="001876AC" w:rsidP="001876AC">
            <w:pPr>
              <w:rPr>
                <w:rFonts w:cs="Arial"/>
                <w:sz w:val="18"/>
                <w:szCs w:val="18"/>
              </w:rPr>
            </w:pPr>
            <w:r w:rsidRPr="008F42B8">
              <w:rPr>
                <w:rFonts w:cs="Arial"/>
                <w:b/>
                <w:sz w:val="18"/>
                <w:szCs w:val="18"/>
              </w:rPr>
              <w:t>Commission Determination</w:t>
            </w:r>
            <w:r w:rsidRPr="008F42B8">
              <w:rPr>
                <w:rFonts w:cs="Arial"/>
                <w:sz w:val="18"/>
                <w:szCs w:val="18"/>
              </w:rPr>
              <w:t xml:space="preserve"> final compliance for 2012 and full or partial compliance for 2013 and 2014</w:t>
            </w:r>
            <w:r w:rsidR="00E07BC9">
              <w:rPr>
                <w:rFonts w:cs="Arial"/>
                <w:sz w:val="18"/>
                <w:szCs w:val="18"/>
              </w:rPr>
              <w:t xml:space="preserve">. </w:t>
            </w:r>
            <w:r w:rsidRPr="008F42B8">
              <w:rPr>
                <w:rFonts w:cs="Arial"/>
                <w:b/>
                <w:sz w:val="18"/>
                <w:szCs w:val="18"/>
              </w:rPr>
              <w:t>Penalty</w:t>
            </w:r>
            <w:r w:rsidRPr="008F42B8">
              <w:rPr>
                <w:rFonts w:cs="Arial"/>
                <w:sz w:val="18"/>
                <w:szCs w:val="18"/>
              </w:rPr>
              <w:t xml:space="preserve"> potential </w:t>
            </w:r>
            <w:r w:rsidR="00C6506A">
              <w:rPr>
                <w:rFonts w:cs="Arial"/>
                <w:sz w:val="18"/>
                <w:szCs w:val="18"/>
              </w:rPr>
              <w:t>for 2012.</w:t>
            </w:r>
          </w:p>
        </w:tc>
        <w:tc>
          <w:tcPr>
            <w:tcW w:w="630" w:type="dxa"/>
          </w:tcPr>
          <w:p w:rsidR="001876AC" w:rsidRPr="008F42B8" w:rsidRDefault="001876AC" w:rsidP="001876AC">
            <w:pPr>
              <w:jc w:val="center"/>
              <w:rPr>
                <w:rFonts w:cs="Arial"/>
                <w:sz w:val="18"/>
                <w:szCs w:val="18"/>
              </w:rPr>
            </w:pPr>
          </w:p>
        </w:tc>
        <w:tc>
          <w:tcPr>
            <w:tcW w:w="630" w:type="dxa"/>
          </w:tcPr>
          <w:p w:rsidR="001876AC" w:rsidRPr="008F42B8" w:rsidRDefault="001876AC" w:rsidP="001876AC">
            <w:pPr>
              <w:jc w:val="center"/>
              <w:rPr>
                <w:rFonts w:cs="Arial"/>
                <w:sz w:val="18"/>
                <w:szCs w:val="18"/>
              </w:rPr>
            </w:pPr>
          </w:p>
        </w:tc>
        <w:tc>
          <w:tcPr>
            <w:tcW w:w="630" w:type="dxa"/>
          </w:tcPr>
          <w:p w:rsidR="001876AC" w:rsidRPr="008F42B8" w:rsidRDefault="001876AC" w:rsidP="001876AC">
            <w:pPr>
              <w:jc w:val="center"/>
              <w:rPr>
                <w:rFonts w:cs="Arial"/>
                <w:sz w:val="18"/>
                <w:szCs w:val="18"/>
              </w:rPr>
            </w:pPr>
          </w:p>
        </w:tc>
        <w:tc>
          <w:tcPr>
            <w:tcW w:w="630" w:type="dxa"/>
          </w:tcPr>
          <w:p w:rsidR="001876AC" w:rsidRPr="008F42B8" w:rsidRDefault="001876AC" w:rsidP="001876AC">
            <w:pPr>
              <w:jc w:val="center"/>
              <w:rPr>
                <w:rFonts w:cs="Arial"/>
                <w:sz w:val="18"/>
                <w:szCs w:val="18"/>
              </w:rPr>
            </w:pPr>
          </w:p>
        </w:tc>
        <w:tc>
          <w:tcPr>
            <w:tcW w:w="630" w:type="dxa"/>
          </w:tcPr>
          <w:p w:rsidR="001876AC" w:rsidRPr="008F42B8" w:rsidRDefault="001876AC" w:rsidP="001876AC">
            <w:pPr>
              <w:jc w:val="center"/>
              <w:rPr>
                <w:rFonts w:cs="Arial"/>
                <w:sz w:val="18"/>
                <w:szCs w:val="18"/>
              </w:rPr>
            </w:pPr>
          </w:p>
        </w:tc>
        <w:tc>
          <w:tcPr>
            <w:tcW w:w="630" w:type="dxa"/>
          </w:tcPr>
          <w:p w:rsidR="001876AC" w:rsidRPr="008F42B8" w:rsidRDefault="001876AC" w:rsidP="001876AC">
            <w:pPr>
              <w:jc w:val="center"/>
              <w:rPr>
                <w:rFonts w:cs="Arial"/>
                <w:sz w:val="18"/>
                <w:szCs w:val="18"/>
              </w:rPr>
            </w:pPr>
          </w:p>
        </w:tc>
      </w:tr>
    </w:tbl>
    <w:p w:rsidR="0054157B" w:rsidRPr="0054157B" w:rsidRDefault="0054157B" w:rsidP="004956D6">
      <w:pPr>
        <w:autoSpaceDE w:val="0"/>
        <w:autoSpaceDN w:val="0"/>
        <w:adjustRightInd w:val="0"/>
        <w:spacing w:before="0" w:after="0"/>
        <w:rPr>
          <w:b/>
          <w:bCs/>
        </w:rPr>
      </w:pPr>
    </w:p>
    <w:sectPr w:rsidR="0054157B" w:rsidRPr="0054157B" w:rsidSect="004E2B1E">
      <w:pgSz w:w="12240" w:h="15840" w:code="1"/>
      <w:pgMar w:top="1440" w:right="1080" w:bottom="1440" w:left="1080" w:header="720" w:footer="720" w:gutter="0"/>
      <w:cols w:space="28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9B1" w:rsidRDefault="005369B1" w:rsidP="0042663D">
      <w:r>
        <w:separator/>
      </w:r>
    </w:p>
  </w:endnote>
  <w:endnote w:type="continuationSeparator" w:id="0">
    <w:p w:rsidR="005369B1" w:rsidRDefault="005369B1" w:rsidP="00426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9B1" w:rsidRPr="00416823" w:rsidRDefault="005369B1" w:rsidP="00416823">
    <w:pPr>
      <w:pStyle w:val="Footer"/>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9B1" w:rsidRDefault="005369B1" w:rsidP="0042663D">
      <w:r>
        <w:separator/>
      </w:r>
    </w:p>
  </w:footnote>
  <w:footnote w:type="continuationSeparator" w:id="0">
    <w:p w:rsidR="005369B1" w:rsidRDefault="005369B1" w:rsidP="0042663D">
      <w:r>
        <w:continuationSeparator/>
      </w:r>
    </w:p>
  </w:footnote>
  <w:footnote w:id="1">
    <w:p w:rsidR="005369B1" w:rsidRDefault="005369B1" w:rsidP="00A804AD">
      <w:pPr>
        <w:pStyle w:val="FootnoteText"/>
      </w:pPr>
      <w:r>
        <w:rPr>
          <w:rStyle w:val="FootnoteReference"/>
        </w:rPr>
        <w:footnoteRef/>
      </w:r>
      <w:r>
        <w:t xml:space="preserve"> Appendix A summarizes the legal requirements for the companies’ reports.</w:t>
      </w:r>
    </w:p>
  </w:footnote>
  <w:footnote w:id="2">
    <w:p w:rsidR="005369B1" w:rsidRDefault="005369B1">
      <w:pPr>
        <w:pStyle w:val="FootnoteText"/>
      </w:pPr>
      <w:r>
        <w:rPr>
          <w:rStyle w:val="FootnoteReference"/>
        </w:rPr>
        <w:footnoteRef/>
      </w:r>
      <w:r>
        <w:t xml:space="preserve"> Appendix B provides a t</w:t>
      </w:r>
      <w:r w:rsidRPr="008F42B8">
        <w:t xml:space="preserve">imeline for </w:t>
      </w:r>
      <w:r>
        <w:t>annual compliance reporting and Commission action.</w:t>
      </w:r>
    </w:p>
  </w:footnote>
  <w:footnote w:id="3">
    <w:p w:rsidR="005369B1" w:rsidRDefault="005369B1" w:rsidP="00DA01B1">
      <w:pPr>
        <w:pStyle w:val="FootnoteText"/>
        <w:spacing w:after="120"/>
      </w:pPr>
      <w:r>
        <w:rPr>
          <w:rStyle w:val="FootnoteReference"/>
          <w:rFonts w:eastAsiaTheme="majorEastAsia"/>
        </w:rPr>
        <w:footnoteRef/>
      </w:r>
      <w:r>
        <w:t xml:space="preserve"> North Carolina State University maintains an online Database of State Incentives for Renewables and Efficiency (DSIRE), </w:t>
      </w:r>
      <w:hyperlink r:id="rId1" w:history="1">
        <w:r w:rsidRPr="005B295A">
          <w:rPr>
            <w:rStyle w:val="Hyperlink"/>
          </w:rPr>
          <w:t>http://www.dsireusa.org/</w:t>
        </w:r>
      </w:hyperlink>
      <w:r>
        <w:t xml:space="preserve">. </w:t>
      </w:r>
    </w:p>
  </w:footnote>
  <w:footnote w:id="4">
    <w:p w:rsidR="005369B1" w:rsidRDefault="005369B1">
      <w:pPr>
        <w:pStyle w:val="FootnoteText"/>
      </w:pPr>
      <w:r>
        <w:rPr>
          <w:rStyle w:val="FootnoteReference"/>
        </w:rPr>
        <w:footnoteRef/>
      </w:r>
      <w:r>
        <w:t xml:space="preserve"> RCW 19.285.030(18).</w:t>
      </w:r>
    </w:p>
  </w:footnote>
  <w:footnote w:id="5">
    <w:p w:rsidR="005369B1" w:rsidRDefault="005369B1" w:rsidP="00DA01B1">
      <w:pPr>
        <w:pStyle w:val="FootnoteText"/>
        <w:spacing w:after="120"/>
      </w:pPr>
      <w:r>
        <w:rPr>
          <w:rStyle w:val="FootnoteReference"/>
          <w:rFonts w:eastAsiaTheme="majorEastAsia"/>
        </w:rPr>
        <w:footnoteRef/>
      </w:r>
      <w:r>
        <w:t xml:space="preserve"> RCW 19.285.030(10).</w:t>
      </w:r>
    </w:p>
  </w:footnote>
  <w:footnote w:id="6">
    <w:p w:rsidR="005369B1" w:rsidRDefault="005369B1" w:rsidP="00DA01B1">
      <w:pPr>
        <w:pStyle w:val="FootnoteText"/>
        <w:spacing w:after="120"/>
      </w:pPr>
      <w:r>
        <w:rPr>
          <w:rStyle w:val="FootnoteReference"/>
          <w:rFonts w:eastAsiaTheme="majorEastAsia"/>
        </w:rPr>
        <w:footnoteRef/>
      </w:r>
      <w:r>
        <w:t xml:space="preserve"> RCW 19.285.040(2)(b); RCW 19.285.040(2)(h). Resources may qualify for multiplier credits if a facility counts as distributed generation or uses approved apprenticeship programs. </w:t>
      </w:r>
    </w:p>
  </w:footnote>
  <w:footnote w:id="7">
    <w:p w:rsidR="005369B1" w:rsidRDefault="005369B1" w:rsidP="00DA01B1">
      <w:pPr>
        <w:pStyle w:val="FootnoteText"/>
        <w:spacing w:after="120"/>
      </w:pPr>
      <w:r>
        <w:rPr>
          <w:rStyle w:val="FootnoteReference"/>
          <w:rFonts w:eastAsiaTheme="majorEastAsia"/>
        </w:rPr>
        <w:footnoteRef/>
      </w:r>
      <w:r>
        <w:t xml:space="preserve"> </w:t>
      </w:r>
      <w:r w:rsidRPr="00843FD5">
        <w:rPr>
          <w:i/>
        </w:rPr>
        <w:t>See</w:t>
      </w:r>
      <w:r>
        <w:t xml:space="preserve"> RCW 19.285.030(10). The Oregon RPS statute treats hydroelectric energy differently. </w:t>
      </w:r>
      <w:r w:rsidRPr="00843FD5">
        <w:rPr>
          <w:i/>
        </w:rPr>
        <w:t>See</w:t>
      </w:r>
      <w:r>
        <w:t xml:space="preserve"> ORS 469A.020; ORS 469A.025(4), (5) (available at </w:t>
      </w:r>
      <w:hyperlink r:id="rId2" w:history="1">
        <w:r w:rsidRPr="00BC25A1">
          <w:rPr>
            <w:rStyle w:val="Hyperlink"/>
          </w:rPr>
          <w:t>http://www.leg.state.or.us/ors/469a.html</w:t>
        </w:r>
      </w:hyperlink>
      <w:r>
        <w:t xml:space="preserve">). </w:t>
      </w:r>
    </w:p>
  </w:footnote>
  <w:footnote w:id="8">
    <w:p w:rsidR="005369B1" w:rsidRDefault="005369B1" w:rsidP="00DA01B1">
      <w:pPr>
        <w:pStyle w:val="FootnoteText"/>
        <w:spacing w:after="120"/>
      </w:pPr>
      <w:r>
        <w:rPr>
          <w:rStyle w:val="FootnoteReference"/>
          <w:rFonts w:eastAsiaTheme="majorEastAsia"/>
        </w:rPr>
        <w:footnoteRef/>
      </w:r>
      <w:r>
        <w:t xml:space="preserve"> </w:t>
      </w:r>
      <w:r w:rsidRPr="002B17B8">
        <w:rPr>
          <w:i/>
        </w:rPr>
        <w:t>See In re Puget Sound Energy, Inc.</w:t>
      </w:r>
      <w:r>
        <w:t>, Docket UE</w:t>
      </w:r>
      <w:r>
        <w:noBreakHyphen/>
        <w:t xml:space="preserve">070725, Final Order Granting in Part, &amp; Denying in Part, Amended Petition; Determining Appropriate Accounting and Use of Net Proceeds from the Sales of Renewable Energy Credits &amp; Carbon Financial Instruments ¶¶ 13-17 (Wash. </w:t>
      </w:r>
      <w:proofErr w:type="spellStart"/>
      <w:r>
        <w:t>Utils</w:t>
      </w:r>
      <w:proofErr w:type="spellEnd"/>
      <w:r>
        <w:t>. &amp; Transp. Comm’n May 20, 2010).</w:t>
      </w:r>
    </w:p>
  </w:footnote>
  <w:footnote w:id="9">
    <w:p w:rsidR="005369B1" w:rsidRDefault="005369B1" w:rsidP="00DA01B1">
      <w:pPr>
        <w:pStyle w:val="FootnoteText"/>
        <w:spacing w:after="120"/>
      </w:pPr>
      <w:r>
        <w:rPr>
          <w:rStyle w:val="FootnoteReference"/>
          <w:rFonts w:eastAsiaTheme="majorEastAsia"/>
        </w:rPr>
        <w:footnoteRef/>
      </w:r>
      <w:r>
        <w:t xml:space="preserve"> The Washington Department of Commerce has selected the Western Renewable Energy Generation Information System as the renewable energy credit tracking system under RCW 19.285.030(17). WAC 194</w:t>
      </w:r>
      <w:r>
        <w:noBreakHyphen/>
        <w:t>37</w:t>
      </w:r>
      <w:r>
        <w:noBreakHyphen/>
        <w:t>040(31); WAC 194</w:t>
      </w:r>
      <w:r>
        <w:noBreakHyphen/>
        <w:t>37</w:t>
      </w:r>
      <w:r>
        <w:noBreakHyphen/>
        <w:t xml:space="preserve">210. The Western Renewable Energy Generation Information System has a website at </w:t>
      </w:r>
      <w:hyperlink r:id="rId3" w:history="1">
        <w:r w:rsidRPr="005B295A">
          <w:rPr>
            <w:rStyle w:val="Hyperlink"/>
          </w:rPr>
          <w:t>http://www.wregis.org/</w:t>
        </w:r>
      </w:hyperlink>
      <w:r>
        <w:t>.</w:t>
      </w:r>
    </w:p>
  </w:footnote>
  <w:footnote w:id="10">
    <w:p w:rsidR="005369B1" w:rsidRDefault="005369B1" w:rsidP="00DA01B1">
      <w:pPr>
        <w:pStyle w:val="FootnoteText"/>
        <w:spacing w:after="120"/>
      </w:pPr>
      <w:r>
        <w:rPr>
          <w:rStyle w:val="FootnoteReference"/>
          <w:rFonts w:eastAsiaTheme="majorEastAsia"/>
        </w:rPr>
        <w:footnoteRef/>
      </w:r>
      <w:r>
        <w:t xml:space="preserve"> </w:t>
      </w:r>
      <w:r w:rsidRPr="00BF27DD">
        <w:rPr>
          <w:i/>
        </w:rPr>
        <w:t>See</w:t>
      </w:r>
      <w:r>
        <w:t xml:space="preserve"> RCW 19.285.040(2)(e).</w:t>
      </w:r>
    </w:p>
  </w:footnote>
  <w:footnote w:id="11">
    <w:p w:rsidR="005369B1" w:rsidRDefault="005369B1" w:rsidP="00DA01B1">
      <w:pPr>
        <w:pStyle w:val="FootnoteText"/>
        <w:spacing w:after="120"/>
      </w:pPr>
      <w:r>
        <w:rPr>
          <w:rStyle w:val="FootnoteReference"/>
          <w:rFonts w:eastAsiaTheme="majorEastAsia"/>
        </w:rPr>
        <w:footnoteRef/>
      </w:r>
      <w:r>
        <w:t xml:space="preserve"> RCW 19.285.040(2)(a).</w:t>
      </w:r>
    </w:p>
  </w:footnote>
  <w:footnote w:id="12">
    <w:p w:rsidR="005369B1" w:rsidRDefault="005369B1" w:rsidP="00DA01B1">
      <w:pPr>
        <w:pStyle w:val="FootnoteText"/>
        <w:spacing w:after="120"/>
      </w:pPr>
      <w:r>
        <w:rPr>
          <w:rStyle w:val="FootnoteReference"/>
          <w:rFonts w:eastAsiaTheme="majorEastAsia"/>
        </w:rPr>
        <w:footnoteRef/>
      </w:r>
      <w:r>
        <w:t xml:space="preserve"> RCW 19.285.050(1).</w:t>
      </w:r>
    </w:p>
  </w:footnote>
  <w:footnote w:id="13">
    <w:p w:rsidR="005369B1" w:rsidRDefault="005369B1" w:rsidP="00DA01B1">
      <w:pPr>
        <w:pStyle w:val="FootnoteText"/>
        <w:spacing w:after="120"/>
      </w:pPr>
      <w:r>
        <w:rPr>
          <w:rStyle w:val="FootnoteReference"/>
          <w:rFonts w:eastAsiaTheme="majorEastAsia"/>
        </w:rPr>
        <w:footnoteRef/>
      </w:r>
      <w:r>
        <w:t xml:space="preserve"> RCW 19.285.040(2)(d).</w:t>
      </w:r>
    </w:p>
  </w:footnote>
  <w:footnote w:id="14">
    <w:p w:rsidR="005369B1" w:rsidRDefault="005369B1" w:rsidP="00DA01B1">
      <w:pPr>
        <w:pStyle w:val="FootnoteText"/>
        <w:spacing w:after="120"/>
      </w:pPr>
      <w:r>
        <w:rPr>
          <w:rStyle w:val="FootnoteReference"/>
          <w:rFonts w:eastAsiaTheme="majorEastAsia"/>
        </w:rPr>
        <w:footnoteRef/>
      </w:r>
      <w:r>
        <w:t xml:space="preserve"> RCW 19.285.040(2)(</w:t>
      </w:r>
      <w:proofErr w:type="spellStart"/>
      <w:r>
        <w:t>i</w:t>
      </w:r>
      <w:proofErr w:type="spellEnd"/>
      <w:r>
        <w:t>).</w:t>
      </w:r>
    </w:p>
  </w:footnote>
  <w:footnote w:id="15">
    <w:p w:rsidR="005369B1" w:rsidRDefault="005369B1" w:rsidP="00DA01B1">
      <w:pPr>
        <w:pStyle w:val="FootnoteText"/>
        <w:spacing w:after="120"/>
      </w:pPr>
      <w:r>
        <w:rPr>
          <w:rStyle w:val="FootnoteReference"/>
          <w:rFonts w:eastAsiaTheme="majorEastAsia"/>
        </w:rPr>
        <w:footnoteRef/>
      </w:r>
      <w:r>
        <w:t xml:space="preserve"> RCW 19.285.070.</w:t>
      </w:r>
    </w:p>
  </w:footnote>
  <w:footnote w:id="16">
    <w:p w:rsidR="005369B1" w:rsidRDefault="005369B1" w:rsidP="005607AF">
      <w:pPr>
        <w:pStyle w:val="FootnoteText"/>
      </w:pPr>
      <w:r>
        <w:rPr>
          <w:rStyle w:val="FootnoteReference"/>
        </w:rPr>
        <w:footnoteRef/>
      </w:r>
      <w:r>
        <w:t xml:space="preserve"> RCW 19.285.060(6).</w:t>
      </w:r>
    </w:p>
  </w:footnote>
  <w:footnote w:id="17">
    <w:p w:rsidR="005369B1" w:rsidRDefault="005369B1">
      <w:pPr>
        <w:pStyle w:val="FootnoteText"/>
      </w:pPr>
      <w:r>
        <w:rPr>
          <w:rStyle w:val="FootnoteReference"/>
        </w:rPr>
        <w:footnoteRef/>
      </w:r>
      <w:r>
        <w:t xml:space="preserve"> RCW 19.285.060(7).</w:t>
      </w:r>
    </w:p>
  </w:footnote>
  <w:footnote w:id="18">
    <w:p w:rsidR="005369B1" w:rsidRDefault="005369B1">
      <w:pPr>
        <w:pStyle w:val="FootnoteText"/>
      </w:pPr>
      <w:r>
        <w:rPr>
          <w:rStyle w:val="FootnoteReference"/>
        </w:rPr>
        <w:footnoteRef/>
      </w:r>
      <w:r>
        <w:t xml:space="preserve"> RCW 19.285.060(1).</w:t>
      </w:r>
    </w:p>
  </w:footnote>
  <w:footnote w:id="19">
    <w:p w:rsidR="005369B1" w:rsidRDefault="005369B1" w:rsidP="00DA01B1">
      <w:pPr>
        <w:pStyle w:val="FootnoteText"/>
        <w:spacing w:after="120"/>
      </w:pPr>
      <w:r>
        <w:rPr>
          <w:rStyle w:val="FootnoteReference"/>
          <w:rFonts w:eastAsiaTheme="majorEastAsia"/>
        </w:rPr>
        <w:footnoteRef/>
      </w:r>
      <w:r w:rsidRPr="0044117D">
        <w:t xml:space="preserve"> </w:t>
      </w:r>
      <w:r>
        <w:t xml:space="preserve"> </w:t>
      </w:r>
      <w:r w:rsidRPr="0044117D">
        <w:t>RCW 19.285.080</w:t>
      </w:r>
      <w:r>
        <w:t>(1).</w:t>
      </w:r>
    </w:p>
  </w:footnote>
  <w:footnote w:id="20">
    <w:p w:rsidR="005369B1" w:rsidRDefault="005369B1" w:rsidP="00DA01B1">
      <w:pPr>
        <w:pStyle w:val="FootnoteText"/>
        <w:spacing w:after="120"/>
      </w:pPr>
      <w:r>
        <w:rPr>
          <w:rStyle w:val="FootnoteReference"/>
          <w:rFonts w:eastAsiaTheme="majorEastAsia"/>
        </w:rPr>
        <w:footnoteRef/>
      </w:r>
      <w:r>
        <w:t xml:space="preserve"> The Commission adopted its rules in Docket UE</w:t>
      </w:r>
      <w:r>
        <w:noBreakHyphen/>
        <w:t>061895, General Order R</w:t>
      </w:r>
      <w:r>
        <w:noBreakHyphen/>
        <w:t>546. The rule adoption order is published in issue 08</w:t>
      </w:r>
      <w:r>
        <w:noBreakHyphen/>
        <w:t>1 of the Washington State Register as WSR 07</w:t>
      </w:r>
      <w:r>
        <w:noBreakHyphen/>
        <w:t>24</w:t>
      </w:r>
      <w:r>
        <w:noBreakHyphen/>
        <w:t>012.</w:t>
      </w:r>
    </w:p>
  </w:footnote>
  <w:footnote w:id="21">
    <w:p w:rsidR="005369B1" w:rsidRDefault="005369B1">
      <w:pPr>
        <w:pStyle w:val="FootnoteText"/>
      </w:pPr>
      <w:r>
        <w:rPr>
          <w:rStyle w:val="FootnoteReference"/>
        </w:rPr>
        <w:footnoteRef/>
      </w:r>
      <w:r>
        <w:t xml:space="preserve"> WAC Chapter 194</w:t>
      </w:r>
      <w:r>
        <w:noBreakHyphen/>
        <w:t>37.</w:t>
      </w:r>
    </w:p>
  </w:footnote>
  <w:footnote w:id="22">
    <w:p w:rsidR="005369B1" w:rsidRDefault="005369B1">
      <w:pPr>
        <w:pStyle w:val="FootnoteText"/>
      </w:pPr>
      <w:r>
        <w:rPr>
          <w:rStyle w:val="FootnoteReference"/>
        </w:rPr>
        <w:footnoteRef/>
      </w:r>
      <w:r>
        <w:t xml:space="preserve"> </w:t>
      </w:r>
      <w:r w:rsidRPr="003A1C8A">
        <w:rPr>
          <w:i/>
        </w:rPr>
        <w:t>See</w:t>
      </w:r>
      <w:r>
        <w:t xml:space="preserve"> Docket UE</w:t>
      </w:r>
      <w:r>
        <w:noBreakHyphen/>
        <w:t>111016, Policy Statement Regarding Processes for Determining Whether Projects are “Eligible Renewable Resources” under RCW 19.285 and WAC 480</w:t>
      </w:r>
      <w:r>
        <w:noBreakHyphen/>
        <w:t>109 (June 7, 2011).</w:t>
      </w:r>
    </w:p>
  </w:footnote>
  <w:footnote w:id="23">
    <w:p w:rsidR="005369B1" w:rsidRPr="007F0177" w:rsidRDefault="005369B1">
      <w:pPr>
        <w:pStyle w:val="FootnoteText"/>
      </w:pPr>
      <w:r>
        <w:rPr>
          <w:rStyle w:val="FootnoteReference"/>
        </w:rPr>
        <w:footnoteRef/>
      </w:r>
      <w:r>
        <w:t xml:space="preserve"> Docket UE-110523.</w:t>
      </w:r>
    </w:p>
  </w:footnote>
  <w:footnote w:id="24">
    <w:p w:rsidR="005369B1" w:rsidRDefault="005369B1">
      <w:pPr>
        <w:pStyle w:val="FootnoteText"/>
      </w:pPr>
      <w:r>
        <w:rPr>
          <w:rStyle w:val="FootnoteReference"/>
        </w:rPr>
        <w:footnoteRef/>
      </w:r>
      <w:r>
        <w:t xml:space="preserve"> 2012 Wash. Laws </w:t>
      </w:r>
      <w:proofErr w:type="spellStart"/>
      <w:r>
        <w:t>ch.</w:t>
      </w:r>
      <w:proofErr w:type="spellEnd"/>
      <w:r>
        <w:t xml:space="preserve"> 254.</w:t>
      </w:r>
    </w:p>
  </w:footnote>
  <w:footnote w:id="25">
    <w:p w:rsidR="005369B1" w:rsidRDefault="005369B1">
      <w:pPr>
        <w:pStyle w:val="FootnoteText"/>
      </w:pPr>
      <w:r>
        <w:rPr>
          <w:rStyle w:val="FootnoteReference"/>
        </w:rPr>
        <w:footnoteRef/>
      </w:r>
      <w:r>
        <w:t xml:space="preserve"> RCW 19.285.030(10)(b); </w:t>
      </w:r>
      <w:r w:rsidRPr="00491A79">
        <w:rPr>
          <w:i/>
        </w:rPr>
        <w:t>see</w:t>
      </w:r>
      <w:r>
        <w:t xml:space="preserve"> WAC 194</w:t>
      </w:r>
      <w:r>
        <w:noBreakHyphen/>
        <w:t>37</w:t>
      </w:r>
      <w:r>
        <w:noBreakHyphen/>
        <w:t>130 (Department of Commerce rule for consumer-owned utilities’ documentation of incremental hydropower).</w:t>
      </w:r>
    </w:p>
  </w:footnote>
  <w:footnote w:id="26">
    <w:p w:rsidR="005369B1" w:rsidRDefault="005369B1">
      <w:pPr>
        <w:pStyle w:val="FootnoteText"/>
      </w:pPr>
      <w:r>
        <w:rPr>
          <w:rStyle w:val="FootnoteReference"/>
        </w:rPr>
        <w:footnoteRef/>
      </w:r>
      <w:r>
        <w:t xml:space="preserve"> </w:t>
      </w:r>
      <w:r w:rsidRPr="00F51D6E">
        <w:rPr>
          <w:i/>
        </w:rPr>
        <w:t>See</w:t>
      </w:r>
      <w:r>
        <w:t xml:space="preserve"> RCW 19.285.030(17).</w:t>
      </w:r>
    </w:p>
  </w:footnote>
  <w:footnote w:id="27">
    <w:p w:rsidR="005369B1" w:rsidRDefault="005369B1">
      <w:pPr>
        <w:pStyle w:val="FootnoteText"/>
      </w:pPr>
      <w:r>
        <w:rPr>
          <w:rStyle w:val="FootnoteReference"/>
        </w:rPr>
        <w:footnoteRef/>
      </w:r>
      <w:r>
        <w:t xml:space="preserve"> Washington Department of Community, Trade, and Economic Development, </w:t>
      </w:r>
      <w:r w:rsidRPr="00F51D6E">
        <w:rPr>
          <w:i/>
        </w:rPr>
        <w:t>Concise Explanatory Statement, Chapter 194</w:t>
      </w:r>
      <w:r w:rsidRPr="00F51D6E">
        <w:rPr>
          <w:i/>
        </w:rPr>
        <w:noBreakHyphen/>
        <w:t>37 WAC (Energy Independence Act, RCW 19.285)</w:t>
      </w:r>
      <w:r>
        <w:t xml:space="preserve"> at 12 (March 2008); </w:t>
      </w:r>
      <w:r w:rsidRPr="00AD21DF">
        <w:rPr>
          <w:i/>
        </w:rPr>
        <w:t>see</w:t>
      </w:r>
      <w:r>
        <w:t xml:space="preserve"> WAC 197</w:t>
      </w:r>
      <w:r>
        <w:noBreakHyphen/>
        <w:t>37</w:t>
      </w:r>
      <w:r>
        <w:noBreakHyphen/>
        <w:t>130(3)(f).</w:t>
      </w:r>
    </w:p>
  </w:footnote>
  <w:footnote w:id="28">
    <w:p w:rsidR="005369B1" w:rsidRDefault="005369B1">
      <w:pPr>
        <w:pStyle w:val="FootnoteText"/>
      </w:pPr>
      <w:r>
        <w:rPr>
          <w:rStyle w:val="FootnoteReference"/>
        </w:rPr>
        <w:footnoteRef/>
      </w:r>
      <w:r>
        <w:t xml:space="preserve"> According to the website of the Northwest Power and Conservation Council, </w:t>
      </w:r>
      <w:hyperlink r:id="rId4" w:history="1">
        <w:r w:rsidRPr="00CE03A0">
          <w:rPr>
            <w:rStyle w:val="Hyperlink"/>
          </w:rPr>
          <w:t>http://www.nwcouncil.org/energy/powersupply/dams/print.asp</w:t>
        </w:r>
      </w:hyperlink>
      <w:r>
        <w:t xml:space="preserve">, a “storage dam” is a “dam with a large reservoir that can hold water over the annual high-water season to the following low-water season.”  “Run-of-the-river dams” are “hydroelectric dams without large reservoirs and, therefore, with only a limited capacity for water storage.  This means they also have limited control of their outflow and power generation.” </w:t>
      </w:r>
    </w:p>
  </w:footnote>
  <w:footnote w:id="29">
    <w:p w:rsidR="005369B1" w:rsidRDefault="005369B1" w:rsidP="00C761B6">
      <w:pPr>
        <w:pStyle w:val="FootnoteText"/>
      </w:pPr>
      <w:r>
        <w:rPr>
          <w:rStyle w:val="FootnoteReference"/>
        </w:rPr>
        <w:footnoteRef/>
      </w:r>
      <w:r>
        <w:t xml:space="preserve">  WAC 194</w:t>
      </w:r>
      <w:r>
        <w:noBreakHyphen/>
        <w:t>37</w:t>
      </w:r>
      <w:r>
        <w:noBreakHyphen/>
        <w:t>130(2) requires consumer-owned utilities to “calculate renewable resource power from incremental hydropower as the increase in annual megawatt-hours of generation attributable to the qualified incremental hydropower efficiency improvements under average water generation.” WAC 197</w:t>
      </w:r>
      <w:r>
        <w:noBreakHyphen/>
        <w:t>37</w:t>
      </w:r>
      <w:r>
        <w:noBreakHyphen/>
        <w:t>130(3)(c) requires an explanation of “how the amount of generation in ‘average water generation’ was calculated.” Under WAC 194</w:t>
      </w:r>
      <w:r>
        <w:noBreakHyphen/>
        <w:t>37</w:t>
      </w:r>
      <w:r>
        <w:noBreakHyphen/>
        <w:t>040(3), “</w:t>
      </w:r>
      <w:proofErr w:type="spellStart"/>
      <w:r>
        <w:t>ʻaverage</w:t>
      </w:r>
      <w:proofErr w:type="spellEnd"/>
      <w:r>
        <w:t xml:space="preserve"> water generation’ means the average megawatt-hours of generation from a hydroelectric project over a period of ten consecutive years or more, taking into account differences in water flows from year to year.”</w:t>
      </w:r>
    </w:p>
  </w:footnote>
  <w:footnote w:id="30">
    <w:p w:rsidR="005369B1" w:rsidRDefault="005369B1">
      <w:pPr>
        <w:pStyle w:val="FootnoteText"/>
      </w:pPr>
      <w:r>
        <w:rPr>
          <w:rStyle w:val="FootnoteReference"/>
        </w:rPr>
        <w:footnoteRef/>
      </w:r>
      <w:r>
        <w:t xml:space="preserve"> WAC 194</w:t>
      </w:r>
      <w:r>
        <w:noBreakHyphen/>
        <w:t>37</w:t>
      </w:r>
      <w:r>
        <w:noBreakHyphen/>
        <w:t xml:space="preserve">040(21), which applies to consumer-owned utilities, defines “qualified incremental hydropower efficiency improvements” as including “improvements to hydraulic conveyance systems that decrease head loss,” but as excluding “additions to capacity by increasing </w:t>
      </w:r>
      <w:proofErr w:type="spellStart"/>
      <w:r>
        <w:t>pondage</w:t>
      </w:r>
      <w:proofErr w:type="spellEnd"/>
      <w:r>
        <w:t xml:space="preserve"> or elevation head.”</w:t>
      </w:r>
    </w:p>
  </w:footnote>
  <w:footnote w:id="31">
    <w:p w:rsidR="005369B1" w:rsidRDefault="005369B1">
      <w:pPr>
        <w:pStyle w:val="FootnoteText"/>
      </w:pPr>
      <w:r>
        <w:rPr>
          <w:rStyle w:val="FootnoteReference"/>
        </w:rPr>
        <w:footnoteRef/>
      </w:r>
      <w:r>
        <w:t xml:space="preserve"> WAC 194</w:t>
      </w:r>
      <w:r>
        <w:noBreakHyphen/>
        <w:t>37</w:t>
      </w:r>
      <w:r>
        <w:noBreakHyphen/>
        <w:t>130(3)(d) requires consumer-owned utilities to explain “What other factors may have caused an increase in electricity production and how the amount ‘attributable to the qualified improvements’ was extracted from the total increase.”</w:t>
      </w:r>
    </w:p>
  </w:footnote>
  <w:footnote w:id="32">
    <w:p w:rsidR="005369B1" w:rsidRDefault="005369B1">
      <w:pPr>
        <w:pStyle w:val="FootnoteText"/>
      </w:pPr>
      <w:r>
        <w:rPr>
          <w:rStyle w:val="FootnoteReference"/>
        </w:rPr>
        <w:footnoteRef/>
      </w:r>
      <w:r>
        <w:t xml:space="preserve"> Docket UE-110523.</w:t>
      </w:r>
    </w:p>
  </w:footnote>
  <w:footnote w:id="33">
    <w:p w:rsidR="005369B1" w:rsidRDefault="005369B1">
      <w:pPr>
        <w:pStyle w:val="FootnoteText"/>
      </w:pPr>
      <w:r>
        <w:rPr>
          <w:rStyle w:val="FootnoteReference"/>
        </w:rPr>
        <w:footnoteRef/>
      </w:r>
      <w:r>
        <w:t xml:space="preserve"> See Section 4 above, “Western Renewable Energy Generation Information System (WREGIS).”</w:t>
      </w:r>
    </w:p>
  </w:footnote>
  <w:footnote w:id="34">
    <w:p w:rsidR="005369B1" w:rsidRDefault="005369B1">
      <w:pPr>
        <w:pStyle w:val="FootnoteText"/>
      </w:pPr>
      <w:r>
        <w:rPr>
          <w:rStyle w:val="FootnoteReference"/>
        </w:rPr>
        <w:footnoteRef/>
      </w:r>
      <w:r>
        <w:t xml:space="preserve"> </w:t>
      </w:r>
      <w:r w:rsidRPr="00EE3DB9">
        <w:rPr>
          <w:i/>
        </w:rPr>
        <w:t>WUTC v. Puget Sound Energy, Inc.</w:t>
      </w:r>
      <w:r>
        <w:t>, Dockets UE</w:t>
      </w:r>
      <w:r>
        <w:noBreakHyphen/>
        <w:t>111048/UG</w:t>
      </w:r>
      <w:r>
        <w:noBreakHyphen/>
        <w:t>111049, Exhibit No. __ (DEM</w:t>
      </w:r>
      <w:r>
        <w:noBreakHyphen/>
        <w:t xml:space="preserve">12C), Redacted First Exhibit (Confidential) to the </w:t>
      </w:r>
      <w:proofErr w:type="spellStart"/>
      <w:r>
        <w:t>Prefiled</w:t>
      </w:r>
      <w:proofErr w:type="spellEnd"/>
      <w:r>
        <w:t xml:space="preserve"> Rebuttal Testimony of David E. Mills (filed Jan. 17, 2012).</w:t>
      </w:r>
    </w:p>
  </w:footnote>
  <w:footnote w:id="35">
    <w:p w:rsidR="005369B1" w:rsidRDefault="005369B1">
      <w:pPr>
        <w:pStyle w:val="FootnoteText"/>
      </w:pPr>
      <w:r>
        <w:rPr>
          <w:rStyle w:val="FootnoteReference"/>
        </w:rPr>
        <w:footnoteRef/>
      </w:r>
      <w:r>
        <w:t xml:space="preserve"> RCW 19.285.070 and WAC 480</w:t>
      </w:r>
      <w:r>
        <w:noBreakHyphen/>
        <w:t>109</w:t>
      </w:r>
      <w:r>
        <w:noBreakHyphen/>
        <w:t>040 require investor-owned utilities, on or before June 1, 2012, to file a report with the Department of Commerce as well as the Commission</w:t>
      </w:r>
      <w:r w:rsidRPr="001652F9">
        <w:t>.</w:t>
      </w:r>
      <w:r>
        <w:t xml:space="preserve">  On June 1, 2012, Puget Sound Energy provided the Department of Commerce with the same material that it filed with the Commission.</w:t>
      </w:r>
    </w:p>
  </w:footnote>
  <w:footnote w:id="36">
    <w:p w:rsidR="005369B1" w:rsidRDefault="005369B1">
      <w:pPr>
        <w:pStyle w:val="FootnoteText"/>
      </w:pPr>
      <w:r>
        <w:rPr>
          <w:rStyle w:val="FootnoteReference"/>
        </w:rPr>
        <w:footnoteRef/>
      </w:r>
      <w:r>
        <w:t xml:space="preserve"> </w:t>
      </w:r>
      <w:r w:rsidRPr="00695126">
        <w:rPr>
          <w:rFonts w:eastAsiaTheme="minorHAnsi"/>
        </w:rPr>
        <w:t>WAC-480-109-040(5)</w:t>
      </w:r>
      <w:r>
        <w:rPr>
          <w:rFonts w:eastAsiaTheme="minorHAnsi"/>
        </w:rPr>
        <w:t>.</w:t>
      </w:r>
    </w:p>
  </w:footnote>
  <w:footnote w:id="37">
    <w:p w:rsidR="005369B1" w:rsidRDefault="005369B1">
      <w:pPr>
        <w:pStyle w:val="FootnoteText"/>
      </w:pPr>
      <w:r>
        <w:rPr>
          <w:rStyle w:val="FootnoteReference"/>
        </w:rPr>
        <w:footnoteRef/>
      </w:r>
      <w:r>
        <w:t xml:space="preserve"> The upgrade at </w:t>
      </w:r>
      <w:proofErr w:type="spellStart"/>
      <w:r>
        <w:t>Wanapum</w:t>
      </w:r>
      <w:proofErr w:type="spellEnd"/>
      <w:r>
        <w:t xml:space="preserve"> Dam is a structure designed to allow juvenile salmon and steelhead to pass the dam safely.  The Federal Energy Regulatory Commission required Grant County PUD to install it as a condition of the Federal Power Act license for the Priest Rapids Project. </w:t>
      </w:r>
      <w:r w:rsidRPr="00B34918">
        <w:rPr>
          <w:i/>
        </w:rPr>
        <w:t xml:space="preserve">Wash. Dep’t of Fisheries v. PUD No. 2 of Grant </w:t>
      </w:r>
      <w:proofErr w:type="spellStart"/>
      <w:r w:rsidRPr="00B34918">
        <w:rPr>
          <w:i/>
        </w:rPr>
        <w:t>Cnty</w:t>
      </w:r>
      <w:proofErr w:type="spellEnd"/>
      <w:r w:rsidRPr="00B34918">
        <w:rPr>
          <w:i/>
        </w:rPr>
        <w:t>.</w:t>
      </w:r>
      <w:r>
        <w:t>, 109 FERC 62,216 (2004).</w:t>
      </w:r>
    </w:p>
  </w:footnote>
  <w:footnote w:id="38">
    <w:p w:rsidR="005369B1" w:rsidRDefault="005369B1">
      <w:pPr>
        <w:pStyle w:val="FootnoteText"/>
      </w:pPr>
      <w:r>
        <w:rPr>
          <w:rStyle w:val="FootnoteReference"/>
        </w:rPr>
        <w:footnoteRef/>
      </w:r>
      <w:r>
        <w:t xml:space="preserve"> </w:t>
      </w:r>
      <w:r w:rsidRPr="0017302C">
        <w:rPr>
          <w:i/>
        </w:rPr>
        <w:t>See</w:t>
      </w:r>
      <w:r>
        <w:t xml:space="preserve"> RCW 19.285.030(17); RCW 19.285.040(1)(e); WAC 480</w:t>
      </w:r>
      <w:r>
        <w:noBreakHyphen/>
        <w:t>109</w:t>
      </w:r>
      <w:r>
        <w:noBreakHyphen/>
        <w:t>007(17); WAC 480</w:t>
      </w:r>
      <w:r>
        <w:noBreakHyphen/>
        <w:t>109</w:t>
      </w:r>
      <w:r>
        <w:noBreakHyphen/>
        <w:t>020(2).</w:t>
      </w:r>
    </w:p>
  </w:footnote>
  <w:footnote w:id="39">
    <w:p w:rsidR="005369B1" w:rsidRDefault="005369B1" w:rsidP="002A3432">
      <w:pPr>
        <w:pStyle w:val="FootnoteText"/>
      </w:pPr>
      <w:r>
        <w:rPr>
          <w:rStyle w:val="FootnoteReference"/>
        </w:rPr>
        <w:footnoteRef/>
      </w:r>
      <w:r>
        <w:t xml:space="preserve"> </w:t>
      </w:r>
      <w:r>
        <w:rPr>
          <w:rFonts w:eastAsiaTheme="minorHAnsi"/>
        </w:rPr>
        <w:t xml:space="preserve">WAC-480-109-040(5); </w:t>
      </w:r>
      <w:r w:rsidRPr="0073784F">
        <w:rPr>
          <w:rFonts w:eastAsiaTheme="minorHAnsi"/>
          <w:i/>
        </w:rPr>
        <w:t>see</w:t>
      </w:r>
      <w:r>
        <w:rPr>
          <w:rFonts w:eastAsiaTheme="minorHAnsi"/>
        </w:rPr>
        <w:t xml:space="preserve"> RCW 19.285.070(3).</w:t>
      </w:r>
    </w:p>
  </w:footnote>
  <w:footnote w:id="40">
    <w:p w:rsidR="005369B1" w:rsidRDefault="005369B1" w:rsidP="00505BE3">
      <w:pPr>
        <w:pStyle w:val="FootnoteText"/>
      </w:pPr>
      <w:r>
        <w:rPr>
          <w:rStyle w:val="FootnoteReference"/>
        </w:rPr>
        <w:footnoteRef/>
      </w:r>
      <w:r>
        <w:t xml:space="preserve"> See RCW 19.285.030(17); RCW 19.285.040(1)(e); WAC 480</w:t>
      </w:r>
      <w:r>
        <w:noBreakHyphen/>
        <w:t>109</w:t>
      </w:r>
      <w:r>
        <w:noBreakHyphen/>
        <w:t>007(17); WAC 480</w:t>
      </w:r>
      <w:r>
        <w:noBreakHyphen/>
        <w:t>109</w:t>
      </w:r>
      <w:r>
        <w:noBreakHyphen/>
        <w:t>020(2).</w:t>
      </w:r>
    </w:p>
  </w:footnote>
  <w:footnote w:id="41">
    <w:p w:rsidR="005369B1" w:rsidRDefault="005369B1" w:rsidP="00F45847">
      <w:pPr>
        <w:pStyle w:val="FootnoteText"/>
      </w:pPr>
      <w:r>
        <w:rPr>
          <w:rStyle w:val="FootnoteReference"/>
        </w:rPr>
        <w:footnoteRef/>
      </w:r>
      <w:r>
        <w:t xml:space="preserve"> </w:t>
      </w:r>
      <w:r w:rsidRPr="0073784F">
        <w:rPr>
          <w:i/>
        </w:rPr>
        <w:t>See</w:t>
      </w:r>
      <w:r>
        <w:t xml:space="preserve"> </w:t>
      </w:r>
      <w:r>
        <w:rPr>
          <w:rFonts w:eastAsiaTheme="minorHAnsi"/>
        </w:rPr>
        <w:t>WAC-480-109-040(5).</w:t>
      </w:r>
    </w:p>
  </w:footnote>
  <w:footnote w:id="42">
    <w:p w:rsidR="005369B1" w:rsidRDefault="005369B1">
      <w:pPr>
        <w:pStyle w:val="FootnoteText"/>
      </w:pPr>
      <w:r>
        <w:rPr>
          <w:rStyle w:val="FootnoteReference"/>
        </w:rPr>
        <w:footnoteRef/>
      </w:r>
      <w:r>
        <w:t xml:space="preserve"> RCW 19.285.050(1)(a).</w:t>
      </w:r>
    </w:p>
  </w:footnote>
  <w:footnote w:id="43">
    <w:p w:rsidR="005369B1" w:rsidRDefault="005369B1">
      <w:pPr>
        <w:pStyle w:val="FootnoteText"/>
      </w:pPr>
      <w:r>
        <w:rPr>
          <w:rStyle w:val="FootnoteReference"/>
        </w:rPr>
        <w:footnoteRef/>
      </w:r>
      <w:r>
        <w:t xml:space="preserve">  </w:t>
      </w:r>
      <w:r w:rsidRPr="002A2AC4">
        <w:t>RCW 19.285.040(2)(a)</w:t>
      </w:r>
      <w:r>
        <w:t xml:space="preserve">; </w:t>
      </w:r>
      <w:r w:rsidRPr="002A2AC4">
        <w:t>WAC 480-109-020(1)(a)</w:t>
      </w:r>
      <w:r>
        <w:t>.</w:t>
      </w:r>
    </w:p>
  </w:footnote>
  <w:footnote w:id="44">
    <w:p w:rsidR="005369B1" w:rsidRDefault="005369B1">
      <w:pPr>
        <w:pStyle w:val="FootnoteText"/>
      </w:pPr>
      <w:r>
        <w:rPr>
          <w:rStyle w:val="FootnoteReference"/>
        </w:rPr>
        <w:footnoteRef/>
      </w:r>
      <w:r>
        <w:t xml:space="preserve"> </w:t>
      </w:r>
      <w:r w:rsidRPr="002A2AC4">
        <w:t>WAC 480-109-020(2)</w:t>
      </w:r>
      <w:r>
        <w:t>.</w:t>
      </w:r>
    </w:p>
  </w:footnote>
  <w:footnote w:id="45">
    <w:p w:rsidR="005369B1" w:rsidRDefault="005369B1">
      <w:pPr>
        <w:pStyle w:val="FootnoteText"/>
      </w:pPr>
      <w:r>
        <w:rPr>
          <w:rStyle w:val="FootnoteReference"/>
        </w:rPr>
        <w:footnoteRef/>
      </w:r>
      <w:r>
        <w:t xml:space="preserve"> Docket UE</w:t>
      </w:r>
      <w:r>
        <w:noBreakHyphen/>
        <w:t>061895, General Order R</w:t>
      </w:r>
      <w:r>
        <w:noBreakHyphen/>
        <w:t xml:space="preserve">546 (Nov. 30, 2007). The text of the order is available on the Washington Code Reviser website at </w:t>
      </w:r>
      <w:hyperlink r:id="rId5" w:history="1">
        <w:r w:rsidRPr="00C75B39">
          <w:rPr>
            <w:rStyle w:val="Hyperlink"/>
          </w:rPr>
          <w:t>http://apps.leg.wa.gov/documents/laws/wsr/2008/01/07-24-012.htm</w:t>
        </w:r>
      </w:hyperlink>
      <w:r>
        <w:t xml:space="preserve">. </w:t>
      </w:r>
    </w:p>
  </w:footnote>
  <w:footnote w:id="46">
    <w:p w:rsidR="005369B1" w:rsidRDefault="005369B1">
      <w:pPr>
        <w:pStyle w:val="FootnoteText"/>
      </w:pPr>
      <w:r>
        <w:rPr>
          <w:rStyle w:val="FootnoteReference"/>
        </w:rPr>
        <w:footnoteRef/>
      </w:r>
      <w:r>
        <w:t xml:space="preserve"> </w:t>
      </w:r>
      <w:r w:rsidRPr="008A0CCA">
        <w:t>WAC 194-37-110(1)(c)</w:t>
      </w:r>
      <w:r>
        <w:t>.</w:t>
      </w:r>
    </w:p>
  </w:footnote>
  <w:footnote w:id="47">
    <w:p w:rsidR="005369B1" w:rsidRDefault="005369B1">
      <w:pPr>
        <w:pStyle w:val="FootnoteText"/>
      </w:pPr>
      <w:r>
        <w:rPr>
          <w:rStyle w:val="FootnoteReference"/>
        </w:rPr>
        <w:footnoteRef/>
      </w:r>
      <w:r>
        <w:t xml:space="preserve"> </w:t>
      </w:r>
      <w:r w:rsidRPr="009E7A08">
        <w:t>RCW 19.285.040(2)(e)</w:t>
      </w:r>
      <w:r>
        <w:t>.</w:t>
      </w:r>
    </w:p>
  </w:footnote>
  <w:footnote w:id="48">
    <w:p w:rsidR="005369B1" w:rsidRDefault="005369B1">
      <w:pPr>
        <w:pStyle w:val="FootnoteText"/>
      </w:pPr>
      <w:r>
        <w:rPr>
          <w:rStyle w:val="FootnoteReference"/>
        </w:rPr>
        <w:footnoteRef/>
      </w:r>
      <w:r>
        <w:t xml:space="preserve"> RCW 19.285.040(2)(e); WAC 480</w:t>
      </w:r>
      <w:r>
        <w:noBreakHyphen/>
        <w:t>109</w:t>
      </w:r>
      <w:r>
        <w:noBreakHyphen/>
        <w:t>020(2).</w:t>
      </w:r>
    </w:p>
  </w:footnote>
  <w:footnote w:id="49">
    <w:p w:rsidR="005369B1" w:rsidRDefault="005369B1">
      <w:pPr>
        <w:pStyle w:val="FootnoteText"/>
      </w:pPr>
      <w:r>
        <w:rPr>
          <w:rStyle w:val="FootnoteReference"/>
        </w:rPr>
        <w:footnoteRef/>
      </w:r>
      <w:r>
        <w:t xml:space="preserve"> </w:t>
      </w:r>
      <w:r w:rsidRPr="004B6608">
        <w:rPr>
          <w:i/>
        </w:rPr>
        <w:t>See</w:t>
      </w:r>
      <w:r>
        <w:t xml:space="preserve"> </w:t>
      </w:r>
      <w:r w:rsidRPr="00775AD6">
        <w:t>WAC 480-109-020(1)</w:t>
      </w:r>
      <w:r>
        <w:t>.</w:t>
      </w:r>
    </w:p>
  </w:footnote>
  <w:footnote w:id="50">
    <w:p w:rsidR="005369B1" w:rsidRDefault="005369B1">
      <w:pPr>
        <w:pStyle w:val="FootnoteText"/>
      </w:pPr>
      <w:r>
        <w:rPr>
          <w:rStyle w:val="FootnoteReference"/>
        </w:rPr>
        <w:footnoteRef/>
      </w:r>
      <w:r>
        <w:t xml:space="preserve"> RCW 19.285.030(17); WAC 480</w:t>
      </w:r>
      <w:r>
        <w:noBreakHyphen/>
        <w:t>109</w:t>
      </w:r>
      <w:r>
        <w:noBreakHyphen/>
        <w:t>007(17).</w:t>
      </w:r>
    </w:p>
  </w:footnote>
  <w:footnote w:id="51">
    <w:p w:rsidR="005369B1" w:rsidRPr="00875E90" w:rsidRDefault="005369B1" w:rsidP="00451211">
      <w:pPr>
        <w:pStyle w:val="FootnoteText"/>
      </w:pPr>
      <w:r w:rsidRPr="00875E90">
        <w:rPr>
          <w:rStyle w:val="FootnoteReference"/>
        </w:rPr>
        <w:footnoteRef/>
      </w:r>
      <w:r w:rsidRPr="00875E90">
        <w:t xml:space="preserve"> </w:t>
      </w:r>
      <w:r w:rsidRPr="00875E90">
        <w:rPr>
          <w:color w:val="000000"/>
        </w:rPr>
        <w:t>Docket UE-061895, General Order R-546.</w:t>
      </w:r>
    </w:p>
  </w:footnote>
  <w:footnote w:id="52">
    <w:p w:rsidR="005369B1" w:rsidRDefault="005369B1">
      <w:pPr>
        <w:pStyle w:val="FootnoteText"/>
      </w:pPr>
      <w:r>
        <w:rPr>
          <w:rStyle w:val="FootnoteReference"/>
        </w:rPr>
        <w:footnoteRef/>
      </w:r>
      <w:r>
        <w:t xml:space="preserve"> </w:t>
      </w:r>
      <w:r w:rsidRPr="000B05B1">
        <w:t>WAC 194-37-110(1)(c).</w:t>
      </w:r>
    </w:p>
  </w:footnote>
  <w:footnote w:id="53">
    <w:p w:rsidR="005369B1" w:rsidRDefault="005369B1">
      <w:pPr>
        <w:pStyle w:val="FootnoteText"/>
      </w:pPr>
      <w:r>
        <w:rPr>
          <w:rStyle w:val="FootnoteReference"/>
        </w:rPr>
        <w:footnoteRef/>
      </w:r>
      <w:r w:rsidRPr="000B05B1">
        <w:t xml:space="preserve"> 2012 Wash. Laws </w:t>
      </w:r>
      <w:proofErr w:type="spellStart"/>
      <w:r w:rsidRPr="000B05B1">
        <w:t>ch.</w:t>
      </w:r>
      <w:proofErr w:type="spellEnd"/>
      <w:r w:rsidRPr="000B05B1">
        <w:t xml:space="preserve"> 22.</w:t>
      </w:r>
    </w:p>
  </w:footnote>
  <w:footnote w:id="54">
    <w:p w:rsidR="005369B1" w:rsidRDefault="005369B1" w:rsidP="00BA3901">
      <w:pPr>
        <w:pStyle w:val="FootnoteText"/>
      </w:pPr>
      <w:r>
        <w:rPr>
          <w:rStyle w:val="FootnoteReference"/>
        </w:rPr>
        <w:footnoteRef/>
      </w:r>
      <w:r>
        <w:t xml:space="preserve"> WAC 480-109-040(1)(b); </w:t>
      </w:r>
      <w:r w:rsidRPr="00724430">
        <w:rPr>
          <w:i/>
        </w:rPr>
        <w:t>see</w:t>
      </w:r>
      <w:r>
        <w:t xml:space="preserve"> WAC 480</w:t>
      </w:r>
      <w:r>
        <w:noBreakHyphen/>
        <w:t>109</w:t>
      </w:r>
      <w:r>
        <w:noBreakHyphen/>
        <w:t>030(1).</w:t>
      </w:r>
      <w:r w:rsidRPr="00724430">
        <w:t xml:space="preserve"> WAC 194</w:t>
      </w:r>
      <w:r w:rsidRPr="00724430">
        <w:noBreakHyphen/>
        <w:t>37</w:t>
      </w:r>
      <w:r w:rsidRPr="00724430">
        <w:noBreakHyphen/>
        <w:t>190 governs consumer-owned utilities’ documentation of substitute resources and resource equivalence.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Content>
      <w:p w:rsidR="005369B1" w:rsidRDefault="005369B1">
        <w:pPr>
          <w:pStyle w:val="Header"/>
          <w:jc w:val="right"/>
        </w:pPr>
        <w:r>
          <w:t xml:space="preserve">Page </w:t>
        </w:r>
        <w:r>
          <w:rPr>
            <w:b/>
            <w:bCs/>
          </w:rPr>
          <w:fldChar w:fldCharType="begin"/>
        </w:r>
        <w:r>
          <w:rPr>
            <w:b/>
            <w:bCs/>
          </w:rPr>
          <w:instrText xml:space="preserve"> PAGE </w:instrText>
        </w:r>
        <w:r>
          <w:rPr>
            <w:b/>
            <w:bCs/>
          </w:rPr>
          <w:fldChar w:fldCharType="separate"/>
        </w:r>
        <w:r w:rsidR="00212B68">
          <w:rPr>
            <w:b/>
            <w:bCs/>
            <w:noProof/>
          </w:rPr>
          <w:t>24</w:t>
        </w:r>
        <w:r>
          <w:rPr>
            <w:b/>
            <w:bCs/>
          </w:rPr>
          <w:fldChar w:fldCharType="end"/>
        </w:r>
        <w:r>
          <w:t xml:space="preserve"> of </w:t>
        </w:r>
        <w:r>
          <w:rPr>
            <w:b/>
            <w:bCs/>
          </w:rPr>
          <w:fldChar w:fldCharType="begin"/>
        </w:r>
        <w:r>
          <w:rPr>
            <w:b/>
            <w:bCs/>
          </w:rPr>
          <w:instrText xml:space="preserve"> NUMPAGES  </w:instrText>
        </w:r>
        <w:r>
          <w:rPr>
            <w:b/>
            <w:bCs/>
          </w:rPr>
          <w:fldChar w:fldCharType="separate"/>
        </w:r>
        <w:r w:rsidR="00212B68">
          <w:rPr>
            <w:b/>
            <w:bCs/>
            <w:noProof/>
          </w:rPr>
          <w:t>25</w:t>
        </w:r>
        <w:r>
          <w:rPr>
            <w:b/>
            <w:bCs/>
          </w:rPr>
          <w:fldChar w:fldCharType="end"/>
        </w:r>
      </w:p>
    </w:sdtContent>
  </w:sdt>
  <w:p w:rsidR="005369B1" w:rsidRDefault="005369B1" w:rsidP="00B90DA8">
    <w:pPr>
      <w:pStyle w:val="Header"/>
      <w:jc w:val="right"/>
    </w:pPr>
    <w:r>
      <w:t>Commission Staff Comments Renewable Portfolio Standards</w:t>
    </w:r>
  </w:p>
  <w:p w:rsidR="005369B1" w:rsidRDefault="005369B1" w:rsidP="00B90DA8">
    <w:pPr>
      <w:pStyle w:val="Header"/>
      <w:spacing w:before="0" w:after="120"/>
      <w:jc w:val="right"/>
    </w:pPr>
    <w:r>
      <w:t xml:space="preserve">Dockets </w:t>
    </w:r>
    <w:proofErr w:type="spellStart"/>
    <w:r>
      <w:t>UE</w:t>
    </w:r>
    <w:proofErr w:type="spellEnd"/>
    <w:r>
      <w:noBreakHyphen/>
      <w:t xml:space="preserve">120791, </w:t>
    </w:r>
    <w:proofErr w:type="spellStart"/>
    <w:r>
      <w:t>UE</w:t>
    </w:r>
    <w:proofErr w:type="spellEnd"/>
    <w:r>
      <w:noBreakHyphen/>
      <w:t xml:space="preserve">120802, </w:t>
    </w:r>
    <w:proofErr w:type="spellStart"/>
    <w:r>
      <w:t>UE</w:t>
    </w:r>
    <w:proofErr w:type="spellEnd"/>
    <w:r>
      <w:noBreakHyphen/>
      <w:t>120813</w:t>
    </w:r>
  </w:p>
  <w:p w:rsidR="00416823" w:rsidRDefault="00416823" w:rsidP="00B90DA8">
    <w:pPr>
      <w:pStyle w:val="Header"/>
      <w:spacing w:before="0" w:after="12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53BBE"/>
    <w:multiLevelType w:val="hybridMultilevel"/>
    <w:tmpl w:val="DCE4AD92"/>
    <w:lvl w:ilvl="0" w:tplc="0409000F">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0ABA32AF"/>
    <w:multiLevelType w:val="hybridMultilevel"/>
    <w:tmpl w:val="1C9272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0BF85C0A"/>
    <w:multiLevelType w:val="hybridMultilevel"/>
    <w:tmpl w:val="6B6C8F6C"/>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C93CBA"/>
    <w:multiLevelType w:val="hybridMultilevel"/>
    <w:tmpl w:val="E2103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52069A"/>
    <w:multiLevelType w:val="hybridMultilevel"/>
    <w:tmpl w:val="CE645F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F293147"/>
    <w:multiLevelType w:val="hybridMultilevel"/>
    <w:tmpl w:val="EA66E904"/>
    <w:lvl w:ilvl="0" w:tplc="0409000F">
      <w:start w:val="1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C94E4E"/>
    <w:multiLevelType w:val="hybridMultilevel"/>
    <w:tmpl w:val="388CE232"/>
    <w:lvl w:ilvl="0" w:tplc="3398DBC2">
      <w:start w:val="1"/>
      <w:numFmt w:val="decimal"/>
      <w:pStyle w:val="Heading1"/>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983ED8"/>
    <w:multiLevelType w:val="hybridMultilevel"/>
    <w:tmpl w:val="5F269872"/>
    <w:lvl w:ilvl="0" w:tplc="3640A6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7D595B"/>
    <w:multiLevelType w:val="hybridMultilevel"/>
    <w:tmpl w:val="0FF6C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5009A4"/>
    <w:multiLevelType w:val="hybridMultilevel"/>
    <w:tmpl w:val="EF760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6954E7"/>
    <w:multiLevelType w:val="hybridMultilevel"/>
    <w:tmpl w:val="BD027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FD7FE2"/>
    <w:multiLevelType w:val="hybridMultilevel"/>
    <w:tmpl w:val="991C4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334FF6"/>
    <w:multiLevelType w:val="hybridMultilevel"/>
    <w:tmpl w:val="C7302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5E75CC"/>
    <w:multiLevelType w:val="hybridMultilevel"/>
    <w:tmpl w:val="CBAAE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20563A"/>
    <w:multiLevelType w:val="hybridMultilevel"/>
    <w:tmpl w:val="D23AACAC"/>
    <w:lvl w:ilvl="0" w:tplc="0409001B">
      <w:start w:val="1"/>
      <w:numFmt w:val="lowerRoman"/>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47211C"/>
    <w:multiLevelType w:val="hybridMultilevel"/>
    <w:tmpl w:val="47B2CBD0"/>
    <w:lvl w:ilvl="0" w:tplc="0409000F">
      <w:start w:val="1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7021A7"/>
    <w:multiLevelType w:val="hybridMultilevel"/>
    <w:tmpl w:val="9DEE6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633B62"/>
    <w:multiLevelType w:val="hybridMultilevel"/>
    <w:tmpl w:val="8A5C739E"/>
    <w:lvl w:ilvl="0" w:tplc="3640A6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900492"/>
    <w:multiLevelType w:val="hybridMultilevel"/>
    <w:tmpl w:val="FC2E0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44B21923"/>
    <w:multiLevelType w:val="hybridMultilevel"/>
    <w:tmpl w:val="5C047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A76AE5"/>
    <w:multiLevelType w:val="hybridMultilevel"/>
    <w:tmpl w:val="2424E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AA6066"/>
    <w:multiLevelType w:val="hybridMultilevel"/>
    <w:tmpl w:val="43B296A2"/>
    <w:lvl w:ilvl="0" w:tplc="41C821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F045BC"/>
    <w:multiLevelType w:val="hybridMultilevel"/>
    <w:tmpl w:val="10282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48B63B9C"/>
    <w:multiLevelType w:val="hybridMultilevel"/>
    <w:tmpl w:val="13C25A7E"/>
    <w:lvl w:ilvl="0" w:tplc="0B4A66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94056EE"/>
    <w:multiLevelType w:val="hybridMultilevel"/>
    <w:tmpl w:val="56543FE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E53B6C"/>
    <w:multiLevelType w:val="hybridMultilevel"/>
    <w:tmpl w:val="CC2AE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3F5BFD"/>
    <w:multiLevelType w:val="hybridMultilevel"/>
    <w:tmpl w:val="6128A668"/>
    <w:lvl w:ilvl="0" w:tplc="0409000F">
      <w:start w:val="1"/>
      <w:numFmt w:val="decimal"/>
      <w:lvlText w:val="%1."/>
      <w:lvlJc w:val="left"/>
      <w:pPr>
        <w:ind w:left="1260" w:hanging="72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D4115"/>
    <w:multiLevelType w:val="hybridMultilevel"/>
    <w:tmpl w:val="FE885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1F0D12"/>
    <w:multiLevelType w:val="hybridMultilevel"/>
    <w:tmpl w:val="F0C41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2251FA"/>
    <w:multiLevelType w:val="hybridMultilevel"/>
    <w:tmpl w:val="3CACE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957351"/>
    <w:multiLevelType w:val="hybridMultilevel"/>
    <w:tmpl w:val="2EB67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1B076E"/>
    <w:multiLevelType w:val="hybridMultilevel"/>
    <w:tmpl w:val="960CF4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D083D9A"/>
    <w:multiLevelType w:val="hybridMultilevel"/>
    <w:tmpl w:val="687251A4"/>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EF398E"/>
    <w:multiLevelType w:val="hybridMultilevel"/>
    <w:tmpl w:val="AD701A4C"/>
    <w:lvl w:ilvl="0" w:tplc="521C835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603408C6"/>
    <w:multiLevelType w:val="hybridMultilevel"/>
    <w:tmpl w:val="8EFE2260"/>
    <w:lvl w:ilvl="0" w:tplc="9F7842FA">
      <w:start w:val="1"/>
      <w:numFmt w:val="upperRoman"/>
      <w:lvlText w:val="%1."/>
      <w:lvlJc w:val="left"/>
      <w:pPr>
        <w:ind w:left="1260" w:hanging="720"/>
      </w:pPr>
      <w:rPr>
        <w:rFonts w:ascii="Times New Roman" w:hAnsi="Times New Roman"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F21E55"/>
    <w:multiLevelType w:val="hybridMultilevel"/>
    <w:tmpl w:val="D2F47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113CF4"/>
    <w:multiLevelType w:val="hybridMultilevel"/>
    <w:tmpl w:val="D15094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68537B29"/>
    <w:multiLevelType w:val="hybridMultilevel"/>
    <w:tmpl w:val="43C42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D54769E"/>
    <w:multiLevelType w:val="hybridMultilevel"/>
    <w:tmpl w:val="6B6C8F6C"/>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B140C1"/>
    <w:multiLevelType w:val="hybridMultilevel"/>
    <w:tmpl w:val="FA82D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F637933"/>
    <w:multiLevelType w:val="hybridMultilevel"/>
    <w:tmpl w:val="5C047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75E19C1"/>
    <w:multiLevelType w:val="hybridMultilevel"/>
    <w:tmpl w:val="FA6E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nsid w:val="7D893BD2"/>
    <w:multiLevelType w:val="hybridMultilevel"/>
    <w:tmpl w:val="B20AAE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1"/>
  </w:num>
  <w:num w:numId="3">
    <w:abstractNumId w:val="40"/>
  </w:num>
  <w:num w:numId="4">
    <w:abstractNumId w:val="19"/>
  </w:num>
  <w:num w:numId="5">
    <w:abstractNumId w:val="31"/>
  </w:num>
  <w:num w:numId="6">
    <w:abstractNumId w:val="27"/>
  </w:num>
  <w:num w:numId="7">
    <w:abstractNumId w:val="12"/>
  </w:num>
  <w:num w:numId="8">
    <w:abstractNumId w:val="35"/>
  </w:num>
  <w:num w:numId="9">
    <w:abstractNumId w:val="34"/>
  </w:num>
  <w:num w:numId="10">
    <w:abstractNumId w:val="6"/>
  </w:num>
  <w:num w:numId="11">
    <w:abstractNumId w:val="30"/>
  </w:num>
  <w:num w:numId="12">
    <w:abstractNumId w:val="8"/>
  </w:num>
  <w:num w:numId="13">
    <w:abstractNumId w:val="28"/>
  </w:num>
  <w:num w:numId="14">
    <w:abstractNumId w:val="42"/>
  </w:num>
  <w:num w:numId="15">
    <w:abstractNumId w:val="20"/>
  </w:num>
  <w:num w:numId="16">
    <w:abstractNumId w:val="7"/>
  </w:num>
  <w:num w:numId="17">
    <w:abstractNumId w:val="17"/>
  </w:num>
  <w:num w:numId="18">
    <w:abstractNumId w:val="23"/>
  </w:num>
  <w:num w:numId="19">
    <w:abstractNumId w:val="32"/>
  </w:num>
  <w:num w:numId="20">
    <w:abstractNumId w:val="10"/>
  </w:num>
  <w:num w:numId="21">
    <w:abstractNumId w:val="37"/>
  </w:num>
  <w:num w:numId="22">
    <w:abstractNumId w:val="25"/>
  </w:num>
  <w:num w:numId="23">
    <w:abstractNumId w:val="14"/>
  </w:num>
  <w:num w:numId="24">
    <w:abstractNumId w:val="24"/>
  </w:num>
  <w:num w:numId="25">
    <w:abstractNumId w:val="18"/>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13"/>
  </w:num>
  <w:num w:numId="31">
    <w:abstractNumId w:val="26"/>
  </w:num>
  <w:num w:numId="32">
    <w:abstractNumId w:val="0"/>
  </w:num>
  <w:num w:numId="33">
    <w:abstractNumId w:val="5"/>
  </w:num>
  <w:num w:numId="34">
    <w:abstractNumId w:val="39"/>
  </w:num>
  <w:num w:numId="35">
    <w:abstractNumId w:val="38"/>
  </w:num>
  <w:num w:numId="36">
    <w:abstractNumId w:val="3"/>
  </w:num>
  <w:num w:numId="37">
    <w:abstractNumId w:val="15"/>
  </w:num>
  <w:num w:numId="38">
    <w:abstractNumId w:val="16"/>
  </w:num>
  <w:num w:numId="39">
    <w:abstractNumId w:val="11"/>
  </w:num>
  <w:num w:numId="40">
    <w:abstractNumId w:val="22"/>
  </w:num>
  <w:num w:numId="41">
    <w:abstractNumId w:val="33"/>
  </w:num>
  <w:num w:numId="42">
    <w:abstractNumId w:val="1"/>
  </w:num>
  <w:num w:numId="43">
    <w:abstractNumId w:val="9"/>
  </w:num>
  <w:num w:numId="44">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874"/>
    <w:rsid w:val="000011C2"/>
    <w:rsid w:val="00005CA6"/>
    <w:rsid w:val="00007988"/>
    <w:rsid w:val="00014C46"/>
    <w:rsid w:val="0002265C"/>
    <w:rsid w:val="0002495C"/>
    <w:rsid w:val="00024CC6"/>
    <w:rsid w:val="00026A2C"/>
    <w:rsid w:val="00027B3B"/>
    <w:rsid w:val="00034362"/>
    <w:rsid w:val="00034DEB"/>
    <w:rsid w:val="000376F6"/>
    <w:rsid w:val="0004199A"/>
    <w:rsid w:val="00042756"/>
    <w:rsid w:val="00043F8E"/>
    <w:rsid w:val="0004435D"/>
    <w:rsid w:val="00046934"/>
    <w:rsid w:val="0005052F"/>
    <w:rsid w:val="000526E3"/>
    <w:rsid w:val="0005277D"/>
    <w:rsid w:val="00057939"/>
    <w:rsid w:val="00060AFA"/>
    <w:rsid w:val="0006289E"/>
    <w:rsid w:val="00064B08"/>
    <w:rsid w:val="00064CB5"/>
    <w:rsid w:val="000670AD"/>
    <w:rsid w:val="00067DD8"/>
    <w:rsid w:val="00073959"/>
    <w:rsid w:val="00074DFA"/>
    <w:rsid w:val="00077C9A"/>
    <w:rsid w:val="000873DA"/>
    <w:rsid w:val="000909D7"/>
    <w:rsid w:val="00090C7F"/>
    <w:rsid w:val="0009486D"/>
    <w:rsid w:val="00094F1D"/>
    <w:rsid w:val="000A149A"/>
    <w:rsid w:val="000A2305"/>
    <w:rsid w:val="000A3B29"/>
    <w:rsid w:val="000A4004"/>
    <w:rsid w:val="000A4119"/>
    <w:rsid w:val="000B05B1"/>
    <w:rsid w:val="000C4EC2"/>
    <w:rsid w:val="000D0369"/>
    <w:rsid w:val="000D03EE"/>
    <w:rsid w:val="000D15D2"/>
    <w:rsid w:val="000D2D23"/>
    <w:rsid w:val="000D4102"/>
    <w:rsid w:val="000D7F7E"/>
    <w:rsid w:val="000E3CBF"/>
    <w:rsid w:val="000E7D70"/>
    <w:rsid w:val="000F038F"/>
    <w:rsid w:val="000F0F39"/>
    <w:rsid w:val="0010137D"/>
    <w:rsid w:val="0010348B"/>
    <w:rsid w:val="00112F92"/>
    <w:rsid w:val="00116873"/>
    <w:rsid w:val="00120859"/>
    <w:rsid w:val="00123A64"/>
    <w:rsid w:val="00123C6F"/>
    <w:rsid w:val="00133F94"/>
    <w:rsid w:val="001366EE"/>
    <w:rsid w:val="0014092D"/>
    <w:rsid w:val="00141FFC"/>
    <w:rsid w:val="001433D7"/>
    <w:rsid w:val="001538BE"/>
    <w:rsid w:val="0015619F"/>
    <w:rsid w:val="001634A9"/>
    <w:rsid w:val="001652F9"/>
    <w:rsid w:val="00170EF6"/>
    <w:rsid w:val="0017302C"/>
    <w:rsid w:val="00173051"/>
    <w:rsid w:val="001736B0"/>
    <w:rsid w:val="0017606A"/>
    <w:rsid w:val="001869BA"/>
    <w:rsid w:val="001876AC"/>
    <w:rsid w:val="00192679"/>
    <w:rsid w:val="001950C1"/>
    <w:rsid w:val="001A0904"/>
    <w:rsid w:val="001A0EAD"/>
    <w:rsid w:val="001B2101"/>
    <w:rsid w:val="001B5A97"/>
    <w:rsid w:val="001B7765"/>
    <w:rsid w:val="001C3681"/>
    <w:rsid w:val="001C4552"/>
    <w:rsid w:val="001C6502"/>
    <w:rsid w:val="001D3357"/>
    <w:rsid w:val="001D38CC"/>
    <w:rsid w:val="001D533F"/>
    <w:rsid w:val="001D53FA"/>
    <w:rsid w:val="001D5D6E"/>
    <w:rsid w:val="001D70C8"/>
    <w:rsid w:val="001E29AD"/>
    <w:rsid w:val="001F4A2F"/>
    <w:rsid w:val="001F51E0"/>
    <w:rsid w:val="001F718B"/>
    <w:rsid w:val="001F7461"/>
    <w:rsid w:val="00212B68"/>
    <w:rsid w:val="00212DB3"/>
    <w:rsid w:val="00214ACA"/>
    <w:rsid w:val="00216133"/>
    <w:rsid w:val="00217D7B"/>
    <w:rsid w:val="00221326"/>
    <w:rsid w:val="002214F6"/>
    <w:rsid w:val="00221669"/>
    <w:rsid w:val="0023110D"/>
    <w:rsid w:val="00231C8A"/>
    <w:rsid w:val="00233073"/>
    <w:rsid w:val="00236D76"/>
    <w:rsid w:val="00237CDB"/>
    <w:rsid w:val="002418DF"/>
    <w:rsid w:val="00242100"/>
    <w:rsid w:val="0024378A"/>
    <w:rsid w:val="002477AD"/>
    <w:rsid w:val="0025538D"/>
    <w:rsid w:val="00256D54"/>
    <w:rsid w:val="00257DDD"/>
    <w:rsid w:val="0026099A"/>
    <w:rsid w:val="00261678"/>
    <w:rsid w:val="0026330D"/>
    <w:rsid w:val="002724A2"/>
    <w:rsid w:val="00275052"/>
    <w:rsid w:val="00280ADD"/>
    <w:rsid w:val="00286915"/>
    <w:rsid w:val="00287240"/>
    <w:rsid w:val="00290E52"/>
    <w:rsid w:val="002949B5"/>
    <w:rsid w:val="002A0A88"/>
    <w:rsid w:val="002A2AC4"/>
    <w:rsid w:val="002A3432"/>
    <w:rsid w:val="002A6B02"/>
    <w:rsid w:val="002A6F96"/>
    <w:rsid w:val="002C0E62"/>
    <w:rsid w:val="002C1394"/>
    <w:rsid w:val="002C3FBA"/>
    <w:rsid w:val="002C4C51"/>
    <w:rsid w:val="002D38B5"/>
    <w:rsid w:val="002E151C"/>
    <w:rsid w:val="002E2645"/>
    <w:rsid w:val="002E5183"/>
    <w:rsid w:val="002E5E50"/>
    <w:rsid w:val="002E7C55"/>
    <w:rsid w:val="002E7E8B"/>
    <w:rsid w:val="002F1DE7"/>
    <w:rsid w:val="003022CA"/>
    <w:rsid w:val="00303515"/>
    <w:rsid w:val="00305C0D"/>
    <w:rsid w:val="00307132"/>
    <w:rsid w:val="00307AC9"/>
    <w:rsid w:val="0031617F"/>
    <w:rsid w:val="003206EE"/>
    <w:rsid w:val="00321804"/>
    <w:rsid w:val="00326540"/>
    <w:rsid w:val="00331454"/>
    <w:rsid w:val="0033325B"/>
    <w:rsid w:val="00340ED0"/>
    <w:rsid w:val="00347459"/>
    <w:rsid w:val="00352541"/>
    <w:rsid w:val="003554AF"/>
    <w:rsid w:val="003569A0"/>
    <w:rsid w:val="00357B81"/>
    <w:rsid w:val="00363404"/>
    <w:rsid w:val="003639B2"/>
    <w:rsid w:val="003656A0"/>
    <w:rsid w:val="00372277"/>
    <w:rsid w:val="00373088"/>
    <w:rsid w:val="003778A7"/>
    <w:rsid w:val="00377E12"/>
    <w:rsid w:val="003831AE"/>
    <w:rsid w:val="00383E3A"/>
    <w:rsid w:val="00391463"/>
    <w:rsid w:val="00393B4A"/>
    <w:rsid w:val="00393E75"/>
    <w:rsid w:val="00394BC1"/>
    <w:rsid w:val="003A1C8A"/>
    <w:rsid w:val="003A2626"/>
    <w:rsid w:val="003A3B57"/>
    <w:rsid w:val="003A6AD9"/>
    <w:rsid w:val="003B346C"/>
    <w:rsid w:val="003B6033"/>
    <w:rsid w:val="003B774B"/>
    <w:rsid w:val="003C21E2"/>
    <w:rsid w:val="003C276B"/>
    <w:rsid w:val="003D0A8F"/>
    <w:rsid w:val="003D1479"/>
    <w:rsid w:val="003D2022"/>
    <w:rsid w:val="003D2323"/>
    <w:rsid w:val="003D55D3"/>
    <w:rsid w:val="003D58ED"/>
    <w:rsid w:val="003D6C1A"/>
    <w:rsid w:val="003E545E"/>
    <w:rsid w:val="003E7881"/>
    <w:rsid w:val="003F14E2"/>
    <w:rsid w:val="003F5D25"/>
    <w:rsid w:val="004022CD"/>
    <w:rsid w:val="004025A3"/>
    <w:rsid w:val="00404D65"/>
    <w:rsid w:val="00407CDA"/>
    <w:rsid w:val="00413F11"/>
    <w:rsid w:val="00416823"/>
    <w:rsid w:val="0042133B"/>
    <w:rsid w:val="00421733"/>
    <w:rsid w:val="0042605A"/>
    <w:rsid w:val="0042663D"/>
    <w:rsid w:val="0042666C"/>
    <w:rsid w:val="0043209D"/>
    <w:rsid w:val="0043391B"/>
    <w:rsid w:val="00434ECA"/>
    <w:rsid w:val="004413FD"/>
    <w:rsid w:val="004468DE"/>
    <w:rsid w:val="004469D8"/>
    <w:rsid w:val="00446FD5"/>
    <w:rsid w:val="00451211"/>
    <w:rsid w:val="00460ABA"/>
    <w:rsid w:val="00462FE0"/>
    <w:rsid w:val="004707E9"/>
    <w:rsid w:val="00473D60"/>
    <w:rsid w:val="0047763B"/>
    <w:rsid w:val="00480B5F"/>
    <w:rsid w:val="00482650"/>
    <w:rsid w:val="00484B8B"/>
    <w:rsid w:val="00491A79"/>
    <w:rsid w:val="00491DD6"/>
    <w:rsid w:val="004921A7"/>
    <w:rsid w:val="004924C5"/>
    <w:rsid w:val="004956D6"/>
    <w:rsid w:val="00495A5A"/>
    <w:rsid w:val="004967EC"/>
    <w:rsid w:val="004A2874"/>
    <w:rsid w:val="004A6B43"/>
    <w:rsid w:val="004B46D9"/>
    <w:rsid w:val="004B6608"/>
    <w:rsid w:val="004B72C2"/>
    <w:rsid w:val="004C1BF8"/>
    <w:rsid w:val="004D4D8C"/>
    <w:rsid w:val="004D54A4"/>
    <w:rsid w:val="004E12C6"/>
    <w:rsid w:val="004E2B1E"/>
    <w:rsid w:val="004E342C"/>
    <w:rsid w:val="004E3CE0"/>
    <w:rsid w:val="004F1D07"/>
    <w:rsid w:val="004F6936"/>
    <w:rsid w:val="00500F9B"/>
    <w:rsid w:val="00502189"/>
    <w:rsid w:val="005039D3"/>
    <w:rsid w:val="00503BBE"/>
    <w:rsid w:val="005041D3"/>
    <w:rsid w:val="00505BE3"/>
    <w:rsid w:val="0050648B"/>
    <w:rsid w:val="005073AF"/>
    <w:rsid w:val="00511541"/>
    <w:rsid w:val="0051429D"/>
    <w:rsid w:val="0051530A"/>
    <w:rsid w:val="00516595"/>
    <w:rsid w:val="00516686"/>
    <w:rsid w:val="00520E73"/>
    <w:rsid w:val="00524901"/>
    <w:rsid w:val="005369B1"/>
    <w:rsid w:val="0054157B"/>
    <w:rsid w:val="005430CA"/>
    <w:rsid w:val="00547CC6"/>
    <w:rsid w:val="005517D3"/>
    <w:rsid w:val="005571D7"/>
    <w:rsid w:val="00560651"/>
    <w:rsid w:val="005607AF"/>
    <w:rsid w:val="00563462"/>
    <w:rsid w:val="00564208"/>
    <w:rsid w:val="00566063"/>
    <w:rsid w:val="00566D0D"/>
    <w:rsid w:val="0057403F"/>
    <w:rsid w:val="00577206"/>
    <w:rsid w:val="00580D0F"/>
    <w:rsid w:val="00582EF8"/>
    <w:rsid w:val="005875D1"/>
    <w:rsid w:val="0059070F"/>
    <w:rsid w:val="0059330F"/>
    <w:rsid w:val="00593E8F"/>
    <w:rsid w:val="005956A2"/>
    <w:rsid w:val="005A1333"/>
    <w:rsid w:val="005A500F"/>
    <w:rsid w:val="005A5504"/>
    <w:rsid w:val="005A6EA4"/>
    <w:rsid w:val="005A7D68"/>
    <w:rsid w:val="005B12D3"/>
    <w:rsid w:val="005B4B32"/>
    <w:rsid w:val="005B5CC1"/>
    <w:rsid w:val="005B7135"/>
    <w:rsid w:val="005C33E3"/>
    <w:rsid w:val="005D20B2"/>
    <w:rsid w:val="005D4443"/>
    <w:rsid w:val="005D6068"/>
    <w:rsid w:val="005D78E9"/>
    <w:rsid w:val="005E0432"/>
    <w:rsid w:val="005E0EA4"/>
    <w:rsid w:val="005E1E00"/>
    <w:rsid w:val="005E6EFD"/>
    <w:rsid w:val="005F4EC2"/>
    <w:rsid w:val="006004BB"/>
    <w:rsid w:val="00600563"/>
    <w:rsid w:val="00602A22"/>
    <w:rsid w:val="00602ED7"/>
    <w:rsid w:val="0060741A"/>
    <w:rsid w:val="00607F89"/>
    <w:rsid w:val="00616B6D"/>
    <w:rsid w:val="00617DA4"/>
    <w:rsid w:val="0062360E"/>
    <w:rsid w:val="00623936"/>
    <w:rsid w:val="00624EA3"/>
    <w:rsid w:val="0062505E"/>
    <w:rsid w:val="00631F8C"/>
    <w:rsid w:val="00632171"/>
    <w:rsid w:val="0063418C"/>
    <w:rsid w:val="006350A5"/>
    <w:rsid w:val="00635420"/>
    <w:rsid w:val="00640F50"/>
    <w:rsid w:val="00654FA4"/>
    <w:rsid w:val="006557B8"/>
    <w:rsid w:val="0065605B"/>
    <w:rsid w:val="0065625E"/>
    <w:rsid w:val="0066110C"/>
    <w:rsid w:val="00672B49"/>
    <w:rsid w:val="00672BA5"/>
    <w:rsid w:val="006778DB"/>
    <w:rsid w:val="00677DA4"/>
    <w:rsid w:val="00681E69"/>
    <w:rsid w:val="00682D3C"/>
    <w:rsid w:val="00687E09"/>
    <w:rsid w:val="00687F97"/>
    <w:rsid w:val="006917B0"/>
    <w:rsid w:val="006943B2"/>
    <w:rsid w:val="00694593"/>
    <w:rsid w:val="00695126"/>
    <w:rsid w:val="00695820"/>
    <w:rsid w:val="0069654A"/>
    <w:rsid w:val="006A0EE8"/>
    <w:rsid w:val="006A1B48"/>
    <w:rsid w:val="006A2633"/>
    <w:rsid w:val="006A53AD"/>
    <w:rsid w:val="006B0C12"/>
    <w:rsid w:val="006B3A04"/>
    <w:rsid w:val="006B49E2"/>
    <w:rsid w:val="006B57AF"/>
    <w:rsid w:val="006C2E07"/>
    <w:rsid w:val="006D0E4A"/>
    <w:rsid w:val="006D2020"/>
    <w:rsid w:val="006D5B00"/>
    <w:rsid w:val="006D7616"/>
    <w:rsid w:val="006E3297"/>
    <w:rsid w:val="006F03F0"/>
    <w:rsid w:val="006F6B72"/>
    <w:rsid w:val="007005DB"/>
    <w:rsid w:val="00701A3D"/>
    <w:rsid w:val="00701CB3"/>
    <w:rsid w:val="007104CD"/>
    <w:rsid w:val="00710FC9"/>
    <w:rsid w:val="007112DB"/>
    <w:rsid w:val="007135D9"/>
    <w:rsid w:val="00714B91"/>
    <w:rsid w:val="0071553B"/>
    <w:rsid w:val="00715F0C"/>
    <w:rsid w:val="0071684F"/>
    <w:rsid w:val="00717887"/>
    <w:rsid w:val="00723F9A"/>
    <w:rsid w:val="00724430"/>
    <w:rsid w:val="007262DB"/>
    <w:rsid w:val="00735134"/>
    <w:rsid w:val="00737366"/>
    <w:rsid w:val="0073784F"/>
    <w:rsid w:val="00740334"/>
    <w:rsid w:val="00740E42"/>
    <w:rsid w:val="00741FA0"/>
    <w:rsid w:val="00746D92"/>
    <w:rsid w:val="00746F5A"/>
    <w:rsid w:val="0075036A"/>
    <w:rsid w:val="00751731"/>
    <w:rsid w:val="0075193B"/>
    <w:rsid w:val="00751A78"/>
    <w:rsid w:val="0075203A"/>
    <w:rsid w:val="00754B3F"/>
    <w:rsid w:val="00756214"/>
    <w:rsid w:val="0076067A"/>
    <w:rsid w:val="00767F41"/>
    <w:rsid w:val="00773A5B"/>
    <w:rsid w:val="00775AD6"/>
    <w:rsid w:val="00776D8F"/>
    <w:rsid w:val="00783B75"/>
    <w:rsid w:val="00785F65"/>
    <w:rsid w:val="00791B44"/>
    <w:rsid w:val="007A3E2E"/>
    <w:rsid w:val="007A62EA"/>
    <w:rsid w:val="007B1608"/>
    <w:rsid w:val="007B292A"/>
    <w:rsid w:val="007B662E"/>
    <w:rsid w:val="007B754A"/>
    <w:rsid w:val="007B7E53"/>
    <w:rsid w:val="007C1698"/>
    <w:rsid w:val="007C217E"/>
    <w:rsid w:val="007C287D"/>
    <w:rsid w:val="007C2D9D"/>
    <w:rsid w:val="007D185B"/>
    <w:rsid w:val="007D495D"/>
    <w:rsid w:val="007D551B"/>
    <w:rsid w:val="007D7A40"/>
    <w:rsid w:val="007E1BB9"/>
    <w:rsid w:val="007F0177"/>
    <w:rsid w:val="007F0811"/>
    <w:rsid w:val="007F3523"/>
    <w:rsid w:val="007F456C"/>
    <w:rsid w:val="007F5565"/>
    <w:rsid w:val="00803047"/>
    <w:rsid w:val="00805BFC"/>
    <w:rsid w:val="0081139D"/>
    <w:rsid w:val="00811415"/>
    <w:rsid w:val="008250ED"/>
    <w:rsid w:val="00831B5E"/>
    <w:rsid w:val="00843641"/>
    <w:rsid w:val="00854ACD"/>
    <w:rsid w:val="00864FAC"/>
    <w:rsid w:val="00864FDF"/>
    <w:rsid w:val="00870908"/>
    <w:rsid w:val="00875F62"/>
    <w:rsid w:val="0088117F"/>
    <w:rsid w:val="00882927"/>
    <w:rsid w:val="008833EB"/>
    <w:rsid w:val="00891F6E"/>
    <w:rsid w:val="00893D6C"/>
    <w:rsid w:val="008949EC"/>
    <w:rsid w:val="00895595"/>
    <w:rsid w:val="008A0A62"/>
    <w:rsid w:val="008A0CCA"/>
    <w:rsid w:val="008A21B5"/>
    <w:rsid w:val="008A3BBA"/>
    <w:rsid w:val="008A4B59"/>
    <w:rsid w:val="008B59E5"/>
    <w:rsid w:val="008B7872"/>
    <w:rsid w:val="008B7DCB"/>
    <w:rsid w:val="008C20B4"/>
    <w:rsid w:val="008C2A0B"/>
    <w:rsid w:val="008C6087"/>
    <w:rsid w:val="008D1C08"/>
    <w:rsid w:val="008D2ADE"/>
    <w:rsid w:val="008E45D3"/>
    <w:rsid w:val="008E66CA"/>
    <w:rsid w:val="008E704F"/>
    <w:rsid w:val="008F200C"/>
    <w:rsid w:val="008F42B8"/>
    <w:rsid w:val="0090503D"/>
    <w:rsid w:val="00905CE3"/>
    <w:rsid w:val="0090733A"/>
    <w:rsid w:val="00911C1E"/>
    <w:rsid w:val="00915301"/>
    <w:rsid w:val="009155EF"/>
    <w:rsid w:val="00927E2F"/>
    <w:rsid w:val="0093018D"/>
    <w:rsid w:val="00930EA8"/>
    <w:rsid w:val="00934932"/>
    <w:rsid w:val="00934AE2"/>
    <w:rsid w:val="009358B7"/>
    <w:rsid w:val="00943A89"/>
    <w:rsid w:val="00944186"/>
    <w:rsid w:val="00951B23"/>
    <w:rsid w:val="0095672D"/>
    <w:rsid w:val="00963593"/>
    <w:rsid w:val="0096624C"/>
    <w:rsid w:val="00966F99"/>
    <w:rsid w:val="0097265C"/>
    <w:rsid w:val="00974514"/>
    <w:rsid w:val="00976927"/>
    <w:rsid w:val="009905BE"/>
    <w:rsid w:val="009A3E84"/>
    <w:rsid w:val="009A582A"/>
    <w:rsid w:val="009B15CD"/>
    <w:rsid w:val="009B54B5"/>
    <w:rsid w:val="009B5738"/>
    <w:rsid w:val="009B76D6"/>
    <w:rsid w:val="009C4568"/>
    <w:rsid w:val="009C4C03"/>
    <w:rsid w:val="009D02CC"/>
    <w:rsid w:val="009D696C"/>
    <w:rsid w:val="009E06F6"/>
    <w:rsid w:val="009E1608"/>
    <w:rsid w:val="009E43D6"/>
    <w:rsid w:val="009E7A08"/>
    <w:rsid w:val="009F0D52"/>
    <w:rsid w:val="009F54ED"/>
    <w:rsid w:val="009F616B"/>
    <w:rsid w:val="00A00B66"/>
    <w:rsid w:val="00A02A34"/>
    <w:rsid w:val="00A04960"/>
    <w:rsid w:val="00A06A25"/>
    <w:rsid w:val="00A07A34"/>
    <w:rsid w:val="00A2038C"/>
    <w:rsid w:val="00A20AB8"/>
    <w:rsid w:val="00A20C4C"/>
    <w:rsid w:val="00A21414"/>
    <w:rsid w:val="00A21771"/>
    <w:rsid w:val="00A248A1"/>
    <w:rsid w:val="00A24A32"/>
    <w:rsid w:val="00A31CDB"/>
    <w:rsid w:val="00A341FF"/>
    <w:rsid w:val="00A34F1F"/>
    <w:rsid w:val="00A35E7D"/>
    <w:rsid w:val="00A42EA5"/>
    <w:rsid w:val="00A505BF"/>
    <w:rsid w:val="00A50BB5"/>
    <w:rsid w:val="00A51F81"/>
    <w:rsid w:val="00A54FF1"/>
    <w:rsid w:val="00A64D6F"/>
    <w:rsid w:val="00A67F6E"/>
    <w:rsid w:val="00A74E14"/>
    <w:rsid w:val="00A804AD"/>
    <w:rsid w:val="00A80E66"/>
    <w:rsid w:val="00A84DA1"/>
    <w:rsid w:val="00A8736D"/>
    <w:rsid w:val="00A90F76"/>
    <w:rsid w:val="00A91C91"/>
    <w:rsid w:val="00A94EC6"/>
    <w:rsid w:val="00A95610"/>
    <w:rsid w:val="00A95951"/>
    <w:rsid w:val="00AA410F"/>
    <w:rsid w:val="00AA63CD"/>
    <w:rsid w:val="00AB6F18"/>
    <w:rsid w:val="00AB76CE"/>
    <w:rsid w:val="00AB7E05"/>
    <w:rsid w:val="00AB7E7C"/>
    <w:rsid w:val="00AC599F"/>
    <w:rsid w:val="00AC5BF3"/>
    <w:rsid w:val="00AD21DF"/>
    <w:rsid w:val="00AD2FF4"/>
    <w:rsid w:val="00AE0E29"/>
    <w:rsid w:val="00AE0EB6"/>
    <w:rsid w:val="00AE1333"/>
    <w:rsid w:val="00AE7FF0"/>
    <w:rsid w:val="00AF0A81"/>
    <w:rsid w:val="00B056AA"/>
    <w:rsid w:val="00B151A2"/>
    <w:rsid w:val="00B163D5"/>
    <w:rsid w:val="00B1691A"/>
    <w:rsid w:val="00B177D8"/>
    <w:rsid w:val="00B22218"/>
    <w:rsid w:val="00B26036"/>
    <w:rsid w:val="00B32F46"/>
    <w:rsid w:val="00B34918"/>
    <w:rsid w:val="00B40A52"/>
    <w:rsid w:val="00B41E5E"/>
    <w:rsid w:val="00B421CC"/>
    <w:rsid w:val="00B46CED"/>
    <w:rsid w:val="00B507AD"/>
    <w:rsid w:val="00B5284A"/>
    <w:rsid w:val="00B553CD"/>
    <w:rsid w:val="00B624CB"/>
    <w:rsid w:val="00B62552"/>
    <w:rsid w:val="00B639CA"/>
    <w:rsid w:val="00B63DEF"/>
    <w:rsid w:val="00B64797"/>
    <w:rsid w:val="00B72300"/>
    <w:rsid w:val="00B734FB"/>
    <w:rsid w:val="00B80895"/>
    <w:rsid w:val="00B80B93"/>
    <w:rsid w:val="00B8146B"/>
    <w:rsid w:val="00B847B1"/>
    <w:rsid w:val="00B87F89"/>
    <w:rsid w:val="00B90DA8"/>
    <w:rsid w:val="00B94021"/>
    <w:rsid w:val="00B96B09"/>
    <w:rsid w:val="00BA2248"/>
    <w:rsid w:val="00BA3901"/>
    <w:rsid w:val="00BA5D13"/>
    <w:rsid w:val="00BB1FD9"/>
    <w:rsid w:val="00BC36BC"/>
    <w:rsid w:val="00BC5B4A"/>
    <w:rsid w:val="00BC6A20"/>
    <w:rsid w:val="00BE337B"/>
    <w:rsid w:val="00BE6A73"/>
    <w:rsid w:val="00BF3396"/>
    <w:rsid w:val="00BF497A"/>
    <w:rsid w:val="00BF70A2"/>
    <w:rsid w:val="00C10B53"/>
    <w:rsid w:val="00C1178A"/>
    <w:rsid w:val="00C151DA"/>
    <w:rsid w:val="00C32612"/>
    <w:rsid w:val="00C4748B"/>
    <w:rsid w:val="00C5668F"/>
    <w:rsid w:val="00C646F3"/>
    <w:rsid w:val="00C6506A"/>
    <w:rsid w:val="00C656A6"/>
    <w:rsid w:val="00C7026A"/>
    <w:rsid w:val="00C727C7"/>
    <w:rsid w:val="00C73615"/>
    <w:rsid w:val="00C761B6"/>
    <w:rsid w:val="00C76623"/>
    <w:rsid w:val="00C76AAF"/>
    <w:rsid w:val="00C7704C"/>
    <w:rsid w:val="00C84C67"/>
    <w:rsid w:val="00C87186"/>
    <w:rsid w:val="00C8724C"/>
    <w:rsid w:val="00C92877"/>
    <w:rsid w:val="00CB2134"/>
    <w:rsid w:val="00CB4BB5"/>
    <w:rsid w:val="00CC780B"/>
    <w:rsid w:val="00CD10DD"/>
    <w:rsid w:val="00CD18C7"/>
    <w:rsid w:val="00CE105C"/>
    <w:rsid w:val="00CE2817"/>
    <w:rsid w:val="00CE626B"/>
    <w:rsid w:val="00CE63D5"/>
    <w:rsid w:val="00CF0F1B"/>
    <w:rsid w:val="00CF17D0"/>
    <w:rsid w:val="00CF2DED"/>
    <w:rsid w:val="00CF3CE2"/>
    <w:rsid w:val="00CF5518"/>
    <w:rsid w:val="00CF66DF"/>
    <w:rsid w:val="00D01A69"/>
    <w:rsid w:val="00D0373E"/>
    <w:rsid w:val="00D03CF8"/>
    <w:rsid w:val="00D04DBF"/>
    <w:rsid w:val="00D04F17"/>
    <w:rsid w:val="00D15364"/>
    <w:rsid w:val="00D15CD2"/>
    <w:rsid w:val="00D165EE"/>
    <w:rsid w:val="00D205BC"/>
    <w:rsid w:val="00D21CF9"/>
    <w:rsid w:val="00D24B2A"/>
    <w:rsid w:val="00D31DD1"/>
    <w:rsid w:val="00D414D7"/>
    <w:rsid w:val="00D421F2"/>
    <w:rsid w:val="00D47656"/>
    <w:rsid w:val="00D51B92"/>
    <w:rsid w:val="00D52CA1"/>
    <w:rsid w:val="00D56BD1"/>
    <w:rsid w:val="00D61632"/>
    <w:rsid w:val="00D70428"/>
    <w:rsid w:val="00D726BB"/>
    <w:rsid w:val="00D7455B"/>
    <w:rsid w:val="00D77397"/>
    <w:rsid w:val="00D77578"/>
    <w:rsid w:val="00D861AE"/>
    <w:rsid w:val="00DA01B1"/>
    <w:rsid w:val="00DA353F"/>
    <w:rsid w:val="00DB0199"/>
    <w:rsid w:val="00DB757B"/>
    <w:rsid w:val="00DC0AD8"/>
    <w:rsid w:val="00DC30E7"/>
    <w:rsid w:val="00DC577B"/>
    <w:rsid w:val="00DC5DBF"/>
    <w:rsid w:val="00DD157A"/>
    <w:rsid w:val="00DD5126"/>
    <w:rsid w:val="00DD53FC"/>
    <w:rsid w:val="00DE2A8D"/>
    <w:rsid w:val="00DE38A9"/>
    <w:rsid w:val="00DE4123"/>
    <w:rsid w:val="00DE50B4"/>
    <w:rsid w:val="00DE7D7E"/>
    <w:rsid w:val="00DF144D"/>
    <w:rsid w:val="00DF28EE"/>
    <w:rsid w:val="00DF357A"/>
    <w:rsid w:val="00DF4B37"/>
    <w:rsid w:val="00E07BC9"/>
    <w:rsid w:val="00E11810"/>
    <w:rsid w:val="00E11BE2"/>
    <w:rsid w:val="00E14C0A"/>
    <w:rsid w:val="00E14FE1"/>
    <w:rsid w:val="00E15030"/>
    <w:rsid w:val="00E16F2E"/>
    <w:rsid w:val="00E205FA"/>
    <w:rsid w:val="00E21C18"/>
    <w:rsid w:val="00E3045D"/>
    <w:rsid w:val="00E31664"/>
    <w:rsid w:val="00E31D79"/>
    <w:rsid w:val="00E33E8C"/>
    <w:rsid w:val="00E410BA"/>
    <w:rsid w:val="00E42274"/>
    <w:rsid w:val="00E438EB"/>
    <w:rsid w:val="00E53980"/>
    <w:rsid w:val="00E57DDC"/>
    <w:rsid w:val="00E6290C"/>
    <w:rsid w:val="00E639B8"/>
    <w:rsid w:val="00E6441D"/>
    <w:rsid w:val="00E64F9A"/>
    <w:rsid w:val="00E65BA5"/>
    <w:rsid w:val="00E7616D"/>
    <w:rsid w:val="00E8100B"/>
    <w:rsid w:val="00E81752"/>
    <w:rsid w:val="00E81F85"/>
    <w:rsid w:val="00E82CD4"/>
    <w:rsid w:val="00E83B21"/>
    <w:rsid w:val="00E83C84"/>
    <w:rsid w:val="00E8434D"/>
    <w:rsid w:val="00E93E46"/>
    <w:rsid w:val="00E964CA"/>
    <w:rsid w:val="00E96CAD"/>
    <w:rsid w:val="00E97105"/>
    <w:rsid w:val="00EA1E50"/>
    <w:rsid w:val="00EA4CFC"/>
    <w:rsid w:val="00EA5692"/>
    <w:rsid w:val="00EA6BC9"/>
    <w:rsid w:val="00EB0F64"/>
    <w:rsid w:val="00EB198F"/>
    <w:rsid w:val="00EB42C0"/>
    <w:rsid w:val="00EB66C6"/>
    <w:rsid w:val="00EC64F8"/>
    <w:rsid w:val="00EC6D16"/>
    <w:rsid w:val="00ED1BBA"/>
    <w:rsid w:val="00ED78A6"/>
    <w:rsid w:val="00EE209B"/>
    <w:rsid w:val="00EE29FC"/>
    <w:rsid w:val="00EE3DB9"/>
    <w:rsid w:val="00EE5079"/>
    <w:rsid w:val="00EE59D4"/>
    <w:rsid w:val="00EE5FF8"/>
    <w:rsid w:val="00EE7C9F"/>
    <w:rsid w:val="00EF6BDA"/>
    <w:rsid w:val="00F01C9B"/>
    <w:rsid w:val="00F023C6"/>
    <w:rsid w:val="00F02957"/>
    <w:rsid w:val="00F06616"/>
    <w:rsid w:val="00F06C49"/>
    <w:rsid w:val="00F06D29"/>
    <w:rsid w:val="00F0784D"/>
    <w:rsid w:val="00F078AF"/>
    <w:rsid w:val="00F11EA1"/>
    <w:rsid w:val="00F130DC"/>
    <w:rsid w:val="00F16D9B"/>
    <w:rsid w:val="00F17DBD"/>
    <w:rsid w:val="00F2662D"/>
    <w:rsid w:val="00F267C8"/>
    <w:rsid w:val="00F318D3"/>
    <w:rsid w:val="00F3244C"/>
    <w:rsid w:val="00F35FA2"/>
    <w:rsid w:val="00F409B0"/>
    <w:rsid w:val="00F45847"/>
    <w:rsid w:val="00F51D6E"/>
    <w:rsid w:val="00F61351"/>
    <w:rsid w:val="00F80656"/>
    <w:rsid w:val="00F81041"/>
    <w:rsid w:val="00F845BC"/>
    <w:rsid w:val="00F8732B"/>
    <w:rsid w:val="00F90D10"/>
    <w:rsid w:val="00F91435"/>
    <w:rsid w:val="00F96233"/>
    <w:rsid w:val="00F96814"/>
    <w:rsid w:val="00FA0A70"/>
    <w:rsid w:val="00FB1693"/>
    <w:rsid w:val="00FB330F"/>
    <w:rsid w:val="00FB697E"/>
    <w:rsid w:val="00FC16D1"/>
    <w:rsid w:val="00FC2C4A"/>
    <w:rsid w:val="00FC6A3C"/>
    <w:rsid w:val="00FD34CB"/>
    <w:rsid w:val="00FD52D0"/>
    <w:rsid w:val="00FE3125"/>
    <w:rsid w:val="00FE75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0A5"/>
    <w:pPr>
      <w:spacing w:before="120" w:after="120"/>
    </w:pPr>
    <w:rPr>
      <w:sz w:val="24"/>
      <w:szCs w:val="24"/>
    </w:rPr>
  </w:style>
  <w:style w:type="paragraph" w:styleId="Heading1">
    <w:name w:val="heading 1"/>
    <w:basedOn w:val="Normal"/>
    <w:next w:val="Normal"/>
    <w:link w:val="Heading1Char"/>
    <w:qFormat/>
    <w:rsid w:val="00BC6A20"/>
    <w:pPr>
      <w:numPr>
        <w:numId w:val="10"/>
      </w:numPr>
      <w:outlineLvl w:val="0"/>
    </w:pPr>
    <w:rPr>
      <w:rFonts w:eastAsiaTheme="majorEastAsia"/>
      <w:b/>
      <w:u w:val="single"/>
    </w:rPr>
  </w:style>
  <w:style w:type="paragraph" w:styleId="Heading2">
    <w:name w:val="heading 2"/>
    <w:basedOn w:val="Normal"/>
    <w:next w:val="Normal"/>
    <w:link w:val="Heading2Char"/>
    <w:qFormat/>
    <w:rsid w:val="00593E8F"/>
    <w:pPr>
      <w:keepNext/>
      <w:spacing w:before="480" w:after="240"/>
      <w:jc w:val="center"/>
      <w:outlineLvl w:val="1"/>
    </w:pPr>
    <w:rPr>
      <w:rFonts w:eastAsiaTheme="majorEastAsia" w:cstheme="majorBidi"/>
      <w:b/>
      <w:u w:val="single"/>
    </w:rPr>
  </w:style>
  <w:style w:type="paragraph" w:styleId="Heading3">
    <w:name w:val="heading 3"/>
    <w:basedOn w:val="Normal"/>
    <w:next w:val="Normal"/>
    <w:link w:val="Heading3Char"/>
    <w:qFormat/>
    <w:rsid w:val="00593E8F"/>
    <w:pPr>
      <w:tabs>
        <w:tab w:val="left" w:pos="-1440"/>
      </w:tabs>
      <w:spacing w:before="360" w:after="240"/>
      <w:ind w:left="720" w:hanging="720"/>
      <w:outlineLvl w:val="2"/>
    </w:pPr>
    <w:rPr>
      <w:rFonts w:eastAsiaTheme="majorEastAsia" w:cstheme="majorBidi"/>
      <w:b/>
      <w:bCs/>
    </w:rPr>
  </w:style>
  <w:style w:type="paragraph" w:styleId="Heading4">
    <w:name w:val="heading 4"/>
    <w:basedOn w:val="Normal"/>
    <w:next w:val="Normal"/>
    <w:link w:val="Heading4Char"/>
    <w:uiPriority w:val="9"/>
    <w:qFormat/>
    <w:rsid w:val="00E21C18"/>
    <w:pPr>
      <w:keepNext/>
      <w:spacing w:before="240"/>
      <w:jc w:val="center"/>
      <w:outlineLvl w:val="3"/>
    </w:pPr>
    <w:rPr>
      <w:rFonts w:eastAsiaTheme="majorEastAsia" w:cstheme="majorBidi"/>
      <w:bCs/>
    </w:rPr>
  </w:style>
  <w:style w:type="paragraph" w:styleId="Heading5">
    <w:name w:val="heading 5"/>
    <w:basedOn w:val="Normal"/>
    <w:next w:val="Normal"/>
    <w:link w:val="Heading5Char"/>
    <w:qFormat/>
    <w:rsid w:val="00976927"/>
    <w:pPr>
      <w:keepNext/>
      <w:outlineLvl w:val="4"/>
    </w:pPr>
    <w:rPr>
      <w:rFonts w:eastAsiaTheme="majorEastAsia" w:cstheme="majorBidi"/>
      <w:b/>
      <w:bCs/>
      <w:color w:val="0000FF"/>
    </w:rPr>
  </w:style>
  <w:style w:type="paragraph" w:styleId="Heading6">
    <w:name w:val="heading 6"/>
    <w:basedOn w:val="Normal"/>
    <w:next w:val="Normal"/>
    <w:link w:val="Heading6Char"/>
    <w:qFormat/>
    <w:rsid w:val="00976927"/>
    <w:pPr>
      <w:keepNext/>
      <w:jc w:val="center"/>
      <w:outlineLvl w:val="5"/>
    </w:pPr>
    <w:rPr>
      <w:rFonts w:eastAsiaTheme="majorEastAsia" w:cstheme="majorBidi"/>
      <w:b/>
      <w:bCs/>
    </w:rPr>
  </w:style>
  <w:style w:type="paragraph" w:styleId="Heading7">
    <w:name w:val="heading 7"/>
    <w:basedOn w:val="Normal"/>
    <w:next w:val="Normal"/>
    <w:link w:val="Heading7Char"/>
    <w:semiHidden/>
    <w:unhideWhenUsed/>
    <w:qFormat/>
    <w:rsid w:val="0097692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7692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97692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927"/>
    <w:pPr>
      <w:ind w:left="720"/>
    </w:pPr>
  </w:style>
  <w:style w:type="table" w:styleId="TableGrid">
    <w:name w:val="Table Grid"/>
    <w:basedOn w:val="TableNormal"/>
    <w:uiPriority w:val="59"/>
    <w:rsid w:val="00D4765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2663D"/>
    <w:pPr>
      <w:tabs>
        <w:tab w:val="center" w:pos="4680"/>
        <w:tab w:val="right" w:pos="9360"/>
      </w:tabs>
      <w:spacing w:after="0"/>
    </w:pPr>
  </w:style>
  <w:style w:type="character" w:customStyle="1" w:styleId="HeaderChar">
    <w:name w:val="Header Char"/>
    <w:basedOn w:val="DefaultParagraphFont"/>
    <w:link w:val="Header"/>
    <w:uiPriority w:val="99"/>
    <w:rsid w:val="0042663D"/>
  </w:style>
  <w:style w:type="paragraph" w:styleId="Footer">
    <w:name w:val="footer"/>
    <w:basedOn w:val="Normal"/>
    <w:link w:val="FooterChar"/>
    <w:uiPriority w:val="99"/>
    <w:unhideWhenUsed/>
    <w:rsid w:val="0042663D"/>
    <w:pPr>
      <w:tabs>
        <w:tab w:val="center" w:pos="4680"/>
        <w:tab w:val="right" w:pos="9360"/>
      </w:tabs>
      <w:spacing w:after="0"/>
    </w:pPr>
  </w:style>
  <w:style w:type="character" w:customStyle="1" w:styleId="FooterChar">
    <w:name w:val="Footer Char"/>
    <w:basedOn w:val="DefaultParagraphFont"/>
    <w:link w:val="Footer"/>
    <w:uiPriority w:val="99"/>
    <w:rsid w:val="0042663D"/>
  </w:style>
  <w:style w:type="paragraph" w:styleId="FootnoteText">
    <w:name w:val="footnote text"/>
    <w:basedOn w:val="Normal"/>
    <w:link w:val="FootnoteTextChar"/>
    <w:uiPriority w:val="99"/>
    <w:unhideWhenUsed/>
    <w:rsid w:val="00500F9B"/>
    <w:pPr>
      <w:spacing w:after="0"/>
    </w:pPr>
    <w:rPr>
      <w:sz w:val="20"/>
      <w:szCs w:val="20"/>
    </w:rPr>
  </w:style>
  <w:style w:type="character" w:customStyle="1" w:styleId="FootnoteTextChar">
    <w:name w:val="Footnote Text Char"/>
    <w:basedOn w:val="DefaultParagraphFont"/>
    <w:link w:val="FootnoteText"/>
    <w:uiPriority w:val="99"/>
    <w:rsid w:val="00500F9B"/>
    <w:rPr>
      <w:sz w:val="20"/>
      <w:szCs w:val="20"/>
    </w:rPr>
  </w:style>
  <w:style w:type="character" w:styleId="FootnoteReference">
    <w:name w:val="footnote reference"/>
    <w:basedOn w:val="DefaultParagraphFont"/>
    <w:uiPriority w:val="99"/>
    <w:semiHidden/>
    <w:unhideWhenUsed/>
    <w:rsid w:val="00500F9B"/>
    <w:rPr>
      <w:vertAlign w:val="superscript"/>
    </w:rPr>
  </w:style>
  <w:style w:type="character" w:customStyle="1" w:styleId="Heading1Char">
    <w:name w:val="Heading 1 Char"/>
    <w:basedOn w:val="DefaultParagraphFont"/>
    <w:link w:val="Heading1"/>
    <w:rsid w:val="00BC6A20"/>
    <w:rPr>
      <w:rFonts w:eastAsiaTheme="majorEastAsia"/>
      <w:b/>
      <w:sz w:val="24"/>
      <w:szCs w:val="24"/>
      <w:u w:val="single"/>
    </w:rPr>
  </w:style>
  <w:style w:type="character" w:customStyle="1" w:styleId="Heading2Char">
    <w:name w:val="Heading 2 Char"/>
    <w:basedOn w:val="DefaultParagraphFont"/>
    <w:link w:val="Heading2"/>
    <w:rsid w:val="00593E8F"/>
    <w:rPr>
      <w:rFonts w:eastAsiaTheme="majorEastAsia" w:cstheme="majorBidi"/>
      <w:b/>
      <w:sz w:val="24"/>
      <w:szCs w:val="24"/>
      <w:u w:val="single"/>
    </w:rPr>
  </w:style>
  <w:style w:type="character" w:customStyle="1" w:styleId="Heading3Char">
    <w:name w:val="Heading 3 Char"/>
    <w:basedOn w:val="DefaultParagraphFont"/>
    <w:link w:val="Heading3"/>
    <w:rsid w:val="00593E8F"/>
    <w:rPr>
      <w:rFonts w:eastAsiaTheme="majorEastAsia" w:cstheme="majorBidi"/>
      <w:b/>
      <w:bCs/>
      <w:sz w:val="24"/>
      <w:szCs w:val="24"/>
    </w:rPr>
  </w:style>
  <w:style w:type="character" w:customStyle="1" w:styleId="Heading4Char">
    <w:name w:val="Heading 4 Char"/>
    <w:basedOn w:val="DefaultParagraphFont"/>
    <w:link w:val="Heading4"/>
    <w:rsid w:val="00E21C18"/>
    <w:rPr>
      <w:rFonts w:eastAsiaTheme="majorEastAsia" w:cstheme="majorBidi"/>
      <w:bCs/>
      <w:sz w:val="24"/>
      <w:szCs w:val="24"/>
    </w:rPr>
  </w:style>
  <w:style w:type="character" w:customStyle="1" w:styleId="Heading5Char">
    <w:name w:val="Heading 5 Char"/>
    <w:basedOn w:val="DefaultParagraphFont"/>
    <w:link w:val="Heading5"/>
    <w:rsid w:val="00976927"/>
    <w:rPr>
      <w:rFonts w:eastAsiaTheme="majorEastAsia" w:cstheme="majorBidi"/>
      <w:b/>
      <w:bCs/>
      <w:color w:val="0000FF"/>
      <w:sz w:val="24"/>
      <w:szCs w:val="24"/>
    </w:rPr>
  </w:style>
  <w:style w:type="character" w:customStyle="1" w:styleId="Heading6Char">
    <w:name w:val="Heading 6 Char"/>
    <w:basedOn w:val="DefaultParagraphFont"/>
    <w:link w:val="Heading6"/>
    <w:rsid w:val="00976927"/>
    <w:rPr>
      <w:rFonts w:eastAsiaTheme="majorEastAsia" w:cstheme="majorBidi"/>
      <w:b/>
      <w:bCs/>
      <w:sz w:val="24"/>
      <w:szCs w:val="24"/>
    </w:rPr>
  </w:style>
  <w:style w:type="character" w:customStyle="1" w:styleId="Heading7Char">
    <w:name w:val="Heading 7 Char"/>
    <w:basedOn w:val="DefaultParagraphFont"/>
    <w:link w:val="Heading7"/>
    <w:semiHidden/>
    <w:rsid w:val="00976927"/>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97692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976927"/>
    <w:rPr>
      <w:rFonts w:asciiTheme="majorHAnsi" w:eastAsiaTheme="majorEastAsia" w:hAnsiTheme="majorHAnsi" w:cstheme="majorBidi"/>
      <w:i/>
      <w:iCs/>
      <w:color w:val="404040" w:themeColor="text1" w:themeTint="BF"/>
    </w:rPr>
  </w:style>
  <w:style w:type="paragraph" w:styleId="Title">
    <w:name w:val="Title"/>
    <w:basedOn w:val="Normal"/>
    <w:link w:val="TitleChar"/>
    <w:qFormat/>
    <w:rsid w:val="00DF28EE"/>
    <w:pPr>
      <w:jc w:val="center"/>
    </w:pPr>
    <w:rPr>
      <w:rFonts w:eastAsiaTheme="majorEastAsia"/>
      <w:b/>
      <w:bCs/>
    </w:rPr>
  </w:style>
  <w:style w:type="character" w:customStyle="1" w:styleId="TitleChar">
    <w:name w:val="Title Char"/>
    <w:basedOn w:val="DefaultParagraphFont"/>
    <w:link w:val="Title"/>
    <w:rsid w:val="00DF28EE"/>
    <w:rPr>
      <w:rFonts w:eastAsiaTheme="majorEastAsia"/>
      <w:b/>
      <w:bCs/>
      <w:sz w:val="24"/>
      <w:szCs w:val="24"/>
    </w:rPr>
  </w:style>
  <w:style w:type="paragraph" w:styleId="Subtitle">
    <w:name w:val="Subtitle"/>
    <w:basedOn w:val="Normal"/>
    <w:next w:val="Normal"/>
    <w:link w:val="SubtitleChar"/>
    <w:qFormat/>
    <w:rsid w:val="00976927"/>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976927"/>
    <w:rPr>
      <w:rFonts w:asciiTheme="majorHAnsi" w:eastAsiaTheme="majorEastAsia" w:hAnsiTheme="majorHAnsi" w:cstheme="majorBidi"/>
      <w:i/>
      <w:iCs/>
      <w:color w:val="4F81BD" w:themeColor="accent1"/>
      <w:spacing w:val="15"/>
      <w:sz w:val="24"/>
      <w:szCs w:val="24"/>
    </w:rPr>
  </w:style>
  <w:style w:type="character" w:styleId="Strong">
    <w:name w:val="Strong"/>
    <w:qFormat/>
    <w:rsid w:val="00976927"/>
    <w:rPr>
      <w:b/>
      <w:bCs/>
    </w:rPr>
  </w:style>
  <w:style w:type="character" w:styleId="Emphasis">
    <w:name w:val="Emphasis"/>
    <w:qFormat/>
    <w:rsid w:val="00976927"/>
    <w:rPr>
      <w:i/>
      <w:iCs/>
    </w:rPr>
  </w:style>
  <w:style w:type="paragraph" w:styleId="NoSpacing">
    <w:name w:val="No Spacing"/>
    <w:basedOn w:val="Normal"/>
    <w:uiPriority w:val="1"/>
    <w:qFormat/>
    <w:rsid w:val="00976927"/>
  </w:style>
  <w:style w:type="paragraph" w:styleId="Quote">
    <w:name w:val="Quote"/>
    <w:basedOn w:val="Normal"/>
    <w:next w:val="Normal"/>
    <w:link w:val="QuoteChar"/>
    <w:uiPriority w:val="29"/>
    <w:qFormat/>
    <w:rsid w:val="00976927"/>
    <w:rPr>
      <w:i/>
      <w:iCs/>
      <w:color w:val="000000" w:themeColor="text1"/>
    </w:rPr>
  </w:style>
  <w:style w:type="character" w:customStyle="1" w:styleId="QuoteChar">
    <w:name w:val="Quote Char"/>
    <w:basedOn w:val="DefaultParagraphFont"/>
    <w:link w:val="Quote"/>
    <w:uiPriority w:val="29"/>
    <w:rsid w:val="00976927"/>
    <w:rPr>
      <w:i/>
      <w:iCs/>
      <w:color w:val="000000" w:themeColor="text1"/>
      <w:sz w:val="24"/>
      <w:szCs w:val="24"/>
    </w:rPr>
  </w:style>
  <w:style w:type="paragraph" w:styleId="IntenseQuote">
    <w:name w:val="Intense Quote"/>
    <w:basedOn w:val="Normal"/>
    <w:next w:val="Normal"/>
    <w:link w:val="IntenseQuoteChar"/>
    <w:uiPriority w:val="30"/>
    <w:qFormat/>
    <w:rsid w:val="0097692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76927"/>
    <w:rPr>
      <w:b/>
      <w:bCs/>
      <w:i/>
      <w:iCs/>
      <w:color w:val="4F81BD" w:themeColor="accent1"/>
      <w:sz w:val="24"/>
      <w:szCs w:val="24"/>
    </w:rPr>
  </w:style>
  <w:style w:type="character" w:styleId="SubtleEmphasis">
    <w:name w:val="Subtle Emphasis"/>
    <w:uiPriority w:val="19"/>
    <w:qFormat/>
    <w:rsid w:val="00976927"/>
    <w:rPr>
      <w:i/>
      <w:iCs/>
      <w:color w:val="808080" w:themeColor="text1" w:themeTint="7F"/>
    </w:rPr>
  </w:style>
  <w:style w:type="character" w:styleId="IntenseEmphasis">
    <w:name w:val="Intense Emphasis"/>
    <w:uiPriority w:val="21"/>
    <w:qFormat/>
    <w:rsid w:val="00976927"/>
    <w:rPr>
      <w:b/>
      <w:bCs/>
      <w:i/>
      <w:iCs/>
      <w:color w:val="4F81BD" w:themeColor="accent1"/>
    </w:rPr>
  </w:style>
  <w:style w:type="character" w:styleId="SubtleReference">
    <w:name w:val="Subtle Reference"/>
    <w:uiPriority w:val="31"/>
    <w:qFormat/>
    <w:rsid w:val="00976927"/>
    <w:rPr>
      <w:smallCaps/>
      <w:color w:val="C0504D" w:themeColor="accent2"/>
      <w:u w:val="single"/>
    </w:rPr>
  </w:style>
  <w:style w:type="character" w:styleId="IntenseReference">
    <w:name w:val="Intense Reference"/>
    <w:uiPriority w:val="32"/>
    <w:qFormat/>
    <w:rsid w:val="00976927"/>
    <w:rPr>
      <w:b/>
      <w:bCs/>
      <w:smallCaps/>
      <w:color w:val="C0504D" w:themeColor="accent2"/>
      <w:spacing w:val="5"/>
      <w:u w:val="single"/>
    </w:rPr>
  </w:style>
  <w:style w:type="character" w:styleId="BookTitle">
    <w:name w:val="Book Title"/>
    <w:uiPriority w:val="33"/>
    <w:qFormat/>
    <w:rsid w:val="00976927"/>
    <w:rPr>
      <w:b/>
      <w:bCs/>
      <w:smallCaps/>
      <w:spacing w:val="5"/>
    </w:rPr>
  </w:style>
  <w:style w:type="paragraph" w:styleId="TOCHeading">
    <w:name w:val="TOC Heading"/>
    <w:basedOn w:val="Heading1"/>
    <w:next w:val="Normal"/>
    <w:uiPriority w:val="39"/>
    <w:unhideWhenUsed/>
    <w:qFormat/>
    <w:rsid w:val="00976927"/>
    <w:pPr>
      <w:keepNext/>
      <w:keepLines/>
      <w:numPr>
        <w:numId w:val="0"/>
      </w:numPr>
      <w:spacing w:before="480" w:line="276" w:lineRule="auto"/>
      <w:outlineLvl w:val="9"/>
    </w:pPr>
    <w:rPr>
      <w:rFonts w:asciiTheme="majorHAnsi" w:hAnsiTheme="majorHAnsi"/>
      <w:bCs/>
      <w:color w:val="365F91" w:themeColor="accent1" w:themeShade="BF"/>
      <w:sz w:val="28"/>
      <w:szCs w:val="28"/>
    </w:rPr>
  </w:style>
  <w:style w:type="paragraph" w:styleId="BalloonText">
    <w:name w:val="Balloon Text"/>
    <w:basedOn w:val="Normal"/>
    <w:link w:val="BalloonTextChar"/>
    <w:uiPriority w:val="99"/>
    <w:semiHidden/>
    <w:unhideWhenUsed/>
    <w:rsid w:val="0075173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731"/>
    <w:rPr>
      <w:rFonts w:ascii="Tahoma" w:hAnsi="Tahoma" w:cs="Tahoma"/>
      <w:sz w:val="16"/>
      <w:szCs w:val="16"/>
    </w:rPr>
  </w:style>
  <w:style w:type="character" w:styleId="CommentReference">
    <w:name w:val="annotation reference"/>
    <w:basedOn w:val="DefaultParagraphFont"/>
    <w:uiPriority w:val="99"/>
    <w:semiHidden/>
    <w:unhideWhenUsed/>
    <w:rsid w:val="006557B8"/>
    <w:rPr>
      <w:sz w:val="16"/>
      <w:szCs w:val="16"/>
    </w:rPr>
  </w:style>
  <w:style w:type="paragraph" w:styleId="CommentText">
    <w:name w:val="annotation text"/>
    <w:basedOn w:val="Normal"/>
    <w:link w:val="CommentTextChar"/>
    <w:uiPriority w:val="99"/>
    <w:semiHidden/>
    <w:unhideWhenUsed/>
    <w:rsid w:val="006557B8"/>
    <w:rPr>
      <w:sz w:val="20"/>
      <w:szCs w:val="20"/>
    </w:rPr>
  </w:style>
  <w:style w:type="character" w:customStyle="1" w:styleId="CommentTextChar">
    <w:name w:val="Comment Text Char"/>
    <w:basedOn w:val="DefaultParagraphFont"/>
    <w:link w:val="CommentText"/>
    <w:uiPriority w:val="99"/>
    <w:semiHidden/>
    <w:rsid w:val="006557B8"/>
  </w:style>
  <w:style w:type="paragraph" w:styleId="CommentSubject">
    <w:name w:val="annotation subject"/>
    <w:basedOn w:val="CommentText"/>
    <w:next w:val="CommentText"/>
    <w:link w:val="CommentSubjectChar"/>
    <w:uiPriority w:val="99"/>
    <w:semiHidden/>
    <w:unhideWhenUsed/>
    <w:rsid w:val="006557B8"/>
    <w:rPr>
      <w:b/>
      <w:bCs/>
    </w:rPr>
  </w:style>
  <w:style w:type="character" w:customStyle="1" w:styleId="CommentSubjectChar">
    <w:name w:val="Comment Subject Char"/>
    <w:basedOn w:val="CommentTextChar"/>
    <w:link w:val="CommentSubject"/>
    <w:uiPriority w:val="99"/>
    <w:semiHidden/>
    <w:rsid w:val="006557B8"/>
    <w:rPr>
      <w:b/>
      <w:bCs/>
    </w:rPr>
  </w:style>
  <w:style w:type="table" w:customStyle="1" w:styleId="TableGrid1">
    <w:name w:val="Table Grid1"/>
    <w:basedOn w:val="TableNormal"/>
    <w:next w:val="TableGrid"/>
    <w:rsid w:val="00D414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8175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DA01B1"/>
    <w:rPr>
      <w:color w:val="0000FF"/>
      <w:u w:val="single"/>
    </w:rPr>
  </w:style>
  <w:style w:type="paragraph" w:styleId="PlainText">
    <w:name w:val="Plain Text"/>
    <w:basedOn w:val="Normal"/>
    <w:link w:val="PlainTextChar"/>
    <w:uiPriority w:val="99"/>
    <w:unhideWhenUsed/>
    <w:rsid w:val="00DA01B1"/>
    <w:pPr>
      <w:spacing w:before="0" w:after="0"/>
    </w:pPr>
    <w:rPr>
      <w:rFonts w:ascii="Consolas" w:eastAsia="Calibri" w:hAnsi="Consolas"/>
      <w:sz w:val="21"/>
      <w:szCs w:val="21"/>
    </w:rPr>
  </w:style>
  <w:style w:type="character" w:customStyle="1" w:styleId="PlainTextChar">
    <w:name w:val="Plain Text Char"/>
    <w:basedOn w:val="DefaultParagraphFont"/>
    <w:link w:val="PlainText"/>
    <w:uiPriority w:val="99"/>
    <w:rsid w:val="00DA01B1"/>
    <w:rPr>
      <w:rFonts w:ascii="Consolas" w:eastAsia="Calibri" w:hAnsi="Consolas"/>
      <w:sz w:val="21"/>
      <w:szCs w:val="21"/>
    </w:rPr>
  </w:style>
  <w:style w:type="paragraph" w:customStyle="1" w:styleId="Default">
    <w:name w:val="Default"/>
    <w:rsid w:val="00DA01B1"/>
    <w:pPr>
      <w:autoSpaceDE w:val="0"/>
      <w:autoSpaceDN w:val="0"/>
      <w:adjustRightInd w:val="0"/>
    </w:pPr>
    <w:rPr>
      <w:color w:val="000000"/>
      <w:sz w:val="24"/>
      <w:szCs w:val="24"/>
    </w:rPr>
  </w:style>
  <w:style w:type="paragraph" w:styleId="Revision">
    <w:name w:val="Revision"/>
    <w:hidden/>
    <w:uiPriority w:val="99"/>
    <w:semiHidden/>
    <w:rsid w:val="009905BE"/>
    <w:rPr>
      <w:sz w:val="24"/>
      <w:szCs w:val="24"/>
    </w:rPr>
  </w:style>
  <w:style w:type="character" w:styleId="FollowedHyperlink">
    <w:name w:val="FollowedHyperlink"/>
    <w:basedOn w:val="DefaultParagraphFont"/>
    <w:uiPriority w:val="99"/>
    <w:semiHidden/>
    <w:unhideWhenUsed/>
    <w:rsid w:val="0004693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0A5"/>
    <w:pPr>
      <w:spacing w:before="120" w:after="120"/>
    </w:pPr>
    <w:rPr>
      <w:sz w:val="24"/>
      <w:szCs w:val="24"/>
    </w:rPr>
  </w:style>
  <w:style w:type="paragraph" w:styleId="Heading1">
    <w:name w:val="heading 1"/>
    <w:basedOn w:val="Normal"/>
    <w:next w:val="Normal"/>
    <w:link w:val="Heading1Char"/>
    <w:qFormat/>
    <w:rsid w:val="00BC6A20"/>
    <w:pPr>
      <w:numPr>
        <w:numId w:val="10"/>
      </w:numPr>
      <w:outlineLvl w:val="0"/>
    </w:pPr>
    <w:rPr>
      <w:rFonts w:eastAsiaTheme="majorEastAsia"/>
      <w:b/>
      <w:u w:val="single"/>
    </w:rPr>
  </w:style>
  <w:style w:type="paragraph" w:styleId="Heading2">
    <w:name w:val="heading 2"/>
    <w:basedOn w:val="Normal"/>
    <w:next w:val="Normal"/>
    <w:link w:val="Heading2Char"/>
    <w:qFormat/>
    <w:rsid w:val="00593E8F"/>
    <w:pPr>
      <w:keepNext/>
      <w:spacing w:before="480" w:after="240"/>
      <w:jc w:val="center"/>
      <w:outlineLvl w:val="1"/>
    </w:pPr>
    <w:rPr>
      <w:rFonts w:eastAsiaTheme="majorEastAsia" w:cstheme="majorBidi"/>
      <w:b/>
      <w:u w:val="single"/>
    </w:rPr>
  </w:style>
  <w:style w:type="paragraph" w:styleId="Heading3">
    <w:name w:val="heading 3"/>
    <w:basedOn w:val="Normal"/>
    <w:next w:val="Normal"/>
    <w:link w:val="Heading3Char"/>
    <w:qFormat/>
    <w:rsid w:val="00593E8F"/>
    <w:pPr>
      <w:tabs>
        <w:tab w:val="left" w:pos="-1440"/>
      </w:tabs>
      <w:spacing w:before="360" w:after="240"/>
      <w:ind w:left="720" w:hanging="720"/>
      <w:outlineLvl w:val="2"/>
    </w:pPr>
    <w:rPr>
      <w:rFonts w:eastAsiaTheme="majorEastAsia" w:cstheme="majorBidi"/>
      <w:b/>
      <w:bCs/>
    </w:rPr>
  </w:style>
  <w:style w:type="paragraph" w:styleId="Heading4">
    <w:name w:val="heading 4"/>
    <w:basedOn w:val="Normal"/>
    <w:next w:val="Normal"/>
    <w:link w:val="Heading4Char"/>
    <w:uiPriority w:val="9"/>
    <w:qFormat/>
    <w:rsid w:val="00E21C18"/>
    <w:pPr>
      <w:keepNext/>
      <w:spacing w:before="240"/>
      <w:jc w:val="center"/>
      <w:outlineLvl w:val="3"/>
    </w:pPr>
    <w:rPr>
      <w:rFonts w:eastAsiaTheme="majorEastAsia" w:cstheme="majorBidi"/>
      <w:bCs/>
    </w:rPr>
  </w:style>
  <w:style w:type="paragraph" w:styleId="Heading5">
    <w:name w:val="heading 5"/>
    <w:basedOn w:val="Normal"/>
    <w:next w:val="Normal"/>
    <w:link w:val="Heading5Char"/>
    <w:qFormat/>
    <w:rsid w:val="00976927"/>
    <w:pPr>
      <w:keepNext/>
      <w:outlineLvl w:val="4"/>
    </w:pPr>
    <w:rPr>
      <w:rFonts w:eastAsiaTheme="majorEastAsia" w:cstheme="majorBidi"/>
      <w:b/>
      <w:bCs/>
      <w:color w:val="0000FF"/>
    </w:rPr>
  </w:style>
  <w:style w:type="paragraph" w:styleId="Heading6">
    <w:name w:val="heading 6"/>
    <w:basedOn w:val="Normal"/>
    <w:next w:val="Normal"/>
    <w:link w:val="Heading6Char"/>
    <w:qFormat/>
    <w:rsid w:val="00976927"/>
    <w:pPr>
      <w:keepNext/>
      <w:jc w:val="center"/>
      <w:outlineLvl w:val="5"/>
    </w:pPr>
    <w:rPr>
      <w:rFonts w:eastAsiaTheme="majorEastAsia" w:cstheme="majorBidi"/>
      <w:b/>
      <w:bCs/>
    </w:rPr>
  </w:style>
  <w:style w:type="paragraph" w:styleId="Heading7">
    <w:name w:val="heading 7"/>
    <w:basedOn w:val="Normal"/>
    <w:next w:val="Normal"/>
    <w:link w:val="Heading7Char"/>
    <w:semiHidden/>
    <w:unhideWhenUsed/>
    <w:qFormat/>
    <w:rsid w:val="0097692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7692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97692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927"/>
    <w:pPr>
      <w:ind w:left="720"/>
    </w:pPr>
  </w:style>
  <w:style w:type="table" w:styleId="TableGrid">
    <w:name w:val="Table Grid"/>
    <w:basedOn w:val="TableNormal"/>
    <w:uiPriority w:val="59"/>
    <w:rsid w:val="00D4765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2663D"/>
    <w:pPr>
      <w:tabs>
        <w:tab w:val="center" w:pos="4680"/>
        <w:tab w:val="right" w:pos="9360"/>
      </w:tabs>
      <w:spacing w:after="0"/>
    </w:pPr>
  </w:style>
  <w:style w:type="character" w:customStyle="1" w:styleId="HeaderChar">
    <w:name w:val="Header Char"/>
    <w:basedOn w:val="DefaultParagraphFont"/>
    <w:link w:val="Header"/>
    <w:uiPriority w:val="99"/>
    <w:rsid w:val="0042663D"/>
  </w:style>
  <w:style w:type="paragraph" w:styleId="Footer">
    <w:name w:val="footer"/>
    <w:basedOn w:val="Normal"/>
    <w:link w:val="FooterChar"/>
    <w:uiPriority w:val="99"/>
    <w:unhideWhenUsed/>
    <w:rsid w:val="0042663D"/>
    <w:pPr>
      <w:tabs>
        <w:tab w:val="center" w:pos="4680"/>
        <w:tab w:val="right" w:pos="9360"/>
      </w:tabs>
      <w:spacing w:after="0"/>
    </w:pPr>
  </w:style>
  <w:style w:type="character" w:customStyle="1" w:styleId="FooterChar">
    <w:name w:val="Footer Char"/>
    <w:basedOn w:val="DefaultParagraphFont"/>
    <w:link w:val="Footer"/>
    <w:uiPriority w:val="99"/>
    <w:rsid w:val="0042663D"/>
  </w:style>
  <w:style w:type="paragraph" w:styleId="FootnoteText">
    <w:name w:val="footnote text"/>
    <w:basedOn w:val="Normal"/>
    <w:link w:val="FootnoteTextChar"/>
    <w:uiPriority w:val="99"/>
    <w:unhideWhenUsed/>
    <w:rsid w:val="00500F9B"/>
    <w:pPr>
      <w:spacing w:after="0"/>
    </w:pPr>
    <w:rPr>
      <w:sz w:val="20"/>
      <w:szCs w:val="20"/>
    </w:rPr>
  </w:style>
  <w:style w:type="character" w:customStyle="1" w:styleId="FootnoteTextChar">
    <w:name w:val="Footnote Text Char"/>
    <w:basedOn w:val="DefaultParagraphFont"/>
    <w:link w:val="FootnoteText"/>
    <w:uiPriority w:val="99"/>
    <w:rsid w:val="00500F9B"/>
    <w:rPr>
      <w:sz w:val="20"/>
      <w:szCs w:val="20"/>
    </w:rPr>
  </w:style>
  <w:style w:type="character" w:styleId="FootnoteReference">
    <w:name w:val="footnote reference"/>
    <w:basedOn w:val="DefaultParagraphFont"/>
    <w:uiPriority w:val="99"/>
    <w:semiHidden/>
    <w:unhideWhenUsed/>
    <w:rsid w:val="00500F9B"/>
    <w:rPr>
      <w:vertAlign w:val="superscript"/>
    </w:rPr>
  </w:style>
  <w:style w:type="character" w:customStyle="1" w:styleId="Heading1Char">
    <w:name w:val="Heading 1 Char"/>
    <w:basedOn w:val="DefaultParagraphFont"/>
    <w:link w:val="Heading1"/>
    <w:rsid w:val="00BC6A20"/>
    <w:rPr>
      <w:rFonts w:eastAsiaTheme="majorEastAsia"/>
      <w:b/>
      <w:sz w:val="24"/>
      <w:szCs w:val="24"/>
      <w:u w:val="single"/>
    </w:rPr>
  </w:style>
  <w:style w:type="character" w:customStyle="1" w:styleId="Heading2Char">
    <w:name w:val="Heading 2 Char"/>
    <w:basedOn w:val="DefaultParagraphFont"/>
    <w:link w:val="Heading2"/>
    <w:rsid w:val="00593E8F"/>
    <w:rPr>
      <w:rFonts w:eastAsiaTheme="majorEastAsia" w:cstheme="majorBidi"/>
      <w:b/>
      <w:sz w:val="24"/>
      <w:szCs w:val="24"/>
      <w:u w:val="single"/>
    </w:rPr>
  </w:style>
  <w:style w:type="character" w:customStyle="1" w:styleId="Heading3Char">
    <w:name w:val="Heading 3 Char"/>
    <w:basedOn w:val="DefaultParagraphFont"/>
    <w:link w:val="Heading3"/>
    <w:rsid w:val="00593E8F"/>
    <w:rPr>
      <w:rFonts w:eastAsiaTheme="majorEastAsia" w:cstheme="majorBidi"/>
      <w:b/>
      <w:bCs/>
      <w:sz w:val="24"/>
      <w:szCs w:val="24"/>
    </w:rPr>
  </w:style>
  <w:style w:type="character" w:customStyle="1" w:styleId="Heading4Char">
    <w:name w:val="Heading 4 Char"/>
    <w:basedOn w:val="DefaultParagraphFont"/>
    <w:link w:val="Heading4"/>
    <w:rsid w:val="00E21C18"/>
    <w:rPr>
      <w:rFonts w:eastAsiaTheme="majorEastAsia" w:cstheme="majorBidi"/>
      <w:bCs/>
      <w:sz w:val="24"/>
      <w:szCs w:val="24"/>
    </w:rPr>
  </w:style>
  <w:style w:type="character" w:customStyle="1" w:styleId="Heading5Char">
    <w:name w:val="Heading 5 Char"/>
    <w:basedOn w:val="DefaultParagraphFont"/>
    <w:link w:val="Heading5"/>
    <w:rsid w:val="00976927"/>
    <w:rPr>
      <w:rFonts w:eastAsiaTheme="majorEastAsia" w:cstheme="majorBidi"/>
      <w:b/>
      <w:bCs/>
      <w:color w:val="0000FF"/>
      <w:sz w:val="24"/>
      <w:szCs w:val="24"/>
    </w:rPr>
  </w:style>
  <w:style w:type="character" w:customStyle="1" w:styleId="Heading6Char">
    <w:name w:val="Heading 6 Char"/>
    <w:basedOn w:val="DefaultParagraphFont"/>
    <w:link w:val="Heading6"/>
    <w:rsid w:val="00976927"/>
    <w:rPr>
      <w:rFonts w:eastAsiaTheme="majorEastAsia" w:cstheme="majorBidi"/>
      <w:b/>
      <w:bCs/>
      <w:sz w:val="24"/>
      <w:szCs w:val="24"/>
    </w:rPr>
  </w:style>
  <w:style w:type="character" w:customStyle="1" w:styleId="Heading7Char">
    <w:name w:val="Heading 7 Char"/>
    <w:basedOn w:val="DefaultParagraphFont"/>
    <w:link w:val="Heading7"/>
    <w:semiHidden/>
    <w:rsid w:val="00976927"/>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97692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976927"/>
    <w:rPr>
      <w:rFonts w:asciiTheme="majorHAnsi" w:eastAsiaTheme="majorEastAsia" w:hAnsiTheme="majorHAnsi" w:cstheme="majorBidi"/>
      <w:i/>
      <w:iCs/>
      <w:color w:val="404040" w:themeColor="text1" w:themeTint="BF"/>
    </w:rPr>
  </w:style>
  <w:style w:type="paragraph" w:styleId="Title">
    <w:name w:val="Title"/>
    <w:basedOn w:val="Normal"/>
    <w:link w:val="TitleChar"/>
    <w:qFormat/>
    <w:rsid w:val="00DF28EE"/>
    <w:pPr>
      <w:jc w:val="center"/>
    </w:pPr>
    <w:rPr>
      <w:rFonts w:eastAsiaTheme="majorEastAsia"/>
      <w:b/>
      <w:bCs/>
    </w:rPr>
  </w:style>
  <w:style w:type="character" w:customStyle="1" w:styleId="TitleChar">
    <w:name w:val="Title Char"/>
    <w:basedOn w:val="DefaultParagraphFont"/>
    <w:link w:val="Title"/>
    <w:rsid w:val="00DF28EE"/>
    <w:rPr>
      <w:rFonts w:eastAsiaTheme="majorEastAsia"/>
      <w:b/>
      <w:bCs/>
      <w:sz w:val="24"/>
      <w:szCs w:val="24"/>
    </w:rPr>
  </w:style>
  <w:style w:type="paragraph" w:styleId="Subtitle">
    <w:name w:val="Subtitle"/>
    <w:basedOn w:val="Normal"/>
    <w:next w:val="Normal"/>
    <w:link w:val="SubtitleChar"/>
    <w:qFormat/>
    <w:rsid w:val="00976927"/>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976927"/>
    <w:rPr>
      <w:rFonts w:asciiTheme="majorHAnsi" w:eastAsiaTheme="majorEastAsia" w:hAnsiTheme="majorHAnsi" w:cstheme="majorBidi"/>
      <w:i/>
      <w:iCs/>
      <w:color w:val="4F81BD" w:themeColor="accent1"/>
      <w:spacing w:val="15"/>
      <w:sz w:val="24"/>
      <w:szCs w:val="24"/>
    </w:rPr>
  </w:style>
  <w:style w:type="character" w:styleId="Strong">
    <w:name w:val="Strong"/>
    <w:qFormat/>
    <w:rsid w:val="00976927"/>
    <w:rPr>
      <w:b/>
      <w:bCs/>
    </w:rPr>
  </w:style>
  <w:style w:type="character" w:styleId="Emphasis">
    <w:name w:val="Emphasis"/>
    <w:qFormat/>
    <w:rsid w:val="00976927"/>
    <w:rPr>
      <w:i/>
      <w:iCs/>
    </w:rPr>
  </w:style>
  <w:style w:type="paragraph" w:styleId="NoSpacing">
    <w:name w:val="No Spacing"/>
    <w:basedOn w:val="Normal"/>
    <w:uiPriority w:val="1"/>
    <w:qFormat/>
    <w:rsid w:val="00976927"/>
  </w:style>
  <w:style w:type="paragraph" w:styleId="Quote">
    <w:name w:val="Quote"/>
    <w:basedOn w:val="Normal"/>
    <w:next w:val="Normal"/>
    <w:link w:val="QuoteChar"/>
    <w:uiPriority w:val="29"/>
    <w:qFormat/>
    <w:rsid w:val="00976927"/>
    <w:rPr>
      <w:i/>
      <w:iCs/>
      <w:color w:val="000000" w:themeColor="text1"/>
    </w:rPr>
  </w:style>
  <w:style w:type="character" w:customStyle="1" w:styleId="QuoteChar">
    <w:name w:val="Quote Char"/>
    <w:basedOn w:val="DefaultParagraphFont"/>
    <w:link w:val="Quote"/>
    <w:uiPriority w:val="29"/>
    <w:rsid w:val="00976927"/>
    <w:rPr>
      <w:i/>
      <w:iCs/>
      <w:color w:val="000000" w:themeColor="text1"/>
      <w:sz w:val="24"/>
      <w:szCs w:val="24"/>
    </w:rPr>
  </w:style>
  <w:style w:type="paragraph" w:styleId="IntenseQuote">
    <w:name w:val="Intense Quote"/>
    <w:basedOn w:val="Normal"/>
    <w:next w:val="Normal"/>
    <w:link w:val="IntenseQuoteChar"/>
    <w:uiPriority w:val="30"/>
    <w:qFormat/>
    <w:rsid w:val="0097692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76927"/>
    <w:rPr>
      <w:b/>
      <w:bCs/>
      <w:i/>
      <w:iCs/>
      <w:color w:val="4F81BD" w:themeColor="accent1"/>
      <w:sz w:val="24"/>
      <w:szCs w:val="24"/>
    </w:rPr>
  </w:style>
  <w:style w:type="character" w:styleId="SubtleEmphasis">
    <w:name w:val="Subtle Emphasis"/>
    <w:uiPriority w:val="19"/>
    <w:qFormat/>
    <w:rsid w:val="00976927"/>
    <w:rPr>
      <w:i/>
      <w:iCs/>
      <w:color w:val="808080" w:themeColor="text1" w:themeTint="7F"/>
    </w:rPr>
  </w:style>
  <w:style w:type="character" w:styleId="IntenseEmphasis">
    <w:name w:val="Intense Emphasis"/>
    <w:uiPriority w:val="21"/>
    <w:qFormat/>
    <w:rsid w:val="00976927"/>
    <w:rPr>
      <w:b/>
      <w:bCs/>
      <w:i/>
      <w:iCs/>
      <w:color w:val="4F81BD" w:themeColor="accent1"/>
    </w:rPr>
  </w:style>
  <w:style w:type="character" w:styleId="SubtleReference">
    <w:name w:val="Subtle Reference"/>
    <w:uiPriority w:val="31"/>
    <w:qFormat/>
    <w:rsid w:val="00976927"/>
    <w:rPr>
      <w:smallCaps/>
      <w:color w:val="C0504D" w:themeColor="accent2"/>
      <w:u w:val="single"/>
    </w:rPr>
  </w:style>
  <w:style w:type="character" w:styleId="IntenseReference">
    <w:name w:val="Intense Reference"/>
    <w:uiPriority w:val="32"/>
    <w:qFormat/>
    <w:rsid w:val="00976927"/>
    <w:rPr>
      <w:b/>
      <w:bCs/>
      <w:smallCaps/>
      <w:color w:val="C0504D" w:themeColor="accent2"/>
      <w:spacing w:val="5"/>
      <w:u w:val="single"/>
    </w:rPr>
  </w:style>
  <w:style w:type="character" w:styleId="BookTitle">
    <w:name w:val="Book Title"/>
    <w:uiPriority w:val="33"/>
    <w:qFormat/>
    <w:rsid w:val="00976927"/>
    <w:rPr>
      <w:b/>
      <w:bCs/>
      <w:smallCaps/>
      <w:spacing w:val="5"/>
    </w:rPr>
  </w:style>
  <w:style w:type="paragraph" w:styleId="TOCHeading">
    <w:name w:val="TOC Heading"/>
    <w:basedOn w:val="Heading1"/>
    <w:next w:val="Normal"/>
    <w:uiPriority w:val="39"/>
    <w:unhideWhenUsed/>
    <w:qFormat/>
    <w:rsid w:val="00976927"/>
    <w:pPr>
      <w:keepNext/>
      <w:keepLines/>
      <w:numPr>
        <w:numId w:val="0"/>
      </w:numPr>
      <w:spacing w:before="480" w:line="276" w:lineRule="auto"/>
      <w:outlineLvl w:val="9"/>
    </w:pPr>
    <w:rPr>
      <w:rFonts w:asciiTheme="majorHAnsi" w:hAnsiTheme="majorHAnsi"/>
      <w:bCs/>
      <w:color w:val="365F91" w:themeColor="accent1" w:themeShade="BF"/>
      <w:sz w:val="28"/>
      <w:szCs w:val="28"/>
    </w:rPr>
  </w:style>
  <w:style w:type="paragraph" w:styleId="BalloonText">
    <w:name w:val="Balloon Text"/>
    <w:basedOn w:val="Normal"/>
    <w:link w:val="BalloonTextChar"/>
    <w:uiPriority w:val="99"/>
    <w:semiHidden/>
    <w:unhideWhenUsed/>
    <w:rsid w:val="0075173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731"/>
    <w:rPr>
      <w:rFonts w:ascii="Tahoma" w:hAnsi="Tahoma" w:cs="Tahoma"/>
      <w:sz w:val="16"/>
      <w:szCs w:val="16"/>
    </w:rPr>
  </w:style>
  <w:style w:type="character" w:styleId="CommentReference">
    <w:name w:val="annotation reference"/>
    <w:basedOn w:val="DefaultParagraphFont"/>
    <w:uiPriority w:val="99"/>
    <w:semiHidden/>
    <w:unhideWhenUsed/>
    <w:rsid w:val="006557B8"/>
    <w:rPr>
      <w:sz w:val="16"/>
      <w:szCs w:val="16"/>
    </w:rPr>
  </w:style>
  <w:style w:type="paragraph" w:styleId="CommentText">
    <w:name w:val="annotation text"/>
    <w:basedOn w:val="Normal"/>
    <w:link w:val="CommentTextChar"/>
    <w:uiPriority w:val="99"/>
    <w:semiHidden/>
    <w:unhideWhenUsed/>
    <w:rsid w:val="006557B8"/>
    <w:rPr>
      <w:sz w:val="20"/>
      <w:szCs w:val="20"/>
    </w:rPr>
  </w:style>
  <w:style w:type="character" w:customStyle="1" w:styleId="CommentTextChar">
    <w:name w:val="Comment Text Char"/>
    <w:basedOn w:val="DefaultParagraphFont"/>
    <w:link w:val="CommentText"/>
    <w:uiPriority w:val="99"/>
    <w:semiHidden/>
    <w:rsid w:val="006557B8"/>
  </w:style>
  <w:style w:type="paragraph" w:styleId="CommentSubject">
    <w:name w:val="annotation subject"/>
    <w:basedOn w:val="CommentText"/>
    <w:next w:val="CommentText"/>
    <w:link w:val="CommentSubjectChar"/>
    <w:uiPriority w:val="99"/>
    <w:semiHidden/>
    <w:unhideWhenUsed/>
    <w:rsid w:val="006557B8"/>
    <w:rPr>
      <w:b/>
      <w:bCs/>
    </w:rPr>
  </w:style>
  <w:style w:type="character" w:customStyle="1" w:styleId="CommentSubjectChar">
    <w:name w:val="Comment Subject Char"/>
    <w:basedOn w:val="CommentTextChar"/>
    <w:link w:val="CommentSubject"/>
    <w:uiPriority w:val="99"/>
    <w:semiHidden/>
    <w:rsid w:val="006557B8"/>
    <w:rPr>
      <w:b/>
      <w:bCs/>
    </w:rPr>
  </w:style>
  <w:style w:type="table" w:customStyle="1" w:styleId="TableGrid1">
    <w:name w:val="Table Grid1"/>
    <w:basedOn w:val="TableNormal"/>
    <w:next w:val="TableGrid"/>
    <w:rsid w:val="00D414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8175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DA01B1"/>
    <w:rPr>
      <w:color w:val="0000FF"/>
      <w:u w:val="single"/>
    </w:rPr>
  </w:style>
  <w:style w:type="paragraph" w:styleId="PlainText">
    <w:name w:val="Plain Text"/>
    <w:basedOn w:val="Normal"/>
    <w:link w:val="PlainTextChar"/>
    <w:uiPriority w:val="99"/>
    <w:unhideWhenUsed/>
    <w:rsid w:val="00DA01B1"/>
    <w:pPr>
      <w:spacing w:before="0" w:after="0"/>
    </w:pPr>
    <w:rPr>
      <w:rFonts w:ascii="Consolas" w:eastAsia="Calibri" w:hAnsi="Consolas"/>
      <w:sz w:val="21"/>
      <w:szCs w:val="21"/>
    </w:rPr>
  </w:style>
  <w:style w:type="character" w:customStyle="1" w:styleId="PlainTextChar">
    <w:name w:val="Plain Text Char"/>
    <w:basedOn w:val="DefaultParagraphFont"/>
    <w:link w:val="PlainText"/>
    <w:uiPriority w:val="99"/>
    <w:rsid w:val="00DA01B1"/>
    <w:rPr>
      <w:rFonts w:ascii="Consolas" w:eastAsia="Calibri" w:hAnsi="Consolas"/>
      <w:sz w:val="21"/>
      <w:szCs w:val="21"/>
    </w:rPr>
  </w:style>
  <w:style w:type="paragraph" w:customStyle="1" w:styleId="Default">
    <w:name w:val="Default"/>
    <w:rsid w:val="00DA01B1"/>
    <w:pPr>
      <w:autoSpaceDE w:val="0"/>
      <w:autoSpaceDN w:val="0"/>
      <w:adjustRightInd w:val="0"/>
    </w:pPr>
    <w:rPr>
      <w:color w:val="000000"/>
      <w:sz w:val="24"/>
      <w:szCs w:val="24"/>
    </w:rPr>
  </w:style>
  <w:style w:type="paragraph" w:styleId="Revision">
    <w:name w:val="Revision"/>
    <w:hidden/>
    <w:uiPriority w:val="99"/>
    <w:semiHidden/>
    <w:rsid w:val="009905BE"/>
    <w:rPr>
      <w:sz w:val="24"/>
      <w:szCs w:val="24"/>
    </w:rPr>
  </w:style>
  <w:style w:type="character" w:styleId="FollowedHyperlink">
    <w:name w:val="FollowedHyperlink"/>
    <w:basedOn w:val="DefaultParagraphFont"/>
    <w:uiPriority w:val="99"/>
    <w:semiHidden/>
    <w:unhideWhenUsed/>
    <w:rsid w:val="000469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271497">
      <w:bodyDiv w:val="1"/>
      <w:marLeft w:val="0"/>
      <w:marRight w:val="0"/>
      <w:marTop w:val="0"/>
      <w:marBottom w:val="0"/>
      <w:divBdr>
        <w:top w:val="none" w:sz="0" w:space="0" w:color="auto"/>
        <w:left w:val="none" w:sz="0" w:space="0" w:color="auto"/>
        <w:bottom w:val="none" w:sz="0" w:space="0" w:color="auto"/>
        <w:right w:val="none" w:sz="0" w:space="0" w:color="auto"/>
      </w:divBdr>
    </w:div>
    <w:div w:id="1302228442">
      <w:bodyDiv w:val="1"/>
      <w:marLeft w:val="0"/>
      <w:marRight w:val="0"/>
      <w:marTop w:val="0"/>
      <w:marBottom w:val="0"/>
      <w:divBdr>
        <w:top w:val="none" w:sz="0" w:space="0" w:color="auto"/>
        <w:left w:val="none" w:sz="0" w:space="0" w:color="auto"/>
        <w:bottom w:val="none" w:sz="0" w:space="0" w:color="auto"/>
        <w:right w:val="none" w:sz="0" w:space="0" w:color="auto"/>
      </w:divBdr>
    </w:div>
    <w:div w:id="1452940433">
      <w:bodyDiv w:val="1"/>
      <w:marLeft w:val="0"/>
      <w:marRight w:val="0"/>
      <w:marTop w:val="0"/>
      <w:marBottom w:val="0"/>
      <w:divBdr>
        <w:top w:val="none" w:sz="0" w:space="0" w:color="auto"/>
        <w:left w:val="none" w:sz="0" w:space="0" w:color="auto"/>
        <w:bottom w:val="none" w:sz="0" w:space="0" w:color="auto"/>
        <w:right w:val="none" w:sz="0" w:space="0" w:color="auto"/>
      </w:divBdr>
      <w:divsChild>
        <w:div w:id="1396973826">
          <w:marLeft w:val="0"/>
          <w:marRight w:val="0"/>
          <w:marTop w:val="0"/>
          <w:marBottom w:val="0"/>
          <w:divBdr>
            <w:top w:val="none" w:sz="0" w:space="0" w:color="auto"/>
            <w:left w:val="none" w:sz="0" w:space="0" w:color="auto"/>
            <w:bottom w:val="none" w:sz="0" w:space="0" w:color="auto"/>
            <w:right w:val="none" w:sz="0" w:space="0" w:color="auto"/>
          </w:divBdr>
          <w:divsChild>
            <w:div w:id="241722707">
              <w:marLeft w:val="2655"/>
              <w:marRight w:val="0"/>
              <w:marTop w:val="0"/>
              <w:marBottom w:val="0"/>
              <w:divBdr>
                <w:top w:val="none" w:sz="0" w:space="0" w:color="auto"/>
                <w:left w:val="none" w:sz="0" w:space="0" w:color="auto"/>
                <w:bottom w:val="none" w:sz="0" w:space="0" w:color="auto"/>
                <w:right w:val="none" w:sz="0" w:space="0" w:color="auto"/>
              </w:divBdr>
              <w:divsChild>
                <w:div w:id="74935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68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pps.leg.wa.gov/wac/default.aspx?cite=480-109-030" TargetMode="Externa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pps.leg.wa.gov/rcw/default.aspx?cite=19.285.050"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pps.leg.wa.gov/rcw/default.aspx?cite=19.285.04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wregis.org/" TargetMode="External"/><Relationship Id="rId2" Type="http://schemas.openxmlformats.org/officeDocument/2006/relationships/hyperlink" Target="http://www.leg.state.or.us/ors/469a.html" TargetMode="External"/><Relationship Id="rId1" Type="http://schemas.openxmlformats.org/officeDocument/2006/relationships/hyperlink" Target="http://www.dsireusa.org/" TargetMode="External"/><Relationship Id="rId5" Type="http://schemas.openxmlformats.org/officeDocument/2006/relationships/hyperlink" Target="http://apps.leg.wa.gov/documents/laws/wsr/2008/01/07-24-012.htm" TargetMode="External"/><Relationship Id="rId4" Type="http://schemas.openxmlformats.org/officeDocument/2006/relationships/hyperlink" Target="http://www.nwcouncil.org/energy/powersupply/dams/prin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2012-06-01T07:00:00+00:00</OpenedDate>
    <Date1 xmlns="dc463f71-b30c-4ab2-9473-d307f9d35888">2012-07-16T07:00:00+00:00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120813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1F2302067FF0243A99C112EF0AC294C" ma:contentTypeVersion="139" ma:contentTypeDescription="" ma:contentTypeScope="" ma:versionID="0dbbe7b6649ab7d9ab602b6d472960d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50CA6DA9-8006-42F5-AAD1-25CA3A491E7F}"/>
</file>

<file path=customXml/itemProps2.xml><?xml version="1.0" encoding="utf-8"?>
<ds:datastoreItem xmlns:ds="http://schemas.openxmlformats.org/officeDocument/2006/customXml" ds:itemID="{30433731-65D9-47DA-BE6D-D75292006D06}"/>
</file>

<file path=customXml/itemProps3.xml><?xml version="1.0" encoding="utf-8"?>
<ds:datastoreItem xmlns:ds="http://schemas.openxmlformats.org/officeDocument/2006/customXml" ds:itemID="{353C8F53-7AEA-48A5-B084-7BC78778A676}"/>
</file>

<file path=customXml/itemProps4.xml><?xml version="1.0" encoding="utf-8"?>
<ds:datastoreItem xmlns:ds="http://schemas.openxmlformats.org/officeDocument/2006/customXml" ds:itemID="{827B1D2C-BFD1-48D3-8D41-D44DBDA5353D}"/>
</file>

<file path=customXml/itemProps5.xml><?xml version="1.0" encoding="utf-8"?>
<ds:datastoreItem xmlns:ds="http://schemas.openxmlformats.org/officeDocument/2006/customXml" ds:itemID="{A136CD29-9FF3-47A8-983B-88DE21F69059}"/>
</file>

<file path=docProps/app.xml><?xml version="1.0" encoding="utf-8"?>
<Properties xmlns="http://schemas.openxmlformats.org/officeDocument/2006/extended-properties" xmlns:vt="http://schemas.openxmlformats.org/officeDocument/2006/docPropsVTypes">
  <Template>Normal.dotm</Template>
  <TotalTime>2</TotalTime>
  <Pages>25</Pages>
  <Words>8592</Words>
  <Characters>48980</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57458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Nightingale</dc:creator>
  <cp:lastModifiedBy>Krista Gross</cp:lastModifiedBy>
  <cp:revision>3</cp:revision>
  <cp:lastPrinted>2012-07-16T20:46:00Z</cp:lastPrinted>
  <dcterms:created xsi:type="dcterms:W3CDTF">2012-07-16T20:24:00Z</dcterms:created>
  <dcterms:modified xsi:type="dcterms:W3CDTF">2012-07-16T20:46:00Z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0x0101006E56B4D1795A2E4DB2F0B01679ED314A00A1F2302067FF0243A99C112EF0AC294C</vt:lpwstr>
  </property>
  <property fmtid="{D5CDD505-2E9C-101B-9397-08002B2CF9AE}" pid="3" name="_docset_NoMedatataSyncRequired">
    <vt:lpwstr>False</vt:lpwstr>
  </property>
</Properties>
</file>