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F6" w:rsidRDefault="00C23AF6">
      <w:pPr>
        <w:pStyle w:val="Header"/>
        <w:tabs>
          <w:tab w:val="clear" w:pos="4320"/>
          <w:tab w:val="clear" w:pos="8640"/>
          <w:tab w:val="center" w:pos="4680"/>
        </w:tabs>
        <w:spacing w:line="480" w:lineRule="auto"/>
        <w:jc w:val="center"/>
        <w:rPr>
          <w:b/>
          <w:bCs/>
          <w:sz w:val="24"/>
        </w:rPr>
      </w:pPr>
      <w:r>
        <w:rPr>
          <w:b/>
          <w:bCs/>
          <w:sz w:val="24"/>
        </w:rPr>
        <w:t>BEFORE THE</w:t>
      </w:r>
    </w:p>
    <w:p w:rsidR="00C23AF6" w:rsidRDefault="00C23AF6">
      <w:pPr>
        <w:pStyle w:val="Heading1"/>
        <w:jc w:val="center"/>
        <w:rPr>
          <w:sz w:val="24"/>
        </w:rPr>
      </w:pPr>
      <w:smartTag w:uri="urn:schemas-microsoft-com:office:smarttags" w:element="State">
        <w:smartTag w:uri="urn:schemas-microsoft-com:office:smarttags" w:element="place">
          <w:r>
            <w:rPr>
              <w:sz w:val="24"/>
            </w:rPr>
            <w:t>WASHINGTON</w:t>
          </w:r>
        </w:smartTag>
      </w:smartTag>
      <w:r>
        <w:rPr>
          <w:sz w:val="24"/>
        </w:rPr>
        <w:t xml:space="preserve"> UTILITIES AND TRANSPORTATION COMMISSION</w:t>
      </w:r>
    </w:p>
    <w:p w:rsidR="00C23AF6" w:rsidRDefault="00C23AF6">
      <w:pPr>
        <w:tabs>
          <w:tab w:val="center" w:pos="4680"/>
        </w:tabs>
        <w:rPr>
          <w:b/>
        </w:rPr>
      </w:pPr>
    </w:p>
    <w:tbl>
      <w:tblPr>
        <w:tblW w:w="8648" w:type="dxa"/>
        <w:tblLayout w:type="fixed"/>
        <w:tblCellMar>
          <w:left w:w="0" w:type="dxa"/>
          <w:right w:w="0" w:type="dxa"/>
        </w:tblCellMar>
        <w:tblLook w:val="0000"/>
      </w:tblPr>
      <w:tblGrid>
        <w:gridCol w:w="4328"/>
        <w:gridCol w:w="270"/>
        <w:gridCol w:w="4050"/>
      </w:tblGrid>
      <w:tr w:rsidR="00C23AF6">
        <w:tc>
          <w:tcPr>
            <w:tcW w:w="4328" w:type="dxa"/>
            <w:tcBorders>
              <w:bottom w:val="single" w:sz="4" w:space="0" w:color="auto"/>
            </w:tcBorders>
          </w:tcPr>
          <w:p w:rsidR="00190942" w:rsidRDefault="00190942" w:rsidP="00190942">
            <w:pPr>
              <w:tabs>
                <w:tab w:val="left" w:pos="2160"/>
              </w:tabs>
              <w:rPr>
                <w:bCs/>
              </w:rPr>
            </w:pPr>
            <w:bookmarkStart w:id="0" w:name="Parties"/>
            <w:bookmarkEnd w:id="0"/>
            <w:smartTag w:uri="urn:schemas-microsoft-com:office:smarttags" w:element="place">
              <w:smartTag w:uri="urn:schemas-microsoft-com:office:smarttags" w:element="State">
                <w:r>
                  <w:rPr>
                    <w:bCs/>
                  </w:rPr>
                  <w:t>WASHINGTON</w:t>
                </w:r>
              </w:smartTag>
            </w:smartTag>
            <w:r>
              <w:rPr>
                <w:bCs/>
              </w:rPr>
              <w:t xml:space="preserve"> UTILITIES AND TRANSPORTATION COMMISSION,</w:t>
            </w:r>
          </w:p>
          <w:p w:rsidR="00190942" w:rsidRDefault="00190942" w:rsidP="00190942">
            <w:pPr>
              <w:tabs>
                <w:tab w:val="left" w:pos="2160"/>
              </w:tabs>
              <w:rPr>
                <w:bCs/>
              </w:rPr>
            </w:pPr>
          </w:p>
          <w:p w:rsidR="00190942" w:rsidRDefault="00190942" w:rsidP="00190942">
            <w:pPr>
              <w:tabs>
                <w:tab w:val="left" w:pos="2160"/>
              </w:tabs>
              <w:rPr>
                <w:bCs/>
              </w:rPr>
            </w:pPr>
            <w:r>
              <w:rPr>
                <w:bCs/>
              </w:rPr>
              <w:tab/>
              <w:t>Complainant,</w:t>
            </w:r>
          </w:p>
          <w:p w:rsidR="00190942" w:rsidRDefault="00190942" w:rsidP="00190942">
            <w:pPr>
              <w:tabs>
                <w:tab w:val="left" w:pos="2160"/>
              </w:tabs>
              <w:rPr>
                <w:bCs/>
              </w:rPr>
            </w:pPr>
          </w:p>
          <w:p w:rsidR="00190942" w:rsidRDefault="00190942" w:rsidP="006771EB">
            <w:pPr>
              <w:rPr>
                <w:bCs/>
              </w:rPr>
            </w:pPr>
            <w:r>
              <w:rPr>
                <w:bCs/>
              </w:rPr>
              <w:t>v.</w:t>
            </w:r>
          </w:p>
          <w:p w:rsidR="00190942" w:rsidRDefault="00190942" w:rsidP="00190942">
            <w:pPr>
              <w:tabs>
                <w:tab w:val="left" w:pos="2160"/>
              </w:tabs>
              <w:rPr>
                <w:bCs/>
              </w:rPr>
            </w:pPr>
          </w:p>
          <w:p w:rsidR="00190942" w:rsidRDefault="00B464A2" w:rsidP="00190942">
            <w:pPr>
              <w:tabs>
                <w:tab w:val="left" w:pos="2160"/>
              </w:tabs>
              <w:rPr>
                <w:bCs/>
              </w:rPr>
            </w:pPr>
            <w:r>
              <w:rPr>
                <w:bCs/>
              </w:rPr>
              <w:t>PUGET SOUND ENERGY</w:t>
            </w:r>
            <w:r w:rsidR="00190942">
              <w:rPr>
                <w:bCs/>
              </w:rPr>
              <w:t>,</w:t>
            </w:r>
            <w:r>
              <w:rPr>
                <w:bCs/>
              </w:rPr>
              <w:t xml:space="preserve"> INC.,</w:t>
            </w:r>
          </w:p>
          <w:p w:rsidR="00190942" w:rsidRDefault="00190942" w:rsidP="00190942">
            <w:pPr>
              <w:tabs>
                <w:tab w:val="left" w:pos="2160"/>
              </w:tabs>
              <w:rPr>
                <w:bCs/>
              </w:rPr>
            </w:pPr>
          </w:p>
          <w:p w:rsidR="00C23AF6" w:rsidRDefault="00190942" w:rsidP="006771EB">
            <w:pPr>
              <w:pStyle w:val="Footer"/>
              <w:widowControl/>
              <w:tabs>
                <w:tab w:val="clear" w:pos="4320"/>
                <w:tab w:val="clear" w:pos="8640"/>
                <w:tab w:val="left" w:pos="2160"/>
              </w:tabs>
              <w:rPr>
                <w:snapToGrid/>
              </w:rPr>
            </w:pPr>
            <w:r>
              <w:rPr>
                <w:bCs/>
              </w:rPr>
              <w:tab/>
              <w:t>Respondent.</w:t>
            </w:r>
          </w:p>
        </w:tc>
        <w:tc>
          <w:tcPr>
            <w:tcW w:w="270" w:type="dxa"/>
          </w:tcPr>
          <w:p w:rsidR="00C23AF6" w:rsidRDefault="00C23AF6">
            <w:pPr>
              <w:pStyle w:val="SingleSpacing"/>
              <w:spacing w:line="240" w:lineRule="auto"/>
            </w:pPr>
            <w:r>
              <w:t>)</w:t>
            </w:r>
          </w:p>
          <w:p w:rsidR="00C23AF6" w:rsidRDefault="00C23AF6">
            <w:pPr>
              <w:pStyle w:val="SingleSpacing"/>
              <w:spacing w:line="240" w:lineRule="auto"/>
            </w:pPr>
            <w:r>
              <w:t>)</w:t>
            </w:r>
          </w:p>
          <w:p w:rsidR="00C23AF6" w:rsidRDefault="00C23AF6">
            <w:pPr>
              <w:pStyle w:val="SingleSpacing"/>
              <w:spacing w:line="240" w:lineRule="auto"/>
            </w:pPr>
            <w:r>
              <w:t>)</w:t>
            </w:r>
          </w:p>
          <w:p w:rsidR="00C23AF6" w:rsidRDefault="00C23AF6">
            <w:pPr>
              <w:pStyle w:val="SingleSpacing"/>
              <w:spacing w:line="240" w:lineRule="auto"/>
            </w:pPr>
            <w:r>
              <w:t>)</w:t>
            </w:r>
          </w:p>
          <w:p w:rsidR="00C23AF6" w:rsidRDefault="00C23AF6">
            <w:pPr>
              <w:pStyle w:val="SingleSpacing"/>
              <w:spacing w:line="240" w:lineRule="auto"/>
            </w:pPr>
            <w:r>
              <w:t>)</w:t>
            </w:r>
          </w:p>
          <w:p w:rsidR="00C23AF6" w:rsidRDefault="00C23AF6">
            <w:pPr>
              <w:pStyle w:val="SingleSpacing"/>
              <w:spacing w:line="240" w:lineRule="auto"/>
            </w:pPr>
            <w:r>
              <w:t>)</w:t>
            </w:r>
          </w:p>
          <w:p w:rsidR="00C23AF6" w:rsidRDefault="00C23AF6">
            <w:pPr>
              <w:pStyle w:val="SingleSpacing"/>
              <w:spacing w:line="240" w:lineRule="auto"/>
            </w:pPr>
            <w:r>
              <w:t>)</w:t>
            </w:r>
          </w:p>
          <w:p w:rsidR="00C23AF6" w:rsidRDefault="00C23AF6">
            <w:pPr>
              <w:pStyle w:val="SingleSpacing"/>
              <w:spacing w:line="240" w:lineRule="auto"/>
            </w:pPr>
            <w:r>
              <w:t>)</w:t>
            </w:r>
          </w:p>
          <w:p w:rsidR="00190942" w:rsidRDefault="00190942">
            <w:pPr>
              <w:pStyle w:val="SingleSpacing"/>
              <w:spacing w:line="240" w:lineRule="auto"/>
            </w:pPr>
            <w:r>
              <w:t>)</w:t>
            </w:r>
          </w:p>
          <w:p w:rsidR="00190942" w:rsidRDefault="00190942">
            <w:pPr>
              <w:pStyle w:val="SingleSpacing"/>
              <w:spacing w:line="240" w:lineRule="auto"/>
            </w:pPr>
            <w:r>
              <w:t>)</w:t>
            </w:r>
          </w:p>
          <w:p w:rsidR="00190942" w:rsidRDefault="00190942">
            <w:pPr>
              <w:pStyle w:val="SingleSpacing"/>
              <w:spacing w:line="240" w:lineRule="auto"/>
            </w:pPr>
            <w:r>
              <w:t>)</w:t>
            </w:r>
          </w:p>
        </w:tc>
        <w:tc>
          <w:tcPr>
            <w:tcW w:w="4050" w:type="dxa"/>
          </w:tcPr>
          <w:p w:rsidR="00C23AF6" w:rsidRDefault="00C23AF6">
            <w:pPr>
              <w:pStyle w:val="SingleSpacing"/>
              <w:spacing w:line="240" w:lineRule="auto"/>
            </w:pPr>
            <w:bookmarkStart w:id="1" w:name="CaseNumber"/>
            <w:bookmarkEnd w:id="1"/>
            <w:r>
              <w:t xml:space="preserve">DOCKET NO. </w:t>
            </w:r>
            <w:r w:rsidR="00BC0EFD" w:rsidRPr="00BC0EFD">
              <w:rPr>
                <w:bCs/>
              </w:rPr>
              <w:t>UE-</w:t>
            </w:r>
            <w:r w:rsidR="00B464A2">
              <w:t>111</w:t>
            </w:r>
            <w:r w:rsidR="00D52E81">
              <w:t>701</w:t>
            </w:r>
          </w:p>
          <w:p w:rsidR="00BC0EFD" w:rsidRDefault="00BC0EFD">
            <w:pPr>
              <w:pStyle w:val="BodyText2"/>
            </w:pPr>
          </w:p>
          <w:p w:rsidR="00C23AF6" w:rsidRDefault="00C23AF6">
            <w:pPr>
              <w:pStyle w:val="BodyText2"/>
            </w:pPr>
            <w:r>
              <w:t xml:space="preserve">PETITION TO INTERVENE </w:t>
            </w:r>
            <w:r w:rsidR="00665EF9">
              <w:t xml:space="preserve">AND COMMENTS </w:t>
            </w:r>
            <w:r>
              <w:t>OF THE INDUSTRIAL CUSTOMERS OF NORTHWEST UTILITIES</w:t>
            </w:r>
          </w:p>
          <w:p w:rsidR="00C23AF6" w:rsidRDefault="00C23AF6">
            <w:pPr>
              <w:pStyle w:val="SingleSpacing"/>
              <w:spacing w:line="240" w:lineRule="auto"/>
            </w:pPr>
          </w:p>
        </w:tc>
      </w:tr>
    </w:tbl>
    <w:p w:rsidR="00C23AF6" w:rsidRDefault="005D46E3">
      <w:pPr>
        <w:pStyle w:val="WUTCParagraph"/>
        <w:spacing w:before="240"/>
      </w:pPr>
      <w:r>
        <w:tab/>
      </w:r>
      <w:r w:rsidR="004B33BF">
        <w:t xml:space="preserve">Pursuant to WAC § 480-07-355, the Industrial Customers of Northwest Utilities (“ICNU”) </w:t>
      </w:r>
      <w:r w:rsidR="00973CAF">
        <w:t xml:space="preserve">hereby </w:t>
      </w:r>
      <w:r w:rsidR="004B33BF">
        <w:t>petitions the Washington Utilities and Transportation Commission (“WUTC” or “Commission”) for leave to intervene in the above-referenced Docket, as an intervenor with full party status as described in WAC § 480-07-340.  The business address of ICNU is:</w:t>
      </w:r>
    </w:p>
    <w:p w:rsidR="00C23AF6" w:rsidRDefault="00C23AF6" w:rsidP="00FF0B3E">
      <w:pPr>
        <w:ind w:left="2160"/>
      </w:pPr>
      <w:r>
        <w:t>Industrial Customers of Northwest Utilities</w:t>
      </w:r>
    </w:p>
    <w:p w:rsidR="00F12714" w:rsidRDefault="00D52E81" w:rsidP="00FF0B3E">
      <w:pPr>
        <w:ind w:left="1440" w:firstLine="720"/>
      </w:pPr>
      <w:r>
        <w:t>333</w:t>
      </w:r>
      <w:r w:rsidR="003D2080">
        <w:t xml:space="preserve"> SW Taylor, Suite 400</w:t>
      </w:r>
    </w:p>
    <w:p w:rsidR="00F12714" w:rsidRDefault="003D2080" w:rsidP="00FF0B3E">
      <w:pPr>
        <w:ind w:left="1440" w:firstLine="720"/>
      </w:pPr>
      <w:r>
        <w:t>Portland, OR  97204</w:t>
      </w:r>
    </w:p>
    <w:p w:rsidR="00C23AF6" w:rsidRDefault="00FF0B3E" w:rsidP="00FF0B3E">
      <w:pPr>
        <w:pStyle w:val="WUTCParagraph"/>
        <w:numPr>
          <w:ilvl w:val="0"/>
          <w:numId w:val="0"/>
        </w:numPr>
        <w:spacing w:before="240"/>
        <w:ind w:firstLine="1440"/>
      </w:pPr>
      <w:r>
        <w:t xml:space="preserve">ICNU further requests that the Commission set this matter for hearing pursuant to </w:t>
      </w:r>
      <w:r w:rsidR="008F77AD">
        <w:t>WAC § 480-07-930(5)(d)</w:t>
      </w:r>
      <w:r>
        <w:t xml:space="preserve">.  </w:t>
      </w:r>
      <w:r w:rsidR="00C23AF6">
        <w:t xml:space="preserve">ICNU will be represented in this proceeding by Davison Van Cleve, P.C.  All documents </w:t>
      </w:r>
      <w:r w:rsidR="00491745">
        <w:t>r</w:t>
      </w:r>
      <w:r w:rsidR="00C23AF6">
        <w:t>elating to these proceedings should also be served on ICNU’s attorney</w:t>
      </w:r>
      <w:r w:rsidR="00C873D0">
        <w:t>s</w:t>
      </w:r>
      <w:r w:rsidR="00C23AF6">
        <w:t xml:space="preserve"> and consultant at the following addresses:</w:t>
      </w:r>
    </w:p>
    <w:tbl>
      <w:tblPr>
        <w:tblW w:w="7592" w:type="dxa"/>
        <w:tblInd w:w="1365" w:type="dxa"/>
        <w:tblLayout w:type="fixed"/>
        <w:tblCellMar>
          <w:left w:w="0" w:type="dxa"/>
          <w:right w:w="0" w:type="dxa"/>
        </w:tblCellMar>
        <w:tblLook w:val="0000"/>
      </w:tblPr>
      <w:tblGrid>
        <w:gridCol w:w="3504"/>
        <w:gridCol w:w="4088"/>
      </w:tblGrid>
      <w:tr w:rsidR="00625987" w:rsidTr="00F12714">
        <w:trPr>
          <w:cantSplit/>
          <w:trHeight w:val="2460"/>
        </w:trPr>
        <w:tc>
          <w:tcPr>
            <w:tcW w:w="3504" w:type="dxa"/>
          </w:tcPr>
          <w:p w:rsidR="00625987" w:rsidRDefault="00625987" w:rsidP="00A873F4">
            <w:pPr>
              <w:ind w:left="32"/>
            </w:pPr>
            <w:r>
              <w:lastRenderedPageBreak/>
              <w:br w:type="page"/>
            </w:r>
            <w:r w:rsidR="003D2080">
              <w:t>S. Bradley Van Cleve</w:t>
            </w:r>
          </w:p>
          <w:p w:rsidR="00625987" w:rsidRDefault="003D2080" w:rsidP="00A873F4">
            <w:pPr>
              <w:ind w:left="32"/>
            </w:pPr>
            <w:r>
              <w:t>Irion A. Sanger</w:t>
            </w:r>
          </w:p>
          <w:p w:rsidR="008F0951" w:rsidRDefault="008F0951" w:rsidP="00A873F4">
            <w:pPr>
              <w:ind w:left="32"/>
            </w:pPr>
            <w:r>
              <w:t>Jesse E. Cowell</w:t>
            </w:r>
          </w:p>
          <w:p w:rsidR="00625987" w:rsidRDefault="00625987" w:rsidP="00A873F4">
            <w:pPr>
              <w:ind w:left="32"/>
            </w:pPr>
            <w:r>
              <w:t>Davison Van Cleve, P.C.</w:t>
            </w:r>
          </w:p>
          <w:p w:rsidR="00625987" w:rsidRDefault="00625987" w:rsidP="00A873F4">
            <w:pPr>
              <w:ind w:left="32"/>
            </w:pPr>
            <w:r>
              <w:t xml:space="preserve">333 S.W. Taylor, </w:t>
            </w:r>
            <w:smartTag w:uri="urn:schemas-microsoft-com:office:smarttags" w:element="address">
              <w:smartTag w:uri="urn:schemas-microsoft-com:office:smarttags" w:element="Street">
                <w:r>
                  <w:t>Suite</w:t>
                </w:r>
              </w:smartTag>
              <w:r>
                <w:t xml:space="preserve"> 400</w:t>
              </w:r>
            </w:smartTag>
          </w:p>
          <w:p w:rsidR="00625987" w:rsidRDefault="00625987" w:rsidP="00A873F4">
            <w:pPr>
              <w:ind w:left="32"/>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625987" w:rsidRDefault="003D2080" w:rsidP="00A873F4">
            <w:pPr>
              <w:ind w:left="32"/>
            </w:pPr>
            <w:r>
              <w:t>bvc</w:t>
            </w:r>
            <w:r w:rsidR="002E1995" w:rsidRPr="002E1995">
              <w:t>@dvclaw.com</w:t>
            </w:r>
          </w:p>
          <w:p w:rsidR="002E1995" w:rsidRDefault="008F0951" w:rsidP="00A873F4">
            <w:pPr>
              <w:ind w:left="32"/>
            </w:pPr>
            <w:r w:rsidRPr="008F0951">
              <w:t>ias@dvclaw.com</w:t>
            </w:r>
          </w:p>
          <w:p w:rsidR="008F0951" w:rsidRDefault="008F0951" w:rsidP="00A873F4">
            <w:pPr>
              <w:ind w:left="32"/>
            </w:pPr>
            <w:r>
              <w:t>jec@dvclaw.com</w:t>
            </w:r>
          </w:p>
          <w:p w:rsidR="00625987" w:rsidRDefault="00625987" w:rsidP="00A873F4">
            <w:pPr>
              <w:ind w:left="32"/>
            </w:pPr>
            <w:r>
              <w:t>Telephone:  (503) 241-7242</w:t>
            </w:r>
          </w:p>
          <w:p w:rsidR="00625987" w:rsidRDefault="00625987" w:rsidP="00A873F4">
            <w:pPr>
              <w:ind w:left="32"/>
            </w:pPr>
            <w:r>
              <w:t>Facsimile:   (503) 241-8160</w:t>
            </w:r>
          </w:p>
        </w:tc>
        <w:tc>
          <w:tcPr>
            <w:tcW w:w="4088" w:type="dxa"/>
          </w:tcPr>
          <w:p w:rsidR="00625987" w:rsidRDefault="00625987" w:rsidP="00A873F4">
            <w:pPr>
              <w:pStyle w:val="SingleSpacing"/>
              <w:spacing w:line="240" w:lineRule="auto"/>
            </w:pPr>
            <w:r>
              <w:t>Donald W. Schoenbeck</w:t>
            </w:r>
          </w:p>
          <w:p w:rsidR="00625987" w:rsidRDefault="00625987" w:rsidP="00A873F4">
            <w:pPr>
              <w:pStyle w:val="SingleSpacing"/>
              <w:spacing w:line="240" w:lineRule="auto"/>
            </w:pPr>
            <w:r>
              <w:t>RCS, Inc.</w:t>
            </w:r>
          </w:p>
          <w:p w:rsidR="00625987" w:rsidRDefault="00625987" w:rsidP="00A873F4">
            <w:pPr>
              <w:pStyle w:val="SingleSpacing"/>
              <w:spacing w:line="240" w:lineRule="auto"/>
            </w:pPr>
            <w:r>
              <w:t xml:space="preserve">900 Washington </w:t>
            </w:r>
            <w:r w:rsidR="00F12714">
              <w:t xml:space="preserve">St., </w:t>
            </w:r>
            <w:r>
              <w:t>Suite 780</w:t>
            </w:r>
          </w:p>
          <w:p w:rsidR="00625987" w:rsidRDefault="00625987" w:rsidP="00A873F4">
            <w:pPr>
              <w:pStyle w:val="SingleSpacing"/>
              <w:spacing w:line="240" w:lineRule="auto"/>
            </w:pPr>
            <w:smartTag w:uri="urn:schemas-microsoft-com:office:smarttags" w:element="place">
              <w:smartTag w:uri="urn:schemas-microsoft-com:office:smarttags" w:element="City">
                <w:r>
                  <w:t>Vancouver</w:t>
                </w:r>
              </w:smartTag>
              <w:r>
                <w:t xml:space="preserve">, </w:t>
              </w:r>
              <w:smartTag w:uri="urn:schemas-microsoft-com:office:smarttags" w:element="State">
                <w:r>
                  <w:t>WA</w:t>
                </w:r>
              </w:smartTag>
              <w:r>
                <w:t xml:space="preserve"> </w:t>
              </w:r>
              <w:smartTag w:uri="urn:schemas-microsoft-com:office:smarttags" w:element="PostalCode">
                <w:r>
                  <w:t>98660</w:t>
                </w:r>
              </w:smartTag>
            </w:smartTag>
          </w:p>
          <w:p w:rsidR="00625987" w:rsidRDefault="00625987" w:rsidP="00A873F4">
            <w:pPr>
              <w:pStyle w:val="SingleSpacing"/>
              <w:spacing w:line="240" w:lineRule="auto"/>
            </w:pPr>
            <w:r>
              <w:t>E-</w:t>
            </w:r>
            <w:smartTag w:uri="urn:schemas-microsoft-com:office:smarttags" w:element="PersonName">
              <w:r>
                <w:t>Mail</w:t>
              </w:r>
            </w:smartTag>
            <w:r>
              <w:t xml:space="preserve">: </w:t>
            </w:r>
            <w:smartTag w:uri="urn:schemas-microsoft-com:office:smarttags" w:element="PersonName">
              <w:r>
                <w:t>dws@r-c-s-inc.com</w:t>
              </w:r>
            </w:smartTag>
          </w:p>
          <w:p w:rsidR="00625987" w:rsidRDefault="00625987" w:rsidP="00A873F4">
            <w:pPr>
              <w:pStyle w:val="SingleSpacing"/>
              <w:spacing w:line="240" w:lineRule="auto"/>
            </w:pPr>
            <w:r>
              <w:t>Telephone:  (503) 232-6155</w:t>
            </w:r>
          </w:p>
          <w:p w:rsidR="00625987" w:rsidRDefault="00625987" w:rsidP="00A873F4">
            <w:pPr>
              <w:pStyle w:val="SingleSpacing"/>
              <w:spacing w:line="240" w:lineRule="auto"/>
            </w:pPr>
            <w:r>
              <w:t>Facsimile:   (360) 737-7628</w:t>
            </w:r>
          </w:p>
        </w:tc>
      </w:tr>
    </w:tbl>
    <w:p w:rsidR="00C23AF6" w:rsidRDefault="005D46E3">
      <w:pPr>
        <w:pStyle w:val="WUTCParagraph"/>
        <w:spacing w:before="240"/>
      </w:pPr>
      <w:r>
        <w:tab/>
      </w:r>
      <w:r w:rsidR="004B33BF">
        <w:t xml:space="preserve">The administrative rules at issue are </w:t>
      </w:r>
      <w:r w:rsidR="004B33BF" w:rsidRPr="002E1995">
        <w:t>WAC §</w:t>
      </w:r>
      <w:r w:rsidR="00205AB1" w:rsidRPr="002E1995">
        <w:t>§</w:t>
      </w:r>
      <w:r w:rsidR="004B33BF" w:rsidRPr="002E1995">
        <w:t xml:space="preserve"> 480-07-340, -355.</w:t>
      </w:r>
    </w:p>
    <w:p w:rsidR="00C23AF6" w:rsidRDefault="005D46E3">
      <w:pPr>
        <w:pStyle w:val="WUTCParagraph"/>
      </w:pPr>
      <w:r>
        <w:tab/>
      </w:r>
      <w:r w:rsidR="00C23AF6">
        <w:t xml:space="preserve">ICNU is an incorporated, non-profit association of large industrial electric customers in the Pacific Northwest.  </w:t>
      </w:r>
      <w:r w:rsidR="0099769F">
        <w:t xml:space="preserve">Many members of ICNU purchase power </w:t>
      </w:r>
      <w:r w:rsidR="008524DF">
        <w:t xml:space="preserve">and power delivery services </w:t>
      </w:r>
      <w:r w:rsidR="0099769F">
        <w:t>from Puget Sound Energy (“PSE”</w:t>
      </w:r>
      <w:r w:rsidR="0025552B">
        <w:t xml:space="preserve"> or the “Company”</w:t>
      </w:r>
      <w:r w:rsidR="0099769F">
        <w:t>), as indicated on Attachment A.  ICNU has been a party to many proceedings before the Commission involving PSE, including PSE’s most recent general rate case</w:t>
      </w:r>
      <w:r w:rsidR="003D2080">
        <w:t>s</w:t>
      </w:r>
      <w:r w:rsidR="0099769F">
        <w:t xml:space="preserve"> (UE-090704</w:t>
      </w:r>
      <w:r w:rsidR="003D2080">
        <w:t>, UE-111048</w:t>
      </w:r>
      <w:r w:rsidR="0099769F">
        <w:t>)</w:t>
      </w:r>
      <w:r w:rsidR="00F45D9F">
        <w:t>, and PSE’s 2001 Declaratory Order Petition involving the same facilities at issue in the current proceeding (UE-010010)</w:t>
      </w:r>
      <w:r w:rsidR="0099769F">
        <w:t>.</w:t>
      </w:r>
    </w:p>
    <w:p w:rsidR="00C23AF6" w:rsidRDefault="005D46E3">
      <w:pPr>
        <w:pStyle w:val="WUTCParagraph"/>
      </w:pPr>
      <w:r>
        <w:tab/>
      </w:r>
      <w:r w:rsidR="00E421DB">
        <w:t xml:space="preserve">ICNU’s member companies have a substantial interest in </w:t>
      </w:r>
      <w:r w:rsidR="00B464A2">
        <w:t>PSE</w:t>
      </w:r>
      <w:r w:rsidR="00E421DB">
        <w:t>’s</w:t>
      </w:r>
      <w:r w:rsidR="0025552B">
        <w:t xml:space="preserve"> petition for a declaratory order for proposed reclassification of the Company’s Washington Area wholesale distribution facilities (55kV – 115kV) as transmission facilities</w:t>
      </w:r>
      <w:r w:rsidR="00AC6061">
        <w:t xml:space="preserve">.  </w:t>
      </w:r>
      <w:r w:rsidR="00D35AFB">
        <w:t xml:space="preserve">The proposed </w:t>
      </w:r>
      <w:r w:rsidR="0025552B">
        <w:t>reclassification</w:t>
      </w:r>
      <w:r w:rsidR="00D35AFB">
        <w:t xml:space="preserve"> would substantially and directly affect those of ICNU’s members who purchase power, transmission and/or d</w:t>
      </w:r>
      <w:r w:rsidR="00A7380F">
        <w:t xml:space="preserve">istribution services from PSE, as well as ICNU’s members who purchase power from </w:t>
      </w:r>
      <w:r w:rsidR="00055C05">
        <w:t>third parties</w:t>
      </w:r>
      <w:r w:rsidR="00A7380F">
        <w:t xml:space="preserve"> under PSE’s direct access program.</w:t>
      </w:r>
      <w:r w:rsidR="00E51036">
        <w:t xml:space="preserve">  </w:t>
      </w:r>
      <w:r w:rsidR="00D35AFB">
        <w:t xml:space="preserve">ICNU requests leave to intervene in this proceeding to represent its members who are affected by the proposed </w:t>
      </w:r>
      <w:r w:rsidR="002B06CD">
        <w:t>reclassification</w:t>
      </w:r>
      <w:r w:rsidR="00D35AFB">
        <w:t>.</w:t>
      </w:r>
    </w:p>
    <w:p w:rsidR="00D474F4" w:rsidRDefault="005D46E3" w:rsidP="00D35AFB">
      <w:pPr>
        <w:pStyle w:val="WUTCParagraph"/>
      </w:pPr>
      <w:r>
        <w:lastRenderedPageBreak/>
        <w:tab/>
      </w:r>
      <w:r w:rsidR="00D474F4">
        <w:t xml:space="preserve">ICNU </w:t>
      </w:r>
      <w:r w:rsidR="00C068BF">
        <w:t xml:space="preserve">has extensive experiences involving </w:t>
      </w:r>
      <w:r w:rsidR="00B464A2">
        <w:t>PSE’s</w:t>
      </w:r>
      <w:r w:rsidR="00C068BF">
        <w:t xml:space="preserve"> </w:t>
      </w:r>
      <w:r w:rsidR="00E51036">
        <w:t>filings at the WUTC</w:t>
      </w:r>
      <w:r w:rsidR="00D474F4">
        <w:t xml:space="preserve">.  </w:t>
      </w:r>
      <w:r w:rsidR="00A7380F">
        <w:t xml:space="preserve">ICNU participated in the original proceedings that classified these facilities as distribution facilities, and has participated in numerous PSE rate proceedings, including, but not limited to: UE-040641, UE-050870, UE-060266, UE-090704, and UE-111048.  </w:t>
      </w:r>
      <w:r w:rsidR="00D35AFB">
        <w:t>ICNU believes its participation in this proceeding will assist the Commission.  Furthermore, ICNU’s intervention in this proceeding will not unreasonably broaden the issues, burden the record, or delay this proceeding.</w:t>
      </w:r>
    </w:p>
    <w:p w:rsidR="00D35AFB" w:rsidRDefault="005D46E3" w:rsidP="00D35AFB">
      <w:pPr>
        <w:pStyle w:val="WUTCParagraph"/>
      </w:pPr>
      <w:r>
        <w:tab/>
      </w:r>
      <w:r w:rsidR="00D35AFB">
        <w:t>As described above, ICNU has a direct and substantial interest in this proceeding that will not be adequately represented by any other party, and may be affected by any Commission determination made in connection with this proceeding.  It is in the public interest to allow ICNU to intervene in this proceeding.  ICNU, therefore, requests that the Commission grant its Petition to Intervene and make ICNU a party to this proceeding.</w:t>
      </w:r>
    </w:p>
    <w:p w:rsidR="00876DDD" w:rsidRDefault="005D46E3" w:rsidP="00D35AFB">
      <w:pPr>
        <w:pStyle w:val="WUTCParagraph"/>
      </w:pPr>
      <w:r>
        <w:tab/>
      </w:r>
      <w:r w:rsidR="00876DDD">
        <w:t>Additionally, ICNU submits the following comments in response to the Commission’s Notice of Receipt of Petition for Declaratory Order and Opportunity to Submit Statements of Fact and Law dated September 23, 2011.</w:t>
      </w:r>
    </w:p>
    <w:p w:rsidR="00876DDD" w:rsidRDefault="005D46E3" w:rsidP="00876DDD">
      <w:pPr>
        <w:pStyle w:val="WUTCParagraph"/>
      </w:pPr>
      <w:r>
        <w:tab/>
      </w:r>
      <w:r w:rsidR="00876DDD">
        <w:t>As</w:t>
      </w:r>
      <w:r w:rsidR="00E45E21">
        <w:t xml:space="preserve"> an initial matter, ICNU is</w:t>
      </w:r>
      <w:r w:rsidR="00876DDD">
        <w:t xml:space="preserve"> concerned that </w:t>
      </w:r>
      <w:r w:rsidR="00E9479B">
        <w:t>some</w:t>
      </w:r>
      <w:r w:rsidR="00876DDD">
        <w:t xml:space="preserve"> of the listed substations proposed to be reclassified from distribution to transmission facilities appear to be custome</w:t>
      </w:r>
      <w:r w:rsidR="00E9479B">
        <w:t xml:space="preserve">r-owned </w:t>
      </w:r>
      <w:r w:rsidR="00876DDD">
        <w:t xml:space="preserve">substations.  For example, a non-exclusive  listing of such facilities within Exhibit B to PSE’s Petition </w:t>
      </w:r>
      <w:r w:rsidR="00E9479B">
        <w:t>possibly</w:t>
      </w:r>
      <w:r w:rsidR="00876DDD">
        <w:t xml:space="preserve"> include</w:t>
      </w:r>
      <w:r w:rsidR="00E9479B">
        <w:t>s</w:t>
      </w:r>
      <w:r w:rsidR="00876DDD">
        <w:t xml:space="preserve">:  ARCO Central, ARCO North, ARCO South, Boeing Auburn, Boeing Puyallup, Boeing Renton No. 1, Boeing Renton </w:t>
      </w:r>
      <w:r w:rsidR="00876DDD">
        <w:lastRenderedPageBreak/>
        <w:t xml:space="preserve">No. 2, Liquid Air, March Point, Olympia Brewery, </w:t>
      </w:r>
      <w:r w:rsidR="00AE5304">
        <w:t>SeaTac</w:t>
      </w:r>
      <w:r w:rsidR="00876DDD">
        <w:t>, Texaco East, Texaco West, U.S. Navy Bangor, U.S. Navy Keyport, and West Campus.</w:t>
      </w:r>
    </w:p>
    <w:p w:rsidR="00A1669D" w:rsidRDefault="00A1669D" w:rsidP="00A1669D">
      <w:pPr>
        <w:pStyle w:val="WUTCParagraph"/>
      </w:pPr>
      <w:r>
        <w:t xml:space="preserve">The reclassification of so many customer distribution substations to transmission facilities seems inappropriate.  As the Company rightly acknowledges, classification of transmission and distribution facilities “may lead to uncertainty and potential conflicts regarding the boundaries of federal/state jurisdiction and to inequities in the recovery of costs.”  Petition at ¶¶ 7, 18.  The potential for uncertainty and inequity in the Company’s petition is compounded by the lack of any financial data as to ratepayer impact, as well as </w:t>
      </w:r>
      <w:r w:rsidR="00066CEB">
        <w:t>an</w:t>
      </w:r>
      <w:r>
        <w:t xml:space="preserve"> application of the Federal Energy Regulatory Commission’s (“FERC”) seven-factor test in defining distribution facilities.  </w:t>
      </w:r>
    </w:p>
    <w:p w:rsidR="00A1669D" w:rsidRDefault="005D46E3" w:rsidP="00A1669D">
      <w:pPr>
        <w:pStyle w:val="WUTCParagraph"/>
      </w:pPr>
      <w:r>
        <w:tab/>
      </w:r>
      <w:r w:rsidR="00A1669D">
        <w:t xml:space="preserve">Accordingly, ICNU recommends that the Commission delay a determination upon PSE’s petition in order to allow parties more time to investigate the Company’s proposal and supporting rationale.  In addition, ICNU respectfully requests that the Commission set a hearing date to allow all parties to present their conclusions following such an </w:t>
      </w:r>
      <w:r w:rsidR="001304FF">
        <w:t>appropriate</w:t>
      </w:r>
      <w:r w:rsidR="00A1669D">
        <w:t xml:space="preserve"> period of discovery and careful analysis.  </w:t>
      </w:r>
    </w:p>
    <w:p w:rsidR="00A1669D" w:rsidRDefault="005D46E3" w:rsidP="00A1669D">
      <w:pPr>
        <w:pStyle w:val="WUTCParagraph"/>
      </w:pPr>
      <w:r>
        <w:tab/>
      </w:r>
      <w:r w:rsidR="00A1669D">
        <w:t xml:space="preserve">As the Company recognizes, the seven-factor FERC distribution test “is not rigid and is intended to be flexible to account for unique regional or local conditions.”  Petition at ¶ 9.  In other words, the analysis presently before the Commission necessitates a nuanced, fact-intensive determination that invites subjective interpretation—precisely the sort of determination for which a hearing is appropriate, affording the Commission the fullest possible opportunity to consider all pertinent information.  </w:t>
      </w:r>
    </w:p>
    <w:p w:rsidR="00A1669D" w:rsidRDefault="005D46E3" w:rsidP="00A1669D">
      <w:pPr>
        <w:pStyle w:val="WUTCParagraph"/>
      </w:pPr>
      <w:r>
        <w:lastRenderedPageBreak/>
        <w:tab/>
      </w:r>
      <w:r w:rsidR="00A1669D">
        <w:t>Quite contrary to the highly specific and localized distribution standard, however, PSE primarily supports the reclassification of its distribution facilities to transmission by analogy to a recent FERC order reviewing facilities in Iowa.  Petition at 12–17 (</w:t>
      </w:r>
      <w:r w:rsidR="00A1669D">
        <w:rPr>
          <w:rFonts w:ascii="Times New Roman Italic" w:eastAsia="ヒラギノ角ゴ Pro W3" w:hAnsi="Times New Roman Italic"/>
        </w:rPr>
        <w:t>citing</w:t>
      </w:r>
      <w:r w:rsidR="00A1669D">
        <w:t xml:space="preserve"> </w:t>
      </w:r>
      <w:r w:rsidR="00A1669D">
        <w:rPr>
          <w:rFonts w:ascii="Times" w:eastAsia="ヒラギノ角ゴ Pro W3" w:hAnsi="Times"/>
          <w:u w:val="single"/>
        </w:rPr>
        <w:t>City of Pella, Iowa v. Midwest Indep. Transmission Sys. Operator, Inc. &amp; MidAmerican Energy Co.</w:t>
      </w:r>
      <w:r w:rsidR="00A1669D">
        <w:rPr>
          <w:rFonts w:ascii="Times" w:eastAsia="ヒラギノ角ゴ Pro W3" w:hAnsi="Times"/>
          <w:i/>
          <w:sz w:val="26"/>
        </w:rPr>
        <w:t xml:space="preserve">, </w:t>
      </w:r>
      <w:r w:rsidR="00A1669D">
        <w:rPr>
          <w:sz w:val="26"/>
        </w:rPr>
        <w:t>134 FERC ¶ 61,081 (2011))</w:t>
      </w:r>
      <w:r w:rsidR="00A1669D">
        <w:rPr>
          <w:rFonts w:ascii="Times" w:eastAsia="ヒラギノ角ゴ Pro W3" w:hAnsi="Times"/>
        </w:rPr>
        <w:t xml:space="preserve">.  Similarly, the “bright-line standard” upon which the Company relies to reclassify all facilities of 100kV or more is, by the Company’s own concession, under challenge in federal court.  Petition at </w:t>
      </w:r>
      <w:r w:rsidR="00A1669D">
        <w:rPr>
          <w:sz w:val="26"/>
        </w:rPr>
        <w:t xml:space="preserve">¶ 38.  </w:t>
      </w:r>
    </w:p>
    <w:p w:rsidR="00876DDD" w:rsidRDefault="005D46E3" w:rsidP="00A1669D">
      <w:pPr>
        <w:pStyle w:val="WUTCParagraph"/>
      </w:pPr>
      <w:r>
        <w:tab/>
      </w:r>
      <w:r w:rsidR="00A1669D">
        <w:t>The Company’s reversal of its position in UE-010010 is cause enough for proceeding cautiously, wherein the same facilities reclassified as distribution in 2001 would now be re-reclassified back as transmission.  Moreover, a hearing will allow the Commission to fully consider the extent of the changes PSE has requested, including the critical question of the total investment amount subject to reclassification.  Ultimately, a hearing is justified solely on the basis of the Company’s failure to address the financial implications of its petition.</w:t>
      </w:r>
      <w:r w:rsidR="001304FF">
        <w:t xml:space="preserve">  Given the complexity of the issues presented, customers should be given an opportunity to form independent conclusions regarding whether all of the facilities ident</w:t>
      </w:r>
      <w:r w:rsidR="00D973E7">
        <w:t>ified truly meet the FERC seven-</w:t>
      </w:r>
      <w:r w:rsidR="001304FF">
        <w:t>part test.</w:t>
      </w:r>
    </w:p>
    <w:p w:rsidR="00A1669D" w:rsidRDefault="005D46E3" w:rsidP="00A1669D">
      <w:pPr>
        <w:pStyle w:val="WUTCParagraph"/>
      </w:pPr>
      <w:r>
        <w:tab/>
      </w:r>
      <w:r w:rsidR="00A1669D">
        <w:t>WHEREFORE, ICNU respectfully petitions the Commission for leave to intervene in this proceeding and requests that the Commission delay d</w:t>
      </w:r>
      <w:r w:rsidR="000F5A18">
        <w:t>etermination on</w:t>
      </w:r>
      <w:r w:rsidR="00A1669D">
        <w:t xml:space="preserve"> the petition and schedule a hearing date to afford a full and fair consideration of the issues in this case.  </w:t>
      </w:r>
    </w:p>
    <w:p w:rsidR="00C23AF6" w:rsidRDefault="00C23AF6" w:rsidP="00F62067">
      <w:pPr>
        <w:keepNext/>
        <w:spacing w:line="480" w:lineRule="auto"/>
        <w:ind w:firstLine="1440"/>
      </w:pPr>
      <w:r>
        <w:lastRenderedPageBreak/>
        <w:t xml:space="preserve">Dated in Portland, Oregon, this </w:t>
      </w:r>
      <w:r w:rsidR="002905AD">
        <w:t>30th</w:t>
      </w:r>
      <w:r>
        <w:t xml:space="preserve"> day of </w:t>
      </w:r>
      <w:r w:rsidR="003D2080">
        <w:t>September</w:t>
      </w:r>
      <w:r w:rsidR="00DC1EBE">
        <w:t>, 20</w:t>
      </w:r>
      <w:r w:rsidR="00632A55">
        <w:t>11</w:t>
      </w:r>
      <w:r>
        <w:t>.</w:t>
      </w:r>
    </w:p>
    <w:p w:rsidR="00C23AF6" w:rsidRDefault="00C23AF6" w:rsidP="00F62067">
      <w:pPr>
        <w:keepNext/>
        <w:spacing w:line="480" w:lineRule="auto"/>
        <w:ind w:left="2880" w:firstLine="720"/>
      </w:pPr>
      <w:r>
        <w:t>Respectfully submitted,</w:t>
      </w:r>
    </w:p>
    <w:p w:rsidR="00C23AF6" w:rsidRDefault="00C23AF6" w:rsidP="00F62067">
      <w:pPr>
        <w:keepNext/>
        <w:spacing w:line="480" w:lineRule="auto"/>
        <w:ind w:firstLine="3600"/>
      </w:pPr>
      <w:r>
        <w:t>DAVISON VAN CLEVE, P.C.</w:t>
      </w:r>
    </w:p>
    <w:p w:rsidR="000421CF" w:rsidRDefault="000421CF">
      <w:pPr>
        <w:keepNext/>
        <w:ind w:firstLine="3600"/>
      </w:pPr>
    </w:p>
    <w:p w:rsidR="00605D05" w:rsidRPr="00030CFF" w:rsidRDefault="00605D05" w:rsidP="00605D05">
      <w:pPr>
        <w:keepNext/>
        <w:ind w:left="3600"/>
        <w:rPr>
          <w:i/>
          <w:u w:val="single"/>
        </w:rPr>
      </w:pPr>
      <w:r>
        <w:rPr>
          <w:i/>
          <w:u w:val="single"/>
        </w:rPr>
        <w:t>/s/</w:t>
      </w:r>
      <w:r w:rsidR="00FD45B1">
        <w:rPr>
          <w:i/>
          <w:u w:val="single"/>
        </w:rPr>
        <w:t xml:space="preserve"> Jesse E. Cowell</w:t>
      </w:r>
    </w:p>
    <w:p w:rsidR="00C23AF6" w:rsidRDefault="003D2080">
      <w:pPr>
        <w:keepNext/>
        <w:ind w:firstLine="3600"/>
      </w:pPr>
      <w:r>
        <w:t>S. Bradley Van Cleve</w:t>
      </w:r>
    </w:p>
    <w:p w:rsidR="00132590" w:rsidRPr="00E45E21" w:rsidRDefault="003D2080">
      <w:pPr>
        <w:keepNext/>
        <w:ind w:firstLine="3600"/>
      </w:pPr>
      <w:r w:rsidRPr="00E45E21">
        <w:t>Irion A. Sanger</w:t>
      </w:r>
    </w:p>
    <w:p w:rsidR="0098441E" w:rsidRPr="00E45E21" w:rsidRDefault="0098441E">
      <w:pPr>
        <w:keepNext/>
        <w:ind w:firstLine="3600"/>
      </w:pPr>
      <w:r w:rsidRPr="00E45E21">
        <w:t>Jesse E. Cowell</w:t>
      </w:r>
    </w:p>
    <w:p w:rsidR="00C23AF6" w:rsidRPr="00E45E21" w:rsidRDefault="00D474F4">
      <w:pPr>
        <w:keepNext/>
        <w:ind w:firstLine="3600"/>
      </w:pPr>
      <w:r w:rsidRPr="00E45E21">
        <w:t>333</w:t>
      </w:r>
      <w:r w:rsidR="00C23AF6" w:rsidRPr="00E45E21">
        <w:t xml:space="preserve"> S</w:t>
      </w:r>
      <w:r w:rsidR="00D103D5" w:rsidRPr="00E45E21">
        <w:t>.</w:t>
      </w:r>
      <w:r w:rsidR="00C23AF6" w:rsidRPr="00E45E21">
        <w:t>W</w:t>
      </w:r>
      <w:r w:rsidR="00D103D5" w:rsidRPr="00E45E21">
        <w:t>.</w:t>
      </w:r>
      <w:r w:rsidR="00C23AF6" w:rsidRPr="00E45E21">
        <w:t xml:space="preserve"> </w:t>
      </w:r>
      <w:r w:rsidRPr="00E45E21">
        <w:t>Taylor</w:t>
      </w:r>
      <w:r w:rsidR="00C23AF6" w:rsidRPr="00E45E21">
        <w:t xml:space="preserve">, Suite </w:t>
      </w:r>
      <w:r w:rsidRPr="00E45E21">
        <w:t>40</w:t>
      </w:r>
      <w:r w:rsidR="00C23AF6" w:rsidRPr="00E45E21">
        <w:t>0</w:t>
      </w:r>
    </w:p>
    <w:p w:rsidR="00C23AF6" w:rsidRDefault="00C23AF6">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rsidR="00D474F4">
          <w:t xml:space="preserve"> </w:t>
        </w:r>
        <w:smartTag w:uri="urn:schemas-microsoft-com:office:smarttags" w:element="PostalCode">
          <w:r w:rsidR="00D474F4">
            <w:t>97204</w:t>
          </w:r>
        </w:smartTag>
      </w:smartTag>
    </w:p>
    <w:p w:rsidR="00C23AF6" w:rsidRDefault="00C23AF6">
      <w:pPr>
        <w:keepNext/>
        <w:ind w:firstLine="3600"/>
      </w:pPr>
      <w:r>
        <w:t>(503) 241-7242 telephone</w:t>
      </w:r>
    </w:p>
    <w:p w:rsidR="00C23AF6" w:rsidRDefault="00C23AF6">
      <w:pPr>
        <w:keepNext/>
        <w:ind w:firstLine="3600"/>
      </w:pPr>
      <w:r>
        <w:t>(503) 241-8160 facsimile</w:t>
      </w:r>
    </w:p>
    <w:p w:rsidR="00C23AF6" w:rsidRDefault="003D2080">
      <w:pPr>
        <w:keepNext/>
        <w:ind w:firstLine="3600"/>
      </w:pPr>
      <w:r>
        <w:t>bvc</w:t>
      </w:r>
      <w:r w:rsidR="002E1995" w:rsidRPr="002E1995">
        <w:t>@dvclaw.com</w:t>
      </w:r>
    </w:p>
    <w:p w:rsidR="002E1995" w:rsidRDefault="0098441E">
      <w:pPr>
        <w:keepNext/>
        <w:ind w:firstLine="3600"/>
      </w:pPr>
      <w:r w:rsidRPr="0098441E">
        <w:t>ias@dvclaw.com</w:t>
      </w:r>
    </w:p>
    <w:p w:rsidR="0098441E" w:rsidRDefault="0098441E">
      <w:pPr>
        <w:keepNext/>
        <w:ind w:firstLine="3600"/>
      </w:pPr>
      <w:r>
        <w:t>jec@dvclaw.com</w:t>
      </w:r>
    </w:p>
    <w:p w:rsidR="00C23AF6" w:rsidRDefault="00C23AF6">
      <w:pPr>
        <w:ind w:left="3600"/>
      </w:pPr>
      <w:r>
        <w:t xml:space="preserve">Of Attorneys for Industrial Customers </w:t>
      </w:r>
    </w:p>
    <w:p w:rsidR="00C23AF6" w:rsidRDefault="00C23AF6">
      <w:pPr>
        <w:ind w:left="3600"/>
      </w:pPr>
      <w:r>
        <w:t>of Northwest Utilities</w:t>
      </w:r>
    </w:p>
    <w:p w:rsidR="00C23AF6" w:rsidRDefault="00C23AF6">
      <w:pPr>
        <w:ind w:firstLine="3600"/>
      </w:pPr>
    </w:p>
    <w:p w:rsidR="00C23AF6" w:rsidRDefault="00C23AF6">
      <w:pPr>
        <w:keepNext/>
        <w:ind w:left="720" w:firstLine="2880"/>
      </w:pPr>
    </w:p>
    <w:p w:rsidR="00C23AF6" w:rsidRDefault="00C23AF6">
      <w:pPr>
        <w:sectPr w:rsidR="00C23AF6">
          <w:footerReference w:type="default" r:id="rId8"/>
          <w:pgSz w:w="12240" w:h="15840" w:code="1"/>
          <w:pgMar w:top="1440" w:right="1440" w:bottom="360" w:left="2160" w:header="1440" w:footer="720" w:gutter="0"/>
          <w:cols w:space="720"/>
          <w:noEndnote/>
        </w:sectPr>
      </w:pPr>
    </w:p>
    <w:p w:rsidR="00C23AF6" w:rsidRPr="00BB4F5A" w:rsidRDefault="00C23AF6">
      <w:pPr>
        <w:pStyle w:val="Heading1"/>
        <w:ind w:left="-180"/>
        <w:jc w:val="center"/>
        <w:rPr>
          <w:sz w:val="24"/>
          <w:szCs w:val="24"/>
        </w:rPr>
      </w:pPr>
      <w:r w:rsidRPr="00BB4F5A">
        <w:rPr>
          <w:sz w:val="24"/>
          <w:szCs w:val="24"/>
        </w:rPr>
        <w:lastRenderedPageBreak/>
        <w:t>ATTACHMENT A</w:t>
      </w:r>
    </w:p>
    <w:p w:rsidR="00C23AF6" w:rsidRPr="00BB4F5A" w:rsidRDefault="000F06D5">
      <w:pPr>
        <w:pStyle w:val="Heading2"/>
        <w:rPr>
          <w:szCs w:val="24"/>
        </w:rPr>
      </w:pPr>
      <w:r w:rsidRPr="00BB4F5A">
        <w:rPr>
          <w:szCs w:val="24"/>
        </w:rPr>
        <w:t xml:space="preserve">MEMBERS OF </w:t>
      </w:r>
      <w:r w:rsidR="00C23AF6" w:rsidRPr="00BB4F5A">
        <w:rPr>
          <w:szCs w:val="24"/>
        </w:rPr>
        <w:t>INDUSTRIAL CUSTOMERS OF NORTHWEST UTILITIES</w:t>
      </w:r>
    </w:p>
    <w:p w:rsidR="00625987" w:rsidRPr="00BB4F5A" w:rsidRDefault="00625987" w:rsidP="00625987">
      <w:pPr>
        <w:pStyle w:val="EndnoteText"/>
        <w:tabs>
          <w:tab w:val="center" w:pos="3600"/>
        </w:tabs>
        <w:suppressAutoHyphens/>
        <w:rPr>
          <w:rFonts w:ascii="Univers" w:hAnsi="Univers" w:cs="Univers"/>
          <w:szCs w:val="24"/>
        </w:rPr>
      </w:pPr>
    </w:p>
    <w:p w:rsidR="00D35AFB" w:rsidRPr="00BB4F5A" w:rsidRDefault="00D35AFB" w:rsidP="00920A21">
      <w:pPr>
        <w:ind w:left="3600"/>
        <w:rPr>
          <w:szCs w:val="24"/>
        </w:rPr>
      </w:pPr>
      <w:r w:rsidRPr="00BB4F5A">
        <w:rPr>
          <w:szCs w:val="24"/>
        </w:rPr>
        <w:t>*Air Liquide</w:t>
      </w:r>
    </w:p>
    <w:p w:rsidR="00D35AFB" w:rsidRPr="00BB4F5A" w:rsidRDefault="00D35AFB" w:rsidP="00920A21">
      <w:pPr>
        <w:ind w:left="3600"/>
        <w:rPr>
          <w:szCs w:val="24"/>
        </w:rPr>
      </w:pPr>
      <w:r w:rsidRPr="00BB4F5A">
        <w:rPr>
          <w:szCs w:val="24"/>
        </w:rPr>
        <w:t>*Air Products</w:t>
      </w:r>
    </w:p>
    <w:p w:rsidR="00D35AFB" w:rsidRPr="00BB4F5A" w:rsidRDefault="00D35AFB" w:rsidP="00920A21">
      <w:pPr>
        <w:ind w:left="3600"/>
        <w:rPr>
          <w:szCs w:val="24"/>
        </w:rPr>
      </w:pPr>
      <w:r w:rsidRPr="00BB4F5A">
        <w:rPr>
          <w:szCs w:val="24"/>
        </w:rPr>
        <w:t>*Amcor PET Packaging USA, Inc. (CNC Containers Northwest)</w:t>
      </w:r>
    </w:p>
    <w:p w:rsidR="00D35AFB" w:rsidRPr="00FD45B1" w:rsidRDefault="00D35AFB" w:rsidP="00920A21">
      <w:pPr>
        <w:ind w:left="3600"/>
        <w:rPr>
          <w:szCs w:val="24"/>
          <w:lang w:val="fr-FR"/>
        </w:rPr>
      </w:pPr>
      <w:r w:rsidRPr="00BB4F5A">
        <w:rPr>
          <w:szCs w:val="24"/>
        </w:rPr>
        <w:t xml:space="preserve">Certain Teed Gypsum &amp; Ceiling Manufacturing, Inc. </w:t>
      </w:r>
      <w:r w:rsidRPr="00FD45B1">
        <w:rPr>
          <w:szCs w:val="24"/>
          <w:lang w:val="fr-FR"/>
        </w:rPr>
        <w:t>(BPB)</w:t>
      </w:r>
    </w:p>
    <w:p w:rsidR="00D35AFB" w:rsidRPr="005D46E3" w:rsidRDefault="00D35AFB" w:rsidP="00920A21">
      <w:pPr>
        <w:ind w:left="3600"/>
        <w:rPr>
          <w:szCs w:val="24"/>
          <w:lang w:val="fr-FR"/>
        </w:rPr>
      </w:pPr>
      <w:r w:rsidRPr="005D46E3">
        <w:rPr>
          <w:szCs w:val="24"/>
          <w:lang w:val="fr-FR"/>
        </w:rPr>
        <w:t>*Boeing</w:t>
      </w:r>
    </w:p>
    <w:p w:rsidR="00D35AFB" w:rsidRPr="005D46E3" w:rsidRDefault="00D35AFB" w:rsidP="00920A21">
      <w:pPr>
        <w:ind w:left="3600"/>
        <w:rPr>
          <w:szCs w:val="24"/>
          <w:lang w:val="fr-FR"/>
        </w:rPr>
      </w:pPr>
      <w:r w:rsidRPr="005D46E3">
        <w:rPr>
          <w:szCs w:val="24"/>
          <w:lang w:val="fr-FR"/>
        </w:rPr>
        <w:t>Boise Cascade, LLC</w:t>
      </w:r>
    </w:p>
    <w:p w:rsidR="00D35AFB" w:rsidRPr="005D46E3" w:rsidRDefault="00D35AFB" w:rsidP="00920A21">
      <w:pPr>
        <w:ind w:left="3600"/>
        <w:rPr>
          <w:szCs w:val="24"/>
          <w:lang w:val="fr-FR"/>
        </w:rPr>
      </w:pPr>
      <w:r w:rsidRPr="005D46E3">
        <w:rPr>
          <w:szCs w:val="24"/>
          <w:lang w:val="fr-FR"/>
        </w:rPr>
        <w:t>Boise Paper</w:t>
      </w:r>
    </w:p>
    <w:p w:rsidR="00D35AFB" w:rsidRPr="00BB4F5A" w:rsidRDefault="00D35AFB" w:rsidP="00920A21">
      <w:pPr>
        <w:ind w:left="3600"/>
        <w:rPr>
          <w:szCs w:val="24"/>
        </w:rPr>
      </w:pPr>
      <w:r w:rsidRPr="00BB4F5A">
        <w:rPr>
          <w:szCs w:val="24"/>
        </w:rPr>
        <w:t>ConAgra Foods</w:t>
      </w:r>
    </w:p>
    <w:p w:rsidR="00D35AFB" w:rsidRPr="00BB4F5A" w:rsidRDefault="00D35AFB" w:rsidP="00920A21">
      <w:pPr>
        <w:ind w:left="3600"/>
        <w:rPr>
          <w:szCs w:val="24"/>
        </w:rPr>
      </w:pPr>
      <w:r w:rsidRPr="00BB4F5A">
        <w:rPr>
          <w:szCs w:val="24"/>
        </w:rPr>
        <w:t>Dyno Nobel, Inc.</w:t>
      </w:r>
    </w:p>
    <w:p w:rsidR="00D35AFB" w:rsidRPr="00BB4F5A" w:rsidRDefault="00D35AFB" w:rsidP="00920A21">
      <w:pPr>
        <w:ind w:left="3600"/>
        <w:rPr>
          <w:szCs w:val="24"/>
        </w:rPr>
      </w:pPr>
      <w:r w:rsidRPr="00BB4F5A">
        <w:rPr>
          <w:szCs w:val="24"/>
        </w:rPr>
        <w:t>Eka Chemicals, Inc.</w:t>
      </w:r>
    </w:p>
    <w:p w:rsidR="00D35AFB" w:rsidRPr="00BB4F5A" w:rsidRDefault="00D35AFB" w:rsidP="00920A21">
      <w:pPr>
        <w:ind w:left="3600"/>
        <w:rPr>
          <w:szCs w:val="24"/>
        </w:rPr>
      </w:pPr>
      <w:r w:rsidRPr="00BB4F5A">
        <w:rPr>
          <w:szCs w:val="24"/>
        </w:rPr>
        <w:t>Emerald Performance Materials, LLC</w:t>
      </w:r>
    </w:p>
    <w:p w:rsidR="00D35AFB" w:rsidRPr="00BB4F5A" w:rsidRDefault="00D35AFB" w:rsidP="00920A21">
      <w:pPr>
        <w:ind w:left="3600"/>
        <w:rPr>
          <w:szCs w:val="24"/>
        </w:rPr>
      </w:pPr>
      <w:r w:rsidRPr="00BB4F5A">
        <w:rPr>
          <w:szCs w:val="24"/>
        </w:rPr>
        <w:t>Equa-Chlor, LLC</w:t>
      </w:r>
    </w:p>
    <w:p w:rsidR="00D35AFB" w:rsidRPr="00BB4F5A" w:rsidRDefault="00D35AFB" w:rsidP="00920A21">
      <w:pPr>
        <w:ind w:left="3600"/>
        <w:rPr>
          <w:szCs w:val="24"/>
        </w:rPr>
      </w:pPr>
      <w:r w:rsidRPr="00BB4F5A">
        <w:rPr>
          <w:szCs w:val="24"/>
        </w:rPr>
        <w:t>Evanite Fiber</w:t>
      </w:r>
    </w:p>
    <w:p w:rsidR="00D35AFB" w:rsidRPr="00BB4F5A" w:rsidRDefault="00D35AFB" w:rsidP="00920A21">
      <w:pPr>
        <w:ind w:left="3600"/>
        <w:rPr>
          <w:szCs w:val="24"/>
        </w:rPr>
      </w:pPr>
      <w:r w:rsidRPr="00BB4F5A">
        <w:rPr>
          <w:szCs w:val="24"/>
        </w:rPr>
        <w:t>Evraz, Inc.</w:t>
      </w:r>
    </w:p>
    <w:p w:rsidR="00D35AFB" w:rsidRPr="00BB4F5A" w:rsidRDefault="00D35AFB" w:rsidP="00920A21">
      <w:pPr>
        <w:ind w:left="3600"/>
        <w:rPr>
          <w:szCs w:val="24"/>
        </w:rPr>
      </w:pPr>
      <w:r w:rsidRPr="00BB4F5A">
        <w:rPr>
          <w:szCs w:val="24"/>
        </w:rPr>
        <w:t>Freres Lumber Co.</w:t>
      </w:r>
    </w:p>
    <w:p w:rsidR="00D35AFB" w:rsidRPr="00BB4F5A" w:rsidRDefault="00D35AFB" w:rsidP="00920A21">
      <w:pPr>
        <w:ind w:left="3600"/>
        <w:rPr>
          <w:szCs w:val="24"/>
        </w:rPr>
      </w:pPr>
      <w:r w:rsidRPr="00BB4F5A">
        <w:rPr>
          <w:szCs w:val="24"/>
        </w:rPr>
        <w:t>Georgia-Pacific</w:t>
      </w:r>
    </w:p>
    <w:p w:rsidR="00D35AFB" w:rsidRPr="00BB4F5A" w:rsidRDefault="00D35AFB" w:rsidP="00920A21">
      <w:pPr>
        <w:ind w:left="3600"/>
        <w:rPr>
          <w:szCs w:val="24"/>
        </w:rPr>
      </w:pPr>
      <w:r w:rsidRPr="00BB4F5A">
        <w:rPr>
          <w:szCs w:val="24"/>
        </w:rPr>
        <w:t>Hewlett-Packard</w:t>
      </w:r>
    </w:p>
    <w:p w:rsidR="00D35AFB" w:rsidRPr="00BB4F5A" w:rsidRDefault="00D35AFB" w:rsidP="00920A21">
      <w:pPr>
        <w:ind w:left="3600"/>
        <w:rPr>
          <w:szCs w:val="24"/>
        </w:rPr>
      </w:pPr>
      <w:r w:rsidRPr="00BB4F5A">
        <w:rPr>
          <w:szCs w:val="24"/>
        </w:rPr>
        <w:t>Inland Empire Paper Co.</w:t>
      </w:r>
    </w:p>
    <w:p w:rsidR="00D35AFB" w:rsidRPr="00BB4F5A" w:rsidRDefault="00D35AFB" w:rsidP="00920A21">
      <w:pPr>
        <w:ind w:left="3600"/>
        <w:rPr>
          <w:szCs w:val="24"/>
        </w:rPr>
      </w:pPr>
      <w:r w:rsidRPr="00BB4F5A">
        <w:rPr>
          <w:szCs w:val="24"/>
        </w:rPr>
        <w:t>*Intel</w:t>
      </w:r>
    </w:p>
    <w:p w:rsidR="00D35AFB" w:rsidRPr="00BB4F5A" w:rsidRDefault="00D35AFB" w:rsidP="00920A21">
      <w:pPr>
        <w:ind w:left="3600"/>
        <w:rPr>
          <w:szCs w:val="24"/>
        </w:rPr>
      </w:pPr>
      <w:r w:rsidRPr="00BB4F5A">
        <w:rPr>
          <w:szCs w:val="24"/>
        </w:rPr>
        <w:t>International Paper</w:t>
      </w:r>
    </w:p>
    <w:p w:rsidR="00D35AFB" w:rsidRPr="00BB4F5A" w:rsidRDefault="00D35AFB" w:rsidP="00920A21">
      <w:pPr>
        <w:ind w:left="3600"/>
        <w:rPr>
          <w:szCs w:val="24"/>
        </w:rPr>
      </w:pPr>
      <w:r w:rsidRPr="00BB4F5A">
        <w:rPr>
          <w:szCs w:val="24"/>
        </w:rPr>
        <w:t>J.R. Simplot</w:t>
      </w:r>
    </w:p>
    <w:p w:rsidR="00D35AFB" w:rsidRPr="00BB4F5A" w:rsidRDefault="00D35AFB" w:rsidP="00920A21">
      <w:pPr>
        <w:ind w:left="3600"/>
        <w:rPr>
          <w:szCs w:val="24"/>
        </w:rPr>
      </w:pPr>
      <w:r w:rsidRPr="00BB4F5A">
        <w:rPr>
          <w:szCs w:val="24"/>
        </w:rPr>
        <w:t>Kimberly-Clark Corporation</w:t>
      </w:r>
    </w:p>
    <w:p w:rsidR="00D35AFB" w:rsidRPr="00BB4F5A" w:rsidRDefault="00D35AFB" w:rsidP="00920A21">
      <w:pPr>
        <w:ind w:left="3600"/>
        <w:rPr>
          <w:szCs w:val="24"/>
        </w:rPr>
      </w:pPr>
      <w:r w:rsidRPr="00BB4F5A">
        <w:rPr>
          <w:szCs w:val="24"/>
        </w:rPr>
        <w:t>Linde, Inc.</w:t>
      </w:r>
    </w:p>
    <w:p w:rsidR="00D35AFB" w:rsidRPr="00BB4F5A" w:rsidRDefault="00D35AFB" w:rsidP="00920A21">
      <w:pPr>
        <w:ind w:left="3600"/>
        <w:rPr>
          <w:szCs w:val="24"/>
        </w:rPr>
      </w:pPr>
      <w:r w:rsidRPr="00BB4F5A">
        <w:rPr>
          <w:szCs w:val="24"/>
        </w:rPr>
        <w:t>Longview Fibre</w:t>
      </w:r>
    </w:p>
    <w:p w:rsidR="00D35AFB" w:rsidRPr="00BB4F5A" w:rsidRDefault="00D35AFB" w:rsidP="00920A21">
      <w:pPr>
        <w:ind w:left="3600"/>
        <w:rPr>
          <w:szCs w:val="24"/>
        </w:rPr>
      </w:pPr>
      <w:r w:rsidRPr="00BB4F5A">
        <w:rPr>
          <w:szCs w:val="24"/>
        </w:rPr>
        <w:t>*Microsoft Corporation</w:t>
      </w:r>
    </w:p>
    <w:p w:rsidR="00D35AFB" w:rsidRPr="00BB4F5A" w:rsidRDefault="00D35AFB" w:rsidP="00920A21">
      <w:pPr>
        <w:ind w:left="3600"/>
        <w:rPr>
          <w:szCs w:val="24"/>
        </w:rPr>
      </w:pPr>
      <w:r w:rsidRPr="00BB4F5A">
        <w:rPr>
          <w:szCs w:val="24"/>
        </w:rPr>
        <w:t>Norpac Foods</w:t>
      </w:r>
    </w:p>
    <w:p w:rsidR="00D35AFB" w:rsidRPr="00BB4F5A" w:rsidRDefault="00D35AFB" w:rsidP="00920A21">
      <w:pPr>
        <w:ind w:left="3600"/>
        <w:rPr>
          <w:szCs w:val="24"/>
        </w:rPr>
      </w:pPr>
      <w:r w:rsidRPr="00BB4F5A">
        <w:rPr>
          <w:szCs w:val="24"/>
        </w:rPr>
        <w:t>PCC Structurals, Inc.</w:t>
      </w:r>
    </w:p>
    <w:p w:rsidR="00D35AFB" w:rsidRPr="00BB4F5A" w:rsidRDefault="00D35AFB" w:rsidP="00920A21">
      <w:pPr>
        <w:ind w:left="3600"/>
        <w:rPr>
          <w:szCs w:val="24"/>
        </w:rPr>
      </w:pPr>
      <w:r w:rsidRPr="00BB4F5A">
        <w:rPr>
          <w:szCs w:val="24"/>
        </w:rPr>
        <w:t>Ponderay Newsprint</w:t>
      </w:r>
    </w:p>
    <w:p w:rsidR="00D35AFB" w:rsidRPr="00BB4F5A" w:rsidRDefault="00D35AFB" w:rsidP="00920A21">
      <w:pPr>
        <w:ind w:left="3600"/>
        <w:rPr>
          <w:szCs w:val="24"/>
        </w:rPr>
      </w:pPr>
      <w:r w:rsidRPr="00BB4F5A">
        <w:rPr>
          <w:szCs w:val="24"/>
        </w:rPr>
        <w:t>REC Solar Grade Silicon LLC</w:t>
      </w:r>
    </w:p>
    <w:p w:rsidR="00D35AFB" w:rsidRPr="00BB4F5A" w:rsidRDefault="00D35AFB" w:rsidP="00920A21">
      <w:pPr>
        <w:ind w:left="3600"/>
        <w:rPr>
          <w:szCs w:val="24"/>
        </w:rPr>
      </w:pPr>
      <w:r w:rsidRPr="00BB4F5A">
        <w:rPr>
          <w:szCs w:val="24"/>
        </w:rPr>
        <w:t>*Shell Oil Products US</w:t>
      </w:r>
    </w:p>
    <w:p w:rsidR="00D35AFB" w:rsidRPr="00BB4F5A" w:rsidRDefault="00D35AFB" w:rsidP="00920A21">
      <w:pPr>
        <w:ind w:left="3600"/>
        <w:rPr>
          <w:szCs w:val="24"/>
        </w:rPr>
      </w:pPr>
      <w:r w:rsidRPr="00BB4F5A">
        <w:rPr>
          <w:szCs w:val="24"/>
        </w:rPr>
        <w:t>Simpson Paper &amp; Timber</w:t>
      </w:r>
    </w:p>
    <w:p w:rsidR="00D35AFB" w:rsidRPr="00BB4F5A" w:rsidRDefault="00D35AFB" w:rsidP="00920A21">
      <w:pPr>
        <w:ind w:left="3600"/>
        <w:rPr>
          <w:szCs w:val="24"/>
        </w:rPr>
      </w:pPr>
      <w:r w:rsidRPr="00BB4F5A">
        <w:rPr>
          <w:szCs w:val="24"/>
        </w:rPr>
        <w:t>SP Newsprint</w:t>
      </w:r>
    </w:p>
    <w:p w:rsidR="00D35AFB" w:rsidRPr="00BB4F5A" w:rsidRDefault="00D35AFB" w:rsidP="00920A21">
      <w:pPr>
        <w:ind w:left="3600"/>
        <w:rPr>
          <w:szCs w:val="24"/>
        </w:rPr>
      </w:pPr>
      <w:r w:rsidRPr="00BB4F5A">
        <w:rPr>
          <w:szCs w:val="24"/>
        </w:rPr>
        <w:t>*Tesoro Refining and Marketing Co.</w:t>
      </w:r>
      <w:r w:rsidR="00304581" w:rsidRPr="00BB4F5A">
        <w:rPr>
          <w:szCs w:val="24"/>
        </w:rPr>
        <w:br/>
      </w:r>
      <w:r w:rsidR="00304581" w:rsidRPr="00BB4F5A">
        <w:rPr>
          <w:color w:val="auto"/>
          <w:szCs w:val="24"/>
        </w:rPr>
        <w:t>Timber Products, Inc.</w:t>
      </w:r>
    </w:p>
    <w:p w:rsidR="00D35AFB" w:rsidRPr="00BB4F5A" w:rsidRDefault="00D35AFB" w:rsidP="00920A21">
      <w:pPr>
        <w:ind w:left="3600"/>
        <w:rPr>
          <w:szCs w:val="24"/>
        </w:rPr>
      </w:pPr>
      <w:r w:rsidRPr="00BB4F5A">
        <w:rPr>
          <w:szCs w:val="24"/>
        </w:rPr>
        <w:t>Wah Chang</w:t>
      </w:r>
    </w:p>
    <w:p w:rsidR="00D35AFB" w:rsidRPr="00BB4F5A" w:rsidRDefault="00D35AFB" w:rsidP="00920A21">
      <w:pPr>
        <w:ind w:left="3600"/>
        <w:rPr>
          <w:szCs w:val="24"/>
        </w:rPr>
      </w:pPr>
      <w:r w:rsidRPr="00BB4F5A">
        <w:rPr>
          <w:szCs w:val="24"/>
        </w:rPr>
        <w:t>West Linn Paper Company</w:t>
      </w:r>
    </w:p>
    <w:p w:rsidR="00D35AFB" w:rsidRPr="00BB4F5A" w:rsidRDefault="00D35AFB" w:rsidP="00920A21">
      <w:pPr>
        <w:ind w:left="3600"/>
        <w:rPr>
          <w:szCs w:val="24"/>
        </w:rPr>
      </w:pPr>
      <w:r w:rsidRPr="00BB4F5A">
        <w:rPr>
          <w:szCs w:val="24"/>
        </w:rPr>
        <w:t>*Weyerhaeuser</w:t>
      </w:r>
    </w:p>
    <w:p w:rsidR="00D52E81" w:rsidRPr="00BB4F5A" w:rsidRDefault="00D52E81" w:rsidP="00D35AFB">
      <w:pPr>
        <w:jc w:val="center"/>
        <w:rPr>
          <w:szCs w:val="24"/>
        </w:rPr>
      </w:pPr>
    </w:p>
    <w:p w:rsidR="00D52E81" w:rsidRPr="00BB4F5A" w:rsidRDefault="00D52E81" w:rsidP="00D35AFB">
      <w:pPr>
        <w:jc w:val="center"/>
        <w:rPr>
          <w:szCs w:val="24"/>
        </w:rPr>
      </w:pPr>
    </w:p>
    <w:p w:rsidR="00D52E81" w:rsidRPr="00BB4F5A" w:rsidRDefault="00D52E81" w:rsidP="00BB4F5A">
      <w:pPr>
        <w:rPr>
          <w:szCs w:val="24"/>
        </w:rPr>
      </w:pPr>
    </w:p>
    <w:p w:rsidR="00D35AFB" w:rsidRPr="00BB4F5A" w:rsidRDefault="00D35AFB" w:rsidP="00D35AFB">
      <w:pPr>
        <w:jc w:val="center"/>
        <w:rPr>
          <w:szCs w:val="24"/>
        </w:rPr>
      </w:pPr>
    </w:p>
    <w:p w:rsidR="00C23AF6" w:rsidRPr="00BB4F5A" w:rsidRDefault="00D35AFB" w:rsidP="00D35AFB">
      <w:pPr>
        <w:tabs>
          <w:tab w:val="center" w:pos="4680"/>
        </w:tabs>
        <w:suppressAutoHyphens/>
        <w:rPr>
          <w:szCs w:val="24"/>
        </w:rPr>
      </w:pPr>
      <w:r w:rsidRPr="00BB4F5A">
        <w:rPr>
          <w:szCs w:val="24"/>
        </w:rPr>
        <w:t>*Members served by Puget Sound Energy</w:t>
      </w:r>
    </w:p>
    <w:sectPr w:rsidR="00C23AF6" w:rsidRPr="00BB4F5A" w:rsidSect="009C3107">
      <w:footerReference w:type="default" r:id="rId9"/>
      <w:headerReference w:type="first" r:id="rId10"/>
      <w:pgSz w:w="12240" w:h="15840" w:code="1"/>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EE8" w:rsidRDefault="00A67EE8">
      <w:r>
        <w:separator/>
      </w:r>
    </w:p>
  </w:endnote>
  <w:endnote w:type="continuationSeparator" w:id="0">
    <w:p w:rsidR="00A67EE8" w:rsidRDefault="00A67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Italic">
    <w:panose1 w:val="02020503050405090304"/>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3E" w:rsidRDefault="00FF0B3E">
    <w:pPr>
      <w:pStyle w:val="Footer"/>
    </w:pPr>
  </w:p>
  <w:p w:rsidR="00FF0B3E" w:rsidRDefault="00FF0B3E">
    <w:pPr>
      <w:pStyle w:val="Footer"/>
      <w:rPr>
        <w:rStyle w:val="PageNumber"/>
      </w:rPr>
    </w:pPr>
    <w:r>
      <w:t xml:space="preserve">PAGE </w:t>
    </w:r>
    <w:r w:rsidR="00487E4B">
      <w:rPr>
        <w:rStyle w:val="PageNumber"/>
      </w:rPr>
      <w:fldChar w:fldCharType="begin"/>
    </w:r>
    <w:r>
      <w:rPr>
        <w:rStyle w:val="PageNumber"/>
      </w:rPr>
      <w:instrText xml:space="preserve"> PAGE </w:instrText>
    </w:r>
    <w:r w:rsidR="00487E4B">
      <w:rPr>
        <w:rStyle w:val="PageNumber"/>
      </w:rPr>
      <w:fldChar w:fldCharType="separate"/>
    </w:r>
    <w:r w:rsidR="00FD45B1">
      <w:rPr>
        <w:rStyle w:val="PageNumber"/>
        <w:noProof/>
      </w:rPr>
      <w:t>6</w:t>
    </w:r>
    <w:r w:rsidR="00487E4B">
      <w:rPr>
        <w:rStyle w:val="PageNumber"/>
      </w:rPr>
      <w:fldChar w:fldCharType="end"/>
    </w:r>
    <w:r>
      <w:rPr>
        <w:rStyle w:val="PageNumber"/>
      </w:rPr>
      <w:t xml:space="preserve"> – </w:t>
    </w:r>
    <w:r>
      <w:t xml:space="preserve">PETITION TO INTERVENE </w:t>
    </w:r>
    <w:r w:rsidR="00254E86">
      <w:t xml:space="preserve">AND COMMENTS </w:t>
    </w:r>
    <w:r>
      <w:t xml:space="preserve">OF ICNU </w:t>
    </w:r>
  </w:p>
  <w:p w:rsidR="00FF0B3E" w:rsidRDefault="00FF0B3E">
    <w:pPr>
      <w:pStyle w:val="Footer"/>
      <w:rPr>
        <w:rStyle w:val="PageNumber"/>
      </w:rPr>
    </w:pPr>
  </w:p>
  <w:p w:rsidR="00FF0B3E" w:rsidRPr="000421CF" w:rsidRDefault="00FF0B3E">
    <w:pPr>
      <w:jc w:val="center"/>
      <w:rPr>
        <w:rFonts w:ascii="EngraversGothic BT" w:hAnsi="EngraversGothic BT"/>
        <w:sz w:val="15"/>
        <w:szCs w:val="15"/>
      </w:rPr>
    </w:pPr>
    <w:r w:rsidRPr="000421CF">
      <w:rPr>
        <w:rFonts w:ascii="EngraversGothic BT" w:hAnsi="EngraversGothic BT"/>
        <w:sz w:val="15"/>
        <w:szCs w:val="15"/>
      </w:rPr>
      <w:t>DAVISON VAN CLEVE, P.C.</w:t>
    </w:r>
  </w:p>
  <w:p w:rsidR="00FF0B3E" w:rsidRPr="000421CF" w:rsidRDefault="00FF0B3E">
    <w:pPr>
      <w:tabs>
        <w:tab w:val="center" w:pos="4680"/>
      </w:tabs>
      <w:jc w:val="center"/>
      <w:rPr>
        <w:rFonts w:ascii="EngraversGothic BT" w:hAnsi="EngraversGothic BT"/>
        <w:sz w:val="15"/>
        <w:szCs w:val="15"/>
      </w:rPr>
    </w:pPr>
    <w:r w:rsidRPr="000421CF">
      <w:rPr>
        <w:rFonts w:ascii="EngraversGothic BT" w:hAnsi="EngraversGothic BT"/>
        <w:sz w:val="15"/>
        <w:szCs w:val="15"/>
      </w:rPr>
      <w:t xml:space="preserve">333 S.W. Taylor, </w:t>
    </w:r>
    <w:smartTag w:uri="urn:schemas-microsoft-com:office:smarttags" w:element="address">
      <w:smartTag w:uri="urn:schemas-microsoft-com:office:smarttags" w:element="Street">
        <w:r w:rsidRPr="000421CF">
          <w:rPr>
            <w:rFonts w:ascii="EngraversGothic BT" w:hAnsi="EngraversGothic BT"/>
            <w:sz w:val="15"/>
            <w:szCs w:val="15"/>
          </w:rPr>
          <w:t>Suite</w:t>
        </w:r>
      </w:smartTag>
      <w:r w:rsidRPr="000421CF">
        <w:rPr>
          <w:rFonts w:ascii="EngraversGothic BT" w:hAnsi="EngraversGothic BT"/>
          <w:sz w:val="15"/>
          <w:szCs w:val="15"/>
        </w:rPr>
        <w:t xml:space="preserve"> 400</w:t>
      </w:r>
    </w:smartTag>
  </w:p>
  <w:p w:rsidR="00FF0B3E" w:rsidRPr="000421CF" w:rsidRDefault="00FF0B3E">
    <w:pPr>
      <w:tabs>
        <w:tab w:val="center" w:pos="4680"/>
      </w:tabs>
      <w:jc w:val="center"/>
      <w:rPr>
        <w:rFonts w:ascii="EngraversGothic BT" w:hAnsi="EngraversGothic BT"/>
        <w:sz w:val="15"/>
        <w:szCs w:val="15"/>
      </w:rPr>
    </w:pPr>
    <w:smartTag w:uri="urn:schemas-microsoft-com:office:smarttags" w:element="place">
      <w:smartTag w:uri="urn:schemas-microsoft-com:office:smarttags" w:element="City">
        <w:r w:rsidRPr="000421CF">
          <w:rPr>
            <w:rFonts w:ascii="EngraversGothic BT" w:hAnsi="EngraversGothic BT"/>
            <w:sz w:val="15"/>
            <w:szCs w:val="15"/>
          </w:rPr>
          <w:t>Portland</w:t>
        </w:r>
      </w:smartTag>
      <w:r w:rsidRPr="000421CF">
        <w:rPr>
          <w:rFonts w:ascii="EngraversGothic BT" w:hAnsi="EngraversGothic BT"/>
          <w:sz w:val="15"/>
          <w:szCs w:val="15"/>
        </w:rPr>
        <w:t xml:space="preserve">, </w:t>
      </w:r>
      <w:smartTag w:uri="urn:schemas-microsoft-com:office:smarttags" w:element="State">
        <w:r w:rsidRPr="000421CF">
          <w:rPr>
            <w:rFonts w:ascii="EngraversGothic BT" w:hAnsi="EngraversGothic BT"/>
            <w:sz w:val="15"/>
            <w:szCs w:val="15"/>
          </w:rPr>
          <w:t>OR</w:t>
        </w:r>
      </w:smartTag>
      <w:r w:rsidRPr="000421CF">
        <w:rPr>
          <w:rFonts w:ascii="EngraversGothic BT" w:hAnsi="EngraversGothic BT"/>
          <w:sz w:val="15"/>
          <w:szCs w:val="15"/>
        </w:rPr>
        <w:t xml:space="preserve"> </w:t>
      </w:r>
      <w:smartTag w:uri="urn:schemas-microsoft-com:office:smarttags" w:element="PostalCode">
        <w:r w:rsidRPr="000421CF">
          <w:rPr>
            <w:rFonts w:ascii="EngraversGothic BT" w:hAnsi="EngraversGothic BT"/>
            <w:sz w:val="15"/>
            <w:szCs w:val="15"/>
          </w:rPr>
          <w:t>97204</w:t>
        </w:r>
      </w:smartTag>
    </w:smartTag>
  </w:p>
  <w:p w:rsidR="00FF0B3E" w:rsidRPr="000421CF" w:rsidRDefault="00FF0B3E">
    <w:pPr>
      <w:tabs>
        <w:tab w:val="center" w:pos="4680"/>
      </w:tabs>
      <w:jc w:val="center"/>
      <w:rPr>
        <w:rFonts w:ascii="EngraversGothic BT" w:hAnsi="EngraversGothic BT"/>
        <w:sz w:val="15"/>
        <w:szCs w:val="15"/>
      </w:rPr>
    </w:pPr>
    <w:r w:rsidRPr="000421CF">
      <w:rPr>
        <w:rFonts w:ascii="EngraversGothic BT" w:hAnsi="EngraversGothic BT"/>
        <w:sz w:val="15"/>
        <w:szCs w:val="15"/>
      </w:rPr>
      <w:t>Telephone:  (503) 241-7242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3E" w:rsidRDefault="00FF0B3E">
    <w:pPr>
      <w:pStyle w:val="Footer"/>
      <w:rPr>
        <w:rStyle w:val="PageNumber"/>
      </w:rPr>
    </w:pPr>
    <w:r>
      <w:t xml:space="preserve">PAGE </w:t>
    </w:r>
    <w:r w:rsidR="00487E4B">
      <w:rPr>
        <w:rStyle w:val="PageNumber"/>
      </w:rPr>
      <w:fldChar w:fldCharType="begin"/>
    </w:r>
    <w:r>
      <w:rPr>
        <w:rStyle w:val="PageNumber"/>
      </w:rPr>
      <w:instrText xml:space="preserve"> PAGE </w:instrText>
    </w:r>
    <w:r w:rsidR="00487E4B">
      <w:rPr>
        <w:rStyle w:val="PageNumber"/>
      </w:rPr>
      <w:fldChar w:fldCharType="separate"/>
    </w:r>
    <w:r>
      <w:rPr>
        <w:rStyle w:val="PageNumber"/>
        <w:noProof/>
      </w:rPr>
      <w:t>5</w:t>
    </w:r>
    <w:r w:rsidR="00487E4B">
      <w:rPr>
        <w:rStyle w:val="PageNumber"/>
      </w:rPr>
      <w:fldChar w:fldCharType="end"/>
    </w:r>
    <w:r>
      <w:rPr>
        <w:rStyle w:val="PageNumber"/>
      </w:rPr>
      <w:t xml:space="preserve"> – PETITION FOR LEAVE TO INTERVENE AND REQUEST FOR HEARING</w:t>
    </w:r>
  </w:p>
  <w:p w:rsidR="00FF0B3E" w:rsidRDefault="00FF0B3E">
    <w:pPr>
      <w:pStyle w:val="Footer"/>
      <w:rPr>
        <w:rStyle w:val="PageNumber"/>
      </w:rPr>
    </w:pPr>
  </w:p>
  <w:p w:rsidR="00FF0B3E" w:rsidRDefault="00FF0B3E">
    <w:pPr>
      <w:jc w:val="center"/>
      <w:rPr>
        <w:rFonts w:ascii="EngraversGothic BT" w:hAnsi="EngraversGothic BT"/>
        <w:sz w:val="16"/>
      </w:rPr>
    </w:pPr>
    <w:r>
      <w:rPr>
        <w:rFonts w:ascii="EngraversGothic BT" w:hAnsi="EngraversGothic BT"/>
        <w:sz w:val="16"/>
      </w:rPr>
      <w:t>DAVISON VAN CLEVE, P.C.</w:t>
    </w:r>
  </w:p>
  <w:p w:rsidR="00FF0B3E" w:rsidRDefault="00FF0B3E">
    <w:pPr>
      <w:tabs>
        <w:tab w:val="center" w:pos="4680"/>
      </w:tabs>
      <w:jc w:val="center"/>
      <w:rPr>
        <w:rFonts w:ascii="EngraversGothic BT" w:hAnsi="EngraversGothic BT"/>
        <w:sz w:val="16"/>
      </w:rPr>
    </w:pPr>
    <w:smartTag w:uri="urn:schemas-microsoft-com:office:smarttags" w:element="Street">
      <w:smartTag w:uri="urn:schemas-microsoft-com:office:smarttags" w:element="address">
        <w:r>
          <w:rPr>
            <w:rFonts w:ascii="EngraversGothic BT" w:hAnsi="EngraversGothic BT"/>
            <w:sz w:val="16"/>
          </w:rPr>
          <w:t>1300 SW Fifth Avenue, Suite 2915</w:t>
        </w:r>
      </w:smartTag>
    </w:smartTag>
  </w:p>
  <w:p w:rsidR="00FF0B3E" w:rsidRDefault="00FF0B3E">
    <w:pPr>
      <w:tabs>
        <w:tab w:val="center" w:pos="4680"/>
      </w:tabs>
      <w:jc w:val="center"/>
      <w:rPr>
        <w:rFonts w:ascii="EngraversGothic BT" w:hAnsi="EngraversGothic BT"/>
        <w:sz w:val="16"/>
      </w:rPr>
    </w:pPr>
    <w:smartTag w:uri="urn:schemas-microsoft-com:office:smarttags" w:element="place">
      <w:smartTag w:uri="urn:schemas-microsoft-com:office:smarttags" w:element="City">
        <w:r>
          <w:rPr>
            <w:rFonts w:ascii="EngraversGothic BT" w:hAnsi="EngraversGothic BT"/>
            <w:sz w:val="16"/>
          </w:rPr>
          <w:t>Portland</w:t>
        </w:r>
      </w:smartTag>
      <w:r>
        <w:rPr>
          <w:rFonts w:ascii="EngraversGothic BT" w:hAnsi="EngraversGothic BT"/>
          <w:sz w:val="16"/>
        </w:rPr>
        <w:t xml:space="preserve">, </w:t>
      </w:r>
      <w:smartTag w:uri="urn:schemas-microsoft-com:office:smarttags" w:element="State">
        <w:r>
          <w:rPr>
            <w:rFonts w:ascii="EngraversGothic BT" w:hAnsi="EngraversGothic BT"/>
            <w:sz w:val="16"/>
          </w:rPr>
          <w:t>OR</w:t>
        </w:r>
      </w:smartTag>
      <w:r>
        <w:rPr>
          <w:rFonts w:ascii="EngraversGothic BT" w:hAnsi="EngraversGothic BT"/>
          <w:sz w:val="16"/>
        </w:rPr>
        <w:t xml:space="preserve"> </w:t>
      </w:r>
      <w:smartTag w:uri="urn:schemas-microsoft-com:office:smarttags" w:element="PostalCode">
        <w:r>
          <w:rPr>
            <w:rFonts w:ascii="EngraversGothic BT" w:hAnsi="EngraversGothic BT"/>
            <w:sz w:val="16"/>
          </w:rPr>
          <w:t>97201</w:t>
        </w:r>
      </w:smartTag>
    </w:smartTag>
  </w:p>
  <w:p w:rsidR="00FF0B3E" w:rsidRDefault="00FF0B3E">
    <w:pPr>
      <w:pStyle w:val="Footer"/>
      <w:jc w:val="center"/>
    </w:pPr>
    <w:r>
      <w:rPr>
        <w:rFonts w:ascii="EngraversGothic BT" w:hAnsi="EngraversGothic BT"/>
        <w:sz w:val="16"/>
      </w:rPr>
      <w:t>Telephone (503) 241-7242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EE8" w:rsidRDefault="00A67EE8">
      <w:r>
        <w:separator/>
      </w:r>
    </w:p>
  </w:footnote>
  <w:footnote w:type="continuationSeparator" w:id="0">
    <w:p w:rsidR="00A67EE8" w:rsidRDefault="00A67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3E" w:rsidRDefault="00FF0B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rsids>
    <w:rsidRoot w:val="003E72FA"/>
    <w:rsid w:val="0000092F"/>
    <w:rsid w:val="000375E1"/>
    <w:rsid w:val="000421CF"/>
    <w:rsid w:val="00046808"/>
    <w:rsid w:val="00055C05"/>
    <w:rsid w:val="00066CEB"/>
    <w:rsid w:val="000A1CF0"/>
    <w:rsid w:val="000D2D96"/>
    <w:rsid w:val="000E5C32"/>
    <w:rsid w:val="000E6BA2"/>
    <w:rsid w:val="000F03F6"/>
    <w:rsid w:val="000F06D5"/>
    <w:rsid w:val="000F17DE"/>
    <w:rsid w:val="000F1D96"/>
    <w:rsid w:val="000F5A18"/>
    <w:rsid w:val="001159E1"/>
    <w:rsid w:val="001304FF"/>
    <w:rsid w:val="00132590"/>
    <w:rsid w:val="00132C10"/>
    <w:rsid w:val="00141494"/>
    <w:rsid w:val="00157AC4"/>
    <w:rsid w:val="00175829"/>
    <w:rsid w:val="00190942"/>
    <w:rsid w:val="00197764"/>
    <w:rsid w:val="001B55E5"/>
    <w:rsid w:val="001C41E3"/>
    <w:rsid w:val="001E535A"/>
    <w:rsid w:val="001F51A6"/>
    <w:rsid w:val="00205AB1"/>
    <w:rsid w:val="00210692"/>
    <w:rsid w:val="00221B69"/>
    <w:rsid w:val="0023037A"/>
    <w:rsid w:val="00254E86"/>
    <w:rsid w:val="0025552B"/>
    <w:rsid w:val="002660C0"/>
    <w:rsid w:val="00270DDE"/>
    <w:rsid w:val="002733E3"/>
    <w:rsid w:val="00274631"/>
    <w:rsid w:val="00287E01"/>
    <w:rsid w:val="002905AD"/>
    <w:rsid w:val="002A6B4A"/>
    <w:rsid w:val="002B06CD"/>
    <w:rsid w:val="002B5078"/>
    <w:rsid w:val="002C08FE"/>
    <w:rsid w:val="002C2257"/>
    <w:rsid w:val="002C7E8E"/>
    <w:rsid w:val="002D0932"/>
    <w:rsid w:val="002E1107"/>
    <w:rsid w:val="002E1995"/>
    <w:rsid w:val="00304581"/>
    <w:rsid w:val="0030579E"/>
    <w:rsid w:val="00320ACD"/>
    <w:rsid w:val="0033776F"/>
    <w:rsid w:val="00350E47"/>
    <w:rsid w:val="00357236"/>
    <w:rsid w:val="00396950"/>
    <w:rsid w:val="003B2005"/>
    <w:rsid w:val="003B3646"/>
    <w:rsid w:val="003D2080"/>
    <w:rsid w:val="003E72FA"/>
    <w:rsid w:val="003F1412"/>
    <w:rsid w:val="00400229"/>
    <w:rsid w:val="00433C9C"/>
    <w:rsid w:val="00433F30"/>
    <w:rsid w:val="0045241D"/>
    <w:rsid w:val="004643BF"/>
    <w:rsid w:val="00487E4B"/>
    <w:rsid w:val="00491745"/>
    <w:rsid w:val="004A652D"/>
    <w:rsid w:val="004B2713"/>
    <w:rsid w:val="004B33BF"/>
    <w:rsid w:val="004B3DD8"/>
    <w:rsid w:val="004F50D7"/>
    <w:rsid w:val="0051080F"/>
    <w:rsid w:val="00525DBD"/>
    <w:rsid w:val="00544259"/>
    <w:rsid w:val="00544311"/>
    <w:rsid w:val="00553387"/>
    <w:rsid w:val="0056133E"/>
    <w:rsid w:val="00576D21"/>
    <w:rsid w:val="00582416"/>
    <w:rsid w:val="00587DA7"/>
    <w:rsid w:val="005A0F14"/>
    <w:rsid w:val="005B2407"/>
    <w:rsid w:val="005D46E3"/>
    <w:rsid w:val="005E61A1"/>
    <w:rsid w:val="00600682"/>
    <w:rsid w:val="00605D05"/>
    <w:rsid w:val="006223F4"/>
    <w:rsid w:val="00625987"/>
    <w:rsid w:val="00632A55"/>
    <w:rsid w:val="006431FE"/>
    <w:rsid w:val="00645871"/>
    <w:rsid w:val="00664985"/>
    <w:rsid w:val="00665EF9"/>
    <w:rsid w:val="006771EB"/>
    <w:rsid w:val="00677EAD"/>
    <w:rsid w:val="00690869"/>
    <w:rsid w:val="006A4851"/>
    <w:rsid w:val="006C2DFC"/>
    <w:rsid w:val="006D4A08"/>
    <w:rsid w:val="006D5D3C"/>
    <w:rsid w:val="006F3CF1"/>
    <w:rsid w:val="00735328"/>
    <w:rsid w:val="007441E1"/>
    <w:rsid w:val="00751215"/>
    <w:rsid w:val="007629B0"/>
    <w:rsid w:val="00771BB1"/>
    <w:rsid w:val="007755E4"/>
    <w:rsid w:val="007A08D3"/>
    <w:rsid w:val="007A28EC"/>
    <w:rsid w:val="007B0D24"/>
    <w:rsid w:val="007D79D8"/>
    <w:rsid w:val="007F2740"/>
    <w:rsid w:val="007F3B13"/>
    <w:rsid w:val="00800D42"/>
    <w:rsid w:val="008204AF"/>
    <w:rsid w:val="008524DF"/>
    <w:rsid w:val="008569A1"/>
    <w:rsid w:val="00876DDD"/>
    <w:rsid w:val="008A1E8E"/>
    <w:rsid w:val="008B254E"/>
    <w:rsid w:val="008D4CDA"/>
    <w:rsid w:val="008F0951"/>
    <w:rsid w:val="008F77AD"/>
    <w:rsid w:val="00920A21"/>
    <w:rsid w:val="00935059"/>
    <w:rsid w:val="00944512"/>
    <w:rsid w:val="00950E66"/>
    <w:rsid w:val="00973CAF"/>
    <w:rsid w:val="0098441E"/>
    <w:rsid w:val="0099166D"/>
    <w:rsid w:val="00993C9B"/>
    <w:rsid w:val="00996D29"/>
    <w:rsid w:val="0099769F"/>
    <w:rsid w:val="009B4154"/>
    <w:rsid w:val="009C3107"/>
    <w:rsid w:val="009E654A"/>
    <w:rsid w:val="009F1BBC"/>
    <w:rsid w:val="009F4545"/>
    <w:rsid w:val="009F79C4"/>
    <w:rsid w:val="00A1669D"/>
    <w:rsid w:val="00A22719"/>
    <w:rsid w:val="00A43800"/>
    <w:rsid w:val="00A64D7A"/>
    <w:rsid w:val="00A67EE8"/>
    <w:rsid w:val="00A7380F"/>
    <w:rsid w:val="00A873F4"/>
    <w:rsid w:val="00A91FF2"/>
    <w:rsid w:val="00AA442B"/>
    <w:rsid w:val="00AA7443"/>
    <w:rsid w:val="00AC01CC"/>
    <w:rsid w:val="00AC6061"/>
    <w:rsid w:val="00AE5304"/>
    <w:rsid w:val="00B319F3"/>
    <w:rsid w:val="00B43794"/>
    <w:rsid w:val="00B464A2"/>
    <w:rsid w:val="00B6769A"/>
    <w:rsid w:val="00B70C0B"/>
    <w:rsid w:val="00B979BB"/>
    <w:rsid w:val="00BA0DD6"/>
    <w:rsid w:val="00BA3885"/>
    <w:rsid w:val="00BB2B38"/>
    <w:rsid w:val="00BB4F5A"/>
    <w:rsid w:val="00BC0EFD"/>
    <w:rsid w:val="00BF67F2"/>
    <w:rsid w:val="00BF72AF"/>
    <w:rsid w:val="00C05093"/>
    <w:rsid w:val="00C068BF"/>
    <w:rsid w:val="00C23AF6"/>
    <w:rsid w:val="00C450EE"/>
    <w:rsid w:val="00C56DDF"/>
    <w:rsid w:val="00C702C9"/>
    <w:rsid w:val="00C7063F"/>
    <w:rsid w:val="00C843DE"/>
    <w:rsid w:val="00C873D0"/>
    <w:rsid w:val="00C95202"/>
    <w:rsid w:val="00CF5A84"/>
    <w:rsid w:val="00D103D5"/>
    <w:rsid w:val="00D230AD"/>
    <w:rsid w:val="00D2696E"/>
    <w:rsid w:val="00D34185"/>
    <w:rsid w:val="00D35AFB"/>
    <w:rsid w:val="00D474F4"/>
    <w:rsid w:val="00D52E81"/>
    <w:rsid w:val="00D61856"/>
    <w:rsid w:val="00D764D2"/>
    <w:rsid w:val="00D8002D"/>
    <w:rsid w:val="00D93EC4"/>
    <w:rsid w:val="00D973E7"/>
    <w:rsid w:val="00DC1EBE"/>
    <w:rsid w:val="00DC390A"/>
    <w:rsid w:val="00DC56D5"/>
    <w:rsid w:val="00E155C9"/>
    <w:rsid w:val="00E2051B"/>
    <w:rsid w:val="00E415D2"/>
    <w:rsid w:val="00E421DB"/>
    <w:rsid w:val="00E45E21"/>
    <w:rsid w:val="00E51036"/>
    <w:rsid w:val="00E51ED0"/>
    <w:rsid w:val="00E62F3B"/>
    <w:rsid w:val="00E9479B"/>
    <w:rsid w:val="00EA244C"/>
    <w:rsid w:val="00EC5247"/>
    <w:rsid w:val="00EE5DF9"/>
    <w:rsid w:val="00EF0554"/>
    <w:rsid w:val="00F006AD"/>
    <w:rsid w:val="00F03319"/>
    <w:rsid w:val="00F12714"/>
    <w:rsid w:val="00F12958"/>
    <w:rsid w:val="00F17722"/>
    <w:rsid w:val="00F25791"/>
    <w:rsid w:val="00F26498"/>
    <w:rsid w:val="00F45D9F"/>
    <w:rsid w:val="00F47E1A"/>
    <w:rsid w:val="00F5100D"/>
    <w:rsid w:val="00F5608C"/>
    <w:rsid w:val="00F62067"/>
    <w:rsid w:val="00FA7688"/>
    <w:rsid w:val="00FB3641"/>
    <w:rsid w:val="00FD35F7"/>
    <w:rsid w:val="00FD45B1"/>
    <w:rsid w:val="00FE62E9"/>
    <w:rsid w:val="00FE6E4A"/>
    <w:rsid w:val="00FF0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107"/>
    <w:rPr>
      <w:color w:val="000000"/>
      <w:sz w:val="24"/>
    </w:rPr>
  </w:style>
  <w:style w:type="paragraph" w:styleId="Heading1">
    <w:name w:val="heading 1"/>
    <w:basedOn w:val="Normal"/>
    <w:next w:val="Normal"/>
    <w:qFormat/>
    <w:rsid w:val="009C3107"/>
    <w:pPr>
      <w:keepNext/>
      <w:tabs>
        <w:tab w:val="center" w:pos="4680"/>
      </w:tabs>
      <w:outlineLvl w:val="0"/>
    </w:pPr>
    <w:rPr>
      <w:b/>
      <w:snapToGrid w:val="0"/>
      <w:color w:val="auto"/>
      <w:sz w:val="28"/>
    </w:rPr>
  </w:style>
  <w:style w:type="paragraph" w:styleId="Heading2">
    <w:name w:val="heading 2"/>
    <w:basedOn w:val="Normal"/>
    <w:next w:val="Normal"/>
    <w:qFormat/>
    <w:rsid w:val="009C3107"/>
    <w:pPr>
      <w:keepNext/>
      <w:tabs>
        <w:tab w:val="center" w:pos="4680"/>
      </w:tabs>
      <w:suppressAutoHyphens/>
      <w:jc w:val="cente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C3107"/>
    <w:pPr>
      <w:framePr w:w="7920" w:h="1980" w:hRule="exact" w:hSpace="180" w:wrap="auto" w:hAnchor="page" w:xAlign="center" w:yAlign="bottom"/>
      <w:ind w:left="2880"/>
    </w:pPr>
  </w:style>
  <w:style w:type="paragraph" w:styleId="Footer">
    <w:name w:val="footer"/>
    <w:basedOn w:val="Normal"/>
    <w:link w:val="FooterChar"/>
    <w:uiPriority w:val="99"/>
    <w:rsid w:val="009C3107"/>
    <w:pPr>
      <w:widowControl w:val="0"/>
      <w:tabs>
        <w:tab w:val="center" w:pos="4320"/>
        <w:tab w:val="right" w:pos="8640"/>
      </w:tabs>
    </w:pPr>
    <w:rPr>
      <w:snapToGrid w:val="0"/>
      <w:color w:val="auto"/>
    </w:rPr>
  </w:style>
  <w:style w:type="character" w:styleId="PageNumber">
    <w:name w:val="page number"/>
    <w:basedOn w:val="DefaultParagraphFont"/>
    <w:uiPriority w:val="99"/>
    <w:rsid w:val="009C3107"/>
  </w:style>
  <w:style w:type="paragraph" w:styleId="BodyTextIndent">
    <w:name w:val="Body Text Indent"/>
    <w:basedOn w:val="Normal"/>
    <w:rsid w:val="009C3107"/>
    <w:pPr>
      <w:spacing w:line="480" w:lineRule="auto"/>
      <w:ind w:firstLine="720"/>
    </w:pPr>
    <w:rPr>
      <w:snapToGrid w:val="0"/>
      <w:color w:val="auto"/>
    </w:rPr>
  </w:style>
  <w:style w:type="paragraph" w:styleId="BodyTextIndent2">
    <w:name w:val="Body Text Indent 2"/>
    <w:basedOn w:val="Normal"/>
    <w:rsid w:val="009C3107"/>
    <w:pPr>
      <w:spacing w:line="480" w:lineRule="auto"/>
      <w:ind w:firstLine="1440"/>
    </w:pPr>
    <w:rPr>
      <w:color w:val="auto"/>
    </w:rPr>
  </w:style>
  <w:style w:type="paragraph" w:styleId="Header">
    <w:name w:val="header"/>
    <w:basedOn w:val="Normal"/>
    <w:link w:val="HeaderChar"/>
    <w:uiPriority w:val="99"/>
    <w:rsid w:val="009C3107"/>
    <w:pPr>
      <w:tabs>
        <w:tab w:val="center" w:pos="4320"/>
        <w:tab w:val="right" w:pos="8640"/>
      </w:tabs>
    </w:pPr>
    <w:rPr>
      <w:color w:val="auto"/>
      <w:sz w:val="20"/>
    </w:rPr>
  </w:style>
  <w:style w:type="paragraph" w:customStyle="1" w:styleId="SingleSpacing">
    <w:name w:val="Single Spacing"/>
    <w:basedOn w:val="Normal"/>
    <w:rsid w:val="009C3107"/>
    <w:pPr>
      <w:spacing w:line="254" w:lineRule="exact"/>
    </w:pPr>
    <w:rPr>
      <w:color w:val="auto"/>
    </w:rPr>
  </w:style>
  <w:style w:type="paragraph" w:styleId="BodyText2">
    <w:name w:val="Body Text 2"/>
    <w:basedOn w:val="Normal"/>
    <w:rsid w:val="009C3107"/>
    <w:rPr>
      <w:color w:val="auto"/>
    </w:rPr>
  </w:style>
  <w:style w:type="character" w:styleId="Hyperlink">
    <w:name w:val="Hyperlink"/>
    <w:basedOn w:val="DefaultParagraphFont"/>
    <w:rsid w:val="009C3107"/>
    <w:rPr>
      <w:color w:val="0000FF"/>
      <w:u w:val="single"/>
    </w:rPr>
  </w:style>
  <w:style w:type="paragraph" w:styleId="EndnoteText">
    <w:name w:val="endnote text"/>
    <w:basedOn w:val="Normal"/>
    <w:link w:val="EndnoteTextChar"/>
    <w:uiPriority w:val="99"/>
    <w:semiHidden/>
    <w:rsid w:val="009C3107"/>
    <w:pPr>
      <w:widowControl w:val="0"/>
      <w:overflowPunct w:val="0"/>
      <w:autoSpaceDE w:val="0"/>
      <w:autoSpaceDN w:val="0"/>
      <w:adjustRightInd w:val="0"/>
      <w:textAlignment w:val="baseline"/>
    </w:pPr>
    <w:rPr>
      <w:rFonts w:ascii="Courier" w:hAnsi="Courier"/>
      <w:color w:val="auto"/>
    </w:rPr>
  </w:style>
  <w:style w:type="paragraph" w:customStyle="1" w:styleId="WUTCHeading1">
    <w:name w:val="WUTC Heading 1"/>
    <w:basedOn w:val="Normal"/>
    <w:next w:val="Normal"/>
    <w:rsid w:val="009C3107"/>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rsid w:val="009C3107"/>
    <w:pPr>
      <w:numPr>
        <w:ilvl w:val="1"/>
        <w:numId w:val="3"/>
      </w:numPr>
      <w:jc w:val="left"/>
      <w:outlineLvl w:val="1"/>
    </w:pPr>
    <w:rPr>
      <w:caps w:val="0"/>
    </w:rPr>
  </w:style>
  <w:style w:type="paragraph" w:customStyle="1" w:styleId="WUTCParagraph">
    <w:name w:val="WUTC Paragraph"/>
    <w:basedOn w:val="Normal"/>
    <w:rsid w:val="009C3107"/>
    <w:pPr>
      <w:numPr>
        <w:numId w:val="4"/>
      </w:numPr>
      <w:tabs>
        <w:tab w:val="clear" w:pos="0"/>
        <w:tab w:val="left" w:pos="1440"/>
      </w:tabs>
      <w:spacing w:line="480" w:lineRule="auto"/>
    </w:pPr>
    <w:rPr>
      <w:color w:val="auto"/>
      <w:szCs w:val="24"/>
    </w:rPr>
  </w:style>
  <w:style w:type="paragraph" w:customStyle="1" w:styleId="WUTCHeading3">
    <w:name w:val="WUTC Heading 3"/>
    <w:basedOn w:val="WUTCHeading1"/>
    <w:rsid w:val="009C3107"/>
    <w:pPr>
      <w:numPr>
        <w:ilvl w:val="2"/>
        <w:numId w:val="5"/>
      </w:numPr>
      <w:jc w:val="left"/>
      <w:outlineLvl w:val="2"/>
    </w:pPr>
    <w:rPr>
      <w:caps w:val="0"/>
    </w:rPr>
  </w:style>
  <w:style w:type="paragraph" w:customStyle="1" w:styleId="wfxRecipient">
    <w:name w:val="wfxRecipient"/>
    <w:basedOn w:val="Normal"/>
    <w:uiPriority w:val="99"/>
    <w:rsid w:val="009C3107"/>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basedOn w:val="DefaultParagraphFont"/>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basedOn w:val="DefaultParagraphFont"/>
    <w:link w:val="EndnoteText"/>
    <w:uiPriority w:val="99"/>
    <w:semiHidden/>
    <w:rsid w:val="00625987"/>
    <w:rPr>
      <w:rFonts w:ascii="Courier" w:hAnsi="Courier"/>
      <w:sz w:val="24"/>
    </w:rPr>
  </w:style>
  <w:style w:type="paragraph" w:styleId="BalloonText">
    <w:name w:val="Balloon Text"/>
    <w:basedOn w:val="Normal"/>
    <w:link w:val="BalloonTextChar"/>
    <w:rsid w:val="000F06D5"/>
    <w:rPr>
      <w:rFonts w:ascii="Tahoma" w:hAnsi="Tahoma" w:cs="Tahoma"/>
      <w:sz w:val="16"/>
      <w:szCs w:val="16"/>
    </w:rPr>
  </w:style>
  <w:style w:type="character" w:customStyle="1" w:styleId="BalloonTextChar">
    <w:name w:val="Balloon Text Char"/>
    <w:basedOn w:val="DefaultParagraphFont"/>
    <w:link w:val="BalloonText"/>
    <w:rsid w:val="000F06D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BE44FF6223504780AE77190ACC4272" ma:contentTypeVersion="143" ma:contentTypeDescription="" ma:contentTypeScope="" ma:versionID="0035998e60982bf347b43c90f42f78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Petition</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2011-09-16T07:00:00+00:00</OpenedDate>
    <Date1 xmlns="dc463f71-b30c-4ab2-9473-d307f9d35888">2011-09-30T07:00:00+00:00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111701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961CA9-5547-411C-A8DC-D184988700E0}"/>
</file>

<file path=customXml/itemProps2.xml><?xml version="1.0" encoding="utf-8"?>
<ds:datastoreItem xmlns:ds="http://schemas.openxmlformats.org/officeDocument/2006/customXml" ds:itemID="{255D5A2B-7F90-47B6-BF99-49923CF6E585}"/>
</file>

<file path=customXml/itemProps3.xml><?xml version="1.0" encoding="utf-8"?>
<ds:datastoreItem xmlns:ds="http://schemas.openxmlformats.org/officeDocument/2006/customXml" ds:itemID="{4DDEB47A-205A-42A2-B055-B11A5C51435D}"/>
</file>

<file path=customXml/itemProps4.xml><?xml version="1.0" encoding="utf-8"?>
<ds:datastoreItem xmlns:ds="http://schemas.openxmlformats.org/officeDocument/2006/customXml" ds:itemID="{A0697DD2-03D8-4BFB-887E-F3255551BB4B}"/>
</file>

<file path=customXml/itemProps5.xml><?xml version="1.0" encoding="utf-8"?>
<ds:datastoreItem xmlns:ds="http://schemas.openxmlformats.org/officeDocument/2006/customXml" ds:itemID="{4A6C5275-11EF-4A75-BA89-4A9E74F478E7}"/>
</file>

<file path=docProps/app.xml><?xml version="1.0" encoding="utf-8"?>
<Properties xmlns="http://schemas.openxmlformats.org/officeDocument/2006/extended-properties" xmlns:vt="http://schemas.openxmlformats.org/officeDocument/2006/docPropsVTypes">
  <Template>Normal</Template>
  <TotalTime>7</TotalTime>
  <Pages>7</Pages>
  <Words>1363</Words>
  <Characters>7474</Characters>
  <Application>Microsoft Office Word</Application>
  <DocSecurity>0</DocSecurity>
  <Lines>373</Lines>
  <Paragraphs>285</Paragraphs>
  <ScaleCrop>false</ScaleCrop>
  <HeadingPairs>
    <vt:vector size="2" baseType="variant">
      <vt:variant>
        <vt:lpstr>Title</vt:lpstr>
      </vt:variant>
      <vt:variant>
        <vt:i4>1</vt:i4>
      </vt:variant>
    </vt:vector>
  </HeadingPairs>
  <TitlesOfParts>
    <vt:vector size="1" baseType="lpstr">
      <vt:lpstr>BEFORE THE</vt:lpstr>
    </vt:vector>
  </TitlesOfParts>
  <Company>Davison Van Cleve</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Melinda J. Davison</dc:creator>
  <cp:keywords/>
  <cp:lastModifiedBy>Jacqueline E. Smith</cp:lastModifiedBy>
  <cp:revision>14</cp:revision>
  <cp:lastPrinted>2011-09-30T17:07:00Z</cp:lastPrinted>
  <dcterms:created xsi:type="dcterms:W3CDTF">2011-09-30T16:47:00Z</dcterms:created>
  <dcterms:modified xsi:type="dcterms:W3CDTF">2011-09-30T22:18:00Z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0x0101006E56B4D1795A2E4DB2F0B01679ED314A002ABE44FF6223504780AE77190ACC4272</vt:lpwstr>
  </property>
  <property fmtid="{D5CDD505-2E9C-101B-9397-08002B2CF9AE}" pid="3" name="_docset_NoMedatataSyncRequired">
    <vt:lpwstr>False</vt:lpwstr>
  </property>
</Properties>
</file>