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2F2AB4" w:rsidP="00CE212B">
            <w:pPr>
              <w:pStyle w:val="BodyText"/>
            </w:pPr>
            <w:r>
              <w:t>EASTERN WASHINGTON GATEWAY RAILROAD</w:t>
            </w:r>
            <w:r w:rsidR="00192A7A">
              <w:t>,</w:t>
            </w:r>
          </w:p>
          <w:p w:rsidR="008568EF" w:rsidRPr="004A535E" w:rsidRDefault="008568EF">
            <w:pPr>
              <w:pStyle w:val="BodyText"/>
            </w:pPr>
          </w:p>
          <w:p w:rsidR="00755416" w:rsidRPr="004A535E" w:rsidRDefault="00834E73" w:rsidP="00C46DB4">
            <w:pPr>
              <w:pStyle w:val="BodyText"/>
              <w:jc w:val="center"/>
            </w:pPr>
            <w:r>
              <w:t>Petitioner</w:t>
            </w:r>
            <w:r w:rsidR="00192A7A">
              <w:t>,</w:t>
            </w:r>
          </w:p>
          <w:p w:rsidR="00755416" w:rsidRDefault="00755416">
            <w:pPr>
              <w:pStyle w:val="BodyText"/>
            </w:pPr>
          </w:p>
          <w:p w:rsidR="002F2AB4" w:rsidRDefault="002F2AB4" w:rsidP="002F2AB4">
            <w:pPr>
              <w:pStyle w:val="BodyText"/>
            </w:pPr>
            <w:r w:rsidRPr="004A535E">
              <w:t xml:space="preserve">Requesting </w:t>
            </w:r>
            <w:r>
              <w:t>Extension of  Time to Complete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2F2AB4">
              <w:t>111528</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336AF0" w:rsidP="00F41B8A"/>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121D11" w:rsidRPr="004A535E" w:rsidRDefault="00121D11" w:rsidP="00121D11">
      <w:pPr>
        <w:pStyle w:val="NumberedParagraph"/>
        <w:spacing w:line="288" w:lineRule="auto"/>
        <w:rPr>
          <w:iCs/>
        </w:rPr>
      </w:pPr>
      <w:r w:rsidRPr="004A535E">
        <w:rPr>
          <w:iCs/>
        </w:rPr>
        <w:t>On</w:t>
      </w:r>
      <w:r>
        <w:rPr>
          <w:iCs/>
        </w:rPr>
        <w:t xml:space="preserve"> August 19, 2011</w:t>
      </w:r>
      <w:r w:rsidRPr="004A535E">
        <w:rPr>
          <w:bCs/>
          <w:iCs/>
        </w:rPr>
        <w:t>,</w:t>
      </w:r>
      <w:r>
        <w:rPr>
          <w:bCs/>
          <w:iCs/>
        </w:rPr>
        <w:t xml:space="preserve"> </w:t>
      </w:r>
      <w:r>
        <w:t xml:space="preserve">Eastern Washington Gateway Railroad </w:t>
      </w:r>
      <w:r>
        <w:rPr>
          <w:bCs/>
          <w:iCs/>
        </w:rPr>
        <w:t>(</w:t>
      </w:r>
      <w:r>
        <w:t>EWG</w:t>
      </w:r>
      <w:r>
        <w:rPr>
          <w:bCs/>
          <w:iCs/>
        </w:rPr>
        <w:t xml:space="preserve"> or the Applicant) </w:t>
      </w:r>
      <w:r w:rsidRPr="004A535E">
        <w:rPr>
          <w:iCs/>
        </w:rPr>
        <w:t xml:space="preserve">filed with the </w:t>
      </w:r>
      <w:r>
        <w:rPr>
          <w:iCs/>
        </w:rPr>
        <w:t>Commission</w:t>
      </w:r>
      <w:r w:rsidRPr="00F36635">
        <w:rPr>
          <w:iCs/>
        </w:rPr>
        <w:t xml:space="preserve"> </w:t>
      </w:r>
      <w:r w:rsidRPr="004A535E">
        <w:rPr>
          <w:iCs/>
        </w:rPr>
        <w:t xml:space="preserve">an application requesting a disbursement of </w:t>
      </w:r>
      <w:r>
        <w:rPr>
          <w:iCs/>
        </w:rPr>
        <w:t>$23,075.17</w:t>
      </w:r>
      <w:r w:rsidRPr="004A535E">
        <w:rPr>
          <w:iCs/>
        </w:rPr>
        <w:t xml:space="preserve"> from the GCPF to pay for a project related to</w:t>
      </w:r>
      <w:r>
        <w:rPr>
          <w:iCs/>
        </w:rPr>
        <w:t xml:space="preserve"> improving safety at 79 passive mainline crossings and 22 signalized crossings maintained by EWG, see Appendix A.  On September 22, 2011, EWG submitted a revised application which included the addition of emergency notification signs. The revised application requested a disbursement of $24,444.16. Total project costs are estimated at $49,532.18 with EWG paying for all costs exceeding $24,444.16.</w:t>
      </w:r>
    </w:p>
    <w:p w:rsidR="00FB2815" w:rsidRDefault="00FB2815" w:rsidP="00FB2815">
      <w:pPr>
        <w:pStyle w:val="NumberedParagraph"/>
        <w:spacing w:line="288" w:lineRule="auto"/>
      </w:pPr>
      <w:r>
        <w:t xml:space="preserve">On </w:t>
      </w:r>
      <w:r w:rsidR="00121D11">
        <w:t>October 3, 2011</w:t>
      </w:r>
      <w:r>
        <w:t xml:space="preserve">, the Commission issued an Order approving the request for disbursement from the GCPF for the proposal to </w:t>
      </w:r>
      <w:r w:rsidR="00121D11">
        <w:t xml:space="preserve">install stop or yield signs, wood posts with retro-reflective cross buck signs, multi-track crossing and emergency notification signs at 79 passive crossings and replace cross buck signs at 22 signalized crossings in Eastern Washington. </w:t>
      </w:r>
      <w:r>
        <w:t xml:space="preserve"> The Order required </w:t>
      </w:r>
      <w:r w:rsidR="00121D11">
        <w:t>EWG</w:t>
      </w:r>
      <w:r>
        <w:t xml:space="preserve"> to complete the project and submit the associated request for reimbursement by </w:t>
      </w:r>
      <w:r w:rsidR="00121D11">
        <w:t>March 1, 2012</w:t>
      </w:r>
      <w:r>
        <w:t>.</w:t>
      </w:r>
    </w:p>
    <w:p w:rsidR="0006644A" w:rsidRDefault="00EE5B80" w:rsidP="004C78AB">
      <w:pPr>
        <w:pStyle w:val="NumberedParagraph"/>
        <w:spacing w:line="288" w:lineRule="auto"/>
      </w:pPr>
      <w:r>
        <w:t xml:space="preserve">On </w:t>
      </w:r>
      <w:r w:rsidR="00121D11">
        <w:t>March 16, 2012</w:t>
      </w:r>
      <w:r w:rsidR="002B4985">
        <w:t>,</w:t>
      </w:r>
      <w:r>
        <w:t xml:space="preserve"> </w:t>
      </w:r>
      <w:r w:rsidR="00121D11">
        <w:t>EWG</w:t>
      </w:r>
      <w:r>
        <w:t xml:space="preserve"> submitted a request for an extension of time </w:t>
      </w:r>
      <w:r w:rsidR="00720715">
        <w:t xml:space="preserve">until </w:t>
      </w:r>
      <w:r w:rsidR="00121D11">
        <w:t>March 31</w:t>
      </w:r>
      <w:r w:rsidR="00720715">
        <w:t>, 201</w:t>
      </w:r>
      <w:r w:rsidR="00121D11">
        <w:t>2</w:t>
      </w:r>
      <w:r w:rsidR="00720715">
        <w:t>,</w:t>
      </w:r>
      <w:r>
        <w:t xml:space="preserve"> to complete the project and submit the request for reimbursement</w:t>
      </w:r>
      <w:r w:rsidR="00B305D3" w:rsidRPr="004A535E">
        <w:t>.</w:t>
      </w:r>
      <w:r w:rsidR="00A15ACC">
        <w:t xml:space="preserve"> </w:t>
      </w:r>
      <w:r w:rsidR="00121D11">
        <w:t>EWG</w:t>
      </w:r>
      <w:r w:rsidR="002B4985">
        <w:t xml:space="preserve"> </w:t>
      </w:r>
      <w:r w:rsidR="00990B7B">
        <w:t xml:space="preserve">states that </w:t>
      </w:r>
      <w:r w:rsidR="00121D11">
        <w:t>no new expenditures occurred after March 1, 2012, but a delay in receipt of decals with the proper DOT crossing numbers, as well as inclement weather, cause</w:t>
      </w:r>
      <w:r w:rsidR="001E00FF">
        <w:t>d</w:t>
      </w:r>
      <w:r w:rsidR="00121D11">
        <w:t xml:space="preserve"> delays in completing the project. </w:t>
      </w:r>
      <w:r w:rsidR="00A15ACC">
        <w:t>Staff recommend</w:t>
      </w:r>
      <w:r w:rsidR="00FE1E9D">
        <w:t>s</w:t>
      </w:r>
      <w:r w:rsidR="00A15ACC">
        <w:t xml:space="preserve"> that the Commission extend the project completion date until</w:t>
      </w:r>
      <w:r w:rsidR="00483333">
        <w:t xml:space="preserve"> </w:t>
      </w:r>
      <w:r w:rsidR="00121D11">
        <w:t>April 30, 2012</w:t>
      </w:r>
      <w:r w:rsidR="00A15ACC">
        <w:t>, to provide additional time for all aspects of the project to be completed within the GCPF project completion deadline.</w:t>
      </w:r>
    </w:p>
    <w:p w:rsidR="00755416" w:rsidRDefault="00755416" w:rsidP="00265258">
      <w:pPr>
        <w:pStyle w:val="FindingsConclusions"/>
        <w:tabs>
          <w:tab w:val="clear" w:pos="0"/>
        </w:tabs>
        <w:spacing w:line="288" w:lineRule="auto"/>
        <w:ind w:left="1400" w:hanging="1400"/>
        <w:jc w:val="center"/>
        <w:rPr>
          <w:b/>
          <w:bCs/>
        </w:rPr>
      </w:pPr>
      <w:r w:rsidRPr="004A535E">
        <w:rPr>
          <w:b/>
          <w:bCs/>
        </w:rPr>
        <w:lastRenderedPageBreak/>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121D11">
        <w:t>EWG’s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121D11">
        <w:t>April 30, 2012</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121D11">
        <w:t xml:space="preserve">Eastern Washington Gateway Railroad </w:t>
      </w:r>
      <w:r>
        <w:rPr>
          <w:bCs/>
          <w:iCs/>
        </w:rPr>
        <w:t xml:space="preserve">for an extension of time to complete </w:t>
      </w:r>
      <w:r w:rsidR="00483333">
        <w:rPr>
          <w:bCs/>
          <w:iCs/>
        </w:rPr>
        <w:t>the crossing safety upgrades</w:t>
      </w:r>
      <w:r w:rsidR="00483333">
        <w:t xml:space="preserve">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121D11">
        <w:rPr>
          <w:bCs/>
          <w:iCs/>
        </w:rPr>
        <w:t>24,444.16</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121D11" w:rsidP="00001295">
      <w:pPr>
        <w:numPr>
          <w:ilvl w:val="1"/>
          <w:numId w:val="21"/>
        </w:numPr>
        <w:spacing w:line="288" w:lineRule="auto"/>
        <w:rPr>
          <w:iCs/>
        </w:rPr>
      </w:pPr>
      <w:r>
        <w:t xml:space="preserve">Eastern Washington Gateway Railroad </w:t>
      </w:r>
      <w:r w:rsidR="00B76974">
        <w:rPr>
          <w:iCs/>
        </w:rPr>
        <w:t>must s</w:t>
      </w:r>
      <w:r w:rsidR="00B76974">
        <w:t xml:space="preserve">ign and return the attached </w:t>
      </w:r>
      <w:r w:rsidR="00D1521A">
        <w:t xml:space="preserve">revised </w:t>
      </w:r>
      <w:r w:rsidR="00B76974">
        <w:t>project agreement</w:t>
      </w:r>
      <w:r w:rsidR="001E00FF">
        <w:t xml:space="preserve"> by April 1, 2012</w:t>
      </w:r>
      <w:r w:rsidR="00B76974">
        <w: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121D11">
        <w:t>April 30, 2012</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121D11" w:rsidRDefault="00121D11" w:rsidP="00B97955">
      <w:pPr>
        <w:tabs>
          <w:tab w:val="left" w:pos="4900"/>
        </w:tabs>
        <w:rPr>
          <w:iCs/>
        </w:rPr>
      </w:pPr>
    </w:p>
    <w:p w:rsidR="001E00FF" w:rsidRDefault="001E00FF" w:rsidP="00B97955">
      <w:pPr>
        <w:tabs>
          <w:tab w:val="left" w:pos="4900"/>
        </w:tabs>
        <w:rPr>
          <w:iCs/>
        </w:rPr>
      </w:pPr>
    </w:p>
    <w:p w:rsidR="001E00FF" w:rsidRDefault="001E00FF" w:rsidP="00B97955">
      <w:pPr>
        <w:tabs>
          <w:tab w:val="left" w:pos="4900"/>
        </w:tabs>
        <w:rPr>
          <w:iCs/>
        </w:rPr>
      </w:pPr>
    </w:p>
    <w:p w:rsidR="001E00FF" w:rsidRDefault="001E00FF" w:rsidP="00B97955">
      <w:pPr>
        <w:tabs>
          <w:tab w:val="left" w:pos="4900"/>
        </w:tabs>
        <w:rPr>
          <w:iCs/>
        </w:rPr>
      </w:pPr>
    </w:p>
    <w:p w:rsidR="001E00FF" w:rsidRDefault="001E00FF" w:rsidP="00B97955">
      <w:pPr>
        <w:tabs>
          <w:tab w:val="left" w:pos="4900"/>
        </w:tabs>
        <w:rPr>
          <w:iCs/>
        </w:rPr>
      </w:pPr>
    </w:p>
    <w:p w:rsidR="001E00FF" w:rsidRDefault="001E00FF" w:rsidP="00B97955">
      <w:pPr>
        <w:tabs>
          <w:tab w:val="left" w:pos="4900"/>
        </w:tabs>
        <w:rPr>
          <w:iCs/>
        </w:rPr>
      </w:pPr>
    </w:p>
    <w:p w:rsidR="001E00FF" w:rsidRDefault="001E00FF" w:rsidP="00B97955">
      <w:pPr>
        <w:tabs>
          <w:tab w:val="left" w:pos="4900"/>
        </w:tabs>
        <w:rPr>
          <w:iCs/>
        </w:rPr>
      </w:pPr>
    </w:p>
    <w:p w:rsidR="001E00FF" w:rsidRDefault="001E00FF" w:rsidP="00B97955">
      <w:pPr>
        <w:tabs>
          <w:tab w:val="left" w:pos="4900"/>
        </w:tabs>
        <w:rPr>
          <w:iCs/>
        </w:rPr>
      </w:pPr>
    </w:p>
    <w:p w:rsidR="001E00FF" w:rsidRDefault="001E00FF" w:rsidP="00B97955">
      <w:pPr>
        <w:tabs>
          <w:tab w:val="left" w:pos="4900"/>
        </w:tabs>
        <w:rPr>
          <w:iCs/>
        </w:rPr>
      </w:pPr>
    </w:p>
    <w:p w:rsidR="00B97955" w:rsidRPr="00B97955" w:rsidRDefault="00B97955" w:rsidP="00B97955">
      <w:pPr>
        <w:tabs>
          <w:tab w:val="left" w:pos="4900"/>
        </w:tabs>
        <w:rPr>
          <w:iCs/>
        </w:rPr>
      </w:pPr>
      <w:bookmarkStart w:id="0" w:name="_GoBack"/>
      <w:bookmarkEnd w:id="0"/>
      <w:r w:rsidRPr="00B97955">
        <w:rPr>
          <w:iCs/>
        </w:rPr>
        <w:t>DATED at Olympia, Washington, and effective</w:t>
      </w:r>
      <w:r w:rsidR="00265258">
        <w:rPr>
          <w:iCs/>
        </w:rPr>
        <w:t xml:space="preserve"> </w:t>
      </w:r>
      <w:r w:rsidR="00121D11">
        <w:rPr>
          <w:iCs/>
        </w:rPr>
        <w:t>March 20, 2012</w:t>
      </w:r>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65" w:rsidRDefault="002C1C65">
      <w:r>
        <w:separator/>
      </w:r>
    </w:p>
  </w:endnote>
  <w:endnote w:type="continuationSeparator" w:id="0">
    <w:p w:rsidR="002C1C65" w:rsidRDefault="002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65" w:rsidRDefault="002C1C65">
      <w:r>
        <w:separator/>
      </w:r>
    </w:p>
  </w:footnote>
  <w:footnote w:type="continuationSeparator" w:id="0">
    <w:p w:rsidR="002C1C65" w:rsidRDefault="002C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65" w:rsidRPr="007050FD" w:rsidRDefault="002C1C65" w:rsidP="0017282C">
    <w:pPr>
      <w:pStyle w:val="Header"/>
      <w:rPr>
        <w:rStyle w:val="PageNumber"/>
        <w:b/>
        <w:sz w:val="20"/>
        <w:szCs w:val="20"/>
      </w:rPr>
    </w:pPr>
    <w:r w:rsidRPr="007050FD">
      <w:rPr>
        <w:b/>
        <w:sz w:val="20"/>
        <w:szCs w:val="20"/>
      </w:rPr>
      <w:t>DOCKET TR-</w:t>
    </w:r>
    <w:r w:rsidR="00121D11">
      <w:rPr>
        <w:b/>
        <w:sz w:val="20"/>
        <w:szCs w:val="20"/>
      </w:rPr>
      <w:t>111528</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1E00FF">
      <w:rPr>
        <w:rStyle w:val="PageNumber"/>
        <w:b/>
        <w:noProof/>
        <w:sz w:val="20"/>
        <w:szCs w:val="20"/>
      </w:rPr>
      <w:t>2</w:t>
    </w:r>
    <w:r w:rsidRPr="007050FD">
      <w:rPr>
        <w:rStyle w:val="PageNumber"/>
        <w:b/>
        <w:sz w:val="20"/>
        <w:szCs w:val="20"/>
      </w:rPr>
      <w:fldChar w:fldCharType="end"/>
    </w:r>
  </w:p>
  <w:p w:rsidR="002C1C65" w:rsidRPr="007050FD" w:rsidRDefault="002C1C65"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2C1C65" w:rsidRPr="00883467" w:rsidRDefault="002C1C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094C"/>
    <w:rsid w:val="000B7295"/>
    <w:rsid w:val="000C0968"/>
    <w:rsid w:val="000C4966"/>
    <w:rsid w:val="000F7FD3"/>
    <w:rsid w:val="00121D11"/>
    <w:rsid w:val="00140076"/>
    <w:rsid w:val="0017282C"/>
    <w:rsid w:val="001750C8"/>
    <w:rsid w:val="001804BE"/>
    <w:rsid w:val="00192A7A"/>
    <w:rsid w:val="00196E9D"/>
    <w:rsid w:val="001A4386"/>
    <w:rsid w:val="001B2FB3"/>
    <w:rsid w:val="001E00FF"/>
    <w:rsid w:val="001E6E37"/>
    <w:rsid w:val="00242690"/>
    <w:rsid w:val="00265258"/>
    <w:rsid w:val="002805D3"/>
    <w:rsid w:val="002939BE"/>
    <w:rsid w:val="002B4985"/>
    <w:rsid w:val="002C1C65"/>
    <w:rsid w:val="002D14A8"/>
    <w:rsid w:val="002E2315"/>
    <w:rsid w:val="002F2AB4"/>
    <w:rsid w:val="003209B6"/>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B2BE1"/>
    <w:rsid w:val="004C78AB"/>
    <w:rsid w:val="004D476F"/>
    <w:rsid w:val="004E580C"/>
    <w:rsid w:val="00521D69"/>
    <w:rsid w:val="00523332"/>
    <w:rsid w:val="00587DD1"/>
    <w:rsid w:val="005918D2"/>
    <w:rsid w:val="00591A5C"/>
    <w:rsid w:val="005A088A"/>
    <w:rsid w:val="005C18D1"/>
    <w:rsid w:val="00600888"/>
    <w:rsid w:val="0060234B"/>
    <w:rsid w:val="00615EB0"/>
    <w:rsid w:val="0062184C"/>
    <w:rsid w:val="00640B03"/>
    <w:rsid w:val="00655B45"/>
    <w:rsid w:val="00656926"/>
    <w:rsid w:val="00677E09"/>
    <w:rsid w:val="00697A6A"/>
    <w:rsid w:val="006C6FAC"/>
    <w:rsid w:val="006D6F03"/>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37AF8"/>
    <w:rsid w:val="00841AEB"/>
    <w:rsid w:val="008568EF"/>
    <w:rsid w:val="008639BD"/>
    <w:rsid w:val="008804F3"/>
    <w:rsid w:val="00883467"/>
    <w:rsid w:val="008E01A0"/>
    <w:rsid w:val="008F10E3"/>
    <w:rsid w:val="008F5D61"/>
    <w:rsid w:val="00902B48"/>
    <w:rsid w:val="0093606C"/>
    <w:rsid w:val="00937B06"/>
    <w:rsid w:val="00962547"/>
    <w:rsid w:val="00990B7B"/>
    <w:rsid w:val="009A19A9"/>
    <w:rsid w:val="009B57CD"/>
    <w:rsid w:val="009C1399"/>
    <w:rsid w:val="009D0633"/>
    <w:rsid w:val="009D42A4"/>
    <w:rsid w:val="009F0BBF"/>
    <w:rsid w:val="00A15ACC"/>
    <w:rsid w:val="00A5402D"/>
    <w:rsid w:val="00AF1EFB"/>
    <w:rsid w:val="00B035E3"/>
    <w:rsid w:val="00B043DE"/>
    <w:rsid w:val="00B305D3"/>
    <w:rsid w:val="00B321E6"/>
    <w:rsid w:val="00B45FBE"/>
    <w:rsid w:val="00B46165"/>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2011-08-19T07:00:00+00:00</OpenedDate>
    <Date1 xmlns="dc463f71-b30c-4ab2-9473-d307f9d35888">2012-03-20T07:00:00+00:00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111528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D52D1E19D49048957E5BA30DD4750B" ma:contentTypeVersion="143" ma:contentTypeDescription="" ma:contentTypeScope="" ma:versionID="cd5adcc1cf415710870758f634d985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9B2E5A-DF82-4EE4-B6BD-2955F430BF66}"/>
</file>

<file path=customXml/itemProps2.xml><?xml version="1.0" encoding="utf-8"?>
<ds:datastoreItem xmlns:ds="http://schemas.openxmlformats.org/officeDocument/2006/customXml" ds:itemID="{692268D6-BE34-4C82-9932-93E3FC3C2BB9}"/>
</file>

<file path=customXml/itemProps3.xml><?xml version="1.0" encoding="utf-8"?>
<ds:datastoreItem xmlns:ds="http://schemas.openxmlformats.org/officeDocument/2006/customXml" ds:itemID="{BF095BEA-C765-4C1F-93F8-DD046D2809DF}"/>
</file>

<file path=customXml/itemProps4.xml><?xml version="1.0" encoding="utf-8"?>
<ds:datastoreItem xmlns:ds="http://schemas.openxmlformats.org/officeDocument/2006/customXml" ds:itemID="{D9EC120D-57A0-4D34-AD1B-C94027D3AB36}"/>
</file>

<file path=docProps/app.xml><?xml version="1.0" encoding="utf-8"?>
<Properties xmlns="http://schemas.openxmlformats.org/officeDocument/2006/extended-properties" xmlns:vt="http://schemas.openxmlformats.org/officeDocument/2006/docPropsVTypes">
  <Template>Normal</Template>
  <TotalTime>14</TotalTime>
  <Pages>3</Pages>
  <Words>754</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Hunter, Kathy (UTC)</cp:lastModifiedBy>
  <cp:revision>5</cp:revision>
  <cp:lastPrinted>2008-05-23T00:04:00Z</cp:lastPrinted>
  <dcterms:created xsi:type="dcterms:W3CDTF">2012-03-20T14:47:00Z</dcterms:created>
  <dcterms:modified xsi:type="dcterms:W3CDTF">2012-03-20T15:25:00Z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0x0101006E56B4D1795A2E4DB2F0B01679ED314A000AD52D1E19D49048957E5BA30DD4750B</vt:lpwstr>
  </property>
  <property fmtid="{D5CDD505-2E9C-101B-9397-08002B2CF9AE}" pid="3" name="_docset_NoMedatataSyncRequired">
    <vt:lpwstr>False</vt:lpwstr>
  </property>
</Properties>
</file>