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ED4" w:rsidRPr="00E5716D" w:rsidRDefault="00194ED4" w:rsidP="004313F9">
      <w:pPr>
        <w:pStyle w:val="Title"/>
      </w:pPr>
      <w:r w:rsidRPr="00E5716D">
        <w:t>Attachment</w:t>
      </w:r>
    </w:p>
    <w:p w:rsidR="00194ED4" w:rsidRDefault="00194ED4" w:rsidP="004313F9">
      <w:pPr>
        <w:pStyle w:val="Title"/>
      </w:pPr>
      <w:r w:rsidRPr="00E5716D">
        <w:t>Avista Corporation’s</w:t>
      </w:r>
      <w:r w:rsidR="004313F9" w:rsidRPr="00E5716D">
        <w:t xml:space="preserve"> </w:t>
      </w:r>
      <w:r w:rsidR="000715D6" w:rsidRPr="00E5716D">
        <w:t>2009</w:t>
      </w:r>
      <w:r w:rsidRPr="00E5716D">
        <w:t xml:space="preserve"> Natural Gas Integrated Resource Plan</w:t>
      </w:r>
    </w:p>
    <w:p w:rsidR="0055328D" w:rsidRPr="00E5716D" w:rsidRDefault="0055328D" w:rsidP="004313F9">
      <w:pPr>
        <w:pStyle w:val="Title"/>
      </w:pPr>
      <w:r>
        <w:t>UG-090015</w:t>
      </w:r>
    </w:p>
    <w:p w:rsidR="00376404" w:rsidRPr="00E5716D" w:rsidRDefault="00376404" w:rsidP="004313F9">
      <w:pPr>
        <w:pStyle w:val="Title"/>
      </w:pPr>
    </w:p>
    <w:p w:rsidR="00194ED4" w:rsidRPr="00E5716D" w:rsidRDefault="00194ED4" w:rsidP="00D02E54">
      <w:pPr>
        <w:pStyle w:val="NoSpacing"/>
        <w:spacing w:line="264" w:lineRule="auto"/>
      </w:pPr>
      <w:r w:rsidRPr="00E5716D">
        <w:t xml:space="preserve">As a natural gas utility in Washington, Avista </w:t>
      </w:r>
      <w:r w:rsidR="00B82621">
        <w:t xml:space="preserve">Corporation (Avista) </w:t>
      </w:r>
      <w:r w:rsidRPr="00E5716D">
        <w:t xml:space="preserve">has a fundamental responsibility to manage the risks and opportunities associated with acquiring and delivering natural gas on behalf of its customers.  This responsibility is particularly important in an era of </w:t>
      </w:r>
      <w:r w:rsidR="0040527D">
        <w:t>rapidly changing gas demand and changing dynamics of gas supply.</w:t>
      </w:r>
      <w:r w:rsidRPr="00E5716D">
        <w:t xml:space="preserve">  The planning requirements specified in WAC 480</w:t>
      </w:r>
      <w:r w:rsidRPr="00E5716D">
        <w:noBreakHyphen/>
        <w:t xml:space="preserve">90-238 are intended to help each utility develop a strategic approach to </w:t>
      </w:r>
      <w:r w:rsidR="00C47C59" w:rsidRPr="00E5716D">
        <w:t>address</w:t>
      </w:r>
      <w:r w:rsidRPr="00E5716D">
        <w:t xml:space="preserve"> marketplace opportunities and risks based on that utility’s unique attributes.  Avista’s </w:t>
      </w:r>
      <w:r w:rsidR="000715D6" w:rsidRPr="00E5716D">
        <w:t>2009</w:t>
      </w:r>
      <w:r w:rsidR="00B63A94" w:rsidRPr="00E5716D">
        <w:t xml:space="preserve"> Natural Gas</w:t>
      </w:r>
      <w:r w:rsidRPr="00E5716D">
        <w:t xml:space="preserve"> Integrated Resource Plan (</w:t>
      </w:r>
      <w:r w:rsidR="008E179F" w:rsidRPr="00E5716D">
        <w:t>P</w:t>
      </w:r>
      <w:r w:rsidRPr="00E5716D">
        <w:t>lan) represents such a strategic approach.  As such, it is consistent with the Utilit</w:t>
      </w:r>
      <w:r w:rsidR="006C080E" w:rsidRPr="00E5716D">
        <w:t>ies</w:t>
      </w:r>
      <w:r w:rsidRPr="00E5716D">
        <w:t xml:space="preserve"> and Transportation Commission’s (Commission</w:t>
      </w:r>
      <w:r w:rsidR="00B63A94" w:rsidRPr="00E5716D">
        <w:t>’s</w:t>
      </w:r>
      <w:r w:rsidRPr="00E5716D">
        <w:t xml:space="preserve">) planning regulations.  Below we discuss </w:t>
      </w:r>
      <w:r w:rsidR="009B1C84" w:rsidRPr="00E5716D">
        <w:t xml:space="preserve">how the Plan addresses </w:t>
      </w:r>
      <w:r w:rsidRPr="00E5716D">
        <w:t xml:space="preserve">elements </w:t>
      </w:r>
      <w:r w:rsidR="0040527D">
        <w:t xml:space="preserve">of </w:t>
      </w:r>
      <w:r w:rsidR="00984618">
        <w:t xml:space="preserve">WAC </w:t>
      </w:r>
      <w:r w:rsidRPr="00E5716D">
        <w:t>480</w:t>
      </w:r>
      <w:r w:rsidRPr="00E5716D">
        <w:noBreakHyphen/>
        <w:t>90-238</w:t>
      </w:r>
      <w:r w:rsidR="0040527D">
        <w:t>.</w:t>
      </w:r>
    </w:p>
    <w:p w:rsidR="00376404" w:rsidRPr="00E5716D" w:rsidRDefault="00376404" w:rsidP="00D02E54">
      <w:pPr>
        <w:pStyle w:val="NoSpacing"/>
        <w:spacing w:line="264" w:lineRule="auto"/>
      </w:pPr>
    </w:p>
    <w:p w:rsidR="00194ED4" w:rsidRPr="00D02E54" w:rsidRDefault="00A14D46" w:rsidP="00D02E54">
      <w:pPr>
        <w:pStyle w:val="NoSpacing"/>
        <w:rPr>
          <w:b/>
          <w:u w:val="single"/>
        </w:rPr>
      </w:pPr>
      <w:r w:rsidRPr="00D02E54">
        <w:rPr>
          <w:b/>
          <w:u w:val="single"/>
        </w:rPr>
        <w:t xml:space="preserve">Demand </w:t>
      </w:r>
      <w:r w:rsidR="00194ED4" w:rsidRPr="00D02E54">
        <w:rPr>
          <w:b/>
          <w:u w:val="single"/>
        </w:rPr>
        <w:t xml:space="preserve">Forecast of Retail Gas Requirements </w:t>
      </w:r>
      <w:r w:rsidRPr="00D02E54">
        <w:rPr>
          <w:b/>
          <w:u w:val="single"/>
        </w:rPr>
        <w:t xml:space="preserve">(Chapter </w:t>
      </w:r>
      <w:r w:rsidR="00031CEC" w:rsidRPr="00D02E54">
        <w:rPr>
          <w:b/>
          <w:u w:val="single"/>
        </w:rPr>
        <w:t>3</w:t>
      </w:r>
      <w:r w:rsidRPr="00D02E54">
        <w:rPr>
          <w:b/>
          <w:u w:val="single"/>
        </w:rPr>
        <w:t>)</w:t>
      </w:r>
    </w:p>
    <w:p w:rsidR="00D02E54" w:rsidRPr="00E5716D" w:rsidRDefault="00D02E54" w:rsidP="00D02E54">
      <w:pPr>
        <w:pStyle w:val="NoSpacing"/>
      </w:pPr>
    </w:p>
    <w:p w:rsidR="00B317E2" w:rsidRDefault="00B317E2" w:rsidP="009E49C4">
      <w:pPr>
        <w:pStyle w:val="NoSpacing"/>
        <w:spacing w:line="264" w:lineRule="auto"/>
      </w:pPr>
      <w:r w:rsidRPr="00E5716D">
        <w:t>WAC</w:t>
      </w:r>
      <w:r w:rsidR="00C068A4">
        <w:t xml:space="preserve"> 480-90-238(3)(a) requires the P</w:t>
      </w:r>
      <w:r w:rsidRPr="00E5716D">
        <w:t xml:space="preserve">lan include “a range of forecasts of future natural gas demand in firm and interruptible markets for each customer class that examine the effect of economic forces on the consumption of natural gas and that address changes in the number, type and efficiency of natural gas end-uses.” </w:t>
      </w:r>
    </w:p>
    <w:p w:rsidR="009E49C4" w:rsidRPr="00E5716D" w:rsidRDefault="009E49C4" w:rsidP="009E49C4">
      <w:pPr>
        <w:pStyle w:val="NoSpacing"/>
        <w:spacing w:line="264" w:lineRule="auto"/>
      </w:pPr>
    </w:p>
    <w:p w:rsidR="0040527D" w:rsidRDefault="0040527D" w:rsidP="009E49C4">
      <w:pPr>
        <w:pStyle w:val="NoSpacing"/>
        <w:spacing w:line="264" w:lineRule="auto"/>
      </w:pPr>
      <w:r>
        <w:t>F</w:t>
      </w:r>
      <w:r w:rsidR="00E3578E" w:rsidRPr="00E5716D">
        <w:t>or its demand forecast</w:t>
      </w:r>
      <w:r w:rsidR="00263B7B">
        <w:t>,</w:t>
      </w:r>
      <w:r w:rsidR="00E3578E" w:rsidRPr="00E5716D">
        <w:t xml:space="preserve"> </w:t>
      </w:r>
      <w:r w:rsidRPr="00E5716D">
        <w:t xml:space="preserve">Avista used </w:t>
      </w:r>
      <w:r w:rsidR="00E3578E" w:rsidRPr="00E5716D">
        <w:t xml:space="preserve">three </w:t>
      </w:r>
      <w:r w:rsidR="00263B7B">
        <w:t xml:space="preserve">demand </w:t>
      </w:r>
      <w:r w:rsidR="00E3578E" w:rsidRPr="00E5716D">
        <w:t xml:space="preserve">scenarios: high, medium, and low. </w:t>
      </w:r>
      <w:r>
        <w:t xml:space="preserve"> </w:t>
      </w:r>
      <w:r w:rsidR="00E3578E" w:rsidRPr="00E5716D">
        <w:t>In its action items</w:t>
      </w:r>
      <w:r w:rsidR="00263B7B">
        <w:t>,</w:t>
      </w:r>
      <w:r w:rsidR="00E3578E" w:rsidRPr="00E5716D">
        <w:t xml:space="preserve"> the Company states a commitment to continue exploration of alternative and additional forecasting methodologies, including additional research into price elasticity effects.</w:t>
      </w:r>
    </w:p>
    <w:p w:rsidR="009E49C4" w:rsidRDefault="009E49C4" w:rsidP="009E49C4">
      <w:pPr>
        <w:pStyle w:val="NoSpacing"/>
        <w:spacing w:line="264" w:lineRule="auto"/>
      </w:pPr>
    </w:p>
    <w:p w:rsidR="00E3578E" w:rsidRPr="00E5716D" w:rsidRDefault="0040527D" w:rsidP="009E49C4">
      <w:pPr>
        <w:pStyle w:val="NoSpacing"/>
        <w:spacing w:line="264" w:lineRule="auto"/>
      </w:pPr>
      <w:r>
        <w:t>The Plan discusses the recent rapid decrease in gas demand.  The Commission cautions that expectations</w:t>
      </w:r>
      <w:r w:rsidR="008121F7">
        <w:t xml:space="preserve"> of a solid</w:t>
      </w:r>
      <w:r>
        <w:t xml:space="preserve"> recovery in demand may be overly optimistic and Avista would be better served to examine actual </w:t>
      </w:r>
      <w:r w:rsidR="0055328D">
        <w:t>demand for signs of recovery tha</w:t>
      </w:r>
      <w:r>
        <w:t>n economic indicators alone</w:t>
      </w:r>
      <w:r w:rsidR="008121F7">
        <w:t xml:space="preserve"> as it moves forward with its resource decisions</w:t>
      </w:r>
      <w:r w:rsidR="00505B2E">
        <w:t xml:space="preserve"> and gas acquisition</w:t>
      </w:r>
      <w:r>
        <w:t>.</w:t>
      </w:r>
    </w:p>
    <w:p w:rsidR="00A238FE" w:rsidRPr="00E5716D" w:rsidRDefault="00A238FE" w:rsidP="009E49C4"/>
    <w:p w:rsidR="00194ED4" w:rsidRPr="00D02E54" w:rsidRDefault="004F206F" w:rsidP="00D02E54">
      <w:pPr>
        <w:pStyle w:val="NoSpacing"/>
        <w:rPr>
          <w:b/>
          <w:u w:val="single"/>
        </w:rPr>
      </w:pPr>
      <w:r w:rsidRPr="00D02E54">
        <w:rPr>
          <w:b/>
          <w:u w:val="single"/>
        </w:rPr>
        <w:t xml:space="preserve">Conservation and </w:t>
      </w:r>
      <w:r w:rsidR="00194ED4" w:rsidRPr="00D02E54">
        <w:rPr>
          <w:b/>
          <w:u w:val="single"/>
        </w:rPr>
        <w:t>Demand Side Management</w:t>
      </w:r>
      <w:r w:rsidR="00A14D46" w:rsidRPr="00D02E54">
        <w:rPr>
          <w:b/>
          <w:u w:val="single"/>
        </w:rPr>
        <w:t xml:space="preserve"> (Chapter </w:t>
      </w:r>
      <w:r w:rsidR="00031CEC" w:rsidRPr="00D02E54">
        <w:rPr>
          <w:b/>
          <w:u w:val="single"/>
        </w:rPr>
        <w:t>4</w:t>
      </w:r>
      <w:r w:rsidR="00A14D46" w:rsidRPr="00D02E54">
        <w:rPr>
          <w:b/>
          <w:u w:val="single"/>
        </w:rPr>
        <w:t>)</w:t>
      </w:r>
    </w:p>
    <w:p w:rsidR="00D02E54" w:rsidRPr="00E5716D" w:rsidRDefault="00D02E54" w:rsidP="00D02E54">
      <w:pPr>
        <w:pStyle w:val="NoSpacing"/>
      </w:pPr>
    </w:p>
    <w:p w:rsidR="00B317E2" w:rsidRDefault="00B317E2" w:rsidP="00D02E54">
      <w:pPr>
        <w:pStyle w:val="NoSpacing"/>
        <w:spacing w:line="264" w:lineRule="auto"/>
      </w:pPr>
      <w:r w:rsidRPr="00E5716D">
        <w:t>WAC</w:t>
      </w:r>
      <w:r w:rsidR="00C068A4">
        <w:t xml:space="preserve"> 480-90-238(3)(b) requires the P</w:t>
      </w:r>
      <w:r w:rsidRPr="00E5716D">
        <w:t xml:space="preserve">lan </w:t>
      </w:r>
      <w:r w:rsidR="009B1C84" w:rsidRPr="00E5716D">
        <w:t xml:space="preserve">to </w:t>
      </w:r>
      <w:r w:rsidRPr="00E5716D">
        <w:t>include “an assessment of commercially available conservation, including load management, as well as an assessment of currently employed and new policies and programs needed to obtain the conservation improvements.”</w:t>
      </w:r>
    </w:p>
    <w:p w:rsidR="00D02E54" w:rsidRPr="00E5716D" w:rsidRDefault="00D02E54" w:rsidP="00D02E54">
      <w:pPr>
        <w:pStyle w:val="NoSpacing"/>
        <w:spacing w:line="264" w:lineRule="auto"/>
      </w:pPr>
    </w:p>
    <w:p w:rsidR="002A651F" w:rsidRDefault="00376404" w:rsidP="00D02E54">
      <w:pPr>
        <w:pStyle w:val="NoSpacing"/>
        <w:spacing w:line="264" w:lineRule="auto"/>
      </w:pPr>
      <w:r w:rsidRPr="00E5716D">
        <w:t>Avista’s P</w:t>
      </w:r>
      <w:r w:rsidR="00C73673" w:rsidRPr="00E5716D">
        <w:t>lan</w:t>
      </w:r>
      <w:r w:rsidR="007351DD">
        <w:t xml:space="preserve"> includes an update to the </w:t>
      </w:r>
      <w:r w:rsidR="00563B3E" w:rsidRPr="00E5716D">
        <w:t>2005 conservation potential</w:t>
      </w:r>
      <w:r w:rsidR="002A651F" w:rsidRPr="00E5716D">
        <w:t xml:space="preserve"> assessment</w:t>
      </w:r>
      <w:r w:rsidR="00563B3E" w:rsidRPr="00E5716D">
        <w:t xml:space="preserve"> study conducted for its Oregon service territory</w:t>
      </w:r>
      <w:r w:rsidR="002A651F" w:rsidRPr="00E5716D">
        <w:t xml:space="preserve"> and extrapolated to Washington and Idaho</w:t>
      </w:r>
      <w:r w:rsidR="005A437D">
        <w:t xml:space="preserve"> (</w:t>
      </w:r>
      <w:r w:rsidR="00263B7B">
        <w:t>s</w:t>
      </w:r>
      <w:r w:rsidR="00563B3E" w:rsidRPr="00E5716D">
        <w:t>ee Appendix 4.2</w:t>
      </w:r>
      <w:r w:rsidR="005A437D">
        <w:t>)</w:t>
      </w:r>
      <w:r w:rsidR="00984618">
        <w:t xml:space="preserve">.  </w:t>
      </w:r>
      <w:r w:rsidR="002A651F" w:rsidRPr="00E5716D">
        <w:t xml:space="preserve">The Company commits, in its action plan, to hire a consultant to perform a </w:t>
      </w:r>
      <w:r w:rsidR="002A651F" w:rsidRPr="00E5716D">
        <w:lastRenderedPageBreak/>
        <w:t>conservation potential assessment study for its Washington and Idaho service territories</w:t>
      </w:r>
      <w:r w:rsidR="00125531">
        <w:t xml:space="preserve"> prior </w:t>
      </w:r>
      <w:r w:rsidR="00984618">
        <w:t>to completion of its 2011 integrated resource plan</w:t>
      </w:r>
      <w:r w:rsidR="002A651F" w:rsidRPr="00E5716D">
        <w:t xml:space="preserve">. </w:t>
      </w:r>
      <w:r w:rsidR="00A238FE">
        <w:t xml:space="preserve"> </w:t>
      </w:r>
      <w:r w:rsidR="005A437D">
        <w:t>Performing timely potential assessment studies is critical to establishing valid conservation goals.</w:t>
      </w:r>
    </w:p>
    <w:p w:rsidR="00D02E54" w:rsidRPr="00E5716D" w:rsidRDefault="00D02E54" w:rsidP="00D02E54">
      <w:pPr>
        <w:pStyle w:val="NoSpacing"/>
        <w:spacing w:line="264" w:lineRule="auto"/>
      </w:pPr>
    </w:p>
    <w:p w:rsidR="00563B3E" w:rsidRPr="00E5716D" w:rsidRDefault="002A651F" w:rsidP="002A651F">
      <w:pPr>
        <w:numPr>
          <w:ilvl w:val="0"/>
          <w:numId w:val="1"/>
        </w:numPr>
      </w:pPr>
      <w:r w:rsidRPr="00E5716D">
        <w:t>T</w:t>
      </w:r>
      <w:r w:rsidR="005A437D">
        <w:t>he Commission requires,</w:t>
      </w:r>
      <w:r w:rsidR="00A05A01">
        <w:t xml:space="preserve"> as part of Avista’s</w:t>
      </w:r>
      <w:r w:rsidR="005A437D">
        <w:t xml:space="preserve"> </w:t>
      </w:r>
      <w:r w:rsidR="00984618">
        <w:t>integrated resource plan (</w:t>
      </w:r>
      <w:r w:rsidR="005A437D">
        <w:t>IRP</w:t>
      </w:r>
      <w:r w:rsidR="00984618">
        <w:t>)</w:t>
      </w:r>
      <w:r w:rsidR="005A437D">
        <w:t xml:space="preserve"> requirements, </w:t>
      </w:r>
      <w:r w:rsidR="0055328D">
        <w:t xml:space="preserve">Avista </w:t>
      </w:r>
      <w:r w:rsidR="005A437D">
        <w:t xml:space="preserve">to complete its </w:t>
      </w:r>
      <w:r w:rsidRPr="00E5716D">
        <w:t>conserva</w:t>
      </w:r>
      <w:r w:rsidR="005A437D">
        <w:t>tion potential assessment study</w:t>
      </w:r>
      <w:r w:rsidRPr="00E5716D">
        <w:t xml:space="preserve"> and </w:t>
      </w:r>
      <w:r w:rsidR="005A437D">
        <w:t xml:space="preserve">incorporate the findings into its </w:t>
      </w:r>
      <w:r w:rsidRPr="00E5716D">
        <w:t>2011 IRP.</w:t>
      </w:r>
    </w:p>
    <w:p w:rsidR="00194ED4" w:rsidRDefault="00563B3E" w:rsidP="00D02E54">
      <w:pPr>
        <w:pStyle w:val="NoSpacing"/>
        <w:spacing w:line="264" w:lineRule="auto"/>
      </w:pPr>
      <w:r w:rsidRPr="00E5716D">
        <w:t>Avista’s Plan</w:t>
      </w:r>
      <w:r w:rsidR="00C73673" w:rsidRPr="00E5716D">
        <w:t xml:space="preserve"> </w:t>
      </w:r>
      <w:r w:rsidR="00194ED4" w:rsidRPr="00E5716D">
        <w:t>incorporat</w:t>
      </w:r>
      <w:r w:rsidR="0021472C" w:rsidRPr="00E5716D">
        <w:t>es</w:t>
      </w:r>
      <w:r w:rsidR="00194ED4" w:rsidRPr="00E5716D">
        <w:t xml:space="preserve"> </w:t>
      </w:r>
      <w:r w:rsidRPr="00E5716D">
        <w:t xml:space="preserve">the Company’s potential </w:t>
      </w:r>
      <w:r w:rsidR="00194ED4" w:rsidRPr="00E5716D">
        <w:t xml:space="preserve">DSM resources into the SENDOUT model, </w:t>
      </w:r>
      <w:r w:rsidR="0021472C" w:rsidRPr="00E5716D">
        <w:t>thereby</w:t>
      </w:r>
      <w:r w:rsidR="00194ED4" w:rsidRPr="00E5716D">
        <w:t xml:space="preserve"> effectively treat</w:t>
      </w:r>
      <w:r w:rsidR="00C73673" w:rsidRPr="00E5716D">
        <w:t>ing</w:t>
      </w:r>
      <w:r w:rsidR="00194ED4" w:rsidRPr="00E5716D">
        <w:t xml:space="preserve"> DSM on a level playing field with other resource options. </w:t>
      </w:r>
      <w:r w:rsidR="00376404" w:rsidRPr="00E5716D">
        <w:t xml:space="preserve"> </w:t>
      </w:r>
      <w:r w:rsidR="00CC051E" w:rsidRPr="00E5716D">
        <w:t xml:space="preserve">All measures were </w:t>
      </w:r>
      <w:r w:rsidR="002F10E3">
        <w:t xml:space="preserve">modeled </w:t>
      </w:r>
      <w:r w:rsidR="0055328D">
        <w:t>individually,</w:t>
      </w:r>
      <w:r w:rsidR="00CC051E" w:rsidRPr="00E5716D">
        <w:t xml:space="preserve"> creating a uniquely reliable result</w:t>
      </w:r>
      <w:r w:rsidR="005A437D">
        <w:t xml:space="preserve"> to the extent the assumptions about measure cost and effectiveness are valid</w:t>
      </w:r>
      <w:r w:rsidR="009079A4" w:rsidRPr="00E5716D">
        <w:t>.</w:t>
      </w:r>
    </w:p>
    <w:p w:rsidR="00D02E54" w:rsidRPr="00E5716D" w:rsidRDefault="00D02E54" w:rsidP="00D02E54">
      <w:pPr>
        <w:pStyle w:val="NoSpacing"/>
        <w:spacing w:line="264" w:lineRule="auto"/>
      </w:pPr>
    </w:p>
    <w:p w:rsidR="004E656C" w:rsidRDefault="002A651F" w:rsidP="00D02E54">
      <w:pPr>
        <w:pStyle w:val="NoSpacing"/>
        <w:spacing w:line="264" w:lineRule="auto"/>
      </w:pPr>
      <w:r w:rsidRPr="00E5716D">
        <w:t xml:space="preserve">The Commission, in </w:t>
      </w:r>
      <w:r w:rsidR="002F10E3">
        <w:t>O</w:t>
      </w:r>
      <w:r w:rsidRPr="00E5716D">
        <w:t>rder</w:t>
      </w:r>
      <w:r w:rsidR="002F10E3">
        <w:t xml:space="preserve"> 10, Docket UE/UG-090134 (</w:t>
      </w:r>
      <w:r w:rsidRPr="00E5716D">
        <w:t xml:space="preserve">Avista’s </w:t>
      </w:r>
      <w:r w:rsidR="002F10E3">
        <w:t xml:space="preserve">2009 </w:t>
      </w:r>
      <w:r w:rsidRPr="00E5716D">
        <w:t>general rate case</w:t>
      </w:r>
      <w:r w:rsidR="002F10E3">
        <w:t>)</w:t>
      </w:r>
      <w:r w:rsidRPr="00E5716D">
        <w:t>, required that Avista separate its Washington and Idaho conservation</w:t>
      </w:r>
      <w:r w:rsidR="00A238FE">
        <w:t xml:space="preserve"> goals in</w:t>
      </w:r>
      <w:r w:rsidR="00984618">
        <w:t xml:space="preserve"> </w:t>
      </w:r>
      <w:r w:rsidR="00A238FE">
        <w:t>order to set its target</w:t>
      </w:r>
      <w:r w:rsidRPr="00E5716D">
        <w:t xml:space="preserve"> for </w:t>
      </w:r>
      <w:r w:rsidR="002F10E3">
        <w:t>its decoupling mechanism</w:t>
      </w:r>
      <w:r w:rsidR="00A238FE">
        <w:t xml:space="preserve"> on a Washington only basis</w:t>
      </w:r>
      <w:r w:rsidR="002F10E3">
        <w:t>.</w:t>
      </w:r>
      <w:r w:rsidRPr="00E5716D">
        <w:t xml:space="preserve"> </w:t>
      </w:r>
      <w:r w:rsidR="00984618">
        <w:t xml:space="preserve"> </w:t>
      </w:r>
      <w:r w:rsidRPr="00E5716D">
        <w:t xml:space="preserve">The Company filed its </w:t>
      </w:r>
      <w:r w:rsidR="00505B2E">
        <w:t xml:space="preserve">Plan </w:t>
      </w:r>
      <w:r w:rsidRPr="00E5716D">
        <w:t xml:space="preserve">the same week the Commission’s order was issued.  </w:t>
      </w:r>
      <w:r w:rsidR="00A05A01">
        <w:t>The Plan splits its calculat</w:t>
      </w:r>
      <w:r w:rsidR="0055328D">
        <w:t>ion of DSM measures into a North</w:t>
      </w:r>
      <w:r w:rsidR="00A05A01">
        <w:t xml:space="preserve"> Division (W</w:t>
      </w:r>
      <w:r w:rsidR="0055328D">
        <w:t>ashington and Idaho) and a South</w:t>
      </w:r>
      <w:r w:rsidR="00A05A01">
        <w:t xml:space="preserve"> </w:t>
      </w:r>
      <w:r w:rsidR="00125531">
        <w:t>D</w:t>
      </w:r>
      <w:r w:rsidR="00A05A01">
        <w:t xml:space="preserve">ivision (Oregon). </w:t>
      </w:r>
      <w:r w:rsidR="00984618">
        <w:t xml:space="preserve"> </w:t>
      </w:r>
      <w:r w:rsidR="00376404" w:rsidRPr="00E5716D">
        <w:t>The P</w:t>
      </w:r>
      <w:r w:rsidR="009A09B5" w:rsidRPr="00E5716D">
        <w:t>lan estimates DSM measures</w:t>
      </w:r>
      <w:r w:rsidR="00E5341E">
        <w:t xml:space="preserve"> will</w:t>
      </w:r>
      <w:r w:rsidR="00194ED4" w:rsidRPr="00E5716D">
        <w:t xml:space="preserve"> acquire </w:t>
      </w:r>
      <w:r w:rsidR="00CC051E" w:rsidRPr="00E5716D">
        <w:t>3,128,842</w:t>
      </w:r>
      <w:r w:rsidR="00194ED4" w:rsidRPr="00E5716D">
        <w:t xml:space="preserve"> therms in </w:t>
      </w:r>
      <w:r w:rsidR="00A05A01">
        <w:t>the Washington/Idaho division</w:t>
      </w:r>
      <w:r w:rsidR="00080AE7" w:rsidRPr="00E5716D">
        <w:t xml:space="preserve"> </w:t>
      </w:r>
      <w:r w:rsidR="00CC051E" w:rsidRPr="00E5716D">
        <w:t xml:space="preserve">in 2010, and 3,072,339 </w:t>
      </w:r>
      <w:r w:rsidR="00E5341E">
        <w:t>t</w:t>
      </w:r>
      <w:r w:rsidR="00CC051E" w:rsidRPr="00E5716D">
        <w:t>herms in 2011.</w:t>
      </w:r>
      <w:r w:rsidR="009079A4" w:rsidRPr="00E5716D">
        <w:t xml:space="preserve"> </w:t>
      </w:r>
      <w:r w:rsidR="00376404" w:rsidRPr="00E5716D">
        <w:t xml:space="preserve"> </w:t>
      </w:r>
      <w:r w:rsidR="009079A4" w:rsidRPr="00E5716D">
        <w:t>This is a</w:t>
      </w:r>
      <w:r w:rsidR="00CC051E" w:rsidRPr="00E5716D">
        <w:t xml:space="preserve"> significant</w:t>
      </w:r>
      <w:r w:rsidR="009079A4" w:rsidRPr="00E5716D">
        <w:t xml:space="preserve"> increase from </w:t>
      </w:r>
      <w:r w:rsidR="00CC051E" w:rsidRPr="00E5716D">
        <w:t>1,755,829</w:t>
      </w:r>
      <w:r w:rsidR="009079A4" w:rsidRPr="00E5716D">
        <w:t xml:space="preserve"> therms </w:t>
      </w:r>
      <w:r w:rsidR="00CC051E" w:rsidRPr="00E5716D">
        <w:t>forecasted for 2010 in the 2007 Natural Gas IRP</w:t>
      </w:r>
      <w:r w:rsidR="009079A4" w:rsidRPr="00E5716D">
        <w:t>.</w:t>
      </w:r>
    </w:p>
    <w:p w:rsidR="00D02E54" w:rsidRPr="00E5716D" w:rsidRDefault="00D02E54" w:rsidP="00D02E54">
      <w:pPr>
        <w:pStyle w:val="NoSpacing"/>
        <w:spacing w:line="264" w:lineRule="auto"/>
      </w:pPr>
    </w:p>
    <w:p w:rsidR="00A238FE" w:rsidRDefault="00A238FE" w:rsidP="00A238FE">
      <w:pPr>
        <w:numPr>
          <w:ilvl w:val="0"/>
          <w:numId w:val="1"/>
        </w:numPr>
        <w:spacing w:after="0"/>
      </w:pPr>
      <w:r>
        <w:t>The Company’s next IRP</w:t>
      </w:r>
      <w:r w:rsidR="004E656C" w:rsidRPr="00E5716D">
        <w:t xml:space="preserve"> </w:t>
      </w:r>
      <w:r w:rsidR="00505B2E">
        <w:t>should</w:t>
      </w:r>
      <w:r w:rsidR="004E656C" w:rsidRPr="00E5716D">
        <w:t xml:space="preserve"> separate Washington and Idaho conservation resources</w:t>
      </w:r>
      <w:r w:rsidR="00455517" w:rsidRPr="00E5716D">
        <w:t xml:space="preserve"> and identify annual </w:t>
      </w:r>
      <w:r w:rsidR="00125531">
        <w:t>goals</w:t>
      </w:r>
      <w:r w:rsidR="004E656C" w:rsidRPr="00E5716D">
        <w:t xml:space="preserve">.  Portions of the IRP supporting the identification of achievable conservation potential may also require separate Washington and Idaho analysis. </w:t>
      </w:r>
    </w:p>
    <w:p w:rsidR="00A238FE" w:rsidRPr="00E5716D" w:rsidRDefault="00A238FE" w:rsidP="00A238FE">
      <w:pPr>
        <w:spacing w:after="0"/>
      </w:pPr>
    </w:p>
    <w:p w:rsidR="00194ED4" w:rsidRPr="00D02E54" w:rsidRDefault="00194ED4" w:rsidP="00D02E54">
      <w:pPr>
        <w:pStyle w:val="NoSpacing"/>
        <w:rPr>
          <w:b/>
          <w:u w:val="single"/>
        </w:rPr>
      </w:pPr>
      <w:r w:rsidRPr="00D02E54">
        <w:rPr>
          <w:b/>
          <w:u w:val="single"/>
        </w:rPr>
        <w:t>Supply Side Resources</w:t>
      </w:r>
      <w:r w:rsidR="00A14D46" w:rsidRPr="00D02E54">
        <w:rPr>
          <w:b/>
          <w:u w:val="single"/>
        </w:rPr>
        <w:t xml:space="preserve"> (Chapter 5)</w:t>
      </w:r>
    </w:p>
    <w:p w:rsidR="00D02E54" w:rsidRPr="00E5716D" w:rsidRDefault="00D02E54" w:rsidP="00D02E54">
      <w:pPr>
        <w:pStyle w:val="NoSpacing"/>
      </w:pPr>
    </w:p>
    <w:p w:rsidR="00B317E2" w:rsidRDefault="00B317E2" w:rsidP="00D02E54">
      <w:pPr>
        <w:pStyle w:val="NoSpacing"/>
        <w:spacing w:line="264" w:lineRule="auto"/>
      </w:pPr>
      <w:r w:rsidRPr="00E5716D">
        <w:t>WAC 480-90-238(</w:t>
      </w:r>
      <w:r w:rsidR="00EB4427" w:rsidRPr="00E5716D">
        <w:t>3)(c), (d) and (e) require the P</w:t>
      </w:r>
      <w:r w:rsidRPr="00E5716D">
        <w:t xml:space="preserve">lan </w:t>
      </w:r>
      <w:r w:rsidR="00EB4427" w:rsidRPr="00E5716D">
        <w:t xml:space="preserve">to </w:t>
      </w:r>
      <w:r w:rsidRPr="00E5716D">
        <w:t>include “an assessment of conventional and commercially available nonconventional gas supplies; an assessment of opportunities for using company-owned or contracted storage; [and] an assessment of pipeline transmission capability and reliability and opportunities for additional pi</w:t>
      </w:r>
      <w:r w:rsidR="00984618">
        <w:t>peline transmission resources.”</w:t>
      </w:r>
    </w:p>
    <w:p w:rsidR="00D02E54" w:rsidRPr="00E5716D" w:rsidRDefault="00D02E54" w:rsidP="00D02E54">
      <w:pPr>
        <w:pStyle w:val="NoSpacing"/>
        <w:spacing w:line="264" w:lineRule="auto"/>
      </w:pPr>
    </w:p>
    <w:p w:rsidR="003C2C50" w:rsidRDefault="007E6A36" w:rsidP="00D02E54">
      <w:pPr>
        <w:pStyle w:val="NoSpacing"/>
        <w:spacing w:line="264" w:lineRule="auto"/>
      </w:pPr>
      <w:r>
        <w:t xml:space="preserve">The Plan provides a clear description of the sources of gas supply and gas transport options in relation to Avista’s service territories.  The Plan describes Avista’s intensions to recall Jackson Prairie storage rights from Shell Energy North America in April 2011.  Avista correctly models the resource as an incremental available storage resource while pursuing an evaluation of its </w:t>
      </w:r>
      <w:r w:rsidR="003C2C50">
        <w:t xml:space="preserve">use of </w:t>
      </w:r>
      <w:r>
        <w:t>Jackson Prairie capacity and deliverability</w:t>
      </w:r>
      <w:r w:rsidR="003C2C50">
        <w:t>.</w:t>
      </w:r>
    </w:p>
    <w:p w:rsidR="00D02E54" w:rsidRDefault="00D02E54" w:rsidP="00D02E54">
      <w:pPr>
        <w:pStyle w:val="NoSpacing"/>
        <w:spacing w:line="264" w:lineRule="auto"/>
      </w:pPr>
    </w:p>
    <w:p w:rsidR="003C2C50" w:rsidRDefault="003C2C50" w:rsidP="00D02E54">
      <w:pPr>
        <w:pStyle w:val="NoSpacing"/>
        <w:spacing w:line="264" w:lineRule="auto"/>
      </w:pPr>
      <w:r>
        <w:t xml:space="preserve">The plan also does a very good job identifying the possible effect of the Ruby pipeline project on Avista’s strategy of GTN backhauls. </w:t>
      </w:r>
    </w:p>
    <w:p w:rsidR="00984618" w:rsidRPr="00E5716D" w:rsidRDefault="00984618" w:rsidP="00D02E54"/>
    <w:p w:rsidR="002F12E8" w:rsidRPr="00D02E54" w:rsidRDefault="00194ED4" w:rsidP="00D02E54">
      <w:pPr>
        <w:pStyle w:val="NoSpacing"/>
        <w:rPr>
          <w:b/>
          <w:u w:val="single"/>
        </w:rPr>
      </w:pPr>
      <w:r w:rsidRPr="00D02E54">
        <w:rPr>
          <w:b/>
          <w:u w:val="single"/>
        </w:rPr>
        <w:t>Integrat</w:t>
      </w:r>
      <w:r w:rsidR="00890664" w:rsidRPr="00D02E54">
        <w:rPr>
          <w:b/>
          <w:u w:val="single"/>
        </w:rPr>
        <w:t>ion of Supply and Demand - Integrat</w:t>
      </w:r>
      <w:r w:rsidR="002F12E8" w:rsidRPr="00D02E54">
        <w:rPr>
          <w:b/>
          <w:u w:val="single"/>
        </w:rPr>
        <w:t>ed Resource Portfolio (Chapter 6)</w:t>
      </w:r>
    </w:p>
    <w:p w:rsidR="00D02E54" w:rsidRPr="00E5716D" w:rsidRDefault="00D02E54" w:rsidP="00D02E54">
      <w:pPr>
        <w:pStyle w:val="NoSpacing"/>
      </w:pPr>
    </w:p>
    <w:p w:rsidR="00A66A21" w:rsidRDefault="00B0180B" w:rsidP="00D02E54">
      <w:pPr>
        <w:pStyle w:val="NoSpacing"/>
        <w:spacing w:line="264" w:lineRule="auto"/>
      </w:pPr>
      <w:r>
        <w:t xml:space="preserve">Avista’s modeling methods are sound.  </w:t>
      </w:r>
      <w:r w:rsidR="002F67A0">
        <w:t xml:space="preserve">Avista’s selection of the expected case is a reasonable choice, made more reasonable by Avista’s update of price forecasts </w:t>
      </w:r>
      <w:r>
        <w:t xml:space="preserve">for that case </w:t>
      </w:r>
      <w:r w:rsidR="002F67A0">
        <w:t xml:space="preserve">in August 2009. </w:t>
      </w:r>
      <w:r w:rsidR="00A238FE">
        <w:t xml:space="preserve"> </w:t>
      </w:r>
      <w:r w:rsidR="002F67A0">
        <w:t xml:space="preserve">The Plan also identifies the monitoring of demand levels and peak day requirements for deviations from the expected customer growth and use per customer as inputs informing ongoing resource decisions. </w:t>
      </w:r>
      <w:r w:rsidR="00984618">
        <w:t xml:space="preserve"> </w:t>
      </w:r>
      <w:r w:rsidR="00A238FE">
        <w:t xml:space="preserve">While the Commission considers the choice of the expected case to be appropriate, it will still be necessary for Avista to closely monitor natural gas prices and gas demand to assure the course determined under the expected case is valid.  </w:t>
      </w:r>
    </w:p>
    <w:p w:rsidR="00D02E54" w:rsidRPr="00E5716D" w:rsidRDefault="00D02E54" w:rsidP="00D02E54">
      <w:pPr>
        <w:pStyle w:val="NoSpacing"/>
        <w:spacing w:line="264" w:lineRule="auto"/>
      </w:pPr>
    </w:p>
    <w:p w:rsidR="00955A56" w:rsidRDefault="00955A56" w:rsidP="00D02E54">
      <w:pPr>
        <w:pStyle w:val="NoSpacing"/>
        <w:spacing w:line="264" w:lineRule="auto"/>
      </w:pPr>
      <w:r w:rsidRPr="00E5716D">
        <w:t xml:space="preserve">For Avista’s expected case, the Washington/Idaho service territory resources are not deficient until the </w:t>
      </w:r>
      <w:r w:rsidR="00C84AAA" w:rsidRPr="00E5716D">
        <w:t>2022-2023</w:t>
      </w:r>
      <w:r w:rsidRPr="00E5716D">
        <w:t xml:space="preserve"> heating season.</w:t>
      </w:r>
      <w:r w:rsidR="00A238FE">
        <w:t xml:space="preserve"> </w:t>
      </w:r>
      <w:r w:rsidRPr="00E5716D">
        <w:t xml:space="preserve"> Even in Avista’s high demand case</w:t>
      </w:r>
      <w:r w:rsidR="005C20A1">
        <w:t>,</w:t>
      </w:r>
      <w:r w:rsidRPr="00E5716D">
        <w:t xml:space="preserve"> Avista’s Washington/Idaho service territory is not </w:t>
      </w:r>
      <w:r w:rsidR="006025A7" w:rsidRPr="00E5716D">
        <w:t xml:space="preserve">resource </w:t>
      </w:r>
      <w:r w:rsidRPr="00E5716D">
        <w:t>deficient until the 201</w:t>
      </w:r>
      <w:r w:rsidR="00107C37" w:rsidRPr="00E5716D">
        <w:t>5</w:t>
      </w:r>
      <w:r w:rsidRPr="00E5716D">
        <w:t>-201</w:t>
      </w:r>
      <w:r w:rsidR="00107C37" w:rsidRPr="00E5716D">
        <w:t>6</w:t>
      </w:r>
      <w:r w:rsidRPr="00E5716D">
        <w:t xml:space="preserve"> heating season.</w:t>
      </w:r>
    </w:p>
    <w:p w:rsidR="00D02E54" w:rsidRPr="00E5716D" w:rsidRDefault="00D02E54" w:rsidP="00D02E54">
      <w:pPr>
        <w:pStyle w:val="NoSpacing"/>
        <w:spacing w:line="264" w:lineRule="auto"/>
      </w:pPr>
    </w:p>
    <w:p w:rsidR="00B0180B" w:rsidRDefault="00EB4427" w:rsidP="00D02E54">
      <w:pPr>
        <w:pStyle w:val="NoSpacing"/>
        <w:spacing w:line="264" w:lineRule="auto"/>
      </w:pPr>
      <w:r w:rsidRPr="00E5716D">
        <w:t xml:space="preserve">Avista’s SENDOUT </w:t>
      </w:r>
      <w:r w:rsidR="00D07B26" w:rsidRPr="00E5716D">
        <w:t xml:space="preserve">computer model shows </w:t>
      </w:r>
      <w:r w:rsidR="00955A56" w:rsidRPr="00E5716D">
        <w:t>capacity</w:t>
      </w:r>
      <w:r w:rsidR="00D07B26" w:rsidRPr="00E5716D">
        <w:t xml:space="preserve"> purchases</w:t>
      </w:r>
      <w:r w:rsidR="00955A56" w:rsidRPr="00E5716D">
        <w:t xml:space="preserve"> on </w:t>
      </w:r>
      <w:r w:rsidR="00D07B26" w:rsidRPr="00E5716D">
        <w:t xml:space="preserve">Gas Transmission Northwest (GTN) pipeline </w:t>
      </w:r>
      <w:r w:rsidR="006025A7" w:rsidRPr="00E5716D">
        <w:t>as the lowest-</w:t>
      </w:r>
      <w:r w:rsidR="00955A56" w:rsidRPr="00E5716D">
        <w:t>cost means of meeting the 20</w:t>
      </w:r>
      <w:r w:rsidR="00D07B26" w:rsidRPr="00E5716D">
        <w:t>22</w:t>
      </w:r>
      <w:r w:rsidR="00955A56" w:rsidRPr="00E5716D">
        <w:t>-20</w:t>
      </w:r>
      <w:r w:rsidR="00D07B26" w:rsidRPr="00E5716D">
        <w:t>23</w:t>
      </w:r>
      <w:r w:rsidR="00955A56" w:rsidRPr="00E5716D">
        <w:t xml:space="preserve"> heating season deficit.</w:t>
      </w:r>
      <w:r w:rsidR="00A238FE">
        <w:t xml:space="preserve"> </w:t>
      </w:r>
      <w:r w:rsidR="00D07B26" w:rsidRPr="00E5716D">
        <w:t xml:space="preserve"> </w:t>
      </w:r>
      <w:r w:rsidR="00B0180B">
        <w:t xml:space="preserve">Avista states that it has sufficient time before potential resource shortages to react to any pending shortage. </w:t>
      </w:r>
      <w:r w:rsidR="00A238FE">
        <w:t xml:space="preserve"> The Commission expects Avista to use this decade to </w:t>
      </w:r>
      <w:r w:rsidR="005C20A1">
        <w:t>pursue all achievable cost-</w:t>
      </w:r>
      <w:r w:rsidR="00ED2F79">
        <w:t xml:space="preserve">effective conservation with the goal of delaying further the need for </w:t>
      </w:r>
      <w:r w:rsidR="005C20A1">
        <w:t xml:space="preserve">above-imbedded-cost </w:t>
      </w:r>
      <w:r w:rsidR="00ED2F79">
        <w:t>incremental resources.</w:t>
      </w:r>
      <w:r w:rsidR="00A238FE">
        <w:t xml:space="preserve"> </w:t>
      </w:r>
    </w:p>
    <w:p w:rsidR="00AB1A82" w:rsidRPr="00E5716D" w:rsidRDefault="00AB1A82" w:rsidP="006025A7">
      <w:pPr>
        <w:pStyle w:val="Heading1"/>
        <w:spacing w:after="0"/>
      </w:pPr>
    </w:p>
    <w:p w:rsidR="00CC051E" w:rsidRPr="00D02E54" w:rsidRDefault="00CC051E" w:rsidP="00D02E54">
      <w:pPr>
        <w:pStyle w:val="NoSpacing"/>
        <w:rPr>
          <w:b/>
          <w:u w:val="single"/>
        </w:rPr>
      </w:pPr>
      <w:r w:rsidRPr="00D02E54">
        <w:rPr>
          <w:b/>
          <w:u w:val="single"/>
        </w:rPr>
        <w:t>Distribution Planning (Chapter 8)</w:t>
      </w:r>
    </w:p>
    <w:p w:rsidR="00D02E54" w:rsidRPr="00E5716D" w:rsidRDefault="00D02E54" w:rsidP="00D02E54">
      <w:pPr>
        <w:pStyle w:val="NoSpacing"/>
        <w:spacing w:line="264" w:lineRule="auto"/>
      </w:pPr>
    </w:p>
    <w:p w:rsidR="00CC051E" w:rsidRDefault="00C068A4" w:rsidP="00D02E54">
      <w:pPr>
        <w:pStyle w:val="NoSpacing"/>
        <w:spacing w:line="264" w:lineRule="auto"/>
      </w:pPr>
      <w:r>
        <w:t xml:space="preserve">The Commission considers </w:t>
      </w:r>
      <w:r w:rsidR="00CC051E" w:rsidRPr="00E5716D">
        <w:t xml:space="preserve">Avista’s </w:t>
      </w:r>
      <w:r w:rsidR="00905101">
        <w:t xml:space="preserve">use of graphic software and its refinement of </w:t>
      </w:r>
      <w:r w:rsidR="00CC051E" w:rsidRPr="00E5716D">
        <w:t xml:space="preserve">distribution model </w:t>
      </w:r>
      <w:r w:rsidR="00905101">
        <w:t xml:space="preserve">equations </w:t>
      </w:r>
      <w:r w:rsidR="008B48D4">
        <w:t xml:space="preserve">to </w:t>
      </w:r>
      <w:r w:rsidR="00A83F09">
        <w:t>closely reflect</w:t>
      </w:r>
      <w:r w:rsidR="008B48D4">
        <w:t xml:space="preserve"> actual system behavior </w:t>
      </w:r>
      <w:r w:rsidR="007E093A">
        <w:t>as</w:t>
      </w:r>
      <w:r w:rsidR="008B48D4">
        <w:t xml:space="preserve"> necessary technology advancements for gas distribution companies.</w:t>
      </w:r>
      <w:r>
        <w:t xml:space="preserve"> </w:t>
      </w:r>
      <w:r w:rsidR="008B48D4">
        <w:t xml:space="preserve"> </w:t>
      </w:r>
      <w:r w:rsidR="00A83F09">
        <w:t xml:space="preserve">Avista states that </w:t>
      </w:r>
      <w:r>
        <w:t xml:space="preserve">its distribution computer software enables </w:t>
      </w:r>
      <w:r w:rsidR="008B48D4">
        <w:t xml:space="preserve">the optimization of the existing gate station delivery points of Avista’s pipeline capacity </w:t>
      </w:r>
      <w:r>
        <w:t xml:space="preserve">rights </w:t>
      </w:r>
      <w:r w:rsidR="008B48D4">
        <w:t xml:space="preserve">as well as </w:t>
      </w:r>
      <w:r>
        <w:t xml:space="preserve">the </w:t>
      </w:r>
      <w:r w:rsidR="008B48D4">
        <w:t xml:space="preserve">support </w:t>
      </w:r>
      <w:r w:rsidR="005C20A1">
        <w:t xml:space="preserve">of </w:t>
      </w:r>
      <w:r w:rsidR="008B48D4">
        <w:t xml:space="preserve">proper distribution delivery pressure under varied conditions. </w:t>
      </w:r>
      <w:r>
        <w:t xml:space="preserve"> </w:t>
      </w:r>
      <w:r w:rsidR="00A83F09">
        <w:t xml:space="preserve">The Commission recognizes that </w:t>
      </w:r>
      <w:r>
        <w:t>Avista’s</w:t>
      </w:r>
      <w:r w:rsidR="008B48D4">
        <w:t xml:space="preserve"> distribution modeling capability</w:t>
      </w:r>
      <w:r w:rsidR="00A83F09">
        <w:t xml:space="preserve"> </w:t>
      </w:r>
      <w:r w:rsidR="008B48D4">
        <w:t>should assist Avista in managing growth</w:t>
      </w:r>
      <w:r>
        <w:t xml:space="preserve"> in demand</w:t>
      </w:r>
      <w:r w:rsidR="008B48D4">
        <w:t xml:space="preserve"> with its existing pipeline capacity and</w:t>
      </w:r>
      <w:r>
        <w:t xml:space="preserve"> delivery points through the 10-</w:t>
      </w:r>
      <w:r w:rsidR="008B48D4">
        <w:t xml:space="preserve">year period </w:t>
      </w:r>
      <w:r w:rsidR="00A83F09">
        <w:t xml:space="preserve">that </w:t>
      </w:r>
      <w:r w:rsidR="008B48D4">
        <w:t>the Company does not expect to need new pipeline capacity.</w:t>
      </w:r>
    </w:p>
    <w:p w:rsidR="00E95FA7" w:rsidRPr="00E5716D" w:rsidRDefault="00E95FA7" w:rsidP="00D02E54"/>
    <w:p w:rsidR="00C42A1D" w:rsidRPr="00D02E54" w:rsidRDefault="00C42A1D" w:rsidP="00D02E54">
      <w:pPr>
        <w:pStyle w:val="NoSpacing"/>
        <w:spacing w:line="264" w:lineRule="auto"/>
        <w:rPr>
          <w:b/>
          <w:u w:val="single"/>
        </w:rPr>
      </w:pPr>
      <w:r w:rsidRPr="00D02E54">
        <w:rPr>
          <w:b/>
          <w:u w:val="single"/>
        </w:rPr>
        <w:t>Action Items</w:t>
      </w:r>
    </w:p>
    <w:p w:rsidR="00D02E54" w:rsidRDefault="00D02E54" w:rsidP="00D02E54">
      <w:pPr>
        <w:pStyle w:val="NoSpacing"/>
        <w:spacing w:line="264" w:lineRule="auto"/>
      </w:pPr>
    </w:p>
    <w:p w:rsidR="00E050C6" w:rsidRDefault="000D0BE2" w:rsidP="00D02E54">
      <w:pPr>
        <w:pStyle w:val="NoSpacing"/>
        <w:spacing w:line="264" w:lineRule="auto"/>
      </w:pPr>
      <w:r>
        <w:t>Avista concludes it does</w:t>
      </w:r>
      <w:r w:rsidR="007E093A">
        <w:t xml:space="preserve"> not</w:t>
      </w:r>
      <w:r>
        <w:t xml:space="preserve"> need additional supply-side resources until </w:t>
      </w:r>
      <w:r w:rsidR="007E093A">
        <w:t xml:space="preserve">the </w:t>
      </w:r>
      <w:r w:rsidR="00C068A4">
        <w:t>2022-</w:t>
      </w:r>
      <w:r>
        <w:t>2023</w:t>
      </w:r>
      <w:r w:rsidR="00C068A4">
        <w:t xml:space="preserve"> season</w:t>
      </w:r>
      <w:r>
        <w:t>.  Avista lists several monitoring activ</w:t>
      </w:r>
      <w:r w:rsidR="00E050C6">
        <w:t>it</w:t>
      </w:r>
      <w:r>
        <w:t xml:space="preserve">ies under its supply-side action </w:t>
      </w:r>
      <w:r w:rsidR="00FB48D3">
        <w:t xml:space="preserve">items including gas production and </w:t>
      </w:r>
      <w:r w:rsidR="00E050C6">
        <w:t>effects of pipeline expansions on regional gas supply and pipeline rates</w:t>
      </w:r>
      <w:r>
        <w:t xml:space="preserve">.  The Commission considers </w:t>
      </w:r>
      <w:r w:rsidR="00E050C6">
        <w:t xml:space="preserve">these important areas to monitor and encourages the Company to </w:t>
      </w:r>
      <w:r w:rsidR="0055328D">
        <w:t xml:space="preserve">also </w:t>
      </w:r>
      <w:r w:rsidR="00E050C6">
        <w:lastRenderedPageBreak/>
        <w:t xml:space="preserve">explicitly include in its list the monitoring of backhauling capacity on the GTN pipeline north </w:t>
      </w:r>
      <w:r w:rsidR="00C068A4">
        <w:t xml:space="preserve">from </w:t>
      </w:r>
      <w:r w:rsidR="00E050C6">
        <w:t xml:space="preserve">Malin. </w:t>
      </w:r>
    </w:p>
    <w:p w:rsidR="00D02E54" w:rsidRDefault="00D02E54" w:rsidP="00D02E54">
      <w:pPr>
        <w:pStyle w:val="NoSpacing"/>
        <w:spacing w:line="264" w:lineRule="auto"/>
      </w:pPr>
    </w:p>
    <w:p w:rsidR="007F6A0E" w:rsidRDefault="00F75956" w:rsidP="00D02E54">
      <w:pPr>
        <w:pStyle w:val="NoSpacing"/>
        <w:spacing w:line="264" w:lineRule="auto"/>
      </w:pPr>
      <w:r>
        <w:t>The C</w:t>
      </w:r>
      <w:r w:rsidR="00E050C6">
        <w:t xml:space="preserve">ommission notes that Avista has </w:t>
      </w:r>
      <w:r w:rsidR="00FB48D3">
        <w:t>a ten-year period without a projected</w:t>
      </w:r>
      <w:r>
        <w:t xml:space="preserve"> need for supply-side resources</w:t>
      </w:r>
      <w:r w:rsidR="00FB48D3">
        <w:t>.  This</w:t>
      </w:r>
      <w:r>
        <w:t xml:space="preserve"> </w:t>
      </w:r>
      <w:r w:rsidR="00C068A4">
        <w:t xml:space="preserve">is an </w:t>
      </w:r>
      <w:r>
        <w:t>opportunity</w:t>
      </w:r>
      <w:r w:rsidR="00E050C6">
        <w:t xml:space="preserve"> </w:t>
      </w:r>
      <w:r w:rsidR="00FB48D3">
        <w:t xml:space="preserve">for Avista to </w:t>
      </w:r>
      <w:r>
        <w:t xml:space="preserve">pursue energy efficiency measures.  The Commission encourages Avista to take this opportunity to fulfill its </w:t>
      </w:r>
      <w:r w:rsidR="007F6A0E">
        <w:t>obligation by acquiring</w:t>
      </w:r>
      <w:r>
        <w:t xml:space="preserve"> </w:t>
      </w:r>
      <w:r w:rsidR="007F6A0E">
        <w:t xml:space="preserve">cost-effective </w:t>
      </w:r>
      <w:r>
        <w:t xml:space="preserve">energy efficiency </w:t>
      </w:r>
      <w:r w:rsidR="007F6A0E">
        <w:t>that may further post</w:t>
      </w:r>
      <w:r>
        <w:t>pone</w:t>
      </w:r>
      <w:r w:rsidR="007F6A0E">
        <w:t xml:space="preserve"> the need for supply-</w:t>
      </w:r>
      <w:r>
        <w:t>side resources</w:t>
      </w:r>
      <w:r w:rsidR="007F6A0E">
        <w:t xml:space="preserve"> including new pipeline capacity on new pipeline projects </w:t>
      </w:r>
      <w:r w:rsidR="00C068A4">
        <w:t xml:space="preserve">that are accompanied by </w:t>
      </w:r>
      <w:r w:rsidR="007C16A0">
        <w:t>considerably higher</w:t>
      </w:r>
      <w:r w:rsidR="007F6A0E">
        <w:t xml:space="preserve"> transport rates</w:t>
      </w:r>
      <w:r w:rsidR="007C16A0">
        <w:t>.</w:t>
      </w:r>
      <w:r>
        <w:t xml:space="preserve"> </w:t>
      </w:r>
    </w:p>
    <w:p w:rsidR="00D02E54" w:rsidRDefault="00D02E54" w:rsidP="00D02E54">
      <w:pPr>
        <w:pStyle w:val="NoSpacing"/>
        <w:spacing w:line="264" w:lineRule="auto"/>
      </w:pPr>
    </w:p>
    <w:p w:rsidR="00A83F09" w:rsidRDefault="00C068A4" w:rsidP="00A83F09">
      <w:r>
        <w:t xml:space="preserve">Without a need for additional supply-side resources, the Commission agrees with the importance of Avista’s strategy of maximizing Avista’s use of its existing resources.  </w:t>
      </w:r>
      <w:r w:rsidR="007F6A0E">
        <w:t xml:space="preserve">The Commission </w:t>
      </w:r>
      <w:r>
        <w:t xml:space="preserve">encourages </w:t>
      </w:r>
      <w:r w:rsidR="007F6A0E">
        <w:t>Avista</w:t>
      </w:r>
      <w:r>
        <w:t xml:space="preserve"> to</w:t>
      </w:r>
      <w:r w:rsidR="007F6A0E">
        <w:t xml:space="preserve"> </w:t>
      </w:r>
      <w:r>
        <w:t xml:space="preserve">pursue its </w:t>
      </w:r>
      <w:r w:rsidR="007F6A0E">
        <w:t>goal of capturing additional value related to existing storage assets</w:t>
      </w:r>
      <w:r w:rsidR="00613EE9">
        <w:t xml:space="preserve"> as well as Avista’s commitment to analyze </w:t>
      </w:r>
      <w:r>
        <w:t xml:space="preserve">its </w:t>
      </w:r>
      <w:r w:rsidR="00613EE9">
        <w:t xml:space="preserve">natural gas procurement </w:t>
      </w:r>
      <w:r w:rsidR="00984618">
        <w:t>practices.</w:t>
      </w:r>
    </w:p>
    <w:p w:rsidR="00E95FA7" w:rsidRPr="00A83F09" w:rsidRDefault="00E95FA7" w:rsidP="00D02E54">
      <w:pPr>
        <w:pStyle w:val="NoSpacing"/>
      </w:pPr>
    </w:p>
    <w:p w:rsidR="00C42A1D" w:rsidRPr="00D02E54" w:rsidRDefault="00C42A1D" w:rsidP="00D02E54">
      <w:pPr>
        <w:pStyle w:val="NoSpacing"/>
        <w:rPr>
          <w:b/>
          <w:u w:val="single"/>
        </w:rPr>
      </w:pPr>
      <w:r w:rsidRPr="00D02E54">
        <w:rPr>
          <w:b/>
          <w:u w:val="single"/>
        </w:rPr>
        <w:t>Conclusion</w:t>
      </w:r>
    </w:p>
    <w:p w:rsidR="00D02E54" w:rsidRPr="00E5716D" w:rsidRDefault="00D02E54" w:rsidP="00D02E54">
      <w:pPr>
        <w:pStyle w:val="NoSpacing"/>
        <w:spacing w:line="264" w:lineRule="auto"/>
      </w:pPr>
    </w:p>
    <w:p w:rsidR="002C039A" w:rsidRPr="00E5716D" w:rsidRDefault="00194ED4" w:rsidP="00D02E54">
      <w:pPr>
        <w:pStyle w:val="NoSpacing"/>
        <w:spacing w:line="264" w:lineRule="auto"/>
      </w:pPr>
      <w:r w:rsidRPr="00E5716D">
        <w:t>The Commission acknowledges that Avista’s 200</w:t>
      </w:r>
      <w:r w:rsidR="0019327E" w:rsidRPr="00E5716D">
        <w:t>9</w:t>
      </w:r>
      <w:r w:rsidR="00A23218">
        <w:t xml:space="preserve"> Natural Gas Integrated Resource P</w:t>
      </w:r>
      <w:r w:rsidRPr="00E5716D">
        <w:t>lan complies with current regulatory requirements.</w:t>
      </w:r>
    </w:p>
    <w:sectPr w:rsidR="002C039A" w:rsidRPr="00E5716D" w:rsidSect="00E13DE5">
      <w:footerReference w:type="default" r:id="rId8"/>
      <w:footerReference w:type="first" r:id="rId9"/>
      <w:pgSz w:w="12240" w:h="15840" w:code="1"/>
      <w:pgMar w:top="1440" w:right="1800" w:bottom="1627" w:left="1800"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B01" w:rsidRDefault="003A2B01" w:rsidP="004313F9">
      <w:r>
        <w:separator/>
      </w:r>
    </w:p>
    <w:p w:rsidR="003A2B01" w:rsidRDefault="003A2B01" w:rsidP="004313F9"/>
  </w:endnote>
  <w:endnote w:type="continuationSeparator" w:id="0">
    <w:p w:rsidR="003A2B01" w:rsidRDefault="003A2B01" w:rsidP="004313F9">
      <w:r>
        <w:continuationSeparator/>
      </w:r>
    </w:p>
    <w:p w:rsidR="003A2B01" w:rsidRDefault="003A2B01" w:rsidP="004313F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3722"/>
      <w:docPartObj>
        <w:docPartGallery w:val="Page Numbers (Bottom of Page)"/>
        <w:docPartUnique/>
      </w:docPartObj>
    </w:sdtPr>
    <w:sdtEndPr>
      <w:rPr>
        <w:rFonts w:ascii="Times New Roman" w:hAnsi="Times New Roman"/>
      </w:rPr>
    </w:sdtEndPr>
    <w:sdtContent>
      <w:p w:rsidR="00D02E54" w:rsidRPr="00D02E54" w:rsidRDefault="00D02E54">
        <w:pPr>
          <w:pStyle w:val="Footer"/>
          <w:jc w:val="center"/>
          <w:rPr>
            <w:rFonts w:ascii="Times New Roman" w:hAnsi="Times New Roman"/>
          </w:rPr>
        </w:pPr>
        <w:r w:rsidRPr="00D02E54">
          <w:rPr>
            <w:rFonts w:ascii="Times New Roman" w:hAnsi="Times New Roman"/>
          </w:rPr>
          <w:fldChar w:fldCharType="begin"/>
        </w:r>
        <w:r w:rsidRPr="00D02E54">
          <w:rPr>
            <w:rFonts w:ascii="Times New Roman" w:hAnsi="Times New Roman"/>
          </w:rPr>
          <w:instrText xml:space="preserve"> PAGE   \* MERGEFORMAT </w:instrText>
        </w:r>
        <w:r w:rsidRPr="00D02E54">
          <w:rPr>
            <w:rFonts w:ascii="Times New Roman" w:hAnsi="Times New Roman"/>
          </w:rPr>
          <w:fldChar w:fldCharType="separate"/>
        </w:r>
        <w:r w:rsidR="00E13DE5">
          <w:rPr>
            <w:rFonts w:ascii="Times New Roman" w:hAnsi="Times New Roman"/>
            <w:noProof/>
          </w:rPr>
          <w:t>4</w:t>
        </w:r>
        <w:r w:rsidRPr="00D02E54">
          <w:rPr>
            <w:rFonts w:ascii="Times New Roman" w:hAnsi="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C4" w:rsidRPr="009E49C4" w:rsidRDefault="009E49C4" w:rsidP="009E49C4">
    <w:pPr>
      <w:pStyle w:val="Footer"/>
      <w:jc w:val="center"/>
      <w:rPr>
        <w:rFonts w:ascii="Times New Roman" w:hAnsi="Times New Roman"/>
      </w:rPr>
    </w:pPr>
    <w:r w:rsidRPr="009E49C4">
      <w:rPr>
        <w:rFonts w:ascii="Times New Roman" w:hAnsi="Times New Roma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B01" w:rsidRDefault="003A2B01" w:rsidP="004313F9">
      <w:r>
        <w:separator/>
      </w:r>
    </w:p>
    <w:p w:rsidR="003A2B01" w:rsidRDefault="003A2B01" w:rsidP="004313F9"/>
  </w:footnote>
  <w:footnote w:type="continuationSeparator" w:id="0">
    <w:p w:rsidR="003A2B01" w:rsidRDefault="003A2B01" w:rsidP="004313F9">
      <w:r>
        <w:continuationSeparator/>
      </w:r>
    </w:p>
    <w:p w:rsidR="003A2B01" w:rsidRDefault="003A2B01" w:rsidP="004313F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0D59"/>
    <w:multiLevelType w:val="hybridMultilevel"/>
    <w:tmpl w:val="70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053312"/>
    <w:multiLevelType w:val="hybridMultilevel"/>
    <w:tmpl w:val="B860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35"/>
  <w:characterSpacingControl w:val="doNotCompress"/>
  <w:hdrShapeDefaults>
    <o:shapedefaults v:ext="edit" spidmax="4097"/>
  </w:hdrShapeDefaults>
  <w:footnotePr>
    <w:footnote w:id="-1"/>
    <w:footnote w:id="0"/>
  </w:footnotePr>
  <w:endnotePr>
    <w:endnote w:id="-1"/>
    <w:endnote w:id="0"/>
  </w:endnotePr>
  <w:compat/>
  <w:rsids>
    <w:rsidRoot w:val="00194ED4"/>
    <w:rsid w:val="00000C69"/>
    <w:rsid w:val="0000417B"/>
    <w:rsid w:val="0002536B"/>
    <w:rsid w:val="00031CEC"/>
    <w:rsid w:val="00051688"/>
    <w:rsid w:val="000715D6"/>
    <w:rsid w:val="00080AE7"/>
    <w:rsid w:val="00094FB2"/>
    <w:rsid w:val="000A2F45"/>
    <w:rsid w:val="000A760E"/>
    <w:rsid w:val="000B1071"/>
    <w:rsid w:val="000D0BE2"/>
    <w:rsid w:val="000E3D29"/>
    <w:rsid w:val="00106FCF"/>
    <w:rsid w:val="00107C37"/>
    <w:rsid w:val="00115C9B"/>
    <w:rsid w:val="00125531"/>
    <w:rsid w:val="001655BD"/>
    <w:rsid w:val="0019327E"/>
    <w:rsid w:val="00194ED4"/>
    <w:rsid w:val="001B0174"/>
    <w:rsid w:val="001B33BA"/>
    <w:rsid w:val="001C5AB1"/>
    <w:rsid w:val="001E6235"/>
    <w:rsid w:val="001F2BFE"/>
    <w:rsid w:val="002005C7"/>
    <w:rsid w:val="0021472C"/>
    <w:rsid w:val="00217D75"/>
    <w:rsid w:val="002350F1"/>
    <w:rsid w:val="00253FB2"/>
    <w:rsid w:val="00263B7B"/>
    <w:rsid w:val="00271269"/>
    <w:rsid w:val="002A651F"/>
    <w:rsid w:val="002C039A"/>
    <w:rsid w:val="002F10E3"/>
    <w:rsid w:val="002F12E8"/>
    <w:rsid w:val="002F67A0"/>
    <w:rsid w:val="003349C9"/>
    <w:rsid w:val="00354BEC"/>
    <w:rsid w:val="00376404"/>
    <w:rsid w:val="003A2B01"/>
    <w:rsid w:val="003B3041"/>
    <w:rsid w:val="003C2C50"/>
    <w:rsid w:val="0040527D"/>
    <w:rsid w:val="004313F9"/>
    <w:rsid w:val="00434E75"/>
    <w:rsid w:val="00455517"/>
    <w:rsid w:val="00490D87"/>
    <w:rsid w:val="004E656C"/>
    <w:rsid w:val="004F206F"/>
    <w:rsid w:val="004F77C5"/>
    <w:rsid w:val="00505B2E"/>
    <w:rsid w:val="0055328D"/>
    <w:rsid w:val="00563B3E"/>
    <w:rsid w:val="005706B5"/>
    <w:rsid w:val="00591205"/>
    <w:rsid w:val="005972A0"/>
    <w:rsid w:val="005A437D"/>
    <w:rsid w:val="005C20A1"/>
    <w:rsid w:val="005F7963"/>
    <w:rsid w:val="006025A7"/>
    <w:rsid w:val="00613EE9"/>
    <w:rsid w:val="00623E8D"/>
    <w:rsid w:val="00631F60"/>
    <w:rsid w:val="00644D63"/>
    <w:rsid w:val="006A65F4"/>
    <w:rsid w:val="006A6F68"/>
    <w:rsid w:val="006B3B7D"/>
    <w:rsid w:val="006C080E"/>
    <w:rsid w:val="007115CF"/>
    <w:rsid w:val="00730DF9"/>
    <w:rsid w:val="007351DD"/>
    <w:rsid w:val="00751431"/>
    <w:rsid w:val="00781F23"/>
    <w:rsid w:val="007A4059"/>
    <w:rsid w:val="007C16A0"/>
    <w:rsid w:val="007C67F5"/>
    <w:rsid w:val="007C6B98"/>
    <w:rsid w:val="007D77B4"/>
    <w:rsid w:val="007E093A"/>
    <w:rsid w:val="007E6A36"/>
    <w:rsid w:val="007F4590"/>
    <w:rsid w:val="007F6A0E"/>
    <w:rsid w:val="00800154"/>
    <w:rsid w:val="008121F7"/>
    <w:rsid w:val="008310E0"/>
    <w:rsid w:val="0084696A"/>
    <w:rsid w:val="00862239"/>
    <w:rsid w:val="008858AC"/>
    <w:rsid w:val="00890664"/>
    <w:rsid w:val="008938CD"/>
    <w:rsid w:val="00895C65"/>
    <w:rsid w:val="008B48D4"/>
    <w:rsid w:val="008E179F"/>
    <w:rsid w:val="00905101"/>
    <w:rsid w:val="009079A4"/>
    <w:rsid w:val="00932440"/>
    <w:rsid w:val="00955A56"/>
    <w:rsid w:val="00961A84"/>
    <w:rsid w:val="00966F54"/>
    <w:rsid w:val="00975D81"/>
    <w:rsid w:val="00984618"/>
    <w:rsid w:val="009A09B5"/>
    <w:rsid w:val="009B1894"/>
    <w:rsid w:val="009B1C84"/>
    <w:rsid w:val="009B65A1"/>
    <w:rsid w:val="009E49C4"/>
    <w:rsid w:val="009F06C7"/>
    <w:rsid w:val="00A0273B"/>
    <w:rsid w:val="00A05A01"/>
    <w:rsid w:val="00A05A47"/>
    <w:rsid w:val="00A13120"/>
    <w:rsid w:val="00A14D46"/>
    <w:rsid w:val="00A23218"/>
    <w:rsid w:val="00A238FE"/>
    <w:rsid w:val="00A45B60"/>
    <w:rsid w:val="00A66A21"/>
    <w:rsid w:val="00A70E13"/>
    <w:rsid w:val="00A83F09"/>
    <w:rsid w:val="00A84C2A"/>
    <w:rsid w:val="00A87202"/>
    <w:rsid w:val="00AA02EC"/>
    <w:rsid w:val="00AB1A82"/>
    <w:rsid w:val="00B0180B"/>
    <w:rsid w:val="00B317E2"/>
    <w:rsid w:val="00B359AF"/>
    <w:rsid w:val="00B469F8"/>
    <w:rsid w:val="00B56F73"/>
    <w:rsid w:val="00B63A94"/>
    <w:rsid w:val="00B82621"/>
    <w:rsid w:val="00B86C17"/>
    <w:rsid w:val="00BA7B8D"/>
    <w:rsid w:val="00BF665F"/>
    <w:rsid w:val="00C068A4"/>
    <w:rsid w:val="00C27C17"/>
    <w:rsid w:val="00C42A1D"/>
    <w:rsid w:val="00C47C59"/>
    <w:rsid w:val="00C61132"/>
    <w:rsid w:val="00C73673"/>
    <w:rsid w:val="00C84AAA"/>
    <w:rsid w:val="00CB278D"/>
    <w:rsid w:val="00CC051E"/>
    <w:rsid w:val="00CE6601"/>
    <w:rsid w:val="00D02E54"/>
    <w:rsid w:val="00D07B26"/>
    <w:rsid w:val="00D76BB8"/>
    <w:rsid w:val="00D83D00"/>
    <w:rsid w:val="00D92C21"/>
    <w:rsid w:val="00DA0DBA"/>
    <w:rsid w:val="00DA3785"/>
    <w:rsid w:val="00DD2A47"/>
    <w:rsid w:val="00DD49D3"/>
    <w:rsid w:val="00DE111B"/>
    <w:rsid w:val="00E050C6"/>
    <w:rsid w:val="00E13DE5"/>
    <w:rsid w:val="00E3578E"/>
    <w:rsid w:val="00E5341E"/>
    <w:rsid w:val="00E5716D"/>
    <w:rsid w:val="00E7116C"/>
    <w:rsid w:val="00E74060"/>
    <w:rsid w:val="00E95FA7"/>
    <w:rsid w:val="00EB4427"/>
    <w:rsid w:val="00ED2F79"/>
    <w:rsid w:val="00ED3FC8"/>
    <w:rsid w:val="00EF4B50"/>
    <w:rsid w:val="00EF6F1C"/>
    <w:rsid w:val="00F024F3"/>
    <w:rsid w:val="00F12CD3"/>
    <w:rsid w:val="00F20FB1"/>
    <w:rsid w:val="00F55DC7"/>
    <w:rsid w:val="00F62FF3"/>
    <w:rsid w:val="00F75956"/>
    <w:rsid w:val="00F809E6"/>
    <w:rsid w:val="00F96CA1"/>
    <w:rsid w:val="00FB4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F9"/>
    <w:pPr>
      <w:spacing w:after="120" w:line="264" w:lineRule="auto"/>
    </w:pPr>
    <w:rPr>
      <w:rFonts w:ascii="Times New Roman" w:eastAsia="Times New Roman" w:hAnsi="Times New Roman"/>
      <w:spacing w:val="-5"/>
      <w:sz w:val="24"/>
      <w:szCs w:val="24"/>
    </w:rPr>
  </w:style>
  <w:style w:type="paragraph" w:styleId="Heading1">
    <w:name w:val="heading 1"/>
    <w:basedOn w:val="Normal"/>
    <w:next w:val="Normal"/>
    <w:link w:val="Heading1Char"/>
    <w:uiPriority w:val="9"/>
    <w:qFormat/>
    <w:rsid w:val="004F206F"/>
    <w:pPr>
      <w:outlineLvl w:val="0"/>
    </w:pPr>
    <w:rPr>
      <w:b/>
      <w:kern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ED4"/>
    <w:pPr>
      <w:keepLines/>
      <w:tabs>
        <w:tab w:val="center" w:pos="4320"/>
        <w:tab w:val="right" w:pos="8640"/>
      </w:tabs>
      <w:spacing w:after="600" w:line="180" w:lineRule="atLeast"/>
      <w:jc w:val="both"/>
    </w:pPr>
    <w:rPr>
      <w:rFonts w:ascii="Arial" w:hAnsi="Arial"/>
      <w:sz w:val="20"/>
      <w:szCs w:val="20"/>
    </w:rPr>
  </w:style>
  <w:style w:type="character" w:customStyle="1" w:styleId="HeaderChar">
    <w:name w:val="Header Char"/>
    <w:link w:val="Header"/>
    <w:rsid w:val="00194ED4"/>
    <w:rPr>
      <w:rFonts w:ascii="Arial" w:eastAsia="Times New Roman" w:hAnsi="Arial" w:cs="Times New Roman"/>
      <w:spacing w:val="-5"/>
      <w:sz w:val="20"/>
      <w:szCs w:val="20"/>
    </w:rPr>
  </w:style>
  <w:style w:type="character" w:styleId="PageNumber">
    <w:name w:val="page number"/>
    <w:rsid w:val="00194ED4"/>
    <w:rPr>
      <w:sz w:val="18"/>
    </w:rPr>
  </w:style>
  <w:style w:type="paragraph" w:styleId="FootnoteText">
    <w:name w:val="footnote text"/>
    <w:basedOn w:val="Normal"/>
    <w:link w:val="FootnoteTextChar"/>
    <w:semiHidden/>
    <w:rsid w:val="00194ED4"/>
    <w:rPr>
      <w:rFonts w:ascii="Palatino Linotype" w:hAnsi="Palatino Linotype"/>
      <w:spacing w:val="0"/>
      <w:sz w:val="20"/>
    </w:rPr>
  </w:style>
  <w:style w:type="character" w:customStyle="1" w:styleId="FootnoteTextChar">
    <w:name w:val="Footnote Text Char"/>
    <w:link w:val="FootnoteText"/>
    <w:semiHidden/>
    <w:rsid w:val="00194ED4"/>
    <w:rPr>
      <w:rFonts w:ascii="Palatino Linotype" w:eastAsia="Times New Roman" w:hAnsi="Palatino Linotype" w:cs="Times New Roman"/>
      <w:sz w:val="20"/>
      <w:szCs w:val="24"/>
    </w:rPr>
  </w:style>
  <w:style w:type="character" w:styleId="FootnoteReference">
    <w:name w:val="footnote reference"/>
    <w:semiHidden/>
    <w:rsid w:val="00194ED4"/>
    <w:rPr>
      <w:vertAlign w:val="superscript"/>
    </w:rPr>
  </w:style>
  <w:style w:type="paragraph" w:styleId="BodyText3">
    <w:name w:val="Body Text 3"/>
    <w:basedOn w:val="Normal"/>
    <w:link w:val="BodyText3Char"/>
    <w:rsid w:val="00194ED4"/>
    <w:rPr>
      <w:rFonts w:ascii="Palatino Linotype" w:hAnsi="Palatino Linotype"/>
      <w:i/>
      <w:iCs/>
      <w:spacing w:val="0"/>
    </w:rPr>
  </w:style>
  <w:style w:type="character" w:customStyle="1" w:styleId="BodyText3Char">
    <w:name w:val="Body Text 3 Char"/>
    <w:link w:val="BodyText3"/>
    <w:rsid w:val="00194ED4"/>
    <w:rPr>
      <w:rFonts w:ascii="Palatino Linotype" w:eastAsia="Times New Roman" w:hAnsi="Palatino Linotype" w:cs="Times New Roman"/>
      <w:i/>
      <w:iCs/>
      <w:sz w:val="24"/>
      <w:szCs w:val="24"/>
    </w:rPr>
  </w:style>
  <w:style w:type="paragraph" w:styleId="Title">
    <w:name w:val="Title"/>
    <w:basedOn w:val="Normal"/>
    <w:link w:val="TitleChar"/>
    <w:qFormat/>
    <w:rsid w:val="004313F9"/>
    <w:pPr>
      <w:jc w:val="center"/>
    </w:pPr>
    <w:rPr>
      <w:b/>
      <w:bCs/>
      <w:spacing w:val="0"/>
      <w:kern w:val="24"/>
    </w:rPr>
  </w:style>
  <w:style w:type="character" w:customStyle="1" w:styleId="TitleChar">
    <w:name w:val="Title Char"/>
    <w:link w:val="Title"/>
    <w:rsid w:val="004313F9"/>
    <w:rPr>
      <w:rFonts w:ascii="Times New Roman" w:eastAsia="Times New Roman" w:hAnsi="Times New Roman"/>
      <w:b/>
      <w:bCs/>
      <w:kern w:val="24"/>
      <w:sz w:val="24"/>
      <w:szCs w:val="24"/>
    </w:rPr>
  </w:style>
  <w:style w:type="paragraph" w:styleId="Footer">
    <w:name w:val="footer"/>
    <w:basedOn w:val="Normal"/>
    <w:link w:val="FooterChar"/>
    <w:uiPriority w:val="99"/>
    <w:unhideWhenUsed/>
    <w:rsid w:val="0021472C"/>
    <w:pPr>
      <w:tabs>
        <w:tab w:val="center" w:pos="4680"/>
        <w:tab w:val="right" w:pos="9360"/>
      </w:tabs>
    </w:pPr>
    <w:rPr>
      <w:rFonts w:ascii="Arial" w:hAnsi="Arial"/>
      <w:sz w:val="20"/>
      <w:szCs w:val="20"/>
    </w:rPr>
  </w:style>
  <w:style w:type="character" w:customStyle="1" w:styleId="FooterChar">
    <w:name w:val="Footer Char"/>
    <w:link w:val="Footer"/>
    <w:uiPriority w:val="99"/>
    <w:rsid w:val="0021472C"/>
    <w:rPr>
      <w:rFonts w:ascii="Arial" w:eastAsia="Times New Roman" w:hAnsi="Arial"/>
      <w:spacing w:val="-5"/>
    </w:rPr>
  </w:style>
  <w:style w:type="paragraph" w:customStyle="1" w:styleId="footnote">
    <w:name w:val="footnote"/>
    <w:basedOn w:val="FootnoteText"/>
    <w:link w:val="footnoteChar"/>
    <w:qFormat/>
    <w:rsid w:val="00AA02EC"/>
    <w:rPr>
      <w:rFonts w:ascii="Times New Roman" w:hAnsi="Times New Roman"/>
    </w:rPr>
  </w:style>
  <w:style w:type="character" w:customStyle="1" w:styleId="Heading1Char">
    <w:name w:val="Heading 1 Char"/>
    <w:link w:val="Heading1"/>
    <w:uiPriority w:val="9"/>
    <w:rsid w:val="004F206F"/>
    <w:rPr>
      <w:rFonts w:ascii="Times New Roman" w:eastAsia="Times New Roman" w:hAnsi="Times New Roman"/>
      <w:b/>
      <w:spacing w:val="-5"/>
      <w:kern w:val="24"/>
      <w:sz w:val="24"/>
      <w:szCs w:val="24"/>
      <w:u w:val="single"/>
    </w:rPr>
  </w:style>
  <w:style w:type="character" w:customStyle="1" w:styleId="footnoteChar">
    <w:name w:val="footnote Char"/>
    <w:link w:val="footnote"/>
    <w:rsid w:val="00AA02EC"/>
    <w:rPr>
      <w:rFonts w:ascii="Times New Roman" w:eastAsia="Times New Roman" w:hAnsi="Times New Roman" w:cs="Times New Roman"/>
      <w:sz w:val="20"/>
      <w:szCs w:val="24"/>
    </w:rPr>
  </w:style>
  <w:style w:type="character" w:styleId="CommentReference">
    <w:name w:val="annotation reference"/>
    <w:uiPriority w:val="99"/>
    <w:semiHidden/>
    <w:unhideWhenUsed/>
    <w:rsid w:val="00051688"/>
    <w:rPr>
      <w:sz w:val="16"/>
      <w:szCs w:val="16"/>
    </w:rPr>
  </w:style>
  <w:style w:type="paragraph" w:styleId="CommentText">
    <w:name w:val="annotation text"/>
    <w:basedOn w:val="Normal"/>
    <w:link w:val="CommentTextChar"/>
    <w:uiPriority w:val="99"/>
    <w:semiHidden/>
    <w:unhideWhenUsed/>
    <w:rsid w:val="00051688"/>
    <w:rPr>
      <w:sz w:val="20"/>
      <w:szCs w:val="20"/>
    </w:rPr>
  </w:style>
  <w:style w:type="character" w:customStyle="1" w:styleId="CommentTextChar">
    <w:name w:val="Comment Text Char"/>
    <w:link w:val="CommentText"/>
    <w:uiPriority w:val="99"/>
    <w:semiHidden/>
    <w:rsid w:val="00051688"/>
    <w:rPr>
      <w:rFonts w:ascii="Times New Roman" w:eastAsia="Times New Roman" w:hAnsi="Times New Roman"/>
      <w:spacing w:val="-5"/>
    </w:rPr>
  </w:style>
  <w:style w:type="paragraph" w:styleId="CommentSubject">
    <w:name w:val="annotation subject"/>
    <w:basedOn w:val="CommentText"/>
    <w:next w:val="CommentText"/>
    <w:link w:val="CommentSubjectChar"/>
    <w:uiPriority w:val="99"/>
    <w:semiHidden/>
    <w:unhideWhenUsed/>
    <w:rsid w:val="00051688"/>
    <w:rPr>
      <w:b/>
      <w:bCs/>
    </w:rPr>
  </w:style>
  <w:style w:type="character" w:customStyle="1" w:styleId="CommentSubjectChar">
    <w:name w:val="Comment Subject Char"/>
    <w:link w:val="CommentSubject"/>
    <w:uiPriority w:val="99"/>
    <w:semiHidden/>
    <w:rsid w:val="00051688"/>
    <w:rPr>
      <w:rFonts w:ascii="Times New Roman" w:eastAsia="Times New Roman" w:hAnsi="Times New Roman"/>
      <w:b/>
      <w:bCs/>
      <w:spacing w:val="-5"/>
    </w:rPr>
  </w:style>
  <w:style w:type="paragraph" w:styleId="BalloonText">
    <w:name w:val="Balloon Text"/>
    <w:basedOn w:val="Normal"/>
    <w:link w:val="BalloonTextChar"/>
    <w:uiPriority w:val="99"/>
    <w:semiHidden/>
    <w:unhideWhenUsed/>
    <w:rsid w:val="0005168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51688"/>
    <w:rPr>
      <w:rFonts w:ascii="Tahoma" w:eastAsia="Times New Roman" w:hAnsi="Tahoma" w:cs="Tahoma"/>
      <w:spacing w:val="-5"/>
      <w:sz w:val="16"/>
      <w:szCs w:val="16"/>
    </w:rPr>
  </w:style>
  <w:style w:type="paragraph" w:styleId="EndnoteText">
    <w:name w:val="endnote text"/>
    <w:basedOn w:val="Normal"/>
    <w:link w:val="EndnoteTextChar"/>
    <w:uiPriority w:val="99"/>
    <w:semiHidden/>
    <w:unhideWhenUsed/>
    <w:rsid w:val="006025A7"/>
    <w:rPr>
      <w:sz w:val="20"/>
      <w:szCs w:val="20"/>
    </w:rPr>
  </w:style>
  <w:style w:type="character" w:customStyle="1" w:styleId="EndnoteTextChar">
    <w:name w:val="Endnote Text Char"/>
    <w:link w:val="EndnoteText"/>
    <w:uiPriority w:val="99"/>
    <w:semiHidden/>
    <w:rsid w:val="006025A7"/>
    <w:rPr>
      <w:rFonts w:ascii="Times New Roman" w:eastAsia="Times New Roman" w:hAnsi="Times New Roman"/>
      <w:spacing w:val="-5"/>
    </w:rPr>
  </w:style>
  <w:style w:type="character" w:styleId="EndnoteReference">
    <w:name w:val="endnote reference"/>
    <w:uiPriority w:val="99"/>
    <w:semiHidden/>
    <w:unhideWhenUsed/>
    <w:rsid w:val="006025A7"/>
    <w:rPr>
      <w:vertAlign w:val="superscript"/>
    </w:rPr>
  </w:style>
  <w:style w:type="paragraph" w:styleId="NoSpacing">
    <w:name w:val="No Spacing"/>
    <w:uiPriority w:val="1"/>
    <w:qFormat/>
    <w:rsid w:val="009E49C4"/>
    <w:rPr>
      <w:rFonts w:ascii="Times New Roman" w:eastAsia="Times New Roman" w:hAnsi="Times New Roman"/>
      <w:spacing w:val="-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421E5"/>
    <w:rsid w:val="00242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D5BE619E9F4FB3ACD62EF0DCA0D659">
    <w:name w:val="64D5BE619E9F4FB3ACD62EF0DCA0D659"/>
    <w:rsid w:val="002421E5"/>
  </w:style>
  <w:style w:type="paragraph" w:customStyle="1" w:styleId="143BD4B11BC244A79D3ACB5DF2883048">
    <w:name w:val="143BD4B11BC244A79D3ACB5DF2883048"/>
    <w:rsid w:val="002421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866B9071BABC428E4BC890AE172E93" ma:contentTypeVersion="131" ma:contentTypeDescription="" ma:contentTypeScope="" ma:versionID="2c6d4329f8185c11e3bcf0d2e3bc61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2008-12-30T08:00:00+00:00</OpenedDate>
    <Date1 xmlns="dc463f71-b30c-4ab2-9473-d307f9d35888">2010-08-26T07:00:00+00:00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090015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681AED-AD8F-48E8-8736-E11773DE29E1}"/>
</file>

<file path=customXml/itemProps2.xml><?xml version="1.0" encoding="utf-8"?>
<ds:datastoreItem xmlns:ds="http://schemas.openxmlformats.org/officeDocument/2006/customXml" ds:itemID="{B552886C-BD5A-4354-917B-A8E00343232E}"/>
</file>

<file path=customXml/itemProps3.xml><?xml version="1.0" encoding="utf-8"?>
<ds:datastoreItem xmlns:ds="http://schemas.openxmlformats.org/officeDocument/2006/customXml" ds:itemID="{6E0A3468-073C-4E4C-8BC7-963735E0893B}"/>
</file>

<file path=customXml/itemProps4.xml><?xml version="1.0" encoding="utf-8"?>
<ds:datastoreItem xmlns:ds="http://schemas.openxmlformats.org/officeDocument/2006/customXml" ds:itemID="{FB038920-8C11-4C10-80DE-B41226524083}"/>
</file>

<file path=customXml/itemProps5.xml><?xml version="1.0" encoding="utf-8"?>
<ds:datastoreItem xmlns:ds="http://schemas.openxmlformats.org/officeDocument/2006/customXml" ds:itemID="{8F56E3A6-6B5D-40C1-846A-F17CCF866A59}"/>
</file>

<file path=docProps/app.xml><?xml version="1.0" encoding="utf-8"?>
<Properties xmlns="http://schemas.openxmlformats.org/officeDocument/2006/extended-properties" xmlns:vt="http://schemas.openxmlformats.org/officeDocument/2006/docPropsVTypes">
  <Template>Normal.dotm</Template>
  <TotalTime>9</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Attachment</vt:lpstr>
    </vt:vector>
  </TitlesOfParts>
  <Company>Washington Utilities and Transportation Commission</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Deborah Reynolds</dc:creator>
  <cp:keywords/>
  <dc:description/>
  <cp:lastModifiedBy>Kippi Walker</cp:lastModifiedBy>
  <cp:revision>3</cp:revision>
  <cp:lastPrinted>2010-08-25T15:56:00Z</cp:lastPrinted>
  <dcterms:created xsi:type="dcterms:W3CDTF">2010-08-25T15:56:00Z</dcterms:created>
  <dcterms:modified xsi:type="dcterms:W3CDTF">2010-08-25T15:56:00Z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0x0101006E56B4D1795A2E4DB2F0B01679ED314A00A8866B9071BABC428E4BC890AE172E93</vt:lpwstr>
  </property>
  <property fmtid="{D5CDD505-2E9C-101B-9397-08002B2CF9AE}" pid="3" name="_docset_NoMedatataSyncRequired">
    <vt:lpwstr>False</vt:lpwstr>
  </property>
</Properties>
</file>