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14" w:rsidRPr="00554447" w:rsidRDefault="00653414" w:rsidP="00653414">
      <w:pPr>
        <w:pStyle w:val="CourtName"/>
        <w:tabs>
          <w:tab w:val="left" w:pos="1440"/>
        </w:tabs>
        <w:spacing w:line="480" w:lineRule="exact"/>
        <w:ind w:firstLine="720"/>
        <w:jc w:val="left"/>
        <w:rPr>
          <w:szCs w:val="24"/>
        </w:rPr>
      </w:pPr>
      <w:bookmarkStart w:id="0" w:name="First_Paragraph"/>
      <w:bookmarkEnd w:id="0"/>
    </w:p>
    <w:p w:rsidR="00653414" w:rsidRPr="00554447" w:rsidRDefault="00653414" w:rsidP="00653414">
      <w:pPr>
        <w:jc w:val="center"/>
        <w:rPr>
          <w:rFonts w:ascii="Times New Roman" w:hAnsi="Times New Roman" w:cs="Times New Roman"/>
          <w:b/>
          <w:caps/>
        </w:rPr>
      </w:pPr>
      <w:r w:rsidRPr="00554447">
        <w:rPr>
          <w:rFonts w:ascii="Times New Roman" w:hAnsi="Times New Roman" w:cs="Times New Roman"/>
          <w:b/>
          <w:caps/>
        </w:rPr>
        <w:t xml:space="preserve">BEFORE THE WASHINGTON </w:t>
      </w:r>
      <w:r w:rsidRPr="00554447">
        <w:rPr>
          <w:rFonts w:ascii="Times New Roman" w:hAnsi="Times New Roman" w:cs="Times New Roman"/>
          <w:b/>
          <w:caps/>
        </w:rPr>
        <w:br/>
      </w:r>
    </w:p>
    <w:p w:rsidR="00653414" w:rsidRPr="00554447" w:rsidRDefault="00653414" w:rsidP="00653414">
      <w:pPr>
        <w:jc w:val="center"/>
        <w:rPr>
          <w:rFonts w:ascii="Times New Roman" w:hAnsi="Times New Roman" w:cs="Times New Roman"/>
          <w:b/>
          <w:caps/>
        </w:rPr>
      </w:pPr>
      <w:r w:rsidRPr="00554447">
        <w:rPr>
          <w:rFonts w:ascii="Times New Roman" w:hAnsi="Times New Roman" w:cs="Times New Roman"/>
          <w:b/>
          <w:caps/>
        </w:rPr>
        <w:t>UTILITIES AND TRANSPORTATION COMMISSION</w:t>
      </w:r>
    </w:p>
    <w:p w:rsidR="002D6A77" w:rsidRPr="00554447" w:rsidRDefault="002D6A77" w:rsidP="00653414">
      <w:pPr>
        <w:jc w:val="center"/>
        <w:rPr>
          <w:rFonts w:ascii="Times New Roman" w:hAnsi="Times New Roman" w:cs="Times New Roman"/>
          <w:b/>
          <w:caps/>
        </w:rPr>
      </w:pPr>
    </w:p>
    <w:p w:rsidR="00653414" w:rsidRPr="00554447" w:rsidRDefault="00653414" w:rsidP="00653414">
      <w:pPr>
        <w:jc w:val="center"/>
        <w:rPr>
          <w:rFonts w:ascii="Times New Roman" w:hAnsi="Times New Roman" w:cs="Times New Roman"/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289"/>
      </w:tblGrid>
      <w:tr w:rsidR="00653414" w:rsidRPr="00554447" w:rsidTr="00653414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414" w:rsidRPr="00554447" w:rsidRDefault="00653414" w:rsidP="00653414">
            <w:pPr>
              <w:rPr>
                <w:rFonts w:ascii="Times New Roman" w:hAnsi="Times New Roman" w:cs="Times New Roman"/>
              </w:rPr>
            </w:pPr>
            <w:r w:rsidRPr="00554447">
              <w:rPr>
                <w:rFonts w:ascii="Times New Roman" w:hAnsi="Times New Roman" w:cs="Times New Roman"/>
              </w:rPr>
              <w:t xml:space="preserve">PUGET SOUND ENERGY’S REPORT CONCERNING ITS PROGRESS IN MEETING ITS 2014-2015 BIENNIAL CONSERVATION TARGET 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0A0" w:rsidRPr="00554447" w:rsidRDefault="00653414" w:rsidP="009B20A0">
            <w:pPr>
              <w:rPr>
                <w:rFonts w:ascii="Times New Roman" w:hAnsi="Times New Roman" w:cs="Times New Roman"/>
                <w:caps/>
              </w:rPr>
            </w:pPr>
            <w:r w:rsidRPr="00554447">
              <w:rPr>
                <w:rFonts w:ascii="Times New Roman" w:hAnsi="Times New Roman" w:cs="Times New Roman"/>
              </w:rPr>
              <w:t xml:space="preserve">DOCKET </w:t>
            </w:r>
            <w:r w:rsidR="00D43DF8" w:rsidRPr="00554447">
              <w:rPr>
                <w:rFonts w:ascii="Times New Roman" w:hAnsi="Times New Roman" w:cs="Times New Roman"/>
              </w:rPr>
              <w:t>NO.</w:t>
            </w:r>
            <w:r w:rsidRPr="00554447">
              <w:rPr>
                <w:rFonts w:ascii="Times New Roman" w:hAnsi="Times New Roman" w:cs="Times New Roman"/>
              </w:rPr>
              <w:t xml:space="preserve"> UE-132043</w:t>
            </w:r>
            <w:r w:rsidR="00554447">
              <w:rPr>
                <w:rFonts w:ascii="Times New Roman" w:hAnsi="Times New Roman" w:cs="Times New Roman"/>
              </w:rPr>
              <w:t xml:space="preserve"> </w:t>
            </w:r>
          </w:p>
          <w:p w:rsidR="00653414" w:rsidRPr="00554447" w:rsidRDefault="00653414" w:rsidP="002D6A77">
            <w:pPr>
              <w:rPr>
                <w:rFonts w:ascii="Times New Roman" w:hAnsi="Times New Roman" w:cs="Times New Roman"/>
                <w:caps/>
              </w:rPr>
            </w:pPr>
            <w:r w:rsidRPr="00554447">
              <w:rPr>
                <w:rFonts w:ascii="Times New Roman" w:hAnsi="Times New Roman" w:cs="Times New Roman"/>
                <w:caps/>
              </w:rPr>
              <w:br/>
            </w:r>
          </w:p>
          <w:p w:rsidR="00653414" w:rsidRPr="00554447" w:rsidRDefault="00653414" w:rsidP="002D6A77">
            <w:pPr>
              <w:rPr>
                <w:rFonts w:ascii="Times New Roman" w:hAnsi="Times New Roman" w:cs="Times New Roman"/>
              </w:rPr>
            </w:pPr>
            <w:r w:rsidRPr="00554447">
              <w:rPr>
                <w:rFonts w:ascii="Times New Roman" w:hAnsi="Times New Roman" w:cs="Times New Roman"/>
                <w:caps/>
              </w:rPr>
              <w:t>COMMENTS OF THE INDUSTRIAL CUSTOMERS OF NORTHWEST UTILITIES</w:t>
            </w:r>
          </w:p>
        </w:tc>
      </w:tr>
    </w:tbl>
    <w:p w:rsidR="00653414" w:rsidRPr="00554447" w:rsidRDefault="00653414" w:rsidP="00653414">
      <w:pPr>
        <w:spacing w:line="480" w:lineRule="auto"/>
        <w:rPr>
          <w:rFonts w:ascii="Times New Roman" w:hAnsi="Times New Roman" w:cs="Times New Roman"/>
        </w:rPr>
      </w:pPr>
    </w:p>
    <w:p w:rsidR="00653414" w:rsidRPr="00554447" w:rsidRDefault="00653414" w:rsidP="00653414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554447">
        <w:rPr>
          <w:rFonts w:ascii="Times New Roman" w:hAnsi="Times New Roman" w:cs="Times New Roman"/>
          <w:b/>
        </w:rPr>
        <w:t>I.  INTRODUCTION</w:t>
      </w:r>
    </w:p>
    <w:p w:rsidR="00110804" w:rsidRPr="00554447" w:rsidRDefault="00606224" w:rsidP="00606224">
      <w:pPr>
        <w:pStyle w:val="WUTCParagraph"/>
      </w:pPr>
      <w:r>
        <w:tab/>
      </w:r>
      <w:r w:rsidR="008A2B76" w:rsidRPr="00554447">
        <w:t>In response to PSE</w:t>
      </w:r>
      <w:r w:rsidR="0017538B" w:rsidRPr="00554447">
        <w:t>’s Biennia</w:t>
      </w:r>
      <w:r w:rsidR="00C76531" w:rsidRPr="00554447">
        <w:t>l</w:t>
      </w:r>
      <w:r w:rsidR="0017538B" w:rsidRPr="00554447">
        <w:t xml:space="preserve"> Conservation Report </w:t>
      </w:r>
      <w:r w:rsidR="00FF417A" w:rsidRPr="00554447">
        <w:t>(</w:t>
      </w:r>
      <w:r w:rsidR="004301EA" w:rsidRPr="00554447">
        <w:t>“</w:t>
      </w:r>
      <w:r w:rsidR="00FF417A" w:rsidRPr="00554447">
        <w:t>BCR</w:t>
      </w:r>
      <w:r w:rsidR="004301EA" w:rsidRPr="00554447">
        <w:t>”</w:t>
      </w:r>
      <w:r w:rsidR="00FF417A" w:rsidRPr="00554447">
        <w:t xml:space="preserve">) </w:t>
      </w:r>
      <w:r w:rsidR="008A2B76" w:rsidRPr="00554447">
        <w:t>filed with the Washington Utilities and Transportation Commission (“Commission”) by Puget Sound Energy (</w:t>
      </w:r>
      <w:r w:rsidR="004301EA" w:rsidRPr="00554447">
        <w:t>“PSE”)</w:t>
      </w:r>
      <w:r w:rsidR="008A2B76" w:rsidRPr="00554447">
        <w:t xml:space="preserve"> in the above-referenced docket, the Industrial Customers of Northwest Utilities (“ICNU”) files these comments. </w:t>
      </w:r>
      <w:r w:rsidR="006548D4" w:rsidRPr="00554447">
        <w:t xml:space="preserve"> </w:t>
      </w:r>
      <w:r w:rsidR="007F7935" w:rsidRPr="00554447">
        <w:t xml:space="preserve">ICNU has reviewed PSE’s 2014-2015 </w:t>
      </w:r>
      <w:r w:rsidR="00FF417A" w:rsidRPr="00554447">
        <w:t>BCR</w:t>
      </w:r>
      <w:r w:rsidR="007F7935" w:rsidRPr="00554447">
        <w:t xml:space="preserve"> and appreciates the opportunity to provide comments on this report.  </w:t>
      </w:r>
    </w:p>
    <w:p w:rsidR="00110804" w:rsidRPr="00554447" w:rsidRDefault="00606224" w:rsidP="00606224">
      <w:pPr>
        <w:pStyle w:val="WUTCParagraph"/>
      </w:pPr>
      <w:r>
        <w:tab/>
      </w:r>
      <w:r w:rsidR="007F7935" w:rsidRPr="00554447">
        <w:t>PSE</w:t>
      </w:r>
      <w:r w:rsidR="00981C1E" w:rsidRPr="00554447">
        <w:t xml:space="preserve"> actively</w:t>
      </w:r>
      <w:r w:rsidR="007F7935" w:rsidRPr="00554447">
        <w:t xml:space="preserve"> engaged its</w:t>
      </w:r>
      <w:r w:rsidR="00C76531" w:rsidRPr="00554447">
        <w:t xml:space="preserve"> Conservation Resource Advisory Group (“CRAG”) </w:t>
      </w:r>
      <w:r w:rsidR="007F7935" w:rsidRPr="00554447">
        <w:t>during the 2014-2015 biennium</w:t>
      </w:r>
      <w:r w:rsidR="00A35D25" w:rsidRPr="00554447">
        <w:t xml:space="preserve"> </w:t>
      </w:r>
      <w:r w:rsidR="00981C1E" w:rsidRPr="00554447">
        <w:t xml:space="preserve">and provided ample opportunity </w:t>
      </w:r>
      <w:r w:rsidR="007F7935" w:rsidRPr="00554447">
        <w:t xml:space="preserve">to review program progress and modifications, as well as a draft </w:t>
      </w:r>
      <w:r w:rsidR="00981C1E" w:rsidRPr="00554447">
        <w:t xml:space="preserve">of the biennial conservation report. </w:t>
      </w:r>
      <w:r w:rsidR="006548D4" w:rsidRPr="00554447">
        <w:t xml:space="preserve"> </w:t>
      </w:r>
      <w:r w:rsidR="007F7935" w:rsidRPr="00554447">
        <w:t>ICNU appreciates P</w:t>
      </w:r>
      <w:r w:rsidR="00981C1E" w:rsidRPr="00554447">
        <w:t>SE’s transparent and</w:t>
      </w:r>
      <w:r w:rsidR="00684881" w:rsidRPr="00554447">
        <w:t xml:space="preserve"> robust engagement of its CRAG, </w:t>
      </w:r>
      <w:r w:rsidR="00C76531" w:rsidRPr="00554447">
        <w:t xml:space="preserve">which </w:t>
      </w:r>
      <w:r w:rsidR="00981C1E" w:rsidRPr="00554447">
        <w:t xml:space="preserve">enabled many issues to be </w:t>
      </w:r>
      <w:r w:rsidR="001E7F2C" w:rsidRPr="00554447">
        <w:t xml:space="preserve">discussed and </w:t>
      </w:r>
      <w:r w:rsidR="00981C1E" w:rsidRPr="00554447">
        <w:t xml:space="preserve">resolved prior to the filing of this report. </w:t>
      </w:r>
    </w:p>
    <w:p w:rsidR="006548D4" w:rsidRPr="00554447" w:rsidRDefault="00606224" w:rsidP="00606224">
      <w:pPr>
        <w:pStyle w:val="WUTCParagraph"/>
      </w:pPr>
      <w:r>
        <w:tab/>
      </w:r>
      <w:r w:rsidR="001E7F2C" w:rsidRPr="00554447">
        <w:t xml:space="preserve">ICNU does not </w:t>
      </w:r>
      <w:r w:rsidR="0017538B" w:rsidRPr="00554447">
        <w:t>dispute</w:t>
      </w:r>
      <w:r w:rsidR="001E7F2C" w:rsidRPr="00554447">
        <w:t xml:space="preserve"> PSE’s savings claim for the 2014-</w:t>
      </w:r>
      <w:r w:rsidR="00684881" w:rsidRPr="00554447">
        <w:t xml:space="preserve">2015 biennium of 552,596 </w:t>
      </w:r>
      <w:r w:rsidR="0017538B" w:rsidRPr="00554447">
        <w:t xml:space="preserve">MWh </w:t>
      </w:r>
      <w:r w:rsidR="00684881" w:rsidRPr="00554447">
        <w:t>or 114 percent</w:t>
      </w:r>
      <w:r w:rsidR="001E7F2C" w:rsidRPr="00554447">
        <w:t xml:space="preserve"> of its approved target. </w:t>
      </w:r>
      <w:r w:rsidR="006548D4" w:rsidRPr="00554447">
        <w:t xml:space="preserve"> </w:t>
      </w:r>
      <w:r w:rsidR="001E7F2C" w:rsidRPr="00554447">
        <w:t>ICNU’s comments on this report are limited to policy iss</w:t>
      </w:r>
      <w:r w:rsidR="00F435DA" w:rsidRPr="00554447">
        <w:t>ue</w:t>
      </w:r>
      <w:r w:rsidR="0067053E" w:rsidRPr="00554447">
        <w:t>s</w:t>
      </w:r>
      <w:r w:rsidR="00F435DA" w:rsidRPr="00554447">
        <w:t xml:space="preserve"> raised by PSE regarding </w:t>
      </w:r>
      <w:r w:rsidR="009E6B61" w:rsidRPr="00554447">
        <w:t>what savings should be included in the calculation of excess conservation and the</w:t>
      </w:r>
      <w:r w:rsidR="00F435DA" w:rsidRPr="00554447">
        <w:t xml:space="preserve"> application of excess savings achieved in this biennium to future biennial targets and decoupling </w:t>
      </w:r>
      <w:r w:rsidR="00A35D25" w:rsidRPr="00554447">
        <w:t>commitments.</w:t>
      </w:r>
      <w:r w:rsidR="00F435DA" w:rsidRPr="00554447">
        <w:t xml:space="preserve"> </w:t>
      </w:r>
      <w:r w:rsidR="000B142E" w:rsidRPr="00554447">
        <w:t xml:space="preserve"> </w:t>
      </w:r>
      <w:r w:rsidR="0017538B" w:rsidRPr="00554447">
        <w:t xml:space="preserve">As discussed in </w:t>
      </w:r>
      <w:r w:rsidR="0017538B" w:rsidRPr="00554447">
        <w:lastRenderedPageBreak/>
        <w:t xml:space="preserve">more detail below, ICNU </w:t>
      </w:r>
      <w:r w:rsidR="009E6B61" w:rsidRPr="00554447">
        <w:t>believes that PSE’s proposal regarding</w:t>
      </w:r>
      <w:r w:rsidR="00CA09EB" w:rsidRPr="00554447">
        <w:t xml:space="preserve"> the savings categories that should be included in the calculation of </w:t>
      </w:r>
      <w:r w:rsidR="009E6B61" w:rsidRPr="00554447">
        <w:t xml:space="preserve">excess conservation is reasonable. </w:t>
      </w:r>
      <w:r w:rsidR="006548D4" w:rsidRPr="00554447">
        <w:t xml:space="preserve"> </w:t>
      </w:r>
      <w:r w:rsidR="009E6B61" w:rsidRPr="00554447">
        <w:t>However</w:t>
      </w:r>
      <w:r w:rsidR="004128D9" w:rsidRPr="00554447">
        <w:t xml:space="preserve">, ICNU is concerned that </w:t>
      </w:r>
      <w:r w:rsidR="009E6B61" w:rsidRPr="00554447">
        <w:t xml:space="preserve">PSE’s recommendation to allow excess conservation achieved in this biennium to count toward a future decoupling commitment may reduce the impact of </w:t>
      </w:r>
      <w:r w:rsidR="007317C6" w:rsidRPr="00554447">
        <w:t xml:space="preserve">PSE’s </w:t>
      </w:r>
      <w:r w:rsidR="009E6B61" w:rsidRPr="00554447">
        <w:t>decoupling commitment</w:t>
      </w:r>
      <w:r w:rsidR="007317C6" w:rsidRPr="00554447">
        <w:t xml:space="preserve"> </w:t>
      </w:r>
      <w:r w:rsidR="008C4CE3" w:rsidRPr="00554447">
        <w:t xml:space="preserve">to achieve an additional 5 percent </w:t>
      </w:r>
      <w:r w:rsidR="007317C6" w:rsidRPr="00554447">
        <w:t>in savings on top of its approved EIA target.</w:t>
      </w:r>
    </w:p>
    <w:p w:rsidR="00684881" w:rsidRPr="00554447" w:rsidRDefault="00684881" w:rsidP="006548D4">
      <w:pPr>
        <w:spacing w:line="480" w:lineRule="auto"/>
        <w:ind w:firstLine="720"/>
        <w:jc w:val="center"/>
        <w:rPr>
          <w:rFonts w:ascii="Times New Roman" w:hAnsi="Times New Roman" w:cs="Times New Roman"/>
          <w:b/>
        </w:rPr>
      </w:pPr>
      <w:r w:rsidRPr="00554447">
        <w:rPr>
          <w:rFonts w:ascii="Times New Roman" w:hAnsi="Times New Roman" w:cs="Times New Roman"/>
          <w:b/>
        </w:rPr>
        <w:t xml:space="preserve">II. </w:t>
      </w:r>
      <w:r w:rsidRPr="00554447">
        <w:rPr>
          <w:rFonts w:ascii="Times New Roman" w:hAnsi="Times New Roman" w:cs="Times New Roman"/>
          <w:b/>
        </w:rPr>
        <w:tab/>
      </w:r>
      <w:r w:rsidR="00653414" w:rsidRPr="00554447">
        <w:rPr>
          <w:rFonts w:ascii="Times New Roman" w:hAnsi="Times New Roman" w:cs="Times New Roman"/>
          <w:b/>
        </w:rPr>
        <w:t>COMMENTS</w:t>
      </w:r>
    </w:p>
    <w:p w:rsidR="00110804" w:rsidRPr="00554447" w:rsidRDefault="00606224" w:rsidP="00606224">
      <w:pPr>
        <w:pStyle w:val="WUTCParagraph"/>
        <w:rPr>
          <w:vertAlign w:val="superscript"/>
        </w:rPr>
      </w:pPr>
      <w:r>
        <w:tab/>
      </w:r>
      <w:r w:rsidR="00A35D25" w:rsidRPr="00554447">
        <w:t>PSE’s total savings for the biennium were 552,596</w:t>
      </w:r>
      <w:r w:rsidR="00110804" w:rsidRPr="00554447">
        <w:t xml:space="preserve"> MWh,</w:t>
      </w:r>
      <w:r w:rsidR="00A35D25" w:rsidRPr="00554447">
        <w:t xml:space="preserve"> or 114 percent of its approved EIA target of 485,770 MW</w:t>
      </w:r>
      <w:r w:rsidR="00110804" w:rsidRPr="00554447">
        <w:t>h</w:t>
      </w:r>
      <w:r w:rsidR="0073266D" w:rsidRPr="00554447">
        <w:t xml:space="preserve">. </w:t>
      </w:r>
      <w:r w:rsidR="006548D4" w:rsidRPr="00554447">
        <w:t xml:space="preserve"> </w:t>
      </w:r>
      <w:r w:rsidR="00A35D25" w:rsidRPr="00554447">
        <w:t>This total excludes savings associated with NEEA and savings from i</w:t>
      </w:r>
      <w:r w:rsidR="004301EA" w:rsidRPr="00554447">
        <w:t xml:space="preserve">ndividual energy report pilots </w:t>
      </w:r>
      <w:r w:rsidR="00A35D25" w:rsidRPr="00554447">
        <w:t xml:space="preserve">per agreements made with the CRAG and approved by the Commission in </w:t>
      </w:r>
      <w:r w:rsidR="0073266D" w:rsidRPr="00554447">
        <w:t xml:space="preserve">the </w:t>
      </w:r>
      <w:r w:rsidR="00A35D25" w:rsidRPr="00554447">
        <w:t>biennial target development process in Order 01 of Docket No. UE-132043.  Because PSE has achieved in</w:t>
      </w:r>
      <w:r w:rsidR="00342689" w:rsidRPr="00554447">
        <w:t xml:space="preserve"> excess of its biennial conser</w:t>
      </w:r>
      <w:r w:rsidR="00A35D25" w:rsidRPr="00554447">
        <w:t>vation target for 2014-2015</w:t>
      </w:r>
      <w:r w:rsidR="00110804" w:rsidRPr="00554447">
        <w:t>,</w:t>
      </w:r>
      <w:r w:rsidR="00A35D25" w:rsidRPr="00554447">
        <w:t xml:space="preserve"> it </w:t>
      </w:r>
      <w:r w:rsidR="00342689" w:rsidRPr="00554447">
        <w:t>is therefore authorized to use this excess conservation to meet up to 25% of either of the two subsequent biennia’s targets.</w:t>
      </w:r>
      <w:r w:rsidR="00C76531" w:rsidRPr="00554447">
        <w:rPr>
          <w:rStyle w:val="FootnoteReference"/>
          <w:u w:val="single"/>
        </w:rPr>
        <w:footnoteReference w:id="1"/>
      </w:r>
      <w:proofErr w:type="gramStart"/>
      <w:r w:rsidR="00110804" w:rsidRPr="00554447">
        <w:rPr>
          <w:vertAlign w:val="superscript"/>
        </w:rPr>
        <w:t>/</w:t>
      </w:r>
      <w:r w:rsidR="00C76531" w:rsidRPr="00554447">
        <w:t xml:space="preserve"> </w:t>
      </w:r>
      <w:r w:rsidR="006548D4" w:rsidRPr="00554447">
        <w:t xml:space="preserve"> </w:t>
      </w:r>
      <w:r w:rsidR="00342689" w:rsidRPr="00554447">
        <w:t>However</w:t>
      </w:r>
      <w:proofErr w:type="gramEnd"/>
      <w:r w:rsidR="00342689" w:rsidRPr="00554447">
        <w:t xml:space="preserve">, as PSE notes in its </w:t>
      </w:r>
      <w:r w:rsidR="00A35D25" w:rsidRPr="00554447">
        <w:t>BCR</w:t>
      </w:r>
      <w:r w:rsidR="00110804" w:rsidRPr="00554447">
        <w:t>,</w:t>
      </w:r>
      <w:r w:rsidR="00342689" w:rsidRPr="00554447">
        <w:t xml:space="preserve"> neither the RCW nor the WAC define</w:t>
      </w:r>
      <w:r w:rsidR="0017538B" w:rsidRPr="00554447">
        <w:t xml:space="preserve"> excess conservation and what </w:t>
      </w:r>
      <w:r w:rsidR="00391199" w:rsidRPr="00554447">
        <w:t xml:space="preserve">is included. </w:t>
      </w:r>
      <w:r w:rsidR="00B15C79" w:rsidRPr="00554447">
        <w:t xml:space="preserve"> Because certain programs are excluded from PSE’s EIA target (NEEA and individual energy report pilots)</w:t>
      </w:r>
      <w:r w:rsidR="00110804" w:rsidRPr="00554447">
        <w:t>,</w:t>
      </w:r>
      <w:r w:rsidR="00B15C79" w:rsidRPr="00554447">
        <w:t xml:space="preserve"> there is a question of whether the savings from these categories can be counted as excess conservation to be used to meet a future </w:t>
      </w:r>
      <w:r w:rsidR="00A9044B" w:rsidRPr="00554447">
        <w:t xml:space="preserve">qualifying </w:t>
      </w:r>
      <w:r w:rsidR="00B15C79" w:rsidRPr="00554447">
        <w:t xml:space="preserve">biennial target. </w:t>
      </w:r>
      <w:r w:rsidR="00C76531" w:rsidRPr="00554447">
        <w:t xml:space="preserve"> Further, PSE has a separate commitment to achi</w:t>
      </w:r>
      <w:r w:rsidR="004301EA" w:rsidRPr="00554447">
        <w:t>eve an additional 5 percent</w:t>
      </w:r>
      <w:r w:rsidR="00FF417A" w:rsidRPr="00554447">
        <w:t xml:space="preserve"> in savings, or 27,9</w:t>
      </w:r>
      <w:r w:rsidR="00A9044B" w:rsidRPr="00554447">
        <w:t>20</w:t>
      </w:r>
      <w:r w:rsidR="00FF417A" w:rsidRPr="00554447">
        <w:t xml:space="preserve"> MWh, </w:t>
      </w:r>
      <w:r w:rsidR="00C76531" w:rsidRPr="00554447">
        <w:t xml:space="preserve">on top of its </w:t>
      </w:r>
      <w:r w:rsidR="00D71C23" w:rsidRPr="00554447">
        <w:t xml:space="preserve">approved </w:t>
      </w:r>
      <w:r w:rsidR="00C76531" w:rsidRPr="00554447">
        <w:t>EIA target</w:t>
      </w:r>
      <w:r w:rsidR="00D71C23" w:rsidRPr="00554447">
        <w:t xml:space="preserve"> in accordance with the Commission’s Order approving its decoupling mechanism</w:t>
      </w:r>
      <w:r w:rsidR="00F43A85" w:rsidRPr="00554447">
        <w:t xml:space="preserve"> and the </w:t>
      </w:r>
      <w:r w:rsidR="00F43A85" w:rsidRPr="00554447">
        <w:lastRenderedPageBreak/>
        <w:t>order establishing the decoupling conservation commitment</w:t>
      </w:r>
      <w:r w:rsidR="00D71C23" w:rsidRPr="00554447">
        <w:t>.</w:t>
      </w:r>
      <w:r w:rsidR="00D71C23" w:rsidRPr="00554447">
        <w:rPr>
          <w:rStyle w:val="FootnoteReference"/>
          <w:u w:val="single"/>
        </w:rPr>
        <w:footnoteReference w:id="2"/>
      </w:r>
      <w:proofErr w:type="gramStart"/>
      <w:r w:rsidR="00110804" w:rsidRPr="00554447">
        <w:rPr>
          <w:vertAlign w:val="superscript"/>
        </w:rPr>
        <w:t>/</w:t>
      </w:r>
      <w:r w:rsidR="00C76531" w:rsidRPr="00554447">
        <w:t xml:space="preserve">  </w:t>
      </w:r>
      <w:r w:rsidR="00110804" w:rsidRPr="00554447">
        <w:t>In</w:t>
      </w:r>
      <w:proofErr w:type="gramEnd"/>
      <w:r w:rsidR="00110804" w:rsidRPr="00554447">
        <w:t xml:space="preserve"> its BCR, PSE recommends that savings from programs excluded from its EIA target also be excluded from </w:t>
      </w:r>
      <w:r w:rsidR="00832CFA" w:rsidRPr="00554447">
        <w:t>excess savings</w:t>
      </w:r>
      <w:r w:rsidR="00A72BF9" w:rsidRPr="00554447">
        <w:t xml:space="preserve"> that may be carried over to future biennia.  It also recommends that the excess savings it achieved be eligible for use in future biennia or to a shortfall in its decoupling commitment in future years.</w:t>
      </w:r>
      <w:r w:rsidR="00393A0A" w:rsidRPr="00554447">
        <w:t xml:space="preserve">  The total </w:t>
      </w:r>
      <w:r w:rsidR="00A64E9F" w:rsidRPr="00554447">
        <w:t xml:space="preserve">excess </w:t>
      </w:r>
      <w:r w:rsidR="00393A0A" w:rsidRPr="00554447">
        <w:t>savings PSE achieved</w:t>
      </w:r>
      <w:r w:rsidR="004301EA" w:rsidRPr="00554447">
        <w:t xml:space="preserve"> for the 2014-2015 biennium</w:t>
      </w:r>
      <w:r w:rsidR="00A64E9F" w:rsidRPr="00554447">
        <w:t xml:space="preserve"> after removing the excluded programs</w:t>
      </w:r>
      <w:r w:rsidR="00393A0A" w:rsidRPr="00554447">
        <w:t xml:space="preserve"> </w:t>
      </w:r>
      <w:r w:rsidR="00FD5149" w:rsidRPr="00554447">
        <w:t xml:space="preserve">and decoupling </w:t>
      </w:r>
      <w:r w:rsidR="00A64E9F" w:rsidRPr="00554447">
        <w:t xml:space="preserve">commitment </w:t>
      </w:r>
      <w:r w:rsidR="00393A0A" w:rsidRPr="00554447">
        <w:t>is 38,906 MWh.</w:t>
      </w:r>
      <w:r w:rsidR="00A64E9F" w:rsidRPr="00554447">
        <w:rPr>
          <w:rStyle w:val="FootnoteReference"/>
          <w:u w:val="single"/>
        </w:rPr>
        <w:footnoteReference w:id="3"/>
      </w:r>
      <w:r w:rsidR="009225C3" w:rsidRPr="00554447">
        <w:rPr>
          <w:vertAlign w:val="superscript"/>
        </w:rPr>
        <w:t>/</w:t>
      </w:r>
    </w:p>
    <w:p w:rsidR="00C566C3" w:rsidRPr="00554447" w:rsidRDefault="00606224" w:rsidP="00606224">
      <w:pPr>
        <w:pStyle w:val="WUTCParagraph"/>
      </w:pPr>
      <w:r>
        <w:tab/>
      </w:r>
      <w:r w:rsidR="00B15C79" w:rsidRPr="00554447">
        <w:t>ICNU’s view is that savings that are not eligible to count toward the current bienn</w:t>
      </w:r>
      <w:r w:rsidR="00D07700" w:rsidRPr="00554447">
        <w:t>ium’s conservation achievement</w:t>
      </w:r>
      <w:r w:rsidR="00A72BF9" w:rsidRPr="00554447">
        <w:t xml:space="preserve"> under the EIA</w:t>
      </w:r>
      <w:r w:rsidR="00D07700" w:rsidRPr="00554447">
        <w:t xml:space="preserve"> </w:t>
      </w:r>
      <w:r w:rsidR="00B15C79" w:rsidRPr="00554447">
        <w:t>should al</w:t>
      </w:r>
      <w:r w:rsidR="00C566C3" w:rsidRPr="00554447">
        <w:t>so not be eligible to count toward a future biennial</w:t>
      </w:r>
      <w:r w:rsidR="00D07700" w:rsidRPr="00554447">
        <w:t xml:space="preserve"> target. </w:t>
      </w:r>
      <w:r w:rsidR="00A35D25" w:rsidRPr="00554447">
        <w:t xml:space="preserve">In other words, </w:t>
      </w:r>
      <w:r w:rsidR="00A72BF9" w:rsidRPr="00554447">
        <w:t xml:space="preserve">ICNU agrees with PSE that </w:t>
      </w:r>
      <w:r w:rsidR="00A35D25" w:rsidRPr="00554447">
        <w:t>the calculation of excess conservation should remove NEEA and individual energy pilot programs</w:t>
      </w:r>
      <w:r w:rsidR="004128D9" w:rsidRPr="00554447">
        <w:t>.</w:t>
      </w:r>
    </w:p>
    <w:p w:rsidR="006278ED" w:rsidRPr="00554447" w:rsidRDefault="00606224" w:rsidP="00606224">
      <w:pPr>
        <w:pStyle w:val="WUTCParagraph"/>
        <w:rPr>
          <w:vertAlign w:val="superscript"/>
        </w:rPr>
      </w:pPr>
      <w:r>
        <w:tab/>
      </w:r>
      <w:r w:rsidR="004128D9" w:rsidRPr="00554447">
        <w:t xml:space="preserve">With respect to PSE’s proposal that it </w:t>
      </w:r>
      <w:r w:rsidR="00C566C3" w:rsidRPr="00554447">
        <w:t>should be able to apply excess conservation toward a future decoupling commitment</w:t>
      </w:r>
      <w:r w:rsidR="004128D9" w:rsidRPr="00554447">
        <w:t xml:space="preserve">, ICNU questions whether </w:t>
      </w:r>
      <w:r w:rsidR="006278ED" w:rsidRPr="00554447">
        <w:t>this could</w:t>
      </w:r>
      <w:r w:rsidR="00A9044B" w:rsidRPr="00554447">
        <w:t xml:space="preserve"> diminish</w:t>
      </w:r>
      <w:r w:rsidR="004128D9" w:rsidRPr="00554447">
        <w:t xml:space="preserve"> the impact of the conservation commitment associated with decoupling</w:t>
      </w:r>
      <w:r w:rsidR="00F00DFF" w:rsidRPr="00554447">
        <w:t xml:space="preserve"> by allowing</w:t>
      </w:r>
      <w:r w:rsidR="008E3F74" w:rsidRPr="00554447">
        <w:t xml:space="preserve"> the Company to achieve less than its incremental 5% commitment in future biennia</w:t>
      </w:r>
      <w:r w:rsidR="004128D9" w:rsidRPr="00554447">
        <w:t>.</w:t>
      </w:r>
      <w:r w:rsidR="00223C63" w:rsidRPr="00554447">
        <w:t xml:space="preserve"> </w:t>
      </w:r>
      <w:r w:rsidR="006548D4" w:rsidRPr="00554447">
        <w:t xml:space="preserve"> ICNU recognizes that carrying excess savings over to future biennia is statutorily authorized, and whether PSE applies it to its base conservation commitment or its incremental decoupling commitment in a future biennium may be a distinction without a difference.  However, ICNU understands the intent of the 5% incremental decoupling commitment to mean that PSE will actively achieve 5% more conservation than its EIA </w:t>
      </w:r>
      <w:r w:rsidR="006548D4" w:rsidRPr="00554447">
        <w:lastRenderedPageBreak/>
        <w:t xml:space="preserve">target each biennium, and carry-over savings potentially diminish the impact of this commitment.  </w:t>
      </w:r>
      <w:r w:rsidR="006278ED" w:rsidRPr="00554447">
        <w:t>At a minimum</w:t>
      </w:r>
      <w:r w:rsidR="008E3F74" w:rsidRPr="00554447">
        <w:t>,</w:t>
      </w:r>
      <w:r w:rsidR="006278ED" w:rsidRPr="00554447">
        <w:t xml:space="preserve"> this issue should be raised for discussion </w:t>
      </w:r>
      <w:r w:rsidR="00F43A85" w:rsidRPr="00554447">
        <w:t xml:space="preserve">in the dockets </w:t>
      </w:r>
      <w:r w:rsidR="007317C6" w:rsidRPr="00554447">
        <w:t>in which</w:t>
      </w:r>
      <w:r w:rsidR="00F43A85" w:rsidRPr="00554447">
        <w:t xml:space="preserve"> </w:t>
      </w:r>
      <w:r w:rsidR="00223C63" w:rsidRPr="00554447">
        <w:t xml:space="preserve">PSE’s </w:t>
      </w:r>
      <w:r w:rsidR="006278ED" w:rsidRPr="00554447">
        <w:t>decoupling</w:t>
      </w:r>
      <w:r w:rsidR="00223C63" w:rsidRPr="00554447">
        <w:t xml:space="preserve"> mechanism</w:t>
      </w:r>
      <w:r w:rsidR="00F43A85" w:rsidRPr="00554447">
        <w:t xml:space="preserve"> and decoup</w:t>
      </w:r>
      <w:r w:rsidR="007317C6" w:rsidRPr="00554447">
        <w:t>ling conservation commitment were</w:t>
      </w:r>
      <w:r w:rsidR="00F43A85" w:rsidRPr="00554447">
        <w:t xml:space="preserve"> approved. </w:t>
      </w:r>
      <w:r w:rsidR="00F43A85" w:rsidRPr="00554447">
        <w:rPr>
          <w:rStyle w:val="FootnoteReference"/>
          <w:u w:val="single"/>
        </w:rPr>
        <w:footnoteReference w:id="4"/>
      </w:r>
      <w:r w:rsidR="009225C3" w:rsidRPr="00554447">
        <w:rPr>
          <w:vertAlign w:val="superscript"/>
        </w:rPr>
        <w:t>/</w:t>
      </w:r>
    </w:p>
    <w:p w:rsidR="00A20EBB" w:rsidRPr="00554447" w:rsidRDefault="006278ED" w:rsidP="00FD5149">
      <w:pPr>
        <w:spacing w:line="480" w:lineRule="auto"/>
        <w:rPr>
          <w:rFonts w:ascii="Times New Roman" w:hAnsi="Times New Roman" w:cs="Times New Roman"/>
          <w:b/>
        </w:rPr>
      </w:pPr>
      <w:r w:rsidRPr="00554447">
        <w:rPr>
          <w:rFonts w:ascii="Times New Roman" w:hAnsi="Times New Roman" w:cs="Times New Roman"/>
        </w:rPr>
        <w:tab/>
      </w:r>
      <w:r w:rsidRPr="00554447">
        <w:rPr>
          <w:rFonts w:ascii="Times New Roman" w:hAnsi="Times New Roman" w:cs="Times New Roman"/>
        </w:rPr>
        <w:tab/>
      </w:r>
      <w:r w:rsidRPr="00554447">
        <w:rPr>
          <w:rFonts w:ascii="Times New Roman" w:hAnsi="Times New Roman" w:cs="Times New Roman"/>
        </w:rPr>
        <w:tab/>
      </w:r>
      <w:r w:rsidRPr="00554447">
        <w:rPr>
          <w:rFonts w:ascii="Times New Roman" w:hAnsi="Times New Roman" w:cs="Times New Roman"/>
        </w:rPr>
        <w:tab/>
      </w:r>
      <w:r w:rsidRPr="00554447" w:rsidDel="006278ED">
        <w:rPr>
          <w:rFonts w:ascii="Times New Roman" w:hAnsi="Times New Roman" w:cs="Times New Roman"/>
        </w:rPr>
        <w:t xml:space="preserve"> </w:t>
      </w:r>
      <w:r w:rsidR="00653414" w:rsidRPr="00554447">
        <w:rPr>
          <w:rFonts w:ascii="Times New Roman" w:hAnsi="Times New Roman" w:cs="Times New Roman"/>
          <w:b/>
        </w:rPr>
        <w:t>III.  CONCLUSION</w:t>
      </w:r>
    </w:p>
    <w:p w:rsidR="009E581D" w:rsidRPr="00554447" w:rsidRDefault="00606224" w:rsidP="00606224">
      <w:pPr>
        <w:pStyle w:val="WUTCParagraph"/>
      </w:pPr>
      <w:r>
        <w:tab/>
      </w:r>
      <w:r w:rsidR="004F2980" w:rsidRPr="00554447">
        <w:t>ICNU</w:t>
      </w:r>
      <w:r w:rsidR="002F3156" w:rsidRPr="00554447">
        <w:t xml:space="preserve"> recommends that the Commission</w:t>
      </w:r>
      <w:r w:rsidR="004F2980" w:rsidRPr="00554447">
        <w:t xml:space="preserve"> approve PSE’s approach for calculating excess savings</w:t>
      </w:r>
      <w:r w:rsidR="007317C6" w:rsidRPr="00554447">
        <w:t xml:space="preserve">, </w:t>
      </w:r>
      <w:r w:rsidR="004F2980" w:rsidRPr="00554447">
        <w:t xml:space="preserve">which results in a total of </w:t>
      </w:r>
      <w:r w:rsidR="00A20EBB" w:rsidRPr="00554447">
        <w:t xml:space="preserve">38,906 MWh in </w:t>
      </w:r>
      <w:r w:rsidR="004F2980" w:rsidRPr="00554447">
        <w:t>excess savings</w:t>
      </w:r>
      <w:r w:rsidR="00A20EBB" w:rsidRPr="00554447">
        <w:t xml:space="preserve"> for the 2014-2015 biennium</w:t>
      </w:r>
      <w:r w:rsidR="006278ED" w:rsidRPr="00554447">
        <w:t xml:space="preserve">. </w:t>
      </w:r>
      <w:r w:rsidR="00856744">
        <w:t xml:space="preserve"> </w:t>
      </w:r>
      <w:r w:rsidR="0098058B" w:rsidRPr="00554447">
        <w:t xml:space="preserve">Additionally, </w:t>
      </w:r>
      <w:r w:rsidR="006278ED" w:rsidRPr="00554447">
        <w:t>ICNU recommends the Commission not approve PSE’s proposal to allow excess conservation to count toward a future decoupling commitment</w:t>
      </w:r>
      <w:r w:rsidR="0098058B" w:rsidRPr="00554447">
        <w:t xml:space="preserve"> at this time</w:t>
      </w:r>
      <w:r w:rsidR="007317C6" w:rsidRPr="00554447">
        <w:t xml:space="preserve">. </w:t>
      </w:r>
      <w:r w:rsidR="00856744">
        <w:t xml:space="preserve"> </w:t>
      </w:r>
      <w:r w:rsidR="007317C6" w:rsidRPr="00554447">
        <w:t xml:space="preserve">This issue </w:t>
      </w:r>
      <w:r w:rsidR="006278ED" w:rsidRPr="00554447">
        <w:t>should</w:t>
      </w:r>
      <w:r w:rsidR="007317C6" w:rsidRPr="00554447">
        <w:t xml:space="preserve"> instead</w:t>
      </w:r>
      <w:r w:rsidR="006278ED" w:rsidRPr="00554447">
        <w:t xml:space="preserve"> be raised for discussion in the decoupling docket</w:t>
      </w:r>
      <w:r w:rsidR="00FD5149" w:rsidRPr="00554447">
        <w:t>s</w:t>
      </w:r>
      <w:r w:rsidR="006278ED" w:rsidRPr="00554447">
        <w:t xml:space="preserve">. </w:t>
      </w:r>
      <w:r w:rsidR="004F2980" w:rsidRPr="00554447">
        <w:t xml:space="preserve"> </w:t>
      </w:r>
    </w:p>
    <w:p w:rsidR="009E581D" w:rsidRPr="00554447" w:rsidRDefault="009E581D" w:rsidP="004F2980">
      <w:pPr>
        <w:spacing w:line="480" w:lineRule="auto"/>
        <w:ind w:firstLine="720"/>
        <w:rPr>
          <w:rFonts w:ascii="Times New Roman" w:hAnsi="Times New Roman" w:cs="Times New Roman"/>
        </w:rPr>
      </w:pPr>
    </w:p>
    <w:p w:rsidR="009E581D" w:rsidRPr="00554447" w:rsidRDefault="005F6808" w:rsidP="00F24D8F">
      <w:pPr>
        <w:spacing w:line="480" w:lineRule="auto"/>
        <w:ind w:left="2880" w:firstLine="720"/>
        <w:rPr>
          <w:rFonts w:ascii="Times New Roman" w:hAnsi="Times New Roman" w:cs="Times New Roman"/>
        </w:rPr>
      </w:pPr>
      <w:r w:rsidRPr="00554447">
        <w:rPr>
          <w:rFonts w:ascii="Times New Roman" w:hAnsi="Times New Roman" w:cs="Times New Roman"/>
        </w:rPr>
        <w:t>Sincerely,</w:t>
      </w:r>
    </w:p>
    <w:p w:rsidR="00830BC2" w:rsidRDefault="00F24D8F" w:rsidP="009225C3">
      <w:pPr>
        <w:ind w:left="3600"/>
        <w:rPr>
          <w:rFonts w:ascii="Times New Roman" w:hAnsi="Times New Roman" w:cs="Times New Roman"/>
        </w:rPr>
      </w:pPr>
      <w:r w:rsidRPr="00554447">
        <w:rPr>
          <w:rFonts w:ascii="Times New Roman" w:hAnsi="Times New Roman" w:cs="Times New Roman"/>
          <w:i/>
          <w:u w:val="single"/>
        </w:rPr>
        <w:t>/s/ Lea Fisher</w:t>
      </w:r>
      <w:r w:rsidR="009E581D" w:rsidRPr="00554447">
        <w:rPr>
          <w:rFonts w:ascii="Times New Roman" w:hAnsi="Times New Roman" w:cs="Times New Roman"/>
        </w:rPr>
        <w:br/>
      </w:r>
      <w:r w:rsidRPr="00554447">
        <w:rPr>
          <w:rFonts w:ascii="Times New Roman" w:hAnsi="Times New Roman" w:cs="Times New Roman"/>
        </w:rPr>
        <w:t>Lea Fisher</w:t>
      </w:r>
    </w:p>
    <w:p w:rsidR="00830BC2" w:rsidRDefault="00830BC2" w:rsidP="009225C3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9434 37</w:t>
      </w:r>
      <w:r w:rsidRPr="00830BC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Ave. SW</w:t>
      </w:r>
    </w:p>
    <w:p w:rsidR="00830BC2" w:rsidRDefault="00830BC2" w:rsidP="009225C3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Seattle, WA 98126</w:t>
      </w:r>
    </w:p>
    <w:p w:rsidR="002C06FE" w:rsidRPr="00554447" w:rsidRDefault="00830BC2" w:rsidP="00B51318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DD701E">
        <w:rPr>
          <w:rFonts w:ascii="Times New Roman" w:hAnsi="Times New Roman" w:cs="Times New Roman"/>
        </w:rPr>
        <w:t>-</w:t>
      </w:r>
      <w:r w:rsidR="00B51318">
        <w:rPr>
          <w:rFonts w:ascii="Times New Roman" w:hAnsi="Times New Roman" w:cs="Times New Roman"/>
        </w:rPr>
        <w:t>M</w:t>
      </w:r>
      <w:bookmarkStart w:id="1" w:name="_GoBack"/>
      <w:bookmarkEnd w:id="1"/>
      <w:r>
        <w:rPr>
          <w:rFonts w:ascii="Times New Roman" w:hAnsi="Times New Roman" w:cs="Times New Roman"/>
        </w:rPr>
        <w:t>ail:</w:t>
      </w:r>
      <w:r w:rsidR="00C82F33">
        <w:rPr>
          <w:rFonts w:ascii="Times New Roman" w:hAnsi="Times New Roman" w:cs="Times New Roman"/>
        </w:rPr>
        <w:t xml:space="preserve"> lea.fisher</w:t>
      </w:r>
      <w:r w:rsidR="003222D2">
        <w:rPr>
          <w:rFonts w:ascii="Times New Roman" w:hAnsi="Times New Roman" w:cs="Times New Roman"/>
        </w:rPr>
        <w:t>44</w:t>
      </w:r>
      <w:r w:rsidR="00C82F33">
        <w:rPr>
          <w:rFonts w:ascii="Times New Roman" w:hAnsi="Times New Roman" w:cs="Times New Roman"/>
        </w:rPr>
        <w:t>@gmail.com</w:t>
      </w:r>
      <w:r w:rsidR="00F24D8F" w:rsidRPr="00554447">
        <w:rPr>
          <w:rFonts w:ascii="Times New Roman" w:hAnsi="Times New Roman" w:cs="Times New Roman"/>
        </w:rPr>
        <w:br/>
      </w:r>
      <w:r w:rsidR="009E581D" w:rsidRPr="00554447">
        <w:rPr>
          <w:rFonts w:ascii="Times New Roman" w:hAnsi="Times New Roman" w:cs="Times New Roman"/>
        </w:rPr>
        <w:t>Fisher Regu</w:t>
      </w:r>
      <w:r>
        <w:rPr>
          <w:rFonts w:ascii="Times New Roman" w:hAnsi="Times New Roman" w:cs="Times New Roman"/>
        </w:rPr>
        <w:t>latory Consulting</w:t>
      </w:r>
      <w:r>
        <w:rPr>
          <w:rFonts w:ascii="Times New Roman" w:hAnsi="Times New Roman" w:cs="Times New Roman"/>
        </w:rPr>
        <w:br/>
        <w:t>on behalf of the Industrial Customers of Northwest Utilities</w:t>
      </w:r>
    </w:p>
    <w:sectPr w:rsidR="002C06FE" w:rsidRPr="00554447" w:rsidSect="00B51318">
      <w:footerReference w:type="default" r:id="rId8"/>
      <w:pgSz w:w="12240" w:h="15840"/>
      <w:pgMar w:top="1440" w:right="1800" w:bottom="14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8F" w:rsidRDefault="00F24D8F" w:rsidP="00C76531">
      <w:r>
        <w:separator/>
      </w:r>
    </w:p>
  </w:endnote>
  <w:endnote w:type="continuationSeparator" w:id="0">
    <w:p w:rsidR="00F24D8F" w:rsidRDefault="00F24D8F" w:rsidP="00C7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18" w:rsidRPr="00B51318" w:rsidRDefault="00B51318">
    <w:pPr>
      <w:pStyle w:val="Footer"/>
      <w:rPr>
        <w:rFonts w:ascii="Times New Roman" w:hAnsi="Times New Roman" w:cs="Times New Roman"/>
      </w:rPr>
    </w:pPr>
    <w:r w:rsidRPr="00B51318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8907737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318">
          <w:rPr>
            <w:rFonts w:ascii="Times New Roman" w:hAnsi="Times New Roman" w:cs="Times New Roman"/>
          </w:rPr>
          <w:fldChar w:fldCharType="begin"/>
        </w:r>
        <w:r w:rsidRPr="00B51318">
          <w:rPr>
            <w:rFonts w:ascii="Times New Roman" w:hAnsi="Times New Roman" w:cs="Times New Roman"/>
          </w:rPr>
          <w:instrText xml:space="preserve"> PAGE   \* MERGEFORMAT </w:instrText>
        </w:r>
        <w:r w:rsidRPr="00B5131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B51318">
          <w:rPr>
            <w:rFonts w:ascii="Times New Roman" w:hAnsi="Times New Roman" w:cs="Times New Roman"/>
            <w:noProof/>
          </w:rPr>
          <w:fldChar w:fldCharType="end"/>
        </w:r>
        <w:r w:rsidRPr="00B51318">
          <w:rPr>
            <w:rFonts w:ascii="Times New Roman" w:hAnsi="Times New Roman" w:cs="Times New Roman"/>
            <w:noProof/>
          </w:rPr>
          <w:t xml:space="preserve"> – COMMENTS OF ICNU</w:t>
        </w:r>
      </w:sdtContent>
    </w:sdt>
  </w:p>
  <w:p w:rsidR="00B51318" w:rsidRPr="00B51318" w:rsidRDefault="00B51318" w:rsidP="00B51318">
    <w:pPr>
      <w:jc w:val="center"/>
      <w:rPr>
        <w:rFonts w:ascii="Times New Roman" w:hAnsi="Times New Roman" w:cs="Times New Roman"/>
        <w:sz w:val="14"/>
      </w:rPr>
    </w:pPr>
    <w:r w:rsidRPr="00B51318">
      <w:rPr>
        <w:rFonts w:ascii="Times New Roman" w:hAnsi="Times New Roman" w:cs="Times New Roman"/>
        <w:sz w:val="14"/>
      </w:rPr>
      <w:t>DAVISON VAN CLEVE, P.C.</w:t>
    </w:r>
  </w:p>
  <w:p w:rsidR="00B51318" w:rsidRPr="00B51318" w:rsidRDefault="00B51318" w:rsidP="00B51318">
    <w:pPr>
      <w:tabs>
        <w:tab w:val="center" w:pos="4680"/>
      </w:tabs>
      <w:jc w:val="center"/>
      <w:rPr>
        <w:rFonts w:ascii="Times New Roman" w:hAnsi="Times New Roman" w:cs="Times New Roman"/>
        <w:sz w:val="14"/>
      </w:rPr>
    </w:pPr>
    <w:r w:rsidRPr="00B51318">
      <w:rPr>
        <w:rFonts w:ascii="Times New Roman" w:hAnsi="Times New Roman" w:cs="Times New Roman"/>
        <w:sz w:val="14"/>
      </w:rPr>
      <w:t xml:space="preserve">333 S.W. Taylor, </w:t>
    </w:r>
    <w:smartTag w:uri="urn:schemas-microsoft-com:office:smarttags" w:element="address">
      <w:smartTag w:uri="urn:schemas-microsoft-com:office:smarttags" w:element="Street">
        <w:r w:rsidRPr="00B51318">
          <w:rPr>
            <w:rFonts w:ascii="Times New Roman" w:hAnsi="Times New Roman" w:cs="Times New Roman"/>
            <w:sz w:val="14"/>
          </w:rPr>
          <w:t>Suite</w:t>
        </w:r>
      </w:smartTag>
      <w:r w:rsidRPr="00B51318">
        <w:rPr>
          <w:rFonts w:ascii="Times New Roman" w:hAnsi="Times New Roman" w:cs="Times New Roman"/>
          <w:sz w:val="14"/>
        </w:rPr>
        <w:t xml:space="preserve"> 400</w:t>
      </w:r>
    </w:smartTag>
  </w:p>
  <w:p w:rsidR="00B51318" w:rsidRPr="00B51318" w:rsidRDefault="00B51318" w:rsidP="00B51318">
    <w:pPr>
      <w:tabs>
        <w:tab w:val="center" w:pos="4680"/>
      </w:tabs>
      <w:jc w:val="center"/>
      <w:rPr>
        <w:rFonts w:ascii="Times New Roman" w:hAnsi="Times New Roman" w:cs="Times New Roman"/>
        <w:sz w:val="14"/>
      </w:rPr>
    </w:pPr>
    <w:r w:rsidRPr="00B51318">
      <w:rPr>
        <w:rFonts w:ascii="Times New Roman" w:hAnsi="Times New Roman" w:cs="Times New Roman"/>
        <w:sz w:val="14"/>
      </w:rPr>
      <w:t>Portland, OR 97204</w:t>
    </w:r>
  </w:p>
  <w:p w:rsidR="00B51318" w:rsidRPr="00B51318" w:rsidRDefault="00B51318" w:rsidP="00B51318">
    <w:pPr>
      <w:pStyle w:val="Footer"/>
      <w:jc w:val="center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 xml:space="preserve">Telephone: </w:t>
    </w:r>
    <w:r w:rsidRPr="00B51318">
      <w:rPr>
        <w:rFonts w:ascii="Times New Roman" w:hAnsi="Times New Roman" w:cs="Times New Roman"/>
        <w:sz w:val="14"/>
      </w:rPr>
      <w:t>(503) 241-7242</w:t>
    </w:r>
  </w:p>
  <w:p w:rsidR="00B51318" w:rsidRDefault="00B51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8F" w:rsidRDefault="00F24D8F" w:rsidP="00C76531">
      <w:r>
        <w:separator/>
      </w:r>
    </w:p>
  </w:footnote>
  <w:footnote w:type="continuationSeparator" w:id="0">
    <w:p w:rsidR="00F24D8F" w:rsidRDefault="00F24D8F" w:rsidP="00C76531">
      <w:r>
        <w:continuationSeparator/>
      </w:r>
    </w:p>
  </w:footnote>
  <w:footnote w:id="1">
    <w:p w:rsidR="00F24D8F" w:rsidRPr="00606224" w:rsidRDefault="00F24D8F">
      <w:pPr>
        <w:pStyle w:val="FootnoteText"/>
        <w:rPr>
          <w:rFonts w:ascii="Times New Roman" w:hAnsi="Times New Roman" w:cs="Times New Roman"/>
          <w:sz w:val="20"/>
          <w:szCs w:val="20"/>
        </w:rPr>
      </w:pPr>
      <w:r w:rsidRPr="00606224">
        <w:rPr>
          <w:rStyle w:val="FootnoteReference"/>
          <w:rFonts w:ascii="Times New Roman" w:hAnsi="Times New Roman" w:cs="Times New Roman"/>
          <w:sz w:val="20"/>
          <w:szCs w:val="20"/>
          <w:u w:val="single"/>
        </w:rPr>
        <w:footnoteRef/>
      </w:r>
      <w:r w:rsidRPr="00606224">
        <w:rPr>
          <w:rFonts w:ascii="Times New Roman" w:hAnsi="Times New Roman" w:cs="Times New Roman"/>
          <w:sz w:val="20"/>
          <w:szCs w:val="20"/>
          <w:vertAlign w:val="superscript"/>
        </w:rPr>
        <w:t>/</w:t>
      </w:r>
      <w:r w:rsidRPr="00606224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606224">
        <w:rPr>
          <w:rFonts w:ascii="Times New Roman" w:hAnsi="Times New Roman" w:cs="Times New Roman"/>
          <w:sz w:val="20"/>
          <w:szCs w:val="20"/>
        </w:rPr>
        <w:t>RCW 19.285.040(1)(c)(</w:t>
      </w:r>
      <w:proofErr w:type="spellStart"/>
      <w:r w:rsidRPr="00606224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606224">
        <w:rPr>
          <w:rFonts w:ascii="Times New Roman" w:hAnsi="Times New Roman" w:cs="Times New Roman"/>
          <w:sz w:val="20"/>
          <w:szCs w:val="20"/>
        </w:rPr>
        <w:t>) and WAC 480-109-100(c)(3).</w:t>
      </w:r>
    </w:p>
  </w:footnote>
  <w:footnote w:id="2">
    <w:p w:rsidR="00F24D8F" w:rsidRPr="00606224" w:rsidRDefault="00F24D8F" w:rsidP="0073266D">
      <w:pPr>
        <w:pStyle w:val="FootnoteText"/>
        <w:ind w:left="720" w:hanging="720"/>
        <w:rPr>
          <w:rFonts w:ascii="Times New Roman" w:hAnsi="Times New Roman" w:cs="Times New Roman"/>
          <w:sz w:val="20"/>
          <w:szCs w:val="20"/>
        </w:rPr>
      </w:pPr>
      <w:r w:rsidRPr="00606224">
        <w:rPr>
          <w:rStyle w:val="FootnoteReference"/>
          <w:rFonts w:ascii="Times New Roman" w:hAnsi="Times New Roman" w:cs="Times New Roman"/>
          <w:sz w:val="20"/>
          <w:szCs w:val="20"/>
          <w:u w:val="single"/>
        </w:rPr>
        <w:footnoteRef/>
      </w:r>
      <w:r w:rsidRPr="00606224">
        <w:rPr>
          <w:rFonts w:ascii="Times New Roman" w:hAnsi="Times New Roman" w:cs="Times New Roman"/>
          <w:sz w:val="20"/>
          <w:szCs w:val="20"/>
          <w:vertAlign w:val="superscript"/>
        </w:rPr>
        <w:t>/</w:t>
      </w:r>
      <w:r w:rsidRPr="00606224">
        <w:rPr>
          <w:rFonts w:ascii="Times New Roman" w:hAnsi="Times New Roman" w:cs="Times New Roman"/>
          <w:sz w:val="20"/>
          <w:szCs w:val="20"/>
        </w:rPr>
        <w:t xml:space="preserve">  </w:t>
      </w:r>
      <w:r w:rsidR="009225C3" w:rsidRPr="00606224">
        <w:rPr>
          <w:rFonts w:ascii="Times New Roman" w:hAnsi="Times New Roman" w:cs="Times New Roman"/>
          <w:sz w:val="20"/>
          <w:szCs w:val="20"/>
        </w:rPr>
        <w:tab/>
      </w:r>
      <w:r w:rsidRPr="00606224">
        <w:rPr>
          <w:rFonts w:ascii="Times New Roman" w:hAnsi="Times New Roman" w:cs="Times New Roman"/>
          <w:sz w:val="20"/>
          <w:szCs w:val="20"/>
        </w:rPr>
        <w:t>Docket Nos. UE-121697/UG-121705, UE-130137/UG-130138, Order 07, ¶¶</w:t>
      </w:r>
      <w:r w:rsidR="00606224">
        <w:rPr>
          <w:rFonts w:ascii="Times New Roman" w:hAnsi="Times New Roman" w:cs="Times New Roman"/>
          <w:sz w:val="20"/>
          <w:szCs w:val="20"/>
        </w:rPr>
        <w:t xml:space="preserve"> </w:t>
      </w:r>
      <w:r w:rsidRPr="00606224">
        <w:rPr>
          <w:rFonts w:ascii="Times New Roman" w:hAnsi="Times New Roman" w:cs="Times New Roman"/>
          <w:sz w:val="20"/>
          <w:szCs w:val="20"/>
        </w:rPr>
        <w:t>108-112 (June 25, 2013) and Docket UE-132043, Order 03 (Sept. 11, 2014).</w:t>
      </w:r>
    </w:p>
  </w:footnote>
  <w:footnote w:id="3">
    <w:p w:rsidR="00F24D8F" w:rsidRPr="009225C3" w:rsidRDefault="00F24D8F">
      <w:pPr>
        <w:pStyle w:val="FootnoteText"/>
        <w:rPr>
          <w:sz w:val="20"/>
          <w:szCs w:val="20"/>
        </w:rPr>
      </w:pPr>
      <w:r w:rsidRPr="00606224">
        <w:rPr>
          <w:rStyle w:val="FootnoteReference"/>
          <w:rFonts w:ascii="Times New Roman" w:hAnsi="Times New Roman" w:cs="Times New Roman"/>
          <w:sz w:val="20"/>
          <w:szCs w:val="20"/>
          <w:u w:val="single"/>
        </w:rPr>
        <w:footnoteRef/>
      </w:r>
      <w:r w:rsidR="009225C3" w:rsidRPr="00606224">
        <w:rPr>
          <w:rFonts w:ascii="Times New Roman" w:hAnsi="Times New Roman" w:cs="Times New Roman"/>
          <w:sz w:val="20"/>
          <w:szCs w:val="20"/>
          <w:vertAlign w:val="superscript"/>
        </w:rPr>
        <w:t>/</w:t>
      </w:r>
      <w:r w:rsidRPr="00606224">
        <w:rPr>
          <w:rFonts w:ascii="Times New Roman" w:hAnsi="Times New Roman" w:cs="Times New Roman"/>
          <w:sz w:val="20"/>
          <w:szCs w:val="20"/>
        </w:rPr>
        <w:t xml:space="preserve">  </w:t>
      </w:r>
      <w:r w:rsidR="009225C3" w:rsidRPr="00606224">
        <w:rPr>
          <w:rFonts w:ascii="Times New Roman" w:hAnsi="Times New Roman" w:cs="Times New Roman"/>
          <w:sz w:val="20"/>
          <w:szCs w:val="20"/>
        </w:rPr>
        <w:tab/>
      </w:r>
      <w:r w:rsidRPr="00606224">
        <w:rPr>
          <w:rFonts w:ascii="Times New Roman" w:hAnsi="Times New Roman" w:cs="Times New Roman"/>
          <w:sz w:val="20"/>
          <w:szCs w:val="20"/>
        </w:rPr>
        <w:t>Docket UE-132043, Biennial Conservation Report at 15 (May 31, 2016).</w:t>
      </w:r>
    </w:p>
  </w:footnote>
  <w:footnote w:id="4">
    <w:p w:rsidR="00F24D8F" w:rsidRPr="00606224" w:rsidRDefault="00F24D8F" w:rsidP="009225C3">
      <w:pPr>
        <w:pStyle w:val="FootnoteText"/>
        <w:ind w:left="720" w:hanging="720"/>
        <w:rPr>
          <w:rFonts w:ascii="Times New Roman" w:hAnsi="Times New Roman" w:cs="Times New Roman"/>
          <w:sz w:val="20"/>
          <w:szCs w:val="20"/>
        </w:rPr>
      </w:pPr>
      <w:r w:rsidRPr="00606224">
        <w:rPr>
          <w:rStyle w:val="FootnoteReference"/>
          <w:rFonts w:ascii="Times New Roman" w:hAnsi="Times New Roman" w:cs="Times New Roman"/>
          <w:sz w:val="20"/>
          <w:szCs w:val="20"/>
          <w:u w:val="single"/>
        </w:rPr>
        <w:footnoteRef/>
      </w:r>
      <w:r w:rsidR="009225C3" w:rsidRPr="00606224">
        <w:rPr>
          <w:rFonts w:ascii="Times New Roman" w:hAnsi="Times New Roman" w:cs="Times New Roman"/>
          <w:sz w:val="20"/>
          <w:szCs w:val="20"/>
          <w:vertAlign w:val="superscript"/>
        </w:rPr>
        <w:t>/</w:t>
      </w:r>
      <w:r w:rsidRPr="0060622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9225C3" w:rsidRPr="00606224">
        <w:rPr>
          <w:rFonts w:ascii="Times New Roman" w:hAnsi="Times New Roman" w:cs="Times New Roman"/>
          <w:sz w:val="20"/>
          <w:szCs w:val="20"/>
        </w:rPr>
        <w:tab/>
      </w:r>
      <w:r w:rsidRPr="00606224">
        <w:rPr>
          <w:rFonts w:ascii="Times New Roman" w:hAnsi="Times New Roman" w:cs="Times New Roman"/>
          <w:sz w:val="20"/>
          <w:szCs w:val="20"/>
        </w:rPr>
        <w:t>Docket Nos. UE-121697/UG-121705, UE-130137/UG-130138, Order 07 (June 25, 2013).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C00C1"/>
    <w:multiLevelType w:val="hybridMultilevel"/>
    <w:tmpl w:val="23A6E9AA"/>
    <w:lvl w:ilvl="0" w:tplc="0FB633CA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68931D5B"/>
    <w:multiLevelType w:val="hybridMultilevel"/>
    <w:tmpl w:val="D25A50CC"/>
    <w:lvl w:ilvl="0" w:tplc="2A14A6E4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35"/>
    <w:rsid w:val="000B142E"/>
    <w:rsid w:val="00110804"/>
    <w:rsid w:val="00147055"/>
    <w:rsid w:val="0017538B"/>
    <w:rsid w:val="001E7F2C"/>
    <w:rsid w:val="0021665C"/>
    <w:rsid w:val="00223C63"/>
    <w:rsid w:val="002C06FE"/>
    <w:rsid w:val="002D6A77"/>
    <w:rsid w:val="002F3156"/>
    <w:rsid w:val="003222D2"/>
    <w:rsid w:val="00342689"/>
    <w:rsid w:val="00391199"/>
    <w:rsid w:val="00393A0A"/>
    <w:rsid w:val="003E5D9E"/>
    <w:rsid w:val="004128D9"/>
    <w:rsid w:val="00412FD3"/>
    <w:rsid w:val="004301EA"/>
    <w:rsid w:val="004D0C6A"/>
    <w:rsid w:val="004F2980"/>
    <w:rsid w:val="00554447"/>
    <w:rsid w:val="00563802"/>
    <w:rsid w:val="005F6808"/>
    <w:rsid w:val="00606224"/>
    <w:rsid w:val="006278ED"/>
    <w:rsid w:val="00653414"/>
    <w:rsid w:val="006548D4"/>
    <w:rsid w:val="0067053E"/>
    <w:rsid w:val="00684881"/>
    <w:rsid w:val="007317C6"/>
    <w:rsid w:val="0073266D"/>
    <w:rsid w:val="007F7935"/>
    <w:rsid w:val="00830BC2"/>
    <w:rsid w:val="00832CFA"/>
    <w:rsid w:val="00856744"/>
    <w:rsid w:val="008A2B76"/>
    <w:rsid w:val="008C4CE3"/>
    <w:rsid w:val="008E3F74"/>
    <w:rsid w:val="008F7DE5"/>
    <w:rsid w:val="009225C3"/>
    <w:rsid w:val="00923F79"/>
    <w:rsid w:val="0094799C"/>
    <w:rsid w:val="0098058B"/>
    <w:rsid w:val="00981C1E"/>
    <w:rsid w:val="009B20A0"/>
    <w:rsid w:val="009E581D"/>
    <w:rsid w:val="009E6B61"/>
    <w:rsid w:val="00A20EBB"/>
    <w:rsid w:val="00A35D25"/>
    <w:rsid w:val="00A64E9F"/>
    <w:rsid w:val="00A72BF9"/>
    <w:rsid w:val="00A9044B"/>
    <w:rsid w:val="00AC48FE"/>
    <w:rsid w:val="00B15C79"/>
    <w:rsid w:val="00B51318"/>
    <w:rsid w:val="00BB479A"/>
    <w:rsid w:val="00BD2546"/>
    <w:rsid w:val="00C566C3"/>
    <w:rsid w:val="00C76531"/>
    <w:rsid w:val="00C82F33"/>
    <w:rsid w:val="00CA09EB"/>
    <w:rsid w:val="00D07700"/>
    <w:rsid w:val="00D43DF8"/>
    <w:rsid w:val="00D71C23"/>
    <w:rsid w:val="00DD701E"/>
    <w:rsid w:val="00E1525D"/>
    <w:rsid w:val="00F00DFF"/>
    <w:rsid w:val="00F24D8F"/>
    <w:rsid w:val="00F435DA"/>
    <w:rsid w:val="00F43A85"/>
    <w:rsid w:val="00FD5149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6EB9428E"/>
  <w14:defaultImageDpi w14:val="300"/>
  <w15:docId w15:val="{45193E48-8268-427C-B991-6C88DA82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88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76531"/>
  </w:style>
  <w:style w:type="character" w:customStyle="1" w:styleId="FootnoteTextChar">
    <w:name w:val="Footnote Text Char"/>
    <w:basedOn w:val="DefaultParagraphFont"/>
    <w:link w:val="FootnoteText"/>
    <w:uiPriority w:val="99"/>
    <w:rsid w:val="00C76531"/>
  </w:style>
  <w:style w:type="character" w:styleId="FootnoteReference">
    <w:name w:val="footnote reference"/>
    <w:basedOn w:val="DefaultParagraphFont"/>
    <w:uiPriority w:val="99"/>
    <w:unhideWhenUsed/>
    <w:rsid w:val="00C76531"/>
    <w:rPr>
      <w:vertAlign w:val="superscript"/>
    </w:rPr>
  </w:style>
  <w:style w:type="paragraph" w:customStyle="1" w:styleId="CourtName">
    <w:name w:val="CourtName"/>
    <w:basedOn w:val="Normal"/>
    <w:rsid w:val="00653414"/>
    <w:pPr>
      <w:spacing w:line="240" w:lineRule="exact"/>
      <w:jc w:val="center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8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3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A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A0A"/>
    <w:rPr>
      <w:b/>
      <w:bCs/>
      <w:sz w:val="20"/>
      <w:szCs w:val="20"/>
    </w:rPr>
  </w:style>
  <w:style w:type="paragraph" w:customStyle="1" w:styleId="WUTCParagraph">
    <w:name w:val="WUTC Paragraph"/>
    <w:basedOn w:val="Normal"/>
    <w:link w:val="WUTCParagraphChar"/>
    <w:rsid w:val="0021665C"/>
    <w:pPr>
      <w:numPr>
        <w:numId w:val="2"/>
      </w:numPr>
      <w:tabs>
        <w:tab w:val="left" w:pos="1440"/>
      </w:tabs>
      <w:spacing w:line="48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WUTCParagraphChar">
    <w:name w:val="WUTC Paragraph Char"/>
    <w:basedOn w:val="DefaultParagraphFont"/>
    <w:link w:val="WUTCParagraph"/>
    <w:rsid w:val="0021665C"/>
    <w:rPr>
      <w:rFonts w:ascii="Times New Roman" w:eastAsia="Times New Roman" w:hAnsi="Times New Roman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1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318"/>
  </w:style>
  <w:style w:type="paragraph" w:styleId="Footer">
    <w:name w:val="footer"/>
    <w:basedOn w:val="Normal"/>
    <w:link w:val="FooterChar"/>
    <w:unhideWhenUsed/>
    <w:rsid w:val="00B51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5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940A5867748F42B23F2496B49568D7" ma:contentTypeVersion="135" ma:contentTypeDescription="" ma:contentTypeScope="" ma:versionID="e2e13ec935221c26056da10e8a0672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2016-07-21T07:00:00+00:00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708EFDC-AA24-4DC2-8DB1-44D362835D2C}"/>
</file>

<file path=customXml/itemProps2.xml><?xml version="1.0" encoding="utf-8"?>
<ds:datastoreItem xmlns:ds="http://schemas.openxmlformats.org/officeDocument/2006/customXml" ds:itemID="{3EB05192-7644-4D98-B369-1A725B5C149B}"/>
</file>

<file path=customXml/itemProps3.xml><?xml version="1.0" encoding="utf-8"?>
<ds:datastoreItem xmlns:ds="http://schemas.openxmlformats.org/officeDocument/2006/customXml" ds:itemID="{A08C0E64-8EFA-4CED-8A41-7F0502262FB3}"/>
</file>

<file path=customXml/itemProps4.xml><?xml version="1.0" encoding="utf-8"?>
<ds:datastoreItem xmlns:ds="http://schemas.openxmlformats.org/officeDocument/2006/customXml" ds:itemID="{B7A9658F-96A3-4599-A492-93CB9C3A5269}"/>
</file>

<file path=customXml/itemProps5.xml><?xml version="1.0" encoding="utf-8"?>
<ds:datastoreItem xmlns:ds="http://schemas.openxmlformats.org/officeDocument/2006/customXml" ds:itemID="{857480A6-BDA0-4F9D-AA36-E03656C18A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Fisher</dc:creator>
  <cp:keywords/>
  <dc:description/>
  <cp:lastModifiedBy>Jesse O. Gorsuch</cp:lastModifiedBy>
  <cp:revision>12</cp:revision>
  <cp:lastPrinted>2016-07-14T20:44:00Z</cp:lastPrinted>
  <dcterms:created xsi:type="dcterms:W3CDTF">2016-07-21T15:55:00Z</dcterms:created>
  <dcterms:modified xsi:type="dcterms:W3CDTF">2016-07-21T19:29:00Z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0x0101006E56B4D1795A2E4DB2F0B01679ED314A0011940A5867748F42B23F2496B49568D7</vt:lpwstr>
  </property>
  <property fmtid="{D5CDD505-2E9C-101B-9397-08002B2CF9AE}" pid="3" name="_docset_NoMedatataSyncRequired">
    <vt:lpwstr>False</vt:lpwstr>
  </property>
</Properties>
</file>