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242F6B" w:rsidRDefault="0092788A" w:rsidP="002F3037">
      <w:pPr>
        <w:pStyle w:val="NoSpacing"/>
        <w:spacing w:line="264"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August 10, 2012]</w:t>
      </w:r>
      <w:bookmarkStart w:id="0" w:name="_GoBack"/>
      <w:bookmarkEnd w:id="0"/>
    </w:p>
    <w:p w:rsidR="0040569D" w:rsidRDefault="0040569D" w:rsidP="002F3037">
      <w:pPr>
        <w:pStyle w:val="NoSpacing"/>
        <w:spacing w:line="264" w:lineRule="auto"/>
      </w:pPr>
    </w:p>
    <w:p w:rsidR="00A36C88" w:rsidRDefault="00A36C88" w:rsidP="002F3037">
      <w:pPr>
        <w:pStyle w:val="NoSpacing"/>
        <w:spacing w:line="264" w:lineRule="auto"/>
      </w:pPr>
    </w:p>
    <w:p w:rsidR="00A36C88" w:rsidRDefault="00A36C88" w:rsidP="002F3037">
      <w:pPr>
        <w:pStyle w:val="NoSpacing"/>
        <w:spacing w:line="264" w:lineRule="auto"/>
      </w:pPr>
    </w:p>
    <w:p w:rsidR="00A36C88" w:rsidRDefault="00A36C88" w:rsidP="002F3037">
      <w:pPr>
        <w:pStyle w:val="NoSpacing"/>
        <w:spacing w:line="264" w:lineRule="auto"/>
      </w:pPr>
    </w:p>
    <w:p w:rsidR="00A36C88" w:rsidRDefault="00B87F93" w:rsidP="002F3037">
      <w:pPr>
        <w:pStyle w:val="NoSpacing"/>
        <w:spacing w:line="264" w:lineRule="auto"/>
        <w:jc w:val="center"/>
      </w:pPr>
      <w:r>
        <w:t>August 10</w:t>
      </w:r>
      <w:r w:rsidR="00A36C88">
        <w:t>, 2012</w:t>
      </w:r>
    </w:p>
    <w:p w:rsidR="00A36C88" w:rsidRDefault="00A36C88" w:rsidP="002F3037">
      <w:pPr>
        <w:pStyle w:val="NoSpacing"/>
        <w:spacing w:line="264" w:lineRule="auto"/>
      </w:pPr>
    </w:p>
    <w:p w:rsidR="00A36C88" w:rsidRPr="00A36C88" w:rsidRDefault="00A36C88" w:rsidP="002F3037">
      <w:pPr>
        <w:pStyle w:val="NoSpacing"/>
        <w:spacing w:line="264" w:lineRule="auto"/>
        <w:jc w:val="center"/>
        <w:rPr>
          <w:b/>
        </w:rPr>
      </w:pPr>
      <w:r w:rsidRPr="00A36C88">
        <w:rPr>
          <w:b/>
        </w:rPr>
        <w:t xml:space="preserve">NOTICE </w:t>
      </w:r>
      <w:r w:rsidR="00B87F93">
        <w:rPr>
          <w:b/>
        </w:rPr>
        <w:t>REVISING PROCEDURAL SCHEDULE</w:t>
      </w:r>
    </w:p>
    <w:p w:rsidR="00A36C88" w:rsidRDefault="00A36C88" w:rsidP="002F3037">
      <w:pPr>
        <w:pStyle w:val="NoSpacing"/>
        <w:spacing w:line="264" w:lineRule="auto"/>
      </w:pPr>
    </w:p>
    <w:p w:rsidR="00A36C88" w:rsidRDefault="00A36C88" w:rsidP="002F3037">
      <w:pPr>
        <w:pStyle w:val="NoSpacing"/>
        <w:spacing w:line="264" w:lineRule="auto"/>
        <w:ind w:left="720" w:hanging="720"/>
      </w:pPr>
      <w:r>
        <w:t>Re:</w:t>
      </w:r>
      <w:r>
        <w:tab/>
      </w:r>
      <w:r w:rsidRPr="000461EE">
        <w:rPr>
          <w:i/>
        </w:rPr>
        <w:t>In the Matter of the Application of W</w:t>
      </w:r>
      <w:r>
        <w:rPr>
          <w:i/>
        </w:rPr>
        <w:t>ASTE MANAGEMENT, INC.</w:t>
      </w:r>
      <w:r w:rsidRPr="000461EE">
        <w:rPr>
          <w:i/>
        </w:rPr>
        <w:t>, d/b/a WM H</w:t>
      </w:r>
      <w:r>
        <w:rPr>
          <w:i/>
        </w:rPr>
        <w:t>EALTHCARE SOLUTIONS OF WASHINGTON</w:t>
      </w:r>
      <w:r w:rsidRPr="000461EE">
        <w:rPr>
          <w:i/>
        </w:rPr>
        <w:t xml:space="preserve"> </w:t>
      </w:r>
      <w:r>
        <w:rPr>
          <w:i/>
        </w:rPr>
        <w:t>F</w:t>
      </w:r>
      <w:r w:rsidRPr="000461EE">
        <w:rPr>
          <w:i/>
        </w:rPr>
        <w:t xml:space="preserve">or an Extension of Certificate G-237 </w:t>
      </w:r>
      <w:r>
        <w:rPr>
          <w:i/>
        </w:rPr>
        <w:t>F</w:t>
      </w:r>
      <w:r w:rsidRPr="000461EE">
        <w:rPr>
          <w:i/>
        </w:rPr>
        <w:t>or a Certificate of Public Convenience and Necessity to Operate Motor Vehicles in Furnishing Solid Waste Collection Services</w:t>
      </w:r>
      <w:r>
        <w:t>, Docket TG-120033</w:t>
      </w:r>
    </w:p>
    <w:p w:rsidR="00A36C88" w:rsidRDefault="00A36C88" w:rsidP="002F3037">
      <w:pPr>
        <w:pStyle w:val="NoSpacing"/>
        <w:spacing w:line="264" w:lineRule="auto"/>
      </w:pPr>
    </w:p>
    <w:p w:rsidR="00A36C88" w:rsidRDefault="00A36C88" w:rsidP="002F3037">
      <w:pPr>
        <w:pStyle w:val="NoSpacing"/>
        <w:spacing w:line="264" w:lineRule="auto"/>
      </w:pPr>
      <w:r>
        <w:t>TO ALL PARTIES:</w:t>
      </w:r>
    </w:p>
    <w:p w:rsidR="00A36C88" w:rsidRDefault="00A36C88" w:rsidP="002F3037">
      <w:pPr>
        <w:pStyle w:val="NoSpacing"/>
        <w:spacing w:line="264" w:lineRule="auto"/>
      </w:pPr>
    </w:p>
    <w:p w:rsidR="00A36C88" w:rsidRDefault="00A36C88" w:rsidP="002F3037">
      <w:pPr>
        <w:pStyle w:val="NoSpacing"/>
        <w:spacing w:line="264" w:lineRule="auto"/>
      </w:pPr>
      <w:r>
        <w:t>On April 16, 2012, the Washington Utilities and Transportation Commission (Commission) issued Order 01 – Prehearing Conference Order in the above-referenced docket establishing a procedural schedule.  On April 18</w:t>
      </w:r>
      <w:r w:rsidR="00931732">
        <w:t>,</w:t>
      </w:r>
      <w:r w:rsidR="00366545">
        <w:t xml:space="preserve"> and May 10</w:t>
      </w:r>
      <w:r>
        <w:t>, 2012, the Commission issued notice</w:t>
      </w:r>
      <w:r w:rsidR="00366545">
        <w:t>s</w:t>
      </w:r>
      <w:r>
        <w:t xml:space="preserve"> revising the procedural schedule.</w:t>
      </w:r>
    </w:p>
    <w:p w:rsidR="00A36C88" w:rsidRDefault="00A36C88" w:rsidP="002F3037">
      <w:pPr>
        <w:pStyle w:val="NoSpacing"/>
        <w:spacing w:line="264" w:lineRule="auto"/>
      </w:pPr>
    </w:p>
    <w:p w:rsidR="002F3037" w:rsidRDefault="00A36C88" w:rsidP="002F3037">
      <w:pPr>
        <w:pStyle w:val="NoSpacing"/>
        <w:spacing w:line="264" w:lineRule="auto"/>
      </w:pPr>
      <w:r>
        <w:t xml:space="preserve">On </w:t>
      </w:r>
      <w:r w:rsidR="00366545">
        <w:t>July 31</w:t>
      </w:r>
      <w:r>
        <w:t>, 2012, counsel for Stericycle of Washington, Inc.</w:t>
      </w:r>
      <w:r w:rsidR="00931732">
        <w:t>,</w:t>
      </w:r>
      <w:r>
        <w:t xml:space="preserve"> filed with the Commission a</w:t>
      </w:r>
      <w:r w:rsidR="00B87F93">
        <w:t>n agreed</w:t>
      </w:r>
      <w:r>
        <w:t xml:space="preserve"> Motion for Extension of Time</w:t>
      </w:r>
      <w:r w:rsidR="00366545">
        <w:t xml:space="preserve"> to file prefiled direct testimony</w:t>
      </w:r>
      <w:r w:rsidR="00B87F93">
        <w:t xml:space="preserve"> to enable the parties to complete discovery.  During the hearing on discovery motions on August 8, 2012, the parties requested that the entire procedural schedule be revised to facilitate discovery and to expand the amount of time reserved for evidentiary hearings</w:t>
      </w:r>
      <w:r w:rsidR="002F3037">
        <w:t xml:space="preserve">.  The Commission </w:t>
      </w:r>
      <w:r w:rsidR="00B87F93">
        <w:t xml:space="preserve">finds </w:t>
      </w:r>
      <w:r w:rsidR="002F3037">
        <w:t xml:space="preserve">good cause to </w:t>
      </w:r>
      <w:r w:rsidR="00B87F93">
        <w:t>revise</w:t>
      </w:r>
      <w:r w:rsidR="002F3037">
        <w:t xml:space="preserve"> the </w:t>
      </w:r>
      <w:r w:rsidR="00B87F93">
        <w:t xml:space="preserve">procedural schedule </w:t>
      </w:r>
      <w:r w:rsidR="002F3037">
        <w:t>and grants the request as follows:</w:t>
      </w:r>
    </w:p>
    <w:p w:rsidR="002F3037" w:rsidRDefault="002F3037" w:rsidP="002F3037">
      <w:pPr>
        <w:pStyle w:val="NoSpacing"/>
        <w:spacing w:line="264" w:lineRule="auto"/>
      </w:pPr>
    </w:p>
    <w:tbl>
      <w:tblPr>
        <w:tblStyle w:val="TableGrid"/>
        <w:tblW w:w="0" w:type="auto"/>
        <w:tblLook w:val="04A0" w:firstRow="1" w:lastRow="0" w:firstColumn="1" w:lastColumn="0" w:noHBand="0" w:noVBand="1"/>
      </w:tblPr>
      <w:tblGrid>
        <w:gridCol w:w="4158"/>
        <w:gridCol w:w="2610"/>
        <w:gridCol w:w="2448"/>
      </w:tblGrid>
      <w:tr w:rsidR="002F3037" w:rsidRPr="002F3037" w:rsidTr="002F3037">
        <w:tc>
          <w:tcPr>
            <w:tcW w:w="4158" w:type="dxa"/>
            <w:shd w:val="pct12" w:color="auto" w:fill="auto"/>
          </w:tcPr>
          <w:p w:rsidR="002F3037" w:rsidRPr="002F3037" w:rsidRDefault="002F3037" w:rsidP="00AF505C">
            <w:pPr>
              <w:pStyle w:val="NoSpacing"/>
              <w:spacing w:line="264" w:lineRule="auto"/>
              <w:jc w:val="center"/>
              <w:rPr>
                <w:b/>
              </w:rPr>
            </w:pPr>
            <w:r w:rsidRPr="002F3037">
              <w:rPr>
                <w:b/>
              </w:rPr>
              <w:t>Event</w:t>
            </w:r>
          </w:p>
        </w:tc>
        <w:tc>
          <w:tcPr>
            <w:tcW w:w="2610" w:type="dxa"/>
            <w:shd w:val="pct12" w:color="auto" w:fill="auto"/>
          </w:tcPr>
          <w:p w:rsidR="002F3037" w:rsidRPr="002F3037" w:rsidRDefault="002F3037" w:rsidP="00AF505C">
            <w:pPr>
              <w:pStyle w:val="NoSpacing"/>
              <w:spacing w:line="264" w:lineRule="auto"/>
              <w:jc w:val="center"/>
              <w:rPr>
                <w:b/>
              </w:rPr>
            </w:pPr>
            <w:r w:rsidRPr="002F3037">
              <w:rPr>
                <w:b/>
              </w:rPr>
              <w:t>Prior Deadline</w:t>
            </w:r>
          </w:p>
        </w:tc>
        <w:tc>
          <w:tcPr>
            <w:tcW w:w="2448" w:type="dxa"/>
            <w:shd w:val="pct12" w:color="auto" w:fill="auto"/>
          </w:tcPr>
          <w:p w:rsidR="002F3037" w:rsidRPr="002F3037" w:rsidRDefault="002F3037" w:rsidP="00AF505C">
            <w:pPr>
              <w:pStyle w:val="NoSpacing"/>
              <w:spacing w:line="264" w:lineRule="auto"/>
              <w:jc w:val="center"/>
              <w:rPr>
                <w:b/>
              </w:rPr>
            </w:pPr>
            <w:r w:rsidRPr="002F3037">
              <w:rPr>
                <w:b/>
              </w:rPr>
              <w:t>New Deadline</w:t>
            </w:r>
          </w:p>
        </w:tc>
      </w:tr>
      <w:tr w:rsidR="00366545" w:rsidTr="002F3037">
        <w:tc>
          <w:tcPr>
            <w:tcW w:w="4158" w:type="dxa"/>
          </w:tcPr>
          <w:p w:rsidR="00366545" w:rsidRPr="00AB4520" w:rsidRDefault="00366545" w:rsidP="0092788A">
            <w:pPr>
              <w:spacing w:line="264" w:lineRule="auto"/>
              <w:rPr>
                <w:szCs w:val="25"/>
              </w:rPr>
            </w:pPr>
            <w:r>
              <w:rPr>
                <w:szCs w:val="25"/>
              </w:rPr>
              <w:t>Prefiled Direct Testimony (all parties)</w:t>
            </w:r>
          </w:p>
        </w:tc>
        <w:tc>
          <w:tcPr>
            <w:tcW w:w="2610" w:type="dxa"/>
          </w:tcPr>
          <w:p w:rsidR="00366545" w:rsidRDefault="00366545" w:rsidP="0092788A">
            <w:pPr>
              <w:spacing w:line="264" w:lineRule="auto"/>
              <w:jc w:val="center"/>
              <w:rPr>
                <w:szCs w:val="25"/>
              </w:rPr>
            </w:pPr>
            <w:r>
              <w:rPr>
                <w:szCs w:val="25"/>
              </w:rPr>
              <w:t>August 14, 2012</w:t>
            </w:r>
          </w:p>
        </w:tc>
        <w:tc>
          <w:tcPr>
            <w:tcW w:w="2448" w:type="dxa"/>
          </w:tcPr>
          <w:p w:rsidR="00366545" w:rsidRDefault="00762963" w:rsidP="002F3037">
            <w:pPr>
              <w:spacing w:line="264" w:lineRule="auto"/>
              <w:jc w:val="center"/>
              <w:rPr>
                <w:szCs w:val="25"/>
              </w:rPr>
            </w:pPr>
            <w:r>
              <w:rPr>
                <w:szCs w:val="25"/>
              </w:rPr>
              <w:t>October 1, 2012</w:t>
            </w:r>
          </w:p>
        </w:tc>
      </w:tr>
      <w:tr w:rsidR="00366545" w:rsidTr="002F3037">
        <w:tc>
          <w:tcPr>
            <w:tcW w:w="4158" w:type="dxa"/>
          </w:tcPr>
          <w:p w:rsidR="00366545" w:rsidRPr="00AB4520" w:rsidRDefault="00366545" w:rsidP="0092788A">
            <w:pPr>
              <w:spacing w:line="264" w:lineRule="auto"/>
              <w:rPr>
                <w:szCs w:val="25"/>
              </w:rPr>
            </w:pPr>
            <w:r>
              <w:rPr>
                <w:szCs w:val="25"/>
              </w:rPr>
              <w:t>Prefiled Response Testimony (all parties)</w:t>
            </w:r>
          </w:p>
        </w:tc>
        <w:tc>
          <w:tcPr>
            <w:tcW w:w="2610" w:type="dxa"/>
          </w:tcPr>
          <w:p w:rsidR="00366545" w:rsidRDefault="00366545" w:rsidP="0092788A">
            <w:pPr>
              <w:spacing w:line="264" w:lineRule="auto"/>
              <w:jc w:val="center"/>
              <w:rPr>
                <w:szCs w:val="25"/>
              </w:rPr>
            </w:pPr>
            <w:r>
              <w:rPr>
                <w:szCs w:val="25"/>
              </w:rPr>
              <w:t>October 5, 2012</w:t>
            </w:r>
          </w:p>
        </w:tc>
        <w:tc>
          <w:tcPr>
            <w:tcW w:w="2448" w:type="dxa"/>
          </w:tcPr>
          <w:p w:rsidR="00366545" w:rsidRDefault="00762963" w:rsidP="002F3037">
            <w:pPr>
              <w:spacing w:line="264" w:lineRule="auto"/>
              <w:jc w:val="center"/>
              <w:rPr>
                <w:szCs w:val="25"/>
              </w:rPr>
            </w:pPr>
            <w:r>
              <w:rPr>
                <w:szCs w:val="25"/>
              </w:rPr>
              <w:t>November 16, 2012</w:t>
            </w:r>
          </w:p>
        </w:tc>
      </w:tr>
      <w:tr w:rsidR="00366545" w:rsidTr="002F3037">
        <w:tc>
          <w:tcPr>
            <w:tcW w:w="4158" w:type="dxa"/>
          </w:tcPr>
          <w:p w:rsidR="00366545" w:rsidRDefault="00366545" w:rsidP="0092788A">
            <w:pPr>
              <w:spacing w:line="264" w:lineRule="auto"/>
              <w:rPr>
                <w:szCs w:val="25"/>
              </w:rPr>
            </w:pPr>
            <w:r>
              <w:rPr>
                <w:szCs w:val="25"/>
              </w:rPr>
              <w:t>Witness Lists, Exhibit Lists, and Cross-Examination Time Estimates Due</w:t>
            </w:r>
          </w:p>
        </w:tc>
        <w:tc>
          <w:tcPr>
            <w:tcW w:w="2610" w:type="dxa"/>
          </w:tcPr>
          <w:p w:rsidR="00366545" w:rsidRDefault="00366545" w:rsidP="0092788A">
            <w:pPr>
              <w:spacing w:line="264" w:lineRule="auto"/>
              <w:jc w:val="center"/>
              <w:rPr>
                <w:szCs w:val="25"/>
              </w:rPr>
            </w:pPr>
            <w:r>
              <w:rPr>
                <w:szCs w:val="25"/>
              </w:rPr>
              <w:t>October 15, 2012</w:t>
            </w:r>
          </w:p>
        </w:tc>
        <w:tc>
          <w:tcPr>
            <w:tcW w:w="2448" w:type="dxa"/>
          </w:tcPr>
          <w:p w:rsidR="00366545" w:rsidRDefault="00762963" w:rsidP="002F3037">
            <w:pPr>
              <w:jc w:val="center"/>
              <w:rPr>
                <w:szCs w:val="25"/>
              </w:rPr>
            </w:pPr>
            <w:r>
              <w:rPr>
                <w:szCs w:val="25"/>
              </w:rPr>
              <w:t>November 26, 2012</w:t>
            </w:r>
          </w:p>
        </w:tc>
      </w:tr>
      <w:tr w:rsidR="00366545" w:rsidTr="002F3037">
        <w:tc>
          <w:tcPr>
            <w:tcW w:w="4158" w:type="dxa"/>
          </w:tcPr>
          <w:p w:rsidR="00366545" w:rsidRPr="00AB4520" w:rsidRDefault="00366545" w:rsidP="0092788A">
            <w:pPr>
              <w:spacing w:line="264" w:lineRule="auto"/>
              <w:rPr>
                <w:szCs w:val="25"/>
              </w:rPr>
            </w:pPr>
            <w:r>
              <w:rPr>
                <w:szCs w:val="25"/>
              </w:rPr>
              <w:t>Evidentiary Hearings</w:t>
            </w:r>
          </w:p>
        </w:tc>
        <w:tc>
          <w:tcPr>
            <w:tcW w:w="2610" w:type="dxa"/>
          </w:tcPr>
          <w:p w:rsidR="00366545" w:rsidRDefault="00366545" w:rsidP="0092788A">
            <w:pPr>
              <w:spacing w:line="264" w:lineRule="auto"/>
              <w:jc w:val="center"/>
              <w:rPr>
                <w:szCs w:val="25"/>
              </w:rPr>
            </w:pPr>
            <w:r>
              <w:rPr>
                <w:szCs w:val="25"/>
              </w:rPr>
              <w:t>October 22-24, 2012</w:t>
            </w:r>
          </w:p>
        </w:tc>
        <w:tc>
          <w:tcPr>
            <w:tcW w:w="2448" w:type="dxa"/>
          </w:tcPr>
          <w:p w:rsidR="00366545" w:rsidRDefault="00B87F93" w:rsidP="002F3037">
            <w:pPr>
              <w:jc w:val="center"/>
              <w:rPr>
                <w:szCs w:val="25"/>
              </w:rPr>
            </w:pPr>
            <w:r>
              <w:rPr>
                <w:szCs w:val="25"/>
              </w:rPr>
              <w:t>December 3-7, 2012</w:t>
            </w:r>
          </w:p>
        </w:tc>
      </w:tr>
      <w:tr w:rsidR="00366545" w:rsidTr="002F3037">
        <w:tc>
          <w:tcPr>
            <w:tcW w:w="4158" w:type="dxa"/>
          </w:tcPr>
          <w:p w:rsidR="00366545" w:rsidRPr="00AB4520" w:rsidRDefault="00366545" w:rsidP="0092788A">
            <w:pPr>
              <w:spacing w:line="264" w:lineRule="auto"/>
              <w:rPr>
                <w:szCs w:val="25"/>
              </w:rPr>
            </w:pPr>
            <w:r>
              <w:rPr>
                <w:szCs w:val="25"/>
              </w:rPr>
              <w:t>Posting Hearing Briefs and Filing of Admitted Cross-Examination Exhibits</w:t>
            </w:r>
          </w:p>
        </w:tc>
        <w:tc>
          <w:tcPr>
            <w:tcW w:w="2610" w:type="dxa"/>
          </w:tcPr>
          <w:p w:rsidR="00366545" w:rsidRDefault="00366545" w:rsidP="0092788A">
            <w:pPr>
              <w:spacing w:line="264" w:lineRule="auto"/>
              <w:jc w:val="center"/>
              <w:rPr>
                <w:szCs w:val="25"/>
              </w:rPr>
            </w:pPr>
            <w:r>
              <w:rPr>
                <w:szCs w:val="25"/>
              </w:rPr>
              <w:t>TBD</w:t>
            </w:r>
          </w:p>
        </w:tc>
        <w:tc>
          <w:tcPr>
            <w:tcW w:w="2448" w:type="dxa"/>
          </w:tcPr>
          <w:p w:rsidR="00366545" w:rsidRDefault="00B87F93" w:rsidP="002F3037">
            <w:pPr>
              <w:jc w:val="center"/>
              <w:rPr>
                <w:szCs w:val="25"/>
              </w:rPr>
            </w:pPr>
            <w:r>
              <w:rPr>
                <w:szCs w:val="25"/>
              </w:rPr>
              <w:t>TBD</w:t>
            </w:r>
          </w:p>
        </w:tc>
      </w:tr>
    </w:tbl>
    <w:p w:rsidR="00AF505C" w:rsidRDefault="00AF505C" w:rsidP="002F3037">
      <w:pPr>
        <w:pStyle w:val="NoSpacing"/>
        <w:spacing w:line="264" w:lineRule="auto"/>
      </w:pPr>
    </w:p>
    <w:p w:rsidR="002F3037" w:rsidRPr="00AF505C" w:rsidRDefault="00AF505C" w:rsidP="002F3037">
      <w:pPr>
        <w:pStyle w:val="NoSpacing"/>
        <w:spacing w:line="264" w:lineRule="auto"/>
        <w:rPr>
          <w:b/>
        </w:rPr>
      </w:pPr>
      <w:r w:rsidRPr="00AF505C">
        <w:rPr>
          <w:b/>
        </w:rPr>
        <w:lastRenderedPageBreak/>
        <w:t xml:space="preserve">PLEASE TAKE NOTICE That the Commission grants </w:t>
      </w:r>
      <w:r w:rsidR="00B87F93">
        <w:rPr>
          <w:b/>
        </w:rPr>
        <w:t>the parties’</w:t>
      </w:r>
      <w:r w:rsidRPr="00AF505C">
        <w:rPr>
          <w:b/>
        </w:rPr>
        <w:t xml:space="preserve"> request </w:t>
      </w:r>
      <w:r w:rsidR="00B87F93">
        <w:rPr>
          <w:b/>
        </w:rPr>
        <w:t xml:space="preserve">to revise the procedural schedule </w:t>
      </w:r>
      <w:r w:rsidRPr="00AF505C">
        <w:rPr>
          <w:b/>
        </w:rPr>
        <w:t>and adopts the revised procedural schedule as indicated above.</w:t>
      </w:r>
    </w:p>
    <w:p w:rsidR="00AF505C" w:rsidRDefault="00AF505C" w:rsidP="002F3037">
      <w:pPr>
        <w:pStyle w:val="NoSpacing"/>
        <w:spacing w:line="264" w:lineRule="auto"/>
      </w:pPr>
    </w:p>
    <w:p w:rsidR="00AF505C" w:rsidRDefault="00AF505C" w:rsidP="002F3037">
      <w:pPr>
        <w:pStyle w:val="NoSpacing"/>
        <w:spacing w:line="264" w:lineRule="auto"/>
      </w:pPr>
    </w:p>
    <w:p w:rsidR="00AF505C" w:rsidRDefault="00AF505C" w:rsidP="002F3037">
      <w:pPr>
        <w:pStyle w:val="NoSpacing"/>
        <w:spacing w:line="264" w:lineRule="auto"/>
      </w:pPr>
    </w:p>
    <w:p w:rsidR="00AF505C" w:rsidRDefault="00AF505C" w:rsidP="002F3037">
      <w:pPr>
        <w:pStyle w:val="NoSpacing"/>
        <w:spacing w:line="264" w:lineRule="auto"/>
      </w:pPr>
    </w:p>
    <w:p w:rsidR="00AF505C" w:rsidRDefault="00AF505C" w:rsidP="002F3037">
      <w:pPr>
        <w:pStyle w:val="NoSpacing"/>
        <w:spacing w:line="264" w:lineRule="auto"/>
      </w:pPr>
      <w:r>
        <w:t>GREGORY J. KOPTA</w:t>
      </w:r>
    </w:p>
    <w:p w:rsidR="00AF505C" w:rsidRDefault="00AF505C" w:rsidP="002F3037">
      <w:pPr>
        <w:pStyle w:val="NoSpacing"/>
        <w:spacing w:line="264" w:lineRule="auto"/>
      </w:pPr>
      <w:r>
        <w:t>Administrative Law Judge</w:t>
      </w:r>
    </w:p>
    <w:sectPr w:rsidR="00AF505C" w:rsidSect="0092788A">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88A" w:rsidRDefault="0092788A" w:rsidP="00AF505C">
      <w:pPr>
        <w:spacing w:line="240" w:lineRule="auto"/>
      </w:pPr>
      <w:r>
        <w:separator/>
      </w:r>
    </w:p>
  </w:endnote>
  <w:endnote w:type="continuationSeparator" w:id="0">
    <w:p w:rsidR="0092788A" w:rsidRDefault="0092788A" w:rsidP="00AF5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88A" w:rsidRDefault="0092788A" w:rsidP="00AF505C">
      <w:pPr>
        <w:spacing w:line="240" w:lineRule="auto"/>
      </w:pPr>
      <w:r>
        <w:separator/>
      </w:r>
    </w:p>
  </w:footnote>
  <w:footnote w:type="continuationSeparator" w:id="0">
    <w:p w:rsidR="0092788A" w:rsidRDefault="0092788A" w:rsidP="00AF50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8A" w:rsidRPr="00AF505C" w:rsidRDefault="0092788A" w:rsidP="00AF505C">
    <w:pPr>
      <w:pStyle w:val="Header"/>
      <w:tabs>
        <w:tab w:val="clear" w:pos="9360"/>
        <w:tab w:val="right" w:pos="8730"/>
      </w:tabs>
      <w:rPr>
        <w:b/>
        <w:noProof/>
        <w:sz w:val="20"/>
        <w:szCs w:val="20"/>
      </w:rPr>
    </w:pPr>
    <w:r w:rsidRPr="00AF505C">
      <w:rPr>
        <w:b/>
        <w:sz w:val="20"/>
        <w:szCs w:val="20"/>
      </w:rPr>
      <w:t>DOCKET TG-120033</w:t>
    </w:r>
    <w:r w:rsidRPr="00AF505C">
      <w:rPr>
        <w:b/>
        <w:sz w:val="20"/>
        <w:szCs w:val="20"/>
      </w:rPr>
      <w:tab/>
    </w:r>
    <w:r w:rsidRPr="00AF505C">
      <w:rPr>
        <w:b/>
        <w:sz w:val="20"/>
        <w:szCs w:val="20"/>
      </w:rPr>
      <w:tab/>
      <w:t xml:space="preserve">PAGE </w:t>
    </w:r>
    <w:r w:rsidRPr="00AF505C">
      <w:rPr>
        <w:b/>
        <w:sz w:val="20"/>
        <w:szCs w:val="20"/>
      </w:rPr>
      <w:fldChar w:fldCharType="begin"/>
    </w:r>
    <w:r w:rsidRPr="00AF505C">
      <w:rPr>
        <w:b/>
        <w:sz w:val="20"/>
        <w:szCs w:val="20"/>
      </w:rPr>
      <w:instrText xml:space="preserve"> PAGE   \* MERGEFORMAT </w:instrText>
    </w:r>
    <w:r w:rsidRPr="00AF505C">
      <w:rPr>
        <w:b/>
        <w:sz w:val="20"/>
        <w:szCs w:val="20"/>
      </w:rPr>
      <w:fldChar w:fldCharType="separate"/>
    </w:r>
    <w:r>
      <w:rPr>
        <w:b/>
        <w:noProof/>
        <w:sz w:val="20"/>
        <w:szCs w:val="20"/>
      </w:rPr>
      <w:t>2</w:t>
    </w:r>
    <w:r w:rsidRPr="00AF505C">
      <w:rPr>
        <w:b/>
        <w:noProof/>
        <w:sz w:val="20"/>
        <w:szCs w:val="20"/>
      </w:rPr>
      <w:fldChar w:fldCharType="end"/>
    </w:r>
  </w:p>
  <w:p w:rsidR="0092788A" w:rsidRPr="00AF505C" w:rsidRDefault="0092788A" w:rsidP="00AF505C">
    <w:pPr>
      <w:pStyle w:val="Header"/>
      <w:tabs>
        <w:tab w:val="clear" w:pos="9360"/>
        <w:tab w:val="right" w:pos="8730"/>
      </w:tabs>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88"/>
    <w:rsid w:val="00000817"/>
    <w:rsid w:val="00000D94"/>
    <w:rsid w:val="00013BC5"/>
    <w:rsid w:val="00024FCC"/>
    <w:rsid w:val="00025066"/>
    <w:rsid w:val="00036A42"/>
    <w:rsid w:val="00054580"/>
    <w:rsid w:val="000A4CFE"/>
    <w:rsid w:val="000C159F"/>
    <w:rsid w:val="000C27A1"/>
    <w:rsid w:val="000D794B"/>
    <w:rsid w:val="000E69A6"/>
    <w:rsid w:val="000F2FD4"/>
    <w:rsid w:val="000F4FEE"/>
    <w:rsid w:val="000F629A"/>
    <w:rsid w:val="000F6DD6"/>
    <w:rsid w:val="001076BE"/>
    <w:rsid w:val="00110F1C"/>
    <w:rsid w:val="001140DB"/>
    <w:rsid w:val="00124765"/>
    <w:rsid w:val="00125DE3"/>
    <w:rsid w:val="0012797D"/>
    <w:rsid w:val="00134F21"/>
    <w:rsid w:val="00135A34"/>
    <w:rsid w:val="0014077E"/>
    <w:rsid w:val="00141D59"/>
    <w:rsid w:val="001605B2"/>
    <w:rsid w:val="001703EB"/>
    <w:rsid w:val="001723BF"/>
    <w:rsid w:val="00196394"/>
    <w:rsid w:val="001A7351"/>
    <w:rsid w:val="001B27DC"/>
    <w:rsid w:val="001B2E88"/>
    <w:rsid w:val="001B3E0A"/>
    <w:rsid w:val="001C463F"/>
    <w:rsid w:val="001C4E15"/>
    <w:rsid w:val="001C5C2C"/>
    <w:rsid w:val="001E109A"/>
    <w:rsid w:val="001F1ECC"/>
    <w:rsid w:val="001F33E6"/>
    <w:rsid w:val="001F5CE8"/>
    <w:rsid w:val="002128F1"/>
    <w:rsid w:val="00221AE2"/>
    <w:rsid w:val="00223577"/>
    <w:rsid w:val="00242F6B"/>
    <w:rsid w:val="00244FDA"/>
    <w:rsid w:val="00251048"/>
    <w:rsid w:val="0025477A"/>
    <w:rsid w:val="00262124"/>
    <w:rsid w:val="0026302D"/>
    <w:rsid w:val="0026475C"/>
    <w:rsid w:val="00270B6C"/>
    <w:rsid w:val="002757DC"/>
    <w:rsid w:val="00281C9A"/>
    <w:rsid w:val="002861A1"/>
    <w:rsid w:val="0028731F"/>
    <w:rsid w:val="002B0EFB"/>
    <w:rsid w:val="002C0778"/>
    <w:rsid w:val="002E5203"/>
    <w:rsid w:val="002F3037"/>
    <w:rsid w:val="003004E6"/>
    <w:rsid w:val="00311D5D"/>
    <w:rsid w:val="00320272"/>
    <w:rsid w:val="00325229"/>
    <w:rsid w:val="00326C72"/>
    <w:rsid w:val="00331826"/>
    <w:rsid w:val="00331DBD"/>
    <w:rsid w:val="00337B84"/>
    <w:rsid w:val="0035370C"/>
    <w:rsid w:val="00366545"/>
    <w:rsid w:val="003753AE"/>
    <w:rsid w:val="003A6A20"/>
    <w:rsid w:val="003A7922"/>
    <w:rsid w:val="003B5BCB"/>
    <w:rsid w:val="003D043A"/>
    <w:rsid w:val="003E07FA"/>
    <w:rsid w:val="003F118C"/>
    <w:rsid w:val="003F1C30"/>
    <w:rsid w:val="003F43F9"/>
    <w:rsid w:val="003F5026"/>
    <w:rsid w:val="003F6DEF"/>
    <w:rsid w:val="00400A04"/>
    <w:rsid w:val="004042E0"/>
    <w:rsid w:val="00405309"/>
    <w:rsid w:val="0040569D"/>
    <w:rsid w:val="004274F0"/>
    <w:rsid w:val="0043063F"/>
    <w:rsid w:val="004328C3"/>
    <w:rsid w:val="00434DC9"/>
    <w:rsid w:val="00437E3F"/>
    <w:rsid w:val="00446B83"/>
    <w:rsid w:val="004470D6"/>
    <w:rsid w:val="00466587"/>
    <w:rsid w:val="00472B41"/>
    <w:rsid w:val="00497485"/>
    <w:rsid w:val="0049799B"/>
    <w:rsid w:val="00497E5B"/>
    <w:rsid w:val="004A343B"/>
    <w:rsid w:val="004B13DF"/>
    <w:rsid w:val="004D03CC"/>
    <w:rsid w:val="004D5E7A"/>
    <w:rsid w:val="004F325A"/>
    <w:rsid w:val="00500BD3"/>
    <w:rsid w:val="00506508"/>
    <w:rsid w:val="00512941"/>
    <w:rsid w:val="00514DD5"/>
    <w:rsid w:val="00524ED7"/>
    <w:rsid w:val="00527B33"/>
    <w:rsid w:val="0053359C"/>
    <w:rsid w:val="00546385"/>
    <w:rsid w:val="00550788"/>
    <w:rsid w:val="00571C63"/>
    <w:rsid w:val="0057556D"/>
    <w:rsid w:val="005811C7"/>
    <w:rsid w:val="005963E1"/>
    <w:rsid w:val="005970BC"/>
    <w:rsid w:val="005A4601"/>
    <w:rsid w:val="005C7F6E"/>
    <w:rsid w:val="005D4151"/>
    <w:rsid w:val="005E200A"/>
    <w:rsid w:val="005E662A"/>
    <w:rsid w:val="005F6CB0"/>
    <w:rsid w:val="00621BBF"/>
    <w:rsid w:val="00625C28"/>
    <w:rsid w:val="00625F87"/>
    <w:rsid w:val="006302DA"/>
    <w:rsid w:val="006328EE"/>
    <w:rsid w:val="00636DA8"/>
    <w:rsid w:val="00637028"/>
    <w:rsid w:val="00644EA7"/>
    <w:rsid w:val="00647468"/>
    <w:rsid w:val="00671E79"/>
    <w:rsid w:val="006725EB"/>
    <w:rsid w:val="00672ABD"/>
    <w:rsid w:val="00682AAC"/>
    <w:rsid w:val="00685505"/>
    <w:rsid w:val="006967D3"/>
    <w:rsid w:val="006A46D9"/>
    <w:rsid w:val="006B51AE"/>
    <w:rsid w:val="006C391D"/>
    <w:rsid w:val="006D55D8"/>
    <w:rsid w:val="006E57AA"/>
    <w:rsid w:val="0070503D"/>
    <w:rsid w:val="007176D6"/>
    <w:rsid w:val="00725942"/>
    <w:rsid w:val="00744C85"/>
    <w:rsid w:val="00751967"/>
    <w:rsid w:val="00760467"/>
    <w:rsid w:val="00762963"/>
    <w:rsid w:val="00771B71"/>
    <w:rsid w:val="007777F4"/>
    <w:rsid w:val="0078059A"/>
    <w:rsid w:val="00782B25"/>
    <w:rsid w:val="00794D54"/>
    <w:rsid w:val="007A011C"/>
    <w:rsid w:val="007A316D"/>
    <w:rsid w:val="007A6418"/>
    <w:rsid w:val="007B1BB5"/>
    <w:rsid w:val="007B6BA4"/>
    <w:rsid w:val="007C5D5F"/>
    <w:rsid w:val="007D026E"/>
    <w:rsid w:val="007D15D4"/>
    <w:rsid w:val="007D181E"/>
    <w:rsid w:val="007E4058"/>
    <w:rsid w:val="007E4545"/>
    <w:rsid w:val="007E6723"/>
    <w:rsid w:val="007F7C8A"/>
    <w:rsid w:val="00803BD6"/>
    <w:rsid w:val="00813DB4"/>
    <w:rsid w:val="008221C4"/>
    <w:rsid w:val="008312B2"/>
    <w:rsid w:val="00834A6B"/>
    <w:rsid w:val="00843C44"/>
    <w:rsid w:val="008530CE"/>
    <w:rsid w:val="00857614"/>
    <w:rsid w:val="00860D9F"/>
    <w:rsid w:val="00863D19"/>
    <w:rsid w:val="00866E0A"/>
    <w:rsid w:val="008712BF"/>
    <w:rsid w:val="00873734"/>
    <w:rsid w:val="00885F8D"/>
    <w:rsid w:val="008927D2"/>
    <w:rsid w:val="00894053"/>
    <w:rsid w:val="008A0BC8"/>
    <w:rsid w:val="008A2759"/>
    <w:rsid w:val="008C4198"/>
    <w:rsid w:val="008E47E5"/>
    <w:rsid w:val="008F1933"/>
    <w:rsid w:val="008F56B3"/>
    <w:rsid w:val="009109F0"/>
    <w:rsid w:val="0091303D"/>
    <w:rsid w:val="0092788A"/>
    <w:rsid w:val="00927FC0"/>
    <w:rsid w:val="00931732"/>
    <w:rsid w:val="00950B86"/>
    <w:rsid w:val="009518F5"/>
    <w:rsid w:val="00956140"/>
    <w:rsid w:val="00957166"/>
    <w:rsid w:val="009621D5"/>
    <w:rsid w:val="00976A7E"/>
    <w:rsid w:val="00977AD2"/>
    <w:rsid w:val="009903F5"/>
    <w:rsid w:val="009931C1"/>
    <w:rsid w:val="009A5465"/>
    <w:rsid w:val="009A68EE"/>
    <w:rsid w:val="009B5279"/>
    <w:rsid w:val="009D011E"/>
    <w:rsid w:val="009E0277"/>
    <w:rsid w:val="009E5DD1"/>
    <w:rsid w:val="009F1F98"/>
    <w:rsid w:val="009F2B54"/>
    <w:rsid w:val="009F41E3"/>
    <w:rsid w:val="009F57A7"/>
    <w:rsid w:val="00A06B24"/>
    <w:rsid w:val="00A06FCB"/>
    <w:rsid w:val="00A13853"/>
    <w:rsid w:val="00A25D45"/>
    <w:rsid w:val="00A30C4A"/>
    <w:rsid w:val="00A31A3B"/>
    <w:rsid w:val="00A35B1C"/>
    <w:rsid w:val="00A35FD1"/>
    <w:rsid w:val="00A36C88"/>
    <w:rsid w:val="00A60D81"/>
    <w:rsid w:val="00A642B3"/>
    <w:rsid w:val="00A6640F"/>
    <w:rsid w:val="00A82346"/>
    <w:rsid w:val="00AA0F63"/>
    <w:rsid w:val="00AA1D38"/>
    <w:rsid w:val="00AB33FE"/>
    <w:rsid w:val="00AD1F22"/>
    <w:rsid w:val="00AE465D"/>
    <w:rsid w:val="00AF0857"/>
    <w:rsid w:val="00AF505C"/>
    <w:rsid w:val="00B01186"/>
    <w:rsid w:val="00B32FBC"/>
    <w:rsid w:val="00B3481A"/>
    <w:rsid w:val="00B4193F"/>
    <w:rsid w:val="00B62CF3"/>
    <w:rsid w:val="00B6469B"/>
    <w:rsid w:val="00B67D78"/>
    <w:rsid w:val="00B87F93"/>
    <w:rsid w:val="00B91632"/>
    <w:rsid w:val="00BA4723"/>
    <w:rsid w:val="00BA4DB0"/>
    <w:rsid w:val="00BB741B"/>
    <w:rsid w:val="00BC18E9"/>
    <w:rsid w:val="00BD2231"/>
    <w:rsid w:val="00BD4460"/>
    <w:rsid w:val="00BE0AD2"/>
    <w:rsid w:val="00BE754D"/>
    <w:rsid w:val="00BF4AD3"/>
    <w:rsid w:val="00BF5A05"/>
    <w:rsid w:val="00C02040"/>
    <w:rsid w:val="00C03C4D"/>
    <w:rsid w:val="00C1419E"/>
    <w:rsid w:val="00C2205E"/>
    <w:rsid w:val="00C227FD"/>
    <w:rsid w:val="00C32100"/>
    <w:rsid w:val="00C37086"/>
    <w:rsid w:val="00C55CFC"/>
    <w:rsid w:val="00C77038"/>
    <w:rsid w:val="00C7736F"/>
    <w:rsid w:val="00C77E1D"/>
    <w:rsid w:val="00C920D2"/>
    <w:rsid w:val="00C93A82"/>
    <w:rsid w:val="00CB2C63"/>
    <w:rsid w:val="00CB7F41"/>
    <w:rsid w:val="00CD5B00"/>
    <w:rsid w:val="00CD6EF8"/>
    <w:rsid w:val="00CE13E8"/>
    <w:rsid w:val="00CE7F86"/>
    <w:rsid w:val="00CF06C1"/>
    <w:rsid w:val="00D0056C"/>
    <w:rsid w:val="00D167FA"/>
    <w:rsid w:val="00D23952"/>
    <w:rsid w:val="00D355FC"/>
    <w:rsid w:val="00D36495"/>
    <w:rsid w:val="00D417B8"/>
    <w:rsid w:val="00D43D00"/>
    <w:rsid w:val="00D51AB0"/>
    <w:rsid w:val="00D5254D"/>
    <w:rsid w:val="00D54858"/>
    <w:rsid w:val="00D6592D"/>
    <w:rsid w:val="00D81A5D"/>
    <w:rsid w:val="00D87DE9"/>
    <w:rsid w:val="00D93AF7"/>
    <w:rsid w:val="00D955D2"/>
    <w:rsid w:val="00D968B5"/>
    <w:rsid w:val="00DA4DDA"/>
    <w:rsid w:val="00DB12F0"/>
    <w:rsid w:val="00DB4A12"/>
    <w:rsid w:val="00DB53EA"/>
    <w:rsid w:val="00DC441F"/>
    <w:rsid w:val="00DE67C3"/>
    <w:rsid w:val="00DE758E"/>
    <w:rsid w:val="00DF16E1"/>
    <w:rsid w:val="00DF3BFE"/>
    <w:rsid w:val="00DF3C7D"/>
    <w:rsid w:val="00DF6CB3"/>
    <w:rsid w:val="00DF7027"/>
    <w:rsid w:val="00E005E8"/>
    <w:rsid w:val="00E20EAF"/>
    <w:rsid w:val="00E21AF0"/>
    <w:rsid w:val="00E24F88"/>
    <w:rsid w:val="00E43AD9"/>
    <w:rsid w:val="00E51DAB"/>
    <w:rsid w:val="00E5776C"/>
    <w:rsid w:val="00E666E8"/>
    <w:rsid w:val="00E94DEF"/>
    <w:rsid w:val="00E95080"/>
    <w:rsid w:val="00EA64C0"/>
    <w:rsid w:val="00EB4EA1"/>
    <w:rsid w:val="00EC01B0"/>
    <w:rsid w:val="00EC474B"/>
    <w:rsid w:val="00EC7B52"/>
    <w:rsid w:val="00ED08AA"/>
    <w:rsid w:val="00EE4F4B"/>
    <w:rsid w:val="00EF3F4D"/>
    <w:rsid w:val="00F34C65"/>
    <w:rsid w:val="00F35267"/>
    <w:rsid w:val="00F46797"/>
    <w:rsid w:val="00F50B69"/>
    <w:rsid w:val="00F54581"/>
    <w:rsid w:val="00F558A0"/>
    <w:rsid w:val="00F668B0"/>
    <w:rsid w:val="00F67B92"/>
    <w:rsid w:val="00F720BC"/>
    <w:rsid w:val="00F75379"/>
    <w:rsid w:val="00F763FB"/>
    <w:rsid w:val="00F80CD0"/>
    <w:rsid w:val="00F819C6"/>
    <w:rsid w:val="00F83E5C"/>
    <w:rsid w:val="00F90363"/>
    <w:rsid w:val="00F903F5"/>
    <w:rsid w:val="00FC344E"/>
    <w:rsid w:val="00FD5807"/>
    <w:rsid w:val="00FD6F27"/>
    <w:rsid w:val="00FD7405"/>
    <w:rsid w:val="00FE1AD2"/>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A36C88"/>
    <w:pPr>
      <w:spacing w:line="240" w:lineRule="auto"/>
    </w:pPr>
  </w:style>
  <w:style w:type="table" w:styleId="TableGrid">
    <w:name w:val="Table Grid"/>
    <w:basedOn w:val="TableNormal"/>
    <w:uiPriority w:val="59"/>
    <w:rsid w:val="002F30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05C"/>
    <w:pPr>
      <w:tabs>
        <w:tab w:val="center" w:pos="4680"/>
        <w:tab w:val="right" w:pos="9360"/>
      </w:tabs>
      <w:spacing w:line="240" w:lineRule="auto"/>
    </w:pPr>
  </w:style>
  <w:style w:type="character" w:customStyle="1" w:styleId="HeaderChar">
    <w:name w:val="Header Char"/>
    <w:basedOn w:val="DefaultParagraphFont"/>
    <w:link w:val="Header"/>
    <w:uiPriority w:val="99"/>
    <w:rsid w:val="00AF505C"/>
  </w:style>
  <w:style w:type="paragraph" w:styleId="Footer">
    <w:name w:val="footer"/>
    <w:basedOn w:val="Normal"/>
    <w:link w:val="FooterChar"/>
    <w:uiPriority w:val="99"/>
    <w:unhideWhenUsed/>
    <w:rsid w:val="00AF505C"/>
    <w:pPr>
      <w:tabs>
        <w:tab w:val="center" w:pos="4680"/>
        <w:tab w:val="right" w:pos="9360"/>
      </w:tabs>
      <w:spacing w:line="240" w:lineRule="auto"/>
    </w:pPr>
  </w:style>
  <w:style w:type="character" w:customStyle="1" w:styleId="FooterChar">
    <w:name w:val="Footer Char"/>
    <w:basedOn w:val="DefaultParagraphFont"/>
    <w:link w:val="Footer"/>
    <w:uiPriority w:val="99"/>
    <w:rsid w:val="00AF5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A36C88"/>
    <w:pPr>
      <w:spacing w:line="240" w:lineRule="auto"/>
    </w:pPr>
  </w:style>
  <w:style w:type="table" w:styleId="TableGrid">
    <w:name w:val="Table Grid"/>
    <w:basedOn w:val="TableNormal"/>
    <w:uiPriority w:val="59"/>
    <w:rsid w:val="002F30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05C"/>
    <w:pPr>
      <w:tabs>
        <w:tab w:val="center" w:pos="4680"/>
        <w:tab w:val="right" w:pos="9360"/>
      </w:tabs>
      <w:spacing w:line="240" w:lineRule="auto"/>
    </w:pPr>
  </w:style>
  <w:style w:type="character" w:customStyle="1" w:styleId="HeaderChar">
    <w:name w:val="Header Char"/>
    <w:basedOn w:val="DefaultParagraphFont"/>
    <w:link w:val="Header"/>
    <w:uiPriority w:val="99"/>
    <w:rsid w:val="00AF505C"/>
  </w:style>
  <w:style w:type="paragraph" w:styleId="Footer">
    <w:name w:val="footer"/>
    <w:basedOn w:val="Normal"/>
    <w:link w:val="FooterChar"/>
    <w:uiPriority w:val="99"/>
    <w:unhideWhenUsed/>
    <w:rsid w:val="00AF505C"/>
    <w:pPr>
      <w:tabs>
        <w:tab w:val="center" w:pos="4680"/>
        <w:tab w:val="right" w:pos="9360"/>
      </w:tabs>
      <w:spacing w:line="240" w:lineRule="auto"/>
    </w:pPr>
  </w:style>
  <w:style w:type="character" w:customStyle="1" w:styleId="FooterChar">
    <w:name w:val="Footer Char"/>
    <w:basedOn w:val="DefaultParagraphFont"/>
    <w:link w:val="Footer"/>
    <w:uiPriority w:val="99"/>
    <w:rsid w:val="00AF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8702C4AF602440A75427A84B605696" ma:contentTypeVersion="139" ma:contentTypeDescription="" ma:contentTypeScope="" ma:versionID="096abf71eef04c5921b607dfdb705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2011-12-30T08:00:00+00:00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979B22-F9F8-4DA0-B45B-F7B28DAF3067}"/>
</file>

<file path=customXml/itemProps2.xml><?xml version="1.0" encoding="utf-8"?>
<ds:datastoreItem xmlns:ds="http://schemas.openxmlformats.org/officeDocument/2006/customXml" ds:itemID="{7D38BB86-C129-41AE-B235-DD8F4D45AE33}"/>
</file>

<file path=customXml/itemProps3.xml><?xml version="1.0" encoding="utf-8"?>
<ds:datastoreItem xmlns:ds="http://schemas.openxmlformats.org/officeDocument/2006/customXml" ds:itemID="{C4575EB9-D06A-41C9-9D57-B79FF1DDC58A}"/>
</file>

<file path=customXml/itemProps4.xml><?xml version="1.0" encoding="utf-8"?>
<ds:datastoreItem xmlns:ds="http://schemas.openxmlformats.org/officeDocument/2006/customXml" ds:itemID="{C97A6F8D-21E3-4912-ADEC-5219D9D30B0C}"/>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2012-08-10T15:10:00Z</dcterms:created>
  <dcterms:modified xsi:type="dcterms:W3CDTF">2012-08-10T15:26:00Z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0x0101006E56B4D1795A2E4DB2F0B01679ED314A000F8702C4AF602440A75427A84B605696</vt:lpwstr>
  </property>
  <property fmtid="{D5CDD505-2E9C-101B-9397-08002B2CF9AE}" pid="3" name="_docset_NoMedatataSyncRequired">
    <vt:lpwstr>False</vt:lpwstr>
  </property>
</Properties>
</file>