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182994" w:rsidRDefault="00182994">
      <w:pPr>
        <w:tabs>
          <w:tab w:val="left" w:pos="1260"/>
        </w:tabs>
        <w:spacing w:line="480" w:lineRule="auto"/>
        <w:ind w:firstLine="720"/>
        <w:jc w:val="center"/>
        <w:rPr>
          <w:sz w:val="28"/>
          <w:szCs w:val="28"/>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pPr>
    </w:p>
    <w:p w:rsidR="00182994" w:rsidRDefault="00182994">
      <w:pPr>
        <w:tabs>
          <w:tab w:val="left" w:pos="1260"/>
        </w:tabs>
        <w:spacing w:line="480" w:lineRule="auto"/>
        <w:ind w:firstLine="720"/>
        <w:jc w:val="center"/>
        <w:rPr>
          <w:rStyle w:val="LineNumber"/>
        </w:rPr>
      </w:pPr>
    </w:p>
    <w:p w:rsidR="00182994" w:rsidRDefault="00182994">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82994" w:rsidRDefault="00182994">
      <w:pPr>
        <w:tabs>
          <w:tab w:val="left" w:pos="1260"/>
        </w:tabs>
        <w:spacing w:line="480" w:lineRule="auto"/>
      </w:pPr>
    </w:p>
    <w:p w:rsidR="00182994" w:rsidRDefault="000773D0" w:rsidP="00182994">
      <w:pPr>
        <w:tabs>
          <w:tab w:val="left" w:pos="1260"/>
        </w:tabs>
        <w:jc w:val="center"/>
      </w:pPr>
      <w:r>
        <w:t>DOCKET NO</w:t>
      </w:r>
      <w:r w:rsidR="00182994">
        <w:t>. UE-</w:t>
      </w:r>
      <w:r w:rsidR="00876525">
        <w:t>1</w:t>
      </w:r>
      <w:r w:rsidR="0077507E">
        <w:t>4</w:t>
      </w:r>
      <w:r w:rsidR="00182994">
        <w:t>______</w:t>
      </w:r>
    </w:p>
    <w:p w:rsidR="00182994" w:rsidRDefault="00182994">
      <w:pPr>
        <w:tabs>
          <w:tab w:val="left" w:pos="1260"/>
        </w:tabs>
        <w:spacing w:line="480" w:lineRule="auto"/>
        <w:ind w:firstLine="720"/>
        <w:jc w:val="center"/>
      </w:pPr>
    </w:p>
    <w:p w:rsidR="00182994" w:rsidRDefault="00182994">
      <w:pPr>
        <w:tabs>
          <w:tab w:val="left" w:pos="1260"/>
        </w:tabs>
        <w:spacing w:line="480" w:lineRule="auto"/>
        <w:jc w:val="center"/>
      </w:pPr>
      <w:r>
        <w:t xml:space="preserve">DIRECT TESTIMONY OF </w:t>
      </w:r>
    </w:p>
    <w:p w:rsidR="00182994" w:rsidRDefault="002D0C51">
      <w:pPr>
        <w:tabs>
          <w:tab w:val="left" w:pos="1260"/>
        </w:tabs>
        <w:spacing w:line="480" w:lineRule="auto"/>
        <w:jc w:val="center"/>
      </w:pPr>
      <w:r>
        <w:t>WILLIAM G. JOHNSON</w:t>
      </w:r>
    </w:p>
    <w:p w:rsidR="00182994" w:rsidRDefault="00182994">
      <w:pPr>
        <w:tabs>
          <w:tab w:val="left" w:pos="1260"/>
        </w:tabs>
        <w:spacing w:line="480" w:lineRule="auto"/>
        <w:jc w:val="center"/>
      </w:pPr>
      <w:r>
        <w:t>REPRESENTING AVISTA CORPORATION</w:t>
      </w: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D70A5F">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E21E7" w:rsidRPr="0045060B" w:rsidRDefault="00BE21E7" w:rsidP="00BE21E7">
      <w:pPr>
        <w:pStyle w:val="TestBody"/>
        <w:spacing w:line="480" w:lineRule="auto"/>
        <w:ind w:left="0" w:firstLine="0"/>
        <w:jc w:val="center"/>
        <w:rPr>
          <w:rFonts w:ascii="Times New Roman" w:hAnsi="Times New Roman" w:cs="Times New Roman"/>
          <w:b/>
          <w:bCs/>
          <w:u w:val="single"/>
        </w:rPr>
      </w:pPr>
      <w:r w:rsidRPr="0045060B">
        <w:rPr>
          <w:rFonts w:ascii="Times New Roman" w:hAnsi="Times New Roman" w:cs="Times New Roman"/>
          <w:b/>
          <w:bCs/>
          <w:u w:val="single"/>
        </w:rPr>
        <w:lastRenderedPageBreak/>
        <w:t>I.</w:t>
      </w:r>
      <w:r w:rsidR="00274C65">
        <w:rPr>
          <w:rFonts w:ascii="Times New Roman" w:hAnsi="Times New Roman" w:cs="Times New Roman"/>
          <w:b/>
          <w:bCs/>
          <w:u w:val="single"/>
        </w:rPr>
        <w:t xml:space="preserve">  </w:t>
      </w:r>
      <w:r w:rsidRPr="0045060B">
        <w:rPr>
          <w:rFonts w:ascii="Times New Roman" w:hAnsi="Times New Roman" w:cs="Times New Roman"/>
          <w:b/>
          <w:bCs/>
          <w:u w:val="single"/>
        </w:rPr>
        <w:t>INTRODUCTION</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Please state your name, business address, and present position with Avista Corporation.</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My name is William G. Johnson.  My business address is </w:t>
      </w:r>
      <w:smartTag w:uri="urn:schemas-microsoft-com:office:smarttags" w:element="Street">
        <w:r w:rsidRPr="00BE21E7">
          <w:rPr>
            <w:rFonts w:ascii="Times New Roman" w:hAnsi="Times New Roman" w:cs="Times New Roman"/>
          </w:rPr>
          <w:t>1411 East Mission Avenue</w:t>
        </w:r>
      </w:smartTag>
      <w:r w:rsidRPr="00BE21E7">
        <w:rPr>
          <w:rFonts w:ascii="Times New Roman" w:hAnsi="Times New Roman" w:cs="Times New Roman"/>
        </w:rPr>
        <w:t xml:space="preserve">, </w:t>
      </w:r>
      <w:smartTag w:uri="urn:schemas-microsoft-com:office:smarttags" w:element="City">
        <w:r w:rsidRPr="00BE21E7">
          <w:rPr>
            <w:rFonts w:ascii="Times New Roman" w:hAnsi="Times New Roman" w:cs="Times New Roman"/>
          </w:rPr>
          <w:t>Spokane</w:t>
        </w:r>
      </w:smartTag>
      <w:r w:rsidRPr="00BE21E7">
        <w:rPr>
          <w:rFonts w:ascii="Times New Roman" w:hAnsi="Times New Roman" w:cs="Times New Roman"/>
        </w:rPr>
        <w:t xml:space="preserve">, </w:t>
      </w:r>
      <w:smartTag w:uri="urn:schemas-microsoft-com:office:smarttags" w:element="State">
        <w:r w:rsidRPr="00BE21E7">
          <w:rPr>
            <w:rFonts w:ascii="Times New Roman" w:hAnsi="Times New Roman" w:cs="Times New Roman"/>
          </w:rPr>
          <w:t>Washington</w:t>
        </w:r>
      </w:smartTag>
      <w:r w:rsidRPr="00BE21E7">
        <w:rPr>
          <w:rFonts w:ascii="Times New Roman" w:hAnsi="Times New Roman" w:cs="Times New Roman"/>
        </w:rPr>
        <w:t>, and I am employed by the Company as a Wholesale Marketing Manager in the Energy Resources Department.</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your educational background?</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I graduated from the </w:t>
      </w:r>
      <w:smartTag w:uri="urn:schemas-microsoft-com:office:smarttags" w:element="place">
        <w:smartTag w:uri="urn:schemas-microsoft-com:office:smarttags" w:element="PlaceType">
          <w:r w:rsidRPr="00BE21E7">
            <w:rPr>
              <w:rFonts w:ascii="Times New Roman" w:hAnsi="Times New Roman" w:cs="Times New Roman"/>
            </w:rPr>
            <w:t>University</w:t>
          </w:r>
        </w:smartTag>
        <w:r w:rsidRPr="00BE21E7">
          <w:rPr>
            <w:rFonts w:ascii="Times New Roman" w:hAnsi="Times New Roman" w:cs="Times New Roman"/>
          </w:rPr>
          <w:t xml:space="preserve"> of </w:t>
        </w:r>
        <w:smartTag w:uri="urn:schemas-microsoft-com:office:smarttags" w:element="PlaceName">
          <w:r w:rsidRPr="00BE21E7">
            <w:rPr>
              <w:rFonts w:ascii="Times New Roman" w:hAnsi="Times New Roman" w:cs="Times New Roman"/>
            </w:rPr>
            <w:t>Montana</w:t>
          </w:r>
        </w:smartTag>
      </w:smartTag>
      <w:r w:rsidRPr="00BE21E7">
        <w:rPr>
          <w:rFonts w:ascii="Times New Roman" w:hAnsi="Times New Roman" w:cs="Times New Roman"/>
        </w:rPr>
        <w:t xml:space="preserve"> in 1981 with a Bachelor of Arts Degree in Political Science/Economics.  I obtained a Master of Arts Degree in Economics from the </w:t>
      </w:r>
      <w:smartTag w:uri="urn:schemas-microsoft-com:office:smarttags" w:element="place">
        <w:smartTag w:uri="urn:schemas-microsoft-com:office:smarttags" w:element="PlaceType">
          <w:r w:rsidRPr="00BE21E7">
            <w:rPr>
              <w:rFonts w:ascii="Times New Roman" w:hAnsi="Times New Roman" w:cs="Times New Roman"/>
            </w:rPr>
            <w:t>University</w:t>
          </w:r>
        </w:smartTag>
        <w:r w:rsidRPr="00BE21E7">
          <w:rPr>
            <w:rFonts w:ascii="Times New Roman" w:hAnsi="Times New Roman" w:cs="Times New Roman"/>
          </w:rPr>
          <w:t xml:space="preserve"> of </w:t>
        </w:r>
        <w:smartTag w:uri="urn:schemas-microsoft-com:office:smarttags" w:element="PlaceName">
          <w:r w:rsidRPr="00BE21E7">
            <w:rPr>
              <w:rFonts w:ascii="Times New Roman" w:hAnsi="Times New Roman" w:cs="Times New Roman"/>
            </w:rPr>
            <w:t>Montana</w:t>
          </w:r>
        </w:smartTag>
      </w:smartTag>
      <w:r w:rsidRPr="00BE21E7">
        <w:rPr>
          <w:rFonts w:ascii="Times New Roman" w:hAnsi="Times New Roman" w:cs="Times New Roman"/>
        </w:rPr>
        <w:t xml:space="preserve"> in 1985.</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How long have you been employed by the Company and what are your duties as a Wholesale Marketing Manager?</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I started working for Avista in April 1990 as a Demand Side Resource Analyst.  I joined the Energy Resources Department as a Power Contracts Analyst in June 1996.  My primary responsibilities involve power contract origination and management</w:t>
      </w:r>
      <w:r w:rsidR="00C162D3">
        <w:rPr>
          <w:rFonts w:ascii="Times New Roman" w:hAnsi="Times New Roman" w:cs="Times New Roman"/>
        </w:rPr>
        <w:t>,</w:t>
      </w:r>
      <w:r w:rsidRPr="00BE21E7">
        <w:rPr>
          <w:rFonts w:ascii="Times New Roman" w:hAnsi="Times New Roman" w:cs="Times New Roman"/>
        </w:rPr>
        <w:t xml:space="preserve"> and power supply regulatory issues.</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the scope of your testimony in this proceeding?</w:t>
      </w:r>
    </w:p>
    <w:p w:rsidR="00BE21E7" w:rsidRPr="00BE21E7" w:rsidRDefault="00BE21E7" w:rsidP="00BE21E7">
      <w:pPr>
        <w:pStyle w:val="TestBody"/>
        <w:tabs>
          <w:tab w:val="left" w:pos="72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My testimony will</w:t>
      </w:r>
      <w:r w:rsidR="009F321F">
        <w:rPr>
          <w:rFonts w:ascii="Times New Roman" w:hAnsi="Times New Roman" w:cs="Times New Roman"/>
        </w:rPr>
        <w:t>:</w:t>
      </w:r>
      <w:r w:rsidRPr="00BE21E7">
        <w:rPr>
          <w:rFonts w:ascii="Times New Roman" w:hAnsi="Times New Roman" w:cs="Times New Roman"/>
        </w:rPr>
        <w:t xml:space="preserve"> </w:t>
      </w:r>
      <w:r w:rsidR="009F321F">
        <w:rPr>
          <w:rFonts w:ascii="Times New Roman" w:hAnsi="Times New Roman" w:cs="Times New Roman"/>
        </w:rPr>
        <w:t>(</w:t>
      </w:r>
      <w:r w:rsidRPr="00BE21E7">
        <w:rPr>
          <w:rFonts w:ascii="Times New Roman" w:hAnsi="Times New Roman" w:cs="Times New Roman"/>
        </w:rPr>
        <w:t xml:space="preserve">1) identify and explain the proposed normalizing and pro forma adjustments to the </w:t>
      </w:r>
      <w:r w:rsidR="00876525">
        <w:rPr>
          <w:rFonts w:ascii="Times New Roman" w:hAnsi="Times New Roman" w:cs="Times New Roman"/>
        </w:rPr>
        <w:t>J</w:t>
      </w:r>
      <w:r w:rsidR="0077507E">
        <w:rPr>
          <w:rFonts w:ascii="Times New Roman" w:hAnsi="Times New Roman" w:cs="Times New Roman"/>
        </w:rPr>
        <w:t>uly</w:t>
      </w:r>
      <w:r w:rsidR="00876525">
        <w:rPr>
          <w:rFonts w:ascii="Times New Roman" w:hAnsi="Times New Roman" w:cs="Times New Roman"/>
        </w:rPr>
        <w:t xml:space="preserve"> 20</w:t>
      </w:r>
      <w:r w:rsidR="00593E33">
        <w:rPr>
          <w:rFonts w:ascii="Times New Roman" w:hAnsi="Times New Roman" w:cs="Times New Roman"/>
        </w:rPr>
        <w:t>1</w:t>
      </w:r>
      <w:r w:rsidR="0077507E">
        <w:rPr>
          <w:rFonts w:ascii="Times New Roman" w:hAnsi="Times New Roman" w:cs="Times New Roman"/>
        </w:rPr>
        <w:t>2</w:t>
      </w:r>
      <w:r w:rsidRPr="00BE21E7">
        <w:rPr>
          <w:rFonts w:ascii="Times New Roman" w:hAnsi="Times New Roman" w:cs="Times New Roman"/>
        </w:rPr>
        <w:t xml:space="preserve"> through </w:t>
      </w:r>
      <w:r w:rsidR="0077507E">
        <w:rPr>
          <w:rFonts w:ascii="Times New Roman" w:hAnsi="Times New Roman" w:cs="Times New Roman"/>
        </w:rPr>
        <w:t>June</w:t>
      </w:r>
      <w:r w:rsidRPr="00BE21E7">
        <w:rPr>
          <w:rFonts w:ascii="Times New Roman" w:hAnsi="Times New Roman" w:cs="Times New Roman"/>
        </w:rPr>
        <w:t xml:space="preserve"> 20</w:t>
      </w:r>
      <w:r w:rsidR="00593E33">
        <w:rPr>
          <w:rFonts w:ascii="Times New Roman" w:hAnsi="Times New Roman" w:cs="Times New Roman"/>
        </w:rPr>
        <w:t>1</w:t>
      </w:r>
      <w:r w:rsidR="0077507E">
        <w:rPr>
          <w:rFonts w:ascii="Times New Roman" w:hAnsi="Times New Roman" w:cs="Times New Roman"/>
        </w:rPr>
        <w:t>3</w:t>
      </w:r>
      <w:r w:rsidRPr="00BE21E7">
        <w:rPr>
          <w:rFonts w:ascii="Times New Roman" w:hAnsi="Times New Roman" w:cs="Times New Roman"/>
        </w:rPr>
        <w:t xml:space="preserve"> test period power s</w:t>
      </w:r>
      <w:r w:rsidR="00F134B6">
        <w:rPr>
          <w:rFonts w:ascii="Times New Roman" w:hAnsi="Times New Roman" w:cs="Times New Roman"/>
        </w:rPr>
        <w:t>upply revenues and expenses</w:t>
      </w:r>
      <w:r w:rsidR="009F321F">
        <w:rPr>
          <w:rFonts w:ascii="Times New Roman" w:hAnsi="Times New Roman" w:cs="Times New Roman"/>
        </w:rPr>
        <w:t>;</w:t>
      </w:r>
      <w:r w:rsidR="00F134B6">
        <w:rPr>
          <w:rFonts w:ascii="Times New Roman" w:hAnsi="Times New Roman" w:cs="Times New Roman"/>
        </w:rPr>
        <w:t xml:space="preserve"> </w:t>
      </w:r>
      <w:r w:rsidR="009F321F">
        <w:rPr>
          <w:rFonts w:ascii="Times New Roman" w:hAnsi="Times New Roman" w:cs="Times New Roman"/>
        </w:rPr>
        <w:t>(</w:t>
      </w:r>
      <w:r w:rsidR="00F134B6">
        <w:rPr>
          <w:rFonts w:ascii="Times New Roman" w:hAnsi="Times New Roman" w:cs="Times New Roman"/>
        </w:rPr>
        <w:t xml:space="preserve">2) </w:t>
      </w:r>
      <w:r w:rsidR="0077507E">
        <w:rPr>
          <w:rFonts w:ascii="Times New Roman" w:hAnsi="Times New Roman" w:cs="Times New Roman"/>
        </w:rPr>
        <w:t xml:space="preserve">provide justification for retaining the current level of the Retail Revenue Credit in the </w:t>
      </w:r>
      <w:r w:rsidR="00F134B6">
        <w:rPr>
          <w:rFonts w:ascii="Times New Roman" w:hAnsi="Times New Roman" w:cs="Times New Roman"/>
        </w:rPr>
        <w:t>Energy Recovery Mec</w:t>
      </w:r>
      <w:r w:rsidR="0077507E">
        <w:rPr>
          <w:rFonts w:ascii="Times New Roman" w:hAnsi="Times New Roman" w:cs="Times New Roman"/>
        </w:rPr>
        <w:t>hanism (ERM)</w:t>
      </w:r>
      <w:r w:rsidR="009F321F">
        <w:rPr>
          <w:rFonts w:ascii="Times New Roman" w:hAnsi="Times New Roman" w:cs="Times New Roman"/>
        </w:rPr>
        <w:t>;</w:t>
      </w:r>
      <w:r w:rsidR="0077507E">
        <w:rPr>
          <w:rFonts w:ascii="Times New Roman" w:hAnsi="Times New Roman" w:cs="Times New Roman"/>
        </w:rPr>
        <w:t xml:space="preserve"> </w:t>
      </w:r>
      <w:r w:rsidR="009F321F">
        <w:rPr>
          <w:rFonts w:ascii="Times New Roman" w:hAnsi="Times New Roman" w:cs="Times New Roman"/>
        </w:rPr>
        <w:t>(</w:t>
      </w:r>
      <w:r w:rsidR="00F134B6">
        <w:rPr>
          <w:rFonts w:ascii="Times New Roman" w:hAnsi="Times New Roman" w:cs="Times New Roman"/>
        </w:rPr>
        <w:t>3</w:t>
      </w:r>
      <w:r w:rsidRPr="00BE21E7">
        <w:rPr>
          <w:rFonts w:ascii="Times New Roman" w:hAnsi="Times New Roman" w:cs="Times New Roman"/>
        </w:rPr>
        <w:t xml:space="preserve">) </w:t>
      </w:r>
      <w:r w:rsidR="0077507E">
        <w:rPr>
          <w:rFonts w:ascii="Times New Roman" w:hAnsi="Times New Roman" w:cs="Times New Roman"/>
        </w:rPr>
        <w:t>describe a proposed mechanism to track, defer and return Renewable Energy Credit (REC) revenue to customers</w:t>
      </w:r>
      <w:r w:rsidR="009F321F">
        <w:rPr>
          <w:rFonts w:ascii="Times New Roman" w:hAnsi="Times New Roman" w:cs="Times New Roman"/>
        </w:rPr>
        <w:t>;</w:t>
      </w:r>
      <w:r w:rsidR="0077507E">
        <w:rPr>
          <w:rFonts w:ascii="Times New Roman" w:hAnsi="Times New Roman" w:cs="Times New Roman"/>
        </w:rPr>
        <w:t xml:space="preserve"> and </w:t>
      </w:r>
      <w:r w:rsidR="009F321F">
        <w:rPr>
          <w:rFonts w:ascii="Times New Roman" w:hAnsi="Times New Roman" w:cs="Times New Roman"/>
        </w:rPr>
        <w:t>(</w:t>
      </w:r>
      <w:r w:rsidR="0077507E">
        <w:rPr>
          <w:rFonts w:ascii="Times New Roman" w:hAnsi="Times New Roman" w:cs="Times New Roman"/>
        </w:rPr>
        <w:t xml:space="preserve">4) </w:t>
      </w:r>
      <w:r w:rsidRPr="00BE21E7">
        <w:rPr>
          <w:rFonts w:ascii="Times New Roman" w:hAnsi="Times New Roman" w:cs="Times New Roman"/>
        </w:rPr>
        <w:lastRenderedPageBreak/>
        <w:t xml:space="preserve">describe the proposed level of expense and retail revenue credit for ERM purposes, using the pro forma costs proposed by the </w:t>
      </w:r>
      <w:r w:rsidR="006C0205">
        <w:rPr>
          <w:rFonts w:ascii="Times New Roman" w:hAnsi="Times New Roman" w:cs="Times New Roman"/>
        </w:rPr>
        <w:t>Company in this filing</w:t>
      </w:r>
      <w:r w:rsidR="002108F5">
        <w:rPr>
          <w:rFonts w:ascii="Times New Roman" w:hAnsi="Times New Roman" w:cs="Times New Roman"/>
        </w:rPr>
        <w:t>.</w:t>
      </w:r>
      <w:r w:rsidR="002108F5">
        <w:rPr>
          <w:rStyle w:val="FootnoteReference"/>
          <w:rFonts w:ascii="Times New Roman" w:hAnsi="Times New Roman"/>
        </w:rPr>
        <w:footnoteReference w:id="1"/>
      </w:r>
      <w:r w:rsidR="00DC7D94">
        <w:rPr>
          <w:rFonts w:ascii="Times New Roman" w:hAnsi="Times New Roman" w:cs="Times New Roman"/>
        </w:rPr>
        <w:t xml:space="preserve"> </w:t>
      </w:r>
    </w:p>
    <w:p w:rsidR="00BE21E7" w:rsidRPr="00A774E3"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r>
      <w:r w:rsidRPr="00A774E3">
        <w:rPr>
          <w:rFonts w:ascii="Times New Roman" w:hAnsi="Times New Roman" w:cs="Times New Roman"/>
          <w:b/>
          <w:bCs/>
        </w:rPr>
        <w:t>Are you sponsoring any exhibits to be introduced in this proceeding?</w:t>
      </w:r>
    </w:p>
    <w:p w:rsidR="00BE21E7" w:rsidRPr="00A774E3" w:rsidRDefault="00BE21E7" w:rsidP="00BE21E7">
      <w:pPr>
        <w:pStyle w:val="TestBody"/>
        <w:spacing w:line="480" w:lineRule="auto"/>
        <w:ind w:left="0" w:firstLine="720"/>
        <w:rPr>
          <w:rFonts w:ascii="Times New Roman" w:hAnsi="Times New Roman" w:cs="Times New Roman"/>
        </w:rPr>
      </w:pPr>
      <w:r w:rsidRPr="00A774E3">
        <w:rPr>
          <w:rFonts w:ascii="Times New Roman" w:hAnsi="Times New Roman" w:cs="Times New Roman"/>
        </w:rPr>
        <w:t>A.</w:t>
      </w:r>
      <w:r w:rsidRPr="00A774E3">
        <w:rPr>
          <w:rFonts w:ascii="Times New Roman" w:hAnsi="Times New Roman" w:cs="Times New Roman"/>
        </w:rPr>
        <w:tab/>
        <w:t>Yes.  I am sponsoring Exhibit No</w:t>
      </w:r>
      <w:r w:rsidR="00B10EED" w:rsidRPr="00A774E3">
        <w:rPr>
          <w:rFonts w:ascii="Times New Roman" w:hAnsi="Times New Roman" w:cs="Times New Roman"/>
        </w:rPr>
        <w:t>s</w:t>
      </w:r>
      <w:r w:rsidRPr="00A774E3">
        <w:rPr>
          <w:rFonts w:ascii="Times New Roman" w:hAnsi="Times New Roman" w:cs="Times New Roman"/>
        </w:rPr>
        <w:t>.</w:t>
      </w:r>
      <w:r w:rsidR="00B10EED" w:rsidRPr="00A774E3">
        <w:rPr>
          <w:rFonts w:ascii="Times New Roman" w:hAnsi="Times New Roman" w:cs="Times New Roman"/>
        </w:rPr>
        <w:t>__</w:t>
      </w:r>
      <w:r w:rsidR="0012703B" w:rsidRPr="00A774E3">
        <w:rPr>
          <w:rFonts w:ascii="Times New Roman" w:hAnsi="Times New Roman" w:cs="Times New Roman"/>
        </w:rPr>
        <w:t>_ (</w:t>
      </w:r>
      <w:r w:rsidRPr="00A774E3">
        <w:rPr>
          <w:rFonts w:ascii="Times New Roman" w:hAnsi="Times New Roman" w:cs="Times New Roman"/>
        </w:rPr>
        <w:t xml:space="preserve">WGJ-2) through </w:t>
      </w:r>
      <w:r w:rsidR="00B10EED" w:rsidRPr="00A774E3">
        <w:rPr>
          <w:rFonts w:ascii="Times New Roman" w:hAnsi="Times New Roman" w:cs="Times New Roman"/>
        </w:rPr>
        <w:t>__</w:t>
      </w:r>
      <w:r w:rsidR="0012703B" w:rsidRPr="00A774E3">
        <w:rPr>
          <w:rFonts w:ascii="Times New Roman" w:hAnsi="Times New Roman" w:cs="Times New Roman"/>
        </w:rPr>
        <w:t>_ (</w:t>
      </w:r>
      <w:r w:rsidRPr="00A774E3">
        <w:rPr>
          <w:rFonts w:ascii="Times New Roman" w:hAnsi="Times New Roman" w:cs="Times New Roman"/>
        </w:rPr>
        <w:t>WGJ-</w:t>
      </w:r>
      <w:r w:rsidR="00F23840">
        <w:rPr>
          <w:rFonts w:ascii="Times New Roman" w:hAnsi="Times New Roman" w:cs="Times New Roman"/>
        </w:rPr>
        <w:t>7</w:t>
      </w:r>
      <w:r w:rsidRPr="00A774E3">
        <w:rPr>
          <w:rFonts w:ascii="Times New Roman" w:hAnsi="Times New Roman" w:cs="Times New Roman"/>
        </w:rPr>
        <w:t>), which were prepared under my supervision and direction.</w:t>
      </w:r>
      <w:r w:rsidR="00DC7D94" w:rsidRPr="00A774E3">
        <w:rPr>
          <w:rFonts w:ascii="Times New Roman" w:hAnsi="Times New Roman" w:cs="Times New Roman"/>
        </w:rPr>
        <w:t xml:space="preserve">  </w:t>
      </w:r>
      <w:r w:rsidR="00751E45" w:rsidRPr="00A774E3">
        <w:rPr>
          <w:rFonts w:ascii="Times New Roman" w:hAnsi="Times New Roman" w:cs="Times New Roman"/>
        </w:rPr>
        <w:t>Exhibit No. __</w:t>
      </w:r>
      <w:r w:rsidR="0012703B" w:rsidRPr="00A774E3">
        <w:rPr>
          <w:rFonts w:ascii="Times New Roman" w:hAnsi="Times New Roman" w:cs="Times New Roman"/>
        </w:rPr>
        <w:t>_ (</w:t>
      </w:r>
      <w:r w:rsidR="00751E45" w:rsidRPr="00A774E3">
        <w:rPr>
          <w:rFonts w:ascii="Times New Roman" w:hAnsi="Times New Roman" w:cs="Times New Roman"/>
        </w:rPr>
        <w:t>WGJ-2) identifies the power supply expense and revenue items that fall within the scope of my testimony. A brief description of each adjustment is provided in Exhibit No.</w:t>
      </w:r>
      <w:r w:rsidR="005F4F7A" w:rsidRPr="00A774E3">
        <w:rPr>
          <w:rFonts w:ascii="Times New Roman" w:hAnsi="Times New Roman" w:cs="Times New Roman"/>
        </w:rPr>
        <w:t xml:space="preserve"> </w:t>
      </w:r>
      <w:proofErr w:type="gramStart"/>
      <w:r w:rsidR="005F4F7A" w:rsidRPr="00A774E3">
        <w:rPr>
          <w:rFonts w:ascii="Times New Roman" w:hAnsi="Times New Roman" w:cs="Times New Roman"/>
        </w:rPr>
        <w:t>__</w:t>
      </w:r>
      <w:r w:rsidR="0012703B" w:rsidRPr="00A774E3">
        <w:rPr>
          <w:rFonts w:ascii="Times New Roman" w:hAnsi="Times New Roman" w:cs="Times New Roman"/>
        </w:rPr>
        <w:t>_ (</w:t>
      </w:r>
      <w:r w:rsidR="00751E45" w:rsidRPr="00A774E3">
        <w:rPr>
          <w:rFonts w:ascii="Times New Roman" w:hAnsi="Times New Roman" w:cs="Times New Roman"/>
        </w:rPr>
        <w:t>WGJ-</w:t>
      </w:r>
      <w:r w:rsidR="00F22C09" w:rsidRPr="00A774E3">
        <w:rPr>
          <w:rFonts w:ascii="Times New Roman" w:hAnsi="Times New Roman" w:cs="Times New Roman"/>
        </w:rPr>
        <w:t>3</w:t>
      </w:r>
      <w:r w:rsidR="00751E45" w:rsidRPr="00A774E3">
        <w:rPr>
          <w:rFonts w:ascii="Times New Roman" w:hAnsi="Times New Roman" w:cs="Times New Roman"/>
        </w:rPr>
        <w:t>).</w:t>
      </w:r>
      <w:proofErr w:type="gramEnd"/>
      <w:r w:rsidR="00751E45" w:rsidRPr="00A774E3">
        <w:rPr>
          <w:rFonts w:ascii="Times New Roman" w:hAnsi="Times New Roman" w:cs="Times New Roman"/>
        </w:rPr>
        <w:t xml:space="preserve">  </w:t>
      </w:r>
      <w:r w:rsidR="00F22C09" w:rsidRPr="00A774E3">
        <w:rPr>
          <w:rFonts w:ascii="Times New Roman" w:hAnsi="Times New Roman" w:cs="Times New Roman"/>
        </w:rPr>
        <w:t>Exhibit No. __</w:t>
      </w:r>
      <w:r w:rsidR="0012703B" w:rsidRPr="00A774E3">
        <w:rPr>
          <w:rFonts w:ascii="Times New Roman" w:hAnsi="Times New Roman" w:cs="Times New Roman"/>
        </w:rPr>
        <w:t>_ (</w:t>
      </w:r>
      <w:r w:rsidR="00F22C09" w:rsidRPr="00A774E3">
        <w:rPr>
          <w:rFonts w:ascii="Times New Roman" w:hAnsi="Times New Roman" w:cs="Times New Roman"/>
        </w:rPr>
        <w:t xml:space="preserve">WGJ-4) shows the pro forma fuel costs </w:t>
      </w:r>
      <w:r w:rsidR="00C162D3">
        <w:rPr>
          <w:rFonts w:ascii="Times New Roman" w:hAnsi="Times New Roman" w:cs="Times New Roman"/>
        </w:rPr>
        <w:t xml:space="preserve">for each thermal plant </w:t>
      </w:r>
      <w:r w:rsidR="005F4F7A" w:rsidRPr="00A774E3">
        <w:rPr>
          <w:rFonts w:ascii="Times New Roman" w:hAnsi="Times New Roman" w:cs="Times New Roman"/>
        </w:rPr>
        <w:t xml:space="preserve">and short-term purchase and sales </w:t>
      </w:r>
      <w:r w:rsidR="00C162D3">
        <w:rPr>
          <w:rFonts w:ascii="Times New Roman" w:hAnsi="Times New Roman" w:cs="Times New Roman"/>
        </w:rPr>
        <w:t>by month</w:t>
      </w:r>
      <w:r w:rsidR="00F22C09" w:rsidRPr="00A774E3">
        <w:rPr>
          <w:rFonts w:ascii="Times New Roman" w:hAnsi="Times New Roman" w:cs="Times New Roman"/>
        </w:rPr>
        <w:t xml:space="preserve">.  </w:t>
      </w:r>
      <w:r w:rsidR="004B4163">
        <w:rPr>
          <w:rFonts w:ascii="Times New Roman" w:hAnsi="Times New Roman" w:cs="Times New Roman"/>
        </w:rPr>
        <w:t xml:space="preserve">A schematic of the proposed REC revenue rebate mechanism is shown in Exhibit No. </w:t>
      </w:r>
      <w:proofErr w:type="gramStart"/>
      <w:r w:rsidR="004B4163">
        <w:rPr>
          <w:rFonts w:ascii="Times New Roman" w:hAnsi="Times New Roman" w:cs="Times New Roman"/>
        </w:rPr>
        <w:t>___ (WGJ-5).</w:t>
      </w:r>
      <w:proofErr w:type="gramEnd"/>
      <w:r w:rsidR="004B4163">
        <w:rPr>
          <w:rFonts w:ascii="Times New Roman" w:hAnsi="Times New Roman" w:cs="Times New Roman"/>
        </w:rPr>
        <w:t xml:space="preserve">  </w:t>
      </w:r>
      <w:r w:rsidR="00F23840">
        <w:rPr>
          <w:rFonts w:ascii="Times New Roman" w:hAnsi="Times New Roman" w:cs="Times New Roman"/>
        </w:rPr>
        <w:t xml:space="preserve">A table showing the net REC revenues, both actual and projected by year, </w:t>
      </w:r>
      <w:r w:rsidR="00EE7C43">
        <w:rPr>
          <w:rFonts w:ascii="Times New Roman" w:hAnsi="Times New Roman" w:cs="Times New Roman"/>
        </w:rPr>
        <w:t>proposed to</w:t>
      </w:r>
      <w:r w:rsidR="00F23840">
        <w:rPr>
          <w:rFonts w:ascii="Times New Roman" w:hAnsi="Times New Roman" w:cs="Times New Roman"/>
        </w:rPr>
        <w:t xml:space="preserve"> be returned to customers beginning in January </w:t>
      </w:r>
      <w:r w:rsidR="00647807">
        <w:rPr>
          <w:rFonts w:ascii="Times New Roman" w:hAnsi="Times New Roman" w:cs="Times New Roman"/>
        </w:rPr>
        <w:t>2015</w:t>
      </w:r>
      <w:r w:rsidR="00F23840">
        <w:rPr>
          <w:rFonts w:ascii="Times New Roman" w:hAnsi="Times New Roman" w:cs="Times New Roman"/>
        </w:rPr>
        <w:t xml:space="preserve"> is shown in Exhibit No. </w:t>
      </w:r>
      <w:proofErr w:type="gramStart"/>
      <w:r w:rsidR="00F23840">
        <w:rPr>
          <w:rFonts w:ascii="Times New Roman" w:hAnsi="Times New Roman" w:cs="Times New Roman"/>
        </w:rPr>
        <w:t>__</w:t>
      </w:r>
      <w:r w:rsidR="00647807">
        <w:rPr>
          <w:rFonts w:ascii="Times New Roman" w:hAnsi="Times New Roman" w:cs="Times New Roman"/>
        </w:rPr>
        <w:t>_ (</w:t>
      </w:r>
      <w:r w:rsidR="00F23840">
        <w:rPr>
          <w:rFonts w:ascii="Times New Roman" w:hAnsi="Times New Roman" w:cs="Times New Roman"/>
        </w:rPr>
        <w:t>WGJ-6).</w:t>
      </w:r>
      <w:proofErr w:type="gramEnd"/>
      <w:r w:rsidR="00F23840">
        <w:rPr>
          <w:rFonts w:ascii="Times New Roman" w:hAnsi="Times New Roman" w:cs="Times New Roman"/>
        </w:rPr>
        <w:t xml:space="preserve">  </w:t>
      </w:r>
      <w:r w:rsidR="00F22C09" w:rsidRPr="00A774E3">
        <w:rPr>
          <w:rFonts w:ascii="Times New Roman" w:hAnsi="Times New Roman" w:cs="Times New Roman"/>
          <w:bCs/>
        </w:rPr>
        <w:t xml:space="preserve">The proposed authorized ERM power supply expense and revenue, transmission expense and revenue, and </w:t>
      </w:r>
      <w:r w:rsidR="0012703B" w:rsidRPr="00A774E3">
        <w:rPr>
          <w:rFonts w:ascii="Times New Roman" w:hAnsi="Times New Roman" w:cs="Times New Roman"/>
          <w:bCs/>
        </w:rPr>
        <w:t>retail sales are</w:t>
      </w:r>
      <w:r w:rsidR="00F22C09" w:rsidRPr="00A774E3">
        <w:rPr>
          <w:rFonts w:ascii="Times New Roman" w:hAnsi="Times New Roman" w:cs="Times New Roman"/>
          <w:bCs/>
        </w:rPr>
        <w:t xml:space="preserve"> shown in Exhibit No._</w:t>
      </w:r>
      <w:r w:rsidR="0012703B" w:rsidRPr="00A774E3">
        <w:rPr>
          <w:rFonts w:ascii="Times New Roman" w:hAnsi="Times New Roman" w:cs="Times New Roman"/>
          <w:bCs/>
        </w:rPr>
        <w:t>_ (</w:t>
      </w:r>
      <w:r w:rsidR="00F22C09" w:rsidRPr="00A774E3">
        <w:rPr>
          <w:rFonts w:ascii="Times New Roman" w:hAnsi="Times New Roman" w:cs="Times New Roman"/>
          <w:bCs/>
        </w:rPr>
        <w:t>WGJ-</w:t>
      </w:r>
      <w:r w:rsidR="00F23840">
        <w:rPr>
          <w:rFonts w:ascii="Times New Roman" w:hAnsi="Times New Roman" w:cs="Times New Roman"/>
          <w:bCs/>
        </w:rPr>
        <w:t>7</w:t>
      </w:r>
      <w:r w:rsidR="00F22C09" w:rsidRPr="00A774E3">
        <w:rPr>
          <w:rFonts w:ascii="Times New Roman" w:hAnsi="Times New Roman" w:cs="Times New Roman"/>
          <w:bCs/>
        </w:rPr>
        <w:t>).</w:t>
      </w:r>
    </w:p>
    <w:p w:rsidR="00BE21E7" w:rsidRPr="00BE21E7" w:rsidRDefault="00A55DD3" w:rsidP="00BE21E7">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 xml:space="preserve">Are </w:t>
      </w:r>
      <w:r w:rsidR="00876525">
        <w:rPr>
          <w:rFonts w:ascii="Times New Roman" w:hAnsi="Times New Roman" w:cs="Times New Roman"/>
          <w:b/>
          <w:bCs/>
        </w:rPr>
        <w:t xml:space="preserve">there </w:t>
      </w:r>
      <w:proofErr w:type="gramStart"/>
      <w:r>
        <w:rPr>
          <w:rFonts w:ascii="Times New Roman" w:hAnsi="Times New Roman" w:cs="Times New Roman"/>
          <w:b/>
          <w:bCs/>
        </w:rPr>
        <w:t>other</w:t>
      </w:r>
      <w:proofErr w:type="gramEnd"/>
      <w:r>
        <w:rPr>
          <w:rFonts w:ascii="Times New Roman" w:hAnsi="Times New Roman" w:cs="Times New Roman"/>
          <w:b/>
          <w:bCs/>
        </w:rPr>
        <w:t xml:space="preserve"> C</w:t>
      </w:r>
      <w:r w:rsidR="00BE21E7" w:rsidRPr="00BE21E7">
        <w:rPr>
          <w:rFonts w:ascii="Times New Roman" w:hAnsi="Times New Roman" w:cs="Times New Roman"/>
          <w:b/>
          <w:bCs/>
        </w:rPr>
        <w:t>ompany witnesses providing testimony regarding issues you are addressing?</w:t>
      </w:r>
    </w:p>
    <w:p w:rsidR="000945E1" w:rsidRPr="000945E1" w:rsidRDefault="00BE21E7" w:rsidP="000945E1">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Yes.  Company witness Mr. Kalich provides detailed testimony on the AURORA model used by the Company to develop short-term power purchase expense, fuel expense and short-term power sales re</w:t>
      </w:r>
      <w:r w:rsidR="00C162D3">
        <w:rPr>
          <w:rFonts w:ascii="Times New Roman" w:hAnsi="Times New Roman" w:cs="Times New Roman"/>
        </w:rPr>
        <w:t>venue included in my exhibits.</w:t>
      </w:r>
      <w:r w:rsidR="006B05D4">
        <w:rPr>
          <w:rFonts w:ascii="Times New Roman" w:hAnsi="Times New Roman" w:cs="Times New Roman"/>
        </w:rPr>
        <w:t xml:space="preserve">  </w:t>
      </w:r>
      <w:r w:rsidR="006B05D4" w:rsidRPr="00BE21E7">
        <w:rPr>
          <w:rFonts w:ascii="Times New Roman" w:hAnsi="Times New Roman" w:cs="Times New Roman"/>
        </w:rPr>
        <w:t>Company witness M</w:t>
      </w:r>
      <w:r w:rsidR="006B05D4">
        <w:rPr>
          <w:rFonts w:ascii="Times New Roman" w:hAnsi="Times New Roman" w:cs="Times New Roman"/>
        </w:rPr>
        <w:t>s. Knox provides details supporting the proposed Retail Revenue Credit rate.</w:t>
      </w:r>
    </w:p>
    <w:p w:rsidR="00BE21E7" w:rsidRPr="0045060B" w:rsidRDefault="00BE21E7" w:rsidP="00BE21E7">
      <w:pPr>
        <w:pStyle w:val="TestBody"/>
        <w:spacing w:line="480" w:lineRule="auto"/>
        <w:ind w:left="0" w:firstLine="0"/>
        <w:jc w:val="center"/>
        <w:rPr>
          <w:rFonts w:ascii="Times New Roman" w:hAnsi="Times New Roman" w:cs="Times New Roman"/>
          <w:b/>
          <w:bCs/>
          <w:u w:val="single"/>
        </w:rPr>
      </w:pPr>
      <w:r w:rsidRPr="0045060B">
        <w:rPr>
          <w:rFonts w:ascii="Times New Roman" w:hAnsi="Times New Roman" w:cs="Times New Roman"/>
          <w:b/>
          <w:bCs/>
          <w:u w:val="single"/>
        </w:rPr>
        <w:lastRenderedPageBreak/>
        <w:t>II</w:t>
      </w:r>
      <w:proofErr w:type="gramStart"/>
      <w:r w:rsidRPr="0045060B">
        <w:rPr>
          <w:rFonts w:ascii="Times New Roman" w:hAnsi="Times New Roman" w:cs="Times New Roman"/>
          <w:b/>
          <w:bCs/>
          <w:u w:val="single"/>
        </w:rPr>
        <w:t>.</w:t>
      </w:r>
      <w:r w:rsidR="00274C65">
        <w:rPr>
          <w:rFonts w:ascii="Times New Roman" w:hAnsi="Times New Roman" w:cs="Times New Roman"/>
          <w:b/>
          <w:bCs/>
          <w:u w:val="single"/>
        </w:rPr>
        <w:t xml:space="preserve">  </w:t>
      </w:r>
      <w:r w:rsidRPr="0045060B">
        <w:rPr>
          <w:rFonts w:ascii="Times New Roman" w:hAnsi="Times New Roman" w:cs="Times New Roman"/>
          <w:b/>
          <w:bCs/>
          <w:caps/>
          <w:u w:val="single"/>
        </w:rPr>
        <w:t>Overview</w:t>
      </w:r>
      <w:proofErr w:type="gramEnd"/>
      <w:r w:rsidRPr="0045060B">
        <w:rPr>
          <w:rFonts w:ascii="Times New Roman" w:hAnsi="Times New Roman" w:cs="Times New Roman"/>
          <w:b/>
          <w:bCs/>
          <w:caps/>
          <w:u w:val="single"/>
        </w:rPr>
        <w:t xml:space="preserve"> of Pro Forma </w:t>
      </w:r>
      <w:r w:rsidR="00431EB0" w:rsidRPr="0045060B">
        <w:rPr>
          <w:rFonts w:ascii="Times New Roman" w:hAnsi="Times New Roman" w:cs="Times New Roman"/>
          <w:b/>
          <w:bCs/>
          <w:caps/>
          <w:u w:val="single"/>
        </w:rPr>
        <w:t>POWER SUPPLY</w:t>
      </w:r>
      <w:r w:rsidRPr="0045060B">
        <w:rPr>
          <w:rFonts w:ascii="Times New Roman" w:hAnsi="Times New Roman" w:cs="Times New Roman"/>
          <w:b/>
          <w:bCs/>
          <w:caps/>
          <w:u w:val="single"/>
        </w:rPr>
        <w:t xml:space="preserve"> Adjustment</w:t>
      </w:r>
    </w:p>
    <w:p w:rsidR="00BE21E7" w:rsidRPr="00BE21E7" w:rsidRDefault="00BE21E7" w:rsidP="00BE21E7">
      <w:pPr>
        <w:pStyle w:val="TestBody"/>
        <w:numPr>
          <w:ilvl w:val="0"/>
          <w:numId w:val="2"/>
        </w:numPr>
        <w:tabs>
          <w:tab w:val="clear" w:pos="108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 xml:space="preserve">Please provide an overview of the pro forma </w:t>
      </w:r>
      <w:r w:rsidR="00431EB0">
        <w:rPr>
          <w:rFonts w:ascii="Times New Roman" w:hAnsi="Times New Roman" w:cs="Times New Roman"/>
          <w:b/>
          <w:bCs/>
        </w:rPr>
        <w:t>power supply</w:t>
      </w:r>
      <w:r w:rsidRPr="00BE21E7">
        <w:rPr>
          <w:rFonts w:ascii="Times New Roman" w:hAnsi="Times New Roman" w:cs="Times New Roman"/>
          <w:b/>
          <w:bCs/>
        </w:rPr>
        <w:t xml:space="preserve"> adjustment.</w:t>
      </w:r>
    </w:p>
    <w:p w:rsidR="00BE21E7" w:rsidRPr="00BE21E7" w:rsidRDefault="00BE21E7" w:rsidP="00BE21E7">
      <w:pPr>
        <w:pStyle w:val="TestBody"/>
        <w:numPr>
          <w:ilvl w:val="0"/>
          <w:numId w:val="3"/>
        </w:numPr>
        <w:tabs>
          <w:tab w:val="clear" w:pos="2160"/>
          <w:tab w:val="num" w:pos="0"/>
        </w:tabs>
        <w:spacing w:line="480" w:lineRule="auto"/>
        <w:ind w:left="0" w:firstLine="720"/>
        <w:rPr>
          <w:rFonts w:ascii="Times New Roman" w:hAnsi="Times New Roman" w:cs="Times New Roman"/>
        </w:rPr>
      </w:pPr>
      <w:r w:rsidRPr="00BE21E7">
        <w:rPr>
          <w:rFonts w:ascii="Times New Roman" w:hAnsi="Times New Roman" w:cs="Times New Roman"/>
        </w:rPr>
        <w:t xml:space="preserve">The pro forma </w:t>
      </w:r>
      <w:r w:rsidR="00431EB0" w:rsidRPr="00BE21E7">
        <w:rPr>
          <w:rFonts w:ascii="Times New Roman" w:hAnsi="Times New Roman" w:cs="Times New Roman"/>
        </w:rPr>
        <w:t xml:space="preserve">power supply </w:t>
      </w:r>
      <w:r w:rsidRPr="00BE21E7">
        <w:rPr>
          <w:rFonts w:ascii="Times New Roman" w:hAnsi="Times New Roman" w:cs="Times New Roman"/>
        </w:rPr>
        <w:t xml:space="preserve">adjustment involves the determination of revenues and expenses based on the generation and dispatch of Company resources and expected wholesale market power prices as determined by the AURORA model simulation for the pro forma period under normal weather and hydro generation conditions.  In addition, adjustments are made to reflect contract changes between </w:t>
      </w:r>
      <w:r w:rsidR="00431EB0">
        <w:rPr>
          <w:rFonts w:ascii="Times New Roman" w:hAnsi="Times New Roman" w:cs="Times New Roman"/>
        </w:rPr>
        <w:t xml:space="preserve">the </w:t>
      </w:r>
      <w:r w:rsidR="00C162D3">
        <w:rPr>
          <w:rFonts w:ascii="Times New Roman" w:hAnsi="Times New Roman" w:cs="Times New Roman"/>
        </w:rPr>
        <w:t xml:space="preserve">historical </w:t>
      </w:r>
      <w:r w:rsidRPr="00BE21E7">
        <w:rPr>
          <w:rFonts w:ascii="Times New Roman" w:hAnsi="Times New Roman" w:cs="Times New Roman"/>
        </w:rPr>
        <w:t>test period and the pro forma period.  The table below shows total net power supply expense during the test period and the pro forma period.  For information purposes only, the power supply expense</w:t>
      </w:r>
      <w:r w:rsidR="00431EB0">
        <w:rPr>
          <w:rStyle w:val="FootnoteReference"/>
          <w:rFonts w:ascii="Times New Roman" w:hAnsi="Times New Roman"/>
        </w:rPr>
        <w:footnoteReference w:id="2"/>
      </w:r>
      <w:r w:rsidR="004F758B">
        <w:rPr>
          <w:rFonts w:ascii="Times New Roman" w:hAnsi="Times New Roman" w:cs="Times New Roman"/>
        </w:rPr>
        <w:t xml:space="preserve"> </w:t>
      </w:r>
      <w:r w:rsidRPr="00BE21E7">
        <w:rPr>
          <w:rFonts w:ascii="Times New Roman" w:hAnsi="Times New Roman" w:cs="Times New Roman"/>
        </w:rPr>
        <w:t xml:space="preserve">currently in </w:t>
      </w:r>
      <w:r w:rsidR="00C026FD">
        <w:rPr>
          <w:rFonts w:ascii="Times New Roman" w:hAnsi="Times New Roman" w:cs="Times New Roman"/>
        </w:rPr>
        <w:t xml:space="preserve">base retail </w:t>
      </w:r>
      <w:proofErr w:type="gramStart"/>
      <w:r w:rsidR="006D5BF7">
        <w:rPr>
          <w:rFonts w:ascii="Times New Roman" w:hAnsi="Times New Roman" w:cs="Times New Roman"/>
        </w:rPr>
        <w:t>rates, which</w:t>
      </w:r>
      <w:r w:rsidRPr="00BE21E7">
        <w:rPr>
          <w:rFonts w:ascii="Times New Roman" w:hAnsi="Times New Roman" w:cs="Times New Roman"/>
        </w:rPr>
        <w:t xml:space="preserve"> is</w:t>
      </w:r>
      <w:proofErr w:type="gramEnd"/>
      <w:r w:rsidRPr="00BE21E7">
        <w:rPr>
          <w:rFonts w:ascii="Times New Roman" w:hAnsi="Times New Roman" w:cs="Times New Roman"/>
        </w:rPr>
        <w:t xml:space="preserve"> based on a calendar 20</w:t>
      </w:r>
      <w:r w:rsidR="00876525">
        <w:rPr>
          <w:rFonts w:ascii="Times New Roman" w:hAnsi="Times New Roman" w:cs="Times New Roman"/>
        </w:rPr>
        <w:t>1</w:t>
      </w:r>
      <w:r w:rsidR="00CF4DB1">
        <w:rPr>
          <w:rFonts w:ascii="Times New Roman" w:hAnsi="Times New Roman" w:cs="Times New Roman"/>
        </w:rPr>
        <w:t>3</w:t>
      </w:r>
      <w:r w:rsidRPr="00BE21E7">
        <w:rPr>
          <w:rFonts w:ascii="Times New Roman" w:hAnsi="Times New Roman" w:cs="Times New Roman"/>
        </w:rPr>
        <w:t xml:space="preserve"> pro forma period, is also shown.</w:t>
      </w:r>
    </w:p>
    <w:p w:rsidR="00BE21E7" w:rsidRPr="00C03549" w:rsidRDefault="00C55E1F" w:rsidP="0072665A">
      <w:pPr>
        <w:pStyle w:val="TestBody"/>
        <w:spacing w:line="480" w:lineRule="auto"/>
        <w:ind w:left="0" w:firstLine="0"/>
        <w:rPr>
          <w:rFonts w:ascii="Times New Roman" w:hAnsi="Times New Roman" w:cs="Times New Roman"/>
        </w:rPr>
      </w:pPr>
      <w:r w:rsidRPr="00C55E1F">
        <w:rPr>
          <w:noProof/>
        </w:rPr>
        <w:drawing>
          <wp:anchor distT="0" distB="0" distL="114300" distR="114300" simplePos="0" relativeHeight="251658240" behindDoc="1" locked="0" layoutInCell="1" allowOverlap="1">
            <wp:simplePos x="0" y="0"/>
            <wp:positionH relativeFrom="column">
              <wp:posOffset>335280</wp:posOffset>
            </wp:positionH>
            <wp:positionV relativeFrom="paragraph">
              <wp:posOffset>0</wp:posOffset>
            </wp:positionV>
            <wp:extent cx="5461000" cy="2162175"/>
            <wp:effectExtent l="1905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461000" cy="2162175"/>
                    </a:xfrm>
                    <a:prstGeom prst="rect">
                      <a:avLst/>
                    </a:prstGeom>
                    <a:noFill/>
                    <a:ln w="9525">
                      <a:noFill/>
                      <a:miter lim="800000"/>
                      <a:headEnd/>
                      <a:tailEnd/>
                    </a:ln>
                  </pic:spPr>
                </pic:pic>
              </a:graphicData>
            </a:graphic>
          </wp:anchor>
        </w:drawing>
      </w:r>
    </w:p>
    <w:p w:rsidR="000945E1" w:rsidRDefault="000945E1" w:rsidP="008A45E4">
      <w:pPr>
        <w:pStyle w:val="TestBody"/>
        <w:spacing w:line="480" w:lineRule="auto"/>
        <w:ind w:left="0" w:firstLine="720"/>
        <w:rPr>
          <w:rFonts w:ascii="Times New Roman" w:hAnsi="Times New Roman" w:cs="Times New Roman"/>
        </w:rPr>
      </w:pPr>
    </w:p>
    <w:p w:rsidR="000945E1" w:rsidRDefault="000945E1" w:rsidP="008A45E4">
      <w:pPr>
        <w:pStyle w:val="TestBody"/>
        <w:spacing w:line="480" w:lineRule="auto"/>
        <w:ind w:left="0" w:firstLine="720"/>
        <w:rPr>
          <w:rFonts w:ascii="Times New Roman" w:hAnsi="Times New Roman" w:cs="Times New Roman"/>
        </w:rPr>
      </w:pPr>
    </w:p>
    <w:p w:rsidR="000945E1" w:rsidRDefault="000945E1" w:rsidP="008A45E4">
      <w:pPr>
        <w:pStyle w:val="TestBody"/>
        <w:spacing w:line="480" w:lineRule="auto"/>
        <w:ind w:left="0" w:firstLine="720"/>
        <w:rPr>
          <w:rFonts w:ascii="Times New Roman" w:hAnsi="Times New Roman" w:cs="Times New Roman"/>
        </w:rPr>
      </w:pPr>
    </w:p>
    <w:p w:rsidR="000945E1" w:rsidRDefault="000945E1" w:rsidP="008A45E4">
      <w:pPr>
        <w:pStyle w:val="TestBody"/>
        <w:spacing w:line="480" w:lineRule="auto"/>
        <w:ind w:left="0" w:firstLine="720"/>
        <w:rPr>
          <w:rFonts w:ascii="Times New Roman" w:hAnsi="Times New Roman" w:cs="Times New Roman"/>
        </w:rPr>
      </w:pPr>
    </w:p>
    <w:p w:rsidR="000945E1" w:rsidRDefault="000945E1" w:rsidP="008A45E4">
      <w:pPr>
        <w:pStyle w:val="TestBody"/>
        <w:spacing w:line="480" w:lineRule="auto"/>
        <w:ind w:left="0" w:firstLine="720"/>
        <w:rPr>
          <w:rFonts w:ascii="Times New Roman" w:hAnsi="Times New Roman" w:cs="Times New Roman"/>
        </w:rPr>
      </w:pPr>
    </w:p>
    <w:p w:rsidR="000945E1" w:rsidRDefault="000945E1" w:rsidP="008A45E4">
      <w:pPr>
        <w:pStyle w:val="TestBody"/>
        <w:spacing w:line="480" w:lineRule="auto"/>
        <w:ind w:left="0" w:firstLine="720"/>
        <w:rPr>
          <w:rFonts w:ascii="Times New Roman" w:hAnsi="Times New Roman" w:cs="Times New Roman"/>
        </w:rPr>
      </w:pPr>
    </w:p>
    <w:p w:rsidR="00BE21E7" w:rsidRPr="00BE21E7" w:rsidRDefault="00BE21E7" w:rsidP="008A45E4">
      <w:pPr>
        <w:pStyle w:val="TestBody"/>
        <w:spacing w:line="480" w:lineRule="auto"/>
        <w:ind w:left="0" w:firstLine="720"/>
        <w:rPr>
          <w:rFonts w:ascii="Times New Roman" w:hAnsi="Times New Roman" w:cs="Times New Roman"/>
        </w:rPr>
      </w:pPr>
      <w:r w:rsidRPr="00BE21E7">
        <w:rPr>
          <w:rFonts w:ascii="Times New Roman" w:hAnsi="Times New Roman" w:cs="Times New Roman"/>
        </w:rPr>
        <w:t xml:space="preserve">The net effect of my adjustments to the test year power supply expense is </w:t>
      </w:r>
      <w:r w:rsidR="00DB55EE">
        <w:rPr>
          <w:rFonts w:ascii="Times New Roman" w:hAnsi="Times New Roman" w:cs="Times New Roman"/>
        </w:rPr>
        <w:t>a decrease</w:t>
      </w:r>
      <w:r w:rsidRPr="00BE21E7">
        <w:rPr>
          <w:rFonts w:ascii="Times New Roman" w:hAnsi="Times New Roman" w:cs="Times New Roman"/>
        </w:rPr>
        <w:t xml:space="preserve"> of </w:t>
      </w:r>
      <w:r w:rsidRPr="0072665A">
        <w:rPr>
          <w:rFonts w:ascii="Times New Roman" w:hAnsi="Times New Roman" w:cs="Times New Roman"/>
        </w:rPr>
        <w:t>$</w:t>
      </w:r>
      <w:r w:rsidR="00E35276">
        <w:rPr>
          <w:rFonts w:ascii="Times New Roman" w:hAnsi="Times New Roman" w:cs="Times New Roman"/>
        </w:rPr>
        <w:t>21,</w:t>
      </w:r>
      <w:r w:rsidR="00C55E1F">
        <w:rPr>
          <w:rFonts w:ascii="Times New Roman" w:hAnsi="Times New Roman" w:cs="Times New Roman"/>
        </w:rPr>
        <w:t>568</w:t>
      </w:r>
      <w:r w:rsidR="0072665A" w:rsidRPr="0072665A">
        <w:rPr>
          <w:rFonts w:ascii="Times New Roman" w:hAnsi="Times New Roman" w:cs="Times New Roman"/>
        </w:rPr>
        <w:t>,00</w:t>
      </w:r>
      <w:r w:rsidRPr="0072665A">
        <w:rPr>
          <w:rFonts w:ascii="Times New Roman" w:hAnsi="Times New Roman" w:cs="Times New Roman"/>
        </w:rPr>
        <w:t>0 ($</w:t>
      </w:r>
      <w:r w:rsidR="00E35276">
        <w:rPr>
          <w:rFonts w:ascii="Times New Roman" w:hAnsi="Times New Roman" w:cs="Times New Roman"/>
        </w:rPr>
        <w:t>178,</w:t>
      </w:r>
      <w:r w:rsidR="00C55E1F">
        <w:rPr>
          <w:rFonts w:ascii="Times New Roman" w:hAnsi="Times New Roman" w:cs="Times New Roman"/>
        </w:rPr>
        <w:t>835</w:t>
      </w:r>
      <w:r w:rsidR="00DB55EE">
        <w:rPr>
          <w:rFonts w:ascii="Times New Roman" w:hAnsi="Times New Roman" w:cs="Times New Roman"/>
        </w:rPr>
        <w:t>,000</w:t>
      </w:r>
      <w:r w:rsidRPr="0072665A">
        <w:rPr>
          <w:rFonts w:ascii="Times New Roman" w:hAnsi="Times New Roman" w:cs="Times New Roman"/>
        </w:rPr>
        <w:t xml:space="preserve"> - $</w:t>
      </w:r>
      <w:r w:rsidR="00DB55EE">
        <w:rPr>
          <w:rFonts w:ascii="Times New Roman" w:hAnsi="Times New Roman" w:cs="Times New Roman"/>
        </w:rPr>
        <w:t>20</w:t>
      </w:r>
      <w:r w:rsidR="00E35276">
        <w:rPr>
          <w:rFonts w:ascii="Times New Roman" w:hAnsi="Times New Roman" w:cs="Times New Roman"/>
        </w:rPr>
        <w:t>0</w:t>
      </w:r>
      <w:r w:rsidR="00DB55EE">
        <w:rPr>
          <w:rFonts w:ascii="Times New Roman" w:hAnsi="Times New Roman" w:cs="Times New Roman"/>
        </w:rPr>
        <w:t>,</w:t>
      </w:r>
      <w:r w:rsidR="00E35276">
        <w:rPr>
          <w:rFonts w:ascii="Times New Roman" w:hAnsi="Times New Roman" w:cs="Times New Roman"/>
        </w:rPr>
        <w:t>403</w:t>
      </w:r>
      <w:r w:rsidRPr="0072665A">
        <w:rPr>
          <w:rFonts w:ascii="Times New Roman" w:hAnsi="Times New Roman" w:cs="Times New Roman"/>
        </w:rPr>
        <w:t>,000)</w:t>
      </w:r>
      <w:r w:rsidR="00407CC1">
        <w:rPr>
          <w:rFonts w:ascii="Times New Roman" w:hAnsi="Times New Roman" w:cs="Times New Roman"/>
        </w:rPr>
        <w:t xml:space="preserve"> on a system basis</w:t>
      </w:r>
      <w:r w:rsidR="00C55E1F">
        <w:rPr>
          <w:rFonts w:ascii="Times New Roman" w:hAnsi="Times New Roman" w:cs="Times New Roman"/>
        </w:rPr>
        <w:t xml:space="preserve"> and $14,021,357 Washington allocation</w:t>
      </w:r>
      <w:r w:rsidRPr="00BE21E7">
        <w:rPr>
          <w:rFonts w:ascii="Times New Roman" w:hAnsi="Times New Roman" w:cs="Times New Roman"/>
        </w:rPr>
        <w:t xml:space="preserve">. The </w:t>
      </w:r>
      <w:r w:rsidR="00DB55EE">
        <w:rPr>
          <w:rFonts w:ascii="Times New Roman" w:hAnsi="Times New Roman" w:cs="Times New Roman"/>
        </w:rPr>
        <w:t>decrease</w:t>
      </w:r>
      <w:r w:rsidRPr="00BE21E7">
        <w:rPr>
          <w:rFonts w:ascii="Times New Roman" w:hAnsi="Times New Roman" w:cs="Times New Roman"/>
        </w:rPr>
        <w:t xml:space="preserve"> in power supply expense compared to the </w:t>
      </w:r>
      <w:r w:rsidR="00431EB0">
        <w:rPr>
          <w:rFonts w:ascii="Times New Roman" w:hAnsi="Times New Roman" w:cs="Times New Roman"/>
        </w:rPr>
        <w:t>authorized</w:t>
      </w:r>
      <w:r w:rsidRPr="00BE21E7">
        <w:rPr>
          <w:rFonts w:ascii="Times New Roman" w:hAnsi="Times New Roman" w:cs="Times New Roman"/>
        </w:rPr>
        <w:t xml:space="preserve"> level in current base rates </w:t>
      </w:r>
      <w:r w:rsidR="00200197">
        <w:rPr>
          <w:rFonts w:ascii="Times New Roman" w:hAnsi="Times New Roman" w:cs="Times New Roman"/>
        </w:rPr>
        <w:t>is</w:t>
      </w:r>
      <w:r w:rsidRPr="00BE21E7">
        <w:rPr>
          <w:rFonts w:ascii="Times New Roman" w:hAnsi="Times New Roman" w:cs="Times New Roman"/>
        </w:rPr>
        <w:t xml:space="preserve"> </w:t>
      </w:r>
      <w:r w:rsidRPr="0072665A">
        <w:rPr>
          <w:rFonts w:ascii="Times New Roman" w:hAnsi="Times New Roman" w:cs="Times New Roman"/>
        </w:rPr>
        <w:t>$</w:t>
      </w:r>
      <w:r w:rsidR="00C55E1F">
        <w:rPr>
          <w:rFonts w:ascii="Times New Roman" w:hAnsi="Times New Roman" w:cs="Times New Roman"/>
        </w:rPr>
        <w:t>9</w:t>
      </w:r>
      <w:r w:rsidRPr="0072665A">
        <w:rPr>
          <w:rFonts w:ascii="Times New Roman" w:hAnsi="Times New Roman" w:cs="Times New Roman"/>
        </w:rPr>
        <w:t>,</w:t>
      </w:r>
      <w:r w:rsidR="00C55E1F">
        <w:rPr>
          <w:rFonts w:ascii="Times New Roman" w:hAnsi="Times New Roman" w:cs="Times New Roman"/>
        </w:rPr>
        <w:t>936</w:t>
      </w:r>
      <w:r w:rsidR="00D83B3A">
        <w:rPr>
          <w:rFonts w:ascii="Times New Roman" w:hAnsi="Times New Roman" w:cs="Times New Roman"/>
        </w:rPr>
        <w:t>,00</w:t>
      </w:r>
      <w:r w:rsidR="00817F2D">
        <w:rPr>
          <w:rFonts w:ascii="Times New Roman" w:hAnsi="Times New Roman" w:cs="Times New Roman"/>
        </w:rPr>
        <w:t>0</w:t>
      </w:r>
      <w:r w:rsidRPr="0072665A">
        <w:rPr>
          <w:rFonts w:ascii="Times New Roman" w:hAnsi="Times New Roman" w:cs="Times New Roman"/>
        </w:rPr>
        <w:t xml:space="preserve"> (system) and </w:t>
      </w:r>
      <w:r w:rsidRPr="008A35A7">
        <w:rPr>
          <w:rFonts w:ascii="Times New Roman" w:hAnsi="Times New Roman" w:cs="Times New Roman"/>
        </w:rPr>
        <w:t>$</w:t>
      </w:r>
      <w:r w:rsidR="00C55E1F">
        <w:rPr>
          <w:rFonts w:ascii="Times New Roman" w:hAnsi="Times New Roman" w:cs="Times New Roman"/>
        </w:rPr>
        <w:t>6</w:t>
      </w:r>
      <w:r w:rsidR="00D83B3A">
        <w:rPr>
          <w:rFonts w:ascii="Times New Roman" w:hAnsi="Times New Roman" w:cs="Times New Roman"/>
        </w:rPr>
        <w:t>,</w:t>
      </w:r>
      <w:r w:rsidR="00C55E1F">
        <w:rPr>
          <w:rFonts w:ascii="Times New Roman" w:hAnsi="Times New Roman" w:cs="Times New Roman"/>
        </w:rPr>
        <w:t>459</w:t>
      </w:r>
      <w:r w:rsidR="00D83B3A">
        <w:rPr>
          <w:rFonts w:ascii="Times New Roman" w:hAnsi="Times New Roman" w:cs="Times New Roman"/>
        </w:rPr>
        <w:t>,</w:t>
      </w:r>
      <w:r w:rsidR="00C55E1F">
        <w:rPr>
          <w:rFonts w:ascii="Times New Roman" w:hAnsi="Times New Roman" w:cs="Times New Roman"/>
        </w:rPr>
        <w:t>394</w:t>
      </w:r>
      <w:r w:rsidR="00200197">
        <w:rPr>
          <w:rFonts w:ascii="Times New Roman" w:hAnsi="Times New Roman" w:cs="Times New Roman"/>
        </w:rPr>
        <w:t xml:space="preserve"> (Washington allocation).  </w:t>
      </w:r>
    </w:p>
    <w:p w:rsidR="00BE21E7" w:rsidRPr="00BE21E7" w:rsidRDefault="000A2769" w:rsidP="00BE21E7">
      <w:pPr>
        <w:pStyle w:val="TestBody"/>
        <w:numPr>
          <w:ilvl w:val="0"/>
          <w:numId w:val="10"/>
        </w:numPr>
        <w:tabs>
          <w:tab w:val="clear" w:pos="720"/>
          <w:tab w:val="num" w:pos="0"/>
        </w:tabs>
        <w:spacing w:line="480" w:lineRule="auto"/>
        <w:ind w:left="0" w:firstLine="720"/>
        <w:rPr>
          <w:rFonts w:ascii="Times New Roman" w:hAnsi="Times New Roman" w:cs="Times New Roman"/>
          <w:b/>
          <w:bCs/>
        </w:rPr>
      </w:pPr>
      <w:r>
        <w:rPr>
          <w:rFonts w:ascii="Times New Roman" w:hAnsi="Times New Roman" w:cs="Times New Roman"/>
          <w:b/>
          <w:bCs/>
        </w:rPr>
        <w:lastRenderedPageBreak/>
        <w:t xml:space="preserve">Why is the </w:t>
      </w:r>
      <w:r w:rsidR="008A45E4">
        <w:rPr>
          <w:rFonts w:ascii="Times New Roman" w:hAnsi="Times New Roman" w:cs="Times New Roman"/>
          <w:b/>
          <w:bCs/>
        </w:rPr>
        <w:t>power supply expense for</w:t>
      </w:r>
      <w:r w:rsidR="00BE21E7" w:rsidRPr="00BE21E7">
        <w:rPr>
          <w:rFonts w:ascii="Times New Roman" w:hAnsi="Times New Roman" w:cs="Times New Roman"/>
          <w:b/>
          <w:bCs/>
        </w:rPr>
        <w:t xml:space="preserve"> the pro forma year </w:t>
      </w:r>
      <w:r w:rsidR="008A45E4">
        <w:rPr>
          <w:rFonts w:ascii="Times New Roman" w:hAnsi="Times New Roman" w:cs="Times New Roman"/>
          <w:b/>
          <w:bCs/>
        </w:rPr>
        <w:t>lower than</w:t>
      </w:r>
      <w:r>
        <w:rPr>
          <w:rFonts w:ascii="Times New Roman" w:hAnsi="Times New Roman" w:cs="Times New Roman"/>
          <w:b/>
          <w:bCs/>
        </w:rPr>
        <w:t xml:space="preserve"> </w:t>
      </w:r>
      <w:r w:rsidR="00BE21E7" w:rsidRPr="00BE21E7">
        <w:rPr>
          <w:rFonts w:ascii="Times New Roman" w:hAnsi="Times New Roman" w:cs="Times New Roman"/>
          <w:b/>
          <w:bCs/>
        </w:rPr>
        <w:t>the level of power supply expense currently in base rates?</w:t>
      </w:r>
    </w:p>
    <w:p w:rsidR="00CF4DB1" w:rsidRDefault="008A35A7" w:rsidP="008A35A7">
      <w:pPr>
        <w:pStyle w:val="TestBody"/>
        <w:tabs>
          <w:tab w:val="num" w:pos="720"/>
        </w:tabs>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The de</w:t>
      </w:r>
      <w:r w:rsidR="00BE21E7" w:rsidRPr="00BE21E7">
        <w:rPr>
          <w:rFonts w:ascii="Times New Roman" w:hAnsi="Times New Roman" w:cs="Times New Roman"/>
        </w:rPr>
        <w:t xml:space="preserve">crease in pro forma power supply expense </w:t>
      </w:r>
      <w:r w:rsidR="000A2769">
        <w:rPr>
          <w:rFonts w:ascii="Times New Roman" w:hAnsi="Times New Roman" w:cs="Times New Roman"/>
        </w:rPr>
        <w:t>from</w:t>
      </w:r>
      <w:r w:rsidR="00BE21E7" w:rsidRPr="00BE21E7">
        <w:rPr>
          <w:rFonts w:ascii="Times New Roman" w:hAnsi="Times New Roman" w:cs="Times New Roman"/>
        </w:rPr>
        <w:t xml:space="preserve"> the expense currently in base rates is</w:t>
      </w:r>
      <w:r w:rsidR="001973DE">
        <w:rPr>
          <w:rFonts w:ascii="Times New Roman" w:hAnsi="Times New Roman" w:cs="Times New Roman"/>
        </w:rPr>
        <w:t xml:space="preserve"> primarily </w:t>
      </w:r>
      <w:r w:rsidR="00972518">
        <w:rPr>
          <w:rFonts w:ascii="Times New Roman" w:hAnsi="Times New Roman" w:cs="Times New Roman"/>
        </w:rPr>
        <w:t xml:space="preserve">a result of </w:t>
      </w:r>
      <w:r w:rsidR="004007BE">
        <w:rPr>
          <w:rFonts w:ascii="Times New Roman" w:hAnsi="Times New Roman" w:cs="Times New Roman"/>
        </w:rPr>
        <w:t xml:space="preserve">the </w:t>
      </w:r>
      <w:r w:rsidR="00EE7C43">
        <w:rPr>
          <w:rFonts w:ascii="Times New Roman" w:hAnsi="Times New Roman" w:cs="Times New Roman"/>
        </w:rPr>
        <w:t>Portland General Electric</w:t>
      </w:r>
      <w:r w:rsidR="004007BE">
        <w:rPr>
          <w:rFonts w:ascii="Times New Roman" w:hAnsi="Times New Roman" w:cs="Times New Roman"/>
        </w:rPr>
        <w:t xml:space="preserve"> </w:t>
      </w:r>
      <w:r w:rsidR="00CF4DB1">
        <w:rPr>
          <w:rFonts w:ascii="Times New Roman" w:hAnsi="Times New Roman" w:cs="Times New Roman"/>
        </w:rPr>
        <w:t xml:space="preserve">(PGE) </w:t>
      </w:r>
      <w:r w:rsidR="00EE7C43">
        <w:rPr>
          <w:rFonts w:ascii="Times New Roman" w:hAnsi="Times New Roman" w:cs="Times New Roman"/>
        </w:rPr>
        <w:t>c</w:t>
      </w:r>
      <w:r w:rsidR="004007BE">
        <w:rPr>
          <w:rFonts w:ascii="Times New Roman" w:hAnsi="Times New Roman" w:cs="Times New Roman"/>
        </w:rPr>
        <w:t xml:space="preserve">apacity </w:t>
      </w:r>
      <w:r w:rsidR="00EE7C43">
        <w:rPr>
          <w:rFonts w:ascii="Times New Roman" w:hAnsi="Times New Roman" w:cs="Times New Roman"/>
        </w:rPr>
        <w:t>c</w:t>
      </w:r>
      <w:r w:rsidR="004007BE">
        <w:rPr>
          <w:rFonts w:ascii="Times New Roman" w:hAnsi="Times New Roman" w:cs="Times New Roman"/>
        </w:rPr>
        <w:t>ontract</w:t>
      </w:r>
      <w:r w:rsidR="00EE7C43">
        <w:rPr>
          <w:rFonts w:ascii="Times New Roman" w:hAnsi="Times New Roman" w:cs="Times New Roman"/>
        </w:rPr>
        <w:t xml:space="preserve"> (</w:t>
      </w:r>
      <w:proofErr w:type="spellStart"/>
      <w:r w:rsidR="00EE7C43">
        <w:rPr>
          <w:rFonts w:ascii="Times New Roman" w:hAnsi="Times New Roman" w:cs="Times New Roman"/>
        </w:rPr>
        <w:t>Peaker</w:t>
      </w:r>
      <w:proofErr w:type="spellEnd"/>
      <w:r w:rsidR="00EE7C43">
        <w:rPr>
          <w:rFonts w:ascii="Times New Roman" w:hAnsi="Times New Roman" w:cs="Times New Roman"/>
        </w:rPr>
        <w:t xml:space="preserve"> Capacity)</w:t>
      </w:r>
      <w:r w:rsidR="004007BE">
        <w:rPr>
          <w:rFonts w:ascii="Times New Roman" w:hAnsi="Times New Roman" w:cs="Times New Roman"/>
        </w:rPr>
        <w:t xml:space="preserve"> revenue</w:t>
      </w:r>
      <w:r w:rsidR="00BE21E7" w:rsidRPr="00BE21E7">
        <w:rPr>
          <w:rFonts w:ascii="Times New Roman" w:hAnsi="Times New Roman" w:cs="Times New Roman"/>
        </w:rPr>
        <w:t>.</w:t>
      </w:r>
      <w:r w:rsidR="001973DE">
        <w:rPr>
          <w:rFonts w:ascii="Times New Roman" w:hAnsi="Times New Roman" w:cs="Times New Roman"/>
        </w:rPr>
        <w:t xml:space="preserve">  </w:t>
      </w:r>
      <w:r w:rsidR="004007BE">
        <w:rPr>
          <w:rFonts w:ascii="Times New Roman" w:hAnsi="Times New Roman" w:cs="Times New Roman"/>
        </w:rPr>
        <w:t xml:space="preserve">The </w:t>
      </w:r>
      <w:proofErr w:type="spellStart"/>
      <w:r w:rsidR="004007BE">
        <w:rPr>
          <w:rFonts w:ascii="Times New Roman" w:hAnsi="Times New Roman" w:cs="Times New Roman"/>
        </w:rPr>
        <w:t>Peaker</w:t>
      </w:r>
      <w:proofErr w:type="spellEnd"/>
      <w:r w:rsidR="004007BE">
        <w:rPr>
          <w:rFonts w:ascii="Times New Roman" w:hAnsi="Times New Roman" w:cs="Times New Roman"/>
        </w:rPr>
        <w:t xml:space="preserve"> Capacity contract revenue increases fro</w:t>
      </w:r>
      <w:r w:rsidR="00CF4DB1">
        <w:rPr>
          <w:rFonts w:ascii="Times New Roman" w:hAnsi="Times New Roman" w:cs="Times New Roman"/>
        </w:rPr>
        <w:t>m $1,750,181 in the test-year t</w:t>
      </w:r>
      <w:r w:rsidR="004007BE">
        <w:rPr>
          <w:rFonts w:ascii="Times New Roman" w:hAnsi="Times New Roman" w:cs="Times New Roman"/>
        </w:rPr>
        <w:t xml:space="preserve">o $17,734,955 in the pro forma.  </w:t>
      </w:r>
      <w:r w:rsidR="00EE7C43">
        <w:rPr>
          <w:rFonts w:ascii="Times New Roman" w:hAnsi="Times New Roman" w:cs="Times New Roman"/>
        </w:rPr>
        <w:t>The term of the PGE capacity sale agreement runs from November 1, 1992 to December 31, 2016</w:t>
      </w:r>
      <w:r w:rsidR="0025436C">
        <w:rPr>
          <w:rFonts w:ascii="Times New Roman" w:hAnsi="Times New Roman" w:cs="Times New Roman"/>
        </w:rPr>
        <w:t xml:space="preserve">.  </w:t>
      </w:r>
      <w:r w:rsidR="00EE7C43">
        <w:rPr>
          <w:rFonts w:ascii="Times New Roman" w:hAnsi="Times New Roman" w:cs="Times New Roman"/>
        </w:rPr>
        <w:t xml:space="preserve">In 1998 the Company monetized approximately 90% of the contract value each year for the period </w:t>
      </w:r>
      <w:r w:rsidR="00945390">
        <w:rPr>
          <w:rFonts w:ascii="Times New Roman" w:hAnsi="Times New Roman" w:cs="Times New Roman"/>
        </w:rPr>
        <w:t xml:space="preserve">January 1999 through January 31, 2015.  Through monetizing the majority </w:t>
      </w:r>
      <w:r w:rsidR="0025436C">
        <w:rPr>
          <w:rFonts w:ascii="Times New Roman" w:hAnsi="Times New Roman" w:cs="Times New Roman"/>
        </w:rPr>
        <w:t>of</w:t>
      </w:r>
      <w:r w:rsidR="00945390">
        <w:rPr>
          <w:rFonts w:ascii="Times New Roman" w:hAnsi="Times New Roman" w:cs="Times New Roman"/>
        </w:rPr>
        <w:t xml:space="preserve"> the value of this agreement, Avista received the cash up fro</w:t>
      </w:r>
      <w:r w:rsidR="0025436C">
        <w:rPr>
          <w:rFonts w:ascii="Times New Roman" w:hAnsi="Times New Roman" w:cs="Times New Roman"/>
        </w:rPr>
        <w:t>nt</w:t>
      </w:r>
      <w:r w:rsidR="00945390">
        <w:rPr>
          <w:rFonts w:ascii="Times New Roman" w:hAnsi="Times New Roman" w:cs="Times New Roman"/>
        </w:rPr>
        <w:t xml:space="preserve"> for the portion monetized.</w:t>
      </w:r>
      <w:r w:rsidR="001206CC">
        <w:rPr>
          <w:rStyle w:val="FootnoteReference"/>
          <w:rFonts w:ascii="Times New Roman" w:hAnsi="Times New Roman"/>
        </w:rPr>
        <w:footnoteReference w:id="3"/>
      </w:r>
      <w:r w:rsidR="00945390">
        <w:rPr>
          <w:rFonts w:ascii="Times New Roman" w:hAnsi="Times New Roman" w:cs="Times New Roman"/>
        </w:rPr>
        <w:t xml:space="preserve">  Avista did not monetize the last 23 months of the agreement from February 1, 2015 to December 31, 2016.  Therefore, beginning February 1, 2015 the Company will receive the full revenue from the original PGE capacity sale agreement.</w:t>
      </w:r>
    </w:p>
    <w:p w:rsidR="00AA2ED4" w:rsidRDefault="00FB6544" w:rsidP="00AA2ED4">
      <w:pPr>
        <w:pStyle w:val="BodyText"/>
        <w:spacing w:line="480" w:lineRule="auto"/>
        <w:ind w:firstLine="720"/>
        <w:jc w:val="both"/>
        <w:rPr>
          <w:b w:val="0"/>
        </w:rPr>
      </w:pPr>
      <w:r w:rsidRPr="00FB6544">
        <w:rPr>
          <w:b w:val="0"/>
        </w:rPr>
        <w:t>Pro forma loads</w:t>
      </w:r>
      <w:r w:rsidR="000A2769">
        <w:rPr>
          <w:b w:val="0"/>
        </w:rPr>
        <w:t xml:space="preserve"> (</w:t>
      </w:r>
      <w:r w:rsidR="00EA66E0">
        <w:rPr>
          <w:b w:val="0"/>
        </w:rPr>
        <w:t>July 2012 through June 2013</w:t>
      </w:r>
      <w:r w:rsidR="000A2769">
        <w:rPr>
          <w:b w:val="0"/>
        </w:rPr>
        <w:t xml:space="preserve"> weather adjusted load</w:t>
      </w:r>
      <w:r w:rsidR="007105B1">
        <w:rPr>
          <w:b w:val="0"/>
        </w:rPr>
        <w:t>s</w:t>
      </w:r>
      <w:r w:rsidR="000A2769">
        <w:rPr>
          <w:b w:val="0"/>
        </w:rPr>
        <w:t xml:space="preserve">) </w:t>
      </w:r>
      <w:r w:rsidRPr="00FB6544">
        <w:rPr>
          <w:b w:val="0"/>
        </w:rPr>
        <w:t xml:space="preserve">are </w:t>
      </w:r>
      <w:r w:rsidR="00C43FEC">
        <w:rPr>
          <w:b w:val="0"/>
        </w:rPr>
        <w:t>1046.6</w:t>
      </w:r>
      <w:r w:rsidRPr="00FB6544">
        <w:rPr>
          <w:b w:val="0"/>
        </w:rPr>
        <w:t xml:space="preserve"> </w:t>
      </w:r>
      <w:r w:rsidR="00876319">
        <w:rPr>
          <w:b w:val="0"/>
        </w:rPr>
        <w:t>average megawatts (</w:t>
      </w:r>
      <w:r w:rsidR="00C43FEC">
        <w:rPr>
          <w:b w:val="0"/>
        </w:rPr>
        <w:t>aMW</w:t>
      </w:r>
      <w:r w:rsidR="00876319" w:rsidRPr="00A9086B">
        <w:rPr>
          <w:b w:val="0"/>
          <w:i/>
        </w:rPr>
        <w:t>)</w:t>
      </w:r>
      <w:r w:rsidR="00A9086B">
        <w:rPr>
          <w:b w:val="0"/>
        </w:rPr>
        <w:t>.  This load includes actual weather adjusted test-year load of 1092.1 aMW less Clearwater Paper load of 48.3 aMW, plus Inland Empire Paper incremental load of 1.6</w:t>
      </w:r>
      <w:r w:rsidR="00836F27">
        <w:rPr>
          <w:b w:val="0"/>
        </w:rPr>
        <w:t xml:space="preserve"> </w:t>
      </w:r>
      <w:r w:rsidR="00BE36C6">
        <w:rPr>
          <w:b w:val="0"/>
        </w:rPr>
        <w:t>aMW, plus station service load of 1.2 aMW.</w:t>
      </w:r>
      <w:r w:rsidR="00A9086B">
        <w:rPr>
          <w:b w:val="0"/>
        </w:rPr>
        <w:t xml:space="preserve">  Clea</w:t>
      </w:r>
      <w:r w:rsidR="007A74A3">
        <w:rPr>
          <w:b w:val="0"/>
        </w:rPr>
        <w:t>r</w:t>
      </w:r>
      <w:r w:rsidR="00A9086B">
        <w:rPr>
          <w:b w:val="0"/>
        </w:rPr>
        <w:t xml:space="preserve">water Paper load </w:t>
      </w:r>
      <w:r w:rsidR="00BE36C6">
        <w:rPr>
          <w:b w:val="0"/>
        </w:rPr>
        <w:t xml:space="preserve">equal to their generation in </w:t>
      </w:r>
      <w:r w:rsidR="000945E1">
        <w:rPr>
          <w:b w:val="0"/>
        </w:rPr>
        <w:t xml:space="preserve">the </w:t>
      </w:r>
      <w:r w:rsidR="00BE36C6">
        <w:rPr>
          <w:b w:val="0"/>
        </w:rPr>
        <w:t xml:space="preserve">test-year </w:t>
      </w:r>
      <w:r w:rsidR="00A9086B">
        <w:rPr>
          <w:b w:val="0"/>
        </w:rPr>
        <w:t>was removed because</w:t>
      </w:r>
      <w:r w:rsidR="00FD6B49">
        <w:rPr>
          <w:b w:val="0"/>
        </w:rPr>
        <w:t>,</w:t>
      </w:r>
      <w:r w:rsidR="00A9086B">
        <w:rPr>
          <w:b w:val="0"/>
        </w:rPr>
        <w:t xml:space="preserve"> beginning July 1, 2013</w:t>
      </w:r>
      <w:r w:rsidR="00FD6B49">
        <w:rPr>
          <w:b w:val="0"/>
        </w:rPr>
        <w:t>,</w:t>
      </w:r>
      <w:r w:rsidR="00A9086B">
        <w:rPr>
          <w:b w:val="0"/>
        </w:rPr>
        <w:t xml:space="preserve"> Clearwater </w:t>
      </w:r>
      <w:r w:rsidR="00FD6B49">
        <w:rPr>
          <w:b w:val="0"/>
        </w:rPr>
        <w:t xml:space="preserve">began </w:t>
      </w:r>
      <w:r w:rsidR="00A9086B">
        <w:rPr>
          <w:b w:val="0"/>
        </w:rPr>
        <w:t>generating into their own load and therefore reduced their load o</w:t>
      </w:r>
      <w:r w:rsidR="00836F27">
        <w:rPr>
          <w:b w:val="0"/>
        </w:rPr>
        <w:t>n Avista</w:t>
      </w:r>
      <w:r w:rsidR="00FD6B49">
        <w:rPr>
          <w:b w:val="0"/>
        </w:rPr>
        <w:t>.</w:t>
      </w:r>
      <w:r w:rsidR="00836F27">
        <w:rPr>
          <w:b w:val="0"/>
        </w:rPr>
        <w:t xml:space="preserve"> Clearwater load </w:t>
      </w:r>
      <w:r w:rsidR="00BE36C6">
        <w:rPr>
          <w:b w:val="0"/>
        </w:rPr>
        <w:t xml:space="preserve">equal to their generation </w:t>
      </w:r>
      <w:r w:rsidR="00836F27">
        <w:rPr>
          <w:b w:val="0"/>
        </w:rPr>
        <w:t xml:space="preserve">was removed from system load in prior rates cases </w:t>
      </w:r>
      <w:r w:rsidR="00836F27">
        <w:rPr>
          <w:b w:val="0"/>
        </w:rPr>
        <w:lastRenderedPageBreak/>
        <w:t xml:space="preserve">because the Clearwater generation power purchase was </w:t>
      </w:r>
      <w:r w:rsidR="00945390">
        <w:rPr>
          <w:b w:val="0"/>
        </w:rPr>
        <w:t xml:space="preserve">assigned </w:t>
      </w:r>
      <w:r w:rsidR="00836F27">
        <w:rPr>
          <w:b w:val="0"/>
        </w:rPr>
        <w:t>100%</w:t>
      </w:r>
      <w:r w:rsidR="00945390">
        <w:rPr>
          <w:b w:val="0"/>
        </w:rPr>
        <w:t xml:space="preserve"> </w:t>
      </w:r>
      <w:r w:rsidR="00836F27">
        <w:rPr>
          <w:b w:val="0"/>
        </w:rPr>
        <w:t>to Avista’s Idaho jurisdiction.</w:t>
      </w:r>
      <w:r w:rsidR="007A74A3">
        <w:rPr>
          <w:b w:val="0"/>
        </w:rPr>
        <w:t xml:space="preserve">  The Inland Empire Paper loa</w:t>
      </w:r>
      <w:r w:rsidR="00A9086B">
        <w:rPr>
          <w:b w:val="0"/>
        </w:rPr>
        <w:t>d was increased because</w:t>
      </w:r>
      <w:r w:rsidR="00C019A2">
        <w:rPr>
          <w:b w:val="0"/>
        </w:rPr>
        <w:t xml:space="preserve"> they had an</w:t>
      </w:r>
      <w:r w:rsidR="004D5669">
        <w:rPr>
          <w:b w:val="0"/>
        </w:rPr>
        <w:t xml:space="preserve"> extended outage at their facility that reduced their load during July through September of 2012</w:t>
      </w:r>
      <w:r w:rsidR="007A74A3">
        <w:rPr>
          <w:b w:val="0"/>
        </w:rPr>
        <w:t>.  Additional load was added to July, August and September of the test-year to reflect the expected load at Inland Empire Paper during the pro forma period.</w:t>
      </w:r>
      <w:r w:rsidR="00BE36C6">
        <w:rPr>
          <w:b w:val="0"/>
        </w:rPr>
        <w:t xml:space="preserve">  Station service was added because power consumed from the grid at Company</w:t>
      </w:r>
      <w:r w:rsidR="00945390">
        <w:rPr>
          <w:b w:val="0"/>
        </w:rPr>
        <w:t>-</w:t>
      </w:r>
      <w:r w:rsidR="00BE36C6">
        <w:rPr>
          <w:b w:val="0"/>
        </w:rPr>
        <w:t xml:space="preserve">owned generation is not included in native load calculations. </w:t>
      </w:r>
      <w:r w:rsidR="007A74A3">
        <w:rPr>
          <w:b w:val="0"/>
        </w:rPr>
        <w:t xml:space="preserve"> After these adjustme</w:t>
      </w:r>
      <w:r w:rsidR="00836F27">
        <w:rPr>
          <w:b w:val="0"/>
        </w:rPr>
        <w:t>nts</w:t>
      </w:r>
      <w:r w:rsidR="00FD6B49">
        <w:rPr>
          <w:b w:val="0"/>
        </w:rPr>
        <w:t>,</w:t>
      </w:r>
      <w:r w:rsidR="00836F27">
        <w:rPr>
          <w:b w:val="0"/>
        </w:rPr>
        <w:t xml:space="preserve"> the net effect is that system </w:t>
      </w:r>
      <w:r w:rsidR="00044806">
        <w:rPr>
          <w:b w:val="0"/>
        </w:rPr>
        <w:t>load is 4.3</w:t>
      </w:r>
      <w:r w:rsidR="00836F27">
        <w:rPr>
          <w:b w:val="0"/>
        </w:rPr>
        <w:t xml:space="preserve"> aMW </w:t>
      </w:r>
      <w:r w:rsidR="000A2769">
        <w:rPr>
          <w:b w:val="0"/>
        </w:rPr>
        <w:t>higher</w:t>
      </w:r>
      <w:r w:rsidRPr="00FB6544">
        <w:rPr>
          <w:b w:val="0"/>
        </w:rPr>
        <w:t xml:space="preserve"> than loads that current rates are </w:t>
      </w:r>
      <w:r w:rsidRPr="006D5BF7">
        <w:rPr>
          <w:b w:val="0"/>
        </w:rPr>
        <w:t>based</w:t>
      </w:r>
      <w:r w:rsidRPr="00FB6544">
        <w:rPr>
          <w:b w:val="0"/>
        </w:rPr>
        <w:t xml:space="preserve"> </w:t>
      </w:r>
      <w:r w:rsidR="007105B1">
        <w:rPr>
          <w:b w:val="0"/>
        </w:rPr>
        <w:t xml:space="preserve">on </w:t>
      </w:r>
      <w:r w:rsidR="000A2769">
        <w:rPr>
          <w:b w:val="0"/>
        </w:rPr>
        <w:t>(201</w:t>
      </w:r>
      <w:r w:rsidR="00EA66E0">
        <w:rPr>
          <w:b w:val="0"/>
        </w:rPr>
        <w:t>1</w:t>
      </w:r>
      <w:r w:rsidR="000A2769">
        <w:rPr>
          <w:b w:val="0"/>
        </w:rPr>
        <w:t xml:space="preserve"> weather adjusted load</w:t>
      </w:r>
      <w:r w:rsidR="007A74A3">
        <w:rPr>
          <w:b w:val="0"/>
        </w:rPr>
        <w:t xml:space="preserve"> of 1090.6 aMW</w:t>
      </w:r>
      <w:r w:rsidR="00044806">
        <w:rPr>
          <w:b w:val="0"/>
        </w:rPr>
        <w:t xml:space="preserve"> including Clearwater load equal to their generation</w:t>
      </w:r>
      <w:r w:rsidR="000A2769">
        <w:rPr>
          <w:b w:val="0"/>
        </w:rPr>
        <w:t>).</w:t>
      </w:r>
      <w:r w:rsidR="00A9086B">
        <w:rPr>
          <w:b w:val="0"/>
        </w:rPr>
        <w:t xml:space="preserve">  </w:t>
      </w:r>
    </w:p>
    <w:p w:rsidR="000945E1" w:rsidRDefault="000945E1" w:rsidP="00945166">
      <w:pPr>
        <w:pStyle w:val="BodyText"/>
        <w:spacing w:line="480" w:lineRule="auto"/>
        <w:ind w:firstLine="720"/>
        <w:rPr>
          <w:bCs w:val="0"/>
          <w:u w:val="single"/>
        </w:rPr>
      </w:pPr>
    </w:p>
    <w:p w:rsidR="00BE21E7" w:rsidRPr="0045060B" w:rsidRDefault="00BE21E7" w:rsidP="00945166">
      <w:pPr>
        <w:pStyle w:val="BodyText"/>
        <w:spacing w:line="480" w:lineRule="auto"/>
        <w:ind w:firstLine="720"/>
        <w:rPr>
          <w:bCs w:val="0"/>
          <w:u w:val="single"/>
        </w:rPr>
      </w:pPr>
      <w:r w:rsidRPr="0045060B">
        <w:rPr>
          <w:bCs w:val="0"/>
          <w:u w:val="single"/>
        </w:rPr>
        <w:t>III</w:t>
      </w:r>
      <w:proofErr w:type="gramStart"/>
      <w:r w:rsidRPr="0045060B">
        <w:rPr>
          <w:bCs w:val="0"/>
          <w:u w:val="single"/>
        </w:rPr>
        <w:t>.</w:t>
      </w:r>
      <w:r w:rsidR="00274C65">
        <w:rPr>
          <w:bCs w:val="0"/>
          <w:u w:val="single"/>
        </w:rPr>
        <w:t xml:space="preserve">  </w:t>
      </w:r>
      <w:r w:rsidRPr="0045060B">
        <w:rPr>
          <w:bCs w:val="0"/>
          <w:u w:val="single"/>
        </w:rPr>
        <w:t>PRO</w:t>
      </w:r>
      <w:proofErr w:type="gramEnd"/>
      <w:r w:rsidRPr="0045060B">
        <w:rPr>
          <w:bCs w:val="0"/>
          <w:u w:val="single"/>
        </w:rPr>
        <w:t xml:space="preserve"> FORMA POWER SUPPLY ADJUSTMENTS</w:t>
      </w:r>
    </w:p>
    <w:p w:rsidR="00BE21E7" w:rsidRPr="00BE21E7" w:rsidRDefault="00BE21E7" w:rsidP="00BE21E7">
      <w:pPr>
        <w:pStyle w:val="TestBody"/>
        <w:tabs>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 xml:space="preserve">Please identify the specific power supply cost items that are covered by your testimony and the total adjustment being proposed.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Exhibit No.</w:t>
      </w:r>
      <w:r w:rsidR="00A55DD3">
        <w:rPr>
          <w:rFonts w:ascii="Times New Roman" w:hAnsi="Times New Roman" w:cs="Times New Roman"/>
        </w:rPr>
        <w:t xml:space="preserve"> __</w:t>
      </w:r>
      <w:r w:rsidR="00822FCE">
        <w:rPr>
          <w:rFonts w:ascii="Times New Roman" w:hAnsi="Times New Roman" w:cs="Times New Roman"/>
        </w:rPr>
        <w:t>_</w:t>
      </w:r>
      <w:r w:rsidR="00822FCE" w:rsidRPr="00BE21E7">
        <w:rPr>
          <w:rFonts w:ascii="Times New Roman" w:hAnsi="Times New Roman" w:cs="Times New Roman"/>
        </w:rPr>
        <w:t xml:space="preserve"> (</w:t>
      </w:r>
      <w:r w:rsidRPr="00BE21E7">
        <w:rPr>
          <w:rFonts w:ascii="Times New Roman" w:hAnsi="Times New Roman" w:cs="Times New Roman"/>
        </w:rPr>
        <w:t xml:space="preserve">WGJ-2) identifies the power supply expense and revenue items that fall within the scope of my testimony.  These revenue and expense items are related to power purchases and sales, fuel expenses, transmission expense, and other miscellaneous power supply expenses and revenues.  </w:t>
      </w:r>
    </w:p>
    <w:p w:rsidR="00BE21E7" w:rsidRPr="00BE21E7" w:rsidRDefault="00BE21E7" w:rsidP="00BE21E7">
      <w:pPr>
        <w:pStyle w:val="TestBody"/>
        <w:tabs>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the basis for the adjustments to the test period power supply revenues and expenses?</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purpose of the adjustments to the test period is to normalize power supply expenses for normal weather and </w:t>
      </w:r>
      <w:r w:rsidR="007A6DE3">
        <w:rPr>
          <w:rFonts w:ascii="Times New Roman" w:hAnsi="Times New Roman" w:cs="Times New Roman"/>
        </w:rPr>
        <w:t xml:space="preserve">normal </w:t>
      </w:r>
      <w:r w:rsidRPr="00BE21E7">
        <w:rPr>
          <w:rFonts w:ascii="Times New Roman" w:hAnsi="Times New Roman" w:cs="Times New Roman"/>
        </w:rPr>
        <w:t xml:space="preserve">hydroelectric generation and to reflect </w:t>
      </w:r>
      <w:r w:rsidR="006D5BF7">
        <w:rPr>
          <w:rFonts w:ascii="Times New Roman" w:hAnsi="Times New Roman" w:cs="Times New Roman"/>
        </w:rPr>
        <w:t xml:space="preserve">current forward natural gas prices and other </w:t>
      </w:r>
      <w:r w:rsidRPr="00BE21E7">
        <w:rPr>
          <w:rFonts w:ascii="Times New Roman" w:hAnsi="Times New Roman" w:cs="Times New Roman"/>
        </w:rPr>
        <w:t xml:space="preserve">known and measurable changes for the pro forma period.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lastRenderedPageBreak/>
        <w:t>The AURORA Model</w:t>
      </w:r>
      <w:r w:rsidR="007A6DE3">
        <w:rPr>
          <w:rFonts w:ascii="Times New Roman" w:hAnsi="Times New Roman" w:cs="Times New Roman"/>
        </w:rPr>
        <w:t>, as explained by Mr. Kalich,</w:t>
      </w:r>
      <w:r w:rsidRPr="00BE21E7">
        <w:rPr>
          <w:rFonts w:ascii="Times New Roman" w:hAnsi="Times New Roman" w:cs="Times New Roman"/>
        </w:rPr>
        <w:t xml:space="preserve"> dispatches Company resources </w:t>
      </w:r>
      <w:r w:rsidR="006D5BF7">
        <w:rPr>
          <w:rFonts w:ascii="Times New Roman" w:hAnsi="Times New Roman" w:cs="Times New Roman"/>
        </w:rPr>
        <w:t xml:space="preserve">using the current forward natural gas prices </w:t>
      </w:r>
      <w:r w:rsidRPr="00BE21E7">
        <w:rPr>
          <w:rFonts w:ascii="Times New Roman" w:hAnsi="Times New Roman" w:cs="Times New Roman"/>
        </w:rPr>
        <w:t xml:space="preserve">and calculates the level of generation from the Company’s thermal resources, fuel costs for thermal resources, and the short-term purchases and sales necessary to </w:t>
      </w:r>
      <w:r w:rsidR="00E00851">
        <w:rPr>
          <w:rFonts w:ascii="Times New Roman" w:hAnsi="Times New Roman" w:cs="Times New Roman"/>
        </w:rPr>
        <w:t>balance system requirements and resources.</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00A55DD3">
        <w:rPr>
          <w:rFonts w:ascii="Times New Roman" w:hAnsi="Times New Roman" w:cs="Times New Roman"/>
          <w:b/>
        </w:rPr>
        <w:tab/>
      </w:r>
      <w:r w:rsidRPr="00BE21E7">
        <w:rPr>
          <w:rFonts w:ascii="Times New Roman" w:hAnsi="Times New Roman" w:cs="Times New Roman"/>
          <w:b/>
        </w:rPr>
        <w:t>Are there any changes in how the pro forma in this case was develo</w:t>
      </w:r>
      <w:r w:rsidR="00A040D3">
        <w:rPr>
          <w:rFonts w:ascii="Times New Roman" w:hAnsi="Times New Roman" w:cs="Times New Roman"/>
          <w:b/>
        </w:rPr>
        <w:t>ped versus the authorized power supply expense currently in base rates</w:t>
      </w:r>
      <w:r w:rsidRPr="00BE21E7">
        <w:rPr>
          <w:rFonts w:ascii="Times New Roman" w:hAnsi="Times New Roman" w:cs="Times New Roman"/>
          <w:b/>
        </w:rPr>
        <w:t>?</w:t>
      </w:r>
    </w:p>
    <w:p w:rsidR="00FD76EC" w:rsidRDefault="00C019A2" w:rsidP="00BE21E7">
      <w:pPr>
        <w:pStyle w:val="TestBody"/>
        <w:tabs>
          <w:tab w:val="num" w:pos="0"/>
        </w:tabs>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Yes.  The pro forma does not include any REC revenues or </w:t>
      </w:r>
      <w:r w:rsidR="00FD76EC">
        <w:rPr>
          <w:rFonts w:ascii="Times New Roman" w:hAnsi="Times New Roman" w:cs="Times New Roman"/>
        </w:rPr>
        <w:t xml:space="preserve">related REC </w:t>
      </w:r>
      <w:r>
        <w:rPr>
          <w:rFonts w:ascii="Times New Roman" w:hAnsi="Times New Roman" w:cs="Times New Roman"/>
        </w:rPr>
        <w:t>expenses, as has been the case in prior rate cases</w:t>
      </w:r>
      <w:r w:rsidRPr="00FD76EC">
        <w:rPr>
          <w:rFonts w:ascii="Times New Roman" w:hAnsi="Times New Roman" w:cs="Times New Roman"/>
        </w:rPr>
        <w:t xml:space="preserve">.  </w:t>
      </w:r>
      <w:proofErr w:type="gramStart"/>
      <w:r w:rsidR="00FD76EC" w:rsidRPr="00FD76EC">
        <w:rPr>
          <w:rFonts w:ascii="Times New Roman" w:hAnsi="Times New Roman" w:cs="Times New Roman"/>
          <w:bCs/>
        </w:rPr>
        <w:t>In Order 09 in Docket No.</w:t>
      </w:r>
      <w:proofErr w:type="gramEnd"/>
      <w:r w:rsidR="00FD76EC" w:rsidRPr="00FD76EC">
        <w:rPr>
          <w:rFonts w:ascii="Times New Roman" w:hAnsi="Times New Roman" w:cs="Times New Roman"/>
          <w:bCs/>
        </w:rPr>
        <w:t xml:space="preserve"> UE-120436</w:t>
      </w:r>
      <w:r w:rsidR="00CB687A">
        <w:rPr>
          <w:rFonts w:ascii="Times New Roman" w:hAnsi="Times New Roman" w:cs="Times New Roman"/>
          <w:bCs/>
        </w:rPr>
        <w:t>,</w:t>
      </w:r>
      <w:r w:rsidR="00FD76EC" w:rsidRPr="00FD76EC">
        <w:rPr>
          <w:rFonts w:ascii="Times New Roman" w:hAnsi="Times New Roman" w:cs="Times New Roman"/>
          <w:bCs/>
        </w:rPr>
        <w:t xml:space="preserve"> the Commission ordered the Company to separately track all REC revenue and develop a mechanism to return REC revenue to customers.  The Commission also ordered the Company to remove REC revenue from base rates beginning January 1, 2015.</w:t>
      </w:r>
      <w:r w:rsidR="00FD76EC">
        <w:rPr>
          <w:rFonts w:ascii="Times New Roman" w:hAnsi="Times New Roman" w:cs="Times New Roman"/>
        </w:rPr>
        <w:t xml:space="preserve">  </w:t>
      </w:r>
    </w:p>
    <w:p w:rsidR="00BE21E7" w:rsidRPr="00BE21E7" w:rsidRDefault="00FD76EC" w:rsidP="00BE21E7">
      <w:pPr>
        <w:pStyle w:val="TestBody"/>
        <w:tabs>
          <w:tab w:val="num" w:pos="0"/>
        </w:tabs>
        <w:spacing w:line="480" w:lineRule="auto"/>
        <w:ind w:left="0" w:firstLine="720"/>
        <w:rPr>
          <w:rFonts w:ascii="Times New Roman" w:hAnsi="Times New Roman" w:cs="Times New Roman"/>
        </w:rPr>
      </w:pPr>
      <w:r>
        <w:rPr>
          <w:rFonts w:ascii="Times New Roman" w:hAnsi="Times New Roman" w:cs="Times New Roman"/>
        </w:rPr>
        <w:t>Aside from removing REC revenue and REC</w:t>
      </w:r>
      <w:r w:rsidR="00FD6B49">
        <w:rPr>
          <w:rFonts w:ascii="Times New Roman" w:hAnsi="Times New Roman" w:cs="Times New Roman"/>
        </w:rPr>
        <w:t>-</w:t>
      </w:r>
      <w:r>
        <w:rPr>
          <w:rFonts w:ascii="Times New Roman" w:hAnsi="Times New Roman" w:cs="Times New Roman"/>
        </w:rPr>
        <w:t>related expenses from the pro forma</w:t>
      </w:r>
      <w:r w:rsidR="00FD6B49">
        <w:rPr>
          <w:rFonts w:ascii="Times New Roman" w:hAnsi="Times New Roman" w:cs="Times New Roman"/>
        </w:rPr>
        <w:t>,</w:t>
      </w:r>
      <w:r>
        <w:rPr>
          <w:rFonts w:ascii="Times New Roman" w:hAnsi="Times New Roman" w:cs="Times New Roman"/>
        </w:rPr>
        <w:t xml:space="preserve"> t</w:t>
      </w:r>
      <w:r w:rsidR="00BE21E7" w:rsidRPr="00BE21E7">
        <w:rPr>
          <w:rFonts w:ascii="Times New Roman" w:hAnsi="Times New Roman" w:cs="Times New Roman"/>
        </w:rPr>
        <w:t>he process to develop the pro forma net power supply expense in th</w:t>
      </w:r>
      <w:r w:rsidR="00A040D3">
        <w:rPr>
          <w:rFonts w:ascii="Times New Roman" w:hAnsi="Times New Roman" w:cs="Times New Roman"/>
        </w:rPr>
        <w:t>is case is th</w:t>
      </w:r>
      <w:r w:rsidR="00E00851">
        <w:rPr>
          <w:rFonts w:ascii="Times New Roman" w:hAnsi="Times New Roman" w:cs="Times New Roman"/>
        </w:rPr>
        <w:t>e</w:t>
      </w:r>
      <w:r w:rsidR="00A040D3">
        <w:rPr>
          <w:rFonts w:ascii="Times New Roman" w:hAnsi="Times New Roman" w:cs="Times New Roman"/>
        </w:rPr>
        <w:t xml:space="preserve"> same as the process used to develop authorized power supply expense in current base rates</w:t>
      </w:r>
      <w:r w:rsidR="00BE21E7" w:rsidRPr="00BE21E7">
        <w:rPr>
          <w:rFonts w:ascii="Times New Roman" w:hAnsi="Times New Roman" w:cs="Times New Roman"/>
        </w:rPr>
        <w:t>.</w:t>
      </w:r>
      <w:r w:rsidR="0003296D">
        <w:rPr>
          <w:rFonts w:ascii="Times New Roman" w:hAnsi="Times New Roman" w:cs="Times New Roman"/>
        </w:rPr>
        <w:t xml:space="preserve">  </w:t>
      </w:r>
    </w:p>
    <w:p w:rsidR="00BE21E7" w:rsidRDefault="00BE21E7" w:rsidP="00BE21E7">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t>A brief description of each adjustment is provided in Exhibit</w:t>
      </w:r>
      <w:r w:rsidR="00A55DD3">
        <w:rPr>
          <w:rFonts w:ascii="Times New Roman" w:hAnsi="Times New Roman" w:cs="Times New Roman"/>
        </w:rPr>
        <w:t xml:space="preserve"> </w:t>
      </w:r>
      <w:r w:rsidRPr="00BE21E7">
        <w:rPr>
          <w:rFonts w:ascii="Times New Roman" w:hAnsi="Times New Roman" w:cs="Times New Roman"/>
        </w:rPr>
        <w:t>No.</w:t>
      </w:r>
      <w:r w:rsidR="00A55DD3">
        <w:rPr>
          <w:rFonts w:ascii="Times New Roman" w:hAnsi="Times New Roman" w:cs="Times New Roman"/>
        </w:rPr>
        <w:t xml:space="preserve"> </w:t>
      </w:r>
      <w:proofErr w:type="gramStart"/>
      <w:r w:rsidR="00A55DD3">
        <w:rPr>
          <w:rFonts w:ascii="Times New Roman" w:hAnsi="Times New Roman" w:cs="Times New Roman"/>
        </w:rPr>
        <w:t>__</w:t>
      </w:r>
      <w:r w:rsidR="00822FCE">
        <w:rPr>
          <w:rFonts w:ascii="Times New Roman" w:hAnsi="Times New Roman" w:cs="Times New Roman"/>
        </w:rPr>
        <w:t>_</w:t>
      </w:r>
      <w:r w:rsidR="00822FCE" w:rsidRPr="00BE21E7">
        <w:rPr>
          <w:rFonts w:ascii="Times New Roman" w:hAnsi="Times New Roman" w:cs="Times New Roman"/>
        </w:rPr>
        <w:t xml:space="preserve"> (</w:t>
      </w:r>
      <w:r w:rsidRPr="00BE21E7">
        <w:rPr>
          <w:rFonts w:ascii="Times New Roman" w:hAnsi="Times New Roman" w:cs="Times New Roman"/>
        </w:rPr>
        <w:t>WGJ-</w:t>
      </w:r>
      <w:r w:rsidR="00A402FE">
        <w:rPr>
          <w:rFonts w:ascii="Times New Roman" w:hAnsi="Times New Roman" w:cs="Times New Roman"/>
        </w:rPr>
        <w:t>3</w:t>
      </w:r>
      <w:r w:rsidRPr="00BE21E7">
        <w:rPr>
          <w:rFonts w:ascii="Times New Roman" w:hAnsi="Times New Roman" w:cs="Times New Roman"/>
        </w:rPr>
        <w:t>).</w:t>
      </w:r>
      <w:proofErr w:type="gramEnd"/>
      <w:r w:rsidRPr="00BE21E7">
        <w:rPr>
          <w:rFonts w:ascii="Times New Roman" w:hAnsi="Times New Roman" w:cs="Times New Roman"/>
        </w:rPr>
        <w:t xml:space="preserve">  Detailed workpapers have been provided to the Commission </w:t>
      </w:r>
      <w:r w:rsidR="00FD6B49">
        <w:rPr>
          <w:rFonts w:ascii="Times New Roman" w:hAnsi="Times New Roman" w:cs="Times New Roman"/>
        </w:rPr>
        <w:t>with</w:t>
      </w:r>
      <w:r w:rsidR="00FD6B49" w:rsidRPr="00BE21E7">
        <w:rPr>
          <w:rFonts w:ascii="Times New Roman" w:hAnsi="Times New Roman" w:cs="Times New Roman"/>
        </w:rPr>
        <w:t xml:space="preserve"> </w:t>
      </w:r>
      <w:r w:rsidRPr="00BE21E7">
        <w:rPr>
          <w:rFonts w:ascii="Times New Roman" w:hAnsi="Times New Roman" w:cs="Times New Roman"/>
        </w:rPr>
        <w:t>this filing to support each of the pro forma revenues and expenses.  The detailed workpapers for each adjustment show the actual revenue or expense in the test period, and the pro forma revenue or expense.</w:t>
      </w:r>
    </w:p>
    <w:p w:rsidR="006E4FC3" w:rsidRPr="00BE21E7" w:rsidRDefault="006E4FC3" w:rsidP="00BE21E7">
      <w:pPr>
        <w:pStyle w:val="TestBody"/>
        <w:tabs>
          <w:tab w:val="num" w:pos="720"/>
        </w:tabs>
        <w:spacing w:line="480" w:lineRule="auto"/>
        <w:ind w:left="0" w:firstLine="720"/>
        <w:rPr>
          <w:rFonts w:ascii="Times New Roman" w:hAnsi="Times New Roman" w:cs="Times New Roman"/>
        </w:rPr>
      </w:pPr>
    </w:p>
    <w:p w:rsidR="00BE21E7" w:rsidRPr="00BE21E7" w:rsidRDefault="00BE21E7" w:rsidP="008527AD">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Long-Term Contracts</w:t>
      </w:r>
    </w:p>
    <w:p w:rsidR="00BE21E7" w:rsidRPr="00BE21E7" w:rsidRDefault="00BE21E7" w:rsidP="009C2006">
      <w:pPr>
        <w:pStyle w:val="TestBody"/>
        <w:numPr>
          <w:ilvl w:val="0"/>
          <w:numId w:val="5"/>
        </w:numPr>
        <w:tabs>
          <w:tab w:val="clear" w:pos="1530"/>
          <w:tab w:val="num" w:pos="0"/>
          <w:tab w:val="num" w:pos="1440"/>
        </w:tabs>
        <w:spacing w:line="480" w:lineRule="auto"/>
        <w:ind w:left="0" w:firstLine="720"/>
        <w:rPr>
          <w:rFonts w:ascii="Times New Roman" w:hAnsi="Times New Roman" w:cs="Times New Roman"/>
          <w:b/>
          <w:bCs/>
        </w:rPr>
      </w:pPr>
      <w:r w:rsidRPr="00BE21E7">
        <w:rPr>
          <w:rFonts w:ascii="Times New Roman" w:hAnsi="Times New Roman" w:cs="Times New Roman"/>
          <w:b/>
          <w:bCs/>
        </w:rPr>
        <w:t xml:space="preserve">How </w:t>
      </w:r>
      <w:proofErr w:type="gramStart"/>
      <w:r w:rsidRPr="00BE21E7">
        <w:rPr>
          <w:rFonts w:ascii="Times New Roman" w:hAnsi="Times New Roman" w:cs="Times New Roman"/>
          <w:b/>
          <w:bCs/>
        </w:rPr>
        <w:t>are</w:t>
      </w:r>
      <w:proofErr w:type="gramEnd"/>
      <w:r w:rsidRPr="00BE21E7">
        <w:rPr>
          <w:rFonts w:ascii="Times New Roman" w:hAnsi="Times New Roman" w:cs="Times New Roman"/>
          <w:b/>
          <w:bCs/>
        </w:rPr>
        <w:t xml:space="preserve"> long-term power contracts included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lastRenderedPageBreak/>
        <w:t>A.</w:t>
      </w:r>
      <w:r w:rsidRPr="00BE21E7">
        <w:rPr>
          <w:rFonts w:ascii="Times New Roman" w:hAnsi="Times New Roman" w:cs="Times New Roman"/>
        </w:rPr>
        <w:tab/>
        <w:t xml:space="preserve">Long-term power contracts are included in the pro forma by including the energy receipt or obligation associated with the contract in the </w:t>
      </w:r>
      <w:smartTag w:uri="urn:schemas-microsoft-com:office:smarttags" w:element="City">
        <w:smartTag w:uri="urn:schemas-microsoft-com:office:smarttags" w:element="place">
          <w:r w:rsidRPr="00BE21E7">
            <w:rPr>
              <w:rFonts w:ascii="Times New Roman" w:hAnsi="Times New Roman" w:cs="Times New Roman"/>
            </w:rPr>
            <w:t>AURORA</w:t>
          </w:r>
        </w:smartTag>
      </w:smartTag>
      <w:r w:rsidRPr="00BE21E7">
        <w:rPr>
          <w:rFonts w:ascii="Times New Roman" w:hAnsi="Times New Roman" w:cs="Times New Roman"/>
        </w:rPr>
        <w:t xml:space="preserve"> model and including the cost or revenue in the pro forma net power supply expense.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b/>
        </w:rPr>
        <w:t>Q</w:t>
      </w:r>
      <w:r w:rsidRPr="00BE21E7">
        <w:rPr>
          <w:rFonts w:ascii="Times New Roman" w:hAnsi="Times New Roman" w:cs="Times New Roman"/>
        </w:rPr>
        <w:t>.</w:t>
      </w:r>
      <w:r w:rsidRPr="00BE21E7">
        <w:rPr>
          <w:rFonts w:ascii="Times New Roman" w:hAnsi="Times New Roman" w:cs="Times New Roman"/>
        </w:rPr>
        <w:tab/>
      </w:r>
      <w:r w:rsidRPr="00BE21E7">
        <w:rPr>
          <w:rFonts w:ascii="Times New Roman" w:hAnsi="Times New Roman" w:cs="Times New Roman"/>
          <w:b/>
        </w:rPr>
        <w:t xml:space="preserve">Are there any new </w:t>
      </w:r>
      <w:r w:rsidR="00FE2C77">
        <w:rPr>
          <w:rFonts w:ascii="Times New Roman" w:hAnsi="Times New Roman" w:cs="Times New Roman"/>
          <w:b/>
        </w:rPr>
        <w:t xml:space="preserve">long-term </w:t>
      </w:r>
      <w:r w:rsidRPr="00BE21E7">
        <w:rPr>
          <w:rFonts w:ascii="Times New Roman" w:hAnsi="Times New Roman" w:cs="Times New Roman"/>
          <w:b/>
        </w:rPr>
        <w:t>power purchases or sales in the pro forma</w:t>
      </w:r>
      <w:r w:rsidR="00B53214">
        <w:rPr>
          <w:rFonts w:ascii="Times New Roman" w:hAnsi="Times New Roman" w:cs="Times New Roman"/>
          <w:b/>
        </w:rPr>
        <w:t xml:space="preserve"> that are not in the current </w:t>
      </w:r>
      <w:r w:rsidR="00C026FD">
        <w:rPr>
          <w:rFonts w:ascii="Times New Roman" w:hAnsi="Times New Roman" w:cs="Times New Roman"/>
          <w:b/>
        </w:rPr>
        <w:t>base rates</w:t>
      </w:r>
      <w:r w:rsidRPr="00BE21E7">
        <w:rPr>
          <w:rFonts w:ascii="Times New Roman" w:hAnsi="Times New Roman" w:cs="Times New Roman"/>
          <w:b/>
        </w:rPr>
        <w:t>?</w:t>
      </w:r>
    </w:p>
    <w:p w:rsidR="0049447F" w:rsidRDefault="0049447F" w:rsidP="0049447F">
      <w:pPr>
        <w:pStyle w:val="TestBody"/>
        <w:tabs>
          <w:tab w:val="num" w:pos="0"/>
        </w:tabs>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No</w:t>
      </w:r>
      <w:r w:rsidR="00BE21E7" w:rsidRPr="00BE21E7">
        <w:rPr>
          <w:rFonts w:ascii="Times New Roman" w:hAnsi="Times New Roman" w:cs="Times New Roman"/>
        </w:rPr>
        <w:t xml:space="preserve">. </w:t>
      </w:r>
    </w:p>
    <w:p w:rsidR="00BE21E7" w:rsidRPr="00BE21E7" w:rsidRDefault="0049447F" w:rsidP="0049447F">
      <w:pPr>
        <w:pStyle w:val="TestBody"/>
        <w:tabs>
          <w:tab w:val="num" w:pos="0"/>
        </w:tabs>
        <w:spacing w:line="480" w:lineRule="auto"/>
        <w:ind w:left="0" w:firstLine="720"/>
        <w:rPr>
          <w:rFonts w:ascii="Times New Roman" w:hAnsi="Times New Roman" w:cs="Times New Roman"/>
          <w:b/>
        </w:rPr>
      </w:pPr>
      <w:r w:rsidRPr="000945E1">
        <w:rPr>
          <w:rFonts w:ascii="Times New Roman" w:hAnsi="Times New Roman" w:cs="Times New Roman"/>
          <w:b/>
        </w:rPr>
        <w:t>Q.</w:t>
      </w:r>
      <w:r w:rsidRPr="000945E1">
        <w:rPr>
          <w:rFonts w:ascii="Times New Roman" w:hAnsi="Times New Roman" w:cs="Times New Roman"/>
          <w:b/>
        </w:rPr>
        <w:tab/>
      </w:r>
      <w:r w:rsidR="006A26AD" w:rsidRPr="000945E1">
        <w:rPr>
          <w:rFonts w:ascii="Times New Roman" w:hAnsi="Times New Roman" w:cs="Times New Roman"/>
          <w:b/>
        </w:rPr>
        <w:t>Are there</w:t>
      </w:r>
      <w:r w:rsidR="006A26AD">
        <w:rPr>
          <w:rFonts w:ascii="Times New Roman" w:hAnsi="Times New Roman" w:cs="Times New Roman"/>
          <w:b/>
        </w:rPr>
        <w:t xml:space="preserve"> any </w:t>
      </w:r>
      <w:r w:rsidR="006652C4">
        <w:rPr>
          <w:rFonts w:ascii="Times New Roman" w:hAnsi="Times New Roman" w:cs="Times New Roman"/>
          <w:b/>
        </w:rPr>
        <w:t xml:space="preserve">long-term </w:t>
      </w:r>
      <w:r w:rsidR="006A26AD">
        <w:rPr>
          <w:rFonts w:ascii="Times New Roman" w:hAnsi="Times New Roman" w:cs="Times New Roman"/>
          <w:b/>
        </w:rPr>
        <w:t xml:space="preserve">power purchases or sales that are in current </w:t>
      </w:r>
      <w:r w:rsidR="00C026FD">
        <w:rPr>
          <w:rFonts w:ascii="Times New Roman" w:hAnsi="Times New Roman" w:cs="Times New Roman"/>
          <w:b/>
        </w:rPr>
        <w:t>base rate</w:t>
      </w:r>
      <w:r w:rsidR="006A26AD">
        <w:rPr>
          <w:rFonts w:ascii="Times New Roman" w:hAnsi="Times New Roman" w:cs="Times New Roman"/>
          <w:b/>
        </w:rPr>
        <w:t>s but not in this pro forma</w:t>
      </w:r>
      <w:r w:rsidR="00BE21E7" w:rsidRPr="00BE21E7">
        <w:rPr>
          <w:rFonts w:ascii="Times New Roman" w:hAnsi="Times New Roman" w:cs="Times New Roman"/>
          <w:b/>
        </w:rPr>
        <w:t>?</w:t>
      </w:r>
    </w:p>
    <w:p w:rsidR="00393612" w:rsidRDefault="00BE21E7" w:rsidP="00BE21E7">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r>
      <w:r w:rsidR="004D5669">
        <w:rPr>
          <w:rFonts w:ascii="Times New Roman" w:hAnsi="Times New Roman" w:cs="Times New Roman"/>
        </w:rPr>
        <w:t>Yes</w:t>
      </w:r>
      <w:r w:rsidRPr="00BE21E7">
        <w:rPr>
          <w:rFonts w:ascii="Times New Roman" w:hAnsi="Times New Roman" w:cs="Times New Roman"/>
        </w:rPr>
        <w:t xml:space="preserve">.  </w:t>
      </w:r>
      <w:r w:rsidR="002D7756">
        <w:rPr>
          <w:rFonts w:ascii="Times New Roman" w:hAnsi="Times New Roman" w:cs="Times New Roman"/>
        </w:rPr>
        <w:t>Four</w:t>
      </w:r>
      <w:r w:rsidR="008F6E74">
        <w:rPr>
          <w:rFonts w:ascii="Times New Roman" w:hAnsi="Times New Roman" w:cs="Times New Roman"/>
        </w:rPr>
        <w:t xml:space="preserve"> power purchase contracts </w:t>
      </w:r>
      <w:r w:rsidR="004B4163">
        <w:rPr>
          <w:rFonts w:ascii="Times New Roman" w:hAnsi="Times New Roman" w:cs="Times New Roman"/>
        </w:rPr>
        <w:t xml:space="preserve">and two sale contracts </w:t>
      </w:r>
      <w:r w:rsidR="008F6E74">
        <w:rPr>
          <w:rFonts w:ascii="Times New Roman" w:hAnsi="Times New Roman" w:cs="Times New Roman"/>
        </w:rPr>
        <w:t>end prior to the 2015 pro forma year.  The S</w:t>
      </w:r>
      <w:r w:rsidR="00393612">
        <w:rPr>
          <w:rFonts w:ascii="Times New Roman" w:hAnsi="Times New Roman" w:cs="Times New Roman"/>
        </w:rPr>
        <w:t>pokane Waste-to-Energy contract</w:t>
      </w:r>
      <w:r w:rsidR="008F6E74">
        <w:rPr>
          <w:rFonts w:ascii="Times New Roman" w:hAnsi="Times New Roman" w:cs="Times New Roman"/>
        </w:rPr>
        <w:t xml:space="preserve"> expires November </w:t>
      </w:r>
      <w:r w:rsidR="0025436C">
        <w:rPr>
          <w:rFonts w:ascii="Times New Roman" w:hAnsi="Times New Roman" w:cs="Times New Roman"/>
        </w:rPr>
        <w:t xml:space="preserve">16, </w:t>
      </w:r>
      <w:r w:rsidR="008F6E74">
        <w:rPr>
          <w:rFonts w:ascii="Times New Roman" w:hAnsi="Times New Roman" w:cs="Times New Roman"/>
        </w:rPr>
        <w:t xml:space="preserve">2014, and the Stateline Wind contract expires March </w:t>
      </w:r>
      <w:r w:rsidR="0025436C">
        <w:rPr>
          <w:rFonts w:ascii="Times New Roman" w:hAnsi="Times New Roman" w:cs="Times New Roman"/>
        </w:rPr>
        <w:t xml:space="preserve">31, </w:t>
      </w:r>
      <w:r w:rsidR="008F6E74">
        <w:rPr>
          <w:rFonts w:ascii="Times New Roman" w:hAnsi="Times New Roman" w:cs="Times New Roman"/>
        </w:rPr>
        <w:t xml:space="preserve">2014.  </w:t>
      </w:r>
      <w:r w:rsidR="006316F4">
        <w:rPr>
          <w:rFonts w:ascii="Times New Roman" w:hAnsi="Times New Roman" w:cs="Times New Roman"/>
        </w:rPr>
        <w:t>The Wast</w:t>
      </w:r>
      <w:r w:rsidR="004D52D2">
        <w:rPr>
          <w:rFonts w:ascii="Times New Roman" w:hAnsi="Times New Roman" w:cs="Times New Roman"/>
        </w:rPr>
        <w:t>e</w:t>
      </w:r>
      <w:r w:rsidR="006316F4">
        <w:rPr>
          <w:rFonts w:ascii="Times New Roman" w:hAnsi="Times New Roman" w:cs="Times New Roman"/>
        </w:rPr>
        <w:t xml:space="preserve">-to-Energy purchase </w:t>
      </w:r>
      <w:r w:rsidR="00647807">
        <w:rPr>
          <w:rFonts w:ascii="Times New Roman" w:hAnsi="Times New Roman" w:cs="Times New Roman"/>
        </w:rPr>
        <w:t>provided 16.1</w:t>
      </w:r>
      <w:r w:rsidR="006316F4">
        <w:rPr>
          <w:rFonts w:ascii="Times New Roman" w:hAnsi="Times New Roman" w:cs="Times New Roman"/>
        </w:rPr>
        <w:t xml:space="preserve"> aMW of energy during the test-year. </w:t>
      </w:r>
      <w:r w:rsidR="00393612">
        <w:rPr>
          <w:rFonts w:ascii="Times New Roman" w:hAnsi="Times New Roman" w:cs="Times New Roman"/>
        </w:rPr>
        <w:t>It is likely that there will be a new Wast</w:t>
      </w:r>
      <w:r w:rsidR="002562C3">
        <w:rPr>
          <w:rFonts w:ascii="Times New Roman" w:hAnsi="Times New Roman" w:cs="Times New Roman"/>
        </w:rPr>
        <w:t>e</w:t>
      </w:r>
      <w:r w:rsidR="00393612">
        <w:rPr>
          <w:rFonts w:ascii="Times New Roman" w:hAnsi="Times New Roman" w:cs="Times New Roman"/>
        </w:rPr>
        <w:t>-to-Energy purch</w:t>
      </w:r>
      <w:r w:rsidR="002562C3">
        <w:rPr>
          <w:rFonts w:ascii="Times New Roman" w:hAnsi="Times New Roman" w:cs="Times New Roman"/>
        </w:rPr>
        <w:t>a</w:t>
      </w:r>
      <w:r w:rsidR="00393612">
        <w:rPr>
          <w:rFonts w:ascii="Times New Roman" w:hAnsi="Times New Roman" w:cs="Times New Roman"/>
        </w:rPr>
        <w:t xml:space="preserve">se </w:t>
      </w:r>
      <w:r w:rsidR="0025436C">
        <w:rPr>
          <w:rFonts w:ascii="Times New Roman" w:hAnsi="Times New Roman" w:cs="Times New Roman"/>
        </w:rPr>
        <w:t>and the details will be known sometime in 2014</w:t>
      </w:r>
      <w:r w:rsidR="002562C3">
        <w:rPr>
          <w:rFonts w:ascii="Times New Roman" w:hAnsi="Times New Roman" w:cs="Times New Roman"/>
        </w:rPr>
        <w:t xml:space="preserve">.  </w:t>
      </w:r>
      <w:r w:rsidR="006316F4">
        <w:rPr>
          <w:rFonts w:ascii="Times New Roman" w:hAnsi="Times New Roman" w:cs="Times New Roman"/>
        </w:rPr>
        <w:t>The Stateline Wind purchase provided 8.7 aMW of energy during the test-year</w:t>
      </w:r>
      <w:r w:rsidR="008A5BC6">
        <w:rPr>
          <w:rFonts w:ascii="Times New Roman" w:hAnsi="Times New Roman" w:cs="Times New Roman"/>
        </w:rPr>
        <w:t xml:space="preserve">.  </w:t>
      </w:r>
    </w:p>
    <w:p w:rsidR="002562C3" w:rsidRDefault="002562C3" w:rsidP="00BE21E7">
      <w:pPr>
        <w:pStyle w:val="TestBody"/>
        <w:tabs>
          <w:tab w:val="num" w:pos="720"/>
        </w:tabs>
        <w:spacing w:line="480" w:lineRule="auto"/>
        <w:ind w:left="0" w:firstLine="720"/>
        <w:rPr>
          <w:rFonts w:ascii="Times New Roman" w:hAnsi="Times New Roman" w:cs="Times New Roman"/>
        </w:rPr>
      </w:pPr>
      <w:r>
        <w:rPr>
          <w:rFonts w:ascii="Times New Roman" w:hAnsi="Times New Roman" w:cs="Times New Roman"/>
        </w:rPr>
        <w:t>Two other contracts that expire in 2014 are the Rocky Reach/Rock Island purchase and the Wells Colville Share purchase.  The Rocky Reach/Rock Island purchase is a 5-year purchase of a 3% slice of Rocky Reach and Rock Island hydroelectric dams owned by Chelan PUD that expires December 31, 2014.  The Wells Co</w:t>
      </w:r>
      <w:r w:rsidR="00E94F2D">
        <w:rPr>
          <w:rFonts w:ascii="Times New Roman" w:hAnsi="Times New Roman" w:cs="Times New Roman"/>
        </w:rPr>
        <w:t>l</w:t>
      </w:r>
      <w:r>
        <w:rPr>
          <w:rFonts w:ascii="Times New Roman" w:hAnsi="Times New Roman" w:cs="Times New Roman"/>
        </w:rPr>
        <w:t xml:space="preserve">ville Share purchase is 21-month purchase of the </w:t>
      </w:r>
      <w:r w:rsidR="00C43FEC">
        <w:rPr>
          <w:rFonts w:ascii="Times New Roman" w:hAnsi="Times New Roman" w:cs="Times New Roman"/>
        </w:rPr>
        <w:t>Colville</w:t>
      </w:r>
      <w:r>
        <w:rPr>
          <w:rFonts w:ascii="Times New Roman" w:hAnsi="Times New Roman" w:cs="Times New Roman"/>
        </w:rPr>
        <w:t xml:space="preserve"> Tribe’s 4.5% share of the Wells hydroelectric dam owned by Douglas PUD that expires September 30, 2014.   Together these two contracts provide A</w:t>
      </w:r>
      <w:r w:rsidR="004B4163">
        <w:rPr>
          <w:rFonts w:ascii="Times New Roman" w:hAnsi="Times New Roman" w:cs="Times New Roman"/>
        </w:rPr>
        <w:t xml:space="preserve">vista with </w:t>
      </w:r>
      <w:r w:rsidR="0025436C">
        <w:rPr>
          <w:rFonts w:ascii="Times New Roman" w:hAnsi="Times New Roman" w:cs="Times New Roman"/>
        </w:rPr>
        <w:t>approximately</w:t>
      </w:r>
      <w:r w:rsidR="004B4163">
        <w:rPr>
          <w:rFonts w:ascii="Times New Roman" w:hAnsi="Times New Roman" w:cs="Times New Roman"/>
        </w:rPr>
        <w:t xml:space="preserve"> 109 MW of Mid-</w:t>
      </w:r>
      <w:r>
        <w:rPr>
          <w:rFonts w:ascii="Times New Roman" w:hAnsi="Times New Roman" w:cs="Times New Roman"/>
        </w:rPr>
        <w:t xml:space="preserve">Columbia </w:t>
      </w:r>
      <w:proofErr w:type="gramStart"/>
      <w:r>
        <w:rPr>
          <w:rFonts w:ascii="Times New Roman" w:hAnsi="Times New Roman" w:cs="Times New Roman"/>
        </w:rPr>
        <w:t>capacity</w:t>
      </w:r>
      <w:proofErr w:type="gramEnd"/>
      <w:r w:rsidR="00D61654">
        <w:rPr>
          <w:rFonts w:ascii="Times New Roman" w:hAnsi="Times New Roman" w:cs="Times New Roman"/>
        </w:rPr>
        <w:t>.  Avis</w:t>
      </w:r>
      <w:r w:rsidR="001D2067">
        <w:rPr>
          <w:rFonts w:ascii="Times New Roman" w:hAnsi="Times New Roman" w:cs="Times New Roman"/>
        </w:rPr>
        <w:t>ta uses this capacity along with additional Mid Col</w:t>
      </w:r>
      <w:r w:rsidR="0047521C">
        <w:rPr>
          <w:rFonts w:ascii="Times New Roman" w:hAnsi="Times New Roman" w:cs="Times New Roman"/>
        </w:rPr>
        <w:t>u</w:t>
      </w:r>
      <w:r w:rsidR="001D2067">
        <w:rPr>
          <w:rFonts w:ascii="Times New Roman" w:hAnsi="Times New Roman" w:cs="Times New Roman"/>
        </w:rPr>
        <w:t xml:space="preserve">mbia capacity purchased from Grant </w:t>
      </w:r>
      <w:r w:rsidR="0025436C">
        <w:rPr>
          <w:rFonts w:ascii="Times New Roman" w:hAnsi="Times New Roman" w:cs="Times New Roman"/>
        </w:rPr>
        <w:t xml:space="preserve">and Douglas </w:t>
      </w:r>
      <w:r w:rsidR="001D2067">
        <w:rPr>
          <w:rFonts w:ascii="Times New Roman" w:hAnsi="Times New Roman" w:cs="Times New Roman"/>
        </w:rPr>
        <w:t xml:space="preserve">PUD to meet load regulation/load following requirements during most of the year.  The purchase of </w:t>
      </w:r>
      <w:r w:rsidR="001D2067">
        <w:rPr>
          <w:rFonts w:ascii="Times New Roman" w:hAnsi="Times New Roman" w:cs="Times New Roman"/>
        </w:rPr>
        <w:lastRenderedPageBreak/>
        <w:t>Mid Col</w:t>
      </w:r>
      <w:r w:rsidR="0047521C">
        <w:rPr>
          <w:rFonts w:ascii="Times New Roman" w:hAnsi="Times New Roman" w:cs="Times New Roman"/>
        </w:rPr>
        <w:t>u</w:t>
      </w:r>
      <w:r w:rsidR="001D2067">
        <w:rPr>
          <w:rFonts w:ascii="Times New Roman" w:hAnsi="Times New Roman" w:cs="Times New Roman"/>
        </w:rPr>
        <w:t xml:space="preserve">mbia capacity allows the company to more efficiently operate its own hydro facilities and makes possible the sale of load regulation services to other entities.  </w:t>
      </w:r>
    </w:p>
    <w:p w:rsidR="00D61654" w:rsidRDefault="00D61654" w:rsidP="00BE21E7">
      <w:pPr>
        <w:pStyle w:val="TestBody"/>
        <w:tabs>
          <w:tab w:val="num" w:pos="720"/>
        </w:tabs>
        <w:spacing w:line="480" w:lineRule="auto"/>
        <w:ind w:left="0" w:firstLine="720"/>
        <w:rPr>
          <w:rFonts w:ascii="Times New Roman" w:hAnsi="Times New Roman" w:cs="Times New Roman"/>
        </w:rPr>
      </w:pPr>
      <w:r>
        <w:rPr>
          <w:rFonts w:ascii="Times New Roman" w:hAnsi="Times New Roman" w:cs="Times New Roman"/>
        </w:rPr>
        <w:t>Chelan PU</w:t>
      </w:r>
      <w:r w:rsidR="004B4163">
        <w:rPr>
          <w:rFonts w:ascii="Times New Roman" w:hAnsi="Times New Roman" w:cs="Times New Roman"/>
        </w:rPr>
        <w:t>D and the Colville Tribe use an</w:t>
      </w:r>
      <w:r>
        <w:rPr>
          <w:rFonts w:ascii="Times New Roman" w:hAnsi="Times New Roman" w:cs="Times New Roman"/>
        </w:rPr>
        <w:t xml:space="preserve"> </w:t>
      </w:r>
      <w:r w:rsidR="00044806">
        <w:rPr>
          <w:rFonts w:ascii="Times New Roman" w:hAnsi="Times New Roman" w:cs="Times New Roman"/>
        </w:rPr>
        <w:t>auction process to sell the Mid-</w:t>
      </w:r>
      <w:r>
        <w:rPr>
          <w:rFonts w:ascii="Times New Roman" w:hAnsi="Times New Roman" w:cs="Times New Roman"/>
        </w:rPr>
        <w:t>Columbia slice products.  These auctions for product available in the 2015 pro forma year will be held in 2014</w:t>
      </w:r>
      <w:r w:rsidR="000945E1">
        <w:rPr>
          <w:rFonts w:ascii="Times New Roman" w:hAnsi="Times New Roman" w:cs="Times New Roman"/>
        </w:rPr>
        <w:t>, and Avista will participate in the auction process</w:t>
      </w:r>
      <w:r>
        <w:rPr>
          <w:rFonts w:ascii="Times New Roman" w:hAnsi="Times New Roman" w:cs="Times New Roman"/>
        </w:rPr>
        <w:t>.  The pro forma includes anticipate</w:t>
      </w:r>
      <w:r w:rsidR="00460A0B">
        <w:rPr>
          <w:rFonts w:ascii="Times New Roman" w:hAnsi="Times New Roman" w:cs="Times New Roman"/>
        </w:rPr>
        <w:t>s</w:t>
      </w:r>
      <w:r>
        <w:rPr>
          <w:rFonts w:ascii="Times New Roman" w:hAnsi="Times New Roman" w:cs="Times New Roman"/>
        </w:rPr>
        <w:t xml:space="preserve"> purchases from Chelan and the Colville Tribe for the same </w:t>
      </w:r>
      <w:r w:rsidR="00460A0B">
        <w:rPr>
          <w:rFonts w:ascii="Times New Roman" w:hAnsi="Times New Roman" w:cs="Times New Roman"/>
        </w:rPr>
        <w:t>percentage of plant capacity as was</w:t>
      </w:r>
      <w:r>
        <w:rPr>
          <w:rFonts w:ascii="Times New Roman" w:hAnsi="Times New Roman" w:cs="Times New Roman"/>
        </w:rPr>
        <w:t xml:space="preserve"> purchased in the test-year.  The pro forma contains an estimated price for these purchases</w:t>
      </w:r>
      <w:r w:rsidR="004B4163">
        <w:rPr>
          <w:rFonts w:ascii="Times New Roman" w:hAnsi="Times New Roman" w:cs="Times New Roman"/>
        </w:rPr>
        <w:t>.  T</w:t>
      </w:r>
      <w:r>
        <w:rPr>
          <w:rFonts w:ascii="Times New Roman" w:hAnsi="Times New Roman" w:cs="Times New Roman"/>
        </w:rPr>
        <w:t>he actual price for these purchases will be known before January 1, 2015 and the actual expense can be updated before then.</w:t>
      </w:r>
    </w:p>
    <w:p w:rsidR="00BE21E7" w:rsidRDefault="008F6E74" w:rsidP="00BE21E7">
      <w:pPr>
        <w:pStyle w:val="TestBody"/>
        <w:tabs>
          <w:tab w:val="num" w:pos="720"/>
        </w:tabs>
        <w:spacing w:line="480" w:lineRule="auto"/>
        <w:ind w:left="0" w:firstLine="720"/>
        <w:rPr>
          <w:rFonts w:ascii="Times New Roman" w:hAnsi="Times New Roman" w:cs="Times New Roman"/>
        </w:rPr>
      </w:pPr>
      <w:r>
        <w:rPr>
          <w:rFonts w:ascii="Times New Roman" w:hAnsi="Times New Roman" w:cs="Times New Roman"/>
        </w:rPr>
        <w:t>On the sale</w:t>
      </w:r>
      <w:r w:rsidR="00FD76EC">
        <w:rPr>
          <w:rFonts w:ascii="Times New Roman" w:hAnsi="Times New Roman" w:cs="Times New Roman"/>
        </w:rPr>
        <w:t>s</w:t>
      </w:r>
      <w:r>
        <w:rPr>
          <w:rFonts w:ascii="Times New Roman" w:hAnsi="Times New Roman" w:cs="Times New Roman"/>
        </w:rPr>
        <w:t xml:space="preserve"> side</w:t>
      </w:r>
      <w:r w:rsidR="00FD76EC">
        <w:rPr>
          <w:rFonts w:ascii="Times New Roman" w:hAnsi="Times New Roman" w:cs="Times New Roman"/>
        </w:rPr>
        <w:t>,</w:t>
      </w:r>
      <w:r>
        <w:rPr>
          <w:rFonts w:ascii="Times New Roman" w:hAnsi="Times New Roman" w:cs="Times New Roman"/>
        </w:rPr>
        <w:t xml:space="preserve"> the Pend </w:t>
      </w:r>
      <w:r w:rsidR="00C43FEC">
        <w:rPr>
          <w:rFonts w:ascii="Times New Roman" w:hAnsi="Times New Roman" w:cs="Times New Roman"/>
        </w:rPr>
        <w:t>Oreille</w:t>
      </w:r>
      <w:r>
        <w:rPr>
          <w:rFonts w:ascii="Times New Roman" w:hAnsi="Times New Roman" w:cs="Times New Roman"/>
        </w:rPr>
        <w:t xml:space="preserve"> contract expires September 2014 and the Sacramento Municipal Utility District (SMUD) contract expires December 2014.  The company is negotiating with P</w:t>
      </w:r>
      <w:r w:rsidR="009373A5">
        <w:rPr>
          <w:rFonts w:ascii="Times New Roman" w:hAnsi="Times New Roman" w:cs="Times New Roman"/>
        </w:rPr>
        <w:t xml:space="preserve">end </w:t>
      </w:r>
      <w:r w:rsidR="00C43FEC">
        <w:rPr>
          <w:rFonts w:ascii="Times New Roman" w:hAnsi="Times New Roman" w:cs="Times New Roman"/>
        </w:rPr>
        <w:t>Oreille</w:t>
      </w:r>
      <w:r w:rsidR="009373A5">
        <w:rPr>
          <w:rFonts w:ascii="Times New Roman" w:hAnsi="Times New Roman" w:cs="Times New Roman"/>
        </w:rPr>
        <w:t xml:space="preserve"> for a new contract and</w:t>
      </w:r>
      <w:r>
        <w:rPr>
          <w:rFonts w:ascii="Times New Roman" w:hAnsi="Times New Roman" w:cs="Times New Roman"/>
        </w:rPr>
        <w:t xml:space="preserve"> the pro forma includes revenues equal to the test-year.  The pro forma doesn’t include any SMUD revenue, but also doesn’t include the energy obligation of the SMUD contract that existed in the test-year.  </w:t>
      </w:r>
      <w:r w:rsidR="004B4163">
        <w:rPr>
          <w:rFonts w:ascii="Times New Roman" w:hAnsi="Times New Roman" w:cs="Times New Roman"/>
        </w:rPr>
        <w:t xml:space="preserve">Pro forma revenue included in the SMUD contract line item is based on </w:t>
      </w:r>
      <w:r w:rsidR="00F743C5">
        <w:rPr>
          <w:rFonts w:ascii="Times New Roman" w:hAnsi="Times New Roman" w:cs="Times New Roman"/>
        </w:rPr>
        <w:t xml:space="preserve">the COB minus Mid C price spread utilizing the PGE COB transmission.  </w:t>
      </w:r>
    </w:p>
    <w:p w:rsidR="000945E1" w:rsidRDefault="000945E1" w:rsidP="008527AD">
      <w:pPr>
        <w:pStyle w:val="TestBody"/>
        <w:tabs>
          <w:tab w:val="num" w:pos="720"/>
        </w:tabs>
        <w:spacing w:line="480" w:lineRule="auto"/>
        <w:ind w:left="0" w:firstLine="0"/>
        <w:rPr>
          <w:rFonts w:ascii="Times New Roman" w:hAnsi="Times New Roman" w:cs="Times New Roman"/>
          <w:b/>
          <w:bCs/>
          <w:u w:val="single"/>
        </w:rPr>
      </w:pPr>
    </w:p>
    <w:p w:rsidR="00BE21E7" w:rsidRPr="00BE21E7" w:rsidRDefault="00BE21E7" w:rsidP="008527AD">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Short-Term Power Purchases and Sales</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t>How are short-term transactions included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After including the actual </w:t>
      </w:r>
      <w:r w:rsidR="00095636">
        <w:rPr>
          <w:rFonts w:ascii="Times New Roman" w:hAnsi="Times New Roman" w:cs="Times New Roman"/>
        </w:rPr>
        <w:t xml:space="preserve">physical </w:t>
      </w:r>
      <w:r w:rsidR="007A6DE3">
        <w:rPr>
          <w:rFonts w:ascii="Times New Roman" w:hAnsi="Times New Roman" w:cs="Times New Roman"/>
        </w:rPr>
        <w:t xml:space="preserve">forward </w:t>
      </w:r>
      <w:r w:rsidRPr="00BE21E7">
        <w:rPr>
          <w:rFonts w:ascii="Times New Roman" w:hAnsi="Times New Roman" w:cs="Times New Roman"/>
        </w:rPr>
        <w:t xml:space="preserve">short-term transactions as resources and obligations in the AURORA model, the balance of the short-term electric power purchases and sales are an output of the AURORA model.  The model calculates both the volumes and price of short-term purchases and sales that balance the system’s generation </w:t>
      </w:r>
      <w:r w:rsidRPr="00BE21E7">
        <w:rPr>
          <w:rFonts w:ascii="Times New Roman" w:hAnsi="Times New Roman" w:cs="Times New Roman"/>
        </w:rPr>
        <w:lastRenderedPageBreak/>
        <w:t xml:space="preserve">and long-term purchases with retail load and </w:t>
      </w:r>
      <w:r w:rsidR="007A6DE3">
        <w:rPr>
          <w:rFonts w:ascii="Times New Roman" w:hAnsi="Times New Roman" w:cs="Times New Roman"/>
        </w:rPr>
        <w:t>other</w:t>
      </w:r>
      <w:r w:rsidRPr="00BE21E7">
        <w:rPr>
          <w:rFonts w:ascii="Times New Roman" w:hAnsi="Times New Roman" w:cs="Times New Roman"/>
        </w:rPr>
        <w:t xml:space="preserve"> obligations.  The price of the short-term transactions represents the price of spot market power as determined by the AURORA model. </w:t>
      </w:r>
      <w:r w:rsidR="00095636">
        <w:rPr>
          <w:rFonts w:ascii="Times New Roman" w:hAnsi="Times New Roman" w:cs="Times New Roman"/>
        </w:rPr>
        <w:t xml:space="preserve"> Short-term financial electric and </w:t>
      </w:r>
      <w:r w:rsidR="0075076D">
        <w:rPr>
          <w:rFonts w:ascii="Times New Roman" w:hAnsi="Times New Roman" w:cs="Times New Roman"/>
        </w:rPr>
        <w:t xml:space="preserve">all </w:t>
      </w:r>
      <w:r w:rsidR="00095636">
        <w:rPr>
          <w:rFonts w:ascii="Times New Roman" w:hAnsi="Times New Roman" w:cs="Times New Roman"/>
        </w:rPr>
        <w:t>natural gas transaction</w:t>
      </w:r>
      <w:r w:rsidR="0075076D">
        <w:rPr>
          <w:rFonts w:ascii="Times New Roman" w:hAnsi="Times New Roman" w:cs="Times New Roman"/>
        </w:rPr>
        <w:t>s</w:t>
      </w:r>
      <w:r w:rsidR="00095636">
        <w:rPr>
          <w:rFonts w:ascii="Times New Roman" w:hAnsi="Times New Roman" w:cs="Times New Roman"/>
        </w:rPr>
        <w:t xml:space="preserve"> are included as a mark-to-model price li</w:t>
      </w:r>
      <w:r w:rsidR="00044806">
        <w:rPr>
          <w:rFonts w:ascii="Times New Roman" w:hAnsi="Times New Roman" w:cs="Times New Roman"/>
        </w:rPr>
        <w:t>ne item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t xml:space="preserve">What actual </w:t>
      </w:r>
      <w:r w:rsidR="007A6DE3">
        <w:rPr>
          <w:rFonts w:ascii="Times New Roman" w:hAnsi="Times New Roman" w:cs="Times New Roman"/>
          <w:b/>
        </w:rPr>
        <w:t xml:space="preserve">forward </w:t>
      </w:r>
      <w:r w:rsidRPr="00BE21E7">
        <w:rPr>
          <w:rFonts w:ascii="Times New Roman" w:hAnsi="Times New Roman" w:cs="Times New Roman"/>
          <w:b/>
        </w:rPr>
        <w:t>short-term transactions are included in the pro forma?</w:t>
      </w:r>
    </w:p>
    <w:p w:rsidR="00E263B2" w:rsidRDefault="00BE21E7" w:rsidP="00E263B2">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pro forma includes </w:t>
      </w:r>
      <w:r w:rsidR="007C4511">
        <w:rPr>
          <w:rFonts w:ascii="Times New Roman" w:hAnsi="Times New Roman" w:cs="Times New Roman"/>
        </w:rPr>
        <w:t xml:space="preserve">transactions entered into through </w:t>
      </w:r>
      <w:r w:rsidR="004B4163" w:rsidRPr="004B4163">
        <w:rPr>
          <w:rFonts w:ascii="Times New Roman" w:hAnsi="Times New Roman" w:cs="Times New Roman"/>
        </w:rPr>
        <w:t xml:space="preserve">late </w:t>
      </w:r>
      <w:r w:rsidR="005A6D43" w:rsidRPr="004B4163">
        <w:rPr>
          <w:rFonts w:ascii="Times New Roman" w:hAnsi="Times New Roman" w:cs="Times New Roman"/>
        </w:rPr>
        <w:t>201</w:t>
      </w:r>
      <w:r w:rsidR="00BB1045" w:rsidRPr="004B4163">
        <w:rPr>
          <w:rFonts w:ascii="Times New Roman" w:hAnsi="Times New Roman" w:cs="Times New Roman"/>
        </w:rPr>
        <w:t>3</w:t>
      </w:r>
      <w:r w:rsidR="007C4511">
        <w:rPr>
          <w:rFonts w:ascii="Times New Roman" w:hAnsi="Times New Roman" w:cs="Times New Roman"/>
        </w:rPr>
        <w:t xml:space="preserve"> for the 201</w:t>
      </w:r>
      <w:r w:rsidR="00BB1045">
        <w:rPr>
          <w:rFonts w:ascii="Times New Roman" w:hAnsi="Times New Roman" w:cs="Times New Roman"/>
        </w:rPr>
        <w:t>5</w:t>
      </w:r>
      <w:r w:rsidR="007C4511">
        <w:rPr>
          <w:rFonts w:ascii="Times New Roman" w:hAnsi="Times New Roman" w:cs="Times New Roman"/>
        </w:rPr>
        <w:t xml:space="preserve"> pro forma period.  These transactions include </w:t>
      </w:r>
      <w:r w:rsidR="004A135E">
        <w:rPr>
          <w:rFonts w:ascii="Times New Roman" w:hAnsi="Times New Roman" w:cs="Times New Roman"/>
        </w:rPr>
        <w:t xml:space="preserve">fixed-price </w:t>
      </w:r>
      <w:r w:rsidR="007C4511">
        <w:rPr>
          <w:rFonts w:ascii="Times New Roman" w:hAnsi="Times New Roman" w:cs="Times New Roman"/>
        </w:rPr>
        <w:t xml:space="preserve">financial electric </w:t>
      </w:r>
      <w:r w:rsidR="00496490">
        <w:rPr>
          <w:rFonts w:ascii="Times New Roman" w:hAnsi="Times New Roman" w:cs="Times New Roman"/>
        </w:rPr>
        <w:t xml:space="preserve">and natural </w:t>
      </w:r>
      <w:r w:rsidR="00FD76EC">
        <w:rPr>
          <w:rFonts w:ascii="Times New Roman" w:hAnsi="Times New Roman" w:cs="Times New Roman"/>
        </w:rPr>
        <w:t xml:space="preserve">gas </w:t>
      </w:r>
      <w:r w:rsidR="00095636">
        <w:rPr>
          <w:rFonts w:ascii="Times New Roman" w:hAnsi="Times New Roman" w:cs="Times New Roman"/>
        </w:rPr>
        <w:t>transaction</w:t>
      </w:r>
      <w:r w:rsidR="0075076D">
        <w:rPr>
          <w:rFonts w:ascii="Times New Roman" w:hAnsi="Times New Roman" w:cs="Times New Roman"/>
        </w:rPr>
        <w:t>s</w:t>
      </w:r>
      <w:r w:rsidR="007C4511">
        <w:rPr>
          <w:rFonts w:ascii="Times New Roman" w:hAnsi="Times New Roman" w:cs="Times New Roman"/>
        </w:rPr>
        <w:t>.</w:t>
      </w:r>
      <w:r w:rsidR="00AA1E96">
        <w:rPr>
          <w:rFonts w:ascii="Times New Roman" w:hAnsi="Times New Roman" w:cs="Times New Roman"/>
        </w:rPr>
        <w:t xml:space="preserve">  The </w:t>
      </w:r>
      <w:r w:rsidR="00496490">
        <w:rPr>
          <w:rFonts w:ascii="Times New Roman" w:hAnsi="Times New Roman" w:cs="Times New Roman"/>
        </w:rPr>
        <w:t xml:space="preserve">AURORA model is used to mark-to-model the financial electric transactions.  A mark-to-modeled gas price calculation is performed outside the AURORA model and </w:t>
      </w:r>
      <w:r w:rsidR="00AA1E96">
        <w:rPr>
          <w:rFonts w:ascii="Times New Roman" w:hAnsi="Times New Roman" w:cs="Times New Roman"/>
        </w:rPr>
        <w:t xml:space="preserve">details of these </w:t>
      </w:r>
      <w:r w:rsidR="00496490">
        <w:rPr>
          <w:rFonts w:ascii="Times New Roman" w:hAnsi="Times New Roman" w:cs="Times New Roman"/>
        </w:rPr>
        <w:t xml:space="preserve">gas </w:t>
      </w:r>
      <w:r w:rsidR="00AA1E96">
        <w:rPr>
          <w:rFonts w:ascii="Times New Roman" w:hAnsi="Times New Roman" w:cs="Times New Roman"/>
        </w:rPr>
        <w:t>transactions are provided in workpapers.</w:t>
      </w:r>
    </w:p>
    <w:p w:rsidR="000945E1" w:rsidRDefault="000945E1" w:rsidP="008527AD">
      <w:pPr>
        <w:pStyle w:val="TestBody"/>
        <w:tabs>
          <w:tab w:val="num" w:pos="0"/>
        </w:tabs>
        <w:spacing w:line="480" w:lineRule="auto"/>
        <w:ind w:left="0" w:firstLine="0"/>
        <w:rPr>
          <w:rFonts w:ascii="Times New Roman" w:hAnsi="Times New Roman" w:cs="Times New Roman"/>
          <w:b/>
          <w:bCs/>
          <w:u w:val="single"/>
        </w:rPr>
      </w:pPr>
    </w:p>
    <w:p w:rsidR="00BE21E7" w:rsidRPr="00BE21E7" w:rsidRDefault="00BE21E7" w:rsidP="008527AD">
      <w:pPr>
        <w:pStyle w:val="TestBody"/>
        <w:tabs>
          <w:tab w:val="num" w:pos="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Thermal Fuel Expense</w:t>
      </w:r>
    </w:p>
    <w:p w:rsidR="00BE21E7" w:rsidRPr="00BE21E7" w:rsidRDefault="00BE21E7" w:rsidP="00BE21E7">
      <w:pPr>
        <w:pStyle w:val="TestBody"/>
        <w:numPr>
          <w:ilvl w:val="0"/>
          <w:numId w:val="4"/>
        </w:numPr>
        <w:tabs>
          <w:tab w:val="clear" w:pos="144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How are thermal fuel expenses determined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Thermal fuel expenses include Colstrip coal costs, </w:t>
      </w:r>
      <w:proofErr w:type="gramStart"/>
      <w:r w:rsidRPr="00BE21E7">
        <w:rPr>
          <w:rFonts w:ascii="Times New Roman" w:hAnsi="Times New Roman" w:cs="Times New Roman"/>
        </w:rPr>
        <w:t>Kettle Falls</w:t>
      </w:r>
      <w:proofErr w:type="gramEnd"/>
      <w:r w:rsidR="0044617E">
        <w:rPr>
          <w:rFonts w:ascii="Times New Roman" w:hAnsi="Times New Roman" w:cs="Times New Roman"/>
        </w:rPr>
        <w:t xml:space="preserve"> wood-</w:t>
      </w:r>
      <w:r w:rsidRPr="00BE21E7">
        <w:rPr>
          <w:rFonts w:ascii="Times New Roman" w:hAnsi="Times New Roman" w:cs="Times New Roman"/>
        </w:rPr>
        <w:t>waste costs</w:t>
      </w:r>
      <w:r w:rsidR="00904869">
        <w:rPr>
          <w:rFonts w:ascii="Times New Roman" w:hAnsi="Times New Roman" w:cs="Times New Roman"/>
        </w:rPr>
        <w:t>,</w:t>
      </w:r>
      <w:r w:rsidRPr="00BE21E7">
        <w:rPr>
          <w:rFonts w:ascii="Times New Roman" w:hAnsi="Times New Roman" w:cs="Times New Roman"/>
        </w:rPr>
        <w:t xml:space="preserve"> and natural gas expense for the Company’s gas-fired resources including Coyote Springs 2,</w:t>
      </w:r>
      <w:r w:rsidR="009C2006">
        <w:rPr>
          <w:rFonts w:ascii="Times New Roman" w:hAnsi="Times New Roman" w:cs="Times New Roman"/>
        </w:rPr>
        <w:t xml:space="preserve"> Lancaster,</w:t>
      </w:r>
      <w:r w:rsidRPr="00BE21E7">
        <w:rPr>
          <w:rFonts w:ascii="Times New Roman" w:hAnsi="Times New Roman" w:cs="Times New Roman"/>
        </w:rPr>
        <w:t xml:space="preserve"> Rathdrum, Northeast, Boulder Park, and the Kettle Falls combustion turbine.  Unit coal costs at Colstrip are based on the long-term coal supply and transportation agreements.  Unit wood fuel costs at </w:t>
      </w:r>
      <w:smartTag w:uri="urn:schemas-microsoft-com:office:smarttags" w:element="place">
        <w:smartTag w:uri="urn:schemas-microsoft-com:office:smarttags" w:element="PlaceName">
          <w:r w:rsidRPr="00BE21E7">
            <w:rPr>
              <w:rFonts w:ascii="Times New Roman" w:hAnsi="Times New Roman" w:cs="Times New Roman"/>
            </w:rPr>
            <w:t>Kettle</w:t>
          </w:r>
        </w:smartTag>
        <w:r w:rsidRPr="00BE21E7">
          <w:rPr>
            <w:rFonts w:ascii="Times New Roman" w:hAnsi="Times New Roman" w:cs="Times New Roman"/>
          </w:rPr>
          <w:t xml:space="preserve"> </w:t>
        </w:r>
        <w:smartTag w:uri="urn:schemas-microsoft-com:office:smarttags" w:element="PlaceType">
          <w:r w:rsidRPr="00BE21E7">
            <w:rPr>
              <w:rFonts w:ascii="Times New Roman" w:hAnsi="Times New Roman" w:cs="Times New Roman"/>
            </w:rPr>
            <w:t>Falls</w:t>
          </w:r>
        </w:smartTag>
      </w:smartTag>
      <w:r w:rsidRPr="00BE21E7">
        <w:rPr>
          <w:rFonts w:ascii="Times New Roman" w:hAnsi="Times New Roman" w:cs="Times New Roman"/>
        </w:rPr>
        <w:t xml:space="preserve"> are based on multiple shorter-term contracts with fuel suppliers and inventory.  Total fuel costs for each plant are based on the unit fuel cost and the plant’s level of generation as determined by the </w:t>
      </w:r>
      <w:smartTag w:uri="urn:schemas-microsoft-com:office:smarttags" w:element="City">
        <w:smartTag w:uri="urn:schemas-microsoft-com:office:smarttags" w:element="place">
          <w:r w:rsidRPr="00BE21E7">
            <w:rPr>
              <w:rFonts w:ascii="Times New Roman" w:hAnsi="Times New Roman" w:cs="Times New Roman"/>
            </w:rPr>
            <w:t>AURORA</w:t>
          </w:r>
        </w:smartTag>
      </w:smartTag>
      <w:r w:rsidRPr="00BE21E7">
        <w:rPr>
          <w:rFonts w:ascii="Times New Roman" w:hAnsi="Times New Roman" w:cs="Times New Roman"/>
        </w:rPr>
        <w:t xml:space="preserve"> model.  </w:t>
      </w:r>
    </w:p>
    <w:p w:rsid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lastRenderedPageBreak/>
        <w:t xml:space="preserve">Exhibit No. </w:t>
      </w:r>
      <w:r w:rsidR="00A55DD3">
        <w:rPr>
          <w:rFonts w:ascii="Times New Roman" w:hAnsi="Times New Roman" w:cs="Times New Roman"/>
        </w:rPr>
        <w:t>__</w:t>
      </w:r>
      <w:r w:rsidR="0012703B">
        <w:rPr>
          <w:rFonts w:ascii="Times New Roman" w:hAnsi="Times New Roman" w:cs="Times New Roman"/>
        </w:rPr>
        <w:t>_</w:t>
      </w:r>
      <w:r w:rsidR="0012703B" w:rsidRPr="00BE21E7">
        <w:rPr>
          <w:rFonts w:ascii="Times New Roman" w:hAnsi="Times New Roman" w:cs="Times New Roman"/>
        </w:rPr>
        <w:t xml:space="preserve"> (</w:t>
      </w:r>
      <w:r w:rsidRPr="00BE21E7">
        <w:rPr>
          <w:rFonts w:ascii="Times New Roman" w:hAnsi="Times New Roman" w:cs="Times New Roman"/>
        </w:rPr>
        <w:t>WGJ-</w:t>
      </w:r>
      <w:r w:rsidR="00A402FE">
        <w:rPr>
          <w:rFonts w:ascii="Times New Roman" w:hAnsi="Times New Roman" w:cs="Times New Roman"/>
        </w:rPr>
        <w:t>4</w:t>
      </w:r>
      <w:r w:rsidRPr="00BE21E7">
        <w:rPr>
          <w:rFonts w:ascii="Times New Roman" w:hAnsi="Times New Roman" w:cs="Times New Roman"/>
        </w:rPr>
        <w:t xml:space="preserve">) shows the pro forma fuel costs by month for each plant.  Mr. Kalich provides details and supporting workpapers regarding the </w:t>
      </w:r>
      <w:r w:rsidR="007A6DE3">
        <w:rPr>
          <w:rFonts w:ascii="Times New Roman" w:hAnsi="Times New Roman" w:cs="Times New Roman"/>
        </w:rPr>
        <w:t>level of generation</w:t>
      </w:r>
      <w:r w:rsidRPr="00BE21E7">
        <w:rPr>
          <w:rFonts w:ascii="Times New Roman" w:hAnsi="Times New Roman" w:cs="Times New Roman"/>
        </w:rPr>
        <w:t xml:space="preserve"> f</w:t>
      </w:r>
      <w:r w:rsidR="007A6DE3">
        <w:rPr>
          <w:rFonts w:ascii="Times New Roman" w:hAnsi="Times New Roman" w:cs="Times New Roman"/>
        </w:rPr>
        <w:t xml:space="preserve">or the Company’s thermal plants, and the fuel cost for </w:t>
      </w:r>
      <w:r w:rsidR="003D15A9">
        <w:rPr>
          <w:rFonts w:ascii="Times New Roman" w:hAnsi="Times New Roman" w:cs="Times New Roman"/>
        </w:rPr>
        <w:t>thermal and</w:t>
      </w:r>
      <w:r w:rsidR="007A6DE3">
        <w:rPr>
          <w:rFonts w:ascii="Times New Roman" w:hAnsi="Times New Roman" w:cs="Times New Roman"/>
        </w:rPr>
        <w:t xml:space="preserve"> natural gas-fired plants.</w:t>
      </w:r>
    </w:p>
    <w:p w:rsidR="006E4FC3" w:rsidRPr="00BE21E7" w:rsidRDefault="006E4FC3" w:rsidP="00BE21E7">
      <w:pPr>
        <w:pStyle w:val="TestBody"/>
        <w:tabs>
          <w:tab w:val="num" w:pos="0"/>
        </w:tabs>
        <w:spacing w:line="480" w:lineRule="auto"/>
        <w:ind w:left="0" w:firstLine="720"/>
        <w:rPr>
          <w:rFonts w:ascii="Times New Roman" w:hAnsi="Times New Roman" w:cs="Times New Roman"/>
        </w:rPr>
      </w:pPr>
    </w:p>
    <w:p w:rsidR="00BE21E7" w:rsidRPr="00BE21E7" w:rsidRDefault="00BE21E7" w:rsidP="008527AD">
      <w:pPr>
        <w:pStyle w:val="TestBody"/>
        <w:tabs>
          <w:tab w:val="num" w:pos="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Transmission Expense</w:t>
      </w:r>
    </w:p>
    <w:p w:rsidR="00BE21E7" w:rsidRPr="00BE21E7" w:rsidRDefault="009C2006" w:rsidP="00BE21E7">
      <w:pPr>
        <w:pStyle w:val="TestBody"/>
        <w:numPr>
          <w:ilvl w:val="0"/>
          <w:numId w:val="6"/>
        </w:numPr>
        <w:tabs>
          <w:tab w:val="num" w:pos="1260"/>
        </w:tabs>
        <w:spacing w:line="480" w:lineRule="auto"/>
        <w:ind w:left="0" w:firstLine="720"/>
        <w:rPr>
          <w:rFonts w:ascii="Times New Roman" w:hAnsi="Times New Roman" w:cs="Times New Roman"/>
          <w:b/>
          <w:bCs/>
        </w:rPr>
      </w:pPr>
      <w:r>
        <w:rPr>
          <w:rFonts w:ascii="Times New Roman" w:hAnsi="Times New Roman" w:cs="Times New Roman"/>
          <w:b/>
          <w:bCs/>
        </w:rPr>
        <w:tab/>
      </w:r>
      <w:r w:rsidR="00BE21E7" w:rsidRPr="00BE21E7">
        <w:rPr>
          <w:rFonts w:ascii="Times New Roman" w:hAnsi="Times New Roman" w:cs="Times New Roman"/>
          <w:b/>
          <w:bCs/>
        </w:rPr>
        <w:t>What changes in transmission expense are in the pro forma comp</w:t>
      </w:r>
      <w:r w:rsidR="007C4511">
        <w:rPr>
          <w:rFonts w:ascii="Times New Roman" w:hAnsi="Times New Roman" w:cs="Times New Roman"/>
          <w:b/>
          <w:bCs/>
        </w:rPr>
        <w:t xml:space="preserve">ared to the </w:t>
      </w:r>
      <w:r w:rsidR="0053057E">
        <w:rPr>
          <w:rFonts w:ascii="Times New Roman" w:hAnsi="Times New Roman" w:cs="Times New Roman"/>
          <w:b/>
          <w:bCs/>
        </w:rPr>
        <w:t xml:space="preserve">test-year and the </w:t>
      </w:r>
      <w:r w:rsidR="007C4511">
        <w:rPr>
          <w:rFonts w:ascii="Times New Roman" w:hAnsi="Times New Roman" w:cs="Times New Roman"/>
          <w:b/>
          <w:bCs/>
        </w:rPr>
        <w:t xml:space="preserve">expense in current </w:t>
      </w:r>
      <w:r w:rsidR="00C026FD">
        <w:rPr>
          <w:rFonts w:ascii="Times New Roman" w:hAnsi="Times New Roman" w:cs="Times New Roman"/>
          <w:b/>
          <w:bCs/>
        </w:rPr>
        <w:t>base rates</w:t>
      </w:r>
      <w:r w:rsidR="00BE21E7" w:rsidRPr="00BE21E7">
        <w:rPr>
          <w:rFonts w:ascii="Times New Roman" w:hAnsi="Times New Roman" w:cs="Times New Roman"/>
          <w:b/>
          <w:bCs/>
        </w:rPr>
        <w:t>?</w:t>
      </w:r>
    </w:p>
    <w:p w:rsidR="005834BD" w:rsidRDefault="009C2006" w:rsidP="00BE21E7">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7C4511">
        <w:rPr>
          <w:rFonts w:ascii="Times New Roman" w:hAnsi="Times New Roman" w:cs="Times New Roman"/>
        </w:rPr>
        <w:t xml:space="preserve">The </w:t>
      </w:r>
      <w:r w:rsidR="00F34816">
        <w:rPr>
          <w:rFonts w:ascii="Times New Roman" w:hAnsi="Times New Roman" w:cs="Times New Roman"/>
        </w:rPr>
        <w:t>biggest change is the reduction in transmission purchase</w:t>
      </w:r>
      <w:r w:rsidR="00BB1045">
        <w:rPr>
          <w:rFonts w:ascii="Times New Roman" w:hAnsi="Times New Roman" w:cs="Times New Roman"/>
        </w:rPr>
        <w:t>d</w:t>
      </w:r>
      <w:r w:rsidR="00F34816">
        <w:rPr>
          <w:rFonts w:ascii="Times New Roman" w:hAnsi="Times New Roman" w:cs="Times New Roman"/>
        </w:rPr>
        <w:t xml:space="preserve"> for the Lancaster plant.  Currently </w:t>
      </w:r>
      <w:r w:rsidR="00647807">
        <w:rPr>
          <w:rFonts w:ascii="Times New Roman" w:hAnsi="Times New Roman" w:cs="Times New Roman"/>
        </w:rPr>
        <w:t>the Company</w:t>
      </w:r>
      <w:r w:rsidR="00F34816">
        <w:rPr>
          <w:rFonts w:ascii="Times New Roman" w:hAnsi="Times New Roman" w:cs="Times New Roman"/>
        </w:rPr>
        <w:t xml:space="preserve"> purchases 250 MW of BPA point-to-point </w:t>
      </w:r>
      <w:proofErr w:type="gramStart"/>
      <w:r w:rsidR="00F34816">
        <w:rPr>
          <w:rFonts w:ascii="Times New Roman" w:hAnsi="Times New Roman" w:cs="Times New Roman"/>
        </w:rPr>
        <w:t>transm</w:t>
      </w:r>
      <w:r w:rsidR="004B4163">
        <w:rPr>
          <w:rFonts w:ascii="Times New Roman" w:hAnsi="Times New Roman" w:cs="Times New Roman"/>
        </w:rPr>
        <w:t>i</w:t>
      </w:r>
      <w:r w:rsidR="0053057E">
        <w:rPr>
          <w:rFonts w:ascii="Times New Roman" w:hAnsi="Times New Roman" w:cs="Times New Roman"/>
        </w:rPr>
        <w:t>s</w:t>
      </w:r>
      <w:r w:rsidR="004B4163">
        <w:rPr>
          <w:rFonts w:ascii="Times New Roman" w:hAnsi="Times New Roman" w:cs="Times New Roman"/>
        </w:rPr>
        <w:t>s</w:t>
      </w:r>
      <w:r w:rsidR="00F34816">
        <w:rPr>
          <w:rFonts w:ascii="Times New Roman" w:hAnsi="Times New Roman" w:cs="Times New Roman"/>
        </w:rPr>
        <w:t>ion</w:t>
      </w:r>
      <w:proofErr w:type="gramEnd"/>
      <w:r w:rsidR="00F34816">
        <w:rPr>
          <w:rFonts w:ascii="Times New Roman" w:hAnsi="Times New Roman" w:cs="Times New Roman"/>
        </w:rPr>
        <w:t xml:space="preserve"> to move Lancaster Generation to the </w:t>
      </w:r>
      <w:r w:rsidR="004A135E">
        <w:rPr>
          <w:rFonts w:ascii="Times New Roman" w:hAnsi="Times New Roman" w:cs="Times New Roman"/>
        </w:rPr>
        <w:t>C</w:t>
      </w:r>
      <w:r w:rsidR="00F34816">
        <w:rPr>
          <w:rFonts w:ascii="Times New Roman" w:hAnsi="Times New Roman" w:cs="Times New Roman"/>
        </w:rPr>
        <w:t>ompany’s system.  On December 13, 20</w:t>
      </w:r>
      <w:r w:rsidR="00FD76EC">
        <w:rPr>
          <w:rFonts w:ascii="Times New Roman" w:hAnsi="Times New Roman" w:cs="Times New Roman"/>
        </w:rPr>
        <w:t>1</w:t>
      </w:r>
      <w:r w:rsidR="00F34816">
        <w:rPr>
          <w:rFonts w:ascii="Times New Roman" w:hAnsi="Times New Roman" w:cs="Times New Roman"/>
        </w:rPr>
        <w:t>3</w:t>
      </w:r>
      <w:r w:rsidR="00460A0B">
        <w:rPr>
          <w:rFonts w:ascii="Times New Roman" w:hAnsi="Times New Roman" w:cs="Times New Roman"/>
        </w:rPr>
        <w:t>,</w:t>
      </w:r>
      <w:r w:rsidR="00F34816">
        <w:rPr>
          <w:rFonts w:ascii="Times New Roman" w:hAnsi="Times New Roman" w:cs="Times New Roman"/>
        </w:rPr>
        <w:t xml:space="preserve"> the Lancaster </w:t>
      </w:r>
      <w:r w:rsidR="00044806">
        <w:rPr>
          <w:rFonts w:ascii="Times New Roman" w:hAnsi="Times New Roman" w:cs="Times New Roman"/>
        </w:rPr>
        <w:t>substation became a point of interconnection</w:t>
      </w:r>
      <w:r w:rsidR="00F34816">
        <w:rPr>
          <w:rFonts w:ascii="Times New Roman" w:hAnsi="Times New Roman" w:cs="Times New Roman"/>
        </w:rPr>
        <w:t xml:space="preserve"> to Avista’s transmission system, eliminatin</w:t>
      </w:r>
      <w:r w:rsidR="00044806">
        <w:rPr>
          <w:rFonts w:ascii="Times New Roman" w:hAnsi="Times New Roman" w:cs="Times New Roman"/>
        </w:rPr>
        <w:t>g the need for BPA transmission for Lancaster.</w:t>
      </w:r>
      <w:r w:rsidR="00F34816">
        <w:rPr>
          <w:rFonts w:ascii="Times New Roman" w:hAnsi="Times New Roman" w:cs="Times New Roman"/>
        </w:rPr>
        <w:t xml:space="preserve">  Avista’s </w:t>
      </w:r>
      <w:r w:rsidR="00044806">
        <w:rPr>
          <w:rFonts w:ascii="Times New Roman" w:hAnsi="Times New Roman" w:cs="Times New Roman"/>
        </w:rPr>
        <w:t xml:space="preserve">Lancaster </w:t>
      </w:r>
      <w:r w:rsidR="00F34816">
        <w:rPr>
          <w:rFonts w:ascii="Times New Roman" w:hAnsi="Times New Roman" w:cs="Times New Roman"/>
        </w:rPr>
        <w:t>transmission contracts with BPA allowed for the termination of 150 MW of the 25</w:t>
      </w:r>
      <w:r w:rsidR="0053057E">
        <w:rPr>
          <w:rFonts w:ascii="Times New Roman" w:hAnsi="Times New Roman" w:cs="Times New Roman"/>
        </w:rPr>
        <w:t>0 MW of transmission with a two-</w:t>
      </w:r>
      <w:r w:rsidR="00F34816">
        <w:rPr>
          <w:rFonts w:ascii="Times New Roman" w:hAnsi="Times New Roman" w:cs="Times New Roman"/>
        </w:rPr>
        <w:t>year notice.  The termination notice was give</w:t>
      </w:r>
      <w:r w:rsidR="005834BD">
        <w:rPr>
          <w:rFonts w:ascii="Times New Roman" w:hAnsi="Times New Roman" w:cs="Times New Roman"/>
        </w:rPr>
        <w:t xml:space="preserve">n to BPA on August 31, 2012, when the </w:t>
      </w:r>
      <w:r w:rsidR="004A135E">
        <w:rPr>
          <w:rFonts w:ascii="Times New Roman" w:hAnsi="Times New Roman" w:cs="Times New Roman"/>
        </w:rPr>
        <w:t xml:space="preserve">Company </w:t>
      </w:r>
      <w:r w:rsidR="005834BD">
        <w:rPr>
          <w:rFonts w:ascii="Times New Roman" w:hAnsi="Times New Roman" w:cs="Times New Roman"/>
        </w:rPr>
        <w:t xml:space="preserve">had confirmation that the interconnection to Avista’s system was to be completed by the end of 2013.  </w:t>
      </w:r>
    </w:p>
    <w:p w:rsidR="00BE21E7" w:rsidRDefault="005834BD" w:rsidP="00BE21E7">
      <w:pPr>
        <w:pStyle w:val="TestBody"/>
        <w:spacing w:line="480" w:lineRule="auto"/>
        <w:ind w:left="0" w:firstLine="720"/>
        <w:rPr>
          <w:rFonts w:ascii="Times New Roman" w:hAnsi="Times New Roman" w:cs="Times New Roman"/>
        </w:rPr>
      </w:pPr>
      <w:r>
        <w:rPr>
          <w:rFonts w:ascii="Times New Roman" w:hAnsi="Times New Roman" w:cs="Times New Roman"/>
        </w:rPr>
        <w:t>Other than that significant reduction in transmission expense for Lancaster</w:t>
      </w:r>
      <w:r w:rsidR="004A135E">
        <w:rPr>
          <w:rFonts w:ascii="Times New Roman" w:hAnsi="Times New Roman" w:cs="Times New Roman"/>
        </w:rPr>
        <w:t>,</w:t>
      </w:r>
      <w:r>
        <w:rPr>
          <w:rFonts w:ascii="Times New Roman" w:hAnsi="Times New Roman" w:cs="Times New Roman"/>
        </w:rPr>
        <w:t xml:space="preserve"> there</w:t>
      </w:r>
      <w:r w:rsidR="005A6D43">
        <w:rPr>
          <w:rFonts w:ascii="Times New Roman" w:hAnsi="Times New Roman" w:cs="Times New Roman"/>
        </w:rPr>
        <w:t xml:space="preserve"> are some increases in </w:t>
      </w:r>
      <w:r w:rsidR="005845F1">
        <w:rPr>
          <w:rFonts w:ascii="Times New Roman" w:hAnsi="Times New Roman" w:cs="Times New Roman"/>
        </w:rPr>
        <w:t xml:space="preserve">point-to-point and </w:t>
      </w:r>
      <w:r>
        <w:rPr>
          <w:rFonts w:ascii="Times New Roman" w:hAnsi="Times New Roman" w:cs="Times New Roman"/>
        </w:rPr>
        <w:t>other</w:t>
      </w:r>
      <w:r w:rsidR="005A6D43">
        <w:rPr>
          <w:rFonts w:ascii="Times New Roman" w:hAnsi="Times New Roman" w:cs="Times New Roman"/>
        </w:rPr>
        <w:t xml:space="preserve"> BPA transmission exp</w:t>
      </w:r>
      <w:r>
        <w:rPr>
          <w:rFonts w:ascii="Times New Roman" w:hAnsi="Times New Roman" w:cs="Times New Roman"/>
        </w:rPr>
        <w:t>enses due to rate increases that went into effect on October, 1, 2013</w:t>
      </w:r>
      <w:r w:rsidR="00F34816">
        <w:rPr>
          <w:rFonts w:ascii="Times New Roman" w:hAnsi="Times New Roman" w:cs="Times New Roman"/>
        </w:rPr>
        <w:t>.</w:t>
      </w:r>
      <w:r w:rsidR="005A6D43">
        <w:rPr>
          <w:rFonts w:ascii="Times New Roman" w:hAnsi="Times New Roman" w:cs="Times New Roman"/>
        </w:rPr>
        <w:t xml:space="preserve"> </w:t>
      </w:r>
    </w:p>
    <w:p w:rsidR="000945E1" w:rsidRDefault="000945E1" w:rsidP="00904869">
      <w:pPr>
        <w:pStyle w:val="TestBody"/>
        <w:tabs>
          <w:tab w:val="num" w:pos="0"/>
        </w:tabs>
        <w:spacing w:line="480" w:lineRule="auto"/>
        <w:ind w:left="0" w:firstLine="0"/>
        <w:rPr>
          <w:rFonts w:ascii="Times New Roman" w:hAnsi="Times New Roman" w:cs="Times New Roman"/>
          <w:b/>
          <w:bCs/>
          <w:u w:val="single"/>
        </w:rPr>
      </w:pPr>
    </w:p>
    <w:p w:rsidR="00904869" w:rsidRPr="00BE21E7" w:rsidRDefault="00904869" w:rsidP="00904869">
      <w:pPr>
        <w:pStyle w:val="TestBody"/>
        <w:tabs>
          <w:tab w:val="num" w:pos="0"/>
        </w:tabs>
        <w:spacing w:line="480" w:lineRule="auto"/>
        <w:ind w:left="0" w:firstLine="0"/>
        <w:rPr>
          <w:rFonts w:ascii="Times New Roman" w:hAnsi="Times New Roman" w:cs="Times New Roman"/>
          <w:b/>
          <w:bCs/>
          <w:u w:val="single"/>
        </w:rPr>
      </w:pPr>
      <w:r>
        <w:rPr>
          <w:rFonts w:ascii="Times New Roman" w:hAnsi="Times New Roman" w:cs="Times New Roman"/>
          <w:b/>
          <w:bCs/>
          <w:u w:val="single"/>
        </w:rPr>
        <w:t>Summary</w:t>
      </w:r>
    </w:p>
    <w:p w:rsidR="00904869" w:rsidRPr="00BE21E7" w:rsidRDefault="00904869" w:rsidP="00F54F39">
      <w:pPr>
        <w:pStyle w:val="TestBody"/>
        <w:numPr>
          <w:ilvl w:val="0"/>
          <w:numId w:val="11"/>
        </w:numPr>
        <w:tabs>
          <w:tab w:val="clear" w:pos="1440"/>
          <w:tab w:val="num" w:pos="0"/>
        </w:tabs>
        <w:spacing w:line="480" w:lineRule="auto"/>
        <w:ind w:left="0" w:firstLine="720"/>
        <w:rPr>
          <w:rFonts w:ascii="Times New Roman" w:hAnsi="Times New Roman" w:cs="Times New Roman"/>
          <w:b/>
          <w:bCs/>
        </w:rPr>
      </w:pPr>
      <w:r>
        <w:rPr>
          <w:rFonts w:ascii="Times New Roman" w:hAnsi="Times New Roman" w:cs="Times New Roman"/>
          <w:b/>
          <w:bCs/>
        </w:rPr>
        <w:t>Please summarize your proposed pro forma power supply expense</w:t>
      </w:r>
      <w:r w:rsidR="00F54F39">
        <w:rPr>
          <w:rFonts w:ascii="Times New Roman" w:hAnsi="Times New Roman" w:cs="Times New Roman"/>
          <w:b/>
          <w:bCs/>
        </w:rPr>
        <w:t xml:space="preserve"> that </w:t>
      </w:r>
      <w:r w:rsidR="004A135E">
        <w:rPr>
          <w:rFonts w:ascii="Times New Roman" w:hAnsi="Times New Roman" w:cs="Times New Roman"/>
          <w:b/>
          <w:bCs/>
        </w:rPr>
        <w:t xml:space="preserve">is </w:t>
      </w:r>
      <w:r w:rsidR="00F54F39">
        <w:rPr>
          <w:rFonts w:ascii="Times New Roman" w:hAnsi="Times New Roman" w:cs="Times New Roman"/>
          <w:b/>
          <w:bCs/>
        </w:rPr>
        <w:t>provided to witness Andrews</w:t>
      </w:r>
      <w:r>
        <w:rPr>
          <w:rFonts w:ascii="Times New Roman" w:hAnsi="Times New Roman" w:cs="Times New Roman"/>
          <w:b/>
          <w:bCs/>
        </w:rPr>
        <w:t>.</w:t>
      </w:r>
    </w:p>
    <w:p w:rsidR="00904869" w:rsidRPr="00BE21E7" w:rsidRDefault="00904869" w:rsidP="00904869">
      <w:pPr>
        <w:pStyle w:val="TestBody"/>
        <w:spacing w:line="480" w:lineRule="auto"/>
        <w:ind w:left="0" w:firstLine="72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ab/>
        <w:t>The proposed pro forma power supply expense as shown in Exhibit No. ___(WGJ-2) is a $</w:t>
      </w:r>
      <w:r w:rsidR="00C97820">
        <w:rPr>
          <w:rFonts w:ascii="Times New Roman" w:hAnsi="Times New Roman" w:cs="Times New Roman"/>
        </w:rPr>
        <w:t>21,</w:t>
      </w:r>
      <w:r w:rsidR="00C55E1F">
        <w:rPr>
          <w:rFonts w:ascii="Times New Roman" w:hAnsi="Times New Roman" w:cs="Times New Roman"/>
        </w:rPr>
        <w:t>568</w:t>
      </w:r>
      <w:r>
        <w:rPr>
          <w:rFonts w:ascii="Times New Roman" w:hAnsi="Times New Roman" w:cs="Times New Roman"/>
        </w:rPr>
        <w:t xml:space="preserve">,000 reduction in expense on a system basis </w:t>
      </w:r>
      <w:r w:rsidRPr="00C97820">
        <w:rPr>
          <w:rFonts w:ascii="Times New Roman" w:hAnsi="Times New Roman" w:cs="Times New Roman"/>
        </w:rPr>
        <w:t>($</w:t>
      </w:r>
      <w:r w:rsidR="00C97820" w:rsidRPr="00C97820">
        <w:rPr>
          <w:rFonts w:ascii="Times New Roman" w:hAnsi="Times New Roman" w:cs="Times New Roman"/>
        </w:rPr>
        <w:t>1</w:t>
      </w:r>
      <w:r w:rsidRPr="00C97820">
        <w:rPr>
          <w:rFonts w:ascii="Times New Roman" w:hAnsi="Times New Roman" w:cs="Times New Roman"/>
        </w:rPr>
        <w:t>4,</w:t>
      </w:r>
      <w:r w:rsidR="00C55E1F">
        <w:rPr>
          <w:rFonts w:ascii="Times New Roman" w:hAnsi="Times New Roman" w:cs="Times New Roman"/>
        </w:rPr>
        <w:t>021</w:t>
      </w:r>
      <w:r w:rsidRPr="00C97820">
        <w:rPr>
          <w:rFonts w:ascii="Times New Roman" w:hAnsi="Times New Roman" w:cs="Times New Roman"/>
        </w:rPr>
        <w:t>,</w:t>
      </w:r>
      <w:r w:rsidR="00C55E1F">
        <w:rPr>
          <w:rFonts w:ascii="Times New Roman" w:hAnsi="Times New Roman" w:cs="Times New Roman"/>
        </w:rPr>
        <w:t>357</w:t>
      </w:r>
      <w:r>
        <w:rPr>
          <w:rFonts w:ascii="Times New Roman" w:hAnsi="Times New Roman" w:cs="Times New Roman"/>
        </w:rPr>
        <w:t xml:space="preserve"> Washington allocation) from </w:t>
      </w:r>
      <w:r w:rsidR="00C97820">
        <w:rPr>
          <w:rFonts w:ascii="Times New Roman" w:hAnsi="Times New Roman" w:cs="Times New Roman"/>
        </w:rPr>
        <w:t xml:space="preserve">the July 2012 through June 2103 </w:t>
      </w:r>
      <w:r>
        <w:rPr>
          <w:rFonts w:ascii="Times New Roman" w:hAnsi="Times New Roman" w:cs="Times New Roman"/>
        </w:rPr>
        <w:t>test-year expense and a $</w:t>
      </w:r>
      <w:r w:rsidR="00C55E1F">
        <w:rPr>
          <w:rFonts w:ascii="Times New Roman" w:hAnsi="Times New Roman" w:cs="Times New Roman"/>
        </w:rPr>
        <w:t>9</w:t>
      </w:r>
      <w:r w:rsidR="00C97820">
        <w:rPr>
          <w:rFonts w:ascii="Times New Roman" w:hAnsi="Times New Roman" w:cs="Times New Roman"/>
        </w:rPr>
        <w:t>,</w:t>
      </w:r>
      <w:r w:rsidR="00C55E1F">
        <w:rPr>
          <w:rFonts w:ascii="Times New Roman" w:hAnsi="Times New Roman" w:cs="Times New Roman"/>
        </w:rPr>
        <w:t>936</w:t>
      </w:r>
      <w:r>
        <w:rPr>
          <w:rFonts w:ascii="Times New Roman" w:hAnsi="Times New Roman" w:cs="Times New Roman"/>
        </w:rPr>
        <w:t xml:space="preserve">,000 </w:t>
      </w:r>
      <w:r w:rsidR="00F54F39">
        <w:rPr>
          <w:rFonts w:ascii="Times New Roman" w:hAnsi="Times New Roman" w:cs="Times New Roman"/>
        </w:rPr>
        <w:t>(system)/$</w:t>
      </w:r>
      <w:r w:rsidR="00C97820">
        <w:rPr>
          <w:rFonts w:ascii="Times New Roman" w:hAnsi="Times New Roman" w:cs="Times New Roman"/>
        </w:rPr>
        <w:t>6,</w:t>
      </w:r>
      <w:r w:rsidR="00C55E1F">
        <w:rPr>
          <w:rFonts w:ascii="Times New Roman" w:hAnsi="Times New Roman" w:cs="Times New Roman"/>
        </w:rPr>
        <w:t>459</w:t>
      </w:r>
      <w:r w:rsidR="00C97820">
        <w:rPr>
          <w:rFonts w:ascii="Times New Roman" w:hAnsi="Times New Roman" w:cs="Times New Roman"/>
        </w:rPr>
        <w:t>,</w:t>
      </w:r>
      <w:r w:rsidR="00C55E1F">
        <w:rPr>
          <w:rFonts w:ascii="Times New Roman" w:hAnsi="Times New Roman" w:cs="Times New Roman"/>
        </w:rPr>
        <w:t>394</w:t>
      </w:r>
      <w:r w:rsidR="00F54F39">
        <w:rPr>
          <w:rFonts w:ascii="Times New Roman" w:hAnsi="Times New Roman" w:cs="Times New Roman"/>
        </w:rPr>
        <w:t xml:space="preserve"> (Washington allocation) </w:t>
      </w:r>
      <w:r>
        <w:rPr>
          <w:rFonts w:ascii="Times New Roman" w:hAnsi="Times New Roman" w:cs="Times New Roman"/>
        </w:rPr>
        <w:t>reduction in expense</w:t>
      </w:r>
      <w:r w:rsidR="00F54F39">
        <w:rPr>
          <w:rFonts w:ascii="Times New Roman" w:hAnsi="Times New Roman" w:cs="Times New Roman"/>
        </w:rPr>
        <w:t xml:space="preserve"> from the power supply expense in current rates.  </w:t>
      </w:r>
    </w:p>
    <w:p w:rsidR="000945E1" w:rsidRDefault="000945E1" w:rsidP="00212289">
      <w:pPr>
        <w:pStyle w:val="TestBody"/>
        <w:tabs>
          <w:tab w:val="num" w:pos="0"/>
          <w:tab w:val="num" w:pos="720"/>
        </w:tabs>
        <w:spacing w:line="480" w:lineRule="auto"/>
        <w:ind w:left="0" w:firstLine="0"/>
        <w:jc w:val="center"/>
        <w:rPr>
          <w:rFonts w:ascii="Times New Roman" w:hAnsi="Times New Roman" w:cs="Times New Roman"/>
          <w:b/>
          <w:bCs/>
        </w:rPr>
      </w:pPr>
    </w:p>
    <w:p w:rsidR="00212289" w:rsidRPr="0045060B" w:rsidRDefault="00212289" w:rsidP="00212289">
      <w:pPr>
        <w:pStyle w:val="TestBody"/>
        <w:tabs>
          <w:tab w:val="num" w:pos="0"/>
          <w:tab w:val="num" w:pos="720"/>
        </w:tabs>
        <w:spacing w:line="480" w:lineRule="auto"/>
        <w:ind w:left="0" w:firstLine="0"/>
        <w:jc w:val="center"/>
        <w:rPr>
          <w:rFonts w:ascii="Times New Roman" w:hAnsi="Times New Roman" w:cs="Times New Roman"/>
          <w:b/>
          <w:bCs/>
          <w:u w:val="single"/>
        </w:rPr>
      </w:pPr>
      <w:r w:rsidRPr="0045060B">
        <w:rPr>
          <w:rFonts w:ascii="Times New Roman" w:hAnsi="Times New Roman" w:cs="Times New Roman"/>
          <w:b/>
          <w:bCs/>
          <w:u w:val="single"/>
        </w:rPr>
        <w:t>IV</w:t>
      </w:r>
      <w:proofErr w:type="gramStart"/>
      <w:r w:rsidRPr="0045060B">
        <w:rPr>
          <w:rFonts w:ascii="Times New Roman" w:hAnsi="Times New Roman" w:cs="Times New Roman"/>
          <w:b/>
          <w:bCs/>
          <w:u w:val="single"/>
        </w:rPr>
        <w:t>.</w:t>
      </w:r>
      <w:r w:rsidR="00274C65">
        <w:rPr>
          <w:rFonts w:ascii="Times New Roman" w:hAnsi="Times New Roman" w:cs="Times New Roman"/>
          <w:b/>
          <w:bCs/>
          <w:u w:val="single"/>
        </w:rPr>
        <w:t xml:space="preserve">  </w:t>
      </w:r>
      <w:r w:rsidRPr="0045060B">
        <w:rPr>
          <w:rFonts w:ascii="Times New Roman" w:hAnsi="Times New Roman" w:cs="Times New Roman"/>
          <w:b/>
          <w:bCs/>
          <w:u w:val="single"/>
        </w:rPr>
        <w:t>MODIFICATIONS</w:t>
      </w:r>
      <w:proofErr w:type="gramEnd"/>
      <w:r w:rsidRPr="0045060B">
        <w:rPr>
          <w:rFonts w:ascii="Times New Roman" w:hAnsi="Times New Roman" w:cs="Times New Roman"/>
          <w:b/>
          <w:bCs/>
          <w:u w:val="single"/>
        </w:rPr>
        <w:t xml:space="preserve"> TO THE ERM</w:t>
      </w:r>
    </w:p>
    <w:p w:rsidR="00212289" w:rsidRPr="00243D57" w:rsidRDefault="00212289" w:rsidP="00212289">
      <w:pPr>
        <w:pStyle w:val="BodyText"/>
        <w:tabs>
          <w:tab w:val="num" w:pos="0"/>
          <w:tab w:val="left" w:pos="810"/>
        </w:tabs>
        <w:spacing w:line="480" w:lineRule="auto"/>
        <w:ind w:firstLine="720"/>
        <w:jc w:val="both"/>
        <w:rPr>
          <w:bCs w:val="0"/>
        </w:rPr>
      </w:pPr>
      <w:r w:rsidRPr="00243D57">
        <w:rPr>
          <w:bCs w:val="0"/>
        </w:rPr>
        <w:t>Q.</w:t>
      </w:r>
      <w:r w:rsidR="0033668A">
        <w:rPr>
          <w:bCs w:val="0"/>
        </w:rPr>
        <w:tab/>
        <w:t xml:space="preserve">Is </w:t>
      </w:r>
      <w:r w:rsidRPr="00243D57">
        <w:rPr>
          <w:bCs w:val="0"/>
        </w:rPr>
        <w:t>the Company</w:t>
      </w:r>
      <w:r w:rsidR="0033668A">
        <w:rPr>
          <w:bCs w:val="0"/>
        </w:rPr>
        <w:t xml:space="preserve"> proposing any modification to the</w:t>
      </w:r>
      <w:r w:rsidRPr="00243D57">
        <w:rPr>
          <w:bCs w:val="0"/>
        </w:rPr>
        <w:t xml:space="preserve"> ERM?</w:t>
      </w:r>
    </w:p>
    <w:p w:rsidR="0033668A" w:rsidRDefault="00212289" w:rsidP="0033668A">
      <w:pPr>
        <w:pStyle w:val="BodyText"/>
        <w:tabs>
          <w:tab w:val="num" w:pos="0"/>
          <w:tab w:val="left" w:pos="810"/>
        </w:tabs>
        <w:spacing w:line="480" w:lineRule="auto"/>
        <w:ind w:firstLine="720"/>
        <w:jc w:val="both"/>
        <w:rPr>
          <w:b w:val="0"/>
          <w:bCs w:val="0"/>
        </w:rPr>
      </w:pPr>
      <w:r>
        <w:rPr>
          <w:b w:val="0"/>
          <w:bCs w:val="0"/>
        </w:rPr>
        <w:t>A.</w:t>
      </w:r>
      <w:r>
        <w:rPr>
          <w:b w:val="0"/>
          <w:bCs w:val="0"/>
        </w:rPr>
        <w:tab/>
      </w:r>
      <w:r w:rsidR="0033668A">
        <w:rPr>
          <w:b w:val="0"/>
          <w:bCs w:val="0"/>
        </w:rPr>
        <w:t xml:space="preserve">No.  </w:t>
      </w:r>
      <w:r>
        <w:rPr>
          <w:b w:val="0"/>
          <w:bCs w:val="0"/>
        </w:rPr>
        <w:t xml:space="preserve">The Company </w:t>
      </w:r>
      <w:r w:rsidR="0033668A">
        <w:rPr>
          <w:b w:val="0"/>
          <w:bCs w:val="0"/>
        </w:rPr>
        <w:t>is not proposing any changes to the ERM</w:t>
      </w:r>
      <w:r w:rsidR="00C43FEC">
        <w:rPr>
          <w:b w:val="0"/>
          <w:bCs w:val="0"/>
        </w:rPr>
        <w:t xml:space="preserve"> at this time.  That said</w:t>
      </w:r>
      <w:proofErr w:type="gramStart"/>
      <w:r w:rsidR="004A135E">
        <w:rPr>
          <w:b w:val="0"/>
          <w:bCs w:val="0"/>
        </w:rPr>
        <w:t>,</w:t>
      </w:r>
      <w:proofErr w:type="gramEnd"/>
      <w:r w:rsidR="0033668A">
        <w:rPr>
          <w:b w:val="0"/>
          <w:bCs w:val="0"/>
        </w:rPr>
        <w:t xml:space="preserve"> there is one issue regarding the ERM that needs to be addressed in this case. </w:t>
      </w:r>
      <w:proofErr w:type="gramStart"/>
      <w:r w:rsidR="0033668A">
        <w:rPr>
          <w:b w:val="0"/>
          <w:bCs w:val="0"/>
        </w:rPr>
        <w:t>In the Multi-Party Settlement Agreement in Docket No.</w:t>
      </w:r>
      <w:proofErr w:type="gramEnd"/>
      <w:r w:rsidR="0033668A">
        <w:rPr>
          <w:b w:val="0"/>
          <w:bCs w:val="0"/>
        </w:rPr>
        <w:t xml:space="preserve"> UE-120436</w:t>
      </w:r>
      <w:r w:rsidR="004A135E">
        <w:rPr>
          <w:b w:val="0"/>
          <w:bCs w:val="0"/>
        </w:rPr>
        <w:t>,</w:t>
      </w:r>
      <w:r w:rsidR="0033668A">
        <w:rPr>
          <w:b w:val="0"/>
          <w:bCs w:val="0"/>
        </w:rPr>
        <w:t xml:space="preserve"> the parties agreed to change the retail revenue credit from the full fixed and variable production and transmission revenue requirement to the energy classified production and transmission revenue requirement.  This reduced the retail revenue credit from roughly $.05/kWh to</w:t>
      </w:r>
      <w:r w:rsidR="00737769">
        <w:rPr>
          <w:b w:val="0"/>
          <w:bCs w:val="0"/>
        </w:rPr>
        <w:t xml:space="preserve"> $.03/kWh.  In Final Order 09</w:t>
      </w:r>
      <w:r w:rsidR="004A135E">
        <w:rPr>
          <w:b w:val="0"/>
          <w:bCs w:val="0"/>
        </w:rPr>
        <w:t>,</w:t>
      </w:r>
      <w:r w:rsidR="00737769">
        <w:rPr>
          <w:b w:val="0"/>
          <w:bCs w:val="0"/>
        </w:rPr>
        <w:t xml:space="preserve"> the</w:t>
      </w:r>
      <w:r w:rsidR="0033668A">
        <w:rPr>
          <w:b w:val="0"/>
          <w:bCs w:val="0"/>
        </w:rPr>
        <w:t xml:space="preserve"> Commission accepted the settlement and the change in the retail revenue credit as a non-precedent setting agreement.  The Commission directed the Company in its next general rate case to seek approval to maintain the change in the retail revenue credit.</w:t>
      </w:r>
    </w:p>
    <w:p w:rsidR="00212289" w:rsidRPr="00F774EE" w:rsidRDefault="00212289" w:rsidP="00212289">
      <w:pPr>
        <w:pStyle w:val="BodyText"/>
        <w:tabs>
          <w:tab w:val="num" w:pos="0"/>
          <w:tab w:val="left" w:pos="810"/>
        </w:tabs>
        <w:spacing w:line="480" w:lineRule="auto"/>
        <w:ind w:firstLine="720"/>
        <w:jc w:val="both"/>
        <w:rPr>
          <w:bCs w:val="0"/>
        </w:rPr>
      </w:pPr>
      <w:r w:rsidRPr="00F774EE">
        <w:rPr>
          <w:bCs w:val="0"/>
        </w:rPr>
        <w:t>Q.</w:t>
      </w:r>
      <w:r w:rsidRPr="00F774EE">
        <w:rPr>
          <w:bCs w:val="0"/>
        </w:rPr>
        <w:tab/>
      </w:r>
      <w:r>
        <w:rPr>
          <w:bCs w:val="0"/>
        </w:rPr>
        <w:t>Would you please describe how the retail revenue credit works within the ERM?</w:t>
      </w:r>
    </w:p>
    <w:p w:rsidR="00212289" w:rsidRPr="006A2054"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 xml:space="preserve">Yes.  </w:t>
      </w:r>
      <w:r w:rsidRPr="006A2054">
        <w:rPr>
          <w:b w:val="0"/>
          <w:bCs w:val="0"/>
        </w:rPr>
        <w:t xml:space="preserve">When retail loads are higher than authorized loads, there is a higher power supply expense to serve the increase in load that is included in </w:t>
      </w:r>
      <w:r>
        <w:rPr>
          <w:b w:val="0"/>
          <w:bCs w:val="0"/>
        </w:rPr>
        <w:t>the ERM</w:t>
      </w:r>
      <w:r w:rsidRPr="006A2054">
        <w:rPr>
          <w:b w:val="0"/>
          <w:bCs w:val="0"/>
        </w:rPr>
        <w:t xml:space="preserve">.  </w:t>
      </w:r>
      <w:r>
        <w:rPr>
          <w:b w:val="0"/>
          <w:bCs w:val="0"/>
        </w:rPr>
        <w:t>There is also a</w:t>
      </w:r>
      <w:r w:rsidRPr="006A2054">
        <w:rPr>
          <w:b w:val="0"/>
          <w:bCs w:val="0"/>
        </w:rPr>
        <w:t xml:space="preserve"> retail revenue credit</w:t>
      </w:r>
      <w:r>
        <w:rPr>
          <w:b w:val="0"/>
          <w:bCs w:val="0"/>
        </w:rPr>
        <w:t xml:space="preserve"> adjustment within the ERM that multiplies the retail revenue credit rate times</w:t>
      </w:r>
      <w:r w:rsidR="00955166">
        <w:rPr>
          <w:b w:val="0"/>
          <w:bCs w:val="0"/>
        </w:rPr>
        <w:t xml:space="preserve"> the increase in sales</w:t>
      </w:r>
      <w:r w:rsidRPr="006A2054">
        <w:rPr>
          <w:b w:val="0"/>
          <w:bCs w:val="0"/>
        </w:rPr>
        <w:t xml:space="preserve"> to take into account that there is an increase in retail </w:t>
      </w:r>
      <w:r w:rsidRPr="006A2054">
        <w:rPr>
          <w:b w:val="0"/>
          <w:bCs w:val="0"/>
        </w:rPr>
        <w:lastRenderedPageBreak/>
        <w:t xml:space="preserve">revenue to correspond with the increase in power supply expense.  Absent the </w:t>
      </w:r>
      <w:r>
        <w:rPr>
          <w:b w:val="0"/>
          <w:bCs w:val="0"/>
        </w:rPr>
        <w:t>retail revenue credit</w:t>
      </w:r>
      <w:r w:rsidRPr="006A2054">
        <w:rPr>
          <w:b w:val="0"/>
          <w:bCs w:val="0"/>
        </w:rPr>
        <w:t xml:space="preserve"> adjustment, customers would be overcharged through the </w:t>
      </w:r>
      <w:r>
        <w:rPr>
          <w:b w:val="0"/>
          <w:bCs w:val="0"/>
        </w:rPr>
        <w:t>ERM</w:t>
      </w:r>
      <w:r w:rsidRPr="006A2054">
        <w:rPr>
          <w:b w:val="0"/>
          <w:bCs w:val="0"/>
        </w:rPr>
        <w:t xml:space="preserve"> for the increase in power supply expense.</w:t>
      </w:r>
    </w:p>
    <w:p w:rsidR="00212289" w:rsidRDefault="00212289" w:rsidP="00212289">
      <w:pPr>
        <w:pStyle w:val="BodyText"/>
        <w:tabs>
          <w:tab w:val="num" w:pos="0"/>
          <w:tab w:val="left" w:pos="810"/>
        </w:tabs>
        <w:spacing w:line="480" w:lineRule="auto"/>
        <w:ind w:firstLine="720"/>
        <w:jc w:val="both"/>
        <w:rPr>
          <w:b w:val="0"/>
          <w:bCs w:val="0"/>
        </w:rPr>
      </w:pPr>
      <w:r w:rsidRPr="006A2054">
        <w:rPr>
          <w:b w:val="0"/>
          <w:bCs w:val="0"/>
        </w:rPr>
        <w:t xml:space="preserve">Likewise, when retail loads are lower than authorized loads, there is a lower net power supply expense to serve the decrease in load that is included in the </w:t>
      </w:r>
      <w:r>
        <w:rPr>
          <w:b w:val="0"/>
          <w:bCs w:val="0"/>
        </w:rPr>
        <w:t>ERM</w:t>
      </w:r>
      <w:r w:rsidRPr="006A2054">
        <w:rPr>
          <w:b w:val="0"/>
          <w:bCs w:val="0"/>
        </w:rPr>
        <w:t xml:space="preserve">.  </w:t>
      </w:r>
      <w:r>
        <w:rPr>
          <w:b w:val="0"/>
          <w:bCs w:val="0"/>
        </w:rPr>
        <w:t>The</w:t>
      </w:r>
      <w:r w:rsidRPr="006A2054">
        <w:rPr>
          <w:b w:val="0"/>
          <w:bCs w:val="0"/>
        </w:rPr>
        <w:t xml:space="preserve"> retail revenue credit</w:t>
      </w:r>
      <w:r>
        <w:rPr>
          <w:b w:val="0"/>
          <w:bCs w:val="0"/>
        </w:rPr>
        <w:t xml:space="preserve"> </w:t>
      </w:r>
      <w:r w:rsidRPr="006A2054">
        <w:rPr>
          <w:b w:val="0"/>
          <w:bCs w:val="0"/>
        </w:rPr>
        <w:t>is</w:t>
      </w:r>
      <w:r w:rsidR="00955166">
        <w:rPr>
          <w:b w:val="0"/>
          <w:bCs w:val="0"/>
        </w:rPr>
        <w:t xml:space="preserve"> applied to the decrease in sales</w:t>
      </w:r>
      <w:r w:rsidRPr="006A2054">
        <w:rPr>
          <w:b w:val="0"/>
          <w:bCs w:val="0"/>
        </w:rPr>
        <w:t xml:space="preserve"> to take into account that there is a decrease in retail revenue that corresponds with the decrease in power supply expense.  Absent the </w:t>
      </w:r>
      <w:r>
        <w:rPr>
          <w:b w:val="0"/>
          <w:bCs w:val="0"/>
        </w:rPr>
        <w:t>retail revenue credit</w:t>
      </w:r>
      <w:r w:rsidRPr="006A2054">
        <w:rPr>
          <w:b w:val="0"/>
          <w:bCs w:val="0"/>
        </w:rPr>
        <w:t xml:space="preserve"> adjustment, customers would receive an und</w:t>
      </w:r>
      <w:r w:rsidR="00460A0B">
        <w:rPr>
          <w:b w:val="0"/>
          <w:bCs w:val="0"/>
        </w:rPr>
        <w:t>ue</w:t>
      </w:r>
      <w:r w:rsidRPr="006A2054">
        <w:rPr>
          <w:b w:val="0"/>
          <w:bCs w:val="0"/>
        </w:rPr>
        <w:t xml:space="preserve"> benefit through the </w:t>
      </w:r>
      <w:r>
        <w:rPr>
          <w:b w:val="0"/>
          <w:bCs w:val="0"/>
        </w:rPr>
        <w:t>ERM</w:t>
      </w:r>
      <w:r w:rsidRPr="006A2054">
        <w:rPr>
          <w:b w:val="0"/>
          <w:bCs w:val="0"/>
        </w:rPr>
        <w:t>, since the net reduction in power supply expense is directly related to a reduction in retail revenue.</w:t>
      </w:r>
    </w:p>
    <w:p w:rsidR="00212289" w:rsidRPr="00D36092" w:rsidRDefault="00212289" w:rsidP="00212289">
      <w:pPr>
        <w:pStyle w:val="BodyText"/>
        <w:tabs>
          <w:tab w:val="num" w:pos="0"/>
          <w:tab w:val="left" w:pos="810"/>
        </w:tabs>
        <w:spacing w:line="480" w:lineRule="auto"/>
        <w:ind w:firstLine="720"/>
        <w:jc w:val="both"/>
        <w:rPr>
          <w:bCs w:val="0"/>
        </w:rPr>
      </w:pPr>
      <w:proofErr w:type="gramStart"/>
      <w:r w:rsidRPr="00D36092">
        <w:rPr>
          <w:bCs w:val="0"/>
        </w:rPr>
        <w:t>Q.</w:t>
      </w:r>
      <w:r w:rsidRPr="00D36092">
        <w:rPr>
          <w:bCs w:val="0"/>
        </w:rPr>
        <w:tab/>
        <w:t xml:space="preserve">How is the retail revenue credit rate </w:t>
      </w:r>
      <w:r>
        <w:rPr>
          <w:bCs w:val="0"/>
        </w:rPr>
        <w:t>currently</w:t>
      </w:r>
      <w:proofErr w:type="gramEnd"/>
      <w:r>
        <w:rPr>
          <w:bCs w:val="0"/>
        </w:rPr>
        <w:t xml:space="preserve"> </w:t>
      </w:r>
      <w:r w:rsidRPr="00D36092">
        <w:rPr>
          <w:bCs w:val="0"/>
        </w:rPr>
        <w:t>determined?</w:t>
      </w:r>
    </w:p>
    <w:p w:rsidR="00212289" w:rsidRDefault="00212289" w:rsidP="00212289">
      <w:pPr>
        <w:pStyle w:val="BodyText"/>
        <w:tabs>
          <w:tab w:val="num" w:pos="0"/>
          <w:tab w:val="left" w:pos="810"/>
        </w:tabs>
        <w:spacing w:line="480" w:lineRule="auto"/>
        <w:ind w:firstLine="720"/>
        <w:jc w:val="both"/>
        <w:rPr>
          <w:b w:val="0"/>
          <w:bCs w:val="0"/>
        </w:rPr>
      </w:pPr>
      <w:r w:rsidRPr="00D20E5B">
        <w:rPr>
          <w:b w:val="0"/>
          <w:bCs w:val="0"/>
        </w:rPr>
        <w:t>A.</w:t>
      </w:r>
      <w:r w:rsidRPr="00D20E5B">
        <w:rPr>
          <w:b w:val="0"/>
          <w:bCs w:val="0"/>
        </w:rPr>
        <w:tab/>
      </w:r>
      <w:r w:rsidR="00737769">
        <w:rPr>
          <w:b w:val="0"/>
          <w:bCs w:val="0"/>
        </w:rPr>
        <w:t>Per the Multiparty Settlement Agreement in the last general rate case</w:t>
      </w:r>
      <w:r w:rsidR="00460A0B">
        <w:rPr>
          <w:b w:val="0"/>
          <w:bCs w:val="0"/>
        </w:rPr>
        <w:t>,</w:t>
      </w:r>
      <w:r w:rsidR="00737769">
        <w:rPr>
          <w:b w:val="0"/>
          <w:bCs w:val="0"/>
        </w:rPr>
        <w:t xml:space="preserve"> t</w:t>
      </w:r>
      <w:r>
        <w:rPr>
          <w:b w:val="0"/>
          <w:bCs w:val="0"/>
        </w:rPr>
        <w:t xml:space="preserve">he retail revenue credit rate </w:t>
      </w:r>
      <w:r w:rsidR="00C923ED">
        <w:rPr>
          <w:b w:val="0"/>
          <w:bCs w:val="0"/>
        </w:rPr>
        <w:t>is</w:t>
      </w:r>
      <w:r>
        <w:rPr>
          <w:b w:val="0"/>
          <w:bCs w:val="0"/>
        </w:rPr>
        <w:t xml:space="preserve"> determined based on the </w:t>
      </w:r>
      <w:r w:rsidRPr="00C423D5">
        <w:rPr>
          <w:b w:val="0"/>
          <w:bCs w:val="0"/>
          <w:u w:val="single"/>
        </w:rPr>
        <w:t>energy</w:t>
      </w:r>
      <w:r>
        <w:rPr>
          <w:b w:val="0"/>
          <w:bCs w:val="0"/>
        </w:rPr>
        <w:t xml:space="preserve"> classified portion of the fixed and variable production and transmission revenue requirement, as established in the Company’s cost of service study from the general rate case.</w:t>
      </w:r>
    </w:p>
    <w:p w:rsidR="00212289" w:rsidRPr="00946BF5" w:rsidRDefault="00212289" w:rsidP="00212289">
      <w:pPr>
        <w:pStyle w:val="BodyText"/>
        <w:tabs>
          <w:tab w:val="num" w:pos="0"/>
          <w:tab w:val="left" w:pos="810"/>
        </w:tabs>
        <w:spacing w:line="480" w:lineRule="auto"/>
        <w:ind w:firstLine="720"/>
        <w:jc w:val="both"/>
        <w:rPr>
          <w:bCs w:val="0"/>
        </w:rPr>
      </w:pPr>
      <w:r w:rsidRPr="00946BF5">
        <w:rPr>
          <w:bCs w:val="0"/>
        </w:rPr>
        <w:t>Q.</w:t>
      </w:r>
      <w:r w:rsidRPr="00946BF5">
        <w:rPr>
          <w:bCs w:val="0"/>
        </w:rPr>
        <w:tab/>
        <w:t>What</w:t>
      </w:r>
      <w:r w:rsidR="00624001">
        <w:rPr>
          <w:bCs w:val="0"/>
        </w:rPr>
        <w:t xml:space="preserve"> </w:t>
      </w:r>
      <w:r w:rsidR="00460A0B">
        <w:rPr>
          <w:bCs w:val="0"/>
        </w:rPr>
        <w:t xml:space="preserve">effect </w:t>
      </w:r>
      <w:r w:rsidR="00737769">
        <w:rPr>
          <w:bCs w:val="0"/>
        </w:rPr>
        <w:t>did the change in methodol</w:t>
      </w:r>
      <w:r w:rsidR="00624001">
        <w:rPr>
          <w:bCs w:val="0"/>
        </w:rPr>
        <w:t>ogy approved in the last rate case</w:t>
      </w:r>
      <w:r w:rsidRPr="00946BF5">
        <w:rPr>
          <w:bCs w:val="0"/>
        </w:rPr>
        <w:t xml:space="preserve"> have on the retail revenue credit rate?</w:t>
      </w:r>
    </w:p>
    <w:p w:rsidR="00624001"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Based on the Settlement Agreement approved by the Commission in Docket UE-1</w:t>
      </w:r>
      <w:r w:rsidR="005B5B8F">
        <w:rPr>
          <w:b w:val="0"/>
          <w:bCs w:val="0"/>
        </w:rPr>
        <w:t>20436</w:t>
      </w:r>
      <w:r>
        <w:rPr>
          <w:b w:val="0"/>
          <w:bCs w:val="0"/>
        </w:rPr>
        <w:t>, the retail revenue credit rate that was effective January 1, 201</w:t>
      </w:r>
      <w:r w:rsidR="005B5B8F">
        <w:rPr>
          <w:b w:val="0"/>
          <w:bCs w:val="0"/>
        </w:rPr>
        <w:t>3</w:t>
      </w:r>
      <w:r w:rsidR="00804CDF">
        <w:rPr>
          <w:b w:val="0"/>
          <w:bCs w:val="0"/>
        </w:rPr>
        <w:t xml:space="preserve"> is $</w:t>
      </w:r>
      <w:r w:rsidR="005B5B8F">
        <w:rPr>
          <w:b w:val="0"/>
          <w:bCs w:val="0"/>
        </w:rPr>
        <w:t>32.15</w:t>
      </w:r>
      <w:r w:rsidR="00804CDF">
        <w:rPr>
          <w:b w:val="0"/>
          <w:bCs w:val="0"/>
        </w:rPr>
        <w:t>/</w:t>
      </w:r>
      <w:r>
        <w:rPr>
          <w:b w:val="0"/>
          <w:bCs w:val="0"/>
        </w:rPr>
        <w:t>M</w:t>
      </w:r>
      <w:r w:rsidR="00804CDF">
        <w:rPr>
          <w:b w:val="0"/>
          <w:bCs w:val="0"/>
        </w:rPr>
        <w:t>W</w:t>
      </w:r>
      <w:r>
        <w:rPr>
          <w:b w:val="0"/>
          <w:bCs w:val="0"/>
        </w:rPr>
        <w:t>h</w:t>
      </w:r>
      <w:r w:rsidRPr="00624001">
        <w:rPr>
          <w:b w:val="0"/>
          <w:bCs w:val="0"/>
        </w:rPr>
        <w:t xml:space="preserve">.  Under the </w:t>
      </w:r>
      <w:r w:rsidR="0033668A" w:rsidRPr="00624001">
        <w:rPr>
          <w:b w:val="0"/>
          <w:bCs w:val="0"/>
        </w:rPr>
        <w:t>prior method that based the retail revenue credit on the full fixed and variable production and transmission revenue requirement</w:t>
      </w:r>
      <w:r w:rsidR="004A135E">
        <w:rPr>
          <w:b w:val="0"/>
          <w:bCs w:val="0"/>
        </w:rPr>
        <w:t>,</w:t>
      </w:r>
      <w:r w:rsidR="0033668A" w:rsidRPr="00624001">
        <w:rPr>
          <w:b w:val="0"/>
          <w:bCs w:val="0"/>
        </w:rPr>
        <w:t xml:space="preserve"> the rate would have been </w:t>
      </w:r>
      <w:r w:rsidR="004A135E">
        <w:rPr>
          <w:b w:val="0"/>
          <w:bCs w:val="0"/>
        </w:rPr>
        <w:t>$48.86</w:t>
      </w:r>
      <w:r w:rsidR="0033668A" w:rsidRPr="00624001">
        <w:rPr>
          <w:b w:val="0"/>
          <w:bCs w:val="0"/>
        </w:rPr>
        <w:t>/MWh</w:t>
      </w:r>
      <w:r w:rsidR="00624001" w:rsidRPr="00624001">
        <w:rPr>
          <w:b w:val="0"/>
          <w:bCs w:val="0"/>
        </w:rPr>
        <w:t>.</w:t>
      </w:r>
      <w:r w:rsidRPr="005B5B8F">
        <w:rPr>
          <w:b w:val="0"/>
          <w:bCs w:val="0"/>
          <w:highlight w:val="yellow"/>
        </w:rPr>
        <w:t xml:space="preserve"> </w:t>
      </w:r>
    </w:p>
    <w:p w:rsidR="00212289" w:rsidRPr="00D20E5B" w:rsidRDefault="00212289" w:rsidP="00212289">
      <w:pPr>
        <w:pStyle w:val="BodyText"/>
        <w:tabs>
          <w:tab w:val="num" w:pos="0"/>
          <w:tab w:val="left" w:pos="810"/>
        </w:tabs>
        <w:spacing w:line="480" w:lineRule="auto"/>
        <w:ind w:firstLine="720"/>
        <w:jc w:val="both"/>
        <w:rPr>
          <w:bCs w:val="0"/>
        </w:rPr>
      </w:pPr>
      <w:r w:rsidRPr="00D20E5B">
        <w:rPr>
          <w:bCs w:val="0"/>
        </w:rPr>
        <w:t>Q.</w:t>
      </w:r>
      <w:r w:rsidRPr="00D20E5B">
        <w:rPr>
          <w:bCs w:val="0"/>
        </w:rPr>
        <w:tab/>
        <w:t xml:space="preserve">Why </w:t>
      </w:r>
      <w:r w:rsidR="005B5B8F">
        <w:rPr>
          <w:bCs w:val="0"/>
        </w:rPr>
        <w:t xml:space="preserve">did the Company </w:t>
      </w:r>
      <w:proofErr w:type="gramStart"/>
      <w:r w:rsidR="005B5B8F">
        <w:rPr>
          <w:bCs w:val="0"/>
        </w:rPr>
        <w:t>propose</w:t>
      </w:r>
      <w:proofErr w:type="gramEnd"/>
      <w:r w:rsidRPr="00D20E5B">
        <w:rPr>
          <w:bCs w:val="0"/>
        </w:rPr>
        <w:t xml:space="preserve"> </w:t>
      </w:r>
      <w:r w:rsidR="005B5B8F">
        <w:rPr>
          <w:bCs w:val="0"/>
        </w:rPr>
        <w:t>changing</w:t>
      </w:r>
      <w:r w:rsidRPr="00D20E5B">
        <w:rPr>
          <w:bCs w:val="0"/>
        </w:rPr>
        <w:t xml:space="preserve"> the way the retail revenue credit rate is determined</w:t>
      </w:r>
      <w:r w:rsidR="005B5B8F">
        <w:rPr>
          <w:bCs w:val="0"/>
        </w:rPr>
        <w:t xml:space="preserve"> in Docket No. </w:t>
      </w:r>
      <w:proofErr w:type="gramStart"/>
      <w:r w:rsidR="005B5B8F">
        <w:rPr>
          <w:bCs w:val="0"/>
        </w:rPr>
        <w:t>UE-120436</w:t>
      </w:r>
      <w:r w:rsidRPr="00D20E5B">
        <w:rPr>
          <w:bCs w:val="0"/>
        </w:rPr>
        <w:t>?</w:t>
      </w:r>
      <w:proofErr w:type="gramEnd"/>
    </w:p>
    <w:p w:rsidR="002034E5" w:rsidRDefault="00212289" w:rsidP="00212289">
      <w:pPr>
        <w:pStyle w:val="BodyText"/>
        <w:tabs>
          <w:tab w:val="num" w:pos="0"/>
          <w:tab w:val="left" w:pos="810"/>
        </w:tabs>
        <w:spacing w:line="480" w:lineRule="auto"/>
        <w:ind w:firstLine="720"/>
        <w:jc w:val="both"/>
        <w:rPr>
          <w:b w:val="0"/>
          <w:bCs w:val="0"/>
        </w:rPr>
      </w:pPr>
      <w:r>
        <w:rPr>
          <w:b w:val="0"/>
          <w:bCs w:val="0"/>
        </w:rPr>
        <w:lastRenderedPageBreak/>
        <w:t>A.</w:t>
      </w:r>
      <w:r>
        <w:rPr>
          <w:b w:val="0"/>
          <w:bCs w:val="0"/>
        </w:rPr>
        <w:tab/>
        <w:t xml:space="preserve">The </w:t>
      </w:r>
      <w:r w:rsidR="005B5B8F">
        <w:rPr>
          <w:b w:val="0"/>
          <w:bCs w:val="0"/>
        </w:rPr>
        <w:t>prior method to determine the</w:t>
      </w:r>
      <w:r>
        <w:rPr>
          <w:b w:val="0"/>
          <w:bCs w:val="0"/>
        </w:rPr>
        <w:t xml:space="preserve"> retail re</w:t>
      </w:r>
      <w:r w:rsidR="00955166">
        <w:rPr>
          <w:b w:val="0"/>
          <w:bCs w:val="0"/>
        </w:rPr>
        <w:t>venue credit rate, which was</w:t>
      </w:r>
      <w:r>
        <w:rPr>
          <w:b w:val="0"/>
          <w:bCs w:val="0"/>
        </w:rPr>
        <w:t xml:space="preserve"> based on the </w:t>
      </w:r>
      <w:r w:rsidR="00624001">
        <w:rPr>
          <w:b w:val="0"/>
          <w:bCs w:val="0"/>
        </w:rPr>
        <w:t xml:space="preserve">full </w:t>
      </w:r>
      <w:r>
        <w:rPr>
          <w:b w:val="0"/>
          <w:bCs w:val="0"/>
        </w:rPr>
        <w:t xml:space="preserve">fixed and variable production and transmission costs, </w:t>
      </w:r>
      <w:r w:rsidR="00955166">
        <w:rPr>
          <w:b w:val="0"/>
          <w:bCs w:val="0"/>
        </w:rPr>
        <w:t>resulted</w:t>
      </w:r>
      <w:r w:rsidR="00737769">
        <w:rPr>
          <w:b w:val="0"/>
          <w:bCs w:val="0"/>
        </w:rPr>
        <w:t xml:space="preserve"> in </w:t>
      </w:r>
      <w:r w:rsidR="00647807">
        <w:rPr>
          <w:b w:val="0"/>
          <w:bCs w:val="0"/>
        </w:rPr>
        <w:t>a rate</w:t>
      </w:r>
      <w:r w:rsidR="00737769">
        <w:rPr>
          <w:b w:val="0"/>
          <w:bCs w:val="0"/>
        </w:rPr>
        <w:t xml:space="preserve"> that </w:t>
      </w:r>
      <w:r w:rsidR="004A135E">
        <w:rPr>
          <w:b w:val="0"/>
          <w:bCs w:val="0"/>
        </w:rPr>
        <w:t xml:space="preserve">was </w:t>
      </w:r>
      <w:r>
        <w:rPr>
          <w:b w:val="0"/>
          <w:bCs w:val="0"/>
        </w:rPr>
        <w:t xml:space="preserve">too high.  When retail loads increase, too much new revenue is credited back to customers through the ERM, rather than being available to offset increased costs.  Because too much revenue is credited back to customers through the ERM, the matching principle is violated following a general rate case.  New revenue from load growth </w:t>
      </w:r>
      <w:r w:rsidR="004A135E">
        <w:rPr>
          <w:b w:val="0"/>
          <w:bCs w:val="0"/>
        </w:rPr>
        <w:t>should be</w:t>
      </w:r>
      <w:r>
        <w:rPr>
          <w:b w:val="0"/>
          <w:bCs w:val="0"/>
        </w:rPr>
        <w:t xml:space="preserve"> available to offset costs associated with capital additions that are necessary to </w:t>
      </w:r>
      <w:r w:rsidR="004A135E">
        <w:rPr>
          <w:b w:val="0"/>
          <w:bCs w:val="0"/>
        </w:rPr>
        <w:t xml:space="preserve">add facilities to serve </w:t>
      </w:r>
      <w:r w:rsidR="00647807">
        <w:rPr>
          <w:b w:val="0"/>
          <w:bCs w:val="0"/>
        </w:rPr>
        <w:t>load</w:t>
      </w:r>
      <w:r w:rsidR="004A135E">
        <w:rPr>
          <w:b w:val="0"/>
          <w:bCs w:val="0"/>
        </w:rPr>
        <w:t xml:space="preserve"> growth, to </w:t>
      </w:r>
      <w:r>
        <w:rPr>
          <w:b w:val="0"/>
          <w:bCs w:val="0"/>
        </w:rPr>
        <w:t xml:space="preserve">replace aging production, transmission, and back-bone distribution infrastructure, </w:t>
      </w:r>
      <w:r w:rsidR="004A135E">
        <w:rPr>
          <w:b w:val="0"/>
          <w:bCs w:val="0"/>
        </w:rPr>
        <w:t>and</w:t>
      </w:r>
      <w:r>
        <w:rPr>
          <w:b w:val="0"/>
          <w:bCs w:val="0"/>
        </w:rPr>
        <w:t xml:space="preserve"> increased operation and maintenance expenses.  </w:t>
      </w:r>
      <w:r w:rsidR="002034E5">
        <w:rPr>
          <w:b w:val="0"/>
          <w:bCs w:val="0"/>
        </w:rPr>
        <w:t xml:space="preserve">Inherent in the use of historical test-period ratemaking is the expectation that retail revenue will grow following the test year, and that revenue is available to help cover the increase in costs that occur following the test year.  If the Retail Revenue Credit is designed to </w:t>
      </w:r>
      <w:r w:rsidR="0044625D">
        <w:rPr>
          <w:b w:val="0"/>
          <w:bCs w:val="0"/>
        </w:rPr>
        <w:t>rebate to customers the growth in revenue following the test year</w:t>
      </w:r>
      <w:r w:rsidR="001E1555">
        <w:rPr>
          <w:b w:val="0"/>
          <w:bCs w:val="0"/>
        </w:rPr>
        <w:t>,</w:t>
      </w:r>
      <w:r w:rsidR="0044625D">
        <w:rPr>
          <w:b w:val="0"/>
          <w:bCs w:val="0"/>
        </w:rPr>
        <w:t xml:space="preserve"> then it violates the matching principle and is in conflict with the use of historical test period ratemaking</w:t>
      </w:r>
    </w:p>
    <w:p w:rsidR="00212289" w:rsidRDefault="00212289" w:rsidP="00212289">
      <w:pPr>
        <w:pStyle w:val="BodyText"/>
        <w:tabs>
          <w:tab w:val="num" w:pos="0"/>
          <w:tab w:val="left" w:pos="810"/>
        </w:tabs>
        <w:spacing w:line="480" w:lineRule="auto"/>
        <w:ind w:firstLine="720"/>
        <w:jc w:val="both"/>
        <w:rPr>
          <w:b w:val="0"/>
          <w:bCs w:val="0"/>
        </w:rPr>
      </w:pPr>
      <w:r>
        <w:rPr>
          <w:b w:val="0"/>
          <w:bCs w:val="0"/>
        </w:rPr>
        <w:t xml:space="preserve">By setting the retail revenue credit rate at a </w:t>
      </w:r>
      <w:r w:rsidR="001E1555">
        <w:rPr>
          <w:b w:val="0"/>
          <w:bCs w:val="0"/>
        </w:rPr>
        <w:t xml:space="preserve">level </w:t>
      </w:r>
      <w:r w:rsidR="00647807">
        <w:rPr>
          <w:b w:val="0"/>
          <w:bCs w:val="0"/>
        </w:rPr>
        <w:t>that</w:t>
      </w:r>
      <w:r w:rsidR="001E1555">
        <w:rPr>
          <w:b w:val="0"/>
          <w:bCs w:val="0"/>
        </w:rPr>
        <w:t xml:space="preserve"> reflects only the energy classified portion of production and transmission costs the Company retains growth in demand-related revenue to cover the growth in demand-related investment </w:t>
      </w:r>
      <w:proofErr w:type="gramStart"/>
      <w:r w:rsidR="001E1555">
        <w:rPr>
          <w:b w:val="0"/>
          <w:bCs w:val="0"/>
        </w:rPr>
        <w:t>and</w:t>
      </w:r>
      <w:r>
        <w:rPr>
          <w:b w:val="0"/>
          <w:bCs w:val="0"/>
        </w:rPr>
        <w:t xml:space="preserve">  </w:t>
      </w:r>
      <w:r w:rsidR="007D544E">
        <w:rPr>
          <w:b w:val="0"/>
          <w:bCs w:val="0"/>
        </w:rPr>
        <w:t>costs</w:t>
      </w:r>
      <w:proofErr w:type="gramEnd"/>
      <w:r w:rsidR="007D544E">
        <w:rPr>
          <w:b w:val="0"/>
          <w:bCs w:val="0"/>
        </w:rPr>
        <w:t xml:space="preserve">.  </w:t>
      </w:r>
      <w:r>
        <w:rPr>
          <w:b w:val="0"/>
          <w:bCs w:val="0"/>
        </w:rPr>
        <w:t xml:space="preserve">Setting the retail revenue credit </w:t>
      </w:r>
      <w:r w:rsidR="001E1555">
        <w:rPr>
          <w:b w:val="0"/>
          <w:bCs w:val="0"/>
        </w:rPr>
        <w:t>based on the energy classified portion only</w:t>
      </w:r>
      <w:r>
        <w:rPr>
          <w:b w:val="0"/>
          <w:bCs w:val="0"/>
        </w:rPr>
        <w:t xml:space="preserve"> will also eliminate </w:t>
      </w:r>
      <w:r w:rsidR="001E1555">
        <w:rPr>
          <w:b w:val="0"/>
          <w:bCs w:val="0"/>
        </w:rPr>
        <w:t>demand-related</w:t>
      </w:r>
      <w:r>
        <w:rPr>
          <w:b w:val="0"/>
          <w:bCs w:val="0"/>
        </w:rPr>
        <w:t xml:space="preserve"> production and transmission costs from being recovered through the ERM when retail loads decline.</w:t>
      </w:r>
      <w:r w:rsidR="00D61105">
        <w:rPr>
          <w:b w:val="0"/>
          <w:bCs w:val="0"/>
        </w:rPr>
        <w:t xml:space="preserve">  This eliminates any argument that the retail revenue credit operates as a partial decoupling mechanism when loads decline.</w:t>
      </w:r>
    </w:p>
    <w:p w:rsidR="00212289" w:rsidRDefault="00212289" w:rsidP="00212289">
      <w:pPr>
        <w:pStyle w:val="BodyText"/>
        <w:tabs>
          <w:tab w:val="num" w:pos="0"/>
          <w:tab w:val="left" w:pos="810"/>
        </w:tabs>
        <w:spacing w:line="480" w:lineRule="auto"/>
        <w:ind w:firstLine="720"/>
        <w:jc w:val="both"/>
        <w:rPr>
          <w:b w:val="0"/>
          <w:bCs w:val="0"/>
        </w:rPr>
      </w:pPr>
      <w:r>
        <w:rPr>
          <w:b w:val="0"/>
          <w:bCs w:val="0"/>
        </w:rPr>
        <w:t xml:space="preserve">The cost changes that are tracked through the ERM are primarily due to changes in the price of </w:t>
      </w:r>
      <w:r w:rsidRPr="00591EDC">
        <w:rPr>
          <w:b w:val="0"/>
          <w:bCs w:val="0"/>
          <w:u w:val="single"/>
        </w:rPr>
        <w:t>energy</w:t>
      </w:r>
      <w:r>
        <w:rPr>
          <w:b w:val="0"/>
          <w:bCs w:val="0"/>
        </w:rPr>
        <w:t>, or changes to the amount of energy bei</w:t>
      </w:r>
      <w:r w:rsidR="004704D9">
        <w:rPr>
          <w:b w:val="0"/>
          <w:bCs w:val="0"/>
        </w:rPr>
        <w:t xml:space="preserve">ng purchased </w:t>
      </w:r>
      <w:r w:rsidR="00F243FF">
        <w:rPr>
          <w:b w:val="0"/>
          <w:bCs w:val="0"/>
        </w:rPr>
        <w:t xml:space="preserve">or sold at the </w:t>
      </w:r>
      <w:r w:rsidR="00F243FF">
        <w:rPr>
          <w:b w:val="0"/>
          <w:bCs w:val="0"/>
        </w:rPr>
        <w:lastRenderedPageBreak/>
        <w:t>wholesale level</w:t>
      </w:r>
      <w:r>
        <w:rPr>
          <w:b w:val="0"/>
          <w:bCs w:val="0"/>
        </w:rPr>
        <w:t xml:space="preserve">.  Since the costs being tracked through the ERM are primarily </w:t>
      </w:r>
      <w:r w:rsidRPr="00591EDC">
        <w:rPr>
          <w:b w:val="0"/>
          <w:bCs w:val="0"/>
          <w:u w:val="single"/>
        </w:rPr>
        <w:t>energy</w:t>
      </w:r>
      <w:r>
        <w:rPr>
          <w:b w:val="0"/>
          <w:bCs w:val="0"/>
        </w:rPr>
        <w:t xml:space="preserve"> related, it </w:t>
      </w:r>
      <w:r w:rsidR="00591EDC">
        <w:rPr>
          <w:b w:val="0"/>
          <w:bCs w:val="0"/>
        </w:rPr>
        <w:t>is appropriate</w:t>
      </w:r>
      <w:r>
        <w:rPr>
          <w:b w:val="0"/>
          <w:bCs w:val="0"/>
        </w:rPr>
        <w:t xml:space="preserve"> for the retail revenue credit to be based on the </w:t>
      </w:r>
      <w:r w:rsidRPr="00591EDC">
        <w:rPr>
          <w:b w:val="0"/>
          <w:bCs w:val="0"/>
          <w:u w:val="single"/>
        </w:rPr>
        <w:t>energy</w:t>
      </w:r>
      <w:r w:rsidR="00591EDC">
        <w:rPr>
          <w:b w:val="0"/>
          <w:bCs w:val="0"/>
        </w:rPr>
        <w:t>-</w:t>
      </w:r>
      <w:r>
        <w:rPr>
          <w:b w:val="0"/>
          <w:bCs w:val="0"/>
        </w:rPr>
        <w:t>related portion of production and transmission costs reflected in retail rates.</w:t>
      </w:r>
    </w:p>
    <w:p w:rsidR="00212289" w:rsidRDefault="00212289" w:rsidP="00212289">
      <w:pPr>
        <w:pStyle w:val="BodyText"/>
        <w:tabs>
          <w:tab w:val="num" w:pos="0"/>
          <w:tab w:val="left" w:pos="810"/>
        </w:tabs>
        <w:spacing w:line="480" w:lineRule="auto"/>
        <w:ind w:firstLine="720"/>
        <w:jc w:val="both"/>
        <w:rPr>
          <w:bCs w:val="0"/>
        </w:rPr>
      </w:pPr>
      <w:r>
        <w:rPr>
          <w:bCs w:val="0"/>
        </w:rPr>
        <w:t>Q.</w:t>
      </w:r>
      <w:r>
        <w:rPr>
          <w:bCs w:val="0"/>
        </w:rPr>
        <w:tab/>
        <w:t>What retail revenue credit method is used in the Idaho PCA?</w:t>
      </w:r>
    </w:p>
    <w:p w:rsidR="006E4FC3" w:rsidRDefault="00212289" w:rsidP="006E4FC3">
      <w:pPr>
        <w:pStyle w:val="BodyText"/>
        <w:tabs>
          <w:tab w:val="num" w:pos="0"/>
          <w:tab w:val="left" w:pos="810"/>
        </w:tabs>
        <w:spacing w:line="480" w:lineRule="auto"/>
        <w:ind w:firstLine="720"/>
        <w:jc w:val="both"/>
        <w:rPr>
          <w:b w:val="0"/>
          <w:bCs w:val="0"/>
        </w:rPr>
      </w:pPr>
      <w:r>
        <w:rPr>
          <w:bCs w:val="0"/>
        </w:rPr>
        <w:t>A.</w:t>
      </w:r>
      <w:r>
        <w:rPr>
          <w:bCs w:val="0"/>
        </w:rPr>
        <w:tab/>
      </w:r>
      <w:r w:rsidRPr="00235D93">
        <w:rPr>
          <w:b w:val="0"/>
          <w:bCs w:val="0"/>
        </w:rPr>
        <w:t>Effective April 1, 2011</w:t>
      </w:r>
      <w:r w:rsidR="00460A0B">
        <w:rPr>
          <w:b w:val="0"/>
          <w:bCs w:val="0"/>
        </w:rPr>
        <w:t>,</w:t>
      </w:r>
      <w:r>
        <w:rPr>
          <w:b w:val="0"/>
          <w:bCs w:val="0"/>
        </w:rPr>
        <w:t xml:space="preserve"> the Idaho Public Utilities Commission authorized a switch to the energy classified portion of embedded production </w:t>
      </w:r>
      <w:r w:rsidR="001E1555">
        <w:rPr>
          <w:b w:val="0"/>
          <w:bCs w:val="0"/>
        </w:rPr>
        <w:t xml:space="preserve">and transmission </w:t>
      </w:r>
      <w:r>
        <w:rPr>
          <w:b w:val="0"/>
          <w:bCs w:val="0"/>
        </w:rPr>
        <w:t>revenue requirement to determine the retail revenue credit, which is referred to as the “Load Change Adjustment Rate” in Idaho.  The method applies to all three investor-owned, electric utilities in Idaho, namely, Avista, Idaho Power, and Rocky Mountain Power.  On April 1, 2011 the retail revenue credit for Avi</w:t>
      </w:r>
      <w:r w:rsidR="00804CDF">
        <w:rPr>
          <w:b w:val="0"/>
          <w:bCs w:val="0"/>
        </w:rPr>
        <w:t>sta</w:t>
      </w:r>
      <w:r w:rsidR="000945E1">
        <w:rPr>
          <w:b w:val="0"/>
          <w:bCs w:val="0"/>
        </w:rPr>
        <w:t xml:space="preserve"> in Idaho</w:t>
      </w:r>
      <w:r w:rsidR="00804CDF">
        <w:rPr>
          <w:b w:val="0"/>
          <w:bCs w:val="0"/>
        </w:rPr>
        <w:t xml:space="preserve"> was reduced from $48.00/</w:t>
      </w:r>
      <w:proofErr w:type="spellStart"/>
      <w:r>
        <w:rPr>
          <w:b w:val="0"/>
          <w:bCs w:val="0"/>
        </w:rPr>
        <w:t>M</w:t>
      </w:r>
      <w:r w:rsidR="00804CDF">
        <w:rPr>
          <w:b w:val="0"/>
          <w:bCs w:val="0"/>
        </w:rPr>
        <w:t>Wh</w:t>
      </w:r>
      <w:proofErr w:type="spellEnd"/>
      <w:r w:rsidR="00804CDF">
        <w:rPr>
          <w:b w:val="0"/>
          <w:bCs w:val="0"/>
        </w:rPr>
        <w:t xml:space="preserve"> to $30.16/</w:t>
      </w:r>
      <w:proofErr w:type="spellStart"/>
      <w:r>
        <w:rPr>
          <w:b w:val="0"/>
          <w:bCs w:val="0"/>
        </w:rPr>
        <w:t>M</w:t>
      </w:r>
      <w:r w:rsidR="00804CDF">
        <w:rPr>
          <w:b w:val="0"/>
          <w:bCs w:val="0"/>
        </w:rPr>
        <w:t>W</w:t>
      </w:r>
      <w:r>
        <w:rPr>
          <w:b w:val="0"/>
          <w:bCs w:val="0"/>
        </w:rPr>
        <w:t>h</w:t>
      </w:r>
      <w:proofErr w:type="spellEnd"/>
      <w:r>
        <w:rPr>
          <w:b w:val="0"/>
          <w:bCs w:val="0"/>
        </w:rPr>
        <w:t>.</w:t>
      </w:r>
    </w:p>
    <w:p w:rsidR="006E4FC3" w:rsidRDefault="006E4FC3" w:rsidP="006E4FC3">
      <w:pPr>
        <w:pStyle w:val="BodyText"/>
        <w:tabs>
          <w:tab w:val="num" w:pos="0"/>
          <w:tab w:val="left" w:pos="810"/>
        </w:tabs>
        <w:spacing w:line="480" w:lineRule="auto"/>
        <w:ind w:firstLine="720"/>
        <w:jc w:val="both"/>
      </w:pPr>
    </w:p>
    <w:p w:rsidR="00E47BE6" w:rsidRPr="0045060B" w:rsidRDefault="00E47BE6" w:rsidP="00E47BE6">
      <w:pPr>
        <w:pStyle w:val="TestBody"/>
        <w:tabs>
          <w:tab w:val="num" w:pos="0"/>
          <w:tab w:val="num" w:pos="720"/>
        </w:tabs>
        <w:spacing w:line="480" w:lineRule="auto"/>
        <w:ind w:left="0" w:firstLine="0"/>
        <w:jc w:val="center"/>
        <w:rPr>
          <w:rFonts w:ascii="Times New Roman" w:hAnsi="Times New Roman" w:cs="Times New Roman"/>
          <w:b/>
          <w:bCs/>
          <w:u w:val="single"/>
        </w:rPr>
      </w:pPr>
      <w:r w:rsidRPr="0045060B">
        <w:rPr>
          <w:rFonts w:ascii="Times New Roman" w:hAnsi="Times New Roman" w:cs="Times New Roman"/>
          <w:b/>
          <w:bCs/>
          <w:u w:val="single"/>
        </w:rPr>
        <w:t>V.</w:t>
      </w:r>
      <w:r w:rsidR="00274C65">
        <w:rPr>
          <w:rFonts w:ascii="Times New Roman" w:hAnsi="Times New Roman" w:cs="Times New Roman"/>
          <w:b/>
          <w:bCs/>
          <w:u w:val="single"/>
        </w:rPr>
        <w:t xml:space="preserve">  </w:t>
      </w:r>
      <w:r w:rsidRPr="0045060B">
        <w:rPr>
          <w:rFonts w:ascii="Times New Roman" w:hAnsi="Times New Roman" w:cs="Times New Roman"/>
          <w:b/>
          <w:bCs/>
          <w:u w:val="single"/>
        </w:rPr>
        <w:t>RENEWABLE ENERGY CREDIT REVENUE MECHANISM</w:t>
      </w:r>
    </w:p>
    <w:p w:rsidR="00212289" w:rsidRDefault="00C0583F" w:rsidP="00212289">
      <w:pPr>
        <w:pStyle w:val="BodyText"/>
        <w:tabs>
          <w:tab w:val="num" w:pos="0"/>
          <w:tab w:val="left" w:pos="810"/>
        </w:tabs>
        <w:spacing w:line="480" w:lineRule="auto"/>
        <w:ind w:firstLine="720"/>
        <w:jc w:val="both"/>
        <w:rPr>
          <w:bCs w:val="0"/>
        </w:rPr>
      </w:pPr>
      <w:r>
        <w:rPr>
          <w:bCs w:val="0"/>
        </w:rPr>
        <w:t>Q.</w:t>
      </w:r>
      <w:r>
        <w:rPr>
          <w:bCs w:val="0"/>
        </w:rPr>
        <w:tab/>
      </w:r>
      <w:r w:rsidR="001E1555">
        <w:rPr>
          <w:bCs w:val="0"/>
        </w:rPr>
        <w:t>Please explain</w:t>
      </w:r>
      <w:r w:rsidR="00E47BE6">
        <w:rPr>
          <w:bCs w:val="0"/>
        </w:rPr>
        <w:t xml:space="preserve"> the issue regarding Renewable Energy Credit (REC) revenue?</w:t>
      </w:r>
    </w:p>
    <w:p w:rsidR="007B6398" w:rsidRDefault="00E47BE6" w:rsidP="00212289">
      <w:pPr>
        <w:pStyle w:val="BodyText"/>
        <w:tabs>
          <w:tab w:val="num" w:pos="0"/>
          <w:tab w:val="left" w:pos="810"/>
        </w:tabs>
        <w:spacing w:line="480" w:lineRule="auto"/>
        <w:ind w:firstLine="720"/>
        <w:jc w:val="both"/>
        <w:rPr>
          <w:b w:val="0"/>
          <w:bCs w:val="0"/>
        </w:rPr>
      </w:pPr>
      <w:r>
        <w:rPr>
          <w:b w:val="0"/>
          <w:bCs w:val="0"/>
        </w:rPr>
        <w:t>A.</w:t>
      </w:r>
      <w:r>
        <w:rPr>
          <w:b w:val="0"/>
          <w:bCs w:val="0"/>
        </w:rPr>
        <w:tab/>
        <w:t>In Order 09 in D</w:t>
      </w:r>
      <w:r w:rsidR="00C0583F">
        <w:rPr>
          <w:b w:val="0"/>
          <w:bCs w:val="0"/>
        </w:rPr>
        <w:t>ocket No. UE-120436</w:t>
      </w:r>
      <w:r w:rsidR="001E1555">
        <w:rPr>
          <w:b w:val="0"/>
          <w:bCs w:val="0"/>
        </w:rPr>
        <w:t>,</w:t>
      </w:r>
      <w:r w:rsidR="00C0583F">
        <w:rPr>
          <w:b w:val="0"/>
          <w:bCs w:val="0"/>
        </w:rPr>
        <w:t xml:space="preserve"> the Commission ordered the Company to separately track all REC revenue and develop a mechanism to return REC revenue to customers.</w:t>
      </w:r>
      <w:r>
        <w:rPr>
          <w:b w:val="0"/>
          <w:bCs w:val="0"/>
        </w:rPr>
        <w:t xml:space="preserve">  The Commission also ordered the Company to remove REC revenue from bas</w:t>
      </w:r>
      <w:r w:rsidR="004131C2">
        <w:rPr>
          <w:b w:val="0"/>
          <w:bCs w:val="0"/>
        </w:rPr>
        <w:t>e rates beginning January 1, 201</w:t>
      </w:r>
      <w:r>
        <w:rPr>
          <w:b w:val="0"/>
          <w:bCs w:val="0"/>
        </w:rPr>
        <w:t>5.   Prior to that order</w:t>
      </w:r>
      <w:r w:rsidR="004131C2">
        <w:rPr>
          <w:b w:val="0"/>
          <w:bCs w:val="0"/>
        </w:rPr>
        <w:t xml:space="preserve">, the Company included REC </w:t>
      </w:r>
      <w:r>
        <w:rPr>
          <w:b w:val="0"/>
          <w:bCs w:val="0"/>
        </w:rPr>
        <w:t xml:space="preserve">revenue in the power supply pro forma and tracked the difference between actual and authorized REC revenue in the ERM in a manner similar to other power supply expenses and revenues.  That meant that </w:t>
      </w:r>
      <w:r w:rsidR="001E1555">
        <w:rPr>
          <w:b w:val="0"/>
          <w:bCs w:val="0"/>
        </w:rPr>
        <w:t xml:space="preserve">the </w:t>
      </w:r>
      <w:r>
        <w:rPr>
          <w:b w:val="0"/>
          <w:bCs w:val="0"/>
        </w:rPr>
        <w:t xml:space="preserve">difference in REC revenue between the actual and authorized level was subject to the ERM sharing bands.  It also meant that differences in </w:t>
      </w:r>
      <w:r>
        <w:rPr>
          <w:b w:val="0"/>
          <w:bCs w:val="0"/>
        </w:rPr>
        <w:lastRenderedPageBreak/>
        <w:t xml:space="preserve">REC revenue would not flow through to customers until such time </w:t>
      </w:r>
      <w:r w:rsidR="001E1555">
        <w:rPr>
          <w:b w:val="0"/>
          <w:bCs w:val="0"/>
        </w:rPr>
        <w:t xml:space="preserve">as </w:t>
      </w:r>
      <w:r>
        <w:rPr>
          <w:b w:val="0"/>
          <w:bCs w:val="0"/>
        </w:rPr>
        <w:t>the $30 million ERM trigger was reached and there was either a</w:t>
      </w:r>
      <w:r w:rsidR="004131C2">
        <w:rPr>
          <w:b w:val="0"/>
          <w:bCs w:val="0"/>
        </w:rPr>
        <w:t>n</w:t>
      </w:r>
      <w:r>
        <w:rPr>
          <w:b w:val="0"/>
          <w:bCs w:val="0"/>
        </w:rPr>
        <w:t xml:space="preserve"> ERM surcharge or rebate.  </w:t>
      </w:r>
    </w:p>
    <w:p w:rsidR="007B6398" w:rsidRPr="00E47BE6" w:rsidRDefault="007B6398" w:rsidP="00212289">
      <w:pPr>
        <w:pStyle w:val="BodyText"/>
        <w:tabs>
          <w:tab w:val="num" w:pos="0"/>
          <w:tab w:val="left" w:pos="810"/>
        </w:tabs>
        <w:spacing w:line="480" w:lineRule="auto"/>
        <w:ind w:firstLine="720"/>
        <w:jc w:val="both"/>
        <w:rPr>
          <w:bCs w:val="0"/>
        </w:rPr>
      </w:pPr>
      <w:proofErr w:type="gramStart"/>
      <w:r w:rsidRPr="00E47BE6">
        <w:rPr>
          <w:bCs w:val="0"/>
        </w:rPr>
        <w:t>Q.</w:t>
      </w:r>
      <w:r w:rsidRPr="00E47BE6">
        <w:rPr>
          <w:bCs w:val="0"/>
        </w:rPr>
        <w:tab/>
        <w:t>Please describe the Company’s proposal for returning REC revenue to customers.</w:t>
      </w:r>
      <w:proofErr w:type="gramEnd"/>
    </w:p>
    <w:p w:rsidR="007E493D" w:rsidRDefault="007B6398" w:rsidP="00212289">
      <w:pPr>
        <w:pStyle w:val="BodyText"/>
        <w:tabs>
          <w:tab w:val="num" w:pos="0"/>
          <w:tab w:val="left" w:pos="810"/>
        </w:tabs>
        <w:spacing w:line="480" w:lineRule="auto"/>
        <w:ind w:firstLine="720"/>
        <w:jc w:val="both"/>
        <w:rPr>
          <w:b w:val="0"/>
          <w:bCs w:val="0"/>
        </w:rPr>
      </w:pPr>
      <w:r>
        <w:rPr>
          <w:b w:val="0"/>
          <w:bCs w:val="0"/>
        </w:rPr>
        <w:t>A.</w:t>
      </w:r>
      <w:r>
        <w:rPr>
          <w:b w:val="0"/>
          <w:bCs w:val="0"/>
        </w:rPr>
        <w:tab/>
        <w:t>The Company proposes to implement a REC revenue re</w:t>
      </w:r>
      <w:r w:rsidR="00D61105">
        <w:rPr>
          <w:b w:val="0"/>
          <w:bCs w:val="0"/>
        </w:rPr>
        <w:t xml:space="preserve">bate effective January 1, 2015, </w:t>
      </w:r>
      <w:r>
        <w:rPr>
          <w:b w:val="0"/>
          <w:bCs w:val="0"/>
        </w:rPr>
        <w:t>coinciding with any change in base rates</w:t>
      </w:r>
      <w:r w:rsidR="001E1555">
        <w:rPr>
          <w:b w:val="0"/>
          <w:bCs w:val="0"/>
        </w:rPr>
        <w:t xml:space="preserve"> from this rate case filing</w:t>
      </w:r>
      <w:r>
        <w:rPr>
          <w:b w:val="0"/>
          <w:bCs w:val="0"/>
        </w:rPr>
        <w:t xml:space="preserve">.  This rebate </w:t>
      </w:r>
      <w:r w:rsidR="001E1555">
        <w:rPr>
          <w:b w:val="0"/>
          <w:bCs w:val="0"/>
        </w:rPr>
        <w:t xml:space="preserve">would </w:t>
      </w:r>
      <w:r w:rsidR="00EA06F1">
        <w:rPr>
          <w:b w:val="0"/>
          <w:bCs w:val="0"/>
        </w:rPr>
        <w:t xml:space="preserve">be based on </w:t>
      </w:r>
      <w:r w:rsidR="00FD76EC">
        <w:rPr>
          <w:b w:val="0"/>
          <w:bCs w:val="0"/>
        </w:rPr>
        <w:t xml:space="preserve">actual and projected net </w:t>
      </w:r>
      <w:r w:rsidR="00EA06F1">
        <w:rPr>
          <w:b w:val="0"/>
          <w:bCs w:val="0"/>
        </w:rPr>
        <w:t>REC revenues fro</w:t>
      </w:r>
      <w:r>
        <w:rPr>
          <w:b w:val="0"/>
          <w:bCs w:val="0"/>
        </w:rPr>
        <w:t>m 2012 through June 2016.</w:t>
      </w:r>
      <w:r w:rsidR="00EA06F1">
        <w:rPr>
          <w:b w:val="0"/>
          <w:bCs w:val="0"/>
        </w:rPr>
        <w:t xml:space="preserve">  The </w:t>
      </w:r>
      <w:r w:rsidR="001E1555">
        <w:rPr>
          <w:b w:val="0"/>
          <w:bCs w:val="0"/>
        </w:rPr>
        <w:t xml:space="preserve">proposed </w:t>
      </w:r>
      <w:r w:rsidR="00EA06F1">
        <w:rPr>
          <w:b w:val="0"/>
          <w:bCs w:val="0"/>
        </w:rPr>
        <w:t xml:space="preserve">amortization period for this rebate </w:t>
      </w:r>
      <w:r w:rsidR="001E1555">
        <w:rPr>
          <w:b w:val="0"/>
          <w:bCs w:val="0"/>
        </w:rPr>
        <w:t xml:space="preserve">would </w:t>
      </w:r>
      <w:r w:rsidR="00EA06F1">
        <w:rPr>
          <w:b w:val="0"/>
          <w:bCs w:val="0"/>
        </w:rPr>
        <w:t xml:space="preserve">be 18 months, January 2015 through June 2016.  REC revenue </w:t>
      </w:r>
      <w:r w:rsidR="001E1555">
        <w:rPr>
          <w:b w:val="0"/>
          <w:bCs w:val="0"/>
        </w:rPr>
        <w:t xml:space="preserve">would </w:t>
      </w:r>
      <w:r w:rsidR="00EA06F1">
        <w:rPr>
          <w:b w:val="0"/>
          <w:bCs w:val="0"/>
        </w:rPr>
        <w:t xml:space="preserve">be based on the actual REC revenue in excess of the amount in base rates for 2012 and 2013, the estimated REC revenue in excess of the amount in base rates for 2014, and the total estimated REC revenue for the period January 2015 through June 2016.  </w:t>
      </w:r>
      <w:r w:rsidR="00B20483">
        <w:rPr>
          <w:b w:val="0"/>
          <w:bCs w:val="0"/>
        </w:rPr>
        <w:t xml:space="preserve">  The Company proposes that the rebate be implemented on a uniform cents/kWh </w:t>
      </w:r>
      <w:r w:rsidR="00D61105">
        <w:rPr>
          <w:b w:val="0"/>
          <w:bCs w:val="0"/>
        </w:rPr>
        <w:t xml:space="preserve">basis </w:t>
      </w:r>
      <w:r w:rsidR="00B20483">
        <w:rPr>
          <w:b w:val="0"/>
          <w:bCs w:val="0"/>
        </w:rPr>
        <w:t>across all rate classes.</w:t>
      </w:r>
    </w:p>
    <w:p w:rsidR="007E493D" w:rsidRPr="007E493D" w:rsidRDefault="007E493D" w:rsidP="00212289">
      <w:pPr>
        <w:pStyle w:val="BodyText"/>
        <w:tabs>
          <w:tab w:val="num" w:pos="0"/>
          <w:tab w:val="left" w:pos="810"/>
        </w:tabs>
        <w:spacing w:line="480" w:lineRule="auto"/>
        <w:ind w:firstLine="720"/>
        <w:jc w:val="both"/>
        <w:rPr>
          <w:bCs w:val="0"/>
        </w:rPr>
      </w:pPr>
      <w:r w:rsidRPr="007E493D">
        <w:rPr>
          <w:bCs w:val="0"/>
        </w:rPr>
        <w:t>Q.</w:t>
      </w:r>
      <w:r w:rsidRPr="007E493D">
        <w:rPr>
          <w:bCs w:val="0"/>
        </w:rPr>
        <w:tab/>
        <w:t xml:space="preserve">Please specify the mechanics of how REC revenues </w:t>
      </w:r>
      <w:r w:rsidR="001E1555">
        <w:rPr>
          <w:bCs w:val="0"/>
        </w:rPr>
        <w:t>would</w:t>
      </w:r>
      <w:r w:rsidR="001E1555" w:rsidRPr="007E493D">
        <w:rPr>
          <w:bCs w:val="0"/>
        </w:rPr>
        <w:t xml:space="preserve"> </w:t>
      </w:r>
      <w:r w:rsidRPr="007E493D">
        <w:rPr>
          <w:bCs w:val="0"/>
        </w:rPr>
        <w:t>be rebated.</w:t>
      </w:r>
    </w:p>
    <w:p w:rsidR="009F321F" w:rsidRPr="009F321F" w:rsidRDefault="007E493D" w:rsidP="009F321F">
      <w:pPr>
        <w:pStyle w:val="BodyText"/>
        <w:tabs>
          <w:tab w:val="num" w:pos="0"/>
          <w:tab w:val="left" w:pos="810"/>
        </w:tabs>
        <w:spacing w:line="480" w:lineRule="auto"/>
        <w:ind w:firstLine="720"/>
        <w:jc w:val="both"/>
        <w:rPr>
          <w:b w:val="0"/>
          <w:bCs w:val="0"/>
        </w:rPr>
      </w:pPr>
      <w:r>
        <w:rPr>
          <w:b w:val="0"/>
          <w:bCs w:val="0"/>
        </w:rPr>
        <w:t>A.</w:t>
      </w:r>
      <w:r>
        <w:rPr>
          <w:b w:val="0"/>
          <w:bCs w:val="0"/>
        </w:rPr>
        <w:tab/>
        <w:t>As stated above, the Company proposes to implement an in</w:t>
      </w:r>
      <w:r w:rsidR="008F7A01">
        <w:rPr>
          <w:b w:val="0"/>
          <w:bCs w:val="0"/>
        </w:rPr>
        <w:t>i</w:t>
      </w:r>
      <w:r>
        <w:rPr>
          <w:b w:val="0"/>
          <w:bCs w:val="0"/>
        </w:rPr>
        <w:t xml:space="preserve">tial </w:t>
      </w:r>
      <w:r w:rsidR="00FD76EC">
        <w:rPr>
          <w:b w:val="0"/>
          <w:bCs w:val="0"/>
        </w:rPr>
        <w:t xml:space="preserve">net </w:t>
      </w:r>
      <w:r>
        <w:rPr>
          <w:b w:val="0"/>
          <w:bCs w:val="0"/>
        </w:rPr>
        <w:t xml:space="preserve">REC revenue rebate </w:t>
      </w:r>
      <w:r w:rsidR="000945E1">
        <w:rPr>
          <w:b w:val="0"/>
          <w:bCs w:val="0"/>
        </w:rPr>
        <w:t xml:space="preserve">beginning January 1, 2015 </w:t>
      </w:r>
      <w:r>
        <w:rPr>
          <w:b w:val="0"/>
          <w:bCs w:val="0"/>
        </w:rPr>
        <w:t xml:space="preserve">based on actual and estimated REC revenues. This rebate would be in effect through June 2016.  </w:t>
      </w:r>
      <w:r w:rsidR="00A938FB">
        <w:rPr>
          <w:b w:val="0"/>
          <w:bCs w:val="0"/>
        </w:rPr>
        <w:t>On or before April 1, 2016</w:t>
      </w:r>
      <w:r w:rsidR="00582255">
        <w:rPr>
          <w:b w:val="0"/>
          <w:bCs w:val="0"/>
        </w:rPr>
        <w:t>, as part of the annual ERM filing</w:t>
      </w:r>
      <w:r w:rsidR="00006315">
        <w:rPr>
          <w:rStyle w:val="FootnoteReference"/>
          <w:b w:val="0"/>
          <w:bCs w:val="0"/>
        </w:rPr>
        <w:footnoteReference w:id="4"/>
      </w:r>
      <w:r w:rsidR="00582255">
        <w:rPr>
          <w:b w:val="0"/>
          <w:bCs w:val="0"/>
        </w:rPr>
        <w:t xml:space="preserve">, the Company </w:t>
      </w:r>
      <w:r w:rsidR="001E1555">
        <w:rPr>
          <w:b w:val="0"/>
          <w:bCs w:val="0"/>
        </w:rPr>
        <w:t xml:space="preserve">would </w:t>
      </w:r>
      <w:r>
        <w:rPr>
          <w:b w:val="0"/>
          <w:bCs w:val="0"/>
        </w:rPr>
        <w:t xml:space="preserve">provide the Commission with a true-up of </w:t>
      </w:r>
      <w:r w:rsidR="00FD76EC">
        <w:rPr>
          <w:b w:val="0"/>
          <w:bCs w:val="0"/>
        </w:rPr>
        <w:t xml:space="preserve">net </w:t>
      </w:r>
      <w:r>
        <w:rPr>
          <w:b w:val="0"/>
          <w:bCs w:val="0"/>
        </w:rPr>
        <w:t>REC revenues through December 201</w:t>
      </w:r>
      <w:r w:rsidR="00D61105">
        <w:rPr>
          <w:b w:val="0"/>
          <w:bCs w:val="0"/>
        </w:rPr>
        <w:t>5</w:t>
      </w:r>
      <w:r>
        <w:rPr>
          <w:b w:val="0"/>
          <w:bCs w:val="0"/>
        </w:rPr>
        <w:t xml:space="preserve"> and provide an estimate of </w:t>
      </w:r>
      <w:r w:rsidR="00FD76EC">
        <w:rPr>
          <w:b w:val="0"/>
          <w:bCs w:val="0"/>
        </w:rPr>
        <w:t xml:space="preserve">net </w:t>
      </w:r>
      <w:r>
        <w:rPr>
          <w:b w:val="0"/>
          <w:bCs w:val="0"/>
        </w:rPr>
        <w:t>REC revenues for the period July 2016 through June 2017.  The Company proposes that this estimate</w:t>
      </w:r>
      <w:r w:rsidR="008F7A01">
        <w:rPr>
          <w:b w:val="0"/>
          <w:bCs w:val="0"/>
        </w:rPr>
        <w:t>,</w:t>
      </w:r>
      <w:r>
        <w:rPr>
          <w:b w:val="0"/>
          <w:bCs w:val="0"/>
        </w:rPr>
        <w:t xml:space="preserve"> along with the true-up</w:t>
      </w:r>
      <w:r w:rsidR="008F7A01">
        <w:rPr>
          <w:b w:val="0"/>
          <w:bCs w:val="0"/>
        </w:rPr>
        <w:t>,</w:t>
      </w:r>
      <w:r>
        <w:rPr>
          <w:b w:val="0"/>
          <w:bCs w:val="0"/>
        </w:rPr>
        <w:t xml:space="preserve"> form the basis for a new REC revenue rebate that would go into effect July 1, 2016 and </w:t>
      </w:r>
      <w:r w:rsidR="00946AEE">
        <w:rPr>
          <w:b w:val="0"/>
          <w:bCs w:val="0"/>
        </w:rPr>
        <w:t xml:space="preserve">end June 30, 2017.  The same process would repeat each year, where the Company </w:t>
      </w:r>
      <w:r w:rsidR="00946AEE">
        <w:rPr>
          <w:b w:val="0"/>
          <w:bCs w:val="0"/>
        </w:rPr>
        <w:lastRenderedPageBreak/>
        <w:t xml:space="preserve">includes a true-up and estimate for a new REC revenue rebate as part of its annual ERM filing.  Exhibit </w:t>
      </w:r>
      <w:r w:rsidR="00E67E92">
        <w:rPr>
          <w:b w:val="0"/>
          <w:bCs w:val="0"/>
        </w:rPr>
        <w:t>No.</w:t>
      </w:r>
      <w:r w:rsidR="00946AEE">
        <w:rPr>
          <w:b w:val="0"/>
          <w:bCs w:val="0"/>
        </w:rPr>
        <w:t xml:space="preserve">___ </w:t>
      </w:r>
      <w:r w:rsidR="00E67E92">
        <w:rPr>
          <w:b w:val="0"/>
          <w:bCs w:val="0"/>
        </w:rPr>
        <w:t xml:space="preserve">(WGJ-5) </w:t>
      </w:r>
      <w:r w:rsidR="00946AEE">
        <w:rPr>
          <w:b w:val="0"/>
          <w:bCs w:val="0"/>
        </w:rPr>
        <w:t>shows a schematic of the Company’s proposed REC revenue rebate mechanism.</w:t>
      </w:r>
    </w:p>
    <w:p w:rsidR="00A634B5" w:rsidRDefault="00C019A2">
      <w:pPr>
        <w:spacing w:line="480" w:lineRule="auto"/>
        <w:ind w:firstLine="720"/>
        <w:jc w:val="both"/>
        <w:rPr>
          <w:b/>
        </w:rPr>
      </w:pPr>
      <w:r w:rsidRPr="00B413E0">
        <w:rPr>
          <w:b/>
        </w:rPr>
        <w:t>Q.</w:t>
      </w:r>
      <w:r w:rsidRPr="00B413E0">
        <w:rPr>
          <w:b/>
        </w:rPr>
        <w:tab/>
        <w:t>Please describe the accounting relating to REC revenues.</w:t>
      </w:r>
    </w:p>
    <w:p w:rsidR="00A634B5" w:rsidRDefault="00C019A2">
      <w:pPr>
        <w:spacing w:line="480" w:lineRule="auto"/>
        <w:ind w:firstLine="720"/>
        <w:jc w:val="both"/>
      </w:pPr>
      <w:r>
        <w:t>A.</w:t>
      </w:r>
      <w:r>
        <w:tab/>
        <w:t>The Company currently uses FERC Account 186</w:t>
      </w:r>
      <w:r w:rsidR="00267481">
        <w:t>.</w:t>
      </w:r>
      <w:r>
        <w:t>322 (Miscellaneous Deferred Debits – WA REC Deferral) to record the actual net REC revenues in excess of the amounts in base rates.  Through December 31, 2013, the Company has recorded $</w:t>
      </w:r>
      <w:r w:rsidR="00D5554F">
        <w:t xml:space="preserve">1,569,264 </w:t>
      </w:r>
      <w:r>
        <w:t>net REC revenues in this FERC Account.  In addition, the Company has accrued interest of $</w:t>
      </w:r>
      <w:r w:rsidR="00D5554F">
        <w:t>37,684</w:t>
      </w:r>
      <w:r>
        <w:t xml:space="preserve">, through December 31, 2013. Interest has been computed using the same method that is used for the ERM.  </w:t>
      </w:r>
      <w:r w:rsidRPr="00F527A4">
        <w:t>Interest is applied to the average of the beginning and ending month deferral balances net of associated deferred federal income tax.  The Company’s weighted cost of debt is used as the interest rate.  The interest rate is updated semi-annually and interest is compounded semi-annually.</w:t>
      </w:r>
    </w:p>
    <w:p w:rsidR="00C019A2" w:rsidRDefault="00C019A2" w:rsidP="00C019A2">
      <w:pPr>
        <w:spacing w:line="480" w:lineRule="auto"/>
        <w:jc w:val="both"/>
      </w:pPr>
      <w:r>
        <w:tab/>
        <w:t>The Company will continue to defer all net REC revenues in excess of the amounts in base rates for 2014 in FERC Account 186</w:t>
      </w:r>
      <w:r w:rsidR="00267481">
        <w:t>.</w:t>
      </w:r>
      <w:r>
        <w:t xml:space="preserve">322.  In addition, the Company will defer all net REC revenues for the 2015 in this account.  Beginning in January 2015, with the effective date of new base rates from this case, the Company will record the rebate to customers, net of revenue-sensitive expenses, in this account.  Interest will continue to accrue, as described above.  </w:t>
      </w:r>
    </w:p>
    <w:p w:rsidR="00C019A2" w:rsidRDefault="00C019A2" w:rsidP="00C019A2">
      <w:pPr>
        <w:spacing w:line="480" w:lineRule="auto"/>
        <w:jc w:val="both"/>
      </w:pPr>
      <w:r>
        <w:tab/>
        <w:t xml:space="preserve">The Company will record all net REC revenues for 2016 in </w:t>
      </w:r>
      <w:r w:rsidR="00267481">
        <w:t xml:space="preserve">a 186.3 </w:t>
      </w:r>
      <w:r>
        <w:t>FERC Accoun</w:t>
      </w:r>
      <w:r w:rsidR="00267481">
        <w:t>t</w:t>
      </w:r>
      <w:r>
        <w:t xml:space="preserve">. </w:t>
      </w:r>
      <w:r w:rsidR="00267481">
        <w:t xml:space="preserve"> </w:t>
      </w:r>
      <w:r>
        <w:t>A separate FERC account will be used to track the 2016 actual net REC revenues, so these net revenues will be provided in the annual ERM review that will be filed by April 1, 2017.  Interest will accrue, as described above.</w:t>
      </w:r>
    </w:p>
    <w:p w:rsidR="009F321F" w:rsidRPr="009F321F" w:rsidRDefault="00C019A2" w:rsidP="009F321F">
      <w:pPr>
        <w:pStyle w:val="BodyText"/>
        <w:tabs>
          <w:tab w:val="num" w:pos="0"/>
          <w:tab w:val="left" w:pos="810"/>
        </w:tabs>
        <w:spacing w:line="480" w:lineRule="auto"/>
        <w:ind w:firstLine="720"/>
        <w:jc w:val="both"/>
        <w:rPr>
          <w:b w:val="0"/>
        </w:rPr>
      </w:pPr>
      <w:r w:rsidRPr="00C019A2">
        <w:rPr>
          <w:b w:val="0"/>
        </w:rPr>
        <w:lastRenderedPageBreak/>
        <w:t>Any balance in FERC Account 186</w:t>
      </w:r>
      <w:r w:rsidR="00267481">
        <w:rPr>
          <w:b w:val="0"/>
        </w:rPr>
        <w:t>.</w:t>
      </w:r>
      <w:r w:rsidRPr="00C019A2">
        <w:rPr>
          <w:b w:val="0"/>
        </w:rPr>
        <w:t xml:space="preserve">322 at </w:t>
      </w:r>
      <w:r w:rsidR="00267481">
        <w:rPr>
          <w:b w:val="0"/>
        </w:rPr>
        <w:t>December 31</w:t>
      </w:r>
      <w:r w:rsidRPr="00C019A2">
        <w:rPr>
          <w:b w:val="0"/>
        </w:rPr>
        <w:t xml:space="preserve">, 2016 will be transferred to </w:t>
      </w:r>
      <w:r w:rsidR="00267481">
        <w:rPr>
          <w:b w:val="0"/>
        </w:rPr>
        <w:t xml:space="preserve">a 186.3 </w:t>
      </w:r>
      <w:r w:rsidRPr="00C019A2">
        <w:rPr>
          <w:b w:val="0"/>
        </w:rPr>
        <w:t>FERC Account.  This process will repeat each year.</w:t>
      </w:r>
    </w:p>
    <w:p w:rsidR="00E67E92" w:rsidRPr="008F7A01" w:rsidRDefault="00E67E92" w:rsidP="00E67E92">
      <w:pPr>
        <w:pStyle w:val="BodyText"/>
        <w:tabs>
          <w:tab w:val="num" w:pos="0"/>
          <w:tab w:val="left" w:pos="810"/>
        </w:tabs>
        <w:spacing w:line="480" w:lineRule="auto"/>
        <w:ind w:firstLine="720"/>
        <w:jc w:val="both"/>
        <w:rPr>
          <w:bCs w:val="0"/>
        </w:rPr>
      </w:pPr>
      <w:r w:rsidRPr="008F7A01">
        <w:rPr>
          <w:bCs w:val="0"/>
        </w:rPr>
        <w:t>Q.</w:t>
      </w:r>
      <w:r w:rsidRPr="008F7A01">
        <w:rPr>
          <w:bCs w:val="0"/>
        </w:rPr>
        <w:tab/>
        <w:t>Wi</w:t>
      </w:r>
      <w:r>
        <w:rPr>
          <w:bCs w:val="0"/>
        </w:rPr>
        <w:t>ll the Company include and track</w:t>
      </w:r>
      <w:r w:rsidRPr="008F7A01">
        <w:rPr>
          <w:bCs w:val="0"/>
        </w:rPr>
        <w:t xml:space="preserve"> any REC expenses?</w:t>
      </w:r>
    </w:p>
    <w:p w:rsidR="00212289" w:rsidRDefault="00E67E92" w:rsidP="00D61105">
      <w:pPr>
        <w:pStyle w:val="BodyText"/>
        <w:tabs>
          <w:tab w:val="num" w:pos="0"/>
          <w:tab w:val="left" w:pos="810"/>
        </w:tabs>
        <w:spacing w:line="480" w:lineRule="auto"/>
        <w:ind w:firstLine="720"/>
        <w:jc w:val="both"/>
        <w:rPr>
          <w:b w:val="0"/>
          <w:bCs w:val="0"/>
        </w:rPr>
      </w:pPr>
      <w:r>
        <w:rPr>
          <w:b w:val="0"/>
          <w:bCs w:val="0"/>
        </w:rPr>
        <w:t>A.</w:t>
      </w:r>
      <w:r>
        <w:rPr>
          <w:b w:val="0"/>
          <w:bCs w:val="0"/>
        </w:rPr>
        <w:tab/>
        <w:t>Yes.  REC revenue will be netted against certain incremental REC expenses.  These expenses include items such as WREGIS fees, Green-e fees, broker fees, any REC purchases, and other specific out-of-pocket expenses required to support REC sales</w:t>
      </w:r>
      <w:r w:rsidR="00267481">
        <w:rPr>
          <w:rStyle w:val="FootnoteReference"/>
          <w:b w:val="0"/>
          <w:bCs w:val="0"/>
        </w:rPr>
        <w:footnoteReference w:id="5"/>
      </w:r>
      <w:r>
        <w:rPr>
          <w:b w:val="0"/>
          <w:bCs w:val="0"/>
        </w:rPr>
        <w:t xml:space="preserve">.  REC expenses will not include any costs associated with generation at Company-owned resources that generate </w:t>
      </w:r>
      <w:proofErr w:type="spellStart"/>
      <w:r>
        <w:rPr>
          <w:b w:val="0"/>
          <w:bCs w:val="0"/>
        </w:rPr>
        <w:t>RECs.</w:t>
      </w:r>
      <w:proofErr w:type="spellEnd"/>
      <w:r w:rsidR="00267481">
        <w:rPr>
          <w:b w:val="0"/>
          <w:bCs w:val="0"/>
        </w:rPr>
        <w:t xml:space="preserve">  However, if the Company in the future receives output from a generating resource such that the Company incurs incremental costs associated with incremental RECs received, it would be appropriate to reflect these incremental costs in the REC deferral.</w:t>
      </w:r>
    </w:p>
    <w:p w:rsidR="00B20483" w:rsidRPr="00E67E92" w:rsidRDefault="00B20483" w:rsidP="00212289">
      <w:pPr>
        <w:pStyle w:val="BodyText"/>
        <w:tabs>
          <w:tab w:val="num" w:pos="0"/>
          <w:tab w:val="left" w:pos="810"/>
        </w:tabs>
        <w:spacing w:line="480" w:lineRule="auto"/>
        <w:ind w:firstLine="720"/>
        <w:jc w:val="both"/>
        <w:rPr>
          <w:bCs w:val="0"/>
        </w:rPr>
      </w:pPr>
      <w:r w:rsidRPr="00E67E92">
        <w:rPr>
          <w:bCs w:val="0"/>
        </w:rPr>
        <w:t>Q.</w:t>
      </w:r>
      <w:r w:rsidRPr="00E67E92">
        <w:rPr>
          <w:bCs w:val="0"/>
        </w:rPr>
        <w:tab/>
        <w:t>What is the estimated REC revenue rebate to go into effect on January 1, 2015?</w:t>
      </w:r>
    </w:p>
    <w:p w:rsidR="006E4FC3" w:rsidRDefault="00B20483" w:rsidP="006E4FC3">
      <w:pPr>
        <w:pStyle w:val="BodyText"/>
        <w:tabs>
          <w:tab w:val="num" w:pos="0"/>
          <w:tab w:val="left" w:pos="810"/>
        </w:tabs>
        <w:spacing w:line="480" w:lineRule="auto"/>
        <w:ind w:firstLine="720"/>
        <w:jc w:val="both"/>
      </w:pPr>
      <w:r>
        <w:rPr>
          <w:b w:val="0"/>
          <w:bCs w:val="0"/>
        </w:rPr>
        <w:t>A.</w:t>
      </w:r>
      <w:r>
        <w:rPr>
          <w:b w:val="0"/>
          <w:bCs w:val="0"/>
        </w:rPr>
        <w:tab/>
        <w:t>Based on actual 2012 and 2013 REC revenue plus the estimated REC revenue for the period 2014 through June 2016</w:t>
      </w:r>
      <w:r w:rsidR="00460A0B">
        <w:rPr>
          <w:b w:val="0"/>
          <w:bCs w:val="0"/>
        </w:rPr>
        <w:t>,</w:t>
      </w:r>
      <w:r>
        <w:rPr>
          <w:b w:val="0"/>
          <w:bCs w:val="0"/>
        </w:rPr>
        <w:t xml:space="preserve"> the total rebate amount is $</w:t>
      </w:r>
      <w:r w:rsidR="00460A0B">
        <w:rPr>
          <w:b w:val="0"/>
          <w:bCs w:val="0"/>
        </w:rPr>
        <w:t>7,841,726</w:t>
      </w:r>
      <w:r>
        <w:rPr>
          <w:b w:val="0"/>
          <w:bCs w:val="0"/>
        </w:rPr>
        <w:t xml:space="preserve"> (Washington allocation).  Amortized over an 18 month period the rebate is </w:t>
      </w:r>
      <w:r w:rsidRPr="00DF4581">
        <w:rPr>
          <w:b w:val="0"/>
          <w:bCs w:val="0"/>
        </w:rPr>
        <w:t>$.</w:t>
      </w:r>
      <w:r w:rsidR="00460A0B" w:rsidRPr="00DF4581">
        <w:rPr>
          <w:b w:val="0"/>
          <w:bCs w:val="0"/>
        </w:rPr>
        <w:t>0009</w:t>
      </w:r>
      <w:r w:rsidR="00DF4581" w:rsidRPr="00DF4581">
        <w:rPr>
          <w:b w:val="0"/>
          <w:bCs w:val="0"/>
        </w:rPr>
        <w:t>4</w:t>
      </w:r>
      <w:r>
        <w:rPr>
          <w:b w:val="0"/>
          <w:bCs w:val="0"/>
        </w:rPr>
        <w:t xml:space="preserve">/kWh, or approximately a </w:t>
      </w:r>
      <w:r w:rsidR="00DF4581">
        <w:rPr>
          <w:b w:val="0"/>
          <w:bCs w:val="0"/>
        </w:rPr>
        <w:t>1.1</w:t>
      </w:r>
      <w:r>
        <w:rPr>
          <w:b w:val="0"/>
          <w:bCs w:val="0"/>
        </w:rPr>
        <w:t>% reduction in rates.</w:t>
      </w:r>
      <w:r w:rsidR="00FD76EC">
        <w:rPr>
          <w:b w:val="0"/>
          <w:bCs w:val="0"/>
        </w:rPr>
        <w:t xml:space="preserve">  A table showing net REC revenues, both actual and projected, by year is shown in Exhibit No. __</w:t>
      </w:r>
      <w:proofErr w:type="gramStart"/>
      <w:r w:rsidR="00FD76EC">
        <w:rPr>
          <w:b w:val="0"/>
          <w:bCs w:val="0"/>
        </w:rPr>
        <w:t>_  (</w:t>
      </w:r>
      <w:proofErr w:type="gramEnd"/>
      <w:r w:rsidR="00FD76EC">
        <w:rPr>
          <w:b w:val="0"/>
          <w:bCs w:val="0"/>
        </w:rPr>
        <w:t>WGJ-6).</w:t>
      </w:r>
      <w:r w:rsidR="006E4FC3">
        <w:rPr>
          <w:b w:val="0"/>
          <w:bCs w:val="0"/>
        </w:rPr>
        <w:br w:type="page"/>
      </w:r>
    </w:p>
    <w:p w:rsidR="00BE21E7" w:rsidRPr="0045060B" w:rsidRDefault="007E493D" w:rsidP="007E493D">
      <w:pPr>
        <w:pStyle w:val="BodyText"/>
        <w:tabs>
          <w:tab w:val="num" w:pos="0"/>
        </w:tabs>
        <w:spacing w:line="480" w:lineRule="auto"/>
        <w:rPr>
          <w:bCs w:val="0"/>
          <w:u w:val="single"/>
        </w:rPr>
      </w:pPr>
      <w:r w:rsidRPr="0045060B">
        <w:rPr>
          <w:bCs w:val="0"/>
          <w:u w:val="single"/>
        </w:rPr>
        <w:lastRenderedPageBreak/>
        <w:t>VI.</w:t>
      </w:r>
      <w:r w:rsidR="00274C65">
        <w:rPr>
          <w:bCs w:val="0"/>
          <w:u w:val="single"/>
        </w:rPr>
        <w:t xml:space="preserve">  </w:t>
      </w:r>
      <w:r w:rsidR="00975878" w:rsidRPr="0045060B">
        <w:rPr>
          <w:bCs w:val="0"/>
          <w:u w:val="single"/>
        </w:rPr>
        <w:t xml:space="preserve">ERM AUTHRORIZED </w:t>
      </w:r>
      <w:r w:rsidR="00647807" w:rsidRPr="0045060B">
        <w:rPr>
          <w:bCs w:val="0"/>
          <w:u w:val="single"/>
        </w:rPr>
        <w:t>VALUES</w:t>
      </w:r>
    </w:p>
    <w:p w:rsidR="000B57DD" w:rsidRDefault="000B57DD" w:rsidP="000B57DD">
      <w:pPr>
        <w:pStyle w:val="BodyText"/>
        <w:tabs>
          <w:tab w:val="num" w:pos="0"/>
          <w:tab w:val="left" w:pos="810"/>
        </w:tabs>
        <w:spacing w:line="480" w:lineRule="auto"/>
        <w:ind w:firstLine="720"/>
        <w:jc w:val="both"/>
        <w:rPr>
          <w:bCs w:val="0"/>
        </w:rPr>
      </w:pPr>
      <w:r>
        <w:rPr>
          <w:bCs w:val="0"/>
        </w:rPr>
        <w:t>Q.</w:t>
      </w:r>
      <w:r>
        <w:rPr>
          <w:bCs w:val="0"/>
        </w:rPr>
        <w:tab/>
      </w:r>
      <w:r w:rsidRPr="00BE21E7">
        <w:t xml:space="preserve">What is </w:t>
      </w:r>
      <w:r w:rsidR="00591EDC">
        <w:t>Avista’s proposed</w:t>
      </w:r>
      <w:r w:rsidRPr="00BE21E7">
        <w:t xml:space="preserve"> authorized power supply expe</w:t>
      </w:r>
      <w:r>
        <w:t xml:space="preserve">nse and revenue </w:t>
      </w:r>
      <w:r w:rsidRPr="00BE21E7">
        <w:t>for the ERM?</w:t>
      </w:r>
    </w:p>
    <w:p w:rsidR="00BE21E7" w:rsidRPr="00BE21E7" w:rsidRDefault="00BE21E7" w:rsidP="00BE21E7">
      <w:pPr>
        <w:pStyle w:val="BodyText"/>
        <w:tabs>
          <w:tab w:val="num" w:pos="0"/>
        </w:tabs>
        <w:spacing w:line="480" w:lineRule="auto"/>
        <w:ind w:firstLine="720"/>
        <w:jc w:val="both"/>
        <w:rPr>
          <w:b w:val="0"/>
          <w:bCs w:val="0"/>
        </w:rPr>
      </w:pPr>
      <w:r w:rsidRPr="00BE21E7">
        <w:rPr>
          <w:b w:val="0"/>
          <w:bCs w:val="0"/>
        </w:rPr>
        <w:t>A.</w:t>
      </w:r>
      <w:r w:rsidRPr="00BE21E7">
        <w:tab/>
      </w:r>
      <w:r w:rsidRPr="00BE21E7">
        <w:rPr>
          <w:b w:val="0"/>
          <w:bCs w:val="0"/>
        </w:rPr>
        <w:t>The proposed authorized level of annual system power supply expense</w:t>
      </w:r>
      <w:r w:rsidR="00A745AE">
        <w:rPr>
          <w:b w:val="0"/>
          <w:bCs w:val="0"/>
        </w:rPr>
        <w:t xml:space="preserve"> </w:t>
      </w:r>
      <w:r w:rsidRPr="00BE21E7">
        <w:rPr>
          <w:b w:val="0"/>
          <w:bCs w:val="0"/>
        </w:rPr>
        <w:t xml:space="preserve">is </w:t>
      </w:r>
      <w:r w:rsidRPr="00591EDC">
        <w:rPr>
          <w:b w:val="0"/>
          <w:bCs w:val="0"/>
        </w:rPr>
        <w:t>$</w:t>
      </w:r>
      <w:r w:rsidR="008A2713">
        <w:rPr>
          <w:b w:val="0"/>
          <w:bCs w:val="0"/>
        </w:rPr>
        <w:t>160,</w:t>
      </w:r>
      <w:r w:rsidR="00E67E92">
        <w:rPr>
          <w:b w:val="0"/>
          <w:bCs w:val="0"/>
        </w:rPr>
        <w:t>443</w:t>
      </w:r>
      <w:r w:rsidR="008A2713">
        <w:rPr>
          <w:b w:val="0"/>
          <w:bCs w:val="0"/>
        </w:rPr>
        <w:t>,</w:t>
      </w:r>
      <w:r w:rsidR="00E67E92">
        <w:rPr>
          <w:b w:val="0"/>
          <w:bCs w:val="0"/>
        </w:rPr>
        <w:t>687</w:t>
      </w:r>
      <w:r w:rsidRPr="00BE21E7">
        <w:rPr>
          <w:b w:val="0"/>
          <w:bCs w:val="0"/>
        </w:rPr>
        <w:t>.  This is the sum of Accounts 555 (Purchased Power), 501 (Thermal Fuel), 547 (Fuel), less Account 447 (</w:t>
      </w:r>
      <w:smartTag w:uri="urn:schemas-microsoft-com:office:smarttags" w:element="City">
        <w:smartTag w:uri="urn:schemas-microsoft-com:office:smarttags" w:element="place">
          <w:r w:rsidRPr="00BE21E7">
            <w:rPr>
              <w:b w:val="0"/>
              <w:bCs w:val="0"/>
            </w:rPr>
            <w:t>Sale</w:t>
          </w:r>
        </w:smartTag>
      </w:smartTag>
      <w:r w:rsidRPr="00BE21E7">
        <w:rPr>
          <w:b w:val="0"/>
          <w:bCs w:val="0"/>
        </w:rPr>
        <w:t xml:space="preserve"> for Resale).  The proposed level of Transmission Expense is </w:t>
      </w:r>
      <w:r w:rsidR="008A2713">
        <w:rPr>
          <w:b w:val="0"/>
          <w:bCs w:val="0"/>
        </w:rPr>
        <w:t>$16,698,737</w:t>
      </w:r>
      <w:r w:rsidRPr="00BE21E7">
        <w:rPr>
          <w:b w:val="0"/>
          <w:bCs w:val="0"/>
        </w:rPr>
        <w:t xml:space="preserve">.  The proposed level of Transmission Revenue is </w:t>
      </w:r>
      <w:r w:rsidRPr="00804CDF">
        <w:rPr>
          <w:b w:val="0"/>
          <w:bCs w:val="0"/>
        </w:rPr>
        <w:t>$</w:t>
      </w:r>
      <w:r w:rsidR="001F4990" w:rsidRPr="00804CDF">
        <w:rPr>
          <w:b w:val="0"/>
          <w:bCs w:val="0"/>
        </w:rPr>
        <w:t>1</w:t>
      </w:r>
      <w:r w:rsidR="00930F4B">
        <w:rPr>
          <w:b w:val="0"/>
          <w:bCs w:val="0"/>
        </w:rPr>
        <w:t>6</w:t>
      </w:r>
      <w:r w:rsidRPr="00804CDF">
        <w:rPr>
          <w:b w:val="0"/>
          <w:bCs w:val="0"/>
        </w:rPr>
        <w:t>,</w:t>
      </w:r>
      <w:r w:rsidR="00930F4B">
        <w:rPr>
          <w:b w:val="0"/>
          <w:bCs w:val="0"/>
        </w:rPr>
        <w:t>015,349</w:t>
      </w:r>
      <w:r w:rsidRPr="00BE21E7">
        <w:rPr>
          <w:b w:val="0"/>
          <w:bCs w:val="0"/>
        </w:rPr>
        <w:t>.</w:t>
      </w:r>
    </w:p>
    <w:p w:rsidR="00B358E3" w:rsidRDefault="00B358E3" w:rsidP="00B358E3">
      <w:pPr>
        <w:pStyle w:val="BodyText"/>
        <w:tabs>
          <w:tab w:val="num" w:pos="0"/>
          <w:tab w:val="left" w:pos="810"/>
        </w:tabs>
        <w:spacing w:line="480" w:lineRule="auto"/>
        <w:ind w:firstLine="720"/>
        <w:jc w:val="both"/>
        <w:rPr>
          <w:bCs w:val="0"/>
        </w:rPr>
      </w:pPr>
      <w:r>
        <w:rPr>
          <w:bCs w:val="0"/>
        </w:rPr>
        <w:t>Q.</w:t>
      </w:r>
      <w:r>
        <w:rPr>
          <w:bCs w:val="0"/>
        </w:rPr>
        <w:tab/>
      </w:r>
      <w:r w:rsidRPr="00BE21E7">
        <w:t xml:space="preserve">What is the </w:t>
      </w:r>
      <w:r>
        <w:t xml:space="preserve">level of retail sales and the proposed retail revenue credit </w:t>
      </w:r>
      <w:r w:rsidRPr="00BE21E7">
        <w:t>for the ERM?</w:t>
      </w:r>
    </w:p>
    <w:p w:rsidR="00BE21E7" w:rsidRPr="00BE21E7" w:rsidRDefault="00B358E3" w:rsidP="00BE21E7">
      <w:pPr>
        <w:pStyle w:val="BodyText"/>
        <w:tabs>
          <w:tab w:val="num" w:pos="0"/>
        </w:tabs>
        <w:spacing w:line="480" w:lineRule="auto"/>
        <w:ind w:firstLine="720"/>
        <w:jc w:val="both"/>
        <w:rPr>
          <w:b w:val="0"/>
          <w:bCs w:val="0"/>
        </w:rPr>
      </w:pPr>
      <w:r>
        <w:rPr>
          <w:b w:val="0"/>
          <w:bCs w:val="0"/>
        </w:rPr>
        <w:t>A.</w:t>
      </w:r>
      <w:r>
        <w:rPr>
          <w:b w:val="0"/>
          <w:bCs w:val="0"/>
        </w:rPr>
        <w:tab/>
      </w:r>
      <w:r w:rsidR="00BE21E7" w:rsidRPr="00BE21E7">
        <w:rPr>
          <w:b w:val="0"/>
          <w:bCs w:val="0"/>
        </w:rPr>
        <w:t xml:space="preserve">The proposed authorized level of retail sales to be used in the ERM is the </w:t>
      </w:r>
      <w:r w:rsidR="00D13452">
        <w:rPr>
          <w:b w:val="0"/>
          <w:bCs w:val="0"/>
        </w:rPr>
        <w:t>July</w:t>
      </w:r>
      <w:r w:rsidR="00BE21E7" w:rsidRPr="00BE21E7">
        <w:rPr>
          <w:b w:val="0"/>
          <w:bCs w:val="0"/>
        </w:rPr>
        <w:t xml:space="preserve"> 201</w:t>
      </w:r>
      <w:r w:rsidR="00D13452">
        <w:rPr>
          <w:b w:val="0"/>
          <w:bCs w:val="0"/>
        </w:rPr>
        <w:t>2</w:t>
      </w:r>
      <w:r w:rsidR="00BE21E7" w:rsidRPr="00BE21E7">
        <w:rPr>
          <w:b w:val="0"/>
          <w:bCs w:val="0"/>
        </w:rPr>
        <w:t xml:space="preserve"> through </w:t>
      </w:r>
      <w:r w:rsidR="00D13452">
        <w:rPr>
          <w:b w:val="0"/>
          <w:bCs w:val="0"/>
        </w:rPr>
        <w:t>June 2013</w:t>
      </w:r>
      <w:r w:rsidR="00BE21E7" w:rsidRPr="00BE21E7">
        <w:rPr>
          <w:b w:val="0"/>
          <w:bCs w:val="0"/>
        </w:rPr>
        <w:t xml:space="preserve"> </w:t>
      </w:r>
      <w:r w:rsidR="001177A0">
        <w:rPr>
          <w:b w:val="0"/>
          <w:bCs w:val="0"/>
        </w:rPr>
        <w:t>weather adjusted</w:t>
      </w:r>
      <w:r w:rsidR="00BE21E7" w:rsidRPr="00BE21E7">
        <w:rPr>
          <w:b w:val="0"/>
          <w:bCs w:val="0"/>
        </w:rPr>
        <w:t xml:space="preserve"> </w:t>
      </w:r>
      <w:r w:rsidR="002A4C87">
        <w:rPr>
          <w:b w:val="0"/>
          <w:bCs w:val="0"/>
        </w:rPr>
        <w:t xml:space="preserve">Washington </w:t>
      </w:r>
      <w:r w:rsidR="00BE21E7" w:rsidRPr="00BE21E7">
        <w:rPr>
          <w:b w:val="0"/>
          <w:bCs w:val="0"/>
        </w:rPr>
        <w:t>retail</w:t>
      </w:r>
      <w:r w:rsidR="00B97984">
        <w:rPr>
          <w:b w:val="0"/>
          <w:bCs w:val="0"/>
        </w:rPr>
        <w:t xml:space="preserve"> sales</w:t>
      </w:r>
      <w:r w:rsidR="00934412">
        <w:rPr>
          <w:b w:val="0"/>
          <w:bCs w:val="0"/>
        </w:rPr>
        <w:t xml:space="preserve"> adjusted for the Inland Empire Paper load as describe</w:t>
      </w:r>
      <w:r w:rsidR="00647807">
        <w:rPr>
          <w:b w:val="0"/>
          <w:bCs w:val="0"/>
        </w:rPr>
        <w:t>d</w:t>
      </w:r>
      <w:r w:rsidR="00934412">
        <w:rPr>
          <w:b w:val="0"/>
          <w:bCs w:val="0"/>
        </w:rPr>
        <w:t xml:space="preserve"> earlier</w:t>
      </w:r>
      <w:r w:rsidR="00BE21E7" w:rsidRPr="00BE21E7">
        <w:rPr>
          <w:b w:val="0"/>
          <w:bCs w:val="0"/>
        </w:rPr>
        <w:t>.  The pr</w:t>
      </w:r>
      <w:r w:rsidR="00D15846">
        <w:rPr>
          <w:b w:val="0"/>
          <w:bCs w:val="0"/>
        </w:rPr>
        <w:t xml:space="preserve">oposed retail revenue credit is </w:t>
      </w:r>
      <w:r w:rsidR="00647807">
        <w:rPr>
          <w:b w:val="0"/>
          <w:bCs w:val="0"/>
        </w:rPr>
        <w:t>$</w:t>
      </w:r>
      <w:r w:rsidR="00647807" w:rsidRPr="00647807">
        <w:rPr>
          <w:b w:val="0"/>
          <w:bCs w:val="0"/>
        </w:rPr>
        <w:t>33.60</w:t>
      </w:r>
      <w:r w:rsidR="00BE21E7" w:rsidRPr="00647807">
        <w:rPr>
          <w:b w:val="0"/>
          <w:bCs w:val="0"/>
        </w:rPr>
        <w:t>MWh</w:t>
      </w:r>
      <w:r w:rsidR="00BE21E7" w:rsidRPr="00BE21E7">
        <w:rPr>
          <w:b w:val="0"/>
          <w:bCs w:val="0"/>
        </w:rPr>
        <w:t xml:space="preserve">, which is the </w:t>
      </w:r>
      <w:r>
        <w:rPr>
          <w:b w:val="0"/>
          <w:bCs w:val="0"/>
        </w:rPr>
        <w:t>energy classified portion of the fixed and variable production and transmission revenue requirement</w:t>
      </w:r>
      <w:r w:rsidR="00BE21E7" w:rsidRPr="00BE21E7">
        <w:rPr>
          <w:b w:val="0"/>
          <w:bCs w:val="0"/>
        </w:rPr>
        <w:t xml:space="preserve"> in this filing</w:t>
      </w:r>
      <w:r w:rsidR="0044617E">
        <w:rPr>
          <w:b w:val="0"/>
          <w:bCs w:val="0"/>
        </w:rPr>
        <w:t xml:space="preserve"> developed </w:t>
      </w:r>
      <w:r w:rsidR="009C2006">
        <w:rPr>
          <w:b w:val="0"/>
          <w:bCs w:val="0"/>
        </w:rPr>
        <w:t>by Company witness Ms. Knox</w:t>
      </w:r>
      <w:r w:rsidR="00BE21E7" w:rsidRPr="00BE21E7">
        <w:rPr>
          <w:b w:val="0"/>
          <w:bCs w:val="0"/>
        </w:rPr>
        <w:t>.</w:t>
      </w:r>
    </w:p>
    <w:p w:rsidR="00BE21E7" w:rsidRPr="00BE21E7" w:rsidRDefault="00BE21E7" w:rsidP="00BE21E7">
      <w:pPr>
        <w:pStyle w:val="BodyText"/>
        <w:tabs>
          <w:tab w:val="num" w:pos="0"/>
        </w:tabs>
        <w:spacing w:line="480" w:lineRule="auto"/>
        <w:jc w:val="both"/>
        <w:rPr>
          <w:b w:val="0"/>
          <w:bCs w:val="0"/>
        </w:rPr>
      </w:pPr>
      <w:r w:rsidRPr="00BE21E7">
        <w:rPr>
          <w:b w:val="0"/>
          <w:bCs w:val="0"/>
        </w:rPr>
        <w:tab/>
        <w:t xml:space="preserve">The proposed authorized ERM power supply expense and revenue, transmission expense and revenue, and </w:t>
      </w:r>
      <w:r w:rsidR="00C43FEC" w:rsidRPr="00BE21E7">
        <w:rPr>
          <w:b w:val="0"/>
          <w:bCs w:val="0"/>
        </w:rPr>
        <w:t>retail sales are</w:t>
      </w:r>
      <w:r w:rsidRPr="00BE21E7">
        <w:rPr>
          <w:b w:val="0"/>
          <w:bCs w:val="0"/>
        </w:rPr>
        <w:t xml:space="preserve"> shown in Exhibit No.</w:t>
      </w:r>
      <w:r w:rsidR="00A55DD3">
        <w:rPr>
          <w:b w:val="0"/>
          <w:bCs w:val="0"/>
        </w:rPr>
        <w:t>__</w:t>
      </w:r>
      <w:r w:rsidR="00822FCE">
        <w:rPr>
          <w:b w:val="0"/>
          <w:bCs w:val="0"/>
        </w:rPr>
        <w:t>_</w:t>
      </w:r>
      <w:r w:rsidR="00822FCE" w:rsidRPr="00BE21E7">
        <w:rPr>
          <w:b w:val="0"/>
          <w:bCs w:val="0"/>
        </w:rPr>
        <w:t xml:space="preserve"> (</w:t>
      </w:r>
      <w:r w:rsidRPr="00BE21E7">
        <w:rPr>
          <w:b w:val="0"/>
          <w:bCs w:val="0"/>
        </w:rPr>
        <w:t>WGJ-</w:t>
      </w:r>
      <w:r w:rsidR="00FD76EC">
        <w:rPr>
          <w:b w:val="0"/>
          <w:bCs w:val="0"/>
        </w:rPr>
        <w:t>7</w:t>
      </w:r>
      <w:r w:rsidRPr="00BE21E7">
        <w:rPr>
          <w:b w:val="0"/>
          <w:bCs w:val="0"/>
        </w:rPr>
        <w:t>).</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Does that conclude your pre-filed direct testimony?</w:t>
      </w:r>
    </w:p>
    <w:p w:rsidR="00182994" w:rsidRDefault="00BE21E7" w:rsidP="0044617E">
      <w:pPr>
        <w:pStyle w:val="BodyText2"/>
        <w:tabs>
          <w:tab w:val="left" w:pos="1440"/>
        </w:tabs>
        <w:ind w:firstLine="720"/>
        <w:jc w:val="left"/>
      </w:pPr>
      <w:r w:rsidRPr="00BE21E7">
        <w:t>A.</w:t>
      </w:r>
      <w:r w:rsidRPr="00BE21E7">
        <w:tab/>
        <w:t xml:space="preserve">Yes. </w:t>
      </w:r>
    </w:p>
    <w:sectPr w:rsidR="00182994" w:rsidSect="006E4FC3">
      <w:pgSz w:w="12240" w:h="15840" w:code="1"/>
      <w:pgMar w:top="1440" w:right="1440" w:bottom="1728" w:left="1872" w:header="720" w:footer="706" w:gutter="0"/>
      <w:lnNumType w:countBy="1" w:distance="432"/>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F02" w:rsidRDefault="00533F02">
      <w:r>
        <w:separator/>
      </w:r>
    </w:p>
  </w:endnote>
  <w:endnote w:type="continuationSeparator" w:id="0">
    <w:p w:rsidR="00533F02" w:rsidRDefault="00533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7A" w:rsidRPr="000945E1" w:rsidRDefault="00CB687A">
    <w:pPr>
      <w:pStyle w:val="Footer"/>
      <w:tabs>
        <w:tab w:val="clear" w:pos="4320"/>
        <w:tab w:val="clear" w:pos="8640"/>
        <w:tab w:val="left" w:pos="180"/>
        <w:tab w:val="right" w:pos="9360"/>
      </w:tabs>
    </w:pPr>
    <w:r w:rsidRPr="000945E1">
      <w:t>Direct Testimony of William G. Johnson</w:t>
    </w:r>
    <w:r w:rsidRPr="000945E1">
      <w:tab/>
    </w:r>
  </w:p>
  <w:p w:rsidR="00CB687A" w:rsidRPr="000945E1" w:rsidRDefault="00CB687A">
    <w:pPr>
      <w:pStyle w:val="Footer"/>
      <w:tabs>
        <w:tab w:val="clear" w:pos="4320"/>
        <w:tab w:val="clear" w:pos="8640"/>
        <w:tab w:val="left" w:pos="180"/>
        <w:tab w:val="right" w:pos="9360"/>
      </w:tabs>
      <w:rPr>
        <w:lang w:val="fr-FR"/>
      </w:rPr>
    </w:pPr>
    <w:r w:rsidRPr="000945E1">
      <w:rPr>
        <w:lang w:val="fr-FR"/>
      </w:rPr>
      <w:t>Avista Corporation</w:t>
    </w:r>
  </w:p>
  <w:p w:rsidR="00CB687A" w:rsidRPr="000945E1" w:rsidRDefault="00CB687A">
    <w:pPr>
      <w:pStyle w:val="Footer"/>
      <w:tabs>
        <w:tab w:val="clear" w:pos="4320"/>
        <w:tab w:val="clear" w:pos="8640"/>
        <w:tab w:val="left" w:pos="180"/>
        <w:tab w:val="right" w:pos="9360"/>
      </w:tabs>
      <w:rPr>
        <w:lang w:val="fr-FR"/>
      </w:rPr>
    </w:pPr>
    <w:r w:rsidRPr="000945E1">
      <w:rPr>
        <w:lang w:val="fr-FR"/>
      </w:rPr>
      <w:t>Docket No. UE-14____</w:t>
    </w:r>
    <w:r w:rsidRPr="000945E1">
      <w:rPr>
        <w:lang w:val="fr-FR"/>
      </w:rPr>
      <w:tab/>
      <w:t xml:space="preserve">Page </w:t>
    </w:r>
    <w:r w:rsidR="0052284C" w:rsidRPr="000945E1">
      <w:rPr>
        <w:rStyle w:val="PageNumber"/>
      </w:rPr>
      <w:fldChar w:fldCharType="begin"/>
    </w:r>
    <w:r w:rsidRPr="000945E1">
      <w:rPr>
        <w:rStyle w:val="PageNumber"/>
        <w:lang w:val="fr-FR"/>
      </w:rPr>
      <w:instrText xml:space="preserve"> PAGE </w:instrText>
    </w:r>
    <w:r w:rsidR="0052284C" w:rsidRPr="000945E1">
      <w:rPr>
        <w:rStyle w:val="PageNumber"/>
      </w:rPr>
      <w:fldChar w:fldCharType="separate"/>
    </w:r>
    <w:r w:rsidR="00274C65">
      <w:rPr>
        <w:rStyle w:val="PageNumber"/>
        <w:noProof/>
        <w:lang w:val="fr-FR"/>
      </w:rPr>
      <w:t>18</w:t>
    </w:r>
    <w:r w:rsidR="0052284C" w:rsidRPr="000945E1">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7A" w:rsidRDefault="00CB687A">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F02" w:rsidRDefault="00533F02">
      <w:r>
        <w:separator/>
      </w:r>
    </w:p>
  </w:footnote>
  <w:footnote w:type="continuationSeparator" w:id="0">
    <w:p w:rsidR="00533F02" w:rsidRDefault="00533F02">
      <w:r>
        <w:continuationSeparator/>
      </w:r>
    </w:p>
  </w:footnote>
  <w:footnote w:id="1">
    <w:p w:rsidR="002108F5" w:rsidRDefault="002108F5" w:rsidP="009F321F">
      <w:pPr>
        <w:pStyle w:val="FootnoteText"/>
        <w:jc w:val="both"/>
      </w:pPr>
      <w:r>
        <w:rPr>
          <w:rStyle w:val="FootnoteReference"/>
        </w:rPr>
        <w:footnoteRef/>
      </w:r>
      <w:r>
        <w:t xml:space="preserve"> </w:t>
      </w:r>
      <w:r w:rsidRPr="009F321F">
        <w:t>As discussed by Company witness Ms. Andrews, the Company is basing its electric revenue increase requested in this case on its electric Attrition Study.  However, as a “cross check” to the Company’s request based on the electric Attrition Study, Ms. Andrews has also prepared an electric Pro Forma Cross Check Study. Both the electric Attrition and Pro Forma Cross Check Studies incorporate Washington’s share of the pro forma power supply adjustment described further in my testimony.</w:t>
      </w:r>
    </w:p>
  </w:footnote>
  <w:footnote w:id="2">
    <w:p w:rsidR="00CB687A" w:rsidRDefault="00CB687A" w:rsidP="000945E1">
      <w:pPr>
        <w:pStyle w:val="FootnoteText"/>
        <w:jc w:val="both"/>
      </w:pPr>
      <w:r>
        <w:rPr>
          <w:rStyle w:val="FootnoteReference"/>
        </w:rPr>
        <w:footnoteRef/>
      </w:r>
      <w:r>
        <w:t xml:space="preserve"> For the remainder of my testimony, for purposes of the power supply adjustment I will refer to the net of power supply revenues and expenses as power supply expense for ease of reference.</w:t>
      </w:r>
    </w:p>
  </w:footnote>
  <w:footnote w:id="3">
    <w:p w:rsidR="001206CC" w:rsidRDefault="001206CC" w:rsidP="000945E1">
      <w:pPr>
        <w:pStyle w:val="FootnoteText"/>
        <w:jc w:val="both"/>
      </w:pPr>
      <w:r>
        <w:rPr>
          <w:rStyle w:val="FootnoteReference"/>
        </w:rPr>
        <w:footnoteRef/>
      </w:r>
      <w:r>
        <w:t xml:space="preserve"> </w:t>
      </w:r>
      <w:r w:rsidR="00D10D71">
        <w:t>Washington’s share of the</w:t>
      </w:r>
      <w:r>
        <w:t xml:space="preserve"> funds</w:t>
      </w:r>
      <w:r w:rsidR="00D10D71">
        <w:t xml:space="preserve"> was approximately $100 million from</w:t>
      </w:r>
      <w:r>
        <w:t xml:space="preserve"> the monetization of the agreement</w:t>
      </w:r>
      <w:r w:rsidR="00D10D71">
        <w:t xml:space="preserve">.  These funds were used </w:t>
      </w:r>
      <w:r>
        <w:t xml:space="preserve">to reduce </w:t>
      </w:r>
      <w:r w:rsidR="00D10D71">
        <w:t xml:space="preserve">generation </w:t>
      </w:r>
      <w:r>
        <w:t>rate base</w:t>
      </w:r>
      <w:r w:rsidR="00D10D71">
        <w:t xml:space="preserve"> by approximately $37 million, to eliminate DSM balance of approximately $21 million</w:t>
      </w:r>
      <w:r>
        <w:t xml:space="preserve"> and to offset certain expenses that would otherwise have increased customers’ rates</w:t>
      </w:r>
      <w:r w:rsidR="00D10D71">
        <w:t xml:space="preserve"> by approximately $38 million</w:t>
      </w:r>
      <w:r>
        <w:t xml:space="preserve"> in accordance with the Commission Order in Docket Nos. </w:t>
      </w:r>
      <w:proofErr w:type="gramStart"/>
      <w:r>
        <w:t>UE-991606 and UG-991607.</w:t>
      </w:r>
      <w:proofErr w:type="gramEnd"/>
    </w:p>
  </w:footnote>
  <w:footnote w:id="4">
    <w:p w:rsidR="00CB687A" w:rsidRDefault="00CB687A" w:rsidP="000945E1">
      <w:pPr>
        <w:pStyle w:val="FootnoteText"/>
        <w:jc w:val="both"/>
      </w:pPr>
      <w:r>
        <w:rPr>
          <w:rStyle w:val="FootnoteReference"/>
        </w:rPr>
        <w:footnoteRef/>
      </w:r>
      <w:r>
        <w:t xml:space="preserve"> The annual ERM prudence review is filed by April 1 of each year.  There is a 90 day review period ending June 30.  </w:t>
      </w:r>
    </w:p>
  </w:footnote>
  <w:footnote w:id="5">
    <w:p w:rsidR="00CB687A" w:rsidRDefault="00CB687A" w:rsidP="000945E1">
      <w:pPr>
        <w:pStyle w:val="FootnoteText"/>
        <w:jc w:val="both"/>
      </w:pPr>
      <w:r>
        <w:rPr>
          <w:rStyle w:val="FootnoteReference"/>
        </w:rPr>
        <w:footnoteRef/>
      </w:r>
      <w:r>
        <w:t xml:space="preserve"> WREGIS fees are required to maintain and transact eligible </w:t>
      </w:r>
      <w:proofErr w:type="spellStart"/>
      <w:r>
        <w:t>RECs.</w:t>
      </w:r>
      <w:proofErr w:type="spellEnd"/>
      <w:r>
        <w:t xml:space="preserve">  Green-e fees are payments to the Center for Resource Solutions to certify generation for eligibility in Green-e participation.  Broker fees are sometimes incurred in the sale or purchase of </w:t>
      </w:r>
      <w:proofErr w:type="spellStart"/>
      <w:r>
        <w:t>RECs.</w:t>
      </w:r>
      <w:proofErr w:type="spellEnd"/>
      <w:r>
        <w:t xml:space="preserve">  Avista at times purchases REC</w:t>
      </w:r>
      <w:r w:rsidR="000945E1">
        <w:t>s</w:t>
      </w:r>
      <w:r>
        <w:t>, primarily to meet Washington Energy Independence Act requirements.   Other REC-related expenses include items such as professional services used to facilitate REC sales.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7A" w:rsidRDefault="00CB687A">
    <w:pPr>
      <w:pStyle w:val="Header"/>
      <w:jc w:val="right"/>
    </w:pPr>
    <w:r>
      <w:t>Exhibit No. ___ (WGJ-1T)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7A" w:rsidRDefault="00CB687A" w:rsidP="006E4FC3">
    <w:pPr>
      <w:pStyle w:val="Header"/>
      <w:jc w:val="right"/>
    </w:pPr>
    <w:r>
      <w:t>Exhibit No. ___ (WGJ-1T)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659"/>
    <w:multiLevelType w:val="singleLevel"/>
    <w:tmpl w:val="31E6C7FA"/>
    <w:lvl w:ilvl="0">
      <w:start w:val="1"/>
      <w:numFmt w:val="upperLetter"/>
      <w:lvlText w:val="%1."/>
      <w:lvlJc w:val="left"/>
      <w:pPr>
        <w:tabs>
          <w:tab w:val="num" w:pos="2160"/>
        </w:tabs>
        <w:ind w:left="2160" w:hanging="720"/>
      </w:pPr>
      <w:rPr>
        <w:rFonts w:cs="Times New Roman" w:hint="default"/>
      </w:rPr>
    </w:lvl>
  </w:abstractNum>
  <w:abstractNum w:abstractNumId="1">
    <w:nsid w:val="016E1223"/>
    <w:multiLevelType w:val="singleLevel"/>
    <w:tmpl w:val="D5A49794"/>
    <w:lvl w:ilvl="0">
      <w:start w:val="17"/>
      <w:numFmt w:val="upperLetter"/>
      <w:lvlText w:val="%1."/>
      <w:lvlJc w:val="left"/>
      <w:pPr>
        <w:tabs>
          <w:tab w:val="num" w:pos="1440"/>
        </w:tabs>
        <w:ind w:left="1440" w:hanging="720"/>
      </w:pPr>
      <w:rPr>
        <w:rFonts w:cs="Times New Roman" w:hint="default"/>
      </w:rPr>
    </w:lvl>
  </w:abstractNum>
  <w:abstractNum w:abstractNumId="2">
    <w:nsid w:val="07A9108C"/>
    <w:multiLevelType w:val="hybridMultilevel"/>
    <w:tmpl w:val="CA86005C"/>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D793E7B"/>
    <w:multiLevelType w:val="hybridMultilevel"/>
    <w:tmpl w:val="B726CB52"/>
    <w:lvl w:ilvl="0" w:tplc="ECCC097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361A2EED"/>
    <w:multiLevelType w:val="singleLevel"/>
    <w:tmpl w:val="D5A49794"/>
    <w:lvl w:ilvl="0">
      <w:start w:val="17"/>
      <w:numFmt w:val="upperLetter"/>
      <w:lvlText w:val="%1."/>
      <w:lvlJc w:val="left"/>
      <w:pPr>
        <w:tabs>
          <w:tab w:val="num" w:pos="1440"/>
        </w:tabs>
        <w:ind w:left="1440" w:hanging="720"/>
      </w:pPr>
      <w:rPr>
        <w:rFonts w:cs="Times New Roman" w:hint="default"/>
      </w:rPr>
    </w:lvl>
  </w:abstractNum>
  <w:abstractNum w:abstractNumId="5">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7">
    <w:nsid w:val="48164804"/>
    <w:multiLevelType w:val="singleLevel"/>
    <w:tmpl w:val="298677E4"/>
    <w:lvl w:ilvl="0">
      <w:start w:val="17"/>
      <w:numFmt w:val="upperLetter"/>
      <w:lvlText w:val="%1."/>
      <w:lvlJc w:val="left"/>
      <w:pPr>
        <w:tabs>
          <w:tab w:val="num" w:pos="1080"/>
        </w:tabs>
        <w:ind w:left="1080" w:hanging="360"/>
      </w:pPr>
      <w:rPr>
        <w:rFonts w:cs="Times New Roman" w:hint="default"/>
      </w:rPr>
    </w:lvl>
  </w:abstractNum>
  <w:abstractNum w:abstractNumId="8">
    <w:nsid w:val="6F7060FF"/>
    <w:multiLevelType w:val="hybridMultilevel"/>
    <w:tmpl w:val="0B366080"/>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0AD7DC5"/>
    <w:multiLevelType w:val="singleLevel"/>
    <w:tmpl w:val="7AB25DA2"/>
    <w:lvl w:ilvl="0">
      <w:start w:val="17"/>
      <w:numFmt w:val="upperLetter"/>
      <w:lvlText w:val="%1."/>
      <w:lvlJc w:val="left"/>
      <w:pPr>
        <w:tabs>
          <w:tab w:val="num" w:pos="1440"/>
        </w:tabs>
        <w:ind w:left="1440" w:hanging="720"/>
      </w:pPr>
      <w:rPr>
        <w:rFonts w:cs="Times New Roman" w:hint="default"/>
      </w:rPr>
    </w:lvl>
  </w:abstractNum>
  <w:abstractNum w:abstractNumId="10">
    <w:nsid w:val="7BDB5FCF"/>
    <w:multiLevelType w:val="hybridMultilevel"/>
    <w:tmpl w:val="FE2EEE88"/>
    <w:lvl w:ilvl="0" w:tplc="A4E22566">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7"/>
  </w:num>
  <w:num w:numId="3">
    <w:abstractNumId w:val="0"/>
  </w:num>
  <w:num w:numId="4">
    <w:abstractNumId w:val="9"/>
  </w:num>
  <w:num w:numId="5">
    <w:abstractNumId w:val="5"/>
  </w:num>
  <w:num w:numId="6">
    <w:abstractNumId w:val="1"/>
  </w:num>
  <w:num w:numId="7">
    <w:abstractNumId w:val="3"/>
  </w:num>
  <w:num w:numId="8">
    <w:abstractNumId w:val="10"/>
  </w:num>
  <w:num w:numId="9">
    <w:abstractNumId w:val="2"/>
  </w:num>
  <w:num w:numId="10">
    <w:abstractNumId w:val="8"/>
  </w:num>
  <w:num w:numId="11">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182994"/>
    <w:rsid w:val="00006315"/>
    <w:rsid w:val="00022CA6"/>
    <w:rsid w:val="0003296D"/>
    <w:rsid w:val="00036DBA"/>
    <w:rsid w:val="00037B2A"/>
    <w:rsid w:val="00044806"/>
    <w:rsid w:val="000519D7"/>
    <w:rsid w:val="0005483B"/>
    <w:rsid w:val="00055978"/>
    <w:rsid w:val="00067E1A"/>
    <w:rsid w:val="00071F0A"/>
    <w:rsid w:val="00076370"/>
    <w:rsid w:val="000773D0"/>
    <w:rsid w:val="00087A02"/>
    <w:rsid w:val="00092D05"/>
    <w:rsid w:val="000945E1"/>
    <w:rsid w:val="00095636"/>
    <w:rsid w:val="000A2769"/>
    <w:rsid w:val="000B57DD"/>
    <w:rsid w:val="000C6001"/>
    <w:rsid w:val="000E01AF"/>
    <w:rsid w:val="000F40A2"/>
    <w:rsid w:val="00102CD7"/>
    <w:rsid w:val="00105104"/>
    <w:rsid w:val="001177A0"/>
    <w:rsid w:val="001206CC"/>
    <w:rsid w:val="001245BE"/>
    <w:rsid w:val="0012703B"/>
    <w:rsid w:val="00127C1C"/>
    <w:rsid w:val="0013441E"/>
    <w:rsid w:val="00137F9D"/>
    <w:rsid w:val="00147465"/>
    <w:rsid w:val="001665E9"/>
    <w:rsid w:val="001705BE"/>
    <w:rsid w:val="00182994"/>
    <w:rsid w:val="00187892"/>
    <w:rsid w:val="00190B9E"/>
    <w:rsid w:val="001947A1"/>
    <w:rsid w:val="001951A0"/>
    <w:rsid w:val="001973DE"/>
    <w:rsid w:val="00197849"/>
    <w:rsid w:val="001B0749"/>
    <w:rsid w:val="001B0DAD"/>
    <w:rsid w:val="001B4D44"/>
    <w:rsid w:val="001C4C68"/>
    <w:rsid w:val="001D0EAD"/>
    <w:rsid w:val="001D1466"/>
    <w:rsid w:val="001D2067"/>
    <w:rsid w:val="001E1555"/>
    <w:rsid w:val="001F1D02"/>
    <w:rsid w:val="001F37AE"/>
    <w:rsid w:val="001F3D71"/>
    <w:rsid w:val="001F4990"/>
    <w:rsid w:val="001F63E1"/>
    <w:rsid w:val="001F7A60"/>
    <w:rsid w:val="00200197"/>
    <w:rsid w:val="00201A6E"/>
    <w:rsid w:val="00201AC3"/>
    <w:rsid w:val="002034E5"/>
    <w:rsid w:val="002108F5"/>
    <w:rsid w:val="00212289"/>
    <w:rsid w:val="002276E4"/>
    <w:rsid w:val="00230CF6"/>
    <w:rsid w:val="00231AD4"/>
    <w:rsid w:val="002477D3"/>
    <w:rsid w:val="00251070"/>
    <w:rsid w:val="0025436C"/>
    <w:rsid w:val="00254D97"/>
    <w:rsid w:val="002562C3"/>
    <w:rsid w:val="00267481"/>
    <w:rsid w:val="0027382E"/>
    <w:rsid w:val="00274C65"/>
    <w:rsid w:val="00291043"/>
    <w:rsid w:val="002A2261"/>
    <w:rsid w:val="002A4C87"/>
    <w:rsid w:val="002C2686"/>
    <w:rsid w:val="002D06C3"/>
    <w:rsid w:val="002D0C51"/>
    <w:rsid w:val="002D7756"/>
    <w:rsid w:val="002E5016"/>
    <w:rsid w:val="002F1C20"/>
    <w:rsid w:val="002F6EB0"/>
    <w:rsid w:val="00301D3F"/>
    <w:rsid w:val="00305307"/>
    <w:rsid w:val="00317527"/>
    <w:rsid w:val="003214E3"/>
    <w:rsid w:val="00321801"/>
    <w:rsid w:val="00326EEB"/>
    <w:rsid w:val="00335253"/>
    <w:rsid w:val="0033668A"/>
    <w:rsid w:val="0035252D"/>
    <w:rsid w:val="00353674"/>
    <w:rsid w:val="00363D96"/>
    <w:rsid w:val="00380D3E"/>
    <w:rsid w:val="00387A30"/>
    <w:rsid w:val="003932C2"/>
    <w:rsid w:val="00393612"/>
    <w:rsid w:val="003A768F"/>
    <w:rsid w:val="003B2A55"/>
    <w:rsid w:val="003B5B38"/>
    <w:rsid w:val="003C2A70"/>
    <w:rsid w:val="003D15A9"/>
    <w:rsid w:val="003F0DD4"/>
    <w:rsid w:val="003F3CBF"/>
    <w:rsid w:val="003F55FA"/>
    <w:rsid w:val="004007BE"/>
    <w:rsid w:val="00407CC1"/>
    <w:rsid w:val="004131C2"/>
    <w:rsid w:val="00414AC3"/>
    <w:rsid w:val="00414DD7"/>
    <w:rsid w:val="00431EB0"/>
    <w:rsid w:val="00434B9F"/>
    <w:rsid w:val="0044617E"/>
    <w:rsid w:val="0044625D"/>
    <w:rsid w:val="0045060B"/>
    <w:rsid w:val="00452AA7"/>
    <w:rsid w:val="00460A0B"/>
    <w:rsid w:val="004628CA"/>
    <w:rsid w:val="00465735"/>
    <w:rsid w:val="00465B31"/>
    <w:rsid w:val="004704D9"/>
    <w:rsid w:val="00472C4D"/>
    <w:rsid w:val="0047521C"/>
    <w:rsid w:val="00475CD2"/>
    <w:rsid w:val="00476EBC"/>
    <w:rsid w:val="004936A1"/>
    <w:rsid w:val="0049447F"/>
    <w:rsid w:val="00496490"/>
    <w:rsid w:val="004967E7"/>
    <w:rsid w:val="004A135E"/>
    <w:rsid w:val="004A3454"/>
    <w:rsid w:val="004B4163"/>
    <w:rsid w:val="004B4C41"/>
    <w:rsid w:val="004C0725"/>
    <w:rsid w:val="004C1337"/>
    <w:rsid w:val="004C2BF7"/>
    <w:rsid w:val="004C3981"/>
    <w:rsid w:val="004D3D45"/>
    <w:rsid w:val="004D52D2"/>
    <w:rsid w:val="004D5669"/>
    <w:rsid w:val="004E2C61"/>
    <w:rsid w:val="004E4653"/>
    <w:rsid w:val="004E6CF8"/>
    <w:rsid w:val="004E7A16"/>
    <w:rsid w:val="004F74FC"/>
    <w:rsid w:val="004F758B"/>
    <w:rsid w:val="00506FC8"/>
    <w:rsid w:val="005108F2"/>
    <w:rsid w:val="005145D4"/>
    <w:rsid w:val="00514AC4"/>
    <w:rsid w:val="0052284C"/>
    <w:rsid w:val="0053057E"/>
    <w:rsid w:val="00533F02"/>
    <w:rsid w:val="00541D93"/>
    <w:rsid w:val="00542569"/>
    <w:rsid w:val="005430BA"/>
    <w:rsid w:val="005517D9"/>
    <w:rsid w:val="005542A8"/>
    <w:rsid w:val="00565FD8"/>
    <w:rsid w:val="0057220C"/>
    <w:rsid w:val="00576309"/>
    <w:rsid w:val="00580970"/>
    <w:rsid w:val="00582255"/>
    <w:rsid w:val="0058225F"/>
    <w:rsid w:val="00583433"/>
    <w:rsid w:val="005834BD"/>
    <w:rsid w:val="005845F1"/>
    <w:rsid w:val="00590DD4"/>
    <w:rsid w:val="00591D43"/>
    <w:rsid w:val="00591EDC"/>
    <w:rsid w:val="00593E33"/>
    <w:rsid w:val="005A6D43"/>
    <w:rsid w:val="005B1E66"/>
    <w:rsid w:val="005B5B8F"/>
    <w:rsid w:val="005C366C"/>
    <w:rsid w:val="005C39B4"/>
    <w:rsid w:val="005D7E94"/>
    <w:rsid w:val="005D7EE1"/>
    <w:rsid w:val="005E439A"/>
    <w:rsid w:val="005E6D8E"/>
    <w:rsid w:val="005F3EF2"/>
    <w:rsid w:val="005F4F7A"/>
    <w:rsid w:val="005F5256"/>
    <w:rsid w:val="00601E14"/>
    <w:rsid w:val="00612931"/>
    <w:rsid w:val="0061735C"/>
    <w:rsid w:val="00624001"/>
    <w:rsid w:val="006242F7"/>
    <w:rsid w:val="006316F4"/>
    <w:rsid w:val="0063791F"/>
    <w:rsid w:val="00647807"/>
    <w:rsid w:val="00653B88"/>
    <w:rsid w:val="0065453C"/>
    <w:rsid w:val="0065505F"/>
    <w:rsid w:val="00655366"/>
    <w:rsid w:val="00662BFE"/>
    <w:rsid w:val="006652C4"/>
    <w:rsid w:val="0066587A"/>
    <w:rsid w:val="00665EFE"/>
    <w:rsid w:val="0067610F"/>
    <w:rsid w:val="00676BEE"/>
    <w:rsid w:val="00684DC5"/>
    <w:rsid w:val="00691CB7"/>
    <w:rsid w:val="006A26AD"/>
    <w:rsid w:val="006A2758"/>
    <w:rsid w:val="006A6139"/>
    <w:rsid w:val="006A7CFD"/>
    <w:rsid w:val="006B05D4"/>
    <w:rsid w:val="006B492E"/>
    <w:rsid w:val="006B7E17"/>
    <w:rsid w:val="006C01C8"/>
    <w:rsid w:val="006C0205"/>
    <w:rsid w:val="006D1A9B"/>
    <w:rsid w:val="006D353A"/>
    <w:rsid w:val="006D5BF7"/>
    <w:rsid w:val="006E4FC3"/>
    <w:rsid w:val="006F4590"/>
    <w:rsid w:val="0070505F"/>
    <w:rsid w:val="007105B1"/>
    <w:rsid w:val="007119B4"/>
    <w:rsid w:val="0071369A"/>
    <w:rsid w:val="0072665A"/>
    <w:rsid w:val="00737769"/>
    <w:rsid w:val="00742583"/>
    <w:rsid w:val="00743E18"/>
    <w:rsid w:val="00747553"/>
    <w:rsid w:val="0075076D"/>
    <w:rsid w:val="00751E45"/>
    <w:rsid w:val="00754E86"/>
    <w:rsid w:val="00765BA1"/>
    <w:rsid w:val="0077507E"/>
    <w:rsid w:val="007937D3"/>
    <w:rsid w:val="00796F4B"/>
    <w:rsid w:val="007A40D4"/>
    <w:rsid w:val="007A6DE3"/>
    <w:rsid w:val="007A74A3"/>
    <w:rsid w:val="007A795E"/>
    <w:rsid w:val="007A7EF9"/>
    <w:rsid w:val="007B40B5"/>
    <w:rsid w:val="007B6398"/>
    <w:rsid w:val="007C3A4D"/>
    <w:rsid w:val="007C4511"/>
    <w:rsid w:val="007D01A9"/>
    <w:rsid w:val="007D09A6"/>
    <w:rsid w:val="007D3E87"/>
    <w:rsid w:val="007D544E"/>
    <w:rsid w:val="007E2219"/>
    <w:rsid w:val="007E493D"/>
    <w:rsid w:val="007E6C13"/>
    <w:rsid w:val="007E7BC2"/>
    <w:rsid w:val="007F0DC8"/>
    <w:rsid w:val="007F462F"/>
    <w:rsid w:val="00800A6B"/>
    <w:rsid w:val="00804CDF"/>
    <w:rsid w:val="008103E4"/>
    <w:rsid w:val="0081197F"/>
    <w:rsid w:val="00816FAB"/>
    <w:rsid w:val="00817F2D"/>
    <w:rsid w:val="00822FCE"/>
    <w:rsid w:val="00827A28"/>
    <w:rsid w:val="00834809"/>
    <w:rsid w:val="00836F27"/>
    <w:rsid w:val="00844535"/>
    <w:rsid w:val="00845CCE"/>
    <w:rsid w:val="008527AD"/>
    <w:rsid w:val="0086706C"/>
    <w:rsid w:val="008726A9"/>
    <w:rsid w:val="008738EA"/>
    <w:rsid w:val="00876319"/>
    <w:rsid w:val="00876525"/>
    <w:rsid w:val="00883CEC"/>
    <w:rsid w:val="00890A57"/>
    <w:rsid w:val="00892EAA"/>
    <w:rsid w:val="008A0A47"/>
    <w:rsid w:val="008A2713"/>
    <w:rsid w:val="008A35A7"/>
    <w:rsid w:val="008A45E4"/>
    <w:rsid w:val="008A5BC6"/>
    <w:rsid w:val="008A76B4"/>
    <w:rsid w:val="008C3F60"/>
    <w:rsid w:val="008D3155"/>
    <w:rsid w:val="008E0200"/>
    <w:rsid w:val="008E77DF"/>
    <w:rsid w:val="008F3931"/>
    <w:rsid w:val="008F6E74"/>
    <w:rsid w:val="008F7A01"/>
    <w:rsid w:val="00904869"/>
    <w:rsid w:val="009055A6"/>
    <w:rsid w:val="0091276F"/>
    <w:rsid w:val="00922C46"/>
    <w:rsid w:val="00930F4B"/>
    <w:rsid w:val="00934412"/>
    <w:rsid w:val="009366BC"/>
    <w:rsid w:val="009373A5"/>
    <w:rsid w:val="00945166"/>
    <w:rsid w:val="00945390"/>
    <w:rsid w:val="00946AEE"/>
    <w:rsid w:val="00946E37"/>
    <w:rsid w:val="0095196D"/>
    <w:rsid w:val="00953816"/>
    <w:rsid w:val="00954DB7"/>
    <w:rsid w:val="00954E28"/>
    <w:rsid w:val="00955166"/>
    <w:rsid w:val="00972518"/>
    <w:rsid w:val="00975878"/>
    <w:rsid w:val="00976E12"/>
    <w:rsid w:val="009920E0"/>
    <w:rsid w:val="009A26DF"/>
    <w:rsid w:val="009A2DAA"/>
    <w:rsid w:val="009A4D7E"/>
    <w:rsid w:val="009A55A7"/>
    <w:rsid w:val="009A610C"/>
    <w:rsid w:val="009B1B04"/>
    <w:rsid w:val="009C2006"/>
    <w:rsid w:val="009C412C"/>
    <w:rsid w:val="009E49FE"/>
    <w:rsid w:val="009E6F0C"/>
    <w:rsid w:val="009F0721"/>
    <w:rsid w:val="009F2E2E"/>
    <w:rsid w:val="009F321F"/>
    <w:rsid w:val="00A040D3"/>
    <w:rsid w:val="00A2043B"/>
    <w:rsid w:val="00A31DD2"/>
    <w:rsid w:val="00A402FE"/>
    <w:rsid w:val="00A47217"/>
    <w:rsid w:val="00A55DD3"/>
    <w:rsid w:val="00A61E60"/>
    <w:rsid w:val="00A634B5"/>
    <w:rsid w:val="00A726C8"/>
    <w:rsid w:val="00A73B72"/>
    <w:rsid w:val="00A745AE"/>
    <w:rsid w:val="00A774E3"/>
    <w:rsid w:val="00A8574B"/>
    <w:rsid w:val="00A9086B"/>
    <w:rsid w:val="00A938FB"/>
    <w:rsid w:val="00A95D47"/>
    <w:rsid w:val="00AA1E96"/>
    <w:rsid w:val="00AA20C9"/>
    <w:rsid w:val="00AA2ED4"/>
    <w:rsid w:val="00AA3E66"/>
    <w:rsid w:val="00AA4BA2"/>
    <w:rsid w:val="00AC036F"/>
    <w:rsid w:val="00AE2899"/>
    <w:rsid w:val="00B0687F"/>
    <w:rsid w:val="00B06EB1"/>
    <w:rsid w:val="00B07EE5"/>
    <w:rsid w:val="00B07FCC"/>
    <w:rsid w:val="00B10EED"/>
    <w:rsid w:val="00B174B1"/>
    <w:rsid w:val="00B20483"/>
    <w:rsid w:val="00B30FD8"/>
    <w:rsid w:val="00B358E3"/>
    <w:rsid w:val="00B36369"/>
    <w:rsid w:val="00B3712F"/>
    <w:rsid w:val="00B4374B"/>
    <w:rsid w:val="00B500C4"/>
    <w:rsid w:val="00B502D2"/>
    <w:rsid w:val="00B527F3"/>
    <w:rsid w:val="00B53214"/>
    <w:rsid w:val="00B53D8C"/>
    <w:rsid w:val="00B54AB5"/>
    <w:rsid w:val="00B708DF"/>
    <w:rsid w:val="00B71810"/>
    <w:rsid w:val="00B7736F"/>
    <w:rsid w:val="00B77F17"/>
    <w:rsid w:val="00B80027"/>
    <w:rsid w:val="00B968D6"/>
    <w:rsid w:val="00B97984"/>
    <w:rsid w:val="00BA6FE4"/>
    <w:rsid w:val="00BB000A"/>
    <w:rsid w:val="00BB1045"/>
    <w:rsid w:val="00BB6621"/>
    <w:rsid w:val="00BB766A"/>
    <w:rsid w:val="00BC03AA"/>
    <w:rsid w:val="00BC154E"/>
    <w:rsid w:val="00BC3C4E"/>
    <w:rsid w:val="00BD5EFD"/>
    <w:rsid w:val="00BE21E7"/>
    <w:rsid w:val="00BE36C6"/>
    <w:rsid w:val="00BF3A72"/>
    <w:rsid w:val="00C019A2"/>
    <w:rsid w:val="00C026FD"/>
    <w:rsid w:val="00C030B8"/>
    <w:rsid w:val="00C03549"/>
    <w:rsid w:val="00C0583F"/>
    <w:rsid w:val="00C117D9"/>
    <w:rsid w:val="00C162D3"/>
    <w:rsid w:val="00C20A53"/>
    <w:rsid w:val="00C213E7"/>
    <w:rsid w:val="00C23C54"/>
    <w:rsid w:val="00C26DE3"/>
    <w:rsid w:val="00C43FEC"/>
    <w:rsid w:val="00C55E1F"/>
    <w:rsid w:val="00C579DD"/>
    <w:rsid w:val="00C608F0"/>
    <w:rsid w:val="00C61CF4"/>
    <w:rsid w:val="00C62BDA"/>
    <w:rsid w:val="00C74C46"/>
    <w:rsid w:val="00C74E30"/>
    <w:rsid w:val="00C86BD0"/>
    <w:rsid w:val="00C90090"/>
    <w:rsid w:val="00C90C2A"/>
    <w:rsid w:val="00C923ED"/>
    <w:rsid w:val="00C92781"/>
    <w:rsid w:val="00C95537"/>
    <w:rsid w:val="00C97820"/>
    <w:rsid w:val="00CA4C19"/>
    <w:rsid w:val="00CA52FC"/>
    <w:rsid w:val="00CB1427"/>
    <w:rsid w:val="00CB687A"/>
    <w:rsid w:val="00CB6E42"/>
    <w:rsid w:val="00CC1C97"/>
    <w:rsid w:val="00CD0757"/>
    <w:rsid w:val="00CD172A"/>
    <w:rsid w:val="00CF4DB1"/>
    <w:rsid w:val="00D007A9"/>
    <w:rsid w:val="00D10D71"/>
    <w:rsid w:val="00D118D9"/>
    <w:rsid w:val="00D13452"/>
    <w:rsid w:val="00D150B6"/>
    <w:rsid w:val="00D15846"/>
    <w:rsid w:val="00D21307"/>
    <w:rsid w:val="00D22C98"/>
    <w:rsid w:val="00D244AB"/>
    <w:rsid w:val="00D26E33"/>
    <w:rsid w:val="00D2745E"/>
    <w:rsid w:val="00D36CB0"/>
    <w:rsid w:val="00D43991"/>
    <w:rsid w:val="00D47735"/>
    <w:rsid w:val="00D51E9F"/>
    <w:rsid w:val="00D5554F"/>
    <w:rsid w:val="00D60043"/>
    <w:rsid w:val="00D61105"/>
    <w:rsid w:val="00D61654"/>
    <w:rsid w:val="00D70A5F"/>
    <w:rsid w:val="00D753BA"/>
    <w:rsid w:val="00D7657F"/>
    <w:rsid w:val="00D77B2C"/>
    <w:rsid w:val="00D81DE9"/>
    <w:rsid w:val="00D83854"/>
    <w:rsid w:val="00D83B3A"/>
    <w:rsid w:val="00DB3BCC"/>
    <w:rsid w:val="00DB55EE"/>
    <w:rsid w:val="00DC7D94"/>
    <w:rsid w:val="00DD3971"/>
    <w:rsid w:val="00DD5899"/>
    <w:rsid w:val="00DE03DF"/>
    <w:rsid w:val="00DF0891"/>
    <w:rsid w:val="00DF4581"/>
    <w:rsid w:val="00E00851"/>
    <w:rsid w:val="00E04B65"/>
    <w:rsid w:val="00E24BB0"/>
    <w:rsid w:val="00E263B2"/>
    <w:rsid w:val="00E273CB"/>
    <w:rsid w:val="00E31282"/>
    <w:rsid w:val="00E35276"/>
    <w:rsid w:val="00E469CC"/>
    <w:rsid w:val="00E47BE6"/>
    <w:rsid w:val="00E502AC"/>
    <w:rsid w:val="00E62431"/>
    <w:rsid w:val="00E65C27"/>
    <w:rsid w:val="00E67E92"/>
    <w:rsid w:val="00E700D9"/>
    <w:rsid w:val="00E74A1D"/>
    <w:rsid w:val="00E81931"/>
    <w:rsid w:val="00E86EAC"/>
    <w:rsid w:val="00E94F2D"/>
    <w:rsid w:val="00EA06F1"/>
    <w:rsid w:val="00EA44DF"/>
    <w:rsid w:val="00EA4963"/>
    <w:rsid w:val="00EA66E0"/>
    <w:rsid w:val="00EA7203"/>
    <w:rsid w:val="00EB2665"/>
    <w:rsid w:val="00EC62F1"/>
    <w:rsid w:val="00EE7C43"/>
    <w:rsid w:val="00F105DA"/>
    <w:rsid w:val="00F134B6"/>
    <w:rsid w:val="00F155E9"/>
    <w:rsid w:val="00F22C09"/>
    <w:rsid w:val="00F23840"/>
    <w:rsid w:val="00F23E30"/>
    <w:rsid w:val="00F243FF"/>
    <w:rsid w:val="00F34816"/>
    <w:rsid w:val="00F34D22"/>
    <w:rsid w:val="00F4206A"/>
    <w:rsid w:val="00F46162"/>
    <w:rsid w:val="00F54F39"/>
    <w:rsid w:val="00F55612"/>
    <w:rsid w:val="00F62AEF"/>
    <w:rsid w:val="00F63D5B"/>
    <w:rsid w:val="00F67CA5"/>
    <w:rsid w:val="00F743C5"/>
    <w:rsid w:val="00F7443D"/>
    <w:rsid w:val="00F76008"/>
    <w:rsid w:val="00F83CE7"/>
    <w:rsid w:val="00F90B35"/>
    <w:rsid w:val="00F92D8E"/>
    <w:rsid w:val="00FA2BB9"/>
    <w:rsid w:val="00FA5D11"/>
    <w:rsid w:val="00FB6544"/>
    <w:rsid w:val="00FC09A4"/>
    <w:rsid w:val="00FD413F"/>
    <w:rsid w:val="00FD6B49"/>
    <w:rsid w:val="00FD76EC"/>
    <w:rsid w:val="00FE2C77"/>
    <w:rsid w:val="00FF2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A16"/>
    <w:pPr>
      <w:autoSpaceDE w:val="0"/>
      <w:autoSpaceDN w:val="0"/>
    </w:pPr>
    <w:rPr>
      <w:sz w:val="24"/>
      <w:szCs w:val="24"/>
    </w:rPr>
  </w:style>
  <w:style w:type="paragraph" w:styleId="Heading1">
    <w:name w:val="heading 1"/>
    <w:basedOn w:val="Normal"/>
    <w:next w:val="Normal"/>
    <w:qFormat/>
    <w:rsid w:val="004E7A16"/>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4E7A16"/>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4E7A16"/>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4E7A16"/>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4E7A16"/>
    <w:pPr>
      <w:keepNext/>
      <w:spacing w:line="480" w:lineRule="auto"/>
      <w:jc w:val="center"/>
      <w:outlineLvl w:val="4"/>
    </w:pPr>
    <w:rPr>
      <w:b/>
      <w:bCs/>
    </w:rPr>
  </w:style>
  <w:style w:type="paragraph" w:styleId="Heading6">
    <w:name w:val="heading 6"/>
    <w:basedOn w:val="Normal"/>
    <w:next w:val="Normal"/>
    <w:qFormat/>
    <w:rsid w:val="004E7A16"/>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4E7A16"/>
    <w:pPr>
      <w:keepNext/>
      <w:tabs>
        <w:tab w:val="left" w:pos="1260"/>
      </w:tabs>
      <w:jc w:val="right"/>
      <w:outlineLvl w:val="6"/>
    </w:pPr>
    <w:rPr>
      <w:sz w:val="20"/>
      <w:szCs w:val="20"/>
    </w:rPr>
  </w:style>
  <w:style w:type="paragraph" w:styleId="Heading8">
    <w:name w:val="heading 8"/>
    <w:basedOn w:val="Normal"/>
    <w:next w:val="Normal"/>
    <w:qFormat/>
    <w:rsid w:val="004E7A16"/>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4E7A16"/>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7A16"/>
    <w:pPr>
      <w:tabs>
        <w:tab w:val="center" w:pos="4320"/>
        <w:tab w:val="right" w:pos="8640"/>
      </w:tabs>
    </w:pPr>
  </w:style>
  <w:style w:type="paragraph" w:styleId="Footer">
    <w:name w:val="footer"/>
    <w:basedOn w:val="Normal"/>
    <w:rsid w:val="004E7A16"/>
    <w:pPr>
      <w:tabs>
        <w:tab w:val="center" w:pos="4320"/>
        <w:tab w:val="right" w:pos="8640"/>
      </w:tabs>
    </w:pPr>
  </w:style>
  <w:style w:type="character" w:styleId="PageNumber">
    <w:name w:val="page number"/>
    <w:basedOn w:val="DefaultParagraphFont"/>
    <w:rsid w:val="004E7A16"/>
    <w:rPr>
      <w:rFonts w:ascii="Times New Roman" w:hAnsi="Times New Roman" w:cs="Times New Roman"/>
      <w:sz w:val="24"/>
      <w:szCs w:val="24"/>
    </w:rPr>
  </w:style>
  <w:style w:type="character" w:styleId="LineNumber">
    <w:name w:val="line number"/>
    <w:basedOn w:val="DefaultParagraphFont"/>
    <w:rsid w:val="004E7A16"/>
    <w:rPr>
      <w:rFonts w:ascii="Times New Roman" w:hAnsi="Times New Roman" w:cs="Times New Roman"/>
      <w:sz w:val="24"/>
      <w:szCs w:val="24"/>
    </w:rPr>
  </w:style>
  <w:style w:type="paragraph" w:styleId="BodyText2">
    <w:name w:val="Body Text 2"/>
    <w:basedOn w:val="Normal"/>
    <w:link w:val="BodyText2Char"/>
    <w:rsid w:val="004E7A16"/>
    <w:pPr>
      <w:spacing w:line="480" w:lineRule="auto"/>
      <w:jc w:val="both"/>
    </w:pPr>
  </w:style>
  <w:style w:type="paragraph" w:styleId="BodyTextIndent2">
    <w:name w:val="Body Text Indent 2"/>
    <w:basedOn w:val="Normal"/>
    <w:rsid w:val="004E7A16"/>
    <w:pPr>
      <w:tabs>
        <w:tab w:val="left" w:pos="1260"/>
      </w:tabs>
      <w:spacing w:line="480" w:lineRule="auto"/>
      <w:ind w:left="540" w:hanging="540"/>
      <w:jc w:val="both"/>
    </w:pPr>
  </w:style>
  <w:style w:type="paragraph" w:styleId="BodyTextIndent3">
    <w:name w:val="Body Text Indent 3"/>
    <w:basedOn w:val="Normal"/>
    <w:rsid w:val="004E7A16"/>
    <w:pPr>
      <w:tabs>
        <w:tab w:val="left" w:pos="1260"/>
      </w:tabs>
      <w:spacing w:line="480" w:lineRule="auto"/>
      <w:ind w:firstLine="720"/>
      <w:jc w:val="both"/>
    </w:pPr>
    <w:rPr>
      <w:b/>
      <w:bCs/>
    </w:rPr>
  </w:style>
  <w:style w:type="paragraph" w:styleId="FootnoteText">
    <w:name w:val="footnote text"/>
    <w:basedOn w:val="Normal"/>
    <w:link w:val="FootnoteTextChar"/>
    <w:rsid w:val="004E7A16"/>
    <w:rPr>
      <w:sz w:val="20"/>
      <w:szCs w:val="20"/>
    </w:rPr>
  </w:style>
  <w:style w:type="character" w:styleId="FootnoteReference">
    <w:name w:val="footnote reference"/>
    <w:basedOn w:val="DefaultParagraphFont"/>
    <w:rsid w:val="004E7A16"/>
    <w:rPr>
      <w:rFonts w:cs="Times New Roman"/>
      <w:vertAlign w:val="superscript"/>
    </w:rPr>
  </w:style>
  <w:style w:type="paragraph" w:styleId="BodyText">
    <w:name w:val="Body Text"/>
    <w:basedOn w:val="Normal"/>
    <w:link w:val="BodyTextChar"/>
    <w:rsid w:val="004E7A16"/>
    <w:pPr>
      <w:spacing w:line="360" w:lineRule="auto"/>
      <w:jc w:val="center"/>
    </w:pPr>
    <w:rPr>
      <w:b/>
      <w:bCs/>
    </w:rPr>
  </w:style>
  <w:style w:type="paragraph" w:styleId="DocumentMap">
    <w:name w:val="Document Map"/>
    <w:basedOn w:val="Normal"/>
    <w:rsid w:val="004E7A16"/>
    <w:pPr>
      <w:shd w:val="clear" w:color="auto" w:fill="000080"/>
    </w:pPr>
    <w:rPr>
      <w:rFonts w:ascii="Tahoma" w:hAnsi="Tahoma" w:cs="Tahoma"/>
    </w:rPr>
  </w:style>
  <w:style w:type="paragraph" w:customStyle="1" w:styleId="TestBody">
    <w:name w:val="Test Body"/>
    <w:rsid w:val="004E7A16"/>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4E7A16"/>
    <w:pPr>
      <w:numPr>
        <w:numId w:val="1"/>
      </w:numPr>
    </w:pPr>
  </w:style>
  <w:style w:type="paragraph" w:styleId="BalloonText">
    <w:name w:val="Balloon Text"/>
    <w:basedOn w:val="Normal"/>
    <w:link w:val="BalloonTextChar"/>
    <w:rsid w:val="00AA1E96"/>
    <w:rPr>
      <w:rFonts w:ascii="Tahoma" w:hAnsi="Tahoma" w:cs="Tahoma"/>
      <w:sz w:val="16"/>
      <w:szCs w:val="16"/>
    </w:rPr>
  </w:style>
  <w:style w:type="character" w:customStyle="1" w:styleId="BalloonTextChar">
    <w:name w:val="Balloon Text Char"/>
    <w:basedOn w:val="DefaultParagraphFont"/>
    <w:link w:val="BalloonText"/>
    <w:rsid w:val="00AA1E96"/>
    <w:rPr>
      <w:rFonts w:ascii="Tahoma" w:hAnsi="Tahoma" w:cs="Tahoma"/>
      <w:sz w:val="16"/>
      <w:szCs w:val="16"/>
    </w:rPr>
  </w:style>
  <w:style w:type="character" w:customStyle="1" w:styleId="BodyTextChar">
    <w:name w:val="Body Text Char"/>
    <w:basedOn w:val="DefaultParagraphFont"/>
    <w:link w:val="BodyText"/>
    <w:rsid w:val="00212289"/>
    <w:rPr>
      <w:b/>
      <w:bCs/>
      <w:sz w:val="24"/>
      <w:szCs w:val="24"/>
    </w:rPr>
  </w:style>
  <w:style w:type="character" w:customStyle="1" w:styleId="FootnoteTextChar">
    <w:name w:val="Footnote Text Char"/>
    <w:basedOn w:val="DefaultParagraphFont"/>
    <w:link w:val="FootnoteText"/>
    <w:rsid w:val="00212289"/>
  </w:style>
  <w:style w:type="character" w:customStyle="1" w:styleId="BodyText2Char">
    <w:name w:val="Body Text 2 Char"/>
    <w:basedOn w:val="DefaultParagraphFont"/>
    <w:link w:val="BodyText2"/>
    <w:rsid w:val="00212289"/>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52792746">
      <w:bodyDiv w:val="1"/>
      <w:marLeft w:val="0"/>
      <w:marRight w:val="0"/>
      <w:marTop w:val="0"/>
      <w:marBottom w:val="0"/>
      <w:divBdr>
        <w:top w:val="none" w:sz="0" w:space="0" w:color="auto"/>
        <w:left w:val="none" w:sz="0" w:space="0" w:color="auto"/>
        <w:bottom w:val="none" w:sz="0" w:space="0" w:color="auto"/>
        <w:right w:val="none" w:sz="0" w:space="0" w:color="auto"/>
      </w:divBdr>
    </w:div>
    <w:div w:id="179270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3C1F4A5-3273-4160-8C06-6024E3D18548}"/>
</file>

<file path=customXml/itemProps2.xml><?xml version="1.0" encoding="utf-8"?>
<ds:datastoreItem xmlns:ds="http://schemas.openxmlformats.org/officeDocument/2006/customXml" ds:itemID="{1085ABE1-DCF6-4211-A628-1C5C1FE424D9}"/>
</file>

<file path=customXml/itemProps3.xml><?xml version="1.0" encoding="utf-8"?>
<ds:datastoreItem xmlns:ds="http://schemas.openxmlformats.org/officeDocument/2006/customXml" ds:itemID="{317A781C-A4E0-4A17-96CD-F9B463A268F3}"/>
</file>

<file path=customXml/itemProps4.xml><?xml version="1.0" encoding="utf-8"?>
<ds:datastoreItem xmlns:ds="http://schemas.openxmlformats.org/officeDocument/2006/customXml" ds:itemID="{8A251E03-791B-4D9B-86A2-216AA64522B4}"/>
</file>

<file path=customXml/itemProps5.xml><?xml version="1.0" encoding="utf-8"?>
<ds:datastoreItem xmlns:ds="http://schemas.openxmlformats.org/officeDocument/2006/customXml" ds:itemID="{8F0A7423-0F94-41F3-A461-26115E16A001}"/>
</file>

<file path=docProps/app.xml><?xml version="1.0" encoding="utf-8"?>
<Properties xmlns="http://schemas.openxmlformats.org/officeDocument/2006/extended-properties" xmlns:vt="http://schemas.openxmlformats.org/officeDocument/2006/docPropsVTypes">
  <Template>Normal.dotm</Template>
  <TotalTime>566</TotalTime>
  <Pages>19</Pages>
  <Words>4558</Words>
  <Characters>23914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WDM1148</cp:lastModifiedBy>
  <cp:revision>18</cp:revision>
  <cp:lastPrinted>2014-01-28T21:54:00Z</cp:lastPrinted>
  <dcterms:created xsi:type="dcterms:W3CDTF">2014-01-15T23:18:00Z</dcterms:created>
  <dcterms:modified xsi:type="dcterms:W3CDTF">2014-01-28T21:59:00Z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