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AD" w:rsidRDefault="003E4CAD" w:rsidP="003E4CAD">
      <w:r w:rsidRPr="003E4CAD">
        <w:t>https://www.valuewalk.com/2014/11/sp-500-vs-gdp/</w:t>
      </w:r>
    </w:p>
    <w:p w:rsidR="003E4CAD" w:rsidRDefault="003E4CAD" w:rsidP="003E4CAD"/>
    <w:p w:rsidR="003E4CAD" w:rsidRDefault="003E4CAD" w:rsidP="003E4CAD"/>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How Is </w:t>
      </w:r>
      <w:proofErr w:type="gramStart"/>
      <w:r w:rsidRPr="003E4CAD">
        <w:rPr>
          <w:rFonts w:ascii="Times New Roman" w:hAnsi="Times New Roman" w:cs="Times New Roman"/>
          <w:sz w:val="24"/>
          <w:szCs w:val="24"/>
        </w:rPr>
        <w:t>The</w:t>
      </w:r>
      <w:proofErr w:type="gramEnd"/>
      <w:r w:rsidRPr="003E4CAD">
        <w:rPr>
          <w:rFonts w:ascii="Times New Roman" w:hAnsi="Times New Roman" w:cs="Times New Roman"/>
          <w:sz w:val="24"/>
          <w:szCs w:val="24"/>
        </w:rPr>
        <w:t xml:space="preserve"> S&amp;P 500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November 4, 2014 2:36 pm by LPL Financial</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 by LPL Financial</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It is important to recognize that the S&amp;P 500 is not GDP. S&amp;P 500 companies have different drivers for earnings than the components that drive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The backdrop of solid business spending within a slower trajectory of overall GDP growth can be a favorable one for the stock market.</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Although stocks are at the low end of our target 10–15% S&amp;P 500 return range for 2014, we see further gains between now and year end as likely, with profit growth as a primary driver.</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U.S. economic growth has been subpar—right around 2%—during much of the ongoing economic expansion. Yet, the S&amp;P 500 has returned nearly 230% cumulatively since the bear market low on March 9, 2009. How did that happen and is it justified?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recovery—albeit a slow </w:t>
      </w:r>
      <w:proofErr w:type="gramStart"/>
      <w:r w:rsidRPr="003E4CAD">
        <w:rPr>
          <w:rFonts w:ascii="Times New Roman" w:hAnsi="Times New Roman" w:cs="Times New Roman"/>
          <w:sz w:val="24"/>
          <w:szCs w:val="24"/>
        </w:rPr>
        <w:t>one?—</w:t>
      </w:r>
      <w:proofErr w:type="gramEnd"/>
      <w:r w:rsidRPr="003E4CAD">
        <w:rPr>
          <w:rFonts w:ascii="Times New Roman" w:hAnsi="Times New Roman" w:cs="Times New Roman"/>
          <w:sz w:val="24"/>
          <w:szCs w:val="24"/>
        </w:rPr>
        <w:t xml:space="preserve">?and greater policy clarity in Washington have also </w:t>
      </w:r>
      <w:r w:rsidRPr="003E4CAD">
        <w:rPr>
          <w:rFonts w:ascii="Times New Roman" w:hAnsi="Times New Roman" w:cs="Times New Roman"/>
          <w:sz w:val="24"/>
          <w:szCs w:val="24"/>
        </w:rPr>
        <w:lastRenderedPageBreak/>
        <w:t>been factors. But we think the best answer is earnings. In fact, over the past four decades, earnings have provided solid support for equity   market gains [Figure 1].</w:t>
      </w:r>
    </w:p>
    <w:p w:rsidR="003E4CAD" w:rsidRPr="003E4CAD" w:rsidRDefault="003E4CAD" w:rsidP="003E4CAD">
      <w:pPr>
        <w:rPr>
          <w:rFonts w:ascii="Times New Roman" w:hAnsi="Times New Roman" w:cs="Times New Roman"/>
          <w:sz w:val="24"/>
          <w:szCs w:val="24"/>
        </w:rPr>
      </w:pPr>
      <w:r>
        <w:rPr>
          <w:noProof/>
        </w:rPr>
        <w:drawing>
          <wp:inline distT="0" distB="0" distL="0" distR="0" wp14:anchorId="297F5D3E" wp14:editId="4AFD1AE4">
            <wp:extent cx="5943600" cy="392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928745"/>
                    </a:xfrm>
                    <a:prstGeom prst="rect">
                      <a:avLst/>
                    </a:prstGeom>
                  </pic:spPr>
                </pic:pic>
              </a:graphicData>
            </a:graphic>
          </wp:inline>
        </w:drawing>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But this commentary is not a deep dive into earnings (that’s coming soon). Instead, this week we highlight the differences between the S&amp;P 500 and GDP, i.e., the U.S. economy, to shed some light on how corporate profits can grow so much faster than the economy, and bring stock prices right along with them.</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r>
        <w:rPr>
          <w:noProof/>
        </w:rPr>
        <w:lastRenderedPageBreak/>
        <w:drawing>
          <wp:inline distT="0" distB="0" distL="0" distR="0" wp14:anchorId="3ED19C50" wp14:editId="3283EF7F">
            <wp:extent cx="5943600" cy="5306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306695"/>
                    </a:xfrm>
                    <a:prstGeom prst="rect">
                      <a:avLst/>
                    </a:prstGeom>
                  </pic:spPr>
                </pic:pic>
              </a:graphicData>
            </a:graphic>
          </wp:inline>
        </w:drawing>
      </w:r>
      <w:bookmarkStart w:id="0" w:name="_GoBack"/>
      <w:bookmarkEnd w:id="0"/>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How Is S&amp;P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w:t>
      </w:r>
      <w:r w:rsidRPr="003E4CAD">
        <w:rPr>
          <w:rFonts w:ascii="Times New Roman" w:hAnsi="Times New Roman" w:cs="Times New Roman"/>
          <w:sz w:val="24"/>
          <w:szCs w:val="24"/>
        </w:rPr>
        <w:lastRenderedPageBreak/>
        <w:t>cheaper energy sources and demand for infrastructure. The strength of the U.S manufacturing economy continues to support our positive industrials sector view.</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w:t>
      </w:r>
      <w:proofErr w:type="gramStart"/>
      <w:r w:rsidRPr="003E4CAD">
        <w:rPr>
          <w:rFonts w:ascii="Times New Roman" w:hAnsi="Times New Roman" w:cs="Times New Roman"/>
          <w:sz w:val="24"/>
          <w:szCs w:val="24"/>
        </w:rPr>
        <w:t>earnings?—</w:t>
      </w:r>
      <w:proofErr w:type="gramEnd"/>
      <w:r w:rsidRPr="003E4CAD">
        <w:rPr>
          <w:rFonts w:ascii="Times New Roman" w:hAnsi="Times New Roman" w:cs="Times New Roman"/>
          <w:sz w:val="24"/>
          <w:szCs w:val="24"/>
        </w:rPr>
        <w:t>?estimated 20–25%?—?comes from business spending. As we move into the latter half of the economic cycle, we expect a stronger contribution from the business spending side than consumer spending side, suggesting the S&amp;P 500 is better positioned than GDP as 2014 comes to a close and we enter 2015. Still, we expect U.S. GDP to sustain a growth rate at or around 3% through year end and well into 2015.</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international trade driven. International trade only accounts for about 10% of GDP and acts as a drag on growth for most quarters because the United States imports more than it exports. Today, we estimate that 40% of S&amp;P 500 profits are earned </w:t>
      </w:r>
      <w:proofErr w:type="gramStart"/>
      <w:r w:rsidRPr="003E4CAD">
        <w:rPr>
          <w:rFonts w:ascii="Times New Roman" w:hAnsi="Times New Roman" w:cs="Times New Roman"/>
          <w:sz w:val="24"/>
          <w:szCs w:val="24"/>
        </w:rPr>
        <w:t>overseas?—</w:t>
      </w:r>
      <w:proofErr w:type="gramEnd"/>
      <w:r w:rsidRPr="003E4CAD">
        <w:rPr>
          <w:rFonts w:ascii="Times New Roman" w:hAnsi="Times New Roman" w:cs="Times New Roman"/>
          <w:sz w:val="24"/>
          <w:szCs w:val="24"/>
        </w:rPr>
        <w:t>?with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Corporate profits are hurt much less by higher commodity prices than the S&amp;P 500.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Solid Business Spending with Slower GDP Growth Trajectory</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w:t>
      </w:r>
      <w:proofErr w:type="gramStart"/>
      <w:r w:rsidRPr="003E4CAD">
        <w:rPr>
          <w:rFonts w:ascii="Times New Roman" w:hAnsi="Times New Roman" w:cs="Times New Roman"/>
          <w:sz w:val="24"/>
          <w:szCs w:val="24"/>
        </w:rPr>
        <w:t>GDP?—</w:t>
      </w:r>
      <w:proofErr w:type="gramEnd"/>
      <w:r w:rsidRPr="003E4CAD">
        <w:rPr>
          <w:rFonts w:ascii="Times New Roman" w:hAnsi="Times New Roman" w:cs="Times New Roman"/>
          <w:sz w:val="24"/>
          <w:szCs w:val="24"/>
        </w:rPr>
        <w:t>?S&amp;P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lastRenderedPageBreak/>
        <w:t xml:space="preserve">Although stocks are at the low end of our target 10–15% S&amp;P 500 return range for 2014, we see further gains between now and year end may be likely, with profit growth as a primary driver—with perhaps some help </w:t>
      </w:r>
      <w:proofErr w:type="gramStart"/>
      <w:r w:rsidRPr="003E4CAD">
        <w:rPr>
          <w:rFonts w:ascii="Times New Roman" w:hAnsi="Times New Roman" w:cs="Times New Roman"/>
          <w:sz w:val="24"/>
          <w:szCs w:val="24"/>
        </w:rPr>
        <w:t>from  the</w:t>
      </w:r>
      <w:proofErr w:type="gramEnd"/>
      <w:r w:rsidRPr="003E4CAD">
        <w:rPr>
          <w:rFonts w:ascii="Times New Roman" w:hAnsi="Times New Roman" w:cs="Times New Roman"/>
          <w:sz w:val="24"/>
          <w:szCs w:val="24"/>
        </w:rPr>
        <w:t xml:space="preserve"> calendar, as midterm elections have historically been positive for stock returns.</w:t>
      </w:r>
    </w:p>
    <w:p w:rsidR="003E4CAD" w:rsidRDefault="003E4CAD" w:rsidP="003E4CAD"/>
    <w:p w:rsidR="00407003" w:rsidRPr="003E4CAD" w:rsidRDefault="003E4CAD" w:rsidP="003E4CAD">
      <w:r>
        <w:t>Facebook</w:t>
      </w:r>
    </w:p>
    <w:sectPr w:rsidR="00407003" w:rsidRPr="003E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AD"/>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4CAD"/>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F70"/>
  <w15:chartTrackingRefBased/>
  <w15:docId w15:val="{E2576485-9625-4499-BE91-81ACF513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749DE074-3D6F-40C9-B6AF-D6F57E047ABC}"/>
</file>

<file path=customXml/itemProps2.xml><?xml version="1.0" encoding="utf-8"?>
<ds:datastoreItem xmlns:ds="http://schemas.openxmlformats.org/officeDocument/2006/customXml" ds:itemID="{11CFCB94-1C43-441F-B2BB-9776A647690D}"/>
</file>

<file path=customXml/itemProps3.xml><?xml version="1.0" encoding="utf-8"?>
<ds:datastoreItem xmlns:ds="http://schemas.openxmlformats.org/officeDocument/2006/customXml" ds:itemID="{C35D7169-4B57-4669-A1DD-5C84A77FBE22}"/>
</file>

<file path=customXml/itemProps4.xml><?xml version="1.0" encoding="utf-8"?>
<ds:datastoreItem xmlns:ds="http://schemas.openxmlformats.org/officeDocument/2006/customXml" ds:itemID="{3CA92F6A-5444-42F5-B626-5B95318FCCA6}"/>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2018-06-15T12:07:00Z</dcterms:created>
  <dcterms:modified xsi:type="dcterms:W3CDTF">2018-06-15T12:07:00Z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