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EE" w:rsidRDefault="001B34EE" w:rsidP="001B34EE">
      <w:pPr>
        <w:pStyle w:val="Header"/>
        <w:tabs>
          <w:tab w:val="clear" w:pos="4320"/>
          <w:tab w:val="clear" w:pos="8640"/>
          <w:tab w:val="center" w:pos="4680"/>
        </w:tabs>
        <w:jc w:val="center"/>
        <w:rPr>
          <w:b/>
          <w:bCs/>
          <w:sz w:val="24"/>
        </w:rPr>
      </w:pPr>
      <w:r>
        <w:rPr>
          <w:b/>
          <w:bCs/>
          <w:sz w:val="24"/>
        </w:rPr>
        <w:t>BEFORE THE</w:t>
      </w:r>
    </w:p>
    <w:p w:rsidR="0080589D" w:rsidRDefault="0080589D" w:rsidP="001B34EE">
      <w:pPr>
        <w:pStyle w:val="Header"/>
        <w:tabs>
          <w:tab w:val="clear" w:pos="4320"/>
          <w:tab w:val="clear" w:pos="8640"/>
          <w:tab w:val="center" w:pos="4680"/>
        </w:tabs>
        <w:jc w:val="center"/>
        <w:rPr>
          <w:b/>
          <w:bCs/>
          <w:sz w:val="24"/>
        </w:rPr>
      </w:pPr>
    </w:p>
    <w:p w:rsidR="001B34EE" w:rsidRDefault="001B34EE" w:rsidP="001B34EE">
      <w:pPr>
        <w:pStyle w:val="Heading1"/>
        <w:jc w:val="center"/>
        <w:rPr>
          <w:sz w:val="24"/>
        </w:rPr>
      </w:pPr>
      <w:r>
        <w:rPr>
          <w:sz w:val="24"/>
        </w:rPr>
        <w:t>WASHINGTON UTILITIES AND TRANSPORTATION COMMISSION</w:t>
      </w:r>
    </w:p>
    <w:p w:rsidR="00996159" w:rsidRPr="00996159" w:rsidRDefault="00996159" w:rsidP="00996159"/>
    <w:p w:rsidR="001B34EE" w:rsidRDefault="001B34EE" w:rsidP="001B34EE">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996159" w:rsidTr="007F7787">
        <w:tc>
          <w:tcPr>
            <w:tcW w:w="4328" w:type="dxa"/>
            <w:tcBorders>
              <w:bottom w:val="single" w:sz="4" w:space="0" w:color="auto"/>
            </w:tcBorders>
          </w:tcPr>
          <w:p w:rsidR="00996159" w:rsidRDefault="00996159" w:rsidP="007F7787">
            <w:pPr>
              <w:tabs>
                <w:tab w:val="left" w:pos="2160"/>
              </w:tabs>
              <w:rPr>
                <w:bCs/>
              </w:rPr>
            </w:pPr>
            <w:bookmarkStart w:id="0" w:name="Parties"/>
            <w:bookmarkEnd w:id="0"/>
            <w:smartTag w:uri="urn:schemas-microsoft-com:office:smarttags" w:element="place">
              <w:smartTag w:uri="urn:schemas-microsoft-com:office:smarttags" w:element="phone">
                <w:r>
                  <w:rPr>
                    <w:bCs/>
                  </w:rPr>
                  <w:t>WASHINGTON</w:t>
                </w:r>
              </w:smartTag>
            </w:smartTag>
            <w:r>
              <w:rPr>
                <w:bCs/>
              </w:rPr>
              <w:t xml:space="preserve"> UTILITIES AND TRANSPORTATION COMMISSION,</w:t>
            </w:r>
          </w:p>
          <w:p w:rsidR="00996159" w:rsidRDefault="00996159" w:rsidP="007F7787">
            <w:pPr>
              <w:tabs>
                <w:tab w:val="left" w:pos="2160"/>
              </w:tabs>
              <w:rPr>
                <w:bCs/>
              </w:rPr>
            </w:pPr>
          </w:p>
          <w:p w:rsidR="00996159" w:rsidRDefault="00996159" w:rsidP="007F7787">
            <w:pPr>
              <w:tabs>
                <w:tab w:val="left" w:pos="2160"/>
              </w:tabs>
              <w:rPr>
                <w:bCs/>
              </w:rPr>
            </w:pPr>
            <w:r>
              <w:rPr>
                <w:bCs/>
              </w:rPr>
              <w:tab/>
              <w:t>Complainant,</w:t>
            </w:r>
          </w:p>
          <w:p w:rsidR="00996159" w:rsidRDefault="00996159" w:rsidP="007F7787">
            <w:pPr>
              <w:tabs>
                <w:tab w:val="left" w:pos="2160"/>
              </w:tabs>
              <w:rPr>
                <w:bCs/>
              </w:rPr>
            </w:pPr>
          </w:p>
          <w:p w:rsidR="00996159" w:rsidRDefault="00996159" w:rsidP="007F7787">
            <w:pPr>
              <w:rPr>
                <w:bCs/>
              </w:rPr>
            </w:pPr>
            <w:r>
              <w:rPr>
                <w:bCs/>
              </w:rPr>
              <w:t>v.</w:t>
            </w:r>
          </w:p>
          <w:p w:rsidR="00996159" w:rsidRDefault="00996159" w:rsidP="007F7787">
            <w:pPr>
              <w:tabs>
                <w:tab w:val="left" w:pos="2160"/>
              </w:tabs>
              <w:rPr>
                <w:bCs/>
              </w:rPr>
            </w:pPr>
          </w:p>
          <w:p w:rsidR="00996159" w:rsidRDefault="00996159" w:rsidP="007F7787">
            <w:pPr>
              <w:tabs>
                <w:tab w:val="left" w:pos="2160"/>
              </w:tabs>
              <w:rPr>
                <w:bCs/>
              </w:rPr>
            </w:pPr>
            <w:r w:rsidRPr="001A5EFC">
              <w:rPr>
                <w:bCs/>
              </w:rPr>
              <w:t>P</w:t>
            </w:r>
            <w:r>
              <w:rPr>
                <w:bCs/>
              </w:rPr>
              <w:t>UGET SOUND ENERGY</w:t>
            </w:r>
            <w:r w:rsidRPr="001A5EFC">
              <w:rPr>
                <w:bCs/>
              </w:rPr>
              <w:t xml:space="preserve">, </w:t>
            </w:r>
          </w:p>
          <w:p w:rsidR="00996159" w:rsidRDefault="00996159" w:rsidP="007F7787">
            <w:pPr>
              <w:tabs>
                <w:tab w:val="left" w:pos="2160"/>
              </w:tabs>
              <w:rPr>
                <w:bCs/>
              </w:rPr>
            </w:pPr>
          </w:p>
          <w:p w:rsidR="00996159" w:rsidRPr="00611CC0" w:rsidRDefault="00996159" w:rsidP="007F7787">
            <w:pPr>
              <w:pStyle w:val="Footer"/>
              <w:widowControl/>
              <w:tabs>
                <w:tab w:val="clear" w:pos="4320"/>
                <w:tab w:val="clear" w:pos="8640"/>
                <w:tab w:val="left" w:pos="2160"/>
              </w:tabs>
              <w:rPr>
                <w:snapToGrid/>
              </w:rPr>
            </w:pPr>
            <w:r w:rsidRPr="00611CC0">
              <w:rPr>
                <w:bCs/>
              </w:rPr>
              <w:tab/>
              <w:t>Respondent.</w:t>
            </w:r>
          </w:p>
        </w:tc>
        <w:tc>
          <w:tcPr>
            <w:tcW w:w="270" w:type="dxa"/>
          </w:tcPr>
          <w:p w:rsidR="00996159" w:rsidRDefault="00996159" w:rsidP="007F7787">
            <w:pPr>
              <w:pStyle w:val="SingleSpacing"/>
              <w:spacing w:line="240" w:lineRule="auto"/>
            </w:pPr>
            <w:r>
              <w:t>)</w:t>
            </w:r>
          </w:p>
          <w:p w:rsidR="00996159" w:rsidRDefault="00996159" w:rsidP="007F7787">
            <w:pPr>
              <w:pStyle w:val="SingleSpacing"/>
              <w:spacing w:line="240" w:lineRule="auto"/>
            </w:pPr>
            <w:r>
              <w:t>)</w:t>
            </w:r>
          </w:p>
          <w:p w:rsidR="00996159" w:rsidRDefault="00996159" w:rsidP="007F7787">
            <w:pPr>
              <w:pStyle w:val="SingleSpacing"/>
              <w:spacing w:line="240" w:lineRule="auto"/>
            </w:pPr>
            <w:r>
              <w:t>)</w:t>
            </w:r>
          </w:p>
          <w:p w:rsidR="00996159" w:rsidRDefault="00996159" w:rsidP="007F7787">
            <w:pPr>
              <w:pStyle w:val="SingleSpacing"/>
              <w:spacing w:line="240" w:lineRule="auto"/>
            </w:pPr>
            <w:r>
              <w:t>)</w:t>
            </w:r>
          </w:p>
          <w:p w:rsidR="00996159" w:rsidRDefault="00996159" w:rsidP="007F7787">
            <w:pPr>
              <w:pStyle w:val="SingleSpacing"/>
              <w:spacing w:line="240" w:lineRule="auto"/>
            </w:pPr>
            <w:r>
              <w:t>)</w:t>
            </w:r>
          </w:p>
          <w:p w:rsidR="00996159" w:rsidRDefault="00996159" w:rsidP="007F7787">
            <w:pPr>
              <w:pStyle w:val="SingleSpacing"/>
              <w:spacing w:line="240" w:lineRule="auto"/>
            </w:pPr>
            <w:r>
              <w:t>)</w:t>
            </w:r>
          </w:p>
          <w:p w:rsidR="00996159" w:rsidRDefault="00996159" w:rsidP="007F7787">
            <w:pPr>
              <w:pStyle w:val="SingleSpacing"/>
              <w:spacing w:line="240" w:lineRule="auto"/>
            </w:pPr>
            <w:r>
              <w:t>)</w:t>
            </w:r>
          </w:p>
          <w:p w:rsidR="00996159" w:rsidRDefault="00996159" w:rsidP="007F7787">
            <w:pPr>
              <w:pStyle w:val="SingleSpacing"/>
              <w:spacing w:line="240" w:lineRule="auto"/>
            </w:pPr>
            <w:r>
              <w:t>)</w:t>
            </w:r>
          </w:p>
          <w:p w:rsidR="00996159" w:rsidRDefault="00996159" w:rsidP="007F7787">
            <w:pPr>
              <w:pStyle w:val="SingleSpacing"/>
              <w:spacing w:line="240" w:lineRule="auto"/>
            </w:pPr>
            <w:r>
              <w:t>)</w:t>
            </w:r>
          </w:p>
          <w:p w:rsidR="00996159" w:rsidRDefault="00996159" w:rsidP="007F7787">
            <w:pPr>
              <w:pStyle w:val="SingleSpacing"/>
              <w:spacing w:line="240" w:lineRule="auto"/>
            </w:pPr>
            <w:r>
              <w:t>)</w:t>
            </w:r>
          </w:p>
          <w:p w:rsidR="00996159" w:rsidRDefault="00996159" w:rsidP="007F7787">
            <w:pPr>
              <w:pStyle w:val="SingleSpacing"/>
              <w:spacing w:line="240" w:lineRule="auto"/>
            </w:pPr>
            <w:r>
              <w:t>)</w:t>
            </w:r>
          </w:p>
        </w:tc>
        <w:tc>
          <w:tcPr>
            <w:tcW w:w="4050" w:type="dxa"/>
          </w:tcPr>
          <w:p w:rsidR="00996159" w:rsidRDefault="00996159" w:rsidP="007F7787">
            <w:pPr>
              <w:pStyle w:val="SingleSpacing"/>
              <w:spacing w:line="240" w:lineRule="auto"/>
            </w:pPr>
            <w:bookmarkStart w:id="1" w:name="CaseNumber"/>
            <w:bookmarkEnd w:id="1"/>
            <w:r>
              <w:t xml:space="preserve">DOCKET NO. </w:t>
            </w:r>
            <w:r w:rsidRPr="00BC0EFD">
              <w:rPr>
                <w:bCs/>
              </w:rPr>
              <w:t>UE-</w:t>
            </w:r>
            <w:r>
              <w:rPr>
                <w:bCs/>
              </w:rPr>
              <w:t>141141</w:t>
            </w:r>
          </w:p>
          <w:p w:rsidR="00996159" w:rsidRDefault="00996159" w:rsidP="007F7787">
            <w:pPr>
              <w:pStyle w:val="BodyText2"/>
            </w:pPr>
          </w:p>
          <w:p w:rsidR="00996159" w:rsidRDefault="00996159" w:rsidP="007F7787">
            <w:pPr>
              <w:pStyle w:val="BodyText2"/>
            </w:pPr>
          </w:p>
          <w:p w:rsidR="00996159" w:rsidRDefault="00996159" w:rsidP="007F7787">
            <w:pPr>
              <w:pStyle w:val="BodyText2"/>
            </w:pPr>
          </w:p>
          <w:p w:rsidR="00996159" w:rsidRDefault="00525FED" w:rsidP="007F7787">
            <w:pPr>
              <w:pStyle w:val="BodyText2"/>
            </w:pPr>
            <w:r>
              <w:t>REPLY</w:t>
            </w:r>
            <w:r w:rsidR="00996159">
              <w:t xml:space="preserve"> OF THE INDUSTRIAL CUSTOMERS OF NORTHWEST UTILITIES TO ANSWER OF PUGET SOUND ENERGY, INC.</w:t>
            </w:r>
          </w:p>
          <w:p w:rsidR="00996159" w:rsidRDefault="00996159" w:rsidP="007F7787">
            <w:pPr>
              <w:pStyle w:val="SingleSpacing"/>
              <w:spacing w:line="240" w:lineRule="auto"/>
            </w:pPr>
          </w:p>
        </w:tc>
      </w:tr>
    </w:tbl>
    <w:p w:rsidR="00F43CF6" w:rsidRDefault="00F43CF6" w:rsidP="001B34EE">
      <w:pPr>
        <w:ind w:left="1080"/>
        <w:rPr>
          <w:b/>
        </w:rPr>
      </w:pPr>
    </w:p>
    <w:p w:rsidR="001B34EE" w:rsidRPr="001B34EE" w:rsidRDefault="001B34EE" w:rsidP="001B34EE">
      <w:pPr>
        <w:spacing w:line="480" w:lineRule="auto"/>
        <w:jc w:val="center"/>
        <w:rPr>
          <w:b/>
          <w:u w:val="single"/>
        </w:rPr>
      </w:pPr>
      <w:r>
        <w:rPr>
          <w:b/>
        </w:rPr>
        <w:t>I.</w:t>
      </w:r>
      <w:r>
        <w:rPr>
          <w:b/>
        </w:rPr>
        <w:tab/>
      </w:r>
      <w:r>
        <w:rPr>
          <w:b/>
          <w:u w:val="single"/>
        </w:rPr>
        <w:t>INTRODUCTION</w:t>
      </w:r>
    </w:p>
    <w:p w:rsidR="007F7787" w:rsidRPr="00F43CF6" w:rsidRDefault="00162534" w:rsidP="007F7787">
      <w:pPr>
        <w:pStyle w:val="WUTCParagraph"/>
        <w:numPr>
          <w:ilvl w:val="0"/>
          <w:numId w:val="4"/>
        </w:numPr>
        <w:rPr>
          <w:b/>
        </w:rPr>
      </w:pPr>
      <w:r>
        <w:t xml:space="preserve">                        </w:t>
      </w:r>
      <w:r w:rsidR="007F7787">
        <w:t>Pursuant to WAC 480-07-370(1)(d)(ii), t</w:t>
      </w:r>
      <w:r w:rsidR="007F7787" w:rsidRPr="00162534">
        <w:t>he Industrial Customers of Northwest Utilities (“ICNU”) submits</w:t>
      </w:r>
      <w:r w:rsidR="007F7787">
        <w:t xml:space="preserve"> this reply</w:t>
      </w:r>
      <w:r w:rsidR="007F7787" w:rsidRPr="00162534">
        <w:t xml:space="preserve"> </w:t>
      </w:r>
      <w:r w:rsidR="007F7787">
        <w:t xml:space="preserve">(“Reply”) </w:t>
      </w:r>
      <w:r w:rsidR="00CA4DB7">
        <w:t xml:space="preserve">with the Washington Utilities and Transportation Commission (“Commission”) </w:t>
      </w:r>
      <w:r w:rsidR="007F7787" w:rsidRPr="00162534">
        <w:t xml:space="preserve">to the </w:t>
      </w:r>
      <w:r w:rsidR="007F7787">
        <w:t xml:space="preserve">“Answer of Puget Sound Energy, Inc. to Petition </w:t>
      </w:r>
      <w:r w:rsidR="003247AD">
        <w:t xml:space="preserve">for </w:t>
      </w:r>
      <w:r w:rsidR="007F7787">
        <w:t>Accounting Order of The Industrial Customers of Northwest Utilities</w:t>
      </w:r>
      <w:r w:rsidR="00CA4DB7">
        <w:t xml:space="preserve">” (“Answer”), filed by Puget Sound Energy, Inc. (“PSE” or the Company”) on August 28, 2014.  </w:t>
      </w:r>
      <w:r w:rsidR="007F7787">
        <w:t xml:space="preserve">  </w:t>
      </w:r>
    </w:p>
    <w:p w:rsidR="007F7787" w:rsidRDefault="007F7787" w:rsidP="007F7787">
      <w:pPr>
        <w:jc w:val="center"/>
        <w:rPr>
          <w:b/>
          <w:u w:val="single"/>
        </w:rPr>
      </w:pPr>
      <w:r w:rsidRPr="00AF3143">
        <w:rPr>
          <w:b/>
        </w:rPr>
        <w:t>II.</w:t>
      </w:r>
      <w:r w:rsidRPr="00AF3143">
        <w:rPr>
          <w:b/>
        </w:rPr>
        <w:tab/>
      </w:r>
      <w:r>
        <w:rPr>
          <w:b/>
          <w:u w:val="single"/>
        </w:rPr>
        <w:t>REPLY</w:t>
      </w:r>
    </w:p>
    <w:p w:rsidR="007F7787" w:rsidRDefault="007F7787" w:rsidP="007F7787">
      <w:pPr>
        <w:jc w:val="center"/>
        <w:rPr>
          <w:b/>
          <w:u w:val="single"/>
        </w:rPr>
      </w:pPr>
    </w:p>
    <w:p w:rsidR="007F7787" w:rsidRPr="00F46DEA" w:rsidRDefault="007F7787" w:rsidP="007F7787">
      <w:pPr>
        <w:ind w:left="720" w:hanging="720"/>
        <w:rPr>
          <w:b/>
        </w:rPr>
      </w:pPr>
      <w:r w:rsidRPr="00F46DEA">
        <w:rPr>
          <w:b/>
        </w:rPr>
        <w:t>A.</w:t>
      </w:r>
      <w:r>
        <w:rPr>
          <w:b/>
        </w:rPr>
        <w:tab/>
        <w:t>The Company’s Relief Arguments Confuse and Fail to Address Relevant Issues Concerning the Deferral Proposal in the Petition</w:t>
      </w:r>
    </w:p>
    <w:p w:rsidR="007F7787" w:rsidRDefault="007F7787" w:rsidP="007F7787"/>
    <w:p w:rsidR="007F7787" w:rsidRDefault="007F7787" w:rsidP="007F7787">
      <w:pPr>
        <w:pStyle w:val="WUTCParagraph"/>
        <w:numPr>
          <w:ilvl w:val="0"/>
          <w:numId w:val="4"/>
        </w:numPr>
      </w:pPr>
      <w:r>
        <w:tab/>
        <w:t xml:space="preserve">The Company concludes that the Commission should reject ICNU’s deferral proposal, essentially arguing that the </w:t>
      </w:r>
      <w:r w:rsidR="003247AD">
        <w:t xml:space="preserve">Thurston County Superior </w:t>
      </w:r>
      <w:r>
        <w:t xml:space="preserve">Court </w:t>
      </w:r>
      <w:r w:rsidR="003247AD">
        <w:t xml:space="preserve">(“Court”) </w:t>
      </w:r>
      <w:r>
        <w:t>did not pre</w:t>
      </w:r>
      <w:r w:rsidR="006B5C3E">
        <w:t>-</w:t>
      </w:r>
      <w:r>
        <w:t xml:space="preserve">decide how the Commission would conduct the remand or remedy its error on the actual level of ROE which is legally appropriate in the </w:t>
      </w:r>
      <w:r w:rsidR="00D4481B">
        <w:t>consolidated expedited rate filing (“ERF”), rate plan, and decoupling dockets (“ERF cases”)</w:t>
      </w:r>
      <w:r>
        <w:t>.</w:t>
      </w:r>
      <w:r w:rsidR="00073964" w:rsidRPr="00073964">
        <w:rPr>
          <w:rStyle w:val="FootnoteReference"/>
          <w:u w:val="single"/>
        </w:rPr>
        <w:footnoteReference w:id="1"/>
      </w:r>
      <w:proofErr w:type="gramStart"/>
      <w:r w:rsidR="00073964" w:rsidRPr="00073964">
        <w:rPr>
          <w:vertAlign w:val="superscript"/>
        </w:rPr>
        <w:t>/</w:t>
      </w:r>
      <w:r w:rsidR="00967544">
        <w:t xml:space="preserve">  </w:t>
      </w:r>
      <w:r>
        <w:t>ICNU</w:t>
      </w:r>
      <w:proofErr w:type="gramEnd"/>
      <w:r>
        <w:t xml:space="preserve"> continues to maintain that the only valid and </w:t>
      </w:r>
      <w:r>
        <w:lastRenderedPageBreak/>
        <w:t xml:space="preserve">supported ROE level in the ERF cases </w:t>
      </w:r>
      <w:r w:rsidR="00477D72">
        <w:t xml:space="preserve">record </w:t>
      </w:r>
      <w:r>
        <w:t>was the 9.3% ROE proposed by ICNU.</w:t>
      </w:r>
      <w:r w:rsidR="002023C7" w:rsidRPr="00073964">
        <w:rPr>
          <w:rStyle w:val="FootnoteReference"/>
          <w:u w:val="single"/>
        </w:rPr>
        <w:footnoteReference w:id="2"/>
      </w:r>
      <w:proofErr w:type="gramStart"/>
      <w:r w:rsidR="002023C7" w:rsidRPr="00073964">
        <w:rPr>
          <w:vertAlign w:val="superscript"/>
        </w:rPr>
        <w:t>/</w:t>
      </w:r>
      <w:r>
        <w:t xml:space="preserve">  Further</w:t>
      </w:r>
      <w:proofErr w:type="gramEnd"/>
      <w:r>
        <w:t xml:space="preserve"> exposition on this point is contained within ICNU</w:t>
      </w:r>
      <w:r w:rsidR="003247AD">
        <w:t>’s</w:t>
      </w:r>
      <w:r>
        <w:t xml:space="preserve"> </w:t>
      </w:r>
      <w:r w:rsidR="00725C37">
        <w:t>proposal</w:t>
      </w:r>
      <w:r>
        <w:t xml:space="preserve"> responsive to the </w:t>
      </w:r>
      <w:r w:rsidR="00840188">
        <w:t xml:space="preserve">ERF case </w:t>
      </w:r>
      <w:r>
        <w:t>Notice</w:t>
      </w:r>
      <w:r w:rsidR="00840188">
        <w:t>s</w:t>
      </w:r>
      <w:r>
        <w:t>,</w:t>
      </w:r>
      <w:r w:rsidR="00840188" w:rsidRPr="00073964">
        <w:rPr>
          <w:rStyle w:val="FootnoteReference"/>
          <w:u w:val="single"/>
        </w:rPr>
        <w:footnoteReference w:id="3"/>
      </w:r>
      <w:r w:rsidR="00840188" w:rsidRPr="00073964">
        <w:rPr>
          <w:vertAlign w:val="superscript"/>
        </w:rPr>
        <w:t>/</w:t>
      </w:r>
      <w:r>
        <w:t xml:space="preserve"> in which ICNU </w:t>
      </w:r>
      <w:r w:rsidR="00E7330F">
        <w:t>explains the acute difficulties</w:t>
      </w:r>
      <w:r>
        <w:t xml:space="preserve"> in attempting to reconstitute the record in the ERF cases to include new ROE analysis and data.</w:t>
      </w:r>
      <w:r w:rsidR="005B097F" w:rsidRPr="005B097F">
        <w:rPr>
          <w:rStyle w:val="FootnoteReference"/>
          <w:u w:val="single"/>
        </w:rPr>
        <w:footnoteReference w:id="4"/>
      </w:r>
      <w:r w:rsidR="005B097F" w:rsidRPr="005B097F">
        <w:rPr>
          <w:vertAlign w:val="superscript"/>
        </w:rPr>
        <w:t>/</w:t>
      </w:r>
      <w:r>
        <w:t xml:space="preserve">  </w:t>
      </w:r>
    </w:p>
    <w:p w:rsidR="006802F1" w:rsidRDefault="00073964" w:rsidP="00A12A10">
      <w:pPr>
        <w:pStyle w:val="WUTCParagraph"/>
        <w:numPr>
          <w:ilvl w:val="0"/>
          <w:numId w:val="4"/>
        </w:numPr>
      </w:pPr>
      <w:r>
        <w:tab/>
      </w:r>
      <w:r w:rsidR="00A12A10">
        <w:t xml:space="preserve">In any event, PSE’s newly raised arguments against a deferral miss the point and confuse both the Petition proposal and the consideration now before the Commission.  That is, the deferral proposed in the Petition provides contingent relief which is not mutually exclusive to the Company’s position.  The Petition “requests that the deferral cover any </w:t>
      </w:r>
      <w:r w:rsidR="00A12A10" w:rsidRPr="00E60218">
        <w:rPr>
          <w:i/>
        </w:rPr>
        <w:t>potential</w:t>
      </w:r>
      <w:r w:rsidR="00A12A10">
        <w:t xml:space="preserve"> period between the date that rates become effective [in the 2014 PCORC] and the date on which the Commission issues an order establishing legal rates in [the ERF cases</w:t>
      </w:r>
      <w:r w:rsidR="00E60218">
        <w:t>].”</w:t>
      </w:r>
      <w:r w:rsidRPr="00073964">
        <w:rPr>
          <w:rStyle w:val="FootnoteReference"/>
          <w:u w:val="single"/>
        </w:rPr>
        <w:footnoteReference w:id="5"/>
      </w:r>
      <w:r w:rsidRPr="00073964">
        <w:rPr>
          <w:vertAlign w:val="superscript"/>
        </w:rPr>
        <w:t>/</w:t>
      </w:r>
      <w:r w:rsidR="00CD604B">
        <w:t xml:space="preserve">  </w:t>
      </w:r>
      <w:r w:rsidR="00E60218">
        <w:t xml:space="preserve">Likewise, the Petition states that, if this “sequence of events unfolds,” the proposed deferral would capture any collection amounts found to be unlawful “should the Commission approve new rates in the 2014 PCORC </w:t>
      </w:r>
      <w:r w:rsidR="00E60218" w:rsidRPr="00E60218">
        <w:rPr>
          <w:i/>
        </w:rPr>
        <w:t>before</w:t>
      </w:r>
      <w:r w:rsidR="00E60218">
        <w:t xml:space="preserve"> a </w:t>
      </w:r>
      <w:r w:rsidR="006C5CF7">
        <w:t>new order is issued</w:t>
      </w:r>
      <w:r w:rsidR="00E60218">
        <w:t xml:space="preserve"> in the ERF cases.”</w:t>
      </w:r>
      <w:r w:rsidRPr="00073964">
        <w:rPr>
          <w:rStyle w:val="FootnoteReference"/>
          <w:u w:val="single"/>
        </w:rPr>
        <w:footnoteReference w:id="6"/>
      </w:r>
      <w:r w:rsidRPr="00073964">
        <w:rPr>
          <w:vertAlign w:val="superscript"/>
        </w:rPr>
        <w:t>/</w:t>
      </w:r>
      <w:r w:rsidR="00E60218">
        <w:t xml:space="preserve">  </w:t>
      </w:r>
      <w:r w:rsidR="00A12A10">
        <w:t xml:space="preserve">  </w:t>
      </w:r>
    </w:p>
    <w:p w:rsidR="00CD604B" w:rsidRDefault="00073964" w:rsidP="00CD604B">
      <w:pPr>
        <w:pStyle w:val="WUTCParagraph"/>
        <w:numPr>
          <w:ilvl w:val="0"/>
          <w:numId w:val="4"/>
        </w:numPr>
      </w:pPr>
      <w:r>
        <w:tab/>
      </w:r>
      <w:r w:rsidR="006802F1">
        <w:t>T</w:t>
      </w:r>
      <w:r w:rsidR="00E60218">
        <w:t xml:space="preserve">he Petition acknowledges the remand proceeding and anticipates a Commission determination in the ERF cases in the very </w:t>
      </w:r>
      <w:r w:rsidR="00477D72">
        <w:t>shape</w:t>
      </w:r>
      <w:r w:rsidR="00E60218">
        <w:t xml:space="preserve"> of the </w:t>
      </w:r>
      <w:r w:rsidR="006802F1">
        <w:t xml:space="preserve">deferral proposal.  For this reason, the Company’s argument against deferral </w:t>
      </w:r>
      <w:r w:rsidR="006802F1" w:rsidRPr="006802F1">
        <w:rPr>
          <w:i/>
        </w:rPr>
        <w:t>on the basis of</w:t>
      </w:r>
      <w:r w:rsidR="006802F1">
        <w:t xml:space="preserve"> the ongoi</w:t>
      </w:r>
      <w:r w:rsidR="00F723A2">
        <w:t>ng remand proceeding is without merit</w:t>
      </w:r>
      <w:r w:rsidR="006802F1">
        <w:t xml:space="preserve">.  The Company states:  “The court remanded the case to the Commission to take action </w:t>
      </w:r>
      <w:r w:rsidR="006802F1">
        <w:lastRenderedPageBreak/>
        <w:t>consistent with the court’s order.”</w:t>
      </w:r>
      <w:r w:rsidRPr="00073964">
        <w:rPr>
          <w:rStyle w:val="FootnoteReference"/>
          <w:u w:val="single"/>
        </w:rPr>
        <w:footnoteReference w:id="7"/>
      </w:r>
      <w:r w:rsidRPr="00073964">
        <w:rPr>
          <w:vertAlign w:val="superscript"/>
        </w:rPr>
        <w:t>/</w:t>
      </w:r>
      <w:r w:rsidR="00967544">
        <w:t xml:space="preserve">  </w:t>
      </w:r>
      <w:r w:rsidR="00477D72">
        <w:t>But this</w:t>
      </w:r>
      <w:r w:rsidR="006802F1">
        <w:t xml:space="preserve"> fact perfectly coincides with the Petition’s proposal for deferral, rather than militating against the proposal.  Nor should a deferral be denied on the Company’s warning against a “piecemeal deferral.”</w:t>
      </w:r>
      <w:r w:rsidRPr="00073964">
        <w:rPr>
          <w:rStyle w:val="FootnoteReference"/>
          <w:u w:val="single"/>
        </w:rPr>
        <w:footnoteReference w:id="8"/>
      </w:r>
      <w:r w:rsidRPr="00073964">
        <w:rPr>
          <w:vertAlign w:val="superscript"/>
        </w:rPr>
        <w:t>/</w:t>
      </w:r>
      <w:r w:rsidR="00967544">
        <w:rPr>
          <w:vertAlign w:val="superscript"/>
        </w:rPr>
        <w:t xml:space="preserve"> </w:t>
      </w:r>
      <w:r w:rsidR="00967544">
        <w:t xml:space="preserve"> </w:t>
      </w:r>
      <w:r w:rsidR="006802F1">
        <w:t xml:space="preserve">The Commission can </w:t>
      </w:r>
      <w:r w:rsidR="006C5CF7">
        <w:t xml:space="preserve">and does </w:t>
      </w:r>
      <w:r w:rsidR="006802F1">
        <w:t xml:space="preserve">approve </w:t>
      </w:r>
      <w:r w:rsidR="006C5CF7">
        <w:t>deferred accounting</w:t>
      </w:r>
      <w:r w:rsidR="006802F1">
        <w:t xml:space="preserve"> </w:t>
      </w:r>
      <w:r w:rsidR="006C5CF7">
        <w:t xml:space="preserve">even when further determination </w:t>
      </w:r>
      <w:r w:rsidR="000E6CA7">
        <w:t xml:space="preserve">on allowable amounts </w:t>
      </w:r>
      <w:r w:rsidR="006C5CF7">
        <w:t xml:space="preserve">is </w:t>
      </w:r>
    </w:p>
    <w:p w:rsidR="00A12A10" w:rsidRDefault="006C5CF7" w:rsidP="00CD604B">
      <w:pPr>
        <w:pStyle w:val="WUTCParagraph"/>
        <w:numPr>
          <w:ilvl w:val="0"/>
          <w:numId w:val="0"/>
        </w:numPr>
      </w:pPr>
      <w:r>
        <w:t>required.</w:t>
      </w:r>
      <w:r w:rsidR="00073964" w:rsidRPr="00CD604B">
        <w:rPr>
          <w:rStyle w:val="FootnoteReference"/>
          <w:u w:val="single"/>
        </w:rPr>
        <w:footnoteReference w:id="9"/>
      </w:r>
      <w:r w:rsidR="00CD604B" w:rsidRPr="00CD604B">
        <w:rPr>
          <w:vertAlign w:val="superscript"/>
        </w:rPr>
        <w:t>/</w:t>
      </w:r>
      <w:r w:rsidR="00967544">
        <w:t xml:space="preserve">  </w:t>
      </w:r>
      <w:r w:rsidR="006802F1">
        <w:t xml:space="preserve">Notwithstanding, </w:t>
      </w:r>
      <w:r w:rsidR="007F7787">
        <w:t xml:space="preserve">even if the Commission were to decide against ordering an </w:t>
      </w:r>
      <w:r w:rsidR="007F7787" w:rsidRPr="006802F1">
        <w:t xml:space="preserve">immediate </w:t>
      </w:r>
      <w:r>
        <w:t xml:space="preserve">approval of ICNU’s </w:t>
      </w:r>
      <w:r w:rsidR="007F7787">
        <w:t xml:space="preserve">deferral </w:t>
      </w:r>
      <w:r>
        <w:t>request</w:t>
      </w:r>
      <w:r w:rsidR="007F7787">
        <w:t xml:space="preserve">, the prudent course would </w:t>
      </w:r>
      <w:r w:rsidR="00A12A10">
        <w:t>not be an absolute denial of a</w:t>
      </w:r>
      <w:r w:rsidR="00967544">
        <w:t xml:space="preserve"> future deferral.  </w:t>
      </w:r>
      <w:r w:rsidR="007F7787">
        <w:t xml:space="preserve">Instead, the Commission should </w:t>
      </w:r>
      <w:r w:rsidR="00A12A10">
        <w:t>suspend ICNU’s petition request</w:t>
      </w:r>
      <w:r>
        <w:t>,</w:t>
      </w:r>
      <w:r w:rsidR="007F7787">
        <w:t xml:space="preserve"> pending final determination in the ERF cases remand.  Such an alternative would </w:t>
      </w:r>
      <w:r>
        <w:t xml:space="preserve">be fully in keeping </w:t>
      </w:r>
      <w:r w:rsidR="007F7787">
        <w:t xml:space="preserve">with the Company’s </w:t>
      </w:r>
      <w:r>
        <w:t>own anticipation of future Commission “action consistent with the court’s order.”</w:t>
      </w:r>
      <w:r w:rsidR="00CD604B" w:rsidRPr="00CD604B">
        <w:rPr>
          <w:rStyle w:val="FootnoteReference"/>
          <w:u w:val="single"/>
        </w:rPr>
        <w:footnoteReference w:id="10"/>
      </w:r>
      <w:r w:rsidR="00CD604B" w:rsidRPr="00CD604B">
        <w:rPr>
          <w:vertAlign w:val="superscript"/>
        </w:rPr>
        <w:t>/</w:t>
      </w:r>
      <w:r w:rsidR="00967544">
        <w:t xml:space="preserve">  </w:t>
      </w:r>
      <w:r w:rsidR="007F7787">
        <w:t>That is, if on remand the Commission finds that a 9.3% ROE was and is the appropriate level of equity return “consistent with the court’s order,” a</w:t>
      </w:r>
      <w:r w:rsidR="00816947">
        <w:t>n</w:t>
      </w:r>
      <w:r w:rsidR="007F7787">
        <w:t xml:space="preserve"> deferral order in keeping with the Petition would be appropriate at that time</w:t>
      </w:r>
      <w:r w:rsidR="007F7787" w:rsidRPr="00C60DE8">
        <w:t>.</w:t>
      </w:r>
    </w:p>
    <w:p w:rsidR="007F7787" w:rsidRPr="00056D9F" w:rsidRDefault="007F7787" w:rsidP="007F7787">
      <w:pPr>
        <w:spacing w:after="240"/>
        <w:ind w:left="720" w:hanging="720"/>
        <w:rPr>
          <w:b/>
        </w:rPr>
      </w:pPr>
      <w:r>
        <w:rPr>
          <w:b/>
        </w:rPr>
        <w:t>B</w:t>
      </w:r>
      <w:r w:rsidRPr="00F46DEA">
        <w:rPr>
          <w:b/>
        </w:rPr>
        <w:t>.</w:t>
      </w:r>
      <w:r>
        <w:rPr>
          <w:b/>
        </w:rPr>
        <w:tab/>
        <w:t>The Answer Misinterprets the Petition and Misrepresents Key Facts Relevant to the Commission’s Consideration</w:t>
      </w:r>
    </w:p>
    <w:p w:rsidR="007F7787" w:rsidRDefault="00CD604B" w:rsidP="007F7787">
      <w:pPr>
        <w:pStyle w:val="WUTCParagraph"/>
        <w:numPr>
          <w:ilvl w:val="0"/>
          <w:numId w:val="4"/>
        </w:numPr>
      </w:pPr>
      <w:r>
        <w:tab/>
      </w:r>
      <w:r w:rsidR="007F7787">
        <w:t>Many of the denials and statements made by PSE in the Answer do not accurately interpret the Petition or fail to properly characterize pertinent facts.  Accordingly, the following paragraphs provide clarification and shed additional light on allegations contained in the Answer.</w:t>
      </w:r>
    </w:p>
    <w:p w:rsidR="00C76725" w:rsidRDefault="00CD604B" w:rsidP="00C76725">
      <w:pPr>
        <w:pStyle w:val="WUTCParagraph"/>
        <w:numPr>
          <w:ilvl w:val="0"/>
          <w:numId w:val="4"/>
        </w:numPr>
      </w:pPr>
      <w:r>
        <w:tab/>
      </w:r>
      <w:r w:rsidR="009B7D1C">
        <w:t>According to PSE, paragraph 10</w:t>
      </w:r>
      <w:r w:rsidR="007F7787">
        <w:t xml:space="preserve"> of the Petition mischaracterizes the </w:t>
      </w:r>
      <w:r w:rsidR="00477D72">
        <w:t>Notices</w:t>
      </w:r>
      <w:r w:rsidR="009B7D1C">
        <w:t>.</w:t>
      </w:r>
      <w:r w:rsidRPr="00CD604B">
        <w:rPr>
          <w:rStyle w:val="FootnoteReference"/>
          <w:u w:val="single"/>
        </w:rPr>
        <w:footnoteReference w:id="11"/>
      </w:r>
      <w:r w:rsidRPr="00CD604B">
        <w:rPr>
          <w:vertAlign w:val="superscript"/>
        </w:rPr>
        <w:t>/</w:t>
      </w:r>
      <w:r w:rsidR="00967544">
        <w:t xml:space="preserve">  </w:t>
      </w:r>
      <w:r w:rsidR="007F7787">
        <w:t xml:space="preserve">This allegation does not bear scrutiny.  The final sentence of the paragraph states:   “In the body of these Notices, the Commission explicitly acknowledged the Court’s conclusions regarding the </w:t>
      </w:r>
      <w:r w:rsidR="007F7787">
        <w:lastRenderedPageBreak/>
        <w:t>illegality of the Commission’s findings of fact with respect to ROE in the Compan</w:t>
      </w:r>
      <w:r w:rsidR="009B7D1C">
        <w:t>y’s rate plan.”</w:t>
      </w:r>
      <w:r w:rsidRPr="00CD604B">
        <w:rPr>
          <w:rStyle w:val="FootnoteReference"/>
          <w:u w:val="single"/>
        </w:rPr>
        <w:footnoteReference w:id="12"/>
      </w:r>
      <w:r w:rsidRPr="00CD604B">
        <w:rPr>
          <w:vertAlign w:val="superscript"/>
        </w:rPr>
        <w:t>/</w:t>
      </w:r>
      <w:r w:rsidR="00967544">
        <w:rPr>
          <w:vertAlign w:val="superscript"/>
        </w:rPr>
        <w:t xml:space="preserve"> </w:t>
      </w:r>
      <w:r w:rsidR="00967544">
        <w:t xml:space="preserve"> </w:t>
      </w:r>
      <w:r w:rsidR="007F7787">
        <w:t xml:space="preserve">This is a perfectly accurate characterization, given that the Commission directly quoted the Court’s conclusion that “the Commission’s findings of fact with respect to the return on equity … in the context of a multi-year rate plan are unsupported by evidence and the Commission improperly shifted the burden of proof … </w:t>
      </w:r>
      <w:r w:rsidR="007F7787" w:rsidRPr="00E54CB9">
        <w:t>contrary to RCW 34.05.461(4) and RCW 80.04.130(4)</w:t>
      </w:r>
      <w:r w:rsidR="007F7787">
        <w:t>.”</w:t>
      </w:r>
      <w:r w:rsidR="001E4DD4" w:rsidRPr="001E4DD4">
        <w:rPr>
          <w:rStyle w:val="FootnoteReference"/>
          <w:u w:val="single"/>
        </w:rPr>
        <w:footnoteReference w:id="13"/>
      </w:r>
      <w:r w:rsidR="001E4DD4" w:rsidRPr="001E4DD4">
        <w:rPr>
          <w:vertAlign w:val="superscript"/>
        </w:rPr>
        <w:t>/</w:t>
      </w:r>
      <w:r w:rsidR="007F7787">
        <w:t xml:space="preserve">  </w:t>
      </w:r>
    </w:p>
    <w:p w:rsidR="007F7787" w:rsidRDefault="001E4DD4" w:rsidP="00C76725">
      <w:pPr>
        <w:pStyle w:val="WUTCParagraph"/>
        <w:numPr>
          <w:ilvl w:val="0"/>
          <w:numId w:val="4"/>
        </w:numPr>
      </w:pPr>
      <w:r>
        <w:tab/>
      </w:r>
      <w:r w:rsidR="007F7787">
        <w:t xml:space="preserve">The fact that the Commission quoted the Court’s conclusion </w:t>
      </w:r>
      <w:r w:rsidR="00477D72">
        <w:t xml:space="preserve">adjudging </w:t>
      </w:r>
      <w:r w:rsidR="007F7787">
        <w:t xml:space="preserve">that the Commission’s findings of fact were contrary to two specific statutes means “the Commission explicitly acknowledged the Court’s conclusions regarding the </w:t>
      </w:r>
      <w:r w:rsidR="007F7787" w:rsidRPr="00E54CB9">
        <w:rPr>
          <w:i/>
        </w:rPr>
        <w:t>illegality</w:t>
      </w:r>
      <w:r w:rsidR="007F7787">
        <w:t xml:space="preserve"> of the Commission’s fin</w:t>
      </w:r>
      <w:r w:rsidR="009B7D1C">
        <w:t>dings of fact.”</w:t>
      </w:r>
      <w:r w:rsidRPr="001E4DD4">
        <w:rPr>
          <w:rStyle w:val="FootnoteReference"/>
          <w:u w:val="single"/>
        </w:rPr>
        <w:footnoteReference w:id="14"/>
      </w:r>
      <w:r w:rsidRPr="001E4DD4">
        <w:rPr>
          <w:vertAlign w:val="superscript"/>
        </w:rPr>
        <w:t>/</w:t>
      </w:r>
      <w:r w:rsidR="00967544">
        <w:t xml:space="preserve">  </w:t>
      </w:r>
      <w:r w:rsidR="007F7787">
        <w:t>Finding that an action is “contrary to” statute means that it is illegal, period.  The Commission should not allow PSE to flout common and ordinary use of the English language by casually throwing out alle</w:t>
      </w:r>
      <w:r w:rsidR="006B5C3E">
        <w:t>gations of “mischaracterization.</w:t>
      </w:r>
      <w:r w:rsidR="007F7787">
        <w:t xml:space="preserve">” </w:t>
      </w:r>
    </w:p>
    <w:p w:rsidR="009B7D1C" w:rsidRDefault="001E4DD4" w:rsidP="009B7D1C">
      <w:pPr>
        <w:pStyle w:val="WUTCParagraph"/>
        <w:numPr>
          <w:ilvl w:val="0"/>
          <w:numId w:val="4"/>
        </w:numPr>
      </w:pPr>
      <w:r>
        <w:tab/>
      </w:r>
      <w:r w:rsidR="009B7D1C">
        <w:t>Similarly, in regard to rates established in the ERF cases, PSE “denies that the rates are illegal as ICNU alleges.”</w:t>
      </w:r>
      <w:r w:rsidRPr="001E4DD4">
        <w:rPr>
          <w:rStyle w:val="FootnoteReference"/>
          <w:u w:val="single"/>
        </w:rPr>
        <w:footnoteReference w:id="15"/>
      </w:r>
      <w:proofErr w:type="gramStart"/>
      <w:r w:rsidRPr="001E4DD4">
        <w:rPr>
          <w:vertAlign w:val="superscript"/>
        </w:rPr>
        <w:t>/</w:t>
      </w:r>
      <w:r w:rsidR="00967544">
        <w:t xml:space="preserve">  </w:t>
      </w:r>
      <w:r w:rsidR="00477D72">
        <w:t>A</w:t>
      </w:r>
      <w:r w:rsidR="00AA6386">
        <w:t>gain</w:t>
      </w:r>
      <w:proofErr w:type="gramEnd"/>
      <w:r w:rsidR="00AA6386">
        <w:t>, “PSE denies that the return on equity used in the PCORC has been found illegal by the Co</w:t>
      </w:r>
      <w:r w:rsidR="0080589D">
        <w:t>urt</w:t>
      </w:r>
      <w:r w:rsidR="00AA6386">
        <w:t>.”</w:t>
      </w:r>
      <w:r w:rsidRPr="001E4DD4">
        <w:rPr>
          <w:rStyle w:val="FootnoteReference"/>
          <w:u w:val="single"/>
        </w:rPr>
        <w:footnoteReference w:id="16"/>
      </w:r>
      <w:proofErr w:type="gramStart"/>
      <w:r w:rsidRPr="001E4DD4">
        <w:rPr>
          <w:vertAlign w:val="superscript"/>
        </w:rPr>
        <w:t>/</w:t>
      </w:r>
      <w:r>
        <w:t xml:space="preserve">  </w:t>
      </w:r>
      <w:r w:rsidR="00AA6386">
        <w:t>At</w:t>
      </w:r>
      <w:proofErr w:type="gramEnd"/>
      <w:r w:rsidR="00AA6386">
        <w:t xml:space="preserve"> best, these are </w:t>
      </w:r>
      <w:r w:rsidR="009B7D1C">
        <w:t>gross mischaracterization</w:t>
      </w:r>
      <w:r w:rsidR="00477D72">
        <w:t>s</w:t>
      </w:r>
      <w:r w:rsidR="009B7D1C">
        <w:t xml:space="preserve"> on the Com</w:t>
      </w:r>
      <w:r w:rsidR="00AB25A4">
        <w:t xml:space="preserve">pany’s part.  Since the Commission acknowledges that the Court </w:t>
      </w:r>
      <w:r w:rsidR="00477D72">
        <w:t>concluded</w:t>
      </w:r>
      <w:r w:rsidR="00AB25A4">
        <w:t xml:space="preserve"> </w:t>
      </w:r>
      <w:r w:rsidR="00477D72">
        <w:t xml:space="preserve">that </w:t>
      </w:r>
      <w:r w:rsidR="00AB25A4">
        <w:t>its ROE findings were contrary to statute, the Company cannot reasonably maintain</w:t>
      </w:r>
      <w:r w:rsidR="0003091A">
        <w:t xml:space="preserve"> the legality</w:t>
      </w:r>
      <w:r w:rsidR="00AB25A4">
        <w:t xml:space="preserve"> </w:t>
      </w:r>
      <w:r w:rsidR="0003091A">
        <w:t>of</w:t>
      </w:r>
      <w:r w:rsidR="00AB25A4">
        <w:t xml:space="preserve"> rates </w:t>
      </w:r>
      <w:r w:rsidR="0003091A">
        <w:t xml:space="preserve">(or the ROE used to derive them) </w:t>
      </w:r>
      <w:r w:rsidR="00AB25A4">
        <w:t>estab</w:t>
      </w:r>
      <w:r w:rsidR="0003091A">
        <w:t xml:space="preserve">lished </w:t>
      </w:r>
      <w:r w:rsidR="0003091A" w:rsidRPr="00477D72">
        <w:rPr>
          <w:i/>
        </w:rPr>
        <w:t>contrary</w:t>
      </w:r>
      <w:r w:rsidR="0003091A">
        <w:t xml:space="preserve"> to law</w:t>
      </w:r>
      <w:r w:rsidR="00AB25A4">
        <w:t xml:space="preserve">.  This is true whether the error is procedural or substantive, and regardless of whether the Commission later makes a determination establishing the exact same ROE and rates in full accordance with all statutory </w:t>
      </w:r>
      <w:r w:rsidR="00AB25A4">
        <w:lastRenderedPageBreak/>
        <w:t xml:space="preserve">requirements.  In other words, if the Commissioners were summarily to declare </w:t>
      </w:r>
      <w:r w:rsidR="00FD6F3A">
        <w:t xml:space="preserve">that </w:t>
      </w:r>
      <w:r w:rsidR="00AB25A4">
        <w:t xml:space="preserve">certain rates were in effect without receiving or considering a shred of evidence, those rates would be illegal until all procedural and substantive requirements prescribed by the legislature were first satisfied, independent of the </w:t>
      </w:r>
      <w:r w:rsidR="00477D72">
        <w:t xml:space="preserve">ultimate </w:t>
      </w:r>
      <w:r w:rsidR="00FD6F3A">
        <w:t>correlation between the par</w:t>
      </w:r>
      <w:r w:rsidR="003247AD">
        <w:t xml:space="preserve">ticular figures derived under </w:t>
      </w:r>
      <w:r w:rsidR="00FD6F3A">
        <w:t>legal and illegal processes.</w:t>
      </w:r>
    </w:p>
    <w:p w:rsidR="007F7787" w:rsidRPr="006A6957" w:rsidRDefault="001E4DD4" w:rsidP="007F7787">
      <w:pPr>
        <w:pStyle w:val="WUTCParagraph"/>
        <w:numPr>
          <w:ilvl w:val="0"/>
          <w:numId w:val="4"/>
        </w:numPr>
      </w:pPr>
      <w:r>
        <w:tab/>
      </w:r>
      <w:r w:rsidR="007F7787" w:rsidRPr="006A6957">
        <w:t>The Company also denies the s</w:t>
      </w:r>
      <w:r w:rsidR="009B7D1C" w:rsidRPr="006A6957">
        <w:t>tatement in Petition paragraph 8</w:t>
      </w:r>
      <w:r w:rsidR="007F7787" w:rsidRPr="006A6957">
        <w:t xml:space="preserve"> that, in the ERF cases, “the record evidence demonstrated that a reasonable ROE for the Company at the time that ERF</w:t>
      </w:r>
      <w:r w:rsidR="0080589D" w:rsidRPr="006A6957">
        <w:t xml:space="preserve"> Order 07</w:t>
      </w:r>
      <w:r w:rsidR="007F7787" w:rsidRPr="006A6957">
        <w:t xml:space="preserve"> was </w:t>
      </w:r>
      <w:r w:rsidR="009B7D1C" w:rsidRPr="006A6957">
        <w:t>issued was 9.3%.”</w:t>
      </w:r>
      <w:r w:rsidRPr="006A6957">
        <w:rPr>
          <w:rStyle w:val="FootnoteReference"/>
          <w:u w:val="single"/>
        </w:rPr>
        <w:footnoteReference w:id="17"/>
      </w:r>
      <w:r w:rsidRPr="006A6957">
        <w:rPr>
          <w:vertAlign w:val="superscript"/>
        </w:rPr>
        <w:t>/</w:t>
      </w:r>
      <w:r w:rsidR="00967544" w:rsidRPr="006A6957">
        <w:t xml:space="preserve">  </w:t>
      </w:r>
      <w:r w:rsidR="007F7787" w:rsidRPr="006A6957">
        <w:t>In support of this statement, ICNU cited to paragraph 51 of ERF Order 07, in which the Commission recounted the analysis and recommendation of ICNU expert Michael Gorman in support of a 9.3% ROE.  No other party had submitted a full cost of capital analysis into the record in the ERF cases.</w:t>
      </w:r>
      <w:r w:rsidRPr="006A6957">
        <w:rPr>
          <w:rStyle w:val="FootnoteReference"/>
          <w:u w:val="single"/>
        </w:rPr>
        <w:footnoteReference w:id="18"/>
      </w:r>
      <w:proofErr w:type="gramStart"/>
      <w:r w:rsidRPr="006A6957">
        <w:rPr>
          <w:vertAlign w:val="superscript"/>
        </w:rPr>
        <w:t>/</w:t>
      </w:r>
      <w:r w:rsidR="005B097F" w:rsidRPr="006A6957">
        <w:t xml:space="preserve">  </w:t>
      </w:r>
      <w:r w:rsidR="007F7787" w:rsidRPr="006A6957">
        <w:t>Thus</w:t>
      </w:r>
      <w:proofErr w:type="gramEnd"/>
      <w:r w:rsidR="007F7787" w:rsidRPr="006A6957">
        <w:t xml:space="preserve">, </w:t>
      </w:r>
      <w:r w:rsidR="00461BB1" w:rsidRPr="006A6957">
        <w:t xml:space="preserve">as </w:t>
      </w:r>
      <w:r w:rsidR="007F7787" w:rsidRPr="006A6957">
        <w:t xml:space="preserve">ICNU’s 9.3% ROE recommendation comprised the </w:t>
      </w:r>
      <w:r w:rsidR="007F7787" w:rsidRPr="006A6957">
        <w:rPr>
          <w:i/>
        </w:rPr>
        <w:t>only</w:t>
      </w:r>
      <w:r w:rsidR="007F7787" w:rsidRPr="006A6957">
        <w:t xml:space="preserve"> complete cost of capital evidence in the record, ICNU’s s</w:t>
      </w:r>
      <w:r w:rsidR="009B7D1C" w:rsidRPr="006A6957">
        <w:t>tatement in Petition paragraph 8</w:t>
      </w:r>
      <w:r w:rsidR="007F7787" w:rsidRPr="006A6957">
        <w:t xml:space="preserve"> is well supported by the factual record.</w:t>
      </w:r>
    </w:p>
    <w:p w:rsidR="004B056D" w:rsidRDefault="001E4DD4" w:rsidP="005B7E35">
      <w:pPr>
        <w:pStyle w:val="WUTCParagraph"/>
        <w:numPr>
          <w:ilvl w:val="0"/>
          <w:numId w:val="4"/>
        </w:numPr>
      </w:pPr>
      <w:r>
        <w:tab/>
      </w:r>
      <w:r w:rsidR="00FD6F3A">
        <w:t>In response to Petition paragraph 11, PSE “denies that ICNU’s Petition will effectuate the court order.”</w:t>
      </w:r>
      <w:r w:rsidRPr="001E4DD4">
        <w:rPr>
          <w:rStyle w:val="FootnoteReference"/>
          <w:u w:val="single"/>
        </w:rPr>
        <w:footnoteReference w:id="19"/>
      </w:r>
      <w:r w:rsidRPr="001E4DD4">
        <w:rPr>
          <w:vertAlign w:val="superscript"/>
        </w:rPr>
        <w:t>/</w:t>
      </w:r>
      <w:r w:rsidR="00FD6F3A">
        <w:t xml:space="preserve">  Paragraph 11 of the Petition explains that ICNU seeks to effectuate the Court Order and that its proposed deferral will accomplish this end “should the Commission approve new rates in the 2014 PCORC </w:t>
      </w:r>
      <w:r w:rsidR="00FD6F3A" w:rsidRPr="00E60218">
        <w:rPr>
          <w:i/>
        </w:rPr>
        <w:t>before</w:t>
      </w:r>
      <w:r w:rsidR="00FD6F3A">
        <w:t xml:space="preserve"> a new order is issued in the ERF cases.”  ICNU submits that this is an accurate assessment</w:t>
      </w:r>
      <w:r w:rsidR="00AA6386">
        <w:t xml:space="preserve">, specifically if and when the Commission issues an order in the ERF cases determining that the 9.8% ROE was improper, and this order follows the final order in the 2014 PCORC.  Conversely, if the 2014 PCORC </w:t>
      </w:r>
      <w:r w:rsidR="00DB47B9">
        <w:t xml:space="preserve">order </w:t>
      </w:r>
      <w:r w:rsidR="00AA6386">
        <w:t xml:space="preserve">follows the remand order, the Commission will be able to simply apply its determination in the </w:t>
      </w:r>
      <w:r w:rsidR="00AA6386">
        <w:lastRenderedPageBreak/>
        <w:t>ERF cases.  But if not, accepting PSE’s denial and rejecting ICNU’s deferral request would put ratepayers in completely unnecessary jeopardy.</w:t>
      </w:r>
    </w:p>
    <w:p w:rsidR="007F7787" w:rsidRPr="007F7787" w:rsidRDefault="001E4DD4" w:rsidP="005B7E35">
      <w:pPr>
        <w:pStyle w:val="WUTCParagraph"/>
        <w:numPr>
          <w:ilvl w:val="0"/>
          <w:numId w:val="4"/>
        </w:numPr>
      </w:pPr>
      <w:r>
        <w:tab/>
      </w:r>
      <w:r w:rsidR="004B056D">
        <w:t xml:space="preserve">The Company’s denial that the proposed deferral would effectuate the Court Order sheds light on </w:t>
      </w:r>
      <w:r w:rsidR="00AC2E58">
        <w:t>PSE’s allegation</w:t>
      </w:r>
      <w:r w:rsidR="00AA6386">
        <w:t xml:space="preserve"> </w:t>
      </w:r>
      <w:r w:rsidR="00AC2E58">
        <w:t>that, in paragraph 14 of the Petition, “ICNU misreads the language of the court’s order.”</w:t>
      </w:r>
      <w:r w:rsidRPr="001E4DD4">
        <w:rPr>
          <w:rStyle w:val="FootnoteReference"/>
          <w:u w:val="single"/>
        </w:rPr>
        <w:footnoteReference w:id="20"/>
      </w:r>
      <w:r w:rsidRPr="001E4DD4">
        <w:rPr>
          <w:vertAlign w:val="superscript"/>
        </w:rPr>
        <w:t>/</w:t>
      </w:r>
      <w:r>
        <w:t xml:space="preserve">  </w:t>
      </w:r>
      <w:r w:rsidR="00AC2E58">
        <w:t>There, ICNU states that the ROE being “used in [PCORC] calculations has been found illegal by the Court.”</w:t>
      </w:r>
      <w:r w:rsidRPr="001E4DD4">
        <w:rPr>
          <w:rStyle w:val="FootnoteReference"/>
          <w:u w:val="single"/>
        </w:rPr>
        <w:footnoteReference w:id="21"/>
      </w:r>
      <w:r w:rsidRPr="001E4DD4">
        <w:rPr>
          <w:vertAlign w:val="superscript"/>
        </w:rPr>
        <w:t>/</w:t>
      </w:r>
      <w:r w:rsidR="009840E6">
        <w:t xml:space="preserve">  </w:t>
      </w:r>
      <w:r w:rsidR="00477D72">
        <w:t xml:space="preserve">But </w:t>
      </w:r>
      <w:r w:rsidR="00AC2E58">
        <w:t xml:space="preserve">PSE does not attempt to explain how ICNU misreads the language of the Court Order, and with good reason—the Court plainly ordered, adjudged and decreed that the Commission’s findings of fact on the rate plan ROE were </w:t>
      </w:r>
      <w:r w:rsidR="002A7B3F">
        <w:t>“</w:t>
      </w:r>
      <w:r w:rsidR="00AC2E58">
        <w:t>contrary to</w:t>
      </w:r>
      <w:r w:rsidR="002A7B3F">
        <w:t>”</w:t>
      </w:r>
      <w:r w:rsidR="00AC2E58">
        <w:t xml:space="preserve"> statute.</w:t>
      </w:r>
      <w:r w:rsidR="009840E6" w:rsidRPr="009840E6">
        <w:rPr>
          <w:rStyle w:val="FootnoteReference"/>
          <w:u w:val="single"/>
        </w:rPr>
        <w:footnoteReference w:id="22"/>
      </w:r>
      <w:r w:rsidR="009840E6" w:rsidRPr="009840E6">
        <w:rPr>
          <w:vertAlign w:val="superscript"/>
        </w:rPr>
        <w:t>/</w:t>
      </w:r>
      <w:r w:rsidR="00967544">
        <w:t xml:space="preserve">  </w:t>
      </w:r>
      <w:r w:rsidR="002A7B3F">
        <w:t xml:space="preserve">Accordingly, the Commission should regard such patently falsifiable allegations by the Company as </w:t>
      </w:r>
      <w:r w:rsidR="00477D72">
        <w:t>meriting no ultimate weight in</w:t>
      </w:r>
      <w:r w:rsidR="002A7B3F">
        <w:t xml:space="preserve"> consideration of the Answer.</w:t>
      </w:r>
    </w:p>
    <w:p w:rsidR="007F7787" w:rsidRPr="00AF3143" w:rsidRDefault="007F7787" w:rsidP="007F7787">
      <w:pPr>
        <w:spacing w:after="240"/>
        <w:jc w:val="center"/>
        <w:rPr>
          <w:b/>
        </w:rPr>
      </w:pPr>
      <w:r w:rsidRPr="00AF3143">
        <w:rPr>
          <w:b/>
        </w:rPr>
        <w:t>III.</w:t>
      </w:r>
      <w:r w:rsidRPr="00AF3143">
        <w:rPr>
          <w:b/>
        </w:rPr>
        <w:tab/>
      </w:r>
      <w:r w:rsidRPr="00AF3143">
        <w:rPr>
          <w:b/>
          <w:u w:val="single"/>
        </w:rPr>
        <w:t>CONCLUSION</w:t>
      </w:r>
    </w:p>
    <w:p w:rsidR="009840E6" w:rsidRPr="00477D72" w:rsidRDefault="007F7787" w:rsidP="00477D72">
      <w:pPr>
        <w:pStyle w:val="WUTCParagraph"/>
      </w:pPr>
      <w:r>
        <w:t xml:space="preserve">                       ICNU requests that the Commission approve the Petition and reject the relief requested in the Answer.  In the alternative, </w:t>
      </w:r>
      <w:r w:rsidR="00477D72">
        <w:t>ICNU requests that the Commission either approve deferral for later determination on allowable amounts, or suspend ICNU’s Petition, pending the outcome of the remand proceedings in the ERF cases</w:t>
      </w:r>
      <w:r>
        <w:t>.</w:t>
      </w:r>
    </w:p>
    <w:p w:rsidR="009840E6" w:rsidRDefault="009840E6" w:rsidP="00945CD4">
      <w:pPr>
        <w:spacing w:before="240" w:line="480" w:lineRule="auto"/>
        <w:ind w:left="720" w:firstLine="1440"/>
        <w:rPr>
          <w:szCs w:val="24"/>
        </w:rPr>
      </w:pPr>
    </w:p>
    <w:p w:rsidR="006B5C3E" w:rsidRDefault="006B5C3E" w:rsidP="00945CD4">
      <w:pPr>
        <w:spacing w:before="240" w:line="480" w:lineRule="auto"/>
        <w:ind w:left="720" w:firstLine="1440"/>
        <w:rPr>
          <w:szCs w:val="24"/>
        </w:rPr>
      </w:pPr>
    </w:p>
    <w:p w:rsidR="006B5C3E" w:rsidRDefault="006B5C3E" w:rsidP="00945CD4">
      <w:pPr>
        <w:spacing w:before="240" w:line="480" w:lineRule="auto"/>
        <w:ind w:left="720" w:firstLine="1440"/>
        <w:rPr>
          <w:szCs w:val="24"/>
        </w:rPr>
      </w:pPr>
    </w:p>
    <w:p w:rsidR="00DB47B9" w:rsidRDefault="00DB47B9" w:rsidP="00945CD4">
      <w:pPr>
        <w:spacing w:before="240" w:line="480" w:lineRule="auto"/>
        <w:ind w:left="720" w:firstLine="1440"/>
        <w:rPr>
          <w:szCs w:val="24"/>
        </w:rPr>
      </w:pPr>
    </w:p>
    <w:p w:rsidR="00236877" w:rsidRDefault="00236877" w:rsidP="00945CD4">
      <w:pPr>
        <w:spacing w:before="240" w:line="480" w:lineRule="auto"/>
        <w:ind w:left="720" w:firstLine="1440"/>
        <w:rPr>
          <w:szCs w:val="24"/>
        </w:rPr>
      </w:pPr>
    </w:p>
    <w:p w:rsidR="00945CD4" w:rsidRPr="00A60DC8" w:rsidRDefault="00945CD4" w:rsidP="00945CD4">
      <w:pPr>
        <w:spacing w:before="240" w:line="480" w:lineRule="auto"/>
        <w:ind w:left="720" w:firstLine="1440"/>
        <w:rPr>
          <w:szCs w:val="24"/>
        </w:rPr>
      </w:pPr>
      <w:r w:rsidRPr="00A60DC8">
        <w:rPr>
          <w:szCs w:val="24"/>
        </w:rPr>
        <w:lastRenderedPageBreak/>
        <w:t xml:space="preserve">Dated in Portland, Oregon, this </w:t>
      </w:r>
      <w:r w:rsidR="00F43CF6">
        <w:rPr>
          <w:szCs w:val="24"/>
        </w:rPr>
        <w:t>5</w:t>
      </w:r>
      <w:r w:rsidR="00D61740">
        <w:rPr>
          <w:szCs w:val="24"/>
        </w:rPr>
        <w:t>th</w:t>
      </w:r>
      <w:r>
        <w:rPr>
          <w:szCs w:val="24"/>
        </w:rPr>
        <w:t xml:space="preserve"> day of </w:t>
      </w:r>
      <w:r w:rsidR="00F43CF6">
        <w:rPr>
          <w:szCs w:val="24"/>
        </w:rPr>
        <w:t>September, 2014</w:t>
      </w:r>
      <w:r w:rsidRPr="00A60DC8">
        <w:rPr>
          <w:szCs w:val="24"/>
        </w:rPr>
        <w:t>.</w:t>
      </w:r>
    </w:p>
    <w:p w:rsidR="00945CD4" w:rsidRPr="00A60DC8" w:rsidRDefault="00945CD4" w:rsidP="00945CD4">
      <w:pPr>
        <w:keepNext/>
        <w:spacing w:line="480" w:lineRule="auto"/>
        <w:ind w:left="2880" w:firstLine="1530"/>
        <w:rPr>
          <w:szCs w:val="24"/>
        </w:rPr>
      </w:pPr>
      <w:r w:rsidRPr="00A60DC8">
        <w:rPr>
          <w:szCs w:val="24"/>
        </w:rPr>
        <w:t>Respectfully submitted,</w:t>
      </w:r>
    </w:p>
    <w:p w:rsidR="00945CD4" w:rsidRPr="00A60DC8" w:rsidRDefault="00945CD4" w:rsidP="00945CD4">
      <w:pPr>
        <w:keepNext/>
        <w:spacing w:line="480" w:lineRule="auto"/>
        <w:ind w:firstLine="4410"/>
        <w:rPr>
          <w:szCs w:val="24"/>
        </w:rPr>
      </w:pPr>
      <w:r w:rsidRPr="00A60DC8">
        <w:rPr>
          <w:szCs w:val="24"/>
        </w:rPr>
        <w:t>DAVISON VAN CLEVE, P.C.</w:t>
      </w:r>
    </w:p>
    <w:p w:rsidR="00945CD4" w:rsidRPr="00A60DC8" w:rsidRDefault="00945CD4" w:rsidP="00945CD4">
      <w:pPr>
        <w:keepNext/>
        <w:ind w:left="3600" w:firstLine="810"/>
        <w:rPr>
          <w:i/>
          <w:szCs w:val="24"/>
          <w:u w:val="single"/>
        </w:rPr>
      </w:pPr>
      <w:r w:rsidRPr="00A60DC8">
        <w:rPr>
          <w:i/>
          <w:szCs w:val="24"/>
          <w:u w:val="single"/>
        </w:rPr>
        <w:t xml:space="preserve">/s/ </w:t>
      </w:r>
      <w:r w:rsidR="004C7054">
        <w:rPr>
          <w:i/>
          <w:szCs w:val="24"/>
          <w:u w:val="single"/>
        </w:rPr>
        <w:t>Jesse E. Cowell</w:t>
      </w:r>
      <w:bookmarkStart w:id="2" w:name="_GoBack"/>
      <w:bookmarkEnd w:id="2"/>
    </w:p>
    <w:p w:rsidR="00945CD4" w:rsidRDefault="00F43CF6" w:rsidP="00945CD4">
      <w:pPr>
        <w:keepNext/>
        <w:ind w:firstLine="4410"/>
        <w:rPr>
          <w:szCs w:val="24"/>
        </w:rPr>
      </w:pPr>
      <w:r>
        <w:rPr>
          <w:szCs w:val="24"/>
        </w:rPr>
        <w:t>Melinda J. Davison</w:t>
      </w:r>
    </w:p>
    <w:p w:rsidR="00F43CF6" w:rsidRPr="00A60DC8" w:rsidRDefault="00F43CF6" w:rsidP="00945CD4">
      <w:pPr>
        <w:keepNext/>
        <w:ind w:firstLine="4410"/>
        <w:rPr>
          <w:szCs w:val="24"/>
        </w:rPr>
      </w:pPr>
      <w:r>
        <w:rPr>
          <w:szCs w:val="24"/>
        </w:rPr>
        <w:t>Jesse E. Cowell</w:t>
      </w:r>
    </w:p>
    <w:p w:rsidR="00945CD4" w:rsidRPr="00A60DC8" w:rsidRDefault="00945CD4" w:rsidP="00945CD4">
      <w:pPr>
        <w:keepNext/>
        <w:ind w:firstLine="4410"/>
        <w:rPr>
          <w:szCs w:val="24"/>
        </w:rPr>
      </w:pPr>
      <w:r w:rsidRPr="00A60DC8">
        <w:rPr>
          <w:szCs w:val="24"/>
        </w:rPr>
        <w:t>333 S.W. Taylor, Suite 400</w:t>
      </w:r>
    </w:p>
    <w:p w:rsidR="00945CD4" w:rsidRPr="00A60DC8" w:rsidRDefault="00945CD4" w:rsidP="00945CD4">
      <w:pPr>
        <w:keepNext/>
        <w:ind w:firstLine="4410"/>
        <w:rPr>
          <w:szCs w:val="24"/>
        </w:rPr>
      </w:pPr>
      <w:r w:rsidRPr="00A60DC8">
        <w:rPr>
          <w:szCs w:val="24"/>
        </w:rPr>
        <w:t>Portland, Oregon 97204</w:t>
      </w:r>
    </w:p>
    <w:p w:rsidR="00945CD4" w:rsidRPr="00A60DC8" w:rsidRDefault="00945CD4" w:rsidP="00945CD4">
      <w:pPr>
        <w:keepNext/>
        <w:ind w:firstLine="4410"/>
        <w:rPr>
          <w:szCs w:val="24"/>
        </w:rPr>
      </w:pPr>
      <w:r w:rsidRPr="00A60DC8">
        <w:rPr>
          <w:szCs w:val="24"/>
        </w:rPr>
        <w:t>(503) 241-7242 telephone</w:t>
      </w:r>
    </w:p>
    <w:p w:rsidR="00945CD4" w:rsidRPr="00A60DC8" w:rsidRDefault="00945CD4" w:rsidP="00945CD4">
      <w:pPr>
        <w:keepNext/>
        <w:ind w:firstLine="4410"/>
        <w:rPr>
          <w:szCs w:val="24"/>
        </w:rPr>
      </w:pPr>
      <w:r w:rsidRPr="00A60DC8">
        <w:rPr>
          <w:szCs w:val="24"/>
        </w:rPr>
        <w:t>(503) 241-8160 facsimile</w:t>
      </w:r>
    </w:p>
    <w:p w:rsidR="00945CD4" w:rsidRDefault="00F43CF6" w:rsidP="00945CD4">
      <w:pPr>
        <w:ind w:left="3600" w:firstLine="810"/>
        <w:rPr>
          <w:szCs w:val="24"/>
        </w:rPr>
      </w:pPr>
      <w:r w:rsidRPr="00F43CF6">
        <w:rPr>
          <w:szCs w:val="24"/>
        </w:rPr>
        <w:t>mjd@dvclaw.com</w:t>
      </w:r>
    </w:p>
    <w:p w:rsidR="00F43CF6" w:rsidRPr="00A60DC8" w:rsidRDefault="00F43CF6" w:rsidP="00945CD4">
      <w:pPr>
        <w:ind w:left="3600" w:firstLine="810"/>
        <w:rPr>
          <w:szCs w:val="24"/>
        </w:rPr>
      </w:pPr>
      <w:r>
        <w:rPr>
          <w:szCs w:val="24"/>
        </w:rPr>
        <w:t>jec@dvclaw.com</w:t>
      </w:r>
    </w:p>
    <w:p w:rsidR="00945CD4" w:rsidRPr="00A60DC8" w:rsidRDefault="00945CD4" w:rsidP="00945CD4">
      <w:pPr>
        <w:ind w:left="3600" w:firstLine="810"/>
        <w:rPr>
          <w:szCs w:val="24"/>
        </w:rPr>
      </w:pPr>
      <w:r w:rsidRPr="00A60DC8">
        <w:rPr>
          <w:szCs w:val="24"/>
        </w:rPr>
        <w:t xml:space="preserve">Of Attorney for Industrial Customers </w:t>
      </w:r>
    </w:p>
    <w:p w:rsidR="00945CD4" w:rsidRPr="00D74BA9" w:rsidRDefault="00945CD4" w:rsidP="00945CD4">
      <w:pPr>
        <w:ind w:left="3600" w:firstLine="720"/>
        <w:rPr>
          <w:szCs w:val="24"/>
        </w:rPr>
      </w:pPr>
      <w:r>
        <w:rPr>
          <w:szCs w:val="24"/>
        </w:rPr>
        <w:t xml:space="preserve"> </w:t>
      </w:r>
      <w:r w:rsidR="00773CF6">
        <w:rPr>
          <w:szCs w:val="24"/>
        </w:rPr>
        <w:t xml:space="preserve"> </w:t>
      </w:r>
      <w:r w:rsidRPr="00A60DC8">
        <w:rPr>
          <w:szCs w:val="24"/>
        </w:rPr>
        <w:t>of Northwest Utilities</w:t>
      </w:r>
    </w:p>
    <w:p w:rsidR="00945CD4" w:rsidRPr="0099783D" w:rsidRDefault="00945CD4" w:rsidP="001B34EE">
      <w:pPr>
        <w:spacing w:line="480" w:lineRule="auto"/>
        <w:ind w:firstLine="1440"/>
      </w:pPr>
    </w:p>
    <w:sectPr w:rsidR="00945CD4" w:rsidRPr="0099783D" w:rsidSect="00CD604B">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7E" w:rsidRDefault="00E60D7E" w:rsidP="009545EB">
      <w:r>
        <w:separator/>
      </w:r>
    </w:p>
  </w:endnote>
  <w:endnote w:type="continuationSeparator" w:id="0">
    <w:p w:rsidR="00E60D7E" w:rsidRDefault="00E60D7E" w:rsidP="0095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84" w:rsidRDefault="000C5584">
    <w:pPr>
      <w:pStyle w:val="Footer"/>
    </w:pPr>
    <w:r>
      <w:t xml:space="preserve">PAGE </w:t>
    </w:r>
    <w:sdt>
      <w:sdtPr>
        <w:id w:val="-1793194328"/>
        <w:docPartObj>
          <w:docPartGallery w:val="Page Numbers (Bottom of Page)"/>
          <w:docPartUnique/>
        </w:docPartObj>
      </w:sdtPr>
      <w:sdtEndPr>
        <w:rPr>
          <w:noProof/>
        </w:rPr>
      </w:sdtEndPr>
      <w:sdtContent>
        <w:r w:rsidR="006A6957">
          <w:fldChar w:fldCharType="begin"/>
        </w:r>
        <w:r w:rsidR="006A6957">
          <w:instrText xml:space="preserve"> PAGE   \* MERGEFORMAT </w:instrText>
        </w:r>
        <w:r w:rsidR="006A6957">
          <w:fldChar w:fldCharType="separate"/>
        </w:r>
        <w:r w:rsidR="004C7054">
          <w:rPr>
            <w:noProof/>
          </w:rPr>
          <w:t>1</w:t>
        </w:r>
        <w:r w:rsidR="006A6957">
          <w:rPr>
            <w:noProof/>
          </w:rPr>
          <w:fldChar w:fldCharType="end"/>
        </w:r>
        <w:r>
          <w:rPr>
            <w:noProof/>
          </w:rPr>
          <w:t xml:space="preserve"> – ICNU’S REPLY TO PSE’S ANSWER</w:t>
        </w:r>
      </w:sdtContent>
    </w:sdt>
  </w:p>
  <w:p w:rsidR="000C5584" w:rsidRDefault="000C5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584" w:rsidRDefault="000C5584">
    <w:pPr>
      <w:pStyle w:val="Footer"/>
    </w:pPr>
  </w:p>
  <w:p w:rsidR="000C5584" w:rsidRDefault="000C5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7E" w:rsidRDefault="00E60D7E" w:rsidP="009545EB">
      <w:r>
        <w:separator/>
      </w:r>
    </w:p>
  </w:footnote>
  <w:footnote w:type="continuationSeparator" w:id="0">
    <w:p w:rsidR="00E60D7E" w:rsidRDefault="00E60D7E" w:rsidP="009545EB">
      <w:r>
        <w:continuationSeparator/>
      </w:r>
    </w:p>
  </w:footnote>
  <w:footnote w:id="1">
    <w:p w:rsidR="000C5584" w:rsidRDefault="000C5584">
      <w:pPr>
        <w:pStyle w:val="FootnoteText"/>
      </w:pPr>
      <w:r w:rsidRPr="00073964">
        <w:rPr>
          <w:rStyle w:val="FootnoteReference"/>
          <w:u w:val="single"/>
        </w:rPr>
        <w:footnoteRef/>
      </w:r>
      <w:r w:rsidRPr="00073964">
        <w:rPr>
          <w:vertAlign w:val="superscript"/>
        </w:rPr>
        <w:t xml:space="preserve">/ </w:t>
      </w:r>
      <w:r>
        <w:tab/>
        <w:t>Answer at ¶ 17.</w:t>
      </w:r>
    </w:p>
  </w:footnote>
  <w:footnote w:id="2">
    <w:p w:rsidR="000C5584" w:rsidRDefault="000C5584" w:rsidP="00840188">
      <w:pPr>
        <w:pStyle w:val="FootnoteText"/>
        <w:ind w:left="720" w:hanging="720"/>
      </w:pPr>
      <w:r w:rsidRPr="00073964">
        <w:rPr>
          <w:rStyle w:val="FootnoteReference"/>
          <w:u w:val="single"/>
        </w:rPr>
        <w:footnoteRef/>
      </w:r>
      <w:r w:rsidRPr="00073964">
        <w:rPr>
          <w:vertAlign w:val="superscript"/>
        </w:rPr>
        <w:t xml:space="preserve">/ </w:t>
      </w:r>
      <w:r>
        <w:tab/>
        <w:t xml:space="preserve">Petition for Accounting Order at ¶ 8 (Aug. 8. 2014) (“Petition”); </w:t>
      </w:r>
      <w:r w:rsidRPr="002023C7">
        <w:rPr>
          <w:u w:val="single"/>
        </w:rPr>
        <w:t>see</w:t>
      </w:r>
      <w:r>
        <w:t xml:space="preserve"> </w:t>
      </w:r>
      <w:r w:rsidRPr="002023C7">
        <w:rPr>
          <w:u w:val="single"/>
        </w:rPr>
        <w:t>also</w:t>
      </w:r>
      <w:r w:rsidRPr="002023C7">
        <w:t xml:space="preserve"> </w:t>
      </w:r>
      <w:r w:rsidR="003247AD" w:rsidRPr="003247AD">
        <w:t>ERF cases</w:t>
      </w:r>
      <w:r>
        <w:t>, Order 07 at ¶ 56 (June 25, 2013) (“ERF Order 07”) (indicating that no other party had submitted a full cost of capital analysis into the record in the ERF cases).</w:t>
      </w:r>
    </w:p>
  </w:footnote>
  <w:footnote w:id="3">
    <w:p w:rsidR="000C5584" w:rsidRDefault="000C5584" w:rsidP="00840188">
      <w:pPr>
        <w:pStyle w:val="FootnoteText"/>
        <w:ind w:left="720" w:hanging="720"/>
      </w:pPr>
      <w:r w:rsidRPr="00073964">
        <w:rPr>
          <w:rStyle w:val="FootnoteReference"/>
          <w:u w:val="single"/>
        </w:rPr>
        <w:footnoteRef/>
      </w:r>
      <w:r w:rsidRPr="00073964">
        <w:rPr>
          <w:vertAlign w:val="superscript"/>
        </w:rPr>
        <w:t xml:space="preserve">/ </w:t>
      </w:r>
      <w:r>
        <w:tab/>
        <w:t>ERF cases, Notice Suspending Response Deadlines and Providing Opportunity to File Proposals and Notice of Prehearing Conference (Aug. 5, 2014) (“Notices”).</w:t>
      </w:r>
    </w:p>
  </w:footnote>
  <w:footnote w:id="4">
    <w:p w:rsidR="000C5584" w:rsidRPr="00725C37" w:rsidRDefault="000C5584" w:rsidP="00725C37">
      <w:pPr>
        <w:pStyle w:val="FootnoteText"/>
        <w:ind w:left="720" w:hanging="720"/>
        <w:rPr>
          <w:u w:val="single"/>
        </w:rPr>
      </w:pPr>
      <w:r w:rsidRPr="005B097F">
        <w:rPr>
          <w:rStyle w:val="FootnoteReference"/>
          <w:u w:val="single"/>
        </w:rPr>
        <w:footnoteRef/>
      </w:r>
      <w:r w:rsidRPr="005B097F">
        <w:rPr>
          <w:vertAlign w:val="superscript"/>
        </w:rPr>
        <w:t>/</w:t>
      </w:r>
      <w:r w:rsidRPr="005B097F">
        <w:rPr>
          <w:vertAlign w:val="superscript"/>
        </w:rPr>
        <w:tab/>
      </w:r>
      <w:r>
        <w:t xml:space="preserve">ERF cases, ICNU Proposal for Procedure on Remand (Aug. 26, 2014).  The Commission may take official notice of ICNU’s Proposal filing.  </w:t>
      </w:r>
      <w:r w:rsidRPr="00725C37">
        <w:rPr>
          <w:u w:val="single"/>
        </w:rPr>
        <w:t>See</w:t>
      </w:r>
      <w:r>
        <w:t xml:space="preserve"> </w:t>
      </w:r>
      <w:r>
        <w:rPr>
          <w:u w:val="single"/>
        </w:rPr>
        <w:t>WUTC v.</w:t>
      </w:r>
      <w:r w:rsidR="00DE1251">
        <w:rPr>
          <w:u w:val="single"/>
        </w:rPr>
        <w:t xml:space="preserve"> </w:t>
      </w:r>
      <w:r>
        <w:rPr>
          <w:u w:val="single"/>
        </w:rPr>
        <w:t>Washington Natural Gas Co.</w:t>
      </w:r>
      <w:r w:rsidRPr="00725C37">
        <w:t xml:space="preserve">, Docket Nos. </w:t>
      </w:r>
      <w:proofErr w:type="gramStart"/>
      <w:r>
        <w:t>UG-940034 and UG</w:t>
      </w:r>
      <w:r w:rsidR="00DE1251">
        <w:t xml:space="preserve">-940814, Fifth Suppl. Order at p. 31 </w:t>
      </w:r>
      <w:r>
        <w:t>(Apr. 11, 1995) (</w:t>
      </w:r>
      <w:r w:rsidR="00DE1251">
        <w:t>taking official notice of a party filing in a separate docket).</w:t>
      </w:r>
      <w:proofErr w:type="gramEnd"/>
    </w:p>
  </w:footnote>
  <w:footnote w:id="5">
    <w:p w:rsidR="000C5584" w:rsidRDefault="000C5584" w:rsidP="002023C7">
      <w:pPr>
        <w:pStyle w:val="FootnoteText"/>
        <w:ind w:left="720" w:hanging="720"/>
      </w:pPr>
      <w:r w:rsidRPr="00073964">
        <w:rPr>
          <w:rStyle w:val="FootnoteReference"/>
          <w:u w:val="single"/>
        </w:rPr>
        <w:footnoteRef/>
      </w:r>
      <w:r w:rsidRPr="00073964">
        <w:rPr>
          <w:vertAlign w:val="superscript"/>
        </w:rPr>
        <w:t>/</w:t>
      </w:r>
      <w:r>
        <w:t xml:space="preserve"> </w:t>
      </w:r>
      <w:r>
        <w:tab/>
        <w:t xml:space="preserve">Petition at ¶ 1 (emphasis added). </w:t>
      </w:r>
    </w:p>
  </w:footnote>
  <w:footnote w:id="6">
    <w:p w:rsidR="000C5584" w:rsidRDefault="000C5584">
      <w:pPr>
        <w:pStyle w:val="FootnoteText"/>
      </w:pPr>
      <w:r w:rsidRPr="00073964">
        <w:rPr>
          <w:rStyle w:val="FootnoteReference"/>
          <w:u w:val="single"/>
        </w:rPr>
        <w:footnoteRef/>
      </w:r>
      <w:r w:rsidRPr="00073964">
        <w:rPr>
          <w:vertAlign w:val="superscript"/>
        </w:rPr>
        <w:t>/</w:t>
      </w:r>
      <w:r>
        <w:t xml:space="preserve"> </w:t>
      </w:r>
      <w:r>
        <w:tab/>
      </w:r>
      <w:r w:rsidRPr="00E60218">
        <w:rPr>
          <w:u w:val="single"/>
        </w:rPr>
        <w:t>Id.</w:t>
      </w:r>
      <w:r>
        <w:t xml:space="preserve"> at ¶ 11.</w:t>
      </w:r>
    </w:p>
  </w:footnote>
  <w:footnote w:id="7">
    <w:p w:rsidR="000C5584" w:rsidRDefault="000C5584">
      <w:pPr>
        <w:pStyle w:val="FootnoteText"/>
      </w:pPr>
      <w:r w:rsidRPr="00073964">
        <w:rPr>
          <w:rStyle w:val="FootnoteReference"/>
          <w:u w:val="single"/>
        </w:rPr>
        <w:footnoteRef/>
      </w:r>
      <w:r w:rsidRPr="00073964">
        <w:rPr>
          <w:vertAlign w:val="superscript"/>
        </w:rPr>
        <w:t>/</w:t>
      </w:r>
      <w:r>
        <w:t xml:space="preserve"> </w:t>
      </w:r>
      <w:r>
        <w:tab/>
        <w:t>Answer at ¶ 17.</w:t>
      </w:r>
    </w:p>
  </w:footnote>
  <w:footnote w:id="8">
    <w:p w:rsidR="000C5584" w:rsidRDefault="000C5584">
      <w:pPr>
        <w:pStyle w:val="FootnoteText"/>
      </w:pPr>
      <w:r w:rsidRPr="00073964">
        <w:rPr>
          <w:rStyle w:val="FootnoteReference"/>
          <w:u w:val="single"/>
        </w:rPr>
        <w:footnoteRef/>
      </w:r>
      <w:r w:rsidRPr="00073964">
        <w:rPr>
          <w:vertAlign w:val="superscript"/>
        </w:rPr>
        <w:t>/</w:t>
      </w:r>
      <w:r>
        <w:t xml:space="preserve"> </w:t>
      </w:r>
      <w:r>
        <w:tab/>
      </w:r>
      <w:r w:rsidRPr="00073964">
        <w:rPr>
          <w:u w:val="single"/>
        </w:rPr>
        <w:t>Id.</w:t>
      </w:r>
      <w:r>
        <w:t xml:space="preserve"> at ¶ 18.</w:t>
      </w:r>
    </w:p>
  </w:footnote>
  <w:footnote w:id="9">
    <w:p w:rsidR="000C5584" w:rsidRDefault="000C5584">
      <w:pPr>
        <w:pStyle w:val="FootnoteText"/>
      </w:pPr>
      <w:r w:rsidRPr="00CD604B">
        <w:rPr>
          <w:rStyle w:val="FootnoteReference"/>
          <w:u w:val="single"/>
        </w:rPr>
        <w:footnoteRef/>
      </w:r>
      <w:r w:rsidRPr="00CD604B">
        <w:rPr>
          <w:vertAlign w:val="superscript"/>
        </w:rPr>
        <w:t>/</w:t>
      </w:r>
      <w:r>
        <w:t xml:space="preserve"> </w:t>
      </w:r>
      <w:r>
        <w:tab/>
      </w:r>
      <w:r w:rsidRPr="000E6CA7">
        <w:rPr>
          <w:u w:val="single"/>
        </w:rPr>
        <w:t>See</w:t>
      </w:r>
      <w:r>
        <w:t xml:space="preserve"> </w:t>
      </w:r>
      <w:r w:rsidRPr="0080589D">
        <w:rPr>
          <w:u w:val="single"/>
        </w:rPr>
        <w:t>WUTC v. Pacific Power &amp; Light Co.</w:t>
      </w:r>
      <w:r>
        <w:t xml:space="preserve">, Docket Nos. UE-140762/UE-140617, Order 03/01 at ¶10 (May </w:t>
      </w:r>
      <w:r>
        <w:tab/>
        <w:t xml:space="preserve">29, </w:t>
      </w:r>
      <w:r w:rsidR="003247AD">
        <w:t>2014) (authorizing deferral but</w:t>
      </w:r>
      <w:r>
        <w:tab/>
        <w:t xml:space="preserve">requiring “a more complete and fully developed record before we can </w:t>
      </w:r>
      <w:r>
        <w:tab/>
        <w:t xml:space="preserve">issue a decision on the eligibility of these amounts for inclusion in rates,” and making “no finding as to </w:t>
      </w:r>
      <w:r>
        <w:tab/>
        <w:t>whether th</w:t>
      </w:r>
      <w:r w:rsidR="003247AD">
        <w:t>e amount … is prudent but leave</w:t>
      </w:r>
      <w:r>
        <w:tab/>
        <w:t>that issue for [future] determination”).</w:t>
      </w:r>
    </w:p>
  </w:footnote>
  <w:footnote w:id="10">
    <w:p w:rsidR="000C5584" w:rsidRDefault="000C5584">
      <w:pPr>
        <w:pStyle w:val="FootnoteText"/>
      </w:pPr>
      <w:r w:rsidRPr="00CD604B">
        <w:rPr>
          <w:rStyle w:val="FootnoteReference"/>
          <w:u w:val="single"/>
        </w:rPr>
        <w:footnoteRef/>
      </w:r>
      <w:r w:rsidRPr="00CD604B">
        <w:rPr>
          <w:vertAlign w:val="superscript"/>
        </w:rPr>
        <w:t>/</w:t>
      </w:r>
      <w:r>
        <w:t xml:space="preserve"> </w:t>
      </w:r>
      <w:r>
        <w:tab/>
        <w:t>Answer at ¶ 17.</w:t>
      </w:r>
    </w:p>
  </w:footnote>
  <w:footnote w:id="11">
    <w:p w:rsidR="000C5584" w:rsidRDefault="000C5584">
      <w:pPr>
        <w:pStyle w:val="FootnoteText"/>
      </w:pPr>
      <w:r w:rsidRPr="00CD604B">
        <w:rPr>
          <w:rStyle w:val="FootnoteReference"/>
          <w:u w:val="single"/>
        </w:rPr>
        <w:footnoteRef/>
      </w:r>
      <w:r w:rsidRPr="00CD604B">
        <w:rPr>
          <w:vertAlign w:val="superscript"/>
        </w:rPr>
        <w:t>/</w:t>
      </w:r>
      <w:r>
        <w:t xml:space="preserve"> </w:t>
      </w:r>
      <w:r>
        <w:tab/>
      </w:r>
      <w:r w:rsidRPr="00CD604B">
        <w:rPr>
          <w:u w:val="single"/>
        </w:rPr>
        <w:t>Id.</w:t>
      </w:r>
      <w:r>
        <w:t xml:space="preserve"> at ¶ 11.</w:t>
      </w:r>
    </w:p>
  </w:footnote>
  <w:footnote w:id="12">
    <w:p w:rsidR="000C5584" w:rsidRDefault="000C5584">
      <w:pPr>
        <w:pStyle w:val="FootnoteText"/>
      </w:pPr>
      <w:r w:rsidRPr="00CD604B">
        <w:rPr>
          <w:rStyle w:val="FootnoteReference"/>
          <w:u w:val="single"/>
        </w:rPr>
        <w:footnoteRef/>
      </w:r>
      <w:r w:rsidRPr="00CD604B">
        <w:rPr>
          <w:vertAlign w:val="superscript"/>
        </w:rPr>
        <w:t xml:space="preserve">/ </w:t>
      </w:r>
      <w:r>
        <w:tab/>
        <w:t>Petition at ¶ 10.</w:t>
      </w:r>
    </w:p>
  </w:footnote>
  <w:footnote w:id="13">
    <w:p w:rsidR="000C5584" w:rsidRDefault="000C5584" w:rsidP="00477D72">
      <w:pPr>
        <w:pStyle w:val="FootnoteText"/>
        <w:ind w:left="720" w:hanging="720"/>
      </w:pPr>
      <w:r w:rsidRPr="001E4DD4">
        <w:rPr>
          <w:rStyle w:val="FootnoteReference"/>
          <w:u w:val="single"/>
        </w:rPr>
        <w:footnoteRef/>
      </w:r>
      <w:r w:rsidRPr="001E4DD4">
        <w:rPr>
          <w:vertAlign w:val="superscript"/>
        </w:rPr>
        <w:t>/</w:t>
      </w:r>
      <w:r>
        <w:t xml:space="preserve"> </w:t>
      </w:r>
      <w:r>
        <w:tab/>
        <w:t>Notices (</w:t>
      </w:r>
      <w:r w:rsidRPr="00477D72">
        <w:rPr>
          <w:i/>
        </w:rPr>
        <w:t>quoting</w:t>
      </w:r>
      <w:r>
        <w:t xml:space="preserve"> Petition Att., </w:t>
      </w:r>
      <w:r w:rsidRPr="005C69A0">
        <w:rPr>
          <w:u w:val="single"/>
        </w:rPr>
        <w:t>ICNU v. WUTC</w:t>
      </w:r>
      <w:r>
        <w:t xml:space="preserve">, </w:t>
      </w:r>
      <w:r w:rsidRPr="00105360">
        <w:t>Court</w:t>
      </w:r>
      <w:r>
        <w:t xml:space="preserve"> Case No. 13-2-01576-2, Order, p.2 (July 25, 2014) (“Court Order”)).</w:t>
      </w:r>
    </w:p>
  </w:footnote>
  <w:footnote w:id="14">
    <w:p w:rsidR="000C5584" w:rsidRPr="001E4DD4" w:rsidRDefault="000C5584">
      <w:pPr>
        <w:pStyle w:val="FootnoteText"/>
        <w:rPr>
          <w:u w:val="single"/>
          <w:vertAlign w:val="superscript"/>
        </w:rPr>
      </w:pPr>
      <w:r w:rsidRPr="001E4DD4">
        <w:rPr>
          <w:rStyle w:val="FootnoteReference"/>
          <w:u w:val="single"/>
        </w:rPr>
        <w:footnoteRef/>
      </w:r>
      <w:r w:rsidRPr="001E4DD4">
        <w:rPr>
          <w:vertAlign w:val="superscript"/>
        </w:rPr>
        <w:t xml:space="preserve">/ </w:t>
      </w:r>
      <w:r>
        <w:rPr>
          <w:vertAlign w:val="superscript"/>
        </w:rPr>
        <w:tab/>
      </w:r>
      <w:r>
        <w:t>Petition at ¶ 10 (emphasis added).</w:t>
      </w:r>
    </w:p>
  </w:footnote>
  <w:footnote w:id="15">
    <w:p w:rsidR="000C5584" w:rsidRDefault="000C5584">
      <w:pPr>
        <w:pStyle w:val="FootnoteText"/>
      </w:pPr>
      <w:r w:rsidRPr="001E4DD4">
        <w:rPr>
          <w:rStyle w:val="FootnoteReference"/>
          <w:u w:val="single"/>
        </w:rPr>
        <w:footnoteRef/>
      </w:r>
      <w:r w:rsidRPr="001E4DD4">
        <w:rPr>
          <w:vertAlign w:val="superscript"/>
        </w:rPr>
        <w:t xml:space="preserve">/ </w:t>
      </w:r>
      <w:r>
        <w:tab/>
        <w:t>Answer at ¶ 12.</w:t>
      </w:r>
    </w:p>
  </w:footnote>
  <w:footnote w:id="16">
    <w:p w:rsidR="000C5584" w:rsidRDefault="000C5584">
      <w:pPr>
        <w:pStyle w:val="FootnoteText"/>
      </w:pPr>
      <w:r w:rsidRPr="001E4DD4">
        <w:rPr>
          <w:rStyle w:val="FootnoteReference"/>
          <w:u w:val="single"/>
        </w:rPr>
        <w:footnoteRef/>
      </w:r>
      <w:r w:rsidRPr="001E4DD4">
        <w:rPr>
          <w:vertAlign w:val="superscript"/>
        </w:rPr>
        <w:t xml:space="preserve">/ </w:t>
      </w:r>
      <w:r>
        <w:tab/>
      </w:r>
      <w:r w:rsidRPr="005B7E35">
        <w:rPr>
          <w:u w:val="single"/>
        </w:rPr>
        <w:t>Id.</w:t>
      </w:r>
      <w:r>
        <w:t xml:space="preserve"> at ¶ 15.</w:t>
      </w:r>
    </w:p>
  </w:footnote>
  <w:footnote w:id="17">
    <w:p w:rsidR="000C5584" w:rsidRDefault="000C5584">
      <w:pPr>
        <w:pStyle w:val="FootnoteText"/>
      </w:pPr>
      <w:r w:rsidRPr="001E4DD4">
        <w:rPr>
          <w:rStyle w:val="FootnoteReference"/>
          <w:u w:val="single"/>
        </w:rPr>
        <w:footnoteRef/>
      </w:r>
      <w:r w:rsidRPr="001E4DD4">
        <w:rPr>
          <w:vertAlign w:val="superscript"/>
        </w:rPr>
        <w:t>/</w:t>
      </w:r>
      <w:r w:rsidR="00DB47B9">
        <w:t xml:space="preserve"> </w:t>
      </w:r>
      <w:r w:rsidR="00DB47B9">
        <w:tab/>
      </w:r>
      <w:r w:rsidR="00DB47B9" w:rsidRPr="00DB47B9">
        <w:rPr>
          <w:u w:val="single"/>
        </w:rPr>
        <w:t>Id.</w:t>
      </w:r>
      <w:r>
        <w:t xml:space="preserve"> at ¶ 9.</w:t>
      </w:r>
    </w:p>
  </w:footnote>
  <w:footnote w:id="18">
    <w:p w:rsidR="000C5584" w:rsidRDefault="000C5584">
      <w:pPr>
        <w:pStyle w:val="FootnoteText"/>
      </w:pPr>
      <w:r w:rsidRPr="001E4DD4">
        <w:rPr>
          <w:rStyle w:val="FootnoteReference"/>
          <w:u w:val="single"/>
        </w:rPr>
        <w:footnoteRef/>
      </w:r>
      <w:r w:rsidRPr="001E4DD4">
        <w:rPr>
          <w:vertAlign w:val="superscript"/>
        </w:rPr>
        <w:t>/</w:t>
      </w:r>
      <w:r>
        <w:t xml:space="preserve"> </w:t>
      </w:r>
      <w:r>
        <w:tab/>
      </w:r>
      <w:r w:rsidRPr="005138F0">
        <w:rPr>
          <w:u w:val="single"/>
        </w:rPr>
        <w:t>See</w:t>
      </w:r>
      <w:r>
        <w:t xml:space="preserve"> ERF Order 07 at ¶ 56.</w:t>
      </w:r>
    </w:p>
  </w:footnote>
  <w:footnote w:id="19">
    <w:p w:rsidR="000C5584" w:rsidRDefault="000C5584">
      <w:pPr>
        <w:pStyle w:val="FootnoteText"/>
      </w:pPr>
      <w:r w:rsidRPr="001E4DD4">
        <w:rPr>
          <w:rStyle w:val="FootnoteReference"/>
          <w:u w:val="single"/>
        </w:rPr>
        <w:footnoteRef/>
      </w:r>
      <w:r w:rsidRPr="001E4DD4">
        <w:rPr>
          <w:vertAlign w:val="superscript"/>
        </w:rPr>
        <w:t>/</w:t>
      </w:r>
      <w:r>
        <w:t xml:space="preserve"> </w:t>
      </w:r>
      <w:r>
        <w:tab/>
        <w:t>Answer at ¶ 12</w:t>
      </w:r>
      <w:r w:rsidR="00DB47B9">
        <w:t>.</w:t>
      </w:r>
    </w:p>
  </w:footnote>
  <w:footnote w:id="20">
    <w:p w:rsidR="000C5584" w:rsidRDefault="000C5584">
      <w:pPr>
        <w:pStyle w:val="FootnoteText"/>
      </w:pPr>
      <w:r w:rsidRPr="009840E6">
        <w:rPr>
          <w:rStyle w:val="FootnoteReference"/>
          <w:u w:val="single"/>
        </w:rPr>
        <w:footnoteRef/>
      </w:r>
      <w:r w:rsidRPr="009840E6">
        <w:rPr>
          <w:vertAlign w:val="superscript"/>
        </w:rPr>
        <w:t>/</w:t>
      </w:r>
      <w:r>
        <w:t xml:space="preserve"> </w:t>
      </w:r>
      <w:r>
        <w:tab/>
      </w:r>
      <w:r w:rsidR="00DB47B9" w:rsidRPr="00DB47B9">
        <w:rPr>
          <w:u w:val="single"/>
        </w:rPr>
        <w:t>Id.</w:t>
      </w:r>
      <w:r>
        <w:t xml:space="preserve"> at ¶ 15.</w:t>
      </w:r>
    </w:p>
  </w:footnote>
  <w:footnote w:id="21">
    <w:p w:rsidR="000C5584" w:rsidRDefault="000C5584">
      <w:pPr>
        <w:pStyle w:val="FootnoteText"/>
      </w:pPr>
      <w:r w:rsidRPr="009840E6">
        <w:rPr>
          <w:rStyle w:val="FootnoteReference"/>
          <w:u w:val="single"/>
        </w:rPr>
        <w:footnoteRef/>
      </w:r>
      <w:r w:rsidRPr="009840E6">
        <w:rPr>
          <w:vertAlign w:val="superscript"/>
        </w:rPr>
        <w:t>/</w:t>
      </w:r>
      <w:r>
        <w:t xml:space="preserve"> </w:t>
      </w:r>
      <w:r>
        <w:tab/>
        <w:t>Petition at ¶ 14.</w:t>
      </w:r>
    </w:p>
  </w:footnote>
  <w:footnote w:id="22">
    <w:p w:rsidR="000C5584" w:rsidRDefault="000C5584">
      <w:pPr>
        <w:pStyle w:val="FootnoteText"/>
      </w:pPr>
      <w:r w:rsidRPr="009840E6">
        <w:rPr>
          <w:rStyle w:val="FootnoteReference"/>
          <w:u w:val="single"/>
        </w:rPr>
        <w:footnoteRef/>
      </w:r>
      <w:r w:rsidRPr="009840E6">
        <w:rPr>
          <w:vertAlign w:val="superscript"/>
        </w:rPr>
        <w:t>/</w:t>
      </w:r>
      <w:r>
        <w:t xml:space="preserve"> </w:t>
      </w:r>
      <w:r>
        <w:tab/>
        <w:t>Court Order,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
    <w:nsid w:val="68931D5B"/>
    <w:multiLevelType w:val="hybridMultilevel"/>
    <w:tmpl w:val="CFB8698C"/>
    <w:lvl w:ilvl="0" w:tplc="B0D20478">
      <w:start w:val="1"/>
      <w:numFmt w:val="decimal"/>
      <w:pStyle w:val="WUTCParagraph"/>
      <w:lvlText w:val="%1"/>
      <w:lvlJc w:val="left"/>
      <w:pPr>
        <w:tabs>
          <w:tab w:val="num" w:pos="0"/>
        </w:tabs>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34EE"/>
    <w:rsid w:val="00006DCA"/>
    <w:rsid w:val="0003091A"/>
    <w:rsid w:val="00044B35"/>
    <w:rsid w:val="00073964"/>
    <w:rsid w:val="000A43D7"/>
    <w:rsid w:val="000C5584"/>
    <w:rsid w:val="000E6CA7"/>
    <w:rsid w:val="000F6F8C"/>
    <w:rsid w:val="0010456E"/>
    <w:rsid w:val="00162534"/>
    <w:rsid w:val="001928E8"/>
    <w:rsid w:val="001B34EE"/>
    <w:rsid w:val="001C6437"/>
    <w:rsid w:val="001E4DD4"/>
    <w:rsid w:val="001F35E5"/>
    <w:rsid w:val="002023C7"/>
    <w:rsid w:val="00236877"/>
    <w:rsid w:val="00271E8F"/>
    <w:rsid w:val="00281413"/>
    <w:rsid w:val="00281E9A"/>
    <w:rsid w:val="00293531"/>
    <w:rsid w:val="002A7B3F"/>
    <w:rsid w:val="002C7167"/>
    <w:rsid w:val="003247AD"/>
    <w:rsid w:val="003A2A99"/>
    <w:rsid w:val="00461BB1"/>
    <w:rsid w:val="00461C0B"/>
    <w:rsid w:val="00477D72"/>
    <w:rsid w:val="004A70B7"/>
    <w:rsid w:val="004B056D"/>
    <w:rsid w:val="004C7054"/>
    <w:rsid w:val="00525FED"/>
    <w:rsid w:val="005A3C0F"/>
    <w:rsid w:val="005B097F"/>
    <w:rsid w:val="005B7E35"/>
    <w:rsid w:val="005C41A3"/>
    <w:rsid w:val="00637C6D"/>
    <w:rsid w:val="00647783"/>
    <w:rsid w:val="006802F1"/>
    <w:rsid w:val="006A6957"/>
    <w:rsid w:val="006B5C3E"/>
    <w:rsid w:val="006C1DBD"/>
    <w:rsid w:val="006C5CF7"/>
    <w:rsid w:val="006D639B"/>
    <w:rsid w:val="00701E45"/>
    <w:rsid w:val="00725C37"/>
    <w:rsid w:val="00773CF6"/>
    <w:rsid w:val="007741D3"/>
    <w:rsid w:val="00777DC4"/>
    <w:rsid w:val="007F7062"/>
    <w:rsid w:val="007F7787"/>
    <w:rsid w:val="0080589D"/>
    <w:rsid w:val="00816947"/>
    <w:rsid w:val="008351AF"/>
    <w:rsid w:val="00840188"/>
    <w:rsid w:val="008E2F78"/>
    <w:rsid w:val="009020F0"/>
    <w:rsid w:val="00945CD4"/>
    <w:rsid w:val="009545EB"/>
    <w:rsid w:val="00960988"/>
    <w:rsid w:val="00964882"/>
    <w:rsid w:val="00967544"/>
    <w:rsid w:val="009840E6"/>
    <w:rsid w:val="00996159"/>
    <w:rsid w:val="0099783D"/>
    <w:rsid w:val="009978EF"/>
    <w:rsid w:val="009B7D1C"/>
    <w:rsid w:val="00A12A10"/>
    <w:rsid w:val="00A46D6B"/>
    <w:rsid w:val="00A56C50"/>
    <w:rsid w:val="00AA6386"/>
    <w:rsid w:val="00AB25A4"/>
    <w:rsid w:val="00AC2E58"/>
    <w:rsid w:val="00AF31AA"/>
    <w:rsid w:val="00B51853"/>
    <w:rsid w:val="00B8072E"/>
    <w:rsid w:val="00BC0DB0"/>
    <w:rsid w:val="00BE24C7"/>
    <w:rsid w:val="00C2775B"/>
    <w:rsid w:val="00C45A25"/>
    <w:rsid w:val="00C76725"/>
    <w:rsid w:val="00CA4DB7"/>
    <w:rsid w:val="00CC46EA"/>
    <w:rsid w:val="00CD604B"/>
    <w:rsid w:val="00CF0FA4"/>
    <w:rsid w:val="00D4481B"/>
    <w:rsid w:val="00D4569C"/>
    <w:rsid w:val="00D61740"/>
    <w:rsid w:val="00D864C2"/>
    <w:rsid w:val="00DB47B9"/>
    <w:rsid w:val="00DE1251"/>
    <w:rsid w:val="00DF3D8E"/>
    <w:rsid w:val="00E60218"/>
    <w:rsid w:val="00E60D7E"/>
    <w:rsid w:val="00E7330F"/>
    <w:rsid w:val="00E93EE3"/>
    <w:rsid w:val="00EC77E6"/>
    <w:rsid w:val="00ED0E52"/>
    <w:rsid w:val="00ED59A2"/>
    <w:rsid w:val="00F06E76"/>
    <w:rsid w:val="00F43CF6"/>
    <w:rsid w:val="00F723A2"/>
    <w:rsid w:val="00FB07AB"/>
    <w:rsid w:val="00FC6650"/>
    <w:rsid w:val="00FD6F3A"/>
    <w:rsid w:val="00FF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EE"/>
    <w:pPr>
      <w:spacing w:after="0" w:line="240" w:lineRule="auto"/>
    </w:pPr>
    <w:rPr>
      <w:rFonts w:eastAsia="Times New Roman"/>
      <w:color w:val="000000"/>
      <w:szCs w:val="20"/>
    </w:rPr>
  </w:style>
  <w:style w:type="paragraph" w:styleId="Heading1">
    <w:name w:val="heading 1"/>
    <w:basedOn w:val="Normal"/>
    <w:next w:val="Normal"/>
    <w:link w:val="Heading1Char"/>
    <w:qFormat/>
    <w:rsid w:val="001B34EE"/>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EE"/>
    <w:rPr>
      <w:rFonts w:eastAsia="Times New Roman"/>
      <w:b/>
      <w:snapToGrid w:val="0"/>
      <w:sz w:val="28"/>
      <w:szCs w:val="20"/>
    </w:rPr>
  </w:style>
  <w:style w:type="paragraph" w:styleId="Footer">
    <w:name w:val="footer"/>
    <w:basedOn w:val="Normal"/>
    <w:link w:val="FooterChar"/>
    <w:uiPriority w:val="99"/>
    <w:rsid w:val="001B34EE"/>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1B34EE"/>
    <w:rPr>
      <w:rFonts w:eastAsia="Times New Roman"/>
      <w:snapToGrid w:val="0"/>
      <w:szCs w:val="20"/>
    </w:rPr>
  </w:style>
  <w:style w:type="paragraph" w:styleId="Header">
    <w:name w:val="header"/>
    <w:basedOn w:val="Normal"/>
    <w:link w:val="HeaderChar"/>
    <w:uiPriority w:val="99"/>
    <w:rsid w:val="001B34EE"/>
    <w:pPr>
      <w:tabs>
        <w:tab w:val="center" w:pos="4320"/>
        <w:tab w:val="right" w:pos="8640"/>
      </w:tabs>
    </w:pPr>
    <w:rPr>
      <w:color w:val="auto"/>
      <w:sz w:val="20"/>
    </w:rPr>
  </w:style>
  <w:style w:type="character" w:customStyle="1" w:styleId="HeaderChar">
    <w:name w:val="Header Char"/>
    <w:basedOn w:val="DefaultParagraphFont"/>
    <w:link w:val="Header"/>
    <w:uiPriority w:val="99"/>
    <w:rsid w:val="001B34EE"/>
    <w:rPr>
      <w:rFonts w:eastAsia="Times New Roman"/>
      <w:sz w:val="20"/>
      <w:szCs w:val="20"/>
    </w:rPr>
  </w:style>
  <w:style w:type="paragraph" w:customStyle="1" w:styleId="SingleSpacing">
    <w:name w:val="Single Spacing"/>
    <w:basedOn w:val="Normal"/>
    <w:rsid w:val="001B34EE"/>
    <w:pPr>
      <w:spacing w:line="254" w:lineRule="exact"/>
    </w:pPr>
    <w:rPr>
      <w:color w:val="auto"/>
    </w:rPr>
  </w:style>
  <w:style w:type="paragraph" w:styleId="BodyText2">
    <w:name w:val="Body Text 2"/>
    <w:basedOn w:val="Normal"/>
    <w:link w:val="BodyText2Char"/>
    <w:rsid w:val="001B34EE"/>
    <w:rPr>
      <w:color w:val="auto"/>
    </w:rPr>
  </w:style>
  <w:style w:type="character" w:customStyle="1" w:styleId="BodyText2Char">
    <w:name w:val="Body Text 2 Char"/>
    <w:basedOn w:val="DefaultParagraphFont"/>
    <w:link w:val="BodyText2"/>
    <w:rsid w:val="001B34EE"/>
    <w:rPr>
      <w:rFonts w:eastAsia="Times New Roman"/>
      <w:szCs w:val="20"/>
    </w:rPr>
  </w:style>
  <w:style w:type="paragraph" w:styleId="FootnoteText">
    <w:name w:val="footnote text"/>
    <w:basedOn w:val="Normal"/>
    <w:link w:val="FootnoteTextChar"/>
    <w:uiPriority w:val="99"/>
    <w:semiHidden/>
    <w:unhideWhenUsed/>
    <w:rsid w:val="009545EB"/>
    <w:rPr>
      <w:sz w:val="20"/>
    </w:rPr>
  </w:style>
  <w:style w:type="character" w:customStyle="1" w:styleId="FootnoteTextChar">
    <w:name w:val="Footnote Text Char"/>
    <w:basedOn w:val="DefaultParagraphFont"/>
    <w:link w:val="FootnoteText"/>
    <w:uiPriority w:val="99"/>
    <w:semiHidden/>
    <w:rsid w:val="009545EB"/>
    <w:rPr>
      <w:rFonts w:eastAsia="Times New Roman"/>
      <w:color w:val="000000"/>
      <w:sz w:val="20"/>
      <w:szCs w:val="20"/>
    </w:rPr>
  </w:style>
  <w:style w:type="character" w:styleId="FootnoteReference">
    <w:name w:val="footnote reference"/>
    <w:basedOn w:val="DefaultParagraphFont"/>
    <w:uiPriority w:val="99"/>
    <w:semiHidden/>
    <w:unhideWhenUsed/>
    <w:rsid w:val="009545EB"/>
    <w:rPr>
      <w:vertAlign w:val="superscript"/>
    </w:rPr>
  </w:style>
  <w:style w:type="paragraph" w:customStyle="1" w:styleId="WUTCHeading1">
    <w:name w:val="WUTC Heading 1"/>
    <w:basedOn w:val="Normal"/>
    <w:next w:val="Normal"/>
    <w:rsid w:val="00162534"/>
    <w:pPr>
      <w:keepNext/>
      <w:keepLines/>
      <w:numPr>
        <w:numId w:val="3"/>
      </w:numPr>
      <w:tabs>
        <w:tab w:val="left" w:pos="720"/>
      </w:tabs>
      <w:spacing w:after="240"/>
      <w:jc w:val="center"/>
      <w:outlineLvl w:val="0"/>
    </w:pPr>
    <w:rPr>
      <w:b/>
      <w:caps/>
      <w:color w:val="auto"/>
      <w:szCs w:val="24"/>
    </w:rPr>
  </w:style>
  <w:style w:type="paragraph" w:customStyle="1" w:styleId="WUTCHeading2">
    <w:name w:val="WUTC Heading 2"/>
    <w:basedOn w:val="WUTCHeading1"/>
    <w:next w:val="Normal"/>
    <w:rsid w:val="00162534"/>
    <w:pPr>
      <w:numPr>
        <w:ilvl w:val="1"/>
      </w:numPr>
      <w:jc w:val="left"/>
      <w:outlineLvl w:val="1"/>
    </w:pPr>
    <w:rPr>
      <w:caps w:val="0"/>
    </w:rPr>
  </w:style>
  <w:style w:type="paragraph" w:customStyle="1" w:styleId="WUTCHeading3">
    <w:name w:val="WUTC Heading 3"/>
    <w:basedOn w:val="WUTCHeading1"/>
    <w:rsid w:val="00162534"/>
    <w:pPr>
      <w:numPr>
        <w:ilvl w:val="2"/>
      </w:numPr>
      <w:jc w:val="left"/>
      <w:outlineLvl w:val="2"/>
    </w:pPr>
    <w:rPr>
      <w:caps w:val="0"/>
    </w:rPr>
  </w:style>
  <w:style w:type="paragraph" w:customStyle="1" w:styleId="WUTCParagraph">
    <w:name w:val="WUTC Paragraph"/>
    <w:basedOn w:val="Normal"/>
    <w:qFormat/>
    <w:rsid w:val="00162534"/>
    <w:pPr>
      <w:numPr>
        <w:numId w:val="5"/>
      </w:numPr>
      <w:tabs>
        <w:tab w:val="left" w:pos="1440"/>
      </w:tabs>
      <w:spacing w:line="480" w:lineRule="auto"/>
    </w:pPr>
    <w:rPr>
      <w:color w:val="auto"/>
      <w:szCs w:val="24"/>
    </w:rPr>
  </w:style>
  <w:style w:type="paragraph" w:customStyle="1" w:styleId="NewWUTCpara">
    <w:name w:val="New WUTC para"/>
    <w:basedOn w:val="WUTCParagraph"/>
    <w:rsid w:val="00162534"/>
    <w:pPr>
      <w:numPr>
        <w:numId w:val="0"/>
      </w:numPr>
      <w:tabs>
        <w:tab w:val="left" w:pos="1530"/>
      </w:tabs>
    </w:pPr>
  </w:style>
  <w:style w:type="character" w:styleId="Hyperlink">
    <w:name w:val="Hyperlink"/>
    <w:basedOn w:val="DefaultParagraphFont"/>
    <w:uiPriority w:val="99"/>
    <w:unhideWhenUsed/>
    <w:rsid w:val="00F43CF6"/>
    <w:rPr>
      <w:color w:val="0000FF" w:themeColor="hyperlink"/>
      <w:u w:val="single"/>
    </w:rPr>
  </w:style>
  <w:style w:type="paragraph" w:styleId="BalloonText">
    <w:name w:val="Balloon Text"/>
    <w:basedOn w:val="Normal"/>
    <w:link w:val="BalloonTextChar"/>
    <w:uiPriority w:val="99"/>
    <w:semiHidden/>
    <w:unhideWhenUsed/>
    <w:rsid w:val="0080589D"/>
    <w:rPr>
      <w:rFonts w:ascii="Tahoma" w:hAnsi="Tahoma" w:cs="Tahoma"/>
      <w:sz w:val="16"/>
      <w:szCs w:val="16"/>
    </w:rPr>
  </w:style>
  <w:style w:type="character" w:customStyle="1" w:styleId="BalloonTextChar">
    <w:name w:val="Balloon Text Char"/>
    <w:basedOn w:val="DefaultParagraphFont"/>
    <w:link w:val="BalloonText"/>
    <w:uiPriority w:val="99"/>
    <w:semiHidden/>
    <w:rsid w:val="0080589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EE"/>
    <w:pPr>
      <w:spacing w:after="0" w:line="240" w:lineRule="auto"/>
    </w:pPr>
    <w:rPr>
      <w:rFonts w:eastAsia="Times New Roman"/>
      <w:color w:val="000000"/>
      <w:szCs w:val="20"/>
    </w:rPr>
  </w:style>
  <w:style w:type="paragraph" w:styleId="Heading1">
    <w:name w:val="heading 1"/>
    <w:basedOn w:val="Normal"/>
    <w:next w:val="Normal"/>
    <w:link w:val="Heading1Char"/>
    <w:qFormat/>
    <w:rsid w:val="001B34EE"/>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EE"/>
    <w:rPr>
      <w:rFonts w:eastAsia="Times New Roman"/>
      <w:b/>
      <w:snapToGrid w:val="0"/>
      <w:sz w:val="28"/>
      <w:szCs w:val="20"/>
    </w:rPr>
  </w:style>
  <w:style w:type="paragraph" w:styleId="Footer">
    <w:name w:val="footer"/>
    <w:basedOn w:val="Normal"/>
    <w:link w:val="FooterChar"/>
    <w:uiPriority w:val="99"/>
    <w:rsid w:val="001B34EE"/>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1B34EE"/>
    <w:rPr>
      <w:rFonts w:eastAsia="Times New Roman"/>
      <w:snapToGrid w:val="0"/>
      <w:szCs w:val="20"/>
    </w:rPr>
  </w:style>
  <w:style w:type="paragraph" w:styleId="Header">
    <w:name w:val="header"/>
    <w:basedOn w:val="Normal"/>
    <w:link w:val="HeaderChar"/>
    <w:uiPriority w:val="99"/>
    <w:rsid w:val="001B34EE"/>
    <w:pPr>
      <w:tabs>
        <w:tab w:val="center" w:pos="4320"/>
        <w:tab w:val="right" w:pos="8640"/>
      </w:tabs>
    </w:pPr>
    <w:rPr>
      <w:color w:val="auto"/>
      <w:sz w:val="20"/>
    </w:rPr>
  </w:style>
  <w:style w:type="character" w:customStyle="1" w:styleId="HeaderChar">
    <w:name w:val="Header Char"/>
    <w:basedOn w:val="DefaultParagraphFont"/>
    <w:link w:val="Header"/>
    <w:uiPriority w:val="99"/>
    <w:rsid w:val="001B34EE"/>
    <w:rPr>
      <w:rFonts w:eastAsia="Times New Roman"/>
      <w:sz w:val="20"/>
      <w:szCs w:val="20"/>
    </w:rPr>
  </w:style>
  <w:style w:type="paragraph" w:customStyle="1" w:styleId="SingleSpacing">
    <w:name w:val="Single Spacing"/>
    <w:basedOn w:val="Normal"/>
    <w:rsid w:val="001B34EE"/>
    <w:pPr>
      <w:spacing w:line="254" w:lineRule="exact"/>
    </w:pPr>
    <w:rPr>
      <w:color w:val="auto"/>
    </w:rPr>
  </w:style>
  <w:style w:type="paragraph" w:styleId="BodyText2">
    <w:name w:val="Body Text 2"/>
    <w:basedOn w:val="Normal"/>
    <w:link w:val="BodyText2Char"/>
    <w:rsid w:val="001B34EE"/>
    <w:rPr>
      <w:color w:val="auto"/>
    </w:rPr>
  </w:style>
  <w:style w:type="character" w:customStyle="1" w:styleId="BodyText2Char">
    <w:name w:val="Body Text 2 Char"/>
    <w:basedOn w:val="DefaultParagraphFont"/>
    <w:link w:val="BodyText2"/>
    <w:rsid w:val="001B34EE"/>
    <w:rPr>
      <w:rFonts w:eastAsia="Times New Roman"/>
      <w:szCs w:val="20"/>
    </w:rPr>
  </w:style>
  <w:style w:type="paragraph" w:styleId="FootnoteText">
    <w:name w:val="footnote text"/>
    <w:basedOn w:val="Normal"/>
    <w:link w:val="FootnoteTextChar"/>
    <w:uiPriority w:val="99"/>
    <w:semiHidden/>
    <w:unhideWhenUsed/>
    <w:rsid w:val="009545EB"/>
    <w:rPr>
      <w:sz w:val="20"/>
    </w:rPr>
  </w:style>
  <w:style w:type="character" w:customStyle="1" w:styleId="FootnoteTextChar">
    <w:name w:val="Footnote Text Char"/>
    <w:basedOn w:val="DefaultParagraphFont"/>
    <w:link w:val="FootnoteText"/>
    <w:uiPriority w:val="99"/>
    <w:semiHidden/>
    <w:rsid w:val="009545EB"/>
    <w:rPr>
      <w:rFonts w:eastAsia="Times New Roman"/>
      <w:color w:val="000000"/>
      <w:sz w:val="20"/>
      <w:szCs w:val="20"/>
    </w:rPr>
  </w:style>
  <w:style w:type="character" w:styleId="FootnoteReference">
    <w:name w:val="footnote reference"/>
    <w:basedOn w:val="DefaultParagraphFont"/>
    <w:uiPriority w:val="99"/>
    <w:semiHidden/>
    <w:unhideWhenUsed/>
    <w:rsid w:val="00954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0D6EFC69914547988CBDD1E4AAFAB9" ma:contentTypeVersion="175" ma:contentTypeDescription="" ma:contentTypeScope="" ma:versionID="e95d89c815e11aa9caafbedbc690d3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2014-05-23T07:00:00+00:00</OpenedDate>
    <Date1 xmlns="dc463f71-b30c-4ab2-9473-d307f9d35888">2014-09-05T07:00:00+00:00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82B43E-E007-4D73-9EBA-F9BF9F6337FB}"/>
</file>

<file path=customXml/itemProps2.xml><?xml version="1.0" encoding="utf-8"?>
<ds:datastoreItem xmlns:ds="http://schemas.openxmlformats.org/officeDocument/2006/customXml" ds:itemID="{A1A9C7FA-C227-424C-A818-D78CB038FE31}"/>
</file>

<file path=customXml/itemProps3.xml><?xml version="1.0" encoding="utf-8"?>
<ds:datastoreItem xmlns:ds="http://schemas.openxmlformats.org/officeDocument/2006/customXml" ds:itemID="{1DE42A4C-E9D4-4F9C-928C-2EDD9E795528}"/>
</file>

<file path=customXml/itemProps4.xml><?xml version="1.0" encoding="utf-8"?>
<ds:datastoreItem xmlns:ds="http://schemas.openxmlformats.org/officeDocument/2006/customXml" ds:itemID="{C651E5E7-6446-49AE-A5A0-061455529F67}"/>
</file>

<file path=customXml/itemProps5.xml><?xml version="1.0" encoding="utf-8"?>
<ds:datastoreItem xmlns:ds="http://schemas.openxmlformats.org/officeDocument/2006/customXml" ds:itemID="{64E9B44A-E40C-482D-B560-003CB6078CF6}"/>
</file>

<file path=docProps/app.xml><?xml version="1.0" encoding="utf-8"?>
<Properties xmlns="http://schemas.openxmlformats.org/officeDocument/2006/extended-properties" xmlns:vt="http://schemas.openxmlformats.org/officeDocument/2006/docPropsVTypes">
  <Template>Normal</Template>
  <TotalTime>729</TotalTime>
  <Pages>7</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53</cp:revision>
  <cp:lastPrinted>2014-09-04T17:51:00Z</cp:lastPrinted>
  <dcterms:created xsi:type="dcterms:W3CDTF">2013-11-18T17:40:00Z</dcterms:created>
  <dcterms:modified xsi:type="dcterms:W3CDTF">2014-09-05T21:44:00Z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0x0101006E56B4D1795A2E4DB2F0B01679ED314A001A0D6EFC69914547988CBDD1E4AAFAB9</vt:lpwstr>
  </property>
  <property fmtid="{D5CDD505-2E9C-101B-9397-08002B2CF9AE}" pid="3" name="_docset_NoMedatataSyncRequired">
    <vt:lpwstr>False</vt:lpwstr>
  </property>
</Properties>
</file>