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7D" w:rsidRPr="00C41C7D" w:rsidRDefault="00C41C7D" w:rsidP="00C41C7D">
      <w:pPr>
        <w:jc w:val="both"/>
        <w:rPr>
          <w:rFonts w:ascii="Arial" w:hAnsi="Arial" w:cs="Arial"/>
          <w:sz w:val="20"/>
        </w:rPr>
      </w:pPr>
      <w:bookmarkStart w:id="0" w:name="_GoBack"/>
      <w:bookmarkEnd w:id="0"/>
      <w:r w:rsidRPr="00C41C7D">
        <w:rPr>
          <w:rFonts w:ascii="Arial" w:hAnsi="Arial" w:cs="Arial"/>
          <w:sz w:val="20"/>
          <w:u w:val="single"/>
        </w:rPr>
        <w:t>AVAILABLE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t>In all territory served by Company in the State of Washington.</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APPLICABLE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t xml:space="preserve">To non-residential Customers with electric service loads which have exceeded 100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And to seasonal Customers, as defined in Rule 1 of this tariff, with electric service loads which have exceeded 200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In the case that the motor nameplate horsepower rating is used to determine the seasonal Customer’s load size, that load size will also be used to determine eligibility for this schedule.</w:t>
      </w:r>
    </w:p>
    <w:p w:rsidR="00C41C7D" w:rsidRPr="00C41C7D" w:rsidRDefault="00C41C7D" w:rsidP="00C41C7D">
      <w:pPr>
        <w:jc w:val="both"/>
        <w:rPr>
          <w:rFonts w:ascii="Arial" w:hAnsi="Arial" w:cs="Arial"/>
          <w:sz w:val="20"/>
        </w:rPr>
      </w:pPr>
      <w:r w:rsidRPr="00C41C7D">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Consumer on a schedule with a higher demand requirement, if so warranted.</w:t>
      </w:r>
    </w:p>
    <w:p w:rsidR="00C41C7D" w:rsidRPr="00C41C7D" w:rsidRDefault="00C41C7D" w:rsidP="00C41C7D">
      <w:pPr>
        <w:jc w:val="both"/>
        <w:rPr>
          <w:rFonts w:ascii="Arial" w:hAnsi="Arial" w:cs="Arial"/>
          <w:sz w:val="20"/>
        </w:rPr>
      </w:pPr>
      <w:r w:rsidRPr="00C41C7D">
        <w:rPr>
          <w:rFonts w:ascii="Arial" w:hAnsi="Arial" w:cs="Arial"/>
          <w:sz w:val="20"/>
        </w:rPr>
        <w:tab/>
        <w:t>Deliveries at more than one point, or more than one voltage and phase classification, will be separately metered and billed.</w:t>
      </w:r>
    </w:p>
    <w:p w:rsidR="00C41C7D" w:rsidRPr="00C41C7D" w:rsidRDefault="00C41C7D" w:rsidP="00C41C7D">
      <w:pPr>
        <w:jc w:val="both"/>
        <w:rPr>
          <w:rFonts w:ascii="Arial" w:hAnsi="Arial" w:cs="Arial"/>
          <w:sz w:val="20"/>
        </w:rPr>
      </w:pPr>
      <w:r w:rsidRPr="00C41C7D">
        <w:rPr>
          <w:rFonts w:ascii="Arial" w:hAnsi="Arial" w:cs="Arial"/>
          <w:sz w:val="20"/>
        </w:rPr>
        <w:tab/>
        <w:t>This Schedule is not applicable to standby service.</w:t>
      </w:r>
    </w:p>
    <w:p w:rsidR="00C41C7D" w:rsidRPr="00C41C7D" w:rsidRDefault="00C41C7D" w:rsidP="00C41C7D">
      <w:pPr>
        <w:jc w:val="both"/>
        <w:rPr>
          <w:rFonts w:ascii="Arial" w:hAnsi="Arial" w:cs="Arial"/>
          <w:sz w:val="20"/>
        </w:rPr>
      </w:pPr>
      <w:r w:rsidRPr="00C41C7D">
        <w:rPr>
          <w:rFonts w:ascii="Arial" w:hAnsi="Arial" w:cs="Arial"/>
          <w:sz w:val="20"/>
        </w:rPr>
        <w:tab/>
        <w:t>Partial requirements service for loads of less than 1,000 kW will be provided only by application of the provisions of Schedule 33.</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MONTHLY BILLING</w:t>
      </w:r>
      <w:r w:rsidRPr="00C41C7D">
        <w:rPr>
          <w:rFonts w:ascii="Arial" w:hAnsi="Arial" w:cs="Arial"/>
          <w:sz w:val="20"/>
        </w:rPr>
        <w:t>:</w:t>
      </w:r>
    </w:p>
    <w:p w:rsidR="00C41C7D" w:rsidRPr="00C41C7D" w:rsidRDefault="00990853" w:rsidP="00C41C7D">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5486726" wp14:editId="05AA0795">
                <wp:simplePos x="0" y="0"/>
                <wp:positionH relativeFrom="column">
                  <wp:posOffset>6210300</wp:posOffset>
                </wp:positionH>
                <wp:positionV relativeFrom="paragraph">
                  <wp:posOffset>117475</wp:posOffset>
                </wp:positionV>
                <wp:extent cx="733425" cy="3324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2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r>
                              <w:rPr>
                                <w:rFonts w:ascii="Arial" w:hAnsi="Arial" w:cs="Arial"/>
                                <w:sz w:val="20"/>
                              </w:rPr>
                              <w:t>(I)</w:t>
                            </w:r>
                          </w:p>
                          <w:p w:rsidR="00FB0FA8" w:rsidRDefault="00FB0FA8" w:rsidP="00FB0FA8">
                            <w:pPr>
                              <w:rPr>
                                <w:rFonts w:ascii="Arial" w:hAnsi="Arial" w:cs="Arial"/>
                                <w:sz w:val="20"/>
                              </w:rPr>
                            </w:pPr>
                            <w:r>
                              <w:rPr>
                                <w:rFonts w:ascii="Arial" w:hAnsi="Arial" w:cs="Arial"/>
                                <w:sz w:val="20"/>
                              </w:rPr>
                              <w:t>(I)</w:t>
                            </w:r>
                          </w:p>
                          <w:p w:rsidR="00FB0FA8" w:rsidRDefault="00FB0FA8" w:rsidP="00FB0FA8">
                            <w:pPr>
                              <w:rPr>
                                <w:rFonts w:ascii="Arial" w:hAnsi="Arial" w:cs="Arial"/>
                                <w:sz w:val="20"/>
                              </w:rPr>
                            </w:pPr>
                            <w:r>
                              <w:rPr>
                                <w:rFonts w:ascii="Arial" w:hAnsi="Arial" w:cs="Arial"/>
                                <w:sz w:val="20"/>
                              </w:rPr>
                              <w:t>(I)</w:t>
                            </w: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r>
                              <w:rPr>
                                <w:rFonts w:ascii="Arial" w:hAnsi="Arial" w:cs="Arial"/>
                                <w:sz w:val="20"/>
                              </w:rPr>
                              <w:t>(I)</w:t>
                            </w:r>
                          </w:p>
                          <w:p w:rsidR="00FB0FA8" w:rsidRDefault="00FB0FA8" w:rsidP="00FB0FA8">
                            <w:pPr>
                              <w:rPr>
                                <w:rFonts w:ascii="Arial" w:hAnsi="Arial" w:cs="Arial"/>
                                <w:sz w:val="20"/>
                              </w:rPr>
                            </w:pPr>
                          </w:p>
                          <w:p w:rsidR="00990853" w:rsidRDefault="00990853">
                            <w:pPr>
                              <w:rPr>
                                <w:rFonts w:ascii="Arial" w:hAnsi="Arial" w:cs="Arial"/>
                                <w:sz w:val="20"/>
                              </w:rPr>
                            </w:pPr>
                          </w:p>
                          <w:p w:rsidR="00202D20" w:rsidRDefault="00202D2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86726" id="_x0000_t202" coordsize="21600,21600" o:spt="202" path="m,l,21600r21600,l21600,xe">
                <v:stroke joinstyle="miter"/>
                <v:path gradientshapeok="t" o:connecttype="rect"/>
              </v:shapetype>
              <v:shape id="Text Box 2" o:spid="_x0000_s1026" type="#_x0000_t202" style="position:absolute;left:0;text-align:left;margin-left:489pt;margin-top:9.25pt;width:57.7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MYtAIAALk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" filled="f" stroked="f">
                <v:textbox>
                  <w:txbxContent>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r>
                        <w:rPr>
                          <w:rFonts w:ascii="Arial" w:hAnsi="Arial" w:cs="Arial"/>
                          <w:sz w:val="20"/>
                        </w:rPr>
                        <w:t>(I)</w:t>
                      </w:r>
                    </w:p>
                    <w:p w:rsidR="00FB0FA8" w:rsidRDefault="00FB0FA8" w:rsidP="00FB0FA8">
                      <w:pPr>
                        <w:rPr>
                          <w:rFonts w:ascii="Arial" w:hAnsi="Arial" w:cs="Arial"/>
                          <w:sz w:val="20"/>
                        </w:rPr>
                      </w:pPr>
                      <w:r>
                        <w:rPr>
                          <w:rFonts w:ascii="Arial" w:hAnsi="Arial" w:cs="Arial"/>
                          <w:sz w:val="20"/>
                        </w:rPr>
                        <w:t>(I)</w:t>
                      </w:r>
                    </w:p>
                    <w:p w:rsidR="00FB0FA8" w:rsidRDefault="00FB0FA8" w:rsidP="00FB0FA8">
                      <w:pPr>
                        <w:rPr>
                          <w:rFonts w:ascii="Arial" w:hAnsi="Arial" w:cs="Arial"/>
                          <w:sz w:val="20"/>
                        </w:rPr>
                      </w:pPr>
                      <w:r>
                        <w:rPr>
                          <w:rFonts w:ascii="Arial" w:hAnsi="Arial" w:cs="Arial"/>
                          <w:sz w:val="20"/>
                        </w:rPr>
                        <w:t>(I)</w:t>
                      </w: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r>
                        <w:rPr>
                          <w:rFonts w:ascii="Arial" w:hAnsi="Arial" w:cs="Arial"/>
                          <w:sz w:val="20"/>
                        </w:rPr>
                        <w:t>(I)</w:t>
                      </w:r>
                    </w:p>
                    <w:p w:rsidR="00FB0FA8" w:rsidRDefault="00FB0FA8" w:rsidP="00FB0FA8">
                      <w:pPr>
                        <w:rPr>
                          <w:rFonts w:ascii="Arial" w:hAnsi="Arial" w:cs="Arial"/>
                          <w:sz w:val="20"/>
                        </w:rPr>
                      </w:pPr>
                    </w:p>
                    <w:p w:rsidR="00990853" w:rsidRDefault="00990853">
                      <w:pPr>
                        <w:rPr>
                          <w:rFonts w:ascii="Arial" w:hAnsi="Arial" w:cs="Arial"/>
                          <w:sz w:val="20"/>
                        </w:rPr>
                      </w:pPr>
                    </w:p>
                    <w:p w:rsidR="00202D20" w:rsidRDefault="00202D20">
                      <w:pPr>
                        <w:rPr>
                          <w:rFonts w:ascii="Arial" w:hAnsi="Arial" w:cs="Arial"/>
                          <w:sz w:val="20"/>
                        </w:rPr>
                      </w:pPr>
                    </w:p>
                  </w:txbxContent>
                </v:textbox>
              </v:shape>
            </w:pict>
          </mc:Fallback>
        </mc:AlternateContent>
      </w:r>
      <w:r w:rsidR="00C41C7D" w:rsidRPr="00C41C7D">
        <w:rPr>
          <w:rFonts w:ascii="Arial" w:hAnsi="Arial" w:cs="Arial"/>
          <w:sz w:val="20"/>
        </w:rPr>
        <w:tab/>
        <w:t>The Monthly Billing shall be the sum of the Basic, Demand, Energy, and Reactive Power Charges; plus applicable Metering and Delivery Adjustments.  All Monthly Billings shall be adjusted in accordanc</w:t>
      </w:r>
      <w:r>
        <w:rPr>
          <w:rFonts w:ascii="Arial" w:hAnsi="Arial" w:cs="Arial"/>
          <w:sz w:val="20"/>
        </w:rPr>
        <w:t xml:space="preserve">e with Schedule </w:t>
      </w:r>
      <w:r w:rsidR="00AD6FD4">
        <w:rPr>
          <w:rFonts w:ascii="Arial" w:hAnsi="Arial" w:cs="Arial"/>
          <w:sz w:val="20"/>
        </w:rPr>
        <w:t>80</w:t>
      </w:r>
      <w:r w:rsidR="00C41C7D" w:rsidRPr="00C41C7D">
        <w:rPr>
          <w:rFonts w:ascii="Arial" w:hAnsi="Arial" w:cs="Arial"/>
          <w:sz w:val="20"/>
        </w:rPr>
        <w:t>.</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rPr>
        <w:tab/>
      </w:r>
      <w:r w:rsidRPr="00C41C7D">
        <w:rPr>
          <w:rFonts w:ascii="Arial" w:hAnsi="Arial" w:cs="Arial"/>
          <w:sz w:val="20"/>
          <w:u w:val="single"/>
        </w:rPr>
        <w:t>Basic Charge</w:t>
      </w:r>
      <w:r w:rsidRPr="00C41C7D">
        <w:rPr>
          <w:rFonts w:ascii="Arial" w:hAnsi="Arial" w:cs="Arial"/>
          <w:sz w:val="20"/>
        </w:rPr>
        <w:t>:</w:t>
      </w:r>
    </w:p>
    <w:p w:rsidR="00C41C7D" w:rsidRPr="00C41C7D" w:rsidRDefault="00C41C7D" w:rsidP="00C41C7D">
      <w:pPr>
        <w:tabs>
          <w:tab w:val="left" w:pos="4320"/>
        </w:tabs>
        <w:ind w:left="1440"/>
        <w:jc w:val="both"/>
        <w:rPr>
          <w:rFonts w:ascii="Arial" w:hAnsi="Arial" w:cs="Arial"/>
          <w:sz w:val="20"/>
        </w:rPr>
      </w:pPr>
      <w:r w:rsidRPr="00C41C7D">
        <w:rPr>
          <w:rFonts w:ascii="Arial" w:hAnsi="Arial" w:cs="Arial"/>
          <w:sz w:val="20"/>
          <w:u w:val="single"/>
        </w:rPr>
        <w:t>If Load Size* is</w:t>
      </w:r>
      <w:r w:rsidRPr="00C41C7D">
        <w:rPr>
          <w:rFonts w:ascii="Arial" w:hAnsi="Arial" w:cs="Arial"/>
          <w:sz w:val="20"/>
        </w:rPr>
        <w:t>:</w:t>
      </w:r>
      <w:r w:rsidRPr="00C41C7D">
        <w:rPr>
          <w:rFonts w:ascii="Arial" w:hAnsi="Arial" w:cs="Arial"/>
          <w:sz w:val="20"/>
        </w:rPr>
        <w:tab/>
      </w:r>
      <w:r w:rsidRPr="00C41C7D">
        <w:rPr>
          <w:rFonts w:ascii="Arial" w:hAnsi="Arial" w:cs="Arial"/>
          <w:sz w:val="20"/>
          <w:u w:val="single"/>
        </w:rPr>
        <w:t>The Monthly Basic Charge* is</w:t>
      </w:r>
      <w:r w:rsidRPr="00C41C7D">
        <w:rPr>
          <w:rFonts w:ascii="Arial" w:hAnsi="Arial" w:cs="Arial"/>
          <w:sz w:val="20"/>
        </w:rPr>
        <w:t>:</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100 kW or less</w:t>
      </w:r>
      <w:r w:rsidRPr="00C41C7D">
        <w:rPr>
          <w:rFonts w:ascii="Arial" w:hAnsi="Arial" w:cs="Arial"/>
          <w:sz w:val="20"/>
        </w:rPr>
        <w:tab/>
        <w:t>$</w:t>
      </w:r>
      <w:r w:rsidR="00282054">
        <w:rPr>
          <w:rFonts w:ascii="Arial" w:hAnsi="Arial" w:cs="Arial"/>
          <w:sz w:val="20"/>
        </w:rPr>
        <w:t>264</w:t>
      </w:r>
    </w:p>
    <w:p w:rsidR="00C41C7D" w:rsidRPr="00C41C7D" w:rsidRDefault="00C41C7D" w:rsidP="00C41C7D">
      <w:pPr>
        <w:tabs>
          <w:tab w:val="left" w:pos="1800"/>
          <w:tab w:val="left" w:pos="4770"/>
        </w:tabs>
        <w:ind w:left="1440"/>
        <w:jc w:val="both"/>
        <w:rPr>
          <w:rFonts w:ascii="Arial" w:hAnsi="Arial" w:cs="Arial"/>
          <w:sz w:val="20"/>
        </w:rPr>
      </w:pPr>
      <w:r w:rsidRPr="00C41C7D">
        <w:rPr>
          <w:rFonts w:ascii="Arial" w:hAnsi="Arial" w:cs="Arial"/>
          <w:sz w:val="20"/>
        </w:rPr>
        <w:tab/>
        <w:t>101 kW - 300 kW</w:t>
      </w:r>
      <w:r w:rsidRPr="00C41C7D">
        <w:rPr>
          <w:rFonts w:ascii="Arial" w:hAnsi="Arial" w:cs="Arial"/>
          <w:sz w:val="20"/>
        </w:rPr>
        <w:tab/>
        <w:t xml:space="preserve">$ </w:t>
      </w:r>
      <w:r w:rsidR="00282054">
        <w:rPr>
          <w:rFonts w:ascii="Arial" w:hAnsi="Arial" w:cs="Arial"/>
          <w:sz w:val="20"/>
        </w:rPr>
        <w:t>98</w:t>
      </w:r>
      <w:r w:rsidRPr="00C41C7D">
        <w:rPr>
          <w:rFonts w:ascii="Arial" w:hAnsi="Arial" w:cs="Arial"/>
          <w:sz w:val="20"/>
        </w:rPr>
        <w:t xml:space="preserve"> plus $1.</w:t>
      </w:r>
      <w:r w:rsidR="00282054">
        <w:rPr>
          <w:rFonts w:ascii="Arial" w:hAnsi="Arial" w:cs="Arial"/>
          <w:sz w:val="20"/>
        </w:rPr>
        <w:t>79</w:t>
      </w:r>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Over 300 kW</w:t>
      </w:r>
      <w:r w:rsidRPr="00C41C7D">
        <w:rPr>
          <w:rFonts w:ascii="Arial" w:hAnsi="Arial" w:cs="Arial"/>
          <w:sz w:val="20"/>
        </w:rPr>
        <w:tab/>
        <w:t>$</w:t>
      </w:r>
      <w:r w:rsidR="00282054">
        <w:rPr>
          <w:rFonts w:ascii="Arial" w:hAnsi="Arial" w:cs="Arial"/>
          <w:sz w:val="20"/>
        </w:rPr>
        <w:t>195</w:t>
      </w:r>
      <w:r w:rsidRPr="00C41C7D">
        <w:rPr>
          <w:rFonts w:ascii="Arial" w:hAnsi="Arial" w:cs="Arial"/>
          <w:sz w:val="20"/>
        </w:rPr>
        <w:t xml:space="preserve"> plus $1.</w:t>
      </w:r>
      <w:r w:rsidR="00282054">
        <w:rPr>
          <w:rFonts w:ascii="Arial" w:hAnsi="Arial" w:cs="Arial"/>
          <w:sz w:val="20"/>
        </w:rPr>
        <w:t>46</w:t>
      </w:r>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jc w:val="both"/>
        <w:rPr>
          <w:rFonts w:ascii="Arial" w:hAnsi="Arial" w:cs="Arial"/>
          <w:sz w:val="20"/>
        </w:rPr>
      </w:pPr>
    </w:p>
    <w:p w:rsidR="00C41C7D" w:rsidRPr="00C41C7D" w:rsidRDefault="00C41C7D" w:rsidP="00C41C7D">
      <w:pPr>
        <w:ind w:left="2160" w:hanging="1440"/>
        <w:jc w:val="both"/>
        <w:rPr>
          <w:rFonts w:ascii="Arial" w:hAnsi="Arial" w:cs="Arial"/>
          <w:sz w:val="20"/>
        </w:rPr>
      </w:pPr>
      <w:r w:rsidRPr="00C41C7D">
        <w:rPr>
          <w:rFonts w:ascii="Arial" w:hAnsi="Arial" w:cs="Arial"/>
          <w:sz w:val="20"/>
        </w:rPr>
        <w:t>*Note:</w:t>
      </w:r>
      <w:r w:rsidRPr="00C41C7D">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  For seasonal Customers, the Load Size will be the greater of this number or the number derived by applying the motor nameplate horsepower to the Billing Demand Table from Rule 10(a) if this tariff.</w:t>
      </w:r>
    </w:p>
    <w:p w:rsidR="00C41C7D" w:rsidRPr="00C41C7D" w:rsidRDefault="00C41C7D" w:rsidP="00C41C7D">
      <w:pPr>
        <w:jc w:val="both"/>
        <w:rPr>
          <w:rFonts w:ascii="Arial" w:hAnsi="Arial" w:cs="Arial"/>
          <w:sz w:val="20"/>
        </w:rPr>
      </w:pPr>
    </w:p>
    <w:p w:rsidR="00C41C7D" w:rsidRPr="00C41C7D" w:rsidRDefault="00C41C7D" w:rsidP="00C41C7D">
      <w:pPr>
        <w:tabs>
          <w:tab w:val="center" w:pos="6120"/>
          <w:tab w:val="center" w:pos="7560"/>
        </w:tabs>
        <w:ind w:left="720"/>
        <w:jc w:val="both"/>
        <w:rPr>
          <w:rFonts w:ascii="Arial" w:hAnsi="Arial" w:cs="Arial"/>
          <w:sz w:val="20"/>
          <w:u w:val="single"/>
        </w:rPr>
      </w:pPr>
      <w:r w:rsidRPr="00C41C7D">
        <w:rPr>
          <w:rFonts w:ascii="Arial" w:hAnsi="Arial" w:cs="Arial"/>
          <w:sz w:val="20"/>
          <w:u w:val="single"/>
        </w:rPr>
        <w:t>Demand Charge</w:t>
      </w:r>
      <w:r w:rsidRPr="00C41C7D">
        <w:rPr>
          <w:rFonts w:ascii="Arial" w:hAnsi="Arial" w:cs="Arial"/>
          <w:sz w:val="20"/>
        </w:rPr>
        <w:t>:</w:t>
      </w:r>
    </w:p>
    <w:p w:rsidR="00C41C7D" w:rsidRPr="00C41C7D" w:rsidRDefault="00C41C7D" w:rsidP="00C41C7D">
      <w:pPr>
        <w:pStyle w:val="BodyTextIndent"/>
        <w:tabs>
          <w:tab w:val="center" w:pos="4680"/>
          <w:tab w:val="center" w:pos="7380"/>
        </w:tabs>
        <w:ind w:left="2340"/>
        <w:rPr>
          <w:rFonts w:ascii="Arial" w:hAnsi="Arial" w:cs="Arial"/>
          <w:sz w:val="20"/>
        </w:rPr>
      </w:pPr>
      <w:r w:rsidRPr="00C41C7D">
        <w:rPr>
          <w:rFonts w:ascii="Arial" w:hAnsi="Arial" w:cs="Arial"/>
          <w:sz w:val="20"/>
        </w:rPr>
        <w:t>$</w:t>
      </w:r>
      <w:r w:rsidR="00AD6FD4">
        <w:rPr>
          <w:rFonts w:ascii="Arial" w:hAnsi="Arial" w:cs="Arial"/>
          <w:sz w:val="20"/>
        </w:rPr>
        <w:t>5</w:t>
      </w:r>
      <w:r w:rsidRPr="00C41C7D">
        <w:rPr>
          <w:rFonts w:ascii="Arial" w:hAnsi="Arial" w:cs="Arial"/>
          <w:sz w:val="20"/>
        </w:rPr>
        <w:t>.</w:t>
      </w:r>
      <w:r w:rsidR="00282054">
        <w:rPr>
          <w:rFonts w:ascii="Arial" w:hAnsi="Arial" w:cs="Arial"/>
          <w:sz w:val="20"/>
        </w:rPr>
        <w:t>47</w:t>
      </w:r>
      <w:r w:rsidR="00AD6FD4" w:rsidRPr="00C41C7D">
        <w:rPr>
          <w:rFonts w:ascii="Arial" w:hAnsi="Arial" w:cs="Arial"/>
          <w:sz w:val="20"/>
        </w:rPr>
        <w:t xml:space="preserve"> </w:t>
      </w:r>
      <w:r w:rsidRPr="00C41C7D">
        <w:rPr>
          <w:rFonts w:ascii="Arial" w:hAnsi="Arial" w:cs="Arial"/>
          <w:sz w:val="20"/>
        </w:rPr>
        <w:t>per kW</w:t>
      </w:r>
      <w:r w:rsidRPr="00C41C7D">
        <w:rPr>
          <w:rFonts w:ascii="Arial" w:hAnsi="Arial" w:cs="Arial"/>
          <w:sz w:val="20"/>
        </w:rPr>
        <w:tab/>
        <w:t xml:space="preserve"> for each kW of Billing Demand</w:t>
      </w:r>
    </w:p>
    <w:p w:rsidR="00322467" w:rsidRPr="00322467" w:rsidRDefault="00322467" w:rsidP="00322467">
      <w:pPr>
        <w:jc w:val="both"/>
        <w:rPr>
          <w:rFonts w:ascii="Arial" w:hAnsi="Arial" w:cs="Arial"/>
          <w:sz w:val="20"/>
        </w:rPr>
      </w:pPr>
    </w:p>
    <w:sectPr w:rsidR="00322467" w:rsidRPr="003224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0" w:rsidRDefault="00116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8246CA">
      <w:rPr>
        <w:rFonts w:ascii="Arial" w:hAnsi="Arial" w:cs="Arial"/>
        <w:sz w:val="20"/>
      </w:rPr>
      <w:t>October 3</w:t>
    </w:r>
    <w:r w:rsidR="000D32CB">
      <w:rPr>
        <w:rFonts w:ascii="Arial" w:hAnsi="Arial" w:cs="Arial"/>
        <w:sz w:val="20"/>
      </w:rPr>
      <w:t>, 2016</w:t>
    </w:r>
    <w:r>
      <w:rPr>
        <w:rFonts w:ascii="Arial" w:hAnsi="Arial" w:cs="Arial"/>
        <w:sz w:val="20"/>
      </w:rPr>
      <w:tab/>
    </w:r>
    <w:r>
      <w:rPr>
        <w:rFonts w:ascii="Arial" w:hAnsi="Arial" w:cs="Arial"/>
        <w:b/>
        <w:sz w:val="20"/>
      </w:rPr>
      <w:t>Effective:</w:t>
    </w:r>
    <w:r>
      <w:rPr>
        <w:rFonts w:ascii="Arial" w:hAnsi="Arial" w:cs="Arial"/>
        <w:sz w:val="20"/>
      </w:rPr>
      <w:t xml:space="preserve"> </w:t>
    </w:r>
    <w:r w:rsidR="008246CA">
      <w:rPr>
        <w:rFonts w:ascii="Arial" w:hAnsi="Arial" w:cs="Arial"/>
        <w:sz w:val="20"/>
      </w:rPr>
      <w:t>October 4</w:t>
    </w:r>
    <w:r w:rsidR="000D32CB">
      <w:rPr>
        <w:rFonts w:ascii="Arial" w:hAnsi="Arial" w:cs="Arial"/>
        <w:sz w:val="20"/>
      </w:rPr>
      <w:t>, 2016</w:t>
    </w:r>
  </w:p>
  <w:p w:rsidR="00990853" w:rsidRDefault="00DF0C9D" w:rsidP="00990853">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990853">
      <w:rPr>
        <w:rFonts w:ascii="Arial" w:hAnsi="Arial" w:cs="Arial"/>
        <w:b/>
        <w:sz w:val="20"/>
      </w:rPr>
      <w:t xml:space="preserve"> No.</w:t>
    </w:r>
    <w:r w:rsidR="00990853">
      <w:rPr>
        <w:rFonts w:ascii="Arial" w:hAnsi="Arial" w:cs="Arial"/>
        <w:sz w:val="20"/>
      </w:rPr>
      <w:t xml:space="preserve"> UE-</w:t>
    </w:r>
    <w:r w:rsidR="000D32CB">
      <w:rPr>
        <w:rFonts w:ascii="Arial" w:hAnsi="Arial" w:cs="Arial"/>
        <w:sz w:val="20"/>
      </w:rPr>
      <w:t>152253</w:t>
    </w:r>
  </w:p>
  <w:p w:rsidR="00AD6FD4" w:rsidRDefault="00AD6FD4" w:rsidP="00AD6FD4">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8960" behindDoc="1" locked="0" layoutInCell="1" allowOverlap="1" wp14:anchorId="5876F6CB" wp14:editId="66E6AF7F">
          <wp:simplePos x="0" y="0"/>
          <wp:positionH relativeFrom="column">
            <wp:posOffset>323850</wp:posOffset>
          </wp:positionH>
          <wp:positionV relativeFrom="paragraph">
            <wp:posOffset>12700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AD6FD4" w:rsidRPr="008F4F11" w:rsidRDefault="00AD6FD4" w:rsidP="00AD6FD4">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87936" behindDoc="1" locked="0" layoutInCell="1" allowOverlap="1" wp14:anchorId="5A16F9D4" wp14:editId="3E7B1CFF">
          <wp:simplePos x="0" y="0"/>
          <wp:positionH relativeFrom="column">
            <wp:posOffset>1514475</wp:posOffset>
          </wp:positionH>
          <wp:positionV relativeFrom="paragraph">
            <wp:posOffset>6622415</wp:posOffset>
          </wp:positionV>
          <wp:extent cx="1524000" cy="247650"/>
          <wp:effectExtent l="19050" t="0" r="0" b="0"/>
          <wp:wrapNone/>
          <wp:docPr id="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6912" behindDoc="1" locked="0" layoutInCell="1" allowOverlap="1" wp14:anchorId="6713497B" wp14:editId="69F6EF9D">
          <wp:simplePos x="0" y="0"/>
          <wp:positionH relativeFrom="column">
            <wp:posOffset>914400</wp:posOffset>
          </wp:positionH>
          <wp:positionV relativeFrom="paragraph">
            <wp:posOffset>8946515</wp:posOffset>
          </wp:positionV>
          <wp:extent cx="1524000" cy="247650"/>
          <wp:effectExtent l="19050" t="0" r="0" b="0"/>
          <wp:wrapNone/>
          <wp:docPr id="1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AD6FD4" w:rsidP="00990853">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0" w:rsidRDefault="00116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0" w:rsidRDefault="00116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CC3481" w:rsidRDefault="00374A2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823F8"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C1DE0"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CC3481"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0D32CB" w:rsidP="00A91A21">
    <w:pPr>
      <w:tabs>
        <w:tab w:val="left" w:pos="7200"/>
      </w:tabs>
      <w:ind w:right="2160"/>
      <w:jc w:val="right"/>
      <w:rPr>
        <w:rFonts w:ascii="Arial" w:hAnsi="Arial" w:cs="Arial"/>
        <w:sz w:val="20"/>
      </w:rPr>
    </w:pPr>
    <w:r>
      <w:rPr>
        <w:rFonts w:ascii="Arial" w:hAnsi="Arial" w:cs="Arial"/>
        <w:sz w:val="20"/>
      </w:rPr>
      <w:t xml:space="preserve">Fourth </w:t>
    </w:r>
    <w:r w:rsidR="00164B4D">
      <w:rPr>
        <w:rFonts w:ascii="Arial" w:hAnsi="Arial" w:cs="Arial"/>
        <w:sz w:val="20"/>
      </w:rPr>
      <w:t>Revision of Sheet No. 36.1</w:t>
    </w:r>
  </w:p>
  <w:p w:rsidR="00790CE2" w:rsidRDefault="00164B4D" w:rsidP="00A91A21">
    <w:pPr>
      <w:tabs>
        <w:tab w:val="left" w:pos="7200"/>
      </w:tabs>
      <w:ind w:right="2160"/>
      <w:jc w:val="right"/>
      <w:rPr>
        <w:rFonts w:ascii="Arial" w:hAnsi="Arial" w:cs="Arial"/>
        <w:sz w:val="20"/>
      </w:rPr>
    </w:pPr>
    <w:r>
      <w:rPr>
        <w:rFonts w:ascii="Arial" w:hAnsi="Arial" w:cs="Arial"/>
        <w:sz w:val="20"/>
      </w:rPr>
      <w:t xml:space="preserve">Canceling </w:t>
    </w:r>
    <w:r w:rsidR="000D32CB">
      <w:rPr>
        <w:rFonts w:ascii="Arial" w:hAnsi="Arial" w:cs="Arial"/>
        <w:sz w:val="20"/>
      </w:rPr>
      <w:t xml:space="preserve">Third </w:t>
    </w:r>
    <w:r w:rsidR="00990853">
      <w:rPr>
        <w:rFonts w:ascii="Arial" w:hAnsi="Arial" w:cs="Arial"/>
        <w:sz w:val="20"/>
      </w:rPr>
      <w:t xml:space="preserve">Revision of </w:t>
    </w:r>
    <w:r w:rsidR="00C41C7D">
      <w:rPr>
        <w:rFonts w:ascii="Arial" w:hAnsi="Arial" w:cs="Arial"/>
        <w:sz w:val="20"/>
      </w:rPr>
      <w:t>Sheet No. 36.1</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0" w:rsidRDefault="00116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3276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246A"/>
    <w:rsid w:val="00087CF7"/>
    <w:rsid w:val="000A0FF1"/>
    <w:rsid w:val="000B36F4"/>
    <w:rsid w:val="000B4305"/>
    <w:rsid w:val="000D32CB"/>
    <w:rsid w:val="000E3B96"/>
    <w:rsid w:val="00113567"/>
    <w:rsid w:val="001164A0"/>
    <w:rsid w:val="00135716"/>
    <w:rsid w:val="001522E7"/>
    <w:rsid w:val="001620F1"/>
    <w:rsid w:val="00164B4D"/>
    <w:rsid w:val="00172D01"/>
    <w:rsid w:val="001D4F15"/>
    <w:rsid w:val="001F1125"/>
    <w:rsid w:val="001F19AC"/>
    <w:rsid w:val="00202D20"/>
    <w:rsid w:val="00204381"/>
    <w:rsid w:val="00205735"/>
    <w:rsid w:val="00266E07"/>
    <w:rsid w:val="002739D8"/>
    <w:rsid w:val="00282054"/>
    <w:rsid w:val="002972ED"/>
    <w:rsid w:val="002B1262"/>
    <w:rsid w:val="002C1B76"/>
    <w:rsid w:val="002C79BC"/>
    <w:rsid w:val="002D40E8"/>
    <w:rsid w:val="002E41E4"/>
    <w:rsid w:val="002E6C6E"/>
    <w:rsid w:val="00322467"/>
    <w:rsid w:val="00341521"/>
    <w:rsid w:val="0034455A"/>
    <w:rsid w:val="00347A8E"/>
    <w:rsid w:val="00374A21"/>
    <w:rsid w:val="003F4AA1"/>
    <w:rsid w:val="003F72C1"/>
    <w:rsid w:val="00404055"/>
    <w:rsid w:val="004043D5"/>
    <w:rsid w:val="00490AF3"/>
    <w:rsid w:val="004A30F3"/>
    <w:rsid w:val="004B1617"/>
    <w:rsid w:val="004C5FE8"/>
    <w:rsid w:val="00534D32"/>
    <w:rsid w:val="00546A05"/>
    <w:rsid w:val="00555712"/>
    <w:rsid w:val="00564506"/>
    <w:rsid w:val="00577682"/>
    <w:rsid w:val="00580EC3"/>
    <w:rsid w:val="005A1156"/>
    <w:rsid w:val="005C397C"/>
    <w:rsid w:val="005C4E11"/>
    <w:rsid w:val="005E008E"/>
    <w:rsid w:val="005E05B3"/>
    <w:rsid w:val="005E29DE"/>
    <w:rsid w:val="005F64B9"/>
    <w:rsid w:val="005F7880"/>
    <w:rsid w:val="00644177"/>
    <w:rsid w:val="006638F3"/>
    <w:rsid w:val="0068019B"/>
    <w:rsid w:val="00683DDC"/>
    <w:rsid w:val="0068713C"/>
    <w:rsid w:val="006A266F"/>
    <w:rsid w:val="006C55B2"/>
    <w:rsid w:val="006E1287"/>
    <w:rsid w:val="006E424F"/>
    <w:rsid w:val="00710518"/>
    <w:rsid w:val="0072316D"/>
    <w:rsid w:val="007504BF"/>
    <w:rsid w:val="0077488B"/>
    <w:rsid w:val="007854E0"/>
    <w:rsid w:val="00790CE2"/>
    <w:rsid w:val="007E0BC7"/>
    <w:rsid w:val="007F06C3"/>
    <w:rsid w:val="007F6029"/>
    <w:rsid w:val="00813698"/>
    <w:rsid w:val="00823ACF"/>
    <w:rsid w:val="008246CA"/>
    <w:rsid w:val="008474F2"/>
    <w:rsid w:val="00873D06"/>
    <w:rsid w:val="008766A2"/>
    <w:rsid w:val="00876B56"/>
    <w:rsid w:val="00886645"/>
    <w:rsid w:val="008A77C7"/>
    <w:rsid w:val="008E7364"/>
    <w:rsid w:val="00920A5D"/>
    <w:rsid w:val="00990853"/>
    <w:rsid w:val="009B7D11"/>
    <w:rsid w:val="009E0C82"/>
    <w:rsid w:val="009F5456"/>
    <w:rsid w:val="00A261ED"/>
    <w:rsid w:val="00A91A21"/>
    <w:rsid w:val="00AA6EAF"/>
    <w:rsid w:val="00AD4335"/>
    <w:rsid w:val="00AD6FD4"/>
    <w:rsid w:val="00AE07BB"/>
    <w:rsid w:val="00AE0A76"/>
    <w:rsid w:val="00AE1E9E"/>
    <w:rsid w:val="00AE7611"/>
    <w:rsid w:val="00AF0EAC"/>
    <w:rsid w:val="00B14270"/>
    <w:rsid w:val="00B20EEB"/>
    <w:rsid w:val="00B43CBE"/>
    <w:rsid w:val="00B54432"/>
    <w:rsid w:val="00B62CA7"/>
    <w:rsid w:val="00B86CD1"/>
    <w:rsid w:val="00BA088F"/>
    <w:rsid w:val="00C0493E"/>
    <w:rsid w:val="00C210FD"/>
    <w:rsid w:val="00C41C7D"/>
    <w:rsid w:val="00C60F7D"/>
    <w:rsid w:val="00C818E6"/>
    <w:rsid w:val="00C91131"/>
    <w:rsid w:val="00C9485C"/>
    <w:rsid w:val="00CC3481"/>
    <w:rsid w:val="00CD01ED"/>
    <w:rsid w:val="00CE1346"/>
    <w:rsid w:val="00CE6692"/>
    <w:rsid w:val="00CF64E6"/>
    <w:rsid w:val="00D23AB3"/>
    <w:rsid w:val="00D313E0"/>
    <w:rsid w:val="00D45A57"/>
    <w:rsid w:val="00D60206"/>
    <w:rsid w:val="00D932B5"/>
    <w:rsid w:val="00DF0C9D"/>
    <w:rsid w:val="00E24B60"/>
    <w:rsid w:val="00E52C0F"/>
    <w:rsid w:val="00E53EC5"/>
    <w:rsid w:val="00E84454"/>
    <w:rsid w:val="00E86C83"/>
    <w:rsid w:val="00EB5484"/>
    <w:rsid w:val="00F30DDC"/>
    <w:rsid w:val="00F3756B"/>
    <w:rsid w:val="00F50525"/>
    <w:rsid w:val="00F528E2"/>
    <w:rsid w:val="00F66F8A"/>
    <w:rsid w:val="00F93FB8"/>
    <w:rsid w:val="00FA0EBE"/>
    <w:rsid w:val="00FB0FA8"/>
    <w:rsid w:val="00FB35B6"/>
    <w:rsid w:val="00FB6D41"/>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B0FA8"/>
    <w:rPr>
      <w:rFonts w:ascii="Tahoma" w:hAnsi="Tahoma" w:cs="Tahoma"/>
      <w:sz w:val="16"/>
      <w:szCs w:val="16"/>
    </w:rPr>
  </w:style>
  <w:style w:type="character" w:customStyle="1" w:styleId="BalloonTextChar">
    <w:name w:val="Balloon Text Char"/>
    <w:basedOn w:val="DefaultParagraphFont"/>
    <w:link w:val="BalloonText"/>
    <w:uiPriority w:val="99"/>
    <w:semiHidden/>
    <w:rsid w:val="00FB0F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B7D02FA-0E85-4A9D-9230-8861BF9268C3}">
  <ds:schemaRefs>
    <ds:schemaRef ds:uri="http://schemas.openxmlformats.org/officeDocument/2006/bibliography"/>
  </ds:schemaRefs>
</ds:datastoreItem>
</file>

<file path=customXml/itemProps2.xml><?xml version="1.0" encoding="utf-8"?>
<ds:datastoreItem xmlns:ds="http://schemas.openxmlformats.org/officeDocument/2006/customXml" ds:itemID="{C2C99EFD-F102-4FF0-B712-19BDDDDEB850}"/>
</file>

<file path=customXml/itemProps3.xml><?xml version="1.0" encoding="utf-8"?>
<ds:datastoreItem xmlns:ds="http://schemas.openxmlformats.org/officeDocument/2006/customXml" ds:itemID="{23EB99E5-ECC9-42C4-A278-D55536A181E5}"/>
</file>

<file path=customXml/itemProps4.xml><?xml version="1.0" encoding="utf-8"?>
<ds:datastoreItem xmlns:ds="http://schemas.openxmlformats.org/officeDocument/2006/customXml" ds:itemID="{31A73469-190F-42E5-A44A-CF5B9D06F3EF}"/>
</file>

<file path=customXml/itemProps5.xml><?xml version="1.0" encoding="utf-8"?>
<ds:datastoreItem xmlns:ds="http://schemas.openxmlformats.org/officeDocument/2006/customXml" ds:itemID="{941702DF-8D2D-47F6-868B-44DB0D27825F}"/>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2016-10-03T17:54:00Z</dcterms:created>
  <dcterms:modified xsi:type="dcterms:W3CDTF">2016-10-03T17:54:00Z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