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B85D" w14:textId="77777777" w:rsidR="00061921" w:rsidRPr="00B814E2" w:rsidRDefault="00061921" w:rsidP="00BB5741">
      <w:pPr>
        <w:rPr>
          <w:b/>
        </w:rPr>
      </w:pPr>
      <w:bookmarkStart w:id="0" w:name="_GoBack"/>
      <w:bookmarkEnd w:id="0"/>
    </w:p>
    <w:p w14:paraId="1E4B9470" w14:textId="77777777" w:rsidR="00061921" w:rsidRPr="00B814E2" w:rsidRDefault="00061921" w:rsidP="00BB5741">
      <w:pPr>
        <w:ind w:left="-360" w:right="-252"/>
        <w:jc w:val="center"/>
        <w:rPr>
          <w:b/>
        </w:rPr>
      </w:pPr>
      <w:r w:rsidRPr="00B814E2">
        <w:rPr>
          <w:b/>
        </w:rPr>
        <w:t>BEFORE THE WASHINGTON UTILITIES AND TRANSPORTATION COMMISSION</w:t>
      </w:r>
    </w:p>
    <w:p w14:paraId="548A5F8F" w14:textId="6BD7236F" w:rsidR="00061921" w:rsidRDefault="00281098" w:rsidP="00BB5741">
      <w:pPr>
        <w:rPr>
          <w:b/>
        </w:rPr>
      </w:pPr>
      <w:r>
        <w:rPr>
          <w:b/>
        </w:rPr>
        <w:t xml:space="preserve">  </w:t>
      </w:r>
    </w:p>
    <w:p w14:paraId="37773902" w14:textId="47FAC116" w:rsidR="00945B9E" w:rsidRDefault="00945B9E" w:rsidP="00BB5741">
      <w:pPr>
        <w:rPr>
          <w:b/>
        </w:rPr>
      </w:pPr>
    </w:p>
    <w:p w14:paraId="79CE35DE" w14:textId="043B576E" w:rsidR="00945B9E" w:rsidRDefault="00945B9E" w:rsidP="00BB5741">
      <w:pPr>
        <w:rPr>
          <w:b/>
        </w:rPr>
      </w:pPr>
    </w:p>
    <w:p w14:paraId="7395CA5C" w14:textId="77777777" w:rsidR="00945B9E" w:rsidRPr="00B814E2" w:rsidRDefault="00945B9E" w:rsidP="00BB5741">
      <w:pPr>
        <w:rPr>
          <w:b/>
        </w:rPr>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061921" w14:paraId="664AA59C" w14:textId="77777777" w:rsidTr="00061921">
        <w:tc>
          <w:tcPr>
            <w:tcW w:w="4590" w:type="dxa"/>
            <w:tcBorders>
              <w:top w:val="single" w:sz="6" w:space="0" w:color="FFFFFF"/>
              <w:left w:val="single" w:sz="6" w:space="0" w:color="FFFFFF"/>
              <w:bottom w:val="single" w:sz="8" w:space="0" w:color="000000"/>
              <w:right w:val="single" w:sz="6" w:space="0" w:color="FFFFFF"/>
            </w:tcBorders>
          </w:tcPr>
          <w:p w14:paraId="5B80C6BE" w14:textId="77777777" w:rsidR="00061921" w:rsidRDefault="00061921" w:rsidP="00277BC3">
            <w:pPr>
              <w:pStyle w:val="Subtitle"/>
              <w:keepNext/>
              <w:keepLines/>
              <w:spacing w:before="200"/>
              <w:outlineLvl w:val="3"/>
              <w:rPr>
                <w:rFonts w:ascii="Times" w:hAnsi="Times"/>
                <w:b/>
                <w:bCs/>
                <w:i/>
                <w:iCs/>
                <w:color w:val="4F81BD" w:themeColor="accent1"/>
              </w:rPr>
            </w:pPr>
            <w:r>
              <w:rPr>
                <w:rFonts w:ascii="Times" w:hAnsi="Times"/>
                <w:b/>
              </w:rPr>
              <w:t>WASHINGTON UTILITIES AND</w:t>
            </w:r>
          </w:p>
          <w:p w14:paraId="76554009" w14:textId="77777777" w:rsidR="00061921" w:rsidRDefault="00061921" w:rsidP="00277BC3">
            <w:pPr>
              <w:keepNext/>
              <w:keepLines/>
              <w:spacing w:before="200"/>
              <w:outlineLvl w:val="8"/>
              <w:rPr>
                <w:b/>
                <w:i/>
                <w:iCs/>
                <w:color w:val="404040" w:themeColor="text1" w:themeTint="BF"/>
              </w:rPr>
            </w:pPr>
            <w:r>
              <w:rPr>
                <w:rFonts w:ascii="Times" w:hAnsi="Times"/>
                <w:b/>
              </w:rPr>
              <w:t>TRANSPORTATION COMMISSION</w:t>
            </w:r>
            <w:r>
              <w:rPr>
                <w:b/>
              </w:rPr>
              <w:t>,</w:t>
            </w:r>
          </w:p>
          <w:p w14:paraId="3F869161" w14:textId="77777777" w:rsidR="00061921" w:rsidRDefault="00061921" w:rsidP="00277BC3">
            <w:pPr>
              <w:rPr>
                <w:b/>
              </w:rPr>
            </w:pPr>
          </w:p>
          <w:p w14:paraId="288416AC" w14:textId="77777777" w:rsidR="00061921" w:rsidRDefault="00061921" w:rsidP="00277BC3">
            <w:pPr>
              <w:tabs>
                <w:tab w:val="left" w:pos="1800"/>
              </w:tabs>
              <w:rPr>
                <w:b/>
              </w:rPr>
            </w:pPr>
            <w:r>
              <w:rPr>
                <w:b/>
              </w:rPr>
              <w:tab/>
              <w:t>Complainant,</w:t>
            </w:r>
          </w:p>
          <w:p w14:paraId="6E66958E" w14:textId="77777777" w:rsidR="00061921" w:rsidRDefault="00061921" w:rsidP="00277BC3">
            <w:pPr>
              <w:rPr>
                <w:b/>
              </w:rPr>
            </w:pPr>
          </w:p>
          <w:p w14:paraId="708456F4" w14:textId="77777777" w:rsidR="00061921" w:rsidRDefault="00061921" w:rsidP="00277BC3">
            <w:pPr>
              <w:rPr>
                <w:b/>
              </w:rPr>
            </w:pPr>
            <w:r>
              <w:rPr>
                <w:b/>
              </w:rPr>
              <w:t>v.</w:t>
            </w:r>
          </w:p>
          <w:p w14:paraId="2008BDE9" w14:textId="77777777" w:rsidR="00061921" w:rsidRDefault="00061921" w:rsidP="00277BC3">
            <w:pPr>
              <w:rPr>
                <w:b/>
              </w:rPr>
            </w:pPr>
          </w:p>
          <w:p w14:paraId="0A6A6372" w14:textId="0D7E2621" w:rsidR="00061921" w:rsidRDefault="0039041D" w:rsidP="00F161C5">
            <w:pPr>
              <w:rPr>
                <w:b/>
              </w:rPr>
            </w:pPr>
            <w:r>
              <w:rPr>
                <w:b/>
              </w:rPr>
              <w:t>PUGET SOUND ENERGY</w:t>
            </w:r>
            <w:r w:rsidR="00A31AF4">
              <w:rPr>
                <w:b/>
              </w:rPr>
              <w:t>,</w:t>
            </w:r>
          </w:p>
          <w:p w14:paraId="3B897676" w14:textId="77777777" w:rsidR="002B1DFC" w:rsidRDefault="002B1DFC" w:rsidP="00F161C5">
            <w:pPr>
              <w:rPr>
                <w:b/>
              </w:rPr>
            </w:pPr>
          </w:p>
          <w:p w14:paraId="2E75D10D" w14:textId="77777777" w:rsidR="00061921" w:rsidRDefault="00061921" w:rsidP="00277BC3">
            <w:pPr>
              <w:tabs>
                <w:tab w:val="left" w:pos="1800"/>
              </w:tabs>
              <w:rPr>
                <w:b/>
              </w:rPr>
            </w:pPr>
            <w:r>
              <w:rPr>
                <w:b/>
              </w:rPr>
              <w:tab/>
              <w:t>Respondent.</w:t>
            </w:r>
          </w:p>
          <w:p w14:paraId="78E1A1E2" w14:textId="77777777" w:rsidR="00061921" w:rsidRDefault="00061921" w:rsidP="00277BC3">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14:paraId="4A48CF6F" w14:textId="3C87C560" w:rsidR="00061921" w:rsidRDefault="0013638A" w:rsidP="0013638A">
            <w:pPr>
              <w:tabs>
                <w:tab w:val="center" w:pos="4680"/>
              </w:tabs>
              <w:rPr>
                <w:b/>
              </w:rPr>
            </w:pPr>
            <w:r>
              <w:rPr>
                <w:b/>
              </w:rPr>
              <w:t>DOCKETS UE-170033 &amp; UG-170034</w:t>
            </w:r>
          </w:p>
        </w:tc>
      </w:tr>
    </w:tbl>
    <w:p w14:paraId="58C03061" w14:textId="77777777" w:rsidR="00061921" w:rsidRDefault="00061921" w:rsidP="00277BC3">
      <w:pPr>
        <w:rPr>
          <w:b/>
          <w:bCs/>
        </w:rPr>
      </w:pPr>
    </w:p>
    <w:p w14:paraId="600CE9DB" w14:textId="1B3F13AC" w:rsidR="00061921" w:rsidRDefault="00061921" w:rsidP="00277BC3">
      <w:pPr>
        <w:rPr>
          <w:b/>
          <w:bCs/>
        </w:rPr>
      </w:pPr>
    </w:p>
    <w:p w14:paraId="5DE26BE6" w14:textId="6AAF4027" w:rsidR="00E96852" w:rsidRDefault="00E96852" w:rsidP="00277BC3">
      <w:pPr>
        <w:rPr>
          <w:b/>
          <w:bCs/>
        </w:rPr>
      </w:pPr>
    </w:p>
    <w:p w14:paraId="603CFB85" w14:textId="1E8A17FA" w:rsidR="00E96852" w:rsidRDefault="00E96852" w:rsidP="00277BC3">
      <w:pPr>
        <w:rPr>
          <w:b/>
          <w:bCs/>
        </w:rPr>
      </w:pPr>
    </w:p>
    <w:p w14:paraId="32C6928F" w14:textId="77777777" w:rsidR="00E96852" w:rsidRDefault="00E96852" w:rsidP="00277BC3">
      <w:pPr>
        <w:rPr>
          <w:b/>
          <w:bCs/>
        </w:rPr>
      </w:pPr>
    </w:p>
    <w:p w14:paraId="6A74509F" w14:textId="27CECD3B" w:rsidR="00061921" w:rsidRDefault="00D47DDA" w:rsidP="00277BC3">
      <w:pPr>
        <w:tabs>
          <w:tab w:val="center" w:pos="4680"/>
        </w:tabs>
        <w:jc w:val="center"/>
        <w:rPr>
          <w:b/>
          <w:bCs/>
        </w:rPr>
      </w:pPr>
      <w:r>
        <w:rPr>
          <w:b/>
          <w:bCs/>
        </w:rPr>
        <w:t xml:space="preserve">RESPONSE </w:t>
      </w:r>
      <w:r w:rsidR="00061921">
        <w:rPr>
          <w:b/>
          <w:bCs/>
        </w:rPr>
        <w:t>TESTIMONY OF</w:t>
      </w:r>
    </w:p>
    <w:p w14:paraId="0B45CA58" w14:textId="77777777" w:rsidR="00061921" w:rsidRDefault="00061921" w:rsidP="00277BC3">
      <w:pPr>
        <w:jc w:val="center"/>
        <w:rPr>
          <w:b/>
          <w:bCs/>
        </w:rPr>
      </w:pPr>
    </w:p>
    <w:p w14:paraId="0F7038A3" w14:textId="73D9FB13" w:rsidR="00061921" w:rsidRPr="000330E8" w:rsidRDefault="0013638A" w:rsidP="00277BC3">
      <w:pPr>
        <w:tabs>
          <w:tab w:val="center" w:pos="4680"/>
        </w:tabs>
        <w:jc w:val="center"/>
        <w:rPr>
          <w:b/>
          <w:bCs/>
        </w:rPr>
      </w:pPr>
      <w:r w:rsidRPr="000330E8">
        <w:rPr>
          <w:b/>
          <w:bCs/>
        </w:rPr>
        <w:t>SHAWN M. COLLINS</w:t>
      </w:r>
      <w:r>
        <w:rPr>
          <w:b/>
          <w:bCs/>
        </w:rPr>
        <w:t xml:space="preserve"> (SMC-1T)</w:t>
      </w:r>
    </w:p>
    <w:p w14:paraId="5F396E33" w14:textId="77777777" w:rsidR="00061921" w:rsidRDefault="00061921" w:rsidP="00277BC3">
      <w:pPr>
        <w:tabs>
          <w:tab w:val="center" w:pos="4680"/>
        </w:tabs>
        <w:jc w:val="center"/>
        <w:rPr>
          <w:b/>
          <w:bCs/>
        </w:rPr>
      </w:pPr>
    </w:p>
    <w:p w14:paraId="39458214" w14:textId="77777777" w:rsidR="00061921" w:rsidRDefault="0039041D" w:rsidP="00277BC3">
      <w:pPr>
        <w:tabs>
          <w:tab w:val="center" w:pos="4680"/>
        </w:tabs>
        <w:jc w:val="center"/>
        <w:rPr>
          <w:b/>
          <w:bCs/>
        </w:rPr>
      </w:pPr>
      <w:r>
        <w:rPr>
          <w:b/>
          <w:bCs/>
        </w:rPr>
        <w:t>DIRECTOR</w:t>
      </w:r>
      <w:r w:rsidR="00061921">
        <w:rPr>
          <w:b/>
          <w:bCs/>
        </w:rPr>
        <w:t xml:space="preserve"> OF</w:t>
      </w:r>
    </w:p>
    <w:p w14:paraId="3A9C1428" w14:textId="77777777" w:rsidR="00061921" w:rsidRDefault="00061921" w:rsidP="00277BC3">
      <w:pPr>
        <w:tabs>
          <w:tab w:val="center" w:pos="4680"/>
        </w:tabs>
        <w:jc w:val="center"/>
        <w:rPr>
          <w:b/>
          <w:bCs/>
        </w:rPr>
      </w:pPr>
      <w:r>
        <w:rPr>
          <w:b/>
          <w:bCs/>
        </w:rPr>
        <w:t>THE ENERGY PROJECT</w:t>
      </w:r>
    </w:p>
    <w:p w14:paraId="10BE02AC" w14:textId="77777777" w:rsidR="00061921" w:rsidRDefault="00061921" w:rsidP="00277BC3">
      <w:pPr>
        <w:jc w:val="center"/>
        <w:rPr>
          <w:b/>
          <w:bCs/>
        </w:rPr>
      </w:pPr>
    </w:p>
    <w:p w14:paraId="6479468A" w14:textId="77777777" w:rsidR="00061921" w:rsidRDefault="00061921" w:rsidP="00277BC3">
      <w:pPr>
        <w:rPr>
          <w:b/>
          <w:bCs/>
        </w:rPr>
      </w:pPr>
    </w:p>
    <w:p w14:paraId="1B9415F8" w14:textId="77777777" w:rsidR="00061921" w:rsidRDefault="00061921" w:rsidP="00277BC3">
      <w:pPr>
        <w:rPr>
          <w:b/>
          <w:bCs/>
        </w:rPr>
      </w:pPr>
    </w:p>
    <w:p w14:paraId="1B1B8BE9" w14:textId="21EC0F50" w:rsidR="00061921" w:rsidRDefault="000B3F6F" w:rsidP="00277BC3">
      <w:pPr>
        <w:jc w:val="center"/>
        <w:rPr>
          <w:b/>
          <w:bCs/>
          <w:i/>
        </w:rPr>
      </w:pPr>
      <w:r>
        <w:rPr>
          <w:b/>
          <w:bCs/>
          <w:i/>
        </w:rPr>
        <w:t>Low-Income Issues</w:t>
      </w:r>
    </w:p>
    <w:p w14:paraId="1B8DF02A" w14:textId="77777777" w:rsidR="001F3F39" w:rsidRDefault="001F3F39" w:rsidP="00277BC3">
      <w:pPr>
        <w:jc w:val="center"/>
        <w:rPr>
          <w:b/>
          <w:bCs/>
          <w:i/>
        </w:rPr>
      </w:pPr>
    </w:p>
    <w:p w14:paraId="3BA1D9B4" w14:textId="44C2365E" w:rsidR="0013638A" w:rsidRDefault="0013638A" w:rsidP="00277BC3">
      <w:pPr>
        <w:jc w:val="center"/>
        <w:rPr>
          <w:b/>
          <w:bCs/>
          <w:i/>
        </w:rPr>
      </w:pPr>
    </w:p>
    <w:p w14:paraId="69AC8931" w14:textId="76E4B6CF" w:rsidR="0013638A" w:rsidRPr="0013638A" w:rsidRDefault="0013638A" w:rsidP="00277BC3">
      <w:pPr>
        <w:jc w:val="center"/>
        <w:rPr>
          <w:b/>
          <w:bCs/>
        </w:rPr>
      </w:pPr>
      <w:r>
        <w:rPr>
          <w:b/>
          <w:bCs/>
        </w:rPr>
        <w:t>JUNE 30, 2017</w:t>
      </w:r>
    </w:p>
    <w:p w14:paraId="0AD321B2" w14:textId="77777777" w:rsidR="00061921" w:rsidRDefault="00061921" w:rsidP="00277BC3">
      <w:pPr>
        <w:rPr>
          <w:b/>
          <w:bCs/>
        </w:rPr>
      </w:pPr>
    </w:p>
    <w:p w14:paraId="60C0580B" w14:textId="77777777" w:rsidR="00061921" w:rsidRDefault="00061921" w:rsidP="00277BC3">
      <w:pPr>
        <w:rPr>
          <w:b/>
          <w:bCs/>
        </w:rPr>
      </w:pPr>
    </w:p>
    <w:p w14:paraId="4DFE888B" w14:textId="77777777" w:rsidR="00061921" w:rsidRDefault="00061921" w:rsidP="00277BC3"/>
    <w:p w14:paraId="38C92193" w14:textId="77777777" w:rsidR="00061921" w:rsidRDefault="00061921" w:rsidP="00277BC3"/>
    <w:p w14:paraId="1719DF85" w14:textId="77777777" w:rsidR="00061921" w:rsidRDefault="00061921" w:rsidP="00277BC3"/>
    <w:p w14:paraId="56A09FFF" w14:textId="77777777" w:rsidR="00061921" w:rsidRDefault="00061921" w:rsidP="00277BC3"/>
    <w:p w14:paraId="6B26D9B1" w14:textId="77777777" w:rsidR="00061921" w:rsidRDefault="00061921" w:rsidP="00277BC3"/>
    <w:p w14:paraId="4C7A5642" w14:textId="77777777" w:rsidR="00061921" w:rsidRDefault="00061921" w:rsidP="00277BC3"/>
    <w:p w14:paraId="0C4BFEAB" w14:textId="77777777" w:rsidR="00061921" w:rsidRDefault="00061921" w:rsidP="00277BC3"/>
    <w:p w14:paraId="5A758DAF" w14:textId="77777777" w:rsidR="00061921" w:rsidRDefault="00061921" w:rsidP="00277BC3"/>
    <w:p w14:paraId="6AC948D0" w14:textId="77777777" w:rsidR="00061921" w:rsidRDefault="00061921" w:rsidP="00277BC3"/>
    <w:p w14:paraId="46FB5663" w14:textId="77777777" w:rsidR="00363621" w:rsidRDefault="00363621" w:rsidP="00277BC3"/>
    <w:p w14:paraId="04E33FAF" w14:textId="77777777" w:rsidR="00061921" w:rsidRDefault="00061921" w:rsidP="00277BC3"/>
    <w:p w14:paraId="4C0145EC" w14:textId="5F6CF451" w:rsidR="005F1865" w:rsidRDefault="00B71695" w:rsidP="002B1DFC">
      <w:pPr>
        <w:spacing w:line="480" w:lineRule="auto"/>
        <w:jc w:val="center"/>
      </w:pPr>
      <w:r>
        <w:t xml:space="preserve">RESPONSE </w:t>
      </w:r>
      <w:r w:rsidR="002B1DFC">
        <w:t>TESTIMONY OF SHAWN M. COLLINS (SMC-1T)</w:t>
      </w:r>
    </w:p>
    <w:p w14:paraId="67E4419A" w14:textId="6CD11D1C" w:rsidR="005F1865" w:rsidRDefault="00FB7170" w:rsidP="005B631C">
      <w:pPr>
        <w:spacing w:line="480" w:lineRule="auto"/>
        <w:jc w:val="center"/>
      </w:pPr>
      <w:r>
        <w:t>TABLE OF CONTENT</w:t>
      </w:r>
      <w:r w:rsidR="00173A8D">
        <w:t>S</w:t>
      </w:r>
    </w:p>
    <w:p w14:paraId="347A89C7" w14:textId="18B75E24" w:rsidR="004D216D" w:rsidRDefault="004D216D" w:rsidP="005B631C">
      <w:pPr>
        <w:spacing w:line="480" w:lineRule="auto"/>
        <w:jc w:val="center"/>
      </w:pPr>
      <w:r>
        <w:tab/>
      </w:r>
      <w:r>
        <w:tab/>
      </w:r>
      <w:r>
        <w:tab/>
      </w:r>
      <w:r>
        <w:tab/>
      </w:r>
      <w:r>
        <w:tab/>
      </w:r>
      <w:r>
        <w:tab/>
      </w:r>
      <w:r>
        <w:tab/>
      </w:r>
      <w:r>
        <w:tab/>
      </w:r>
      <w:r>
        <w:tab/>
      </w:r>
      <w:r>
        <w:tab/>
        <w:t>Page</w:t>
      </w:r>
    </w:p>
    <w:p w14:paraId="67A7F312" w14:textId="3502DDF3" w:rsidR="00E96852" w:rsidRPr="00FB7170" w:rsidRDefault="00E96852" w:rsidP="00E96852">
      <w:pPr>
        <w:pStyle w:val="ListParagraph"/>
        <w:numPr>
          <w:ilvl w:val="0"/>
          <w:numId w:val="7"/>
        </w:numPr>
        <w:spacing w:line="480" w:lineRule="auto"/>
      </w:pPr>
      <w:r w:rsidRPr="00FB7170">
        <w:t>INTRODUCTION</w:t>
      </w:r>
      <w:r w:rsidR="00934041">
        <w:t xml:space="preserve"> . . . . . . . . . . . . . . . . . . . . . . . . . . . . . . . . . . . . . .</w:t>
      </w:r>
      <w:r w:rsidR="00BE50A9">
        <w:tab/>
        <w:t xml:space="preserve"> 1</w:t>
      </w:r>
    </w:p>
    <w:p w14:paraId="48C092D5" w14:textId="511208A0" w:rsidR="00E96852" w:rsidRPr="00FB7170" w:rsidRDefault="00E96852" w:rsidP="00E96852">
      <w:pPr>
        <w:pStyle w:val="ListParagraph"/>
        <w:numPr>
          <w:ilvl w:val="0"/>
          <w:numId w:val="7"/>
        </w:numPr>
        <w:spacing w:line="480" w:lineRule="auto"/>
      </w:pPr>
      <w:r w:rsidRPr="00FB7170">
        <w:t>PURPOSE AND SUMMARY OF TESTIMONY</w:t>
      </w:r>
      <w:r w:rsidR="00934041">
        <w:t>. . . . . . . . . . . . . .</w:t>
      </w:r>
      <w:r w:rsidR="00BE50A9">
        <w:tab/>
        <w:t xml:space="preserve"> 2</w:t>
      </w:r>
    </w:p>
    <w:p w14:paraId="66236D3D" w14:textId="77777777" w:rsidR="00FB7170" w:rsidRPr="00FB7170" w:rsidRDefault="00E96852" w:rsidP="00E96852">
      <w:pPr>
        <w:pStyle w:val="ListParagraph"/>
        <w:numPr>
          <w:ilvl w:val="0"/>
          <w:numId w:val="7"/>
        </w:numPr>
      </w:pPr>
      <w:r w:rsidRPr="00FB7170">
        <w:t xml:space="preserve">CHANGES TO PSE’S LOW-INCOME BILL </w:t>
      </w:r>
    </w:p>
    <w:p w14:paraId="3B792A63" w14:textId="047A09DF" w:rsidR="00E96852" w:rsidRDefault="00E96852" w:rsidP="00FB7170">
      <w:pPr>
        <w:pStyle w:val="ListParagraph"/>
        <w:ind w:left="1080"/>
      </w:pPr>
      <w:r w:rsidRPr="00FB7170">
        <w:t>ASSISTANCE AND WEATHERIZATION PROGRAMS</w:t>
      </w:r>
      <w:r w:rsidR="00934041">
        <w:t xml:space="preserve"> . . . . . .</w:t>
      </w:r>
      <w:r w:rsidR="00BE50A9">
        <w:tab/>
        <w:t xml:space="preserve"> 2</w:t>
      </w:r>
    </w:p>
    <w:p w14:paraId="58D96C7A" w14:textId="77777777" w:rsidR="00BE50A9" w:rsidRPr="00FB7170" w:rsidRDefault="00BE50A9" w:rsidP="00FB7170">
      <w:pPr>
        <w:pStyle w:val="ListParagraph"/>
        <w:ind w:left="1080"/>
      </w:pPr>
    </w:p>
    <w:p w14:paraId="79EE9DA7" w14:textId="4E84510C" w:rsidR="00FB7170" w:rsidRPr="00FB7170" w:rsidRDefault="008D70DA" w:rsidP="00FB7170">
      <w:pPr>
        <w:pStyle w:val="ListParagraph"/>
        <w:numPr>
          <w:ilvl w:val="0"/>
          <w:numId w:val="11"/>
        </w:numPr>
      </w:pPr>
      <w:r w:rsidRPr="00FB7170">
        <w:t xml:space="preserve">PSE’S LOW-INCOME BILL ASSISTANCE </w:t>
      </w:r>
    </w:p>
    <w:p w14:paraId="0813C010" w14:textId="14CF1D5E" w:rsidR="00FB7170" w:rsidRPr="00FB7170" w:rsidRDefault="008D70DA" w:rsidP="00934041">
      <w:pPr>
        <w:pStyle w:val="ListParagraph"/>
        <w:ind w:left="1440"/>
      </w:pPr>
      <w:r w:rsidRPr="00FB7170">
        <w:t>PROGRAM AND THE LEVEL OF NEED</w:t>
      </w:r>
      <w:r w:rsidR="00934041">
        <w:t>. . . . . . . . . . . .  . . .</w:t>
      </w:r>
      <w:r w:rsidR="00BE50A9">
        <w:tab/>
        <w:t xml:space="preserve"> 2</w:t>
      </w:r>
    </w:p>
    <w:p w14:paraId="73E8ABF6" w14:textId="23B5FCBA" w:rsidR="00FB7170" w:rsidRPr="00FB7170" w:rsidRDefault="0067417F" w:rsidP="00934041">
      <w:pPr>
        <w:pStyle w:val="ListParagraph"/>
        <w:numPr>
          <w:ilvl w:val="0"/>
          <w:numId w:val="11"/>
        </w:numPr>
      </w:pPr>
      <w:r w:rsidRPr="00FB7170">
        <w:t>PROPOSED INCREASE FOR HELP FUNDING</w:t>
      </w:r>
      <w:r w:rsidR="00934041">
        <w:t xml:space="preserve"> . . . . . . . . . .</w:t>
      </w:r>
      <w:r w:rsidR="00BE50A9">
        <w:tab/>
        <w:t xml:space="preserve"> 5</w:t>
      </w:r>
    </w:p>
    <w:p w14:paraId="69D5918C" w14:textId="5F334025" w:rsidR="00FB7170" w:rsidRPr="00FB7170" w:rsidRDefault="002D36E2" w:rsidP="00FB7170">
      <w:pPr>
        <w:pStyle w:val="ListParagraph"/>
        <w:numPr>
          <w:ilvl w:val="0"/>
          <w:numId w:val="11"/>
        </w:numPr>
      </w:pPr>
      <w:r w:rsidRPr="00FB7170">
        <w:t xml:space="preserve">ADJUSTMENT OF THE HELP ELECTRIC/GAS </w:t>
      </w:r>
    </w:p>
    <w:p w14:paraId="4555E935" w14:textId="0780A6F3" w:rsidR="00FB7170" w:rsidRPr="00FB7170" w:rsidRDefault="002D36E2" w:rsidP="00934041">
      <w:pPr>
        <w:pStyle w:val="ListParagraph"/>
        <w:ind w:left="1440"/>
      </w:pPr>
      <w:r w:rsidRPr="00FB7170">
        <w:t>RATI</w:t>
      </w:r>
      <w:r w:rsidR="00C8306D" w:rsidRPr="00FB7170">
        <w:t>O</w:t>
      </w:r>
      <w:r w:rsidR="005352FF">
        <w:t xml:space="preserve">  </w:t>
      </w:r>
      <w:r w:rsidR="00934041">
        <w:t>. . . . . . . . . . . . . . . . . . . . . . . . . . . . . . . . . . . . . . . . . . .</w:t>
      </w:r>
      <w:r w:rsidR="00BE50A9">
        <w:tab/>
        <w:t xml:space="preserve"> 7</w:t>
      </w:r>
    </w:p>
    <w:p w14:paraId="209E5AAA" w14:textId="340A099E" w:rsidR="00FB7170" w:rsidRPr="00FB7170" w:rsidRDefault="00C8306D" w:rsidP="00934041">
      <w:pPr>
        <w:pStyle w:val="ListParagraph"/>
        <w:numPr>
          <w:ilvl w:val="0"/>
          <w:numId w:val="11"/>
        </w:numPr>
      </w:pPr>
      <w:r w:rsidRPr="00FB7170">
        <w:t>PROPOSAL FOR TWO-YEAR CERTIFICATION</w:t>
      </w:r>
      <w:r w:rsidR="00934041">
        <w:t>. . . . . . . . .</w:t>
      </w:r>
      <w:r w:rsidR="00BE50A9">
        <w:tab/>
        <w:t xml:space="preserve"> 7</w:t>
      </w:r>
    </w:p>
    <w:p w14:paraId="1CEAE0D0" w14:textId="4ACCDE30" w:rsidR="00C062B3" w:rsidRPr="00FB7170" w:rsidRDefault="00FB7170" w:rsidP="00FB7170">
      <w:pPr>
        <w:ind w:left="360" w:firstLine="720"/>
      </w:pPr>
      <w:r w:rsidRPr="00FB7170">
        <w:t>E.</w:t>
      </w:r>
      <w:r w:rsidRPr="00FB7170">
        <w:tab/>
      </w:r>
      <w:r w:rsidR="005352FF" w:rsidRPr="005352FF">
        <w:t>REMOVAL OF THE AREA MEDIAN INCOME FAC</w:t>
      </w:r>
      <w:r w:rsidR="005352FF">
        <w:t xml:space="preserve">TOR. </w:t>
      </w:r>
      <w:r w:rsidR="00934041">
        <w:t>.</w:t>
      </w:r>
      <w:r w:rsidR="00BE50A9">
        <w:tab/>
        <w:t xml:space="preserve"> 8</w:t>
      </w:r>
    </w:p>
    <w:p w14:paraId="2632A248" w14:textId="39920A21" w:rsidR="00FB7170" w:rsidRDefault="00D10415" w:rsidP="00FB7170">
      <w:pPr>
        <w:pStyle w:val="ListParagraph"/>
        <w:numPr>
          <w:ilvl w:val="0"/>
          <w:numId w:val="12"/>
        </w:numPr>
      </w:pPr>
      <w:r w:rsidRPr="00FB7170">
        <w:t>LOW-INCOME E</w:t>
      </w:r>
      <w:r w:rsidR="00FB7170">
        <w:t>NERGY EFFICIENCY</w:t>
      </w:r>
      <w:r w:rsidR="00934041">
        <w:t xml:space="preserve"> . . . . . . . . . . . . . . . . </w:t>
      </w:r>
      <w:r w:rsidR="00BE50A9">
        <w:tab/>
        <w:t xml:space="preserve"> 9</w:t>
      </w:r>
    </w:p>
    <w:p w14:paraId="2327FA0B" w14:textId="77777777" w:rsidR="00FB7170" w:rsidRDefault="00FB7170" w:rsidP="00FB7170">
      <w:pPr>
        <w:pStyle w:val="ListParagraph"/>
        <w:ind w:left="1440"/>
      </w:pPr>
    </w:p>
    <w:p w14:paraId="61405736" w14:textId="3DAB71C5" w:rsidR="00343DBF" w:rsidRDefault="00343DBF" w:rsidP="00FB7170">
      <w:pPr>
        <w:pStyle w:val="ListParagraph"/>
        <w:numPr>
          <w:ilvl w:val="0"/>
          <w:numId w:val="7"/>
        </w:numPr>
      </w:pPr>
      <w:r w:rsidRPr="00FB7170">
        <w:t>OTHER ISSUES AFFECTING LOW-INCOME CUSTOMERS</w:t>
      </w:r>
      <w:r w:rsidR="00934041">
        <w:t>. .</w:t>
      </w:r>
      <w:r w:rsidR="00BE50A9">
        <w:tab/>
        <w:t>12</w:t>
      </w:r>
    </w:p>
    <w:p w14:paraId="753859AC" w14:textId="77777777" w:rsidR="00BE50A9" w:rsidRPr="00FB7170" w:rsidRDefault="00BE50A9" w:rsidP="00BE50A9">
      <w:pPr>
        <w:pStyle w:val="ListParagraph"/>
        <w:ind w:left="1080"/>
      </w:pPr>
    </w:p>
    <w:p w14:paraId="49A00AD1" w14:textId="60B21BD8" w:rsidR="00D10415" w:rsidRDefault="00BE50A9" w:rsidP="00A443C9">
      <w:pPr>
        <w:pStyle w:val="ListParagraph"/>
        <w:numPr>
          <w:ilvl w:val="0"/>
          <w:numId w:val="10"/>
        </w:numPr>
        <w:tabs>
          <w:tab w:val="left" w:pos="1440"/>
        </w:tabs>
      </w:pPr>
      <w:r>
        <w:t>GET TO ZERO/INTEGRATED VOICE RESPONSE</w:t>
      </w:r>
    </w:p>
    <w:p w14:paraId="2BE30C7B" w14:textId="439BA6CB" w:rsidR="00BE50A9" w:rsidRPr="00FB7170" w:rsidRDefault="00BE50A9" w:rsidP="00A443C9">
      <w:pPr>
        <w:pStyle w:val="ListParagraph"/>
        <w:tabs>
          <w:tab w:val="left" w:pos="1800"/>
        </w:tabs>
        <w:ind w:left="1800" w:hanging="360"/>
      </w:pPr>
      <w:r>
        <w:t>(IVR) – BENEFITS</w:t>
      </w:r>
      <w:r w:rsidR="00A443C9">
        <w:t xml:space="preserve">    . </w:t>
      </w:r>
      <w:r>
        <w:t xml:space="preserve">. . . . . . . . . . . . . . . . . . . . . . . . . . . . . . . </w:t>
      </w:r>
      <w:r>
        <w:tab/>
        <w:t>12</w:t>
      </w:r>
    </w:p>
    <w:p w14:paraId="1D787490" w14:textId="77777777" w:rsidR="00934041" w:rsidRDefault="00911A33" w:rsidP="00A443C9">
      <w:pPr>
        <w:pStyle w:val="ListParagraph"/>
        <w:numPr>
          <w:ilvl w:val="0"/>
          <w:numId w:val="10"/>
        </w:numPr>
        <w:ind w:left="1440" w:hanging="360"/>
      </w:pPr>
      <w:r w:rsidRPr="00FB7170">
        <w:t xml:space="preserve">GET TO ZERO – MAINTAINING </w:t>
      </w:r>
    </w:p>
    <w:p w14:paraId="27408DB8" w14:textId="1825A4A9" w:rsidR="00911A33" w:rsidRPr="00FB7170" w:rsidRDefault="00911A33" w:rsidP="00A443C9">
      <w:pPr>
        <w:pStyle w:val="ListParagraph"/>
        <w:ind w:left="1800" w:hanging="360"/>
      </w:pPr>
      <w:r w:rsidRPr="00FB7170">
        <w:t>CUSTOMER PROTECTIONS</w:t>
      </w:r>
      <w:r w:rsidR="00A443C9">
        <w:t xml:space="preserve">  . .</w:t>
      </w:r>
      <w:r w:rsidR="00934041">
        <w:t xml:space="preserve"> . . . . . . . . . . . . . . . . . . . . . . </w:t>
      </w:r>
      <w:r w:rsidR="00BE50A9">
        <w:tab/>
        <w:t>12</w:t>
      </w:r>
    </w:p>
    <w:p w14:paraId="01F67023" w14:textId="129C12C2" w:rsidR="0006390F" w:rsidRPr="00FB7170" w:rsidRDefault="0006390F" w:rsidP="00A443C9">
      <w:pPr>
        <w:pStyle w:val="ListParagraph"/>
        <w:numPr>
          <w:ilvl w:val="0"/>
          <w:numId w:val="10"/>
        </w:numPr>
        <w:ind w:left="1440" w:hanging="360"/>
      </w:pPr>
      <w:r w:rsidRPr="00FB7170">
        <w:t>RATE DESIGN – BASIC MONTHLY CHARGE</w:t>
      </w:r>
      <w:r w:rsidR="00A443C9">
        <w:t xml:space="preserve">  . . </w:t>
      </w:r>
      <w:r w:rsidR="00934041">
        <w:t>. . . . . . .</w:t>
      </w:r>
      <w:r w:rsidR="00BE50A9">
        <w:tab/>
        <w:t>20</w:t>
      </w:r>
    </w:p>
    <w:p w14:paraId="3A3DF99E" w14:textId="61992806" w:rsidR="00E51AB4" w:rsidRPr="00FB7170" w:rsidRDefault="00E82955" w:rsidP="00A443C9">
      <w:pPr>
        <w:pStyle w:val="ListParagraph"/>
        <w:numPr>
          <w:ilvl w:val="0"/>
          <w:numId w:val="10"/>
        </w:numPr>
        <w:ind w:left="1440" w:hanging="360"/>
      </w:pPr>
      <w:r w:rsidRPr="00E82955">
        <w:t xml:space="preserve">ELECTRIC RATE DESIGN – THIRD </w:t>
      </w:r>
      <w:r w:rsidR="00F46C13" w:rsidRPr="00E82955">
        <w:t>TIER</w:t>
      </w:r>
      <w:r w:rsidR="00F46C13">
        <w:t xml:space="preserve">  </w:t>
      </w:r>
      <w:r w:rsidR="00A443C9">
        <w:t xml:space="preserve">  . . </w:t>
      </w:r>
      <w:r w:rsidR="00F46C13">
        <w:t>. . .</w:t>
      </w:r>
      <w:r w:rsidR="00EF486A">
        <w:t xml:space="preserve"> </w:t>
      </w:r>
      <w:r w:rsidRPr="00E82955">
        <w:t>.</w:t>
      </w:r>
      <w:r w:rsidR="00934041">
        <w:t xml:space="preserve"> . . . . . .</w:t>
      </w:r>
      <w:r w:rsidR="00BE50A9">
        <w:tab/>
        <w:t>22</w:t>
      </w:r>
    </w:p>
    <w:p w14:paraId="0D2314CD" w14:textId="038AE56E" w:rsidR="009570DD" w:rsidRPr="00FB7170" w:rsidRDefault="009570DD" w:rsidP="00A443C9">
      <w:pPr>
        <w:pStyle w:val="ListParagraph"/>
        <w:numPr>
          <w:ilvl w:val="0"/>
          <w:numId w:val="10"/>
        </w:numPr>
        <w:ind w:left="1440" w:hanging="360"/>
      </w:pPr>
      <w:r w:rsidRPr="00FB7170">
        <w:t>DECOUPLING</w:t>
      </w:r>
      <w:r w:rsidR="00934041">
        <w:t xml:space="preserve"> </w:t>
      </w:r>
      <w:r w:rsidR="00A443C9">
        <w:t xml:space="preserve">    . </w:t>
      </w:r>
      <w:r w:rsidR="00934041">
        <w:t>. . . . . . . . . . . . . . . . . . . . . . . . . . . . . . . . . .</w:t>
      </w:r>
      <w:r w:rsidR="00BE50A9">
        <w:tab/>
        <w:t>25</w:t>
      </w:r>
    </w:p>
    <w:p w14:paraId="5B4E2B08" w14:textId="4CD6E0FB" w:rsidR="00565132" w:rsidRDefault="00565132" w:rsidP="00565132">
      <w:pPr>
        <w:pStyle w:val="ListParagraph"/>
        <w:spacing w:line="480" w:lineRule="auto"/>
        <w:ind w:left="2160"/>
        <w:rPr>
          <w:b/>
        </w:rPr>
      </w:pPr>
    </w:p>
    <w:p w14:paraId="0A7465F3" w14:textId="71B0272B" w:rsidR="00934041" w:rsidRDefault="00565132" w:rsidP="00934041">
      <w:pPr>
        <w:pStyle w:val="ListParagraph"/>
        <w:numPr>
          <w:ilvl w:val="0"/>
          <w:numId w:val="7"/>
        </w:numPr>
      </w:pPr>
      <w:r w:rsidRPr="00934041">
        <w:t>ENERGY PROJECT PRO</w:t>
      </w:r>
      <w:r w:rsidR="00934041">
        <w:t xml:space="preserve">POSAL FOR A </w:t>
      </w:r>
      <w:r w:rsidR="00DB5663">
        <w:t>LOW-INCOME</w:t>
      </w:r>
      <w:r w:rsidR="00934041">
        <w:t xml:space="preserve"> </w:t>
      </w:r>
    </w:p>
    <w:p w14:paraId="40DAF822" w14:textId="58D836F7" w:rsidR="00565132" w:rsidRPr="00934041" w:rsidRDefault="00934041" w:rsidP="00934041">
      <w:pPr>
        <w:ind w:left="360" w:firstLine="720"/>
      </w:pPr>
      <w:r>
        <w:t>ADVISOR</w:t>
      </w:r>
      <w:r w:rsidR="008C3A6F">
        <w:t>Y</w:t>
      </w:r>
      <w:r>
        <w:t xml:space="preserve"> </w:t>
      </w:r>
      <w:r w:rsidR="00565132" w:rsidRPr="00934041">
        <w:t>COMMITTEE</w:t>
      </w:r>
      <w:r>
        <w:t>. . . . . . . . . . . . . . . .</w:t>
      </w:r>
      <w:r w:rsidR="00BE50A9">
        <w:t xml:space="preserve"> . . . . . . . . . . . . . . . </w:t>
      </w:r>
      <w:r w:rsidR="00BE50A9">
        <w:tab/>
        <w:t>28</w:t>
      </w:r>
    </w:p>
    <w:p w14:paraId="6A81E0FC" w14:textId="550D6628" w:rsidR="00565132" w:rsidRDefault="00565132" w:rsidP="00565132">
      <w:pPr>
        <w:pStyle w:val="ListParagraph"/>
        <w:spacing w:line="480" w:lineRule="auto"/>
        <w:ind w:left="2160"/>
      </w:pPr>
    </w:p>
    <w:p w14:paraId="7E14F534" w14:textId="077A9F28" w:rsidR="00934041" w:rsidRDefault="00934041" w:rsidP="00934041">
      <w:pPr>
        <w:pStyle w:val="ListParagraph"/>
        <w:numPr>
          <w:ilvl w:val="0"/>
          <w:numId w:val="7"/>
        </w:numPr>
        <w:spacing w:line="480" w:lineRule="auto"/>
      </w:pPr>
      <w:r>
        <w:t>CONCLUSION . . . . . . . . . . . . . . . . . . . . . . . . . . . . . . . . . . . . . . . .</w:t>
      </w:r>
      <w:r w:rsidR="00BE50A9">
        <w:tab/>
      </w:r>
      <w:r w:rsidR="00072600">
        <w:t>31</w:t>
      </w:r>
    </w:p>
    <w:p w14:paraId="3BA0A578" w14:textId="77777777" w:rsidR="00F65B32" w:rsidRDefault="00F268F6" w:rsidP="00F65B32">
      <w:pPr>
        <w:pStyle w:val="ListParagraph"/>
        <w:spacing w:line="480" w:lineRule="auto"/>
        <w:ind w:left="1080"/>
        <w:jc w:val="center"/>
      </w:pPr>
      <w:r>
        <w:t>EXHIBIT LIST</w:t>
      </w:r>
    </w:p>
    <w:p w14:paraId="49791AE4" w14:textId="0778BC7E" w:rsidR="0013638A" w:rsidRDefault="00E35A59" w:rsidP="00FF3A70">
      <w:pPr>
        <w:spacing w:line="480" w:lineRule="auto"/>
      </w:pPr>
      <w:r>
        <w:t>Exh. SMC-2</w:t>
      </w:r>
      <w:r>
        <w:tab/>
      </w:r>
      <w:r w:rsidRPr="00F65B32">
        <w:rPr>
          <w:i/>
        </w:rPr>
        <w:t>Professional Qualifications</w:t>
      </w:r>
    </w:p>
    <w:p w14:paraId="38C55B9D" w14:textId="77777777" w:rsidR="00C979D6" w:rsidRDefault="00C979D6" w:rsidP="002C38B3">
      <w:pPr>
        <w:spacing w:line="480" w:lineRule="auto"/>
        <w:rPr>
          <w:b/>
        </w:rPr>
        <w:sectPr w:rsidR="00C979D6" w:rsidSect="00F46C13">
          <w:headerReference w:type="default" r:id="rId11"/>
          <w:footerReference w:type="default" r:id="rId12"/>
          <w:pgSz w:w="12240" w:h="15840"/>
          <w:pgMar w:top="1440" w:right="1800" w:bottom="1440" w:left="1800" w:header="720" w:footer="720" w:gutter="0"/>
          <w:pgNumType w:fmt="lowerRoman" w:start="1"/>
          <w:cols w:space="720"/>
          <w:titlePg/>
          <w:docGrid w:linePitch="326"/>
        </w:sectPr>
      </w:pPr>
    </w:p>
    <w:p w14:paraId="06587666" w14:textId="77777777" w:rsidR="004422D6" w:rsidRDefault="004422D6" w:rsidP="004357D2">
      <w:pPr>
        <w:spacing w:line="480" w:lineRule="auto"/>
        <w:jc w:val="center"/>
        <w:rPr>
          <w:b/>
        </w:rPr>
      </w:pPr>
      <w:r>
        <w:rPr>
          <w:b/>
        </w:rPr>
        <w:lastRenderedPageBreak/>
        <w:t>I.</w:t>
      </w:r>
      <w:r>
        <w:rPr>
          <w:b/>
        </w:rPr>
        <w:tab/>
        <w:t>INTRODUCTION</w:t>
      </w:r>
    </w:p>
    <w:p w14:paraId="0AC2CACD" w14:textId="1816464C" w:rsidR="00061921" w:rsidRDefault="00CD7FAA">
      <w:pPr>
        <w:spacing w:line="480" w:lineRule="auto"/>
      </w:pPr>
      <w:r>
        <w:rPr>
          <w:b/>
        </w:rPr>
        <w:t>Q:</w:t>
      </w:r>
      <w:r w:rsidR="00061921">
        <w:rPr>
          <w:b/>
        </w:rPr>
        <w:tab/>
        <w:t>Please state y</w:t>
      </w:r>
      <w:r w:rsidR="00E35A59">
        <w:rPr>
          <w:b/>
        </w:rPr>
        <w:t xml:space="preserve">our name and business address. </w:t>
      </w:r>
    </w:p>
    <w:p w14:paraId="6DEAC03C" w14:textId="1119D2CE" w:rsidR="00061921" w:rsidRDefault="00061921" w:rsidP="002B2D26">
      <w:pPr>
        <w:spacing w:line="480" w:lineRule="auto"/>
        <w:ind w:left="720" w:hanging="720"/>
      </w:pPr>
      <w:r w:rsidRPr="00CD7FAA">
        <w:t>A</w:t>
      </w:r>
      <w:r w:rsidR="00CD7FAA">
        <w:rPr>
          <w:b/>
        </w:rPr>
        <w:t>:</w:t>
      </w:r>
      <w:r>
        <w:tab/>
      </w:r>
      <w:r w:rsidR="000755DF">
        <w:t>My name is</w:t>
      </w:r>
      <w:r>
        <w:t xml:space="preserve"> Shawn Collins.  My business address is 3406 Redwood Avenue, Bellingham, WA 98225</w:t>
      </w:r>
      <w:r w:rsidR="00503838">
        <w:t>.</w:t>
      </w:r>
    </w:p>
    <w:p w14:paraId="61DDAC9D" w14:textId="553CD109" w:rsidR="00061921" w:rsidRDefault="00CD7FAA">
      <w:pPr>
        <w:spacing w:line="480" w:lineRule="auto"/>
        <w:ind w:left="720" w:hanging="720"/>
      </w:pPr>
      <w:r>
        <w:rPr>
          <w:b/>
        </w:rPr>
        <w:t>Q:</w:t>
      </w:r>
      <w:r w:rsidR="00061921">
        <w:rPr>
          <w:b/>
        </w:rPr>
        <w:tab/>
        <w:t xml:space="preserve">By whom are you employed and in what capacity?  </w:t>
      </w:r>
    </w:p>
    <w:p w14:paraId="1033F5C1" w14:textId="244FF07C" w:rsidR="002E038B" w:rsidRDefault="00061921" w:rsidP="002B2D26">
      <w:pPr>
        <w:spacing w:line="480" w:lineRule="auto"/>
        <w:ind w:left="720" w:hanging="720"/>
      </w:pPr>
      <w:r w:rsidRPr="00CD7FAA">
        <w:t>A</w:t>
      </w:r>
      <w:r w:rsidR="00CD7FAA" w:rsidRPr="00CD7FAA">
        <w:t>:</w:t>
      </w:r>
      <w:r>
        <w:tab/>
        <w:t xml:space="preserve">I am </w:t>
      </w:r>
      <w:r w:rsidR="00BB4309">
        <w:t>the</w:t>
      </w:r>
      <w:r w:rsidR="001C5184">
        <w:t xml:space="preserve"> Director of</w:t>
      </w:r>
      <w:r>
        <w:t xml:space="preserve"> The E</w:t>
      </w:r>
      <w:r w:rsidR="004422D6">
        <w:t>nergy Project</w:t>
      </w:r>
      <w:r w:rsidR="00BB4309">
        <w:t xml:space="preserve"> (TEP)</w:t>
      </w:r>
      <w:r w:rsidR="004422D6">
        <w:t xml:space="preserve">, </w:t>
      </w:r>
      <w:r w:rsidR="002535A2">
        <w:t>a pro</w:t>
      </w:r>
      <w:r w:rsidR="004357D2">
        <w:t xml:space="preserve">gram </w:t>
      </w:r>
      <w:r w:rsidR="002535A2">
        <w:t xml:space="preserve">of the Washington State Community Action Partnership housed at the </w:t>
      </w:r>
      <w:r>
        <w:t>Opportunity Council</w:t>
      </w:r>
      <w:r w:rsidR="002535A2">
        <w:t xml:space="preserve"> in Bellingham, WA</w:t>
      </w:r>
      <w:r>
        <w:t>.</w:t>
      </w:r>
      <w:r w:rsidR="001C5184">
        <w:t xml:space="preserve"> </w:t>
      </w:r>
    </w:p>
    <w:p w14:paraId="3467A41D" w14:textId="3EC0AFBE" w:rsidR="00061921" w:rsidRDefault="00CD7FAA" w:rsidP="002E038B">
      <w:pPr>
        <w:spacing w:line="480" w:lineRule="auto"/>
      </w:pPr>
      <w:r>
        <w:rPr>
          <w:b/>
        </w:rPr>
        <w:t>Q:</w:t>
      </w:r>
      <w:r w:rsidR="00061921">
        <w:rPr>
          <w:b/>
        </w:rPr>
        <w:tab/>
        <w:t xml:space="preserve">How long have you been employed </w:t>
      </w:r>
      <w:r w:rsidR="001C5184">
        <w:rPr>
          <w:b/>
        </w:rPr>
        <w:t xml:space="preserve">by </w:t>
      </w:r>
      <w:r w:rsidR="00747D97">
        <w:rPr>
          <w:b/>
        </w:rPr>
        <w:t xml:space="preserve">the </w:t>
      </w:r>
      <w:r w:rsidR="001C5184">
        <w:rPr>
          <w:b/>
        </w:rPr>
        <w:t>Opportunity Council.</w:t>
      </w:r>
      <w:r w:rsidR="00937D19">
        <w:rPr>
          <w:b/>
        </w:rPr>
        <w:t xml:space="preserve"> </w:t>
      </w:r>
    </w:p>
    <w:p w14:paraId="070FAC74" w14:textId="339E55CD" w:rsidR="002E038B" w:rsidRDefault="001C5184" w:rsidP="002B2D26">
      <w:pPr>
        <w:spacing w:line="480" w:lineRule="auto"/>
        <w:ind w:left="720" w:hanging="720"/>
      </w:pPr>
      <w:r w:rsidRPr="00CD7FAA">
        <w:t>A</w:t>
      </w:r>
      <w:r w:rsidR="00CD7FAA">
        <w:t>:</w:t>
      </w:r>
      <w:r>
        <w:tab/>
        <w:t xml:space="preserve">I have been employed by Opportunity Council since 2006. </w:t>
      </w:r>
    </w:p>
    <w:p w14:paraId="7F578F4A" w14:textId="3C7943C5" w:rsidR="00061921" w:rsidRDefault="00CD7FAA" w:rsidP="002E038B">
      <w:pPr>
        <w:spacing w:line="480" w:lineRule="auto"/>
      </w:pPr>
      <w:r>
        <w:rPr>
          <w:b/>
        </w:rPr>
        <w:t>Q:</w:t>
      </w:r>
      <w:r w:rsidR="00061921">
        <w:rPr>
          <w:b/>
        </w:rPr>
        <w:tab/>
        <w:t xml:space="preserve">Would you please state your educational and professional background?  </w:t>
      </w:r>
    </w:p>
    <w:p w14:paraId="5D211014" w14:textId="06D03701" w:rsidR="00C96C13" w:rsidRDefault="00CD7FAA" w:rsidP="00476048">
      <w:pPr>
        <w:spacing w:line="480" w:lineRule="auto"/>
        <w:ind w:left="720" w:hanging="720"/>
      </w:pPr>
      <w:r w:rsidRPr="00CD7FAA">
        <w:t>A</w:t>
      </w:r>
      <w:r>
        <w:rPr>
          <w:b/>
        </w:rPr>
        <w:t>:</w:t>
      </w:r>
      <w:r w:rsidR="00061921">
        <w:tab/>
      </w:r>
      <w:r w:rsidR="00476048" w:rsidRPr="007D55FF">
        <w:t xml:space="preserve">Attached as </w:t>
      </w:r>
      <w:r w:rsidR="00E96852" w:rsidRPr="007D55FF">
        <w:t>Exh</w:t>
      </w:r>
      <w:r w:rsidR="00E35A59">
        <w:t xml:space="preserve">. </w:t>
      </w:r>
      <w:r w:rsidR="000755DF" w:rsidRPr="007D55FF">
        <w:t>SMC-2</w:t>
      </w:r>
      <w:r w:rsidR="00476048" w:rsidRPr="007D55FF">
        <w:t xml:space="preserve"> is </w:t>
      </w:r>
      <w:r w:rsidR="000755DF" w:rsidRPr="007D55FF">
        <w:t xml:space="preserve">a statement of my </w:t>
      </w:r>
      <w:r w:rsidR="00476048" w:rsidRPr="007D55FF">
        <w:t>professional qualifications</w:t>
      </w:r>
      <w:r w:rsidR="00476048" w:rsidRPr="000755DF">
        <w:t>.</w:t>
      </w:r>
      <w:r w:rsidR="00476048">
        <w:t xml:space="preserve"> </w:t>
      </w:r>
      <w:r w:rsidR="00B3135C">
        <w:t xml:space="preserve"> </w:t>
      </w:r>
    </w:p>
    <w:p w14:paraId="5872B564" w14:textId="259F3557" w:rsidR="002B2D26" w:rsidRDefault="00CD7FAA" w:rsidP="002B2D26">
      <w:pPr>
        <w:tabs>
          <w:tab w:val="left" w:pos="5940"/>
        </w:tabs>
        <w:spacing w:line="480" w:lineRule="auto"/>
        <w:ind w:left="720" w:hanging="720"/>
      </w:pPr>
      <w:r>
        <w:rPr>
          <w:b/>
        </w:rPr>
        <w:t>Q:</w:t>
      </w:r>
      <w:r w:rsidR="00C96C13" w:rsidRPr="00C96C13">
        <w:rPr>
          <w:b/>
        </w:rPr>
        <w:tab/>
        <w:t>On whose behalf are you testifying?</w:t>
      </w:r>
    </w:p>
    <w:p w14:paraId="232EE576" w14:textId="2F6E069D" w:rsidR="00E805B0" w:rsidRDefault="00CD7FAA" w:rsidP="00E805B0">
      <w:pPr>
        <w:tabs>
          <w:tab w:val="left" w:pos="1440"/>
        </w:tabs>
        <w:spacing w:line="480" w:lineRule="auto"/>
        <w:ind w:left="720" w:hanging="720"/>
      </w:pPr>
      <w:r w:rsidRPr="00CD7FAA">
        <w:t>A</w:t>
      </w:r>
      <w:r>
        <w:rPr>
          <w:b/>
        </w:rPr>
        <w:t>:</w:t>
      </w:r>
      <w:r w:rsidR="002B2D26">
        <w:rPr>
          <w:b/>
        </w:rPr>
        <w:tab/>
      </w:r>
      <w:r w:rsidR="00C96C13">
        <w:t xml:space="preserve">I am testifying for </w:t>
      </w:r>
      <w:r w:rsidR="007D4C85">
        <w:t>TEP</w:t>
      </w:r>
      <w:r w:rsidR="001B7E7E">
        <w:t>, an interveno</w:t>
      </w:r>
      <w:r w:rsidR="00C96C13">
        <w:t>r in this proceeding</w:t>
      </w:r>
      <w:r w:rsidR="001B7E7E">
        <w:t>,</w:t>
      </w:r>
      <w:r w:rsidR="00C96C13">
        <w:t xml:space="preserve"> on behalf of the </w:t>
      </w:r>
      <w:r w:rsidR="007D4C85">
        <w:t xml:space="preserve">Community Action Partnership </w:t>
      </w:r>
      <w:r w:rsidR="00784DBB">
        <w:t xml:space="preserve">(CAP) </w:t>
      </w:r>
      <w:r w:rsidR="007D4C85">
        <w:t>organizations</w:t>
      </w:r>
      <w:r w:rsidR="00C96C13">
        <w:t xml:space="preserve"> that provide low-income energy efficiency and bill payment assistance for customers in </w:t>
      </w:r>
      <w:r w:rsidR="001B7E7E">
        <w:t xml:space="preserve">Puget Sound Energy’s </w:t>
      </w:r>
      <w:r w:rsidR="00C96C13">
        <w:t>service territory.</w:t>
      </w:r>
      <w:r w:rsidR="00BB5741">
        <w:t xml:space="preserve"> </w:t>
      </w:r>
      <w:r w:rsidR="00E96852">
        <w:t xml:space="preserve"> </w:t>
      </w:r>
      <w:r w:rsidR="00BB5741" w:rsidRPr="001B7E7E">
        <w:t>These agenc</w:t>
      </w:r>
      <w:r w:rsidR="00DE68C9" w:rsidRPr="001B7E7E">
        <w:t>ies include</w:t>
      </w:r>
      <w:r w:rsidR="001B7E7E" w:rsidRPr="001B7E7E">
        <w:t>:</w:t>
      </w:r>
      <w:r w:rsidR="003F322C">
        <w:t xml:space="preserve"> </w:t>
      </w:r>
      <w:r w:rsidR="00E96852">
        <w:t xml:space="preserve"> </w:t>
      </w:r>
      <w:r w:rsidR="003F322C" w:rsidRPr="00875FEE">
        <w:t xml:space="preserve">Centerstone; </w:t>
      </w:r>
      <w:r w:rsidR="00263E4C" w:rsidRPr="00875FEE">
        <w:t>Community</w:t>
      </w:r>
      <w:r w:rsidR="00875FEE">
        <w:t xml:space="preserve"> </w:t>
      </w:r>
      <w:r w:rsidR="0029504A" w:rsidRPr="00875FEE">
        <w:t xml:space="preserve">Action Council </w:t>
      </w:r>
      <w:r w:rsidR="003F322C" w:rsidRPr="00875FEE">
        <w:t>of Lewis, Mason, Thurston; Community Action of Skagit County; Hopelink; Hopesource; Metropolitan Development Council; Multi-Service Center; Kitsap Community Resources; Opportunity Council; Pierce County Community Action, and Snohomish County Community Action.</w:t>
      </w:r>
      <w:r w:rsidR="003F322C">
        <w:t xml:space="preserve"> </w:t>
      </w:r>
      <w:r w:rsidR="00E805B0">
        <w:br w:type="page"/>
      </w:r>
    </w:p>
    <w:p w14:paraId="45F51824" w14:textId="77777777" w:rsidR="004422D6" w:rsidRDefault="004422D6" w:rsidP="004357D2">
      <w:pPr>
        <w:spacing w:line="480" w:lineRule="auto"/>
        <w:jc w:val="center"/>
        <w:rPr>
          <w:b/>
        </w:rPr>
      </w:pPr>
      <w:r>
        <w:rPr>
          <w:b/>
        </w:rPr>
        <w:lastRenderedPageBreak/>
        <w:t>II.</w:t>
      </w:r>
      <w:r>
        <w:rPr>
          <w:b/>
        </w:rPr>
        <w:tab/>
      </w:r>
      <w:r w:rsidR="001B7E7E">
        <w:rPr>
          <w:b/>
        </w:rPr>
        <w:t>PURPOSE AND SUMMARY</w:t>
      </w:r>
      <w:r>
        <w:rPr>
          <w:b/>
        </w:rPr>
        <w:t xml:space="preserve"> OF TESTIMONY</w:t>
      </w:r>
    </w:p>
    <w:p w14:paraId="66AC0261" w14:textId="552A231C" w:rsidR="004422D6" w:rsidRDefault="00CD7FAA">
      <w:pPr>
        <w:spacing w:line="480" w:lineRule="auto"/>
        <w:ind w:left="720" w:hanging="720"/>
        <w:rPr>
          <w:b/>
        </w:rPr>
      </w:pPr>
      <w:r>
        <w:rPr>
          <w:b/>
        </w:rPr>
        <w:t>Q:</w:t>
      </w:r>
      <w:r w:rsidR="004422D6">
        <w:rPr>
          <w:b/>
        </w:rPr>
        <w:tab/>
        <w:t>What is the scope of your testimony?</w:t>
      </w:r>
    </w:p>
    <w:p w14:paraId="6FE43341" w14:textId="3BCDB430" w:rsidR="00CF1A60" w:rsidRDefault="004422D6" w:rsidP="00121C1A">
      <w:pPr>
        <w:spacing w:line="480" w:lineRule="auto"/>
        <w:ind w:left="720" w:hanging="720"/>
      </w:pPr>
      <w:r w:rsidRPr="00CD7FAA">
        <w:rPr>
          <w:bCs/>
        </w:rPr>
        <w:t>A</w:t>
      </w:r>
      <w:r w:rsidR="00CD7FAA" w:rsidRPr="00CD7FAA">
        <w:rPr>
          <w:bCs/>
        </w:rPr>
        <w:t>:</w:t>
      </w:r>
      <w:r>
        <w:tab/>
        <w:t xml:space="preserve">My testimony is </w:t>
      </w:r>
      <w:r w:rsidR="001B7E7E">
        <w:t xml:space="preserve">concerned with </w:t>
      </w:r>
      <w:r w:rsidR="00795144">
        <w:t xml:space="preserve">the PSE programs that provide </w:t>
      </w:r>
      <w:r w:rsidR="000808CC">
        <w:t>assistance to low-income customers in PSE’s service territory</w:t>
      </w:r>
      <w:r w:rsidR="000755DF">
        <w:t>,</w:t>
      </w:r>
      <w:r w:rsidR="00E96852">
        <w:t xml:space="preserve"> </w:t>
      </w:r>
      <w:r w:rsidR="000808CC">
        <w:t xml:space="preserve">as well as selected </w:t>
      </w:r>
      <w:r w:rsidR="001B7E7E">
        <w:t xml:space="preserve">issues in this docket </w:t>
      </w:r>
      <w:r>
        <w:t>that impact low-income populations</w:t>
      </w:r>
      <w:r w:rsidR="00256554">
        <w:t xml:space="preserve">.  </w:t>
      </w:r>
    </w:p>
    <w:p w14:paraId="208F33A9" w14:textId="0F058B12" w:rsidR="001B7E7E" w:rsidRDefault="00CD7FAA" w:rsidP="00121C1A">
      <w:pPr>
        <w:spacing w:line="480" w:lineRule="auto"/>
        <w:ind w:left="720" w:hanging="720"/>
        <w:rPr>
          <w:b/>
        </w:rPr>
      </w:pPr>
      <w:r>
        <w:rPr>
          <w:b/>
        </w:rPr>
        <w:t>Q:</w:t>
      </w:r>
      <w:r w:rsidR="001B7E7E">
        <w:tab/>
      </w:r>
      <w:r w:rsidR="001B7E7E" w:rsidRPr="001B7E7E">
        <w:rPr>
          <w:b/>
        </w:rPr>
        <w:t xml:space="preserve">Could you please summarize </w:t>
      </w:r>
      <w:r w:rsidR="000808CC">
        <w:rPr>
          <w:b/>
        </w:rPr>
        <w:t xml:space="preserve">your </w:t>
      </w:r>
      <w:r w:rsidR="001B7E7E" w:rsidRPr="001B7E7E">
        <w:rPr>
          <w:b/>
        </w:rPr>
        <w:t>testimony?</w:t>
      </w:r>
    </w:p>
    <w:p w14:paraId="30BD955D" w14:textId="35E9121F" w:rsidR="00D80208" w:rsidRDefault="00CD7FAA" w:rsidP="00121C1A">
      <w:pPr>
        <w:spacing w:line="480" w:lineRule="auto"/>
        <w:ind w:left="720" w:hanging="720"/>
      </w:pPr>
      <w:r w:rsidRPr="00CD7FAA">
        <w:t>A:</w:t>
      </w:r>
      <w:r w:rsidR="000808CC">
        <w:rPr>
          <w:b/>
        </w:rPr>
        <w:tab/>
      </w:r>
      <w:r w:rsidR="000808CC">
        <w:t xml:space="preserve">My testimony supports the recommendations of PSE witness Suzanne </w:t>
      </w:r>
      <w:r w:rsidR="00B6699B">
        <w:t xml:space="preserve">Sasville with regard to the PSE </w:t>
      </w:r>
      <w:r w:rsidR="008D70DA" w:rsidRPr="008D70DA">
        <w:t>Home Energy Lifeline Program (HELP)</w:t>
      </w:r>
      <w:r w:rsidR="00B6699B">
        <w:t xml:space="preserve">. </w:t>
      </w:r>
      <w:r w:rsidR="000808CC">
        <w:t xml:space="preserve"> In addition, my testimony addresses </w:t>
      </w:r>
      <w:r w:rsidR="00613460">
        <w:t xml:space="preserve">low-income weatherization </w:t>
      </w:r>
      <w:r w:rsidR="00D80208">
        <w:t xml:space="preserve">proposed increases to the customer charge, PSE’s Get To Zero initiative, decoupling, outreach, and </w:t>
      </w:r>
      <w:r w:rsidR="000808CC">
        <w:t xml:space="preserve">the proposal for a </w:t>
      </w:r>
      <w:r w:rsidR="00322CC8">
        <w:t>three-tier</w:t>
      </w:r>
      <w:r w:rsidR="00613460">
        <w:t xml:space="preserve"> rate structure.</w:t>
      </w:r>
    </w:p>
    <w:p w14:paraId="7417E8C0" w14:textId="20A04D77" w:rsidR="001B7E7E" w:rsidRPr="001B7E7E" w:rsidRDefault="000808CC" w:rsidP="00FA7286">
      <w:pPr>
        <w:spacing w:line="480" w:lineRule="auto"/>
        <w:ind w:left="720" w:firstLine="720"/>
      </w:pPr>
      <w:r>
        <w:t>The Energy Project recommends that a</w:t>
      </w:r>
      <w:r w:rsidR="00613F6F">
        <w:t xml:space="preserve"> PSE</w:t>
      </w:r>
      <w:r>
        <w:t xml:space="preserve"> </w:t>
      </w:r>
      <w:r w:rsidR="00D80208">
        <w:t xml:space="preserve">low-income advisory group </w:t>
      </w:r>
      <w:r>
        <w:t>be established to develop proposals to address some of these issues.</w:t>
      </w:r>
    </w:p>
    <w:p w14:paraId="5448F107" w14:textId="7E81CEB0" w:rsidR="00CF1A60" w:rsidRDefault="00505538" w:rsidP="001F3F39">
      <w:pPr>
        <w:ind w:left="720" w:hanging="720"/>
        <w:jc w:val="center"/>
        <w:rPr>
          <w:b/>
        </w:rPr>
      </w:pPr>
      <w:r>
        <w:rPr>
          <w:b/>
        </w:rPr>
        <w:t>III.</w:t>
      </w:r>
      <w:r>
        <w:rPr>
          <w:b/>
        </w:rPr>
        <w:tab/>
      </w:r>
      <w:r w:rsidR="00707C3E">
        <w:rPr>
          <w:b/>
        </w:rPr>
        <w:t>CHANGES TO PSE’S LOW-INCOME BILL ASSISTA</w:t>
      </w:r>
      <w:r w:rsidR="001F3F39">
        <w:rPr>
          <w:b/>
        </w:rPr>
        <w:t>NCE AND WEATHERIZATION PROGRAMS</w:t>
      </w:r>
    </w:p>
    <w:p w14:paraId="040F1701" w14:textId="77777777" w:rsidR="001F3F39" w:rsidRDefault="001F3F39" w:rsidP="001F3F39">
      <w:pPr>
        <w:ind w:left="720" w:hanging="720"/>
        <w:jc w:val="center"/>
        <w:rPr>
          <w:b/>
        </w:rPr>
      </w:pPr>
    </w:p>
    <w:p w14:paraId="52DE4235" w14:textId="31B0167A" w:rsidR="00B6699B" w:rsidRDefault="00B6699B" w:rsidP="0050369F">
      <w:pPr>
        <w:pStyle w:val="ListParagraph"/>
        <w:numPr>
          <w:ilvl w:val="0"/>
          <w:numId w:val="9"/>
        </w:numPr>
        <w:rPr>
          <w:b/>
        </w:rPr>
      </w:pPr>
      <w:r w:rsidRPr="004579E6">
        <w:rPr>
          <w:b/>
        </w:rPr>
        <w:t>PSE’S LOW-INCOME BILL ASSISTANCE PROGRAM AND THE LEVEL OF NEED.</w:t>
      </w:r>
    </w:p>
    <w:p w14:paraId="4B5B1EE3" w14:textId="77777777" w:rsidR="0050369F" w:rsidRPr="00945B9E" w:rsidRDefault="0050369F" w:rsidP="0050369F">
      <w:pPr>
        <w:pStyle w:val="ListParagraph"/>
        <w:rPr>
          <w:b/>
        </w:rPr>
      </w:pPr>
    </w:p>
    <w:p w14:paraId="166BE496" w14:textId="7E1BEF62" w:rsidR="001F3F39" w:rsidRDefault="00CD7FAA" w:rsidP="0095757B">
      <w:pPr>
        <w:spacing w:line="480" w:lineRule="auto"/>
        <w:ind w:left="720" w:hanging="720"/>
        <w:rPr>
          <w:b/>
        </w:rPr>
      </w:pPr>
      <w:r>
        <w:rPr>
          <w:b/>
        </w:rPr>
        <w:t>Q:</w:t>
      </w:r>
      <w:r w:rsidR="00367AFD" w:rsidRPr="00367AFD">
        <w:rPr>
          <w:b/>
        </w:rPr>
        <w:tab/>
        <w:t xml:space="preserve">Suzanne Sasville provides a brief overview of the </w:t>
      </w:r>
      <w:r w:rsidR="008D70DA">
        <w:rPr>
          <w:b/>
        </w:rPr>
        <w:t>PSE HELP</w:t>
      </w:r>
      <w:r w:rsidR="00367AFD">
        <w:rPr>
          <w:b/>
        </w:rPr>
        <w:t xml:space="preserve"> </w:t>
      </w:r>
      <w:r w:rsidR="00367AFD" w:rsidRPr="00367AFD">
        <w:rPr>
          <w:b/>
        </w:rPr>
        <w:t xml:space="preserve">in her testimony. </w:t>
      </w:r>
      <w:r w:rsidR="008D70DA">
        <w:rPr>
          <w:b/>
        </w:rPr>
        <w:t xml:space="preserve"> </w:t>
      </w:r>
      <w:r w:rsidR="00367AFD" w:rsidRPr="00367AFD">
        <w:rPr>
          <w:b/>
        </w:rPr>
        <w:t>Is that an accurate assessment of the program?</w:t>
      </w:r>
    </w:p>
    <w:p w14:paraId="05B5283C" w14:textId="4C763170" w:rsidR="008E5841" w:rsidRDefault="00CD7FAA" w:rsidP="008E5841">
      <w:pPr>
        <w:spacing w:line="480" w:lineRule="auto"/>
        <w:ind w:left="720" w:hanging="720"/>
      </w:pPr>
      <w:r w:rsidRPr="00CD7FAA">
        <w:t>A:</w:t>
      </w:r>
      <w:r w:rsidR="00367AFD">
        <w:rPr>
          <w:b/>
        </w:rPr>
        <w:tab/>
      </w:r>
      <w:r w:rsidR="00367AFD" w:rsidRPr="00367AFD">
        <w:t>Yes,</w:t>
      </w:r>
      <w:r w:rsidR="00367AFD">
        <w:rPr>
          <w:b/>
        </w:rPr>
        <w:t xml:space="preserve"> </w:t>
      </w:r>
      <w:r w:rsidR="00367AFD">
        <w:t>Ms. Sasville’s testimony provides an accurate assessment of the HELP program in her testimony</w:t>
      </w:r>
      <w:r w:rsidR="00DC54BC">
        <w:t xml:space="preserve"> from the perspective of TEP</w:t>
      </w:r>
      <w:r w:rsidR="00367AFD">
        <w:t>.</w:t>
      </w:r>
      <w:r w:rsidR="008E5841">
        <w:br w:type="page"/>
      </w:r>
    </w:p>
    <w:p w14:paraId="393B3C8E" w14:textId="6B8BE909" w:rsidR="009D63DF" w:rsidRDefault="00CD7FAA" w:rsidP="0095757B">
      <w:pPr>
        <w:spacing w:line="480" w:lineRule="auto"/>
        <w:ind w:left="720" w:hanging="720"/>
        <w:rPr>
          <w:b/>
        </w:rPr>
      </w:pPr>
      <w:r>
        <w:rPr>
          <w:b/>
        </w:rPr>
        <w:lastRenderedPageBreak/>
        <w:t>Q:</w:t>
      </w:r>
      <w:r w:rsidR="00BB5110">
        <w:rPr>
          <w:b/>
        </w:rPr>
        <w:tab/>
        <w:t xml:space="preserve">How would you assess the level of need for energy assistance in PSE’s service territory? </w:t>
      </w:r>
    </w:p>
    <w:p w14:paraId="57850587" w14:textId="27C0E887" w:rsidR="00113957" w:rsidRPr="00105AA3" w:rsidRDefault="00CD7FAA" w:rsidP="00BB5110">
      <w:pPr>
        <w:spacing w:line="480" w:lineRule="auto"/>
        <w:ind w:left="720" w:hanging="720"/>
        <w:rPr>
          <w:i/>
        </w:rPr>
      </w:pPr>
      <w:r w:rsidRPr="00CD7FAA">
        <w:t>A:</w:t>
      </w:r>
      <w:r w:rsidR="00BB5110">
        <w:tab/>
      </w:r>
      <w:r w:rsidR="00390FB4">
        <w:t>I agree with Ms. Sasville’s statement that there is unmet need in the Comp</w:t>
      </w:r>
      <w:r w:rsidR="00F21378">
        <w:t>any service territory</w:t>
      </w:r>
      <w:r w:rsidR="00390FB4">
        <w:rPr>
          <w:i/>
        </w:rPr>
        <w:t>.</w:t>
      </w:r>
      <w:r w:rsidR="00CD4BED">
        <w:rPr>
          <w:i/>
        </w:rPr>
        <w:t xml:space="preserve"> </w:t>
      </w:r>
      <w:r w:rsidR="00390FB4">
        <w:rPr>
          <w:i/>
        </w:rPr>
        <w:t xml:space="preserve"> </w:t>
      </w:r>
      <w:r w:rsidR="00113957">
        <w:t xml:space="preserve">The need is substantial.  </w:t>
      </w:r>
      <w:r w:rsidR="00BB5110">
        <w:t xml:space="preserve">It is important to keep in perspective, as she points out, that </w:t>
      </w:r>
      <w:r w:rsidR="00113957">
        <w:t xml:space="preserve">approximately </w:t>
      </w:r>
      <w:r w:rsidR="00F21378">
        <w:t xml:space="preserve">20 percent of </w:t>
      </w:r>
      <w:r w:rsidR="00BB5110">
        <w:t xml:space="preserve">PSE customers are at or below 150 percent of </w:t>
      </w:r>
      <w:r w:rsidR="004130C8">
        <w:t>Federal Poverty Level (FPL)</w:t>
      </w:r>
      <w:r w:rsidR="00113957">
        <w:t>, around a quarter of a million people.</w:t>
      </w:r>
      <w:r w:rsidR="00BB5110">
        <w:rPr>
          <w:rStyle w:val="FootnoteReference"/>
        </w:rPr>
        <w:footnoteReference w:id="1"/>
      </w:r>
      <w:r w:rsidR="00113957">
        <w:t xml:space="preserve">  </w:t>
      </w:r>
      <w:r w:rsidR="00105AA3">
        <w:t xml:space="preserve">Of this number, only about </w:t>
      </w:r>
      <w:r w:rsidR="00BC0101">
        <w:t xml:space="preserve">13 to </w:t>
      </w:r>
      <w:r w:rsidR="00F92AB5">
        <w:t>14 percent</w:t>
      </w:r>
      <w:r w:rsidR="00105AA3">
        <w:t xml:space="preserve"> receive assistance from the HELP program</w:t>
      </w:r>
      <w:r w:rsidR="00F92AB5">
        <w:t>.</w:t>
      </w:r>
      <w:r w:rsidR="00F92AB5">
        <w:rPr>
          <w:rStyle w:val="FootnoteReference"/>
        </w:rPr>
        <w:footnoteReference w:id="2"/>
      </w:r>
      <w:r w:rsidR="00105AA3">
        <w:rPr>
          <w:i/>
        </w:rPr>
        <w:t xml:space="preserve">  </w:t>
      </w:r>
      <w:r w:rsidR="00113957">
        <w:t xml:space="preserve">The significance of the 150 percent metric is that it is used to determine eligibility for the </w:t>
      </w:r>
      <w:r w:rsidR="00071F29">
        <w:t xml:space="preserve">PSE </w:t>
      </w:r>
      <w:r w:rsidR="00113957">
        <w:t xml:space="preserve">HELP program, and is also the metric used in </w:t>
      </w:r>
      <w:r w:rsidR="00071F29">
        <w:t xml:space="preserve">most </w:t>
      </w:r>
      <w:r w:rsidR="00113957">
        <w:t xml:space="preserve">other </w:t>
      </w:r>
      <w:r w:rsidR="004130C8">
        <w:t>investor-owned utility (IOU)</w:t>
      </w:r>
      <w:r w:rsidR="00113957">
        <w:t xml:space="preserve"> bill assistance programs in Washington.</w:t>
      </w:r>
    </w:p>
    <w:p w14:paraId="2531EC2E" w14:textId="5E0A0E73" w:rsidR="00105AA3" w:rsidRDefault="00113957" w:rsidP="00113957">
      <w:pPr>
        <w:spacing w:line="480" w:lineRule="auto"/>
        <w:ind w:left="720" w:firstLine="720"/>
      </w:pPr>
      <w:r>
        <w:t xml:space="preserve">While 150 percent of FPL is a useful metric at a practical level, it provides a quite conservative picture of the real low-income population.  Other analyses have </w:t>
      </w:r>
      <w:r w:rsidR="004130C8">
        <w:t xml:space="preserve">been </w:t>
      </w:r>
      <w:r>
        <w:t xml:space="preserve">developed to </w:t>
      </w:r>
      <w:r w:rsidR="00280DE1">
        <w:t>more</w:t>
      </w:r>
      <w:r>
        <w:t xml:space="preserve"> accurately capture the nature and extent of </w:t>
      </w:r>
      <w:r w:rsidR="00280DE1">
        <w:t>income insecurity</w:t>
      </w:r>
      <w:r>
        <w:t xml:space="preserve"> in Washington.  The Washington Self-Sufficiency Standard </w:t>
      </w:r>
      <w:r w:rsidR="008A6B9F">
        <w:t xml:space="preserve">(WSSS) </w:t>
      </w:r>
      <w:r w:rsidR="00105AA3">
        <w:t xml:space="preserve">developed at the University of Washington is one example.  This standard </w:t>
      </w:r>
      <w:r w:rsidR="0076463F">
        <w:t>describes how much income families of various sizes and compositions need to make ends meet without private or public assistance in each county of Washington</w:t>
      </w:r>
      <w:r w:rsidR="00105AA3">
        <w:t>.</w:t>
      </w:r>
      <w:r w:rsidR="008D70DA">
        <w:t xml:space="preserve"> </w:t>
      </w:r>
      <w:r w:rsidR="00222A50">
        <w:t xml:space="preserve"> </w:t>
      </w:r>
      <w:r w:rsidR="0076463F">
        <w:t xml:space="preserve">It is a measure of economic security that is based on the cost of basic needs for working families:  housing, child care, food, health care, </w:t>
      </w:r>
      <w:r w:rsidR="0076463F">
        <w:lastRenderedPageBreak/>
        <w:t>transportation and miscellaneous items as well as taxes and tax credits.</w:t>
      </w:r>
      <w:r w:rsidR="008A6B9F">
        <w:rPr>
          <w:rStyle w:val="FootnoteReference"/>
        </w:rPr>
        <w:footnoteReference w:id="3"/>
      </w:r>
      <w:r w:rsidR="0076463F">
        <w:t xml:space="preserve"> </w:t>
      </w:r>
      <w:r w:rsidR="008D70DA">
        <w:t xml:space="preserve"> </w:t>
      </w:r>
      <w:r w:rsidR="00105AA3">
        <w:t>The most recent</w:t>
      </w:r>
      <w:r w:rsidR="00B261EB">
        <w:t xml:space="preserve"> analysis by the WSSS observes:</w:t>
      </w:r>
    </w:p>
    <w:p w14:paraId="0B3FEA27" w14:textId="123FFE81" w:rsidR="00505538" w:rsidRDefault="00B261EB" w:rsidP="0050369F">
      <w:pPr>
        <w:pStyle w:val="Subtitle"/>
        <w:ind w:left="1440"/>
        <w:rPr>
          <w:rFonts w:ascii="Times New Roman" w:hAnsi="Times New Roman"/>
        </w:rPr>
      </w:pPr>
      <w:r w:rsidRPr="00B261EB">
        <w:rPr>
          <w:rFonts w:ascii="Times New Roman" w:hAnsi="Times New Roman"/>
        </w:rPr>
        <w:t xml:space="preserve">The Self-Sufficiency Standard for Washington State 2014 defines the income needed to realistically support a family, without public or private assistance. For most workers throughout Washington State the Self-Sufficiency Standard shows that earnings well above the official </w:t>
      </w:r>
      <w:r w:rsidR="004130C8">
        <w:rPr>
          <w:rFonts w:ascii="Times New Roman" w:hAnsi="Times New Roman"/>
        </w:rPr>
        <w:t>Federal Poverty Level</w:t>
      </w:r>
      <w:r w:rsidRPr="00B261EB">
        <w:rPr>
          <w:rFonts w:ascii="Times New Roman" w:hAnsi="Times New Roman"/>
        </w:rPr>
        <w:t xml:space="preserve"> are nevertheless far below what is needed to meet families’ basic needs.</w:t>
      </w:r>
      <w:r w:rsidR="008A6B9F">
        <w:rPr>
          <w:rStyle w:val="FootnoteReference"/>
          <w:rFonts w:ascii="Times New Roman" w:hAnsi="Times New Roman"/>
        </w:rPr>
        <w:footnoteReference w:id="4"/>
      </w:r>
    </w:p>
    <w:p w14:paraId="3C135096" w14:textId="77777777" w:rsidR="006F1E92" w:rsidRPr="006F1E92" w:rsidRDefault="006F1E92" w:rsidP="006F1E92"/>
    <w:p w14:paraId="320F9A0C" w14:textId="36ABD7A6" w:rsidR="00B261EB" w:rsidRDefault="00B261EB" w:rsidP="00113957">
      <w:pPr>
        <w:spacing w:line="480" w:lineRule="auto"/>
        <w:ind w:left="720" w:firstLine="720"/>
      </w:pPr>
      <w:r>
        <w:t xml:space="preserve">For example, the WSSS finds that for a </w:t>
      </w:r>
      <w:r w:rsidR="00505538">
        <w:t>three-person</w:t>
      </w:r>
      <w:r>
        <w:t xml:space="preserve"> household with one adult, one preschooler, and one school age child, the income required for self-sufficiency </w:t>
      </w:r>
      <w:r w:rsidR="001740D0">
        <w:t xml:space="preserve">in Thurston County </w:t>
      </w:r>
      <w:r>
        <w:t xml:space="preserve">is 264 percent of the </w:t>
      </w:r>
      <w:r w:rsidR="004130C8">
        <w:t>Federal Poverty Level</w:t>
      </w:r>
      <w:r>
        <w:t>, in South King County 327 percent, and in Kittitas County</w:t>
      </w:r>
      <w:r w:rsidR="001740D0">
        <w:t xml:space="preserve"> 240 percent.</w:t>
      </w:r>
      <w:r w:rsidR="001740D0">
        <w:rPr>
          <w:rStyle w:val="FootnoteReference"/>
        </w:rPr>
        <w:footnoteReference w:id="5"/>
      </w:r>
      <w:r w:rsidR="001740D0">
        <w:t xml:space="preserve"> </w:t>
      </w:r>
    </w:p>
    <w:p w14:paraId="1B959534" w14:textId="34F4D3D8" w:rsidR="00113957" w:rsidRPr="00105AA3" w:rsidRDefault="00105AA3" w:rsidP="00113957">
      <w:pPr>
        <w:spacing w:line="480" w:lineRule="auto"/>
        <w:ind w:left="720" w:firstLine="720"/>
      </w:pPr>
      <w:r>
        <w:t>The United Way ALICE reports provide another perspective</w:t>
      </w:r>
      <w:r w:rsidR="00C807CA">
        <w:t xml:space="preserve"> on</w:t>
      </w:r>
      <w:r w:rsidR="00FD5234">
        <w:t xml:space="preserve"> </w:t>
      </w:r>
      <w:r w:rsidR="00365195">
        <w:t>household economics in Washington</w:t>
      </w:r>
      <w:r>
        <w:t xml:space="preserve">.  </w:t>
      </w:r>
      <w:r w:rsidR="00222A50">
        <w:t>ALICE is an acronym that stands for Asset Limite</w:t>
      </w:r>
      <w:r w:rsidR="00F858FC">
        <w:t>d, Income Constrained, Employed.  This population comprises</w:t>
      </w:r>
      <w:r w:rsidR="00222A50">
        <w:t xml:space="preserve"> households with income above the </w:t>
      </w:r>
      <w:r w:rsidR="004130C8">
        <w:t>Federal Poverty Level</w:t>
      </w:r>
      <w:r w:rsidR="00222A50">
        <w:t xml:space="preserve"> but below the basic cost of living.</w:t>
      </w:r>
      <w:r>
        <w:t xml:space="preserve"> </w:t>
      </w:r>
      <w:r w:rsidR="00917E26">
        <w:t xml:space="preserve"> </w:t>
      </w:r>
      <w:r>
        <w:t xml:space="preserve">The ALICE reports </w:t>
      </w:r>
      <w:r w:rsidR="00222A50">
        <w:t>calculate t</w:t>
      </w:r>
      <w:r w:rsidR="009D1661">
        <w:t xml:space="preserve">he </w:t>
      </w:r>
      <w:r w:rsidR="00222A50">
        <w:t>“</w:t>
      </w:r>
      <w:r w:rsidR="009D1661">
        <w:t>ALICE Threshold</w:t>
      </w:r>
      <w:r w:rsidR="00222A50">
        <w:t xml:space="preserve">”, </w:t>
      </w:r>
      <w:r w:rsidR="009D1661">
        <w:t xml:space="preserve">the average level of income that a household needs to afford the basics defined by the </w:t>
      </w:r>
      <w:r w:rsidR="00222A50">
        <w:t xml:space="preserve">ALICE </w:t>
      </w:r>
      <w:r w:rsidR="009D1661">
        <w:t>Household Survival Budget for each county in the Pacific Northwest.</w:t>
      </w:r>
      <w:r w:rsidR="00F30F80">
        <w:rPr>
          <w:rStyle w:val="FootnoteReference"/>
        </w:rPr>
        <w:footnoteReference w:id="6"/>
      </w:r>
      <w:r w:rsidR="00F30F80">
        <w:t xml:space="preserve"> </w:t>
      </w:r>
      <w:r w:rsidR="00222A50">
        <w:t xml:space="preserve"> The </w:t>
      </w:r>
      <w:r w:rsidR="00365195">
        <w:t>Household Survival Data</w:t>
      </w:r>
      <w:r w:rsidR="00222A50">
        <w:t xml:space="preserve"> </w:t>
      </w:r>
      <w:r w:rsidR="00365195">
        <w:t>snapshot page for each county</w:t>
      </w:r>
      <w:r w:rsidR="00D32678">
        <w:t xml:space="preserve"> </w:t>
      </w:r>
      <w:r w:rsidR="00E15CAA">
        <w:t>describes</w:t>
      </w:r>
      <w:r w:rsidR="00D32678">
        <w:t xml:space="preserve"> a “bare minimum budget </w:t>
      </w:r>
      <w:r w:rsidR="00C807CA">
        <w:t>[that] does not allow for any savings, leaving household vulnerable to unexpected expenses.”</w:t>
      </w:r>
      <w:r w:rsidR="00C807CA">
        <w:rPr>
          <w:rStyle w:val="FootnoteReference"/>
        </w:rPr>
        <w:footnoteReference w:id="7"/>
      </w:r>
      <w:r w:rsidR="00917E26">
        <w:t xml:space="preserve">  </w:t>
      </w:r>
      <w:r w:rsidR="00365195">
        <w:lastRenderedPageBreak/>
        <w:t xml:space="preserve">For Thurston County, for example, the ALICE report </w:t>
      </w:r>
      <w:r w:rsidR="00C807CA">
        <w:t xml:space="preserve">calculates a survival budget of $56,136 for a household with two adults, one preschooler, and one infant.  Using a </w:t>
      </w:r>
      <w:r w:rsidR="004130C8">
        <w:t>Federal Poverty Level</w:t>
      </w:r>
      <w:r w:rsidR="00C807CA">
        <w:t xml:space="preserve"> for that size household of $23,550, a minimal survival budget in Thurston County is 238 percent of FPL under the ALICE methodology.</w:t>
      </w:r>
      <w:r w:rsidR="00F858FC">
        <w:rPr>
          <w:rStyle w:val="FootnoteReference"/>
        </w:rPr>
        <w:footnoteReference w:id="8"/>
      </w:r>
      <w:r w:rsidR="00C807CA">
        <w:t xml:space="preserve"> </w:t>
      </w:r>
    </w:p>
    <w:p w14:paraId="5489B35F" w14:textId="16BFE497" w:rsidR="00113957" w:rsidRDefault="00113957" w:rsidP="00BB5110">
      <w:pPr>
        <w:spacing w:line="480" w:lineRule="auto"/>
        <w:ind w:left="720" w:hanging="720"/>
      </w:pPr>
      <w:r>
        <w:tab/>
      </w:r>
      <w:r w:rsidR="00737C6C">
        <w:tab/>
        <w:t xml:space="preserve">The picture of the low-income population in PSE’s service territory provided by these different metrics provides essential context </w:t>
      </w:r>
      <w:r w:rsidR="00E76467">
        <w:t>for evaluating the need for low-</w:t>
      </w:r>
      <w:r w:rsidR="00737C6C">
        <w:t xml:space="preserve">income programs, as well as for more broadly evaluating the impact of PSE’s rate proposals in this case.  </w:t>
      </w:r>
    </w:p>
    <w:p w14:paraId="41B3284A" w14:textId="318760AA" w:rsidR="009F52AC" w:rsidRPr="004579E6" w:rsidRDefault="004579E6" w:rsidP="004579E6">
      <w:pPr>
        <w:spacing w:line="480" w:lineRule="auto"/>
        <w:ind w:firstLine="720"/>
        <w:rPr>
          <w:b/>
        </w:rPr>
      </w:pPr>
      <w:r w:rsidRPr="004579E6">
        <w:rPr>
          <w:b/>
        </w:rPr>
        <w:t>B.</w:t>
      </w:r>
      <w:r w:rsidRPr="004579E6">
        <w:rPr>
          <w:b/>
        </w:rPr>
        <w:tab/>
        <w:t>PROPOSED INCREASE FOR HELP FUNDING</w:t>
      </w:r>
      <w:r>
        <w:rPr>
          <w:b/>
        </w:rPr>
        <w:t>.</w:t>
      </w:r>
    </w:p>
    <w:p w14:paraId="01FBD819" w14:textId="42D1FD65" w:rsidR="009D63DF" w:rsidRDefault="00CD7FAA" w:rsidP="0095757B">
      <w:pPr>
        <w:spacing w:line="480" w:lineRule="auto"/>
        <w:ind w:left="720" w:hanging="720"/>
        <w:rPr>
          <w:b/>
        </w:rPr>
      </w:pPr>
      <w:r>
        <w:rPr>
          <w:b/>
        </w:rPr>
        <w:t>Q:</w:t>
      </w:r>
      <w:r w:rsidR="00367AFD" w:rsidRPr="00367AFD">
        <w:rPr>
          <w:b/>
        </w:rPr>
        <w:tab/>
        <w:t xml:space="preserve">Suzanne Sasville provides </w:t>
      </w:r>
      <w:r w:rsidR="00367AFD">
        <w:rPr>
          <w:b/>
        </w:rPr>
        <w:t>testimony in support of an overall increase in f</w:t>
      </w:r>
      <w:r w:rsidR="000755DF">
        <w:rPr>
          <w:b/>
        </w:rPr>
        <w:t>u</w:t>
      </w:r>
      <w:r w:rsidR="00367AFD">
        <w:rPr>
          <w:b/>
        </w:rPr>
        <w:t xml:space="preserve">nding </w:t>
      </w:r>
      <w:r w:rsidR="000755DF">
        <w:rPr>
          <w:b/>
        </w:rPr>
        <w:t>for</w:t>
      </w:r>
      <w:r w:rsidR="00367AFD">
        <w:rPr>
          <w:b/>
        </w:rPr>
        <w:t xml:space="preserve"> the PSE HELP Program. </w:t>
      </w:r>
      <w:r w:rsidR="0050369F">
        <w:rPr>
          <w:b/>
        </w:rPr>
        <w:t xml:space="preserve"> </w:t>
      </w:r>
      <w:r w:rsidR="00367AFD">
        <w:rPr>
          <w:b/>
        </w:rPr>
        <w:t xml:space="preserve">What is your response to </w:t>
      </w:r>
      <w:r w:rsidR="003D7080">
        <w:rPr>
          <w:b/>
        </w:rPr>
        <w:t>this?</w:t>
      </w:r>
    </w:p>
    <w:p w14:paraId="34706E93" w14:textId="0BD1BEB2" w:rsidR="003D7080" w:rsidRDefault="00CD7FAA" w:rsidP="00367AFD">
      <w:pPr>
        <w:spacing w:line="480" w:lineRule="auto"/>
        <w:ind w:left="720" w:hanging="720"/>
      </w:pPr>
      <w:r w:rsidRPr="00CD7FAA">
        <w:t>A:</w:t>
      </w:r>
      <w:r w:rsidR="003D7080">
        <w:rPr>
          <w:b/>
        </w:rPr>
        <w:tab/>
      </w:r>
      <w:r w:rsidR="003D7080">
        <w:t>TEP is in support of PSE’s re</w:t>
      </w:r>
      <w:r w:rsidR="00E03DE3">
        <w:t>quest to increase funding to</w:t>
      </w:r>
      <w:r w:rsidR="003D7080">
        <w:t xml:space="preserve"> HELP by twice the percentage of the overall rate increase to residential customers</w:t>
      </w:r>
      <w:r w:rsidR="00BD6E99">
        <w:t xml:space="preserve"> for both the gas and </w:t>
      </w:r>
      <w:r w:rsidR="003D7080">
        <w:t>electric</w:t>
      </w:r>
      <w:r w:rsidR="00BD6E99">
        <w:t xml:space="preserve"> customers.  Additionally, TEP also supports</w:t>
      </w:r>
      <w:r w:rsidR="004E1974">
        <w:t xml:space="preserve"> Ms. Sasville’s recommendation that</w:t>
      </w:r>
      <w:r w:rsidR="00E03DE3">
        <w:t xml:space="preserve"> there be</w:t>
      </w:r>
      <w:r w:rsidR="00BD6E99">
        <w:t xml:space="preserve"> no reduction in the available HELP funding in the event of an overall rate </w:t>
      </w:r>
      <w:r w:rsidR="0067417F">
        <w:t>decrease</w:t>
      </w:r>
      <w:r w:rsidR="00BD6E99">
        <w:t xml:space="preserve"> as a result of this proceeding.</w:t>
      </w:r>
    </w:p>
    <w:p w14:paraId="584EDBF6" w14:textId="6ED55A32" w:rsidR="0063542A" w:rsidRDefault="00CD7FAA" w:rsidP="00367AFD">
      <w:pPr>
        <w:spacing w:line="480" w:lineRule="auto"/>
        <w:ind w:left="720" w:hanging="720"/>
        <w:rPr>
          <w:b/>
        </w:rPr>
      </w:pPr>
      <w:r>
        <w:rPr>
          <w:b/>
        </w:rPr>
        <w:t>Q:</w:t>
      </w:r>
      <w:r w:rsidR="0063542A">
        <w:rPr>
          <w:b/>
        </w:rPr>
        <w:tab/>
        <w:t>Why do you believe the proposal for increased funding is reasonable?</w:t>
      </w:r>
    </w:p>
    <w:p w14:paraId="64594F0C" w14:textId="0CB1908E" w:rsidR="007C6EDE" w:rsidRPr="0016509D" w:rsidRDefault="00CD7FAA" w:rsidP="00367AFD">
      <w:pPr>
        <w:spacing w:line="480" w:lineRule="auto"/>
        <w:ind w:left="720" w:hanging="720"/>
      </w:pPr>
      <w:r w:rsidRPr="00CD7FAA">
        <w:t>A:</w:t>
      </w:r>
      <w:r w:rsidR="0063542A">
        <w:tab/>
        <w:t xml:space="preserve">The Commission recognized in its 2013 Rate Plan Order that </w:t>
      </w:r>
      <w:r w:rsidR="00B5255B">
        <w:t>“</w:t>
      </w:r>
      <w:r w:rsidR="009A41FD">
        <w:t>any rate increase</w:t>
      </w:r>
      <w:r w:rsidR="00B5255B">
        <w:t>, no matter how small, has a disproportionate impact on PSE’s low-income customers.”</w:t>
      </w:r>
      <w:r w:rsidR="00B5255B">
        <w:rPr>
          <w:rStyle w:val="FootnoteReference"/>
        </w:rPr>
        <w:footnoteReference w:id="9"/>
      </w:r>
      <w:r w:rsidR="009A41FD">
        <w:t xml:space="preserve">  </w:t>
      </w:r>
      <w:r w:rsidR="00B5255B">
        <w:t xml:space="preserve">The Commission also observed that programs for low-income bill </w:t>
      </w:r>
      <w:r w:rsidR="00B5255B">
        <w:lastRenderedPageBreak/>
        <w:t>assistance are “chronically underfunded.”</w:t>
      </w:r>
      <w:r w:rsidR="00B5255B">
        <w:rPr>
          <w:rStyle w:val="FootnoteReference"/>
        </w:rPr>
        <w:footnoteReference w:id="10"/>
      </w:r>
      <w:r w:rsidR="009A41FD">
        <w:t xml:space="preserve">  </w:t>
      </w:r>
      <w:r w:rsidR="007C6EDE">
        <w:t xml:space="preserve">The increases proposed here by PSE will help to address these concerns.  </w:t>
      </w:r>
      <w:r w:rsidR="0034785D">
        <w:t>T</w:t>
      </w:r>
      <w:r w:rsidR="007C6EDE">
        <w:t>he</w:t>
      </w:r>
      <w:r w:rsidR="003C2309">
        <w:t xml:space="preserve"> magnitude of the </w:t>
      </w:r>
      <w:r w:rsidR="007C6EDE">
        <w:t xml:space="preserve">unmet need </w:t>
      </w:r>
      <w:r w:rsidR="003C2309">
        <w:t xml:space="preserve">in PSE’s service territory </w:t>
      </w:r>
      <w:r w:rsidR="007C6EDE">
        <w:t>discussed above, and in Ms. Sasville’s testimony</w:t>
      </w:r>
      <w:r w:rsidR="003C2309">
        <w:t xml:space="preserve">, </w:t>
      </w:r>
      <w:r w:rsidR="0034785D">
        <w:t>further provides a</w:t>
      </w:r>
      <w:r w:rsidR="003C2309">
        <w:t xml:space="preserve"> strong justification for this increase</w:t>
      </w:r>
      <w:r w:rsidR="003C2309" w:rsidRPr="0016509D">
        <w:t xml:space="preserve">. </w:t>
      </w:r>
      <w:r w:rsidR="000755DF" w:rsidRPr="0016509D">
        <w:t xml:space="preserve"> An increase in bill assistance of twice the percentage of the residential increase has been approved</w:t>
      </w:r>
      <w:r w:rsidR="00A459AD">
        <w:t xml:space="preserve"> as reasonable </w:t>
      </w:r>
      <w:r w:rsidR="000755DF" w:rsidRPr="0016509D">
        <w:t xml:space="preserve">by the Commission </w:t>
      </w:r>
      <w:r w:rsidR="0016509D">
        <w:t>for other Washington companies</w:t>
      </w:r>
      <w:r w:rsidR="000755DF" w:rsidRPr="0016509D">
        <w:t>.</w:t>
      </w:r>
      <w:r w:rsidR="00A923A7">
        <w:rPr>
          <w:rStyle w:val="FootnoteReference"/>
        </w:rPr>
        <w:footnoteReference w:id="11"/>
      </w:r>
    </w:p>
    <w:p w14:paraId="513A61AA" w14:textId="6AEFE8B5" w:rsidR="006D1732" w:rsidRDefault="00492AA4" w:rsidP="003C2309">
      <w:pPr>
        <w:spacing w:line="480" w:lineRule="auto"/>
        <w:ind w:left="720" w:firstLine="720"/>
      </w:pPr>
      <w:r>
        <w:t>T</w:t>
      </w:r>
      <w:r w:rsidR="00B5255B">
        <w:t>he Commission approved increase</w:t>
      </w:r>
      <w:r w:rsidR="009A41FD">
        <w:t>s</w:t>
      </w:r>
      <w:r w:rsidR="00B5255B">
        <w:t xml:space="preserve"> to HELP funding in </w:t>
      </w:r>
      <w:r w:rsidR="00EF3DBF">
        <w:t>i</w:t>
      </w:r>
      <w:r w:rsidR="003C2309">
        <w:t xml:space="preserve">ts 2012 Rate Plan </w:t>
      </w:r>
      <w:r w:rsidR="00B5255B">
        <w:t xml:space="preserve">Order </w:t>
      </w:r>
      <w:r w:rsidR="009A41FD">
        <w:t xml:space="preserve">to </w:t>
      </w:r>
      <w:r w:rsidR="00371BED">
        <w:t xml:space="preserve">“help </w:t>
      </w:r>
      <w:r w:rsidR="009A41FD">
        <w:t xml:space="preserve">offset </w:t>
      </w:r>
      <w:r w:rsidR="00371BED">
        <w:t xml:space="preserve">the disproportionate </w:t>
      </w:r>
      <w:r w:rsidR="009A41FD">
        <w:t>impact of decoupling on low-income customers.</w:t>
      </w:r>
      <w:r>
        <w:t>”</w:t>
      </w:r>
      <w:r>
        <w:rPr>
          <w:rStyle w:val="FootnoteReference"/>
        </w:rPr>
        <w:footnoteReference w:id="12"/>
      </w:r>
      <w:r w:rsidR="009A41FD">
        <w:t xml:space="preserve">  In this 2017 rate request, PSE is proposing to continue its decoupling mechanism, with modifications that could double its impact on rates, as compared with the original mechanism.  PSE is also proposing </w:t>
      </w:r>
      <w:r w:rsidR="009F78FD">
        <w:t xml:space="preserve">to retain the Expedited Rate Filing, and to add </w:t>
      </w:r>
      <w:r w:rsidR="009A41FD">
        <w:t xml:space="preserve">a new mechanism, the ECRM, </w:t>
      </w:r>
      <w:r w:rsidR="00AC5A70">
        <w:t xml:space="preserve">both </w:t>
      </w:r>
      <w:r w:rsidR="009F78FD">
        <w:t xml:space="preserve">of which </w:t>
      </w:r>
      <w:r w:rsidR="00A459AD">
        <w:t xml:space="preserve">may </w:t>
      </w:r>
      <w:r w:rsidR="009A41FD">
        <w:t xml:space="preserve">put </w:t>
      </w:r>
      <w:r w:rsidR="00AC5A70">
        <w:t xml:space="preserve">added </w:t>
      </w:r>
      <w:r w:rsidR="009A41FD">
        <w:t>upward pressure on rates.</w:t>
      </w:r>
    </w:p>
    <w:p w14:paraId="47C19C96" w14:textId="31D3843F" w:rsidR="006D1732" w:rsidRPr="006D1732" w:rsidRDefault="00CD7FAA" w:rsidP="006D1732">
      <w:pPr>
        <w:spacing w:line="480" w:lineRule="auto"/>
        <w:rPr>
          <w:b/>
        </w:rPr>
      </w:pPr>
      <w:r>
        <w:rPr>
          <w:b/>
        </w:rPr>
        <w:t>Q:</w:t>
      </w:r>
      <w:r w:rsidR="006D1732">
        <w:rPr>
          <w:b/>
        </w:rPr>
        <w:tab/>
        <w:t>Would the PSE proposal offset all the rate increases proposed in this case?</w:t>
      </w:r>
    </w:p>
    <w:p w14:paraId="69A0FA8F" w14:textId="1DE7CAA4" w:rsidR="0063542A" w:rsidRDefault="00AF7E6B" w:rsidP="00806849">
      <w:pPr>
        <w:spacing w:line="480" w:lineRule="auto"/>
        <w:ind w:left="720"/>
      </w:pPr>
      <w:r>
        <w:t>The HELP increase prop</w:t>
      </w:r>
      <w:r w:rsidR="006D1732">
        <w:t>osed by Ms. Sasville addresses the “overall percent rate increase to the residential class that is approved by the Commission in th</w:t>
      </w:r>
      <w:r w:rsidR="00C044BA">
        <w:t xml:space="preserve">is case.”  </w:t>
      </w:r>
      <w:r w:rsidR="00803174">
        <w:t xml:space="preserve">Mr. Piliaris updates the proposed base rate changes </w:t>
      </w:r>
      <w:r w:rsidR="00CE7949">
        <w:t xml:space="preserve">to show </w:t>
      </w:r>
      <w:r w:rsidR="00803174">
        <w:t>an 8.2 percent increase for residential rates</w:t>
      </w:r>
      <w:r w:rsidR="006D1732">
        <w:t>.</w:t>
      </w:r>
      <w:r w:rsidR="00A459AD">
        <w:rPr>
          <w:rStyle w:val="FootnoteReference"/>
        </w:rPr>
        <w:footnoteReference w:id="13"/>
      </w:r>
      <w:r w:rsidR="00A459AD">
        <w:t xml:space="preserve">  </w:t>
      </w:r>
      <w:r w:rsidR="00C044BA">
        <w:t xml:space="preserve">However, </w:t>
      </w:r>
      <w:r w:rsidR="006D1732">
        <w:t xml:space="preserve">PSE’s ERF proposal and its ECRM proposal may result in additional increases to rates in the future, prior to the next </w:t>
      </w:r>
      <w:r w:rsidR="006D1732">
        <w:lastRenderedPageBreak/>
        <w:t>rate case, that would not be included in the impact</w:t>
      </w:r>
      <w:r w:rsidR="00C044BA">
        <w:t xml:space="preserve">s described by Mr. Piliaris.  </w:t>
      </w:r>
      <w:r w:rsidR="0076046E">
        <w:t xml:space="preserve">To the extent the </w:t>
      </w:r>
      <w:r w:rsidR="00AC5A70">
        <w:t xml:space="preserve">HELP increases proposed </w:t>
      </w:r>
      <w:r w:rsidR="0076046E">
        <w:t xml:space="preserve">do not take those future increases into account, they represent a conservative level of offset to the </w:t>
      </w:r>
      <w:r w:rsidR="00CE7949">
        <w:t xml:space="preserve">potential full </w:t>
      </w:r>
      <w:r w:rsidR="0076046E">
        <w:t>impact of the PSE proposals</w:t>
      </w:r>
      <w:r w:rsidR="00CE7949">
        <w:t xml:space="preserve"> in this case</w:t>
      </w:r>
      <w:r w:rsidR="0076046E">
        <w:t xml:space="preserve">. </w:t>
      </w:r>
      <w:r w:rsidR="0038202C">
        <w:t xml:space="preserve"> It may be appropriate to revisit HELP funding levels if these mechanisms result in significant additional rate increases. </w:t>
      </w:r>
    </w:p>
    <w:p w14:paraId="5FB9B708" w14:textId="77FEEFE5" w:rsidR="009F52AC" w:rsidRPr="002D36E2" w:rsidRDefault="002D36E2" w:rsidP="002D36E2">
      <w:pPr>
        <w:spacing w:line="480" w:lineRule="auto"/>
        <w:ind w:left="720"/>
        <w:rPr>
          <w:b/>
        </w:rPr>
      </w:pPr>
      <w:r w:rsidRPr="002D36E2">
        <w:rPr>
          <w:b/>
        </w:rPr>
        <w:t>C.</w:t>
      </w:r>
      <w:r w:rsidRPr="002D36E2">
        <w:rPr>
          <w:b/>
        </w:rPr>
        <w:tab/>
        <w:t>ADJUSTMENT OF THE HELP ELECTRIC/GAS RATIO</w:t>
      </w:r>
      <w:r>
        <w:rPr>
          <w:b/>
        </w:rPr>
        <w:t>.</w:t>
      </w:r>
    </w:p>
    <w:p w14:paraId="694B73A4" w14:textId="4B6A0280" w:rsidR="009D63DF" w:rsidRDefault="00CD7FAA" w:rsidP="0095757B">
      <w:pPr>
        <w:spacing w:line="480" w:lineRule="auto"/>
        <w:ind w:left="720" w:hanging="720"/>
        <w:rPr>
          <w:b/>
        </w:rPr>
      </w:pPr>
      <w:r>
        <w:rPr>
          <w:b/>
        </w:rPr>
        <w:t>Q:</w:t>
      </w:r>
      <w:r w:rsidR="00E03DE3" w:rsidRPr="00E03DE3">
        <w:rPr>
          <w:b/>
        </w:rPr>
        <w:tab/>
        <w:t xml:space="preserve">Does </w:t>
      </w:r>
      <w:r w:rsidR="00E03DE3">
        <w:rPr>
          <w:b/>
        </w:rPr>
        <w:t xml:space="preserve">TEP support PSE’s </w:t>
      </w:r>
      <w:r w:rsidR="00E03DE3" w:rsidRPr="00E03DE3">
        <w:rPr>
          <w:b/>
        </w:rPr>
        <w:t xml:space="preserve">plan to </w:t>
      </w:r>
      <w:r w:rsidR="00E03DE3">
        <w:rPr>
          <w:b/>
        </w:rPr>
        <w:t>adjust the</w:t>
      </w:r>
      <w:r w:rsidR="00E03DE3" w:rsidRPr="00E03DE3">
        <w:rPr>
          <w:b/>
        </w:rPr>
        <w:t xml:space="preserve"> fixed ratio between electric and gas HELP funds? </w:t>
      </w:r>
    </w:p>
    <w:p w14:paraId="52A6FFAE" w14:textId="34F7E700" w:rsidR="00E03DE3" w:rsidRDefault="00CD7FAA" w:rsidP="00E03DE3">
      <w:pPr>
        <w:spacing w:line="480" w:lineRule="auto"/>
        <w:ind w:left="720" w:hanging="720"/>
      </w:pPr>
      <w:r w:rsidRPr="00CD7FAA">
        <w:t>A:</w:t>
      </w:r>
      <w:r w:rsidR="00E03DE3" w:rsidRPr="00CD7FAA">
        <w:tab/>
      </w:r>
      <w:r w:rsidR="00E03DE3">
        <w:t xml:space="preserve">Yes, TEP supports making adjustments to the HELP program’s funding ratio between electric and gas. </w:t>
      </w:r>
      <w:r w:rsidR="00C8306D">
        <w:t xml:space="preserve"> </w:t>
      </w:r>
      <w:r w:rsidR="00E03DE3">
        <w:t xml:space="preserve">The proposed change </w:t>
      </w:r>
      <w:r w:rsidR="009C4046">
        <w:t>modifies</w:t>
      </w:r>
      <w:r w:rsidR="00E03DE3" w:rsidRPr="00E03DE3">
        <w:t xml:space="preserve"> HELP </w:t>
      </w:r>
      <w:r w:rsidR="00E03DE3">
        <w:t>funding</w:t>
      </w:r>
      <w:r w:rsidR="009C4046">
        <w:t xml:space="preserve"> allocation</w:t>
      </w:r>
      <w:r w:rsidR="00E03DE3">
        <w:t xml:space="preserve"> so that it </w:t>
      </w:r>
      <w:r w:rsidR="00052773">
        <w:t xml:space="preserve">will be distributed </w:t>
      </w:r>
      <w:r w:rsidR="009C4046">
        <w:t xml:space="preserve">80 percent to </w:t>
      </w:r>
      <w:r w:rsidR="00E03DE3" w:rsidRPr="00E03DE3">
        <w:t xml:space="preserve">electric and </w:t>
      </w:r>
      <w:r w:rsidR="009C4046">
        <w:t xml:space="preserve">20 percent to </w:t>
      </w:r>
      <w:r w:rsidR="00E03DE3" w:rsidRPr="00E03DE3">
        <w:t xml:space="preserve">natural gas </w:t>
      </w:r>
      <w:r w:rsidR="009C4046">
        <w:t xml:space="preserve">customers.  This change </w:t>
      </w:r>
      <w:r w:rsidR="00E03DE3">
        <w:t>will allow for funds to be directed</w:t>
      </w:r>
      <w:r w:rsidR="002D6794">
        <w:t xml:space="preserve"> to where they are most </w:t>
      </w:r>
      <w:r w:rsidR="009C4046">
        <w:t xml:space="preserve">currently utilized, </w:t>
      </w:r>
      <w:r w:rsidR="002D6794">
        <w:t>as outlined in Ms. Sasville’s testimony</w:t>
      </w:r>
      <w:r w:rsidR="00052773">
        <w:t>.</w:t>
      </w:r>
      <w:r w:rsidR="002D6794">
        <w:rPr>
          <w:rStyle w:val="FootnoteReference"/>
        </w:rPr>
        <w:footnoteReference w:id="14"/>
      </w:r>
      <w:r w:rsidR="00E03DE3">
        <w:t xml:space="preserve"> </w:t>
      </w:r>
    </w:p>
    <w:p w14:paraId="6BAB900C" w14:textId="3CAA4BEB" w:rsidR="009F52AC" w:rsidRPr="00C8306D" w:rsidRDefault="00C8306D" w:rsidP="00C8306D">
      <w:pPr>
        <w:spacing w:line="480" w:lineRule="auto"/>
        <w:ind w:firstLine="720"/>
      </w:pPr>
      <w:r w:rsidRPr="00C8306D">
        <w:rPr>
          <w:b/>
        </w:rPr>
        <w:t>D.</w:t>
      </w:r>
      <w:r w:rsidRPr="00C8306D">
        <w:rPr>
          <w:b/>
        </w:rPr>
        <w:tab/>
        <w:t>PROPOSAL FOR TWO-YEAR CERTIFICATION</w:t>
      </w:r>
      <w:r>
        <w:rPr>
          <w:b/>
        </w:rPr>
        <w:t>.</w:t>
      </w:r>
    </w:p>
    <w:p w14:paraId="2FC21465" w14:textId="0BCB4E1C" w:rsidR="00DC54BC" w:rsidRDefault="00CD7FAA" w:rsidP="00CD7FAA">
      <w:pPr>
        <w:spacing w:line="480" w:lineRule="auto"/>
        <w:rPr>
          <w:b/>
        </w:rPr>
      </w:pPr>
      <w:r>
        <w:rPr>
          <w:b/>
        </w:rPr>
        <w:t>Q:</w:t>
      </w:r>
      <w:r w:rsidR="00DC54BC" w:rsidRPr="00DC54BC">
        <w:rPr>
          <w:b/>
        </w:rPr>
        <w:tab/>
      </w:r>
      <w:r w:rsidR="00DC54BC">
        <w:rPr>
          <w:b/>
        </w:rPr>
        <w:t>What is TEP’s perspective on PSE’s proposed change in</w:t>
      </w:r>
      <w:r w:rsidR="00DC54BC" w:rsidRPr="00DC54BC">
        <w:rPr>
          <w:b/>
        </w:rPr>
        <w:t xml:space="preserve"> </w:t>
      </w:r>
      <w:r w:rsidR="00C93BF4">
        <w:rPr>
          <w:b/>
        </w:rPr>
        <w:t xml:space="preserve">the </w:t>
      </w:r>
      <w:r w:rsidR="00DC54BC" w:rsidRPr="00DC54BC">
        <w:rPr>
          <w:b/>
        </w:rPr>
        <w:t xml:space="preserve">eligibility and </w:t>
      </w:r>
    </w:p>
    <w:p w14:paraId="74414F1B" w14:textId="0986E1CB" w:rsidR="009D63DF" w:rsidRDefault="00DC54BC" w:rsidP="0095757B">
      <w:pPr>
        <w:spacing w:line="480" w:lineRule="auto"/>
        <w:ind w:firstLine="720"/>
        <w:rPr>
          <w:b/>
        </w:rPr>
      </w:pPr>
      <w:r w:rsidRPr="00DC54BC">
        <w:rPr>
          <w:b/>
        </w:rPr>
        <w:t>certification process for</w:t>
      </w:r>
      <w:r>
        <w:rPr>
          <w:b/>
        </w:rPr>
        <w:t xml:space="preserve"> </w:t>
      </w:r>
      <w:r w:rsidRPr="00DC54BC">
        <w:rPr>
          <w:b/>
        </w:rPr>
        <w:t xml:space="preserve">HELP? </w:t>
      </w:r>
    </w:p>
    <w:p w14:paraId="4FCDF398" w14:textId="5A4ABDD7" w:rsidR="00DC54BC" w:rsidRDefault="00CD7FAA" w:rsidP="00DC54BC">
      <w:pPr>
        <w:spacing w:line="480" w:lineRule="auto"/>
        <w:ind w:left="720" w:hanging="720"/>
      </w:pPr>
      <w:r w:rsidRPr="00CD7FAA">
        <w:t>A:</w:t>
      </w:r>
      <w:r w:rsidR="00DC54BC">
        <w:rPr>
          <w:b/>
        </w:rPr>
        <w:tab/>
      </w:r>
      <w:r w:rsidR="00DC54BC">
        <w:t xml:space="preserve">Allowing for a two-year certification process for senior, disabled, and other fixed income customers who are eligible for HELP will better meet the needs of those customers with </w:t>
      </w:r>
      <w:r w:rsidR="008F6456">
        <w:t xml:space="preserve">limited mobility and no substantial change in their household circumstances. </w:t>
      </w:r>
      <w:r w:rsidR="0050369F">
        <w:t xml:space="preserve"> </w:t>
      </w:r>
      <w:r w:rsidR="008F6456">
        <w:t xml:space="preserve">It is </w:t>
      </w:r>
      <w:r w:rsidR="00284118">
        <w:t>our</w:t>
      </w:r>
      <w:r w:rsidR="008F6456">
        <w:t xml:space="preserve"> hope that this change will also help to reduce some of the </w:t>
      </w:r>
      <w:r w:rsidR="008F6456">
        <w:lastRenderedPageBreak/>
        <w:t xml:space="preserve">administrative burden on the agency side in terms of processing applications and administering benefits. </w:t>
      </w:r>
    </w:p>
    <w:p w14:paraId="2B06F818" w14:textId="4171B989" w:rsidR="008F6456" w:rsidRDefault="00CD7FAA" w:rsidP="0095757B">
      <w:pPr>
        <w:spacing w:line="480" w:lineRule="auto"/>
        <w:rPr>
          <w:b/>
        </w:rPr>
      </w:pPr>
      <w:r>
        <w:rPr>
          <w:b/>
        </w:rPr>
        <w:t>Q:</w:t>
      </w:r>
      <w:r w:rsidR="008F6456" w:rsidRPr="00DC54BC">
        <w:rPr>
          <w:b/>
        </w:rPr>
        <w:tab/>
      </w:r>
      <w:r w:rsidR="008F6456">
        <w:rPr>
          <w:b/>
        </w:rPr>
        <w:t xml:space="preserve">What other programs utilize a two-year eligibility timeframe for an energy </w:t>
      </w:r>
      <w:r w:rsidR="008F6456">
        <w:rPr>
          <w:b/>
        </w:rPr>
        <w:tab/>
        <w:t xml:space="preserve">assistance program? </w:t>
      </w:r>
      <w:r w:rsidR="008F6456" w:rsidRPr="00DC54BC">
        <w:rPr>
          <w:b/>
        </w:rPr>
        <w:t xml:space="preserve"> </w:t>
      </w:r>
    </w:p>
    <w:p w14:paraId="45687D72" w14:textId="3BDFACC6" w:rsidR="008F6456" w:rsidRPr="000755DF" w:rsidRDefault="00CD7FAA" w:rsidP="008F6456">
      <w:pPr>
        <w:spacing w:line="480" w:lineRule="auto"/>
        <w:ind w:left="720" w:hanging="720"/>
        <w:rPr>
          <w:i/>
        </w:rPr>
      </w:pPr>
      <w:r w:rsidRPr="00CD7FAA">
        <w:t>A:</w:t>
      </w:r>
      <w:r w:rsidR="008F6456">
        <w:rPr>
          <w:b/>
        </w:rPr>
        <w:tab/>
      </w:r>
      <w:r w:rsidR="008F6456">
        <w:t>As mentioned by Ms. Sasville in her testimony</w:t>
      </w:r>
      <w:r w:rsidR="008F6456">
        <w:rPr>
          <w:rStyle w:val="FootnoteReference"/>
        </w:rPr>
        <w:footnoteReference w:id="15"/>
      </w:r>
      <w:r w:rsidR="008F6456">
        <w:t xml:space="preserve">, Pacificorp’s Low-income Bill Assistance Program utilizes </w:t>
      </w:r>
      <w:r w:rsidR="007A4E3B">
        <w:t>two-year eligibility</w:t>
      </w:r>
      <w:r w:rsidR="003871F2">
        <w:t xml:space="preserve">. </w:t>
      </w:r>
      <w:r w:rsidR="008F6456">
        <w:t xml:space="preserve"> </w:t>
      </w:r>
      <w:r w:rsidR="00093135">
        <w:t xml:space="preserve">For </w:t>
      </w:r>
      <w:r w:rsidR="008F6456">
        <w:t xml:space="preserve">Avista’s </w:t>
      </w:r>
      <w:r w:rsidR="003871F2">
        <w:t>Senior and Disabled Rate Discount P</w:t>
      </w:r>
      <w:r w:rsidR="008F6456">
        <w:t>i</w:t>
      </w:r>
      <w:r w:rsidR="003871F2">
        <w:t>lot program</w:t>
      </w:r>
      <w:r w:rsidR="00093135">
        <w:t xml:space="preserve">, </w:t>
      </w:r>
      <w:r w:rsidR="003871F2">
        <w:t>customer</w:t>
      </w:r>
      <w:r w:rsidR="00093135">
        <w:t>s were allowed</w:t>
      </w:r>
      <w:r w:rsidR="003871F2">
        <w:t xml:space="preserve"> t</w:t>
      </w:r>
      <w:r w:rsidR="00093135">
        <w:t>o establish eligibility for the two-year term of the pilot.</w:t>
      </w:r>
      <w:r w:rsidR="00093135">
        <w:rPr>
          <w:rStyle w:val="FootnoteReference"/>
        </w:rPr>
        <w:footnoteReference w:id="16"/>
      </w:r>
    </w:p>
    <w:p w14:paraId="54A15841" w14:textId="02814B9B" w:rsidR="009F52AC" w:rsidRPr="00177AAA" w:rsidRDefault="00177AAA" w:rsidP="00177AAA">
      <w:pPr>
        <w:spacing w:line="480" w:lineRule="auto"/>
        <w:ind w:left="720"/>
        <w:rPr>
          <w:b/>
        </w:rPr>
      </w:pPr>
      <w:r w:rsidRPr="00177AAA">
        <w:rPr>
          <w:b/>
        </w:rPr>
        <w:t>E.</w:t>
      </w:r>
      <w:r w:rsidRPr="00177AAA">
        <w:rPr>
          <w:b/>
        </w:rPr>
        <w:tab/>
        <w:t xml:space="preserve">REMOVAL OF THE AREA MEDIAN INCOME </w:t>
      </w:r>
      <w:r w:rsidR="00D12395">
        <w:rPr>
          <w:b/>
        </w:rPr>
        <w:t>FACTOR.</w:t>
      </w:r>
    </w:p>
    <w:p w14:paraId="4198D616" w14:textId="0B7661C4" w:rsidR="009D63DF" w:rsidRDefault="00CD7FAA" w:rsidP="0095757B">
      <w:pPr>
        <w:spacing w:line="480" w:lineRule="auto"/>
        <w:ind w:left="720" w:hanging="720"/>
        <w:rPr>
          <w:b/>
        </w:rPr>
      </w:pPr>
      <w:r>
        <w:rPr>
          <w:b/>
        </w:rPr>
        <w:t>Q:</w:t>
      </w:r>
      <w:r w:rsidR="00A41D1A" w:rsidRPr="00A41D1A">
        <w:rPr>
          <w:b/>
        </w:rPr>
        <w:tab/>
      </w:r>
      <w:r w:rsidR="00A41D1A">
        <w:rPr>
          <w:b/>
        </w:rPr>
        <w:t>What is TE</w:t>
      </w:r>
      <w:r w:rsidR="00712925">
        <w:rPr>
          <w:b/>
        </w:rPr>
        <w:t>P</w:t>
      </w:r>
      <w:r w:rsidR="00A41D1A">
        <w:rPr>
          <w:b/>
        </w:rPr>
        <w:t>’s position on</w:t>
      </w:r>
      <w:r w:rsidR="00A41D1A" w:rsidRPr="00A41D1A">
        <w:rPr>
          <w:b/>
        </w:rPr>
        <w:t xml:space="preserve"> PSE</w:t>
      </w:r>
      <w:r w:rsidR="00A41D1A">
        <w:rPr>
          <w:b/>
        </w:rPr>
        <w:t xml:space="preserve">’s </w:t>
      </w:r>
      <w:r w:rsidR="00534980">
        <w:rPr>
          <w:b/>
        </w:rPr>
        <w:t>p</w:t>
      </w:r>
      <w:r w:rsidR="00A41D1A">
        <w:rPr>
          <w:b/>
        </w:rPr>
        <w:t>roposed change in</w:t>
      </w:r>
      <w:r w:rsidR="00A41D1A" w:rsidRPr="00A41D1A">
        <w:rPr>
          <w:b/>
        </w:rPr>
        <w:t xml:space="preserve"> HELP eligibility criteria </w:t>
      </w:r>
      <w:r w:rsidR="00534980">
        <w:rPr>
          <w:b/>
        </w:rPr>
        <w:t xml:space="preserve">that removes </w:t>
      </w:r>
      <w:r w:rsidR="00A41D1A" w:rsidRPr="00A41D1A">
        <w:rPr>
          <w:b/>
        </w:rPr>
        <w:t>area median income</w:t>
      </w:r>
      <w:r w:rsidR="00712925">
        <w:rPr>
          <w:b/>
        </w:rPr>
        <w:t xml:space="preserve"> (AMI)</w:t>
      </w:r>
      <w:r w:rsidR="00A41D1A" w:rsidRPr="00A41D1A">
        <w:rPr>
          <w:b/>
        </w:rPr>
        <w:t xml:space="preserve"> </w:t>
      </w:r>
      <w:r w:rsidR="00534980">
        <w:rPr>
          <w:b/>
        </w:rPr>
        <w:t>as a factor in eligibility and focuses solely on</w:t>
      </w:r>
      <w:r w:rsidR="00D10415">
        <w:rPr>
          <w:b/>
        </w:rPr>
        <w:t xml:space="preserve"> 150 percent </w:t>
      </w:r>
      <w:r w:rsidR="00A41D1A" w:rsidRPr="00A41D1A">
        <w:rPr>
          <w:b/>
        </w:rPr>
        <w:t xml:space="preserve">of </w:t>
      </w:r>
      <w:r w:rsidR="004130C8">
        <w:rPr>
          <w:b/>
        </w:rPr>
        <w:t>Federal Poverty Level</w:t>
      </w:r>
      <w:r w:rsidR="00A41D1A" w:rsidRPr="00A41D1A">
        <w:rPr>
          <w:b/>
        </w:rPr>
        <w:t xml:space="preserve">? </w:t>
      </w:r>
    </w:p>
    <w:p w14:paraId="0429D4EA" w14:textId="4949F5C9" w:rsidR="00534980" w:rsidRDefault="00CD7FAA" w:rsidP="00A41D1A">
      <w:pPr>
        <w:spacing w:line="480" w:lineRule="auto"/>
        <w:ind w:left="720" w:hanging="720"/>
      </w:pPr>
      <w:r w:rsidRPr="00CD7FAA">
        <w:t>A:</w:t>
      </w:r>
      <w:r w:rsidR="00534980">
        <w:rPr>
          <w:b/>
        </w:rPr>
        <w:tab/>
      </w:r>
      <w:r w:rsidR="00534980">
        <w:t>This recommended change specifically arose as a result of feedback from the CAP agencies</w:t>
      </w:r>
      <w:r w:rsidR="00712925">
        <w:t xml:space="preserve"> administering the HELP program.</w:t>
      </w:r>
      <w:r w:rsidR="0050369F">
        <w:t xml:space="preserve"> </w:t>
      </w:r>
      <w:r w:rsidR="00712925">
        <w:t xml:space="preserve"> TEP is in support of removing AMI as an eligibility factor</w:t>
      </w:r>
      <w:r w:rsidR="00827D49">
        <w:t xml:space="preserve">. </w:t>
      </w:r>
    </w:p>
    <w:p w14:paraId="53D9BCDE" w14:textId="1C4189DF" w:rsidR="00827D49" w:rsidRDefault="00CD7FAA" w:rsidP="00A41D1A">
      <w:pPr>
        <w:spacing w:line="480" w:lineRule="auto"/>
        <w:ind w:left="720" w:hanging="720"/>
        <w:rPr>
          <w:b/>
        </w:rPr>
      </w:pPr>
      <w:r>
        <w:rPr>
          <w:b/>
        </w:rPr>
        <w:t>Q:</w:t>
      </w:r>
      <w:r w:rsidR="0031670F" w:rsidRPr="00827D49">
        <w:rPr>
          <w:b/>
        </w:rPr>
        <w:tab/>
      </w:r>
      <w:r w:rsidR="00827D49" w:rsidRPr="00827D49">
        <w:rPr>
          <w:b/>
        </w:rPr>
        <w:t>Please explain how the AMI factor works.</w:t>
      </w:r>
    </w:p>
    <w:p w14:paraId="56456F9E" w14:textId="1A54EA6C" w:rsidR="008E415D" w:rsidRDefault="00CD7FAA" w:rsidP="008E415D">
      <w:pPr>
        <w:spacing w:line="480" w:lineRule="auto"/>
        <w:ind w:left="720" w:hanging="720"/>
      </w:pPr>
      <w:r w:rsidRPr="00CD7FAA">
        <w:t>A:</w:t>
      </w:r>
      <w:r w:rsidR="00827D49">
        <w:tab/>
        <w:t>Under PSE’s current HELP tariff Schedule 129, the income-eligibility ceiling for the program fl</w:t>
      </w:r>
      <w:r w:rsidR="00D10415">
        <w:t>uctuates in a range between 125 percent and 150 percent</w:t>
      </w:r>
      <w:r w:rsidR="00827D49">
        <w:t xml:space="preserve"> of federal poverty guidelines. </w:t>
      </w:r>
      <w:r w:rsidR="00D10415">
        <w:t xml:space="preserve"> </w:t>
      </w:r>
      <w:r w:rsidR="00827D49">
        <w:t xml:space="preserve">Within that range, the precise </w:t>
      </w:r>
      <w:r w:rsidR="008702C0">
        <w:t xml:space="preserve">income eligibility </w:t>
      </w:r>
      <w:r w:rsidR="00827D49">
        <w:t xml:space="preserve">figure equals 50 percent of the median income of a specific area. </w:t>
      </w:r>
      <w:r w:rsidR="008E415D">
        <w:br w:type="page"/>
      </w:r>
    </w:p>
    <w:p w14:paraId="30B8652F" w14:textId="4BA1AC5F" w:rsidR="00827D49" w:rsidRPr="00827D49" w:rsidRDefault="00CD7FAA" w:rsidP="00A41D1A">
      <w:pPr>
        <w:spacing w:line="480" w:lineRule="auto"/>
        <w:ind w:left="720" w:hanging="720"/>
        <w:rPr>
          <w:b/>
        </w:rPr>
      </w:pPr>
      <w:r>
        <w:rPr>
          <w:b/>
        </w:rPr>
        <w:lastRenderedPageBreak/>
        <w:t>Q:</w:t>
      </w:r>
      <w:r w:rsidR="00827D49">
        <w:rPr>
          <w:b/>
        </w:rPr>
        <w:tab/>
        <w:t>What problems have ar</w:t>
      </w:r>
      <w:r w:rsidR="00E578AD">
        <w:rPr>
          <w:b/>
        </w:rPr>
        <w:t>isen from use of the AMI factor?</w:t>
      </w:r>
    </w:p>
    <w:p w14:paraId="2D0E7698" w14:textId="3CAF2FB4" w:rsidR="00827D49" w:rsidRDefault="00827D49" w:rsidP="00827D49">
      <w:pPr>
        <w:spacing w:line="480" w:lineRule="auto"/>
        <w:ind w:left="720" w:hanging="720"/>
      </w:pPr>
      <w:r>
        <w:tab/>
        <w:t xml:space="preserve">One result has been the creation of an unintended barrier for low-income customers in need of the program. </w:t>
      </w:r>
      <w:r w:rsidR="00D10415">
        <w:t xml:space="preserve"> </w:t>
      </w:r>
      <w:r>
        <w:t xml:space="preserve">For instance, </w:t>
      </w:r>
      <w:r w:rsidR="00E578AD">
        <w:t>even though a</w:t>
      </w:r>
      <w:r>
        <w:t xml:space="preserve"> household</w:t>
      </w:r>
      <w:r w:rsidR="00E578AD">
        <w:t>’s income</w:t>
      </w:r>
      <w:r>
        <w:t xml:space="preserve"> ma</w:t>
      </w:r>
      <w:r w:rsidR="00D10415">
        <w:t>y be at or below 150 percent</w:t>
      </w:r>
      <w:r>
        <w:t xml:space="preserve"> of </w:t>
      </w:r>
      <w:r w:rsidR="004130C8">
        <w:t>Federal Poverty Level</w:t>
      </w:r>
      <w:r w:rsidR="00E578AD">
        <w:t xml:space="preserve">, they can be </w:t>
      </w:r>
      <w:r w:rsidR="000755DF">
        <w:t xml:space="preserve">rendered </w:t>
      </w:r>
      <w:r w:rsidR="00E578AD">
        <w:t xml:space="preserve">ineligible for HELP assistance if they happen to live in an area </w:t>
      </w:r>
      <w:r w:rsidR="008702C0">
        <w:t xml:space="preserve">of </w:t>
      </w:r>
      <w:r w:rsidR="000755DF">
        <w:t>PSE’s</w:t>
      </w:r>
      <w:r w:rsidR="008702C0">
        <w:t xml:space="preserve"> service territory </w:t>
      </w:r>
      <w:r w:rsidR="00D10415">
        <w:t xml:space="preserve">where their income is above 50 percent of AMI.  </w:t>
      </w:r>
      <w:r w:rsidR="00E578AD">
        <w:t xml:space="preserve">This creates unnecessary complexity for the agencies and the Company, and inconsistency </w:t>
      </w:r>
      <w:r w:rsidR="008702C0">
        <w:t xml:space="preserve">and hardship </w:t>
      </w:r>
      <w:r w:rsidR="00E578AD">
        <w:t xml:space="preserve">for </w:t>
      </w:r>
      <w:r w:rsidR="00B55745">
        <w:t>PSE’s low-income</w:t>
      </w:r>
      <w:r w:rsidR="00E578AD">
        <w:t xml:space="preserve"> customers.  </w:t>
      </w:r>
      <w:r w:rsidR="00B55745">
        <w:t xml:space="preserve">PSE’s proposal simplifies eligibility determinations by eliminating the AMI requirement and using </w:t>
      </w:r>
      <w:r w:rsidR="00D10415">
        <w:t xml:space="preserve">a straightforward metric of 150 percent of </w:t>
      </w:r>
      <w:r w:rsidR="004130C8">
        <w:t>Federal Poverty Level</w:t>
      </w:r>
      <w:r w:rsidR="00D10415">
        <w:t xml:space="preserve">.  </w:t>
      </w:r>
      <w:r w:rsidR="00B55745">
        <w:t>A further benefit is that the change will result in the program coverin</w:t>
      </w:r>
      <w:r w:rsidR="00CD7FAA">
        <w:t xml:space="preserve">g some additional households. </w:t>
      </w:r>
    </w:p>
    <w:p w14:paraId="1A47C17C" w14:textId="70BCF0A2" w:rsidR="009D63DF" w:rsidRDefault="00CD7FAA" w:rsidP="0095757B">
      <w:pPr>
        <w:spacing w:line="480" w:lineRule="auto"/>
        <w:ind w:left="720" w:hanging="720"/>
        <w:rPr>
          <w:b/>
        </w:rPr>
      </w:pPr>
      <w:r>
        <w:rPr>
          <w:b/>
        </w:rPr>
        <w:t>Q:</w:t>
      </w:r>
      <w:r w:rsidR="000755DF">
        <w:rPr>
          <w:b/>
        </w:rPr>
        <w:tab/>
      </w:r>
      <w:r w:rsidR="00D10415">
        <w:rPr>
          <w:b/>
        </w:rPr>
        <w:t>Is the eligibility level of 150 percent</w:t>
      </w:r>
      <w:r w:rsidR="000755DF">
        <w:rPr>
          <w:b/>
        </w:rPr>
        <w:t xml:space="preserve"> of </w:t>
      </w:r>
      <w:r w:rsidR="004130C8">
        <w:rPr>
          <w:b/>
        </w:rPr>
        <w:t>Federal Poverty Level</w:t>
      </w:r>
      <w:r w:rsidR="000755DF">
        <w:rPr>
          <w:b/>
        </w:rPr>
        <w:t xml:space="preserve"> used by other companies in Washington?</w:t>
      </w:r>
    </w:p>
    <w:p w14:paraId="57931D4D" w14:textId="442FA617" w:rsidR="000755DF" w:rsidRPr="002B52E2" w:rsidRDefault="00CD7FAA" w:rsidP="00A41D1A">
      <w:pPr>
        <w:spacing w:line="480" w:lineRule="auto"/>
        <w:ind w:left="720" w:hanging="720"/>
        <w:rPr>
          <w:i/>
        </w:rPr>
      </w:pPr>
      <w:r w:rsidRPr="00CD7FAA">
        <w:t>A:</w:t>
      </w:r>
      <w:r w:rsidR="00D10415">
        <w:tab/>
        <w:t xml:space="preserve">Yes. </w:t>
      </w:r>
      <w:r w:rsidR="000755DF">
        <w:t xml:space="preserve"> The metric is </w:t>
      </w:r>
      <w:r w:rsidR="002B52E2">
        <w:t xml:space="preserve">used </w:t>
      </w:r>
      <w:r w:rsidR="000755DF">
        <w:t>as a stand-a</w:t>
      </w:r>
      <w:r w:rsidR="002B52E2">
        <w:t xml:space="preserve">lone income eligibility metric by </w:t>
      </w:r>
      <w:r w:rsidR="000755DF">
        <w:t xml:space="preserve">Pacific Power, Cascade Natural Gas, and Northwest Natural Gas </w:t>
      </w:r>
      <w:r w:rsidR="002B52E2">
        <w:t xml:space="preserve">for their </w:t>
      </w:r>
      <w:r w:rsidR="000755DF">
        <w:t>bill assistance programs</w:t>
      </w:r>
      <w:r w:rsidR="002B52E2">
        <w:t>.</w:t>
      </w:r>
      <w:r w:rsidR="00FE2C7D">
        <w:rPr>
          <w:rStyle w:val="FootnoteReference"/>
        </w:rPr>
        <w:footnoteReference w:id="17"/>
      </w:r>
      <w:r w:rsidR="002B52E2">
        <w:t xml:space="preserve">  </w:t>
      </w:r>
    </w:p>
    <w:p w14:paraId="41D8046A" w14:textId="050D744C" w:rsidR="00A1512F" w:rsidRPr="00D10415" w:rsidRDefault="00D10415" w:rsidP="00D10415">
      <w:pPr>
        <w:spacing w:line="480" w:lineRule="auto"/>
        <w:ind w:left="720"/>
        <w:rPr>
          <w:b/>
          <w:i/>
        </w:rPr>
      </w:pPr>
      <w:r w:rsidRPr="00D10415">
        <w:rPr>
          <w:b/>
        </w:rPr>
        <w:t>F.</w:t>
      </w:r>
      <w:r w:rsidRPr="00D10415">
        <w:rPr>
          <w:b/>
        </w:rPr>
        <w:tab/>
        <w:t>LOW-INCOME ENERGY EFFICIENCY.</w:t>
      </w:r>
    </w:p>
    <w:p w14:paraId="172E3080" w14:textId="13771968" w:rsidR="0032246D" w:rsidRDefault="00CD7FAA" w:rsidP="00A41D1A">
      <w:pPr>
        <w:spacing w:line="480" w:lineRule="auto"/>
        <w:ind w:left="720" w:hanging="720"/>
        <w:rPr>
          <w:b/>
        </w:rPr>
      </w:pPr>
      <w:r>
        <w:rPr>
          <w:b/>
        </w:rPr>
        <w:t>Q:</w:t>
      </w:r>
      <w:r w:rsidR="0032246D">
        <w:tab/>
      </w:r>
      <w:r w:rsidR="0032246D">
        <w:rPr>
          <w:b/>
        </w:rPr>
        <w:t xml:space="preserve">Does PSE </w:t>
      </w:r>
      <w:r w:rsidR="001278AE">
        <w:rPr>
          <w:b/>
        </w:rPr>
        <w:t>propose any other changes to its low-income assistance</w:t>
      </w:r>
      <w:r w:rsidR="002B52E2">
        <w:rPr>
          <w:b/>
        </w:rPr>
        <w:t xml:space="preserve"> programs</w:t>
      </w:r>
      <w:r w:rsidR="001278AE">
        <w:rPr>
          <w:b/>
        </w:rPr>
        <w:t>?</w:t>
      </w:r>
    </w:p>
    <w:p w14:paraId="620757BE" w14:textId="4C90FCE2" w:rsidR="001278AE" w:rsidRDefault="001278AE" w:rsidP="00A41D1A">
      <w:pPr>
        <w:spacing w:line="480" w:lineRule="auto"/>
        <w:ind w:left="720" w:hanging="720"/>
      </w:pPr>
      <w:r>
        <w:t>A</w:t>
      </w:r>
      <w:r w:rsidR="00CD7FAA">
        <w:t>:</w:t>
      </w:r>
      <w:r>
        <w:tab/>
      </w:r>
      <w:r w:rsidR="00C062B3">
        <w:t xml:space="preserve">Yes.  </w:t>
      </w:r>
      <w:r w:rsidR="00CD7FAA">
        <w:t xml:space="preserve">Mr. </w:t>
      </w:r>
      <w:r>
        <w:t>Piliaris notes in his testimony that as part of the original decoupling mechanism, PSE agreed to increase its funding for low-income weathe</w:t>
      </w:r>
      <w:r w:rsidR="00C062B3">
        <w:t>rization b</w:t>
      </w:r>
      <w:r w:rsidR="00111344">
        <w:t>y</w:t>
      </w:r>
      <w:r w:rsidR="00C062B3">
        <w:t xml:space="preserve"> </w:t>
      </w:r>
      <w:r w:rsidR="00C062B3">
        <w:lastRenderedPageBreak/>
        <w:t xml:space="preserve">$500,000 per year.  </w:t>
      </w:r>
      <w:r>
        <w:t>Mr. Piliaris states</w:t>
      </w:r>
      <w:r w:rsidR="00FC4EFD">
        <w:t>: “</w:t>
      </w:r>
      <w:r>
        <w:t>PSE proposes to continue this higher funding level for the proposed mechanisms in this filing.”</w:t>
      </w:r>
      <w:r>
        <w:rPr>
          <w:rStyle w:val="FootnoteReference"/>
        </w:rPr>
        <w:footnoteReference w:id="18"/>
      </w:r>
    </w:p>
    <w:p w14:paraId="4EBE0B89" w14:textId="4581DCC7" w:rsidR="001278AE" w:rsidRDefault="00CD7FAA" w:rsidP="00A41D1A">
      <w:pPr>
        <w:spacing w:line="480" w:lineRule="auto"/>
        <w:ind w:left="720" w:hanging="720"/>
        <w:rPr>
          <w:b/>
        </w:rPr>
      </w:pPr>
      <w:r>
        <w:rPr>
          <w:b/>
        </w:rPr>
        <w:t>Q:</w:t>
      </w:r>
      <w:r w:rsidR="001278AE">
        <w:rPr>
          <w:b/>
        </w:rPr>
        <w:tab/>
        <w:t>What is The Energy Project</w:t>
      </w:r>
      <w:r w:rsidR="00C6617D">
        <w:rPr>
          <w:b/>
        </w:rPr>
        <w:t>’s</w:t>
      </w:r>
      <w:r w:rsidR="001278AE">
        <w:rPr>
          <w:b/>
        </w:rPr>
        <w:t xml:space="preserve"> position regarding this proposal?</w:t>
      </w:r>
    </w:p>
    <w:p w14:paraId="62A80749" w14:textId="70565257" w:rsidR="00916F6B" w:rsidRDefault="001278AE" w:rsidP="00916F6B">
      <w:pPr>
        <w:spacing w:line="480" w:lineRule="auto"/>
        <w:ind w:left="720" w:hanging="720"/>
      </w:pPr>
      <w:r w:rsidRPr="00CD7FAA">
        <w:t>A</w:t>
      </w:r>
      <w:r w:rsidR="00CD7FAA" w:rsidRPr="00CD7FAA">
        <w:t>:</w:t>
      </w:r>
      <w:r w:rsidR="00C6617D">
        <w:tab/>
        <w:t>The Energy P</w:t>
      </w:r>
      <w:r w:rsidR="008641BC">
        <w:t xml:space="preserve">roject supports the PSE proposal, </w:t>
      </w:r>
      <w:r w:rsidR="008641BC" w:rsidRPr="00A7101B">
        <w:t>as a minimum</w:t>
      </w:r>
      <w:r w:rsidR="002B52E2">
        <w:t>, but recommends an additional increment of energy efficiency funding</w:t>
      </w:r>
      <w:r w:rsidR="00C6617D" w:rsidRPr="008641BC">
        <w:rPr>
          <w:i/>
        </w:rPr>
        <w:t>.</w:t>
      </w:r>
      <w:r w:rsidR="00C6617D">
        <w:t xml:space="preserve">  </w:t>
      </w:r>
      <w:r w:rsidR="001F2442">
        <w:t>As Mr. Piliaris notes, t</w:t>
      </w:r>
      <w:r w:rsidR="00C6617D">
        <w:t xml:space="preserve">he </w:t>
      </w:r>
      <w:r w:rsidR="009F52AC">
        <w:t xml:space="preserve">Amended Decoupling Proposal that was approved in the 2013 Rate Plan Order </w:t>
      </w:r>
      <w:r w:rsidR="001F2442">
        <w:t xml:space="preserve">and became a part of the PSE Rate Plan, </w:t>
      </w:r>
      <w:r w:rsidR="009F52AC">
        <w:t xml:space="preserve">included a commitment by PSE to increase its electric conservation funding by </w:t>
      </w:r>
      <w:r w:rsidR="001F2442">
        <w:t>approximately $500,000 annually.  The purpose of the commitment was to “further allow the Company to provide low-income ratepayers targeted programs aimed at achieving a level of conservation comparable to that achieved by other ratepayers.”</w:t>
      </w:r>
      <w:r w:rsidR="001F2442">
        <w:rPr>
          <w:rStyle w:val="FootnoteReference"/>
        </w:rPr>
        <w:footnoteReference w:id="19"/>
      </w:r>
      <w:r w:rsidR="001F2442">
        <w:t xml:space="preserve"> </w:t>
      </w:r>
      <w:r w:rsidR="00C6617D">
        <w:t xml:space="preserve"> </w:t>
      </w:r>
      <w:r w:rsidR="001F2442">
        <w:t xml:space="preserve">This </w:t>
      </w:r>
      <w:r w:rsidR="00FE65BB">
        <w:t xml:space="preserve">goal of achieving </w:t>
      </w:r>
      <w:r w:rsidR="001F2442">
        <w:t>a com</w:t>
      </w:r>
      <w:r w:rsidR="00A7101B">
        <w:t xml:space="preserve">parable level of conservation, </w:t>
      </w:r>
      <w:r w:rsidR="001F2442">
        <w:t>“meets the low-income guidance set forth in the Commission’</w:t>
      </w:r>
      <w:r w:rsidR="00A7101B">
        <w:t>s Decoupling Policy Statement.”</w:t>
      </w:r>
      <w:r w:rsidR="001F2442">
        <w:rPr>
          <w:rStyle w:val="FootnoteReference"/>
        </w:rPr>
        <w:footnoteReference w:id="20"/>
      </w:r>
      <w:r w:rsidR="00C6617D">
        <w:t xml:space="preserve"> </w:t>
      </w:r>
      <w:r w:rsidR="00A7101B">
        <w:t xml:space="preserve"> </w:t>
      </w:r>
      <w:r w:rsidR="00C6617D">
        <w:t xml:space="preserve">Since PSE is proposing </w:t>
      </w:r>
      <w:r w:rsidR="008641BC">
        <w:t xml:space="preserve">in this docket </w:t>
      </w:r>
      <w:r w:rsidR="00C6617D">
        <w:t>that decoupling continue, it is appropriate to maintain</w:t>
      </w:r>
      <w:r w:rsidR="002B52E2">
        <w:t xml:space="preserve"> at least </w:t>
      </w:r>
      <w:r w:rsidR="00C6617D">
        <w:t xml:space="preserve">the same level of </w:t>
      </w:r>
      <w:r w:rsidR="004E6425">
        <w:t>funding</w:t>
      </w:r>
      <w:r w:rsidR="00A92199">
        <w:t xml:space="preserve"> for </w:t>
      </w:r>
      <w:r w:rsidR="00C6617D">
        <w:t>weatherization so as to continue to mitigate the impact on low-income customers.</w:t>
      </w:r>
      <w:r w:rsidR="00111344">
        <w:rPr>
          <w:rStyle w:val="FootnoteReference"/>
        </w:rPr>
        <w:footnoteReference w:id="21"/>
      </w:r>
      <w:r w:rsidR="00916F6B">
        <w:br w:type="page"/>
      </w:r>
    </w:p>
    <w:p w14:paraId="4EEC69E6" w14:textId="6007CF42" w:rsidR="009D63DF" w:rsidRPr="00A7101B" w:rsidRDefault="00CD7FAA" w:rsidP="0095757B">
      <w:pPr>
        <w:spacing w:line="480" w:lineRule="auto"/>
        <w:ind w:left="720" w:hanging="720"/>
        <w:rPr>
          <w:b/>
        </w:rPr>
      </w:pPr>
      <w:r>
        <w:rPr>
          <w:b/>
        </w:rPr>
        <w:lastRenderedPageBreak/>
        <w:t>Q:</w:t>
      </w:r>
      <w:r w:rsidR="008641BC" w:rsidRPr="00A7101B">
        <w:rPr>
          <w:b/>
        </w:rPr>
        <w:tab/>
        <w:t>Is the proposed continuation of the “higher level” of funding adequate to meet the need?</w:t>
      </w:r>
    </w:p>
    <w:p w14:paraId="44EA9949" w14:textId="56A7D9F6" w:rsidR="008641BC" w:rsidRPr="00A7101B" w:rsidRDefault="00CD7FAA" w:rsidP="008641BC">
      <w:pPr>
        <w:spacing w:line="480" w:lineRule="auto"/>
        <w:ind w:left="720" w:hanging="720"/>
      </w:pPr>
      <w:r w:rsidRPr="00CD7FAA">
        <w:t>A:</w:t>
      </w:r>
      <w:r w:rsidR="008641BC" w:rsidRPr="00A7101B">
        <w:tab/>
        <w:t>The Energy Project is concerned that simply maintaining the current “higher level” of low-income conservation funding may not be sufficient, given the proposed changes to PSE’s decoupling mechanism</w:t>
      </w:r>
      <w:r w:rsidR="00D912CC" w:rsidRPr="00A7101B">
        <w:t>, in particular the addition of fixed power costs in the electric mechanism, and proposed increase to the “soft cap” (or “Rate Test”).  Mr. Piliaris testifies that adding fixed power costs will “almost double the impact on potential rate impacts in the future” as compared to the current Rate Plan.</w:t>
      </w:r>
      <w:r w:rsidR="00D912CC" w:rsidRPr="00A7101B">
        <w:rPr>
          <w:rStyle w:val="FootnoteReference"/>
        </w:rPr>
        <w:footnoteReference w:id="22"/>
      </w:r>
      <w:r w:rsidR="00D912CC" w:rsidRPr="00A7101B">
        <w:t xml:space="preserve">  This means that maintaining a comparable level of conservation for low-income customers will be more challenging.  As the Commission has noted, “[p]rograms for low-income bill assistance and energy efficiency measures are chronically underfunded.”</w:t>
      </w:r>
      <w:r w:rsidR="00D912CC" w:rsidRPr="00A7101B">
        <w:rPr>
          <w:rStyle w:val="FootnoteReference"/>
        </w:rPr>
        <w:footnoteReference w:id="23"/>
      </w:r>
    </w:p>
    <w:p w14:paraId="614660C6" w14:textId="61702D5D" w:rsidR="009D63DF" w:rsidRPr="00A7101B" w:rsidRDefault="00413877" w:rsidP="0095757B">
      <w:pPr>
        <w:spacing w:line="480" w:lineRule="auto"/>
        <w:ind w:left="720" w:hanging="720"/>
        <w:rPr>
          <w:b/>
        </w:rPr>
      </w:pPr>
      <w:r>
        <w:rPr>
          <w:b/>
        </w:rPr>
        <w:t>Q:</w:t>
      </w:r>
      <w:r w:rsidR="00D912CC" w:rsidRPr="00A7101B">
        <w:rPr>
          <w:b/>
        </w:rPr>
        <w:tab/>
        <w:t>Do you have a recommendation for increased support for low-income energy efficiency?</w:t>
      </w:r>
    </w:p>
    <w:p w14:paraId="738B5F71" w14:textId="5FFB317E" w:rsidR="00D912CC" w:rsidRPr="004E6425" w:rsidRDefault="00413877" w:rsidP="008641BC">
      <w:pPr>
        <w:spacing w:line="480" w:lineRule="auto"/>
        <w:ind w:left="720" w:hanging="720"/>
      </w:pPr>
      <w:r w:rsidRPr="00413877">
        <w:t>A:</w:t>
      </w:r>
      <w:r w:rsidR="00722F16" w:rsidRPr="00A7101B">
        <w:t xml:space="preserve"> </w:t>
      </w:r>
      <w:r w:rsidR="00722F16" w:rsidRPr="00A7101B">
        <w:tab/>
        <w:t>Yes.  I recommend that funding for low-income energ</w:t>
      </w:r>
      <w:r w:rsidR="00A7101B">
        <w:t>y efficiency</w:t>
      </w:r>
      <w:r w:rsidR="004E6425">
        <w:t xml:space="preserve"> programs</w:t>
      </w:r>
      <w:r w:rsidR="00A7101B">
        <w:t xml:space="preserve"> be increased by $</w:t>
      </w:r>
      <w:r w:rsidR="004E6425">
        <w:t>250,000</w:t>
      </w:r>
      <w:r w:rsidR="00722F16" w:rsidRPr="00A7101B">
        <w:t xml:space="preserve"> per year </w:t>
      </w:r>
      <w:r w:rsidR="00A7101B">
        <w:t>above the current level</w:t>
      </w:r>
      <w:r w:rsidR="00A7101B">
        <w:rPr>
          <w:rStyle w:val="FootnoteReference"/>
        </w:rPr>
        <w:footnoteReference w:id="24"/>
      </w:r>
      <w:r w:rsidR="00A7101B">
        <w:t xml:space="preserve"> </w:t>
      </w:r>
      <w:r w:rsidR="00722F16" w:rsidRPr="00A7101B">
        <w:t xml:space="preserve">in order to keep pace with the impacts expected under the new decoupling proposal. </w:t>
      </w:r>
      <w:r w:rsidR="00722F16" w:rsidRPr="00A7101B">
        <w:rPr>
          <w:i/>
        </w:rPr>
        <w:t xml:space="preserve"> </w:t>
      </w:r>
      <w:r w:rsidR="004E6425">
        <w:t>This is particularly necessary, given the expiration of the shareholder contribution</w:t>
      </w:r>
      <w:r w:rsidR="005307C9">
        <w:t xml:space="preserve"> of $100,000 per year</w:t>
      </w:r>
      <w:r w:rsidR="004E6425">
        <w:t xml:space="preserve"> to low-income energy efficiency that was in effect during the Rate Plan. </w:t>
      </w:r>
    </w:p>
    <w:p w14:paraId="0F67D906" w14:textId="77777777" w:rsidR="00A41D1A" w:rsidRPr="00804724" w:rsidRDefault="00A877E9" w:rsidP="00804724">
      <w:pPr>
        <w:spacing w:line="480" w:lineRule="auto"/>
        <w:jc w:val="center"/>
        <w:rPr>
          <w:b/>
        </w:rPr>
      </w:pPr>
      <w:r>
        <w:rPr>
          <w:b/>
        </w:rPr>
        <w:lastRenderedPageBreak/>
        <w:t>I</w:t>
      </w:r>
      <w:r w:rsidR="00804724">
        <w:rPr>
          <w:b/>
        </w:rPr>
        <w:t>V.</w:t>
      </w:r>
      <w:r w:rsidR="00804724">
        <w:rPr>
          <w:b/>
        </w:rPr>
        <w:tab/>
      </w:r>
      <w:r w:rsidR="0070450A">
        <w:rPr>
          <w:b/>
        </w:rPr>
        <w:t>OTHER ISSUES AFFECTING LOW-INCOME CUSTOMERS</w:t>
      </w:r>
      <w:r w:rsidR="00804724">
        <w:rPr>
          <w:b/>
        </w:rPr>
        <w:t xml:space="preserve"> </w:t>
      </w:r>
    </w:p>
    <w:p w14:paraId="1DFD7819" w14:textId="6C70030E" w:rsidR="008319AD" w:rsidRPr="00413877" w:rsidRDefault="00111344" w:rsidP="00413877">
      <w:pPr>
        <w:pStyle w:val="ListParagraph"/>
        <w:numPr>
          <w:ilvl w:val="0"/>
          <w:numId w:val="14"/>
        </w:numPr>
        <w:rPr>
          <w:b/>
        </w:rPr>
      </w:pPr>
      <w:r w:rsidRPr="00413877">
        <w:rPr>
          <w:b/>
        </w:rPr>
        <w:t>GET TO ZERO/INTEGRATED VOICE RESPONSE (I</w:t>
      </w:r>
      <w:r w:rsidR="00343DBF" w:rsidRPr="00413877">
        <w:rPr>
          <w:b/>
        </w:rPr>
        <w:t>VR</w:t>
      </w:r>
      <w:r w:rsidRPr="00413877">
        <w:rPr>
          <w:b/>
        </w:rPr>
        <w:t>)</w:t>
      </w:r>
      <w:r w:rsidR="00343DBF" w:rsidRPr="00413877">
        <w:rPr>
          <w:b/>
        </w:rPr>
        <w:t xml:space="preserve"> – </w:t>
      </w:r>
      <w:r w:rsidR="00911A33" w:rsidRPr="00413877">
        <w:rPr>
          <w:b/>
        </w:rPr>
        <w:t>BENEFITS.</w:t>
      </w:r>
    </w:p>
    <w:p w14:paraId="09C65A34" w14:textId="77777777" w:rsidR="00413877" w:rsidRPr="00413877" w:rsidRDefault="00413877" w:rsidP="00413877">
      <w:pPr>
        <w:pStyle w:val="ListParagraph"/>
        <w:ind w:left="1440"/>
        <w:rPr>
          <w:b/>
        </w:rPr>
      </w:pPr>
    </w:p>
    <w:p w14:paraId="1FF52469" w14:textId="6B7730B4" w:rsidR="008319AD" w:rsidRDefault="008319AD" w:rsidP="008319AD">
      <w:pPr>
        <w:spacing w:line="480" w:lineRule="auto"/>
        <w:ind w:left="720" w:hanging="720"/>
        <w:rPr>
          <w:b/>
        </w:rPr>
      </w:pPr>
      <w:r>
        <w:rPr>
          <w:b/>
        </w:rPr>
        <w:t>Q</w:t>
      </w:r>
      <w:r w:rsidR="00413877">
        <w:rPr>
          <w:b/>
        </w:rPr>
        <w:t>:</w:t>
      </w:r>
      <w:r>
        <w:tab/>
      </w:r>
      <w:r>
        <w:rPr>
          <w:b/>
        </w:rPr>
        <w:t>Does The Energy Project have a reaction to the PSE “Get to Zero” initiative?</w:t>
      </w:r>
    </w:p>
    <w:p w14:paraId="1A829502" w14:textId="41B07051" w:rsidR="004F2E8D" w:rsidRDefault="00413877" w:rsidP="00992076">
      <w:pPr>
        <w:spacing w:line="480" w:lineRule="auto"/>
        <w:ind w:left="720" w:hanging="720"/>
      </w:pPr>
      <w:r w:rsidRPr="00413877">
        <w:t>A:</w:t>
      </w:r>
      <w:r w:rsidR="008319AD">
        <w:rPr>
          <w:b/>
        </w:rPr>
        <w:tab/>
      </w:r>
      <w:r w:rsidR="008319AD">
        <w:t>The Energy Project sees potential benefits to</w:t>
      </w:r>
      <w:r w:rsidR="00280DE1">
        <w:t xml:space="preserve"> some</w:t>
      </w:r>
      <w:r w:rsidR="008319AD">
        <w:t xml:space="preserve"> customers in PSE’s Get to Zero program and its increased use of IVR for customer service interactions.</w:t>
      </w:r>
      <w:r w:rsidR="00911A33">
        <w:t xml:space="preserve">  </w:t>
      </w:r>
      <w:r w:rsidR="008319AD">
        <w:t>As consumers in general have become increasingly comfortable with automated customer service transactions, there is a greater expectation that they will be able handle some business affairs conveniently and efficiently through electronic interactions on the telephone or on-line.</w:t>
      </w:r>
      <w:r w:rsidR="001B5D57">
        <w:t xml:space="preserve"> </w:t>
      </w:r>
      <w:r w:rsidR="008319AD">
        <w:t xml:space="preserve"> </w:t>
      </w:r>
      <w:r w:rsidR="00C62B85">
        <w:t>On</w:t>
      </w:r>
      <w:r w:rsidR="00280DE1">
        <w:t>e</w:t>
      </w:r>
      <w:r w:rsidR="00C62B85">
        <w:t xml:space="preserve"> example of this, discussed below, could be electronic enrollment for bill assistance programs. </w:t>
      </w:r>
      <w:r w:rsidR="008319AD">
        <w:t xml:space="preserve"> Customers who prefer and are comfortable with these options can find value in the use of electronic channels of communication with the utility.  The Energy Project also has a concern, </w:t>
      </w:r>
      <w:r w:rsidR="004F2E8D">
        <w:t>however</w:t>
      </w:r>
      <w:r w:rsidR="008319AD">
        <w:t>, that this initiative</w:t>
      </w:r>
      <w:r w:rsidR="00C204B5">
        <w:t xml:space="preserve"> be appropriately coordinated with Community Action agencies and that it</w:t>
      </w:r>
      <w:r w:rsidR="008319AD">
        <w:t xml:space="preserve"> not impair service for low-income customers who need to contact a live agent, particularly to get help with challenging si</w:t>
      </w:r>
      <w:r w:rsidR="004F2E8D">
        <w:t>tuations such as disconnection.</w:t>
      </w:r>
    </w:p>
    <w:p w14:paraId="1E9B1E6F" w14:textId="381660EF" w:rsidR="00992076" w:rsidRPr="00911A33" w:rsidRDefault="00911A33" w:rsidP="00911A33">
      <w:pPr>
        <w:spacing w:line="480" w:lineRule="auto"/>
        <w:ind w:left="720"/>
        <w:rPr>
          <w:b/>
          <w:i/>
        </w:rPr>
      </w:pPr>
      <w:r w:rsidRPr="00911A33">
        <w:rPr>
          <w:b/>
        </w:rPr>
        <w:t>B.</w:t>
      </w:r>
      <w:r w:rsidRPr="00911A33">
        <w:rPr>
          <w:b/>
        </w:rPr>
        <w:tab/>
        <w:t>GET TO ZERO – MAINTAINING CUSTOMER PROTECTIONS</w:t>
      </w:r>
      <w:r>
        <w:rPr>
          <w:b/>
        </w:rPr>
        <w:t>.</w:t>
      </w:r>
    </w:p>
    <w:p w14:paraId="3730ABB9" w14:textId="72B16CB6" w:rsidR="009D63DF" w:rsidRDefault="002A5CA1" w:rsidP="0095757B">
      <w:pPr>
        <w:spacing w:line="480" w:lineRule="auto"/>
        <w:ind w:left="720" w:hanging="720"/>
        <w:rPr>
          <w:b/>
        </w:rPr>
      </w:pPr>
      <w:r>
        <w:rPr>
          <w:b/>
        </w:rPr>
        <w:t>Q:</w:t>
      </w:r>
      <w:r w:rsidR="008319AD">
        <w:rPr>
          <w:b/>
        </w:rPr>
        <w:tab/>
        <w:t xml:space="preserve">Do you have any concerns about the impact of IVR and </w:t>
      </w:r>
      <w:r w:rsidR="00DD2422">
        <w:rPr>
          <w:b/>
        </w:rPr>
        <w:t>the Get To Zero initiative</w:t>
      </w:r>
      <w:r w:rsidR="008319AD">
        <w:rPr>
          <w:b/>
        </w:rPr>
        <w:t xml:space="preserve"> on low-income customers?</w:t>
      </w:r>
    </w:p>
    <w:p w14:paraId="3EC3B4BF" w14:textId="20E4DEB4" w:rsidR="008319AD" w:rsidRDefault="002A5CA1" w:rsidP="008319AD">
      <w:pPr>
        <w:spacing w:line="480" w:lineRule="auto"/>
        <w:ind w:left="720" w:hanging="720"/>
      </w:pPr>
      <w:r w:rsidRPr="002A5CA1">
        <w:t>A:</w:t>
      </w:r>
      <w:r w:rsidR="008319AD">
        <w:rPr>
          <w:b/>
        </w:rPr>
        <w:tab/>
      </w:r>
      <w:r w:rsidR="008319AD">
        <w:t>Yes.  Low-income customers may encounter situations where electronic</w:t>
      </w:r>
      <w:r w:rsidR="003F5A5F">
        <w:t xml:space="preserve"> customer </w:t>
      </w:r>
      <w:r w:rsidR="008319AD">
        <w:t xml:space="preserve">service is not sufficient to address their needs.  This is particularly true in </w:t>
      </w:r>
      <w:r w:rsidR="00DD2422">
        <w:t>challenging situations</w:t>
      </w:r>
      <w:r w:rsidR="008319AD">
        <w:t xml:space="preserve">, for example, </w:t>
      </w:r>
      <w:r w:rsidR="00DD2422">
        <w:t xml:space="preserve">where </w:t>
      </w:r>
      <w:r w:rsidR="008319AD">
        <w:t xml:space="preserve">disconnection, medical </w:t>
      </w:r>
      <w:r w:rsidR="00DD2422">
        <w:t>emergencies</w:t>
      </w:r>
      <w:r w:rsidR="008319AD">
        <w:t xml:space="preserve">, </w:t>
      </w:r>
      <w:r w:rsidR="008319AD">
        <w:lastRenderedPageBreak/>
        <w:t xml:space="preserve">payment arrangements, </w:t>
      </w:r>
      <w:r w:rsidR="00DD2422">
        <w:t xml:space="preserve">and other </w:t>
      </w:r>
      <w:r w:rsidR="008319AD">
        <w:t>credit and collection issues</w:t>
      </w:r>
      <w:r w:rsidR="00DD2422">
        <w:t xml:space="preserve"> are involved</w:t>
      </w:r>
      <w:r w:rsidR="008319AD">
        <w:t>.  In these circumsta</w:t>
      </w:r>
      <w:r w:rsidR="00DD2422">
        <w:t>nces, customers need to have in-</w:t>
      </w:r>
      <w:r w:rsidR="008319AD">
        <w:t xml:space="preserve">person contact with a company representative to get assistance and understand their rights and remedies.  </w:t>
      </w:r>
    </w:p>
    <w:p w14:paraId="74F9EA1C" w14:textId="46A2DBC9" w:rsidR="00EA541A" w:rsidRDefault="002A5CA1" w:rsidP="00EA541A">
      <w:pPr>
        <w:spacing w:line="480" w:lineRule="auto"/>
        <w:rPr>
          <w:b/>
        </w:rPr>
      </w:pPr>
      <w:r>
        <w:rPr>
          <w:b/>
        </w:rPr>
        <w:t>Q:</w:t>
      </w:r>
      <w:r w:rsidR="00EA541A">
        <w:rPr>
          <w:b/>
        </w:rPr>
        <w:tab/>
        <w:t xml:space="preserve">How </w:t>
      </w:r>
      <w:r w:rsidR="00AF066D">
        <w:rPr>
          <w:b/>
        </w:rPr>
        <w:t xml:space="preserve">might IVR be inappropriate in the </w:t>
      </w:r>
      <w:r w:rsidR="00EA541A">
        <w:rPr>
          <w:b/>
        </w:rPr>
        <w:t>disconnection situation?</w:t>
      </w:r>
    </w:p>
    <w:p w14:paraId="0A787FB4" w14:textId="677BCE45" w:rsidR="001B5D57" w:rsidRDefault="002A5CA1" w:rsidP="001B5D57">
      <w:pPr>
        <w:spacing w:line="480" w:lineRule="auto"/>
        <w:ind w:left="720" w:hanging="720"/>
      </w:pPr>
      <w:r w:rsidRPr="002A5CA1">
        <w:t>A:</w:t>
      </w:r>
      <w:r w:rsidR="001B5D57">
        <w:tab/>
      </w:r>
      <w:r w:rsidR="00AF066D">
        <w:t>By its nature, potential disconnection often requires case-by-case determinations and exchange of detailed information unique to the individual customer’s situation,</w:t>
      </w:r>
      <w:r w:rsidR="001B5D57">
        <w:t xml:space="preserve"> often under short timelines.  </w:t>
      </w:r>
      <w:r w:rsidR="00AF066D">
        <w:t>Reflecting this, disconnection procedures in the Commission’s rules include the requirement that the customer disconnection notice include a toll-free number so that “a customer may contact the utility to discuss the pending disconnection of service.”</w:t>
      </w:r>
      <w:r w:rsidR="00AF066D">
        <w:rPr>
          <w:rStyle w:val="FootnoteReference"/>
        </w:rPr>
        <w:footnoteReference w:id="25"/>
      </w:r>
      <w:r w:rsidR="00607211">
        <w:t xml:space="preserve"> </w:t>
      </w:r>
      <w:r w:rsidR="001B5D57">
        <w:t xml:space="preserve"> </w:t>
      </w:r>
      <w:r w:rsidR="00607211">
        <w:t>A</w:t>
      </w:r>
      <w:r w:rsidR="006D60C7">
        <w:t>utomated handling of such calls does not allow for a discussion to occur w</w:t>
      </w:r>
      <w:r w:rsidR="001B5D57">
        <w:t xml:space="preserve">ith a customer representative. </w:t>
      </w:r>
      <w:r w:rsidR="006D60C7">
        <w:t xml:space="preserve"> An opportunity for discussion is important because, depending on the customer, there may be a need to discuss such things as medical emergencies, payment arrangements, or the winter low-income payment program. </w:t>
      </w:r>
      <w:r w:rsidR="00CE0E44">
        <w:t xml:space="preserve">  </w:t>
      </w:r>
    </w:p>
    <w:p w14:paraId="4E1E422A" w14:textId="79790A79" w:rsidR="006B6B44" w:rsidRDefault="003F25DE" w:rsidP="006B6B44">
      <w:pPr>
        <w:spacing w:line="480" w:lineRule="auto"/>
        <w:ind w:left="720" w:firstLine="720"/>
      </w:pPr>
      <w:r>
        <w:t xml:space="preserve">Use of </w:t>
      </w:r>
      <w:r w:rsidR="00607211">
        <w:t xml:space="preserve">IVR </w:t>
      </w:r>
      <w:r>
        <w:t xml:space="preserve">could also pose problems for customers with medical emergencies. </w:t>
      </w:r>
      <w:r w:rsidR="003D5841">
        <w:t xml:space="preserve"> </w:t>
      </w:r>
      <w:r>
        <w:t xml:space="preserve">Commission rules require the Company </w:t>
      </w:r>
      <w:r w:rsidR="00607211">
        <w:t xml:space="preserve">to postpone </w:t>
      </w:r>
      <w:r>
        <w:t>dis</w:t>
      </w:r>
      <w:r w:rsidR="00607211">
        <w:t xml:space="preserve">connection </w:t>
      </w:r>
      <w:r>
        <w:t>under Commission rules if it receives “verbal” notification that the customer has a medical emergency.</w:t>
      </w:r>
      <w:r>
        <w:rPr>
          <w:rStyle w:val="FootnoteReference"/>
        </w:rPr>
        <w:footnoteReference w:id="26"/>
      </w:r>
      <w:r w:rsidR="006B6B44">
        <w:t xml:space="preserve"> </w:t>
      </w:r>
      <w:r>
        <w:t xml:space="preserve"> If the service has already been disconnected, PSE must reconnect if “the customer contacts the utility prior the close of the business day and requests same day reconnection</w:t>
      </w:r>
      <w:r w:rsidR="006D60C7">
        <w:t>.</w:t>
      </w:r>
      <w:r>
        <w:t xml:space="preserve">” </w:t>
      </w:r>
      <w:r w:rsidR="006D60C7">
        <w:t xml:space="preserve"> Again, it does not appear that IVR would be appropriate to handle this type of call.</w:t>
      </w:r>
    </w:p>
    <w:p w14:paraId="19FD805A" w14:textId="2D987DC9" w:rsidR="00CE0E44" w:rsidRDefault="00CE0E44" w:rsidP="006B6B44">
      <w:pPr>
        <w:spacing w:line="480" w:lineRule="auto"/>
        <w:ind w:left="720" w:firstLine="720"/>
      </w:pPr>
      <w:r>
        <w:lastRenderedPageBreak/>
        <w:t>It is important to recall that Commission rules prohibit disconnection of service when a customer is pursuing any remedy or appeal, or is “engaged in discussion with the utility’s representatives” or with the Commission.</w:t>
      </w:r>
      <w:r>
        <w:rPr>
          <w:rStyle w:val="FootnoteReference"/>
        </w:rPr>
        <w:footnoteReference w:id="27"/>
      </w:r>
    </w:p>
    <w:p w14:paraId="2D31C873" w14:textId="7D9A8071" w:rsidR="006D60C7" w:rsidRDefault="002A5CA1" w:rsidP="00EA541A">
      <w:pPr>
        <w:spacing w:line="480" w:lineRule="auto"/>
        <w:rPr>
          <w:b/>
        </w:rPr>
      </w:pPr>
      <w:r>
        <w:rPr>
          <w:b/>
        </w:rPr>
        <w:t>Q:</w:t>
      </w:r>
      <w:r w:rsidR="006D60C7">
        <w:rPr>
          <w:b/>
        </w:rPr>
        <w:tab/>
        <w:t>Why wouldn’t IVR work for establishing payment arrangements?</w:t>
      </w:r>
    </w:p>
    <w:p w14:paraId="69E3AFC1" w14:textId="246DDCBE" w:rsidR="006D60C7" w:rsidRDefault="002A5CA1" w:rsidP="006038D1">
      <w:pPr>
        <w:spacing w:line="480" w:lineRule="auto"/>
        <w:ind w:left="720" w:hanging="720"/>
      </w:pPr>
      <w:r w:rsidRPr="002A5CA1">
        <w:t>A:</w:t>
      </w:r>
      <w:r w:rsidR="006D60C7">
        <w:tab/>
        <w:t xml:space="preserve">While the Commission rules allow customers and the company to agree to payment arrangements in various situations, </w:t>
      </w:r>
      <w:r w:rsidR="003A36FF">
        <w:t>in importa</w:t>
      </w:r>
      <w:r w:rsidR="00280DE1">
        <w:t xml:space="preserve">nt cases </w:t>
      </w:r>
      <w:r w:rsidR="006D60C7">
        <w:t xml:space="preserve">the rules leave open most or all of the specific details of the payment arrangement.  The specific terms of the arrangement are left to be negotiated between customer and company, </w:t>
      </w:r>
      <w:r w:rsidR="00280DE1">
        <w:t>an interaction that d</w:t>
      </w:r>
      <w:r w:rsidR="006D60C7">
        <w:t xml:space="preserve">oes not lend itself to </w:t>
      </w:r>
      <w:r w:rsidR="0043679C">
        <w:t xml:space="preserve">an </w:t>
      </w:r>
      <w:r w:rsidR="006D60C7">
        <w:t xml:space="preserve">automated process.  </w:t>
      </w:r>
      <w:r w:rsidR="008B0867">
        <w:t>In the case of medical emergencies, the rules specifically allow companies to agree to an “alternate payment plan”</w:t>
      </w:r>
      <w:r w:rsidR="00FA1D91">
        <w:rPr>
          <w:rStyle w:val="FootnoteReference"/>
        </w:rPr>
        <w:footnoteReference w:id="28"/>
      </w:r>
      <w:r w:rsidR="00FE1740">
        <w:t xml:space="preserve"> </w:t>
      </w:r>
      <w:r w:rsidR="008B0867">
        <w:t xml:space="preserve">different than that outlined in the rules, which again would require direct interaction between the customer and the live representative. </w:t>
      </w:r>
      <w:r w:rsidR="00E27636">
        <w:t xml:space="preserve"> Deposit requirements also allow for individualized </w:t>
      </w:r>
      <w:r w:rsidR="002F72CD">
        <w:t>payment arrangements</w:t>
      </w:r>
      <w:r w:rsidR="00E27636">
        <w:t>.</w:t>
      </w:r>
      <w:r w:rsidR="00E27636">
        <w:rPr>
          <w:rStyle w:val="FootnoteReference"/>
        </w:rPr>
        <w:footnoteReference w:id="29"/>
      </w:r>
    </w:p>
    <w:p w14:paraId="5EDA5FFE" w14:textId="04BF0B43" w:rsidR="00FA1D91" w:rsidRDefault="00821902" w:rsidP="00EA541A">
      <w:pPr>
        <w:spacing w:line="480" w:lineRule="auto"/>
        <w:rPr>
          <w:b/>
        </w:rPr>
      </w:pPr>
      <w:r>
        <w:rPr>
          <w:b/>
        </w:rPr>
        <w:t>Q:</w:t>
      </w:r>
      <w:r w:rsidR="00FA1D91">
        <w:rPr>
          <w:b/>
        </w:rPr>
        <w:t xml:space="preserve"> </w:t>
      </w:r>
      <w:r w:rsidR="00FA1D91">
        <w:rPr>
          <w:b/>
        </w:rPr>
        <w:tab/>
        <w:t>Are there other areas of concern?</w:t>
      </w:r>
    </w:p>
    <w:p w14:paraId="6FBE3863" w14:textId="04B1FB87" w:rsidR="006038D1" w:rsidRDefault="00821902" w:rsidP="006038D1">
      <w:pPr>
        <w:spacing w:line="480" w:lineRule="auto"/>
        <w:ind w:left="720" w:hanging="720"/>
      </w:pPr>
      <w:r w:rsidRPr="00821902">
        <w:t>A:</w:t>
      </w:r>
      <w:r w:rsidR="00FA7768">
        <w:tab/>
        <w:t xml:space="preserve">Yes, </w:t>
      </w:r>
      <w:r w:rsidR="00FA1D91">
        <w:t>Commission rules allow a third party to be designated to receive a notice of disconnection or of other matters aff</w:t>
      </w:r>
      <w:r w:rsidR="006038D1">
        <w:t xml:space="preserve">ecting service for a customer. </w:t>
      </w:r>
      <w:r w:rsidR="00FA1D91">
        <w:t xml:space="preserve"> If the utility believes a customer is not able to understand the effect</w:t>
      </w:r>
      <w:r w:rsidR="002C2393">
        <w:t xml:space="preserve"> of the disconnection, the utility must consider a social agency to be the third party.</w:t>
      </w:r>
      <w:r w:rsidR="002C2393">
        <w:rPr>
          <w:rStyle w:val="FootnoteReference"/>
        </w:rPr>
        <w:footnoteReference w:id="30"/>
      </w:r>
      <w:r w:rsidR="006038D1">
        <w:t xml:space="preserve"> </w:t>
      </w:r>
      <w:r w:rsidR="002C2393">
        <w:t xml:space="preserve"> A social agency or other third party will need to be in contact with a live representative to learn what </w:t>
      </w:r>
      <w:r w:rsidR="002C2393">
        <w:lastRenderedPageBreak/>
        <w:t xml:space="preserve">is happening, understand the options, and arrange the details for payment or other means to prevent disconnection.  </w:t>
      </w:r>
    </w:p>
    <w:p w14:paraId="744D77B0" w14:textId="4C11F0A3" w:rsidR="006038D1" w:rsidRDefault="002C2393" w:rsidP="006038D1">
      <w:pPr>
        <w:spacing w:line="480" w:lineRule="auto"/>
        <w:ind w:left="720" w:firstLine="720"/>
      </w:pPr>
      <w:r>
        <w:t>Another situation</w:t>
      </w:r>
      <w:r w:rsidR="002E21CA">
        <w:t xml:space="preserve"> requiring direct communication </w:t>
      </w:r>
      <w:r>
        <w:t>arises when service is provided to a master meter, or to someone other than the customer</w:t>
      </w:r>
      <w:r w:rsidR="002D6C8C">
        <w:t xml:space="preserve"> of record.  When </w:t>
      </w:r>
      <w:r>
        <w:t>disconnection is threatened, the company must make efforts to contact the occupants of the service address, and the occupants can contact the utility to postpone disconnection and arrange for continued service.</w:t>
      </w:r>
      <w:r>
        <w:rPr>
          <w:rStyle w:val="FootnoteReference"/>
        </w:rPr>
        <w:footnoteReference w:id="31"/>
      </w:r>
      <w:r>
        <w:t xml:space="preserve">  </w:t>
      </w:r>
    </w:p>
    <w:p w14:paraId="3D110B80" w14:textId="2C8C272A" w:rsidR="00FA1D91" w:rsidRDefault="0043679C" w:rsidP="006038D1">
      <w:pPr>
        <w:spacing w:line="480" w:lineRule="auto"/>
        <w:ind w:left="720" w:firstLine="720"/>
      </w:pPr>
      <w:r>
        <w:t>T</w:t>
      </w:r>
      <w:r w:rsidR="0036206B">
        <w:t xml:space="preserve">hese </w:t>
      </w:r>
      <w:r>
        <w:t>varied and fact-specific</w:t>
      </w:r>
      <w:r w:rsidR="0036206B">
        <w:t xml:space="preserve"> scenarios</w:t>
      </w:r>
      <w:r w:rsidR="002C2393">
        <w:t xml:space="preserve"> </w:t>
      </w:r>
      <w:r w:rsidR="00CE0E44">
        <w:t>do</w:t>
      </w:r>
      <w:r>
        <w:t xml:space="preserve"> </w:t>
      </w:r>
      <w:r w:rsidR="002C2393">
        <w:t xml:space="preserve">not lend </w:t>
      </w:r>
      <w:r>
        <w:t>themselves</w:t>
      </w:r>
      <w:r w:rsidR="00E27636">
        <w:t xml:space="preserve"> </w:t>
      </w:r>
      <w:r w:rsidR="002C2393">
        <w:t>to automated communication.</w:t>
      </w:r>
      <w:r w:rsidR="00DF63F1">
        <w:t xml:space="preserve"> </w:t>
      </w:r>
    </w:p>
    <w:p w14:paraId="2FEF5FE0" w14:textId="39EBC5FD" w:rsidR="009D63DF" w:rsidRDefault="00821902" w:rsidP="0095757B">
      <w:pPr>
        <w:spacing w:line="480" w:lineRule="auto"/>
        <w:ind w:left="720" w:hanging="720"/>
        <w:rPr>
          <w:b/>
        </w:rPr>
      </w:pPr>
      <w:r>
        <w:rPr>
          <w:b/>
        </w:rPr>
        <w:t>Q:</w:t>
      </w:r>
      <w:r w:rsidR="001C25AF">
        <w:rPr>
          <w:b/>
        </w:rPr>
        <w:tab/>
      </w:r>
      <w:r w:rsidR="00263DC3">
        <w:rPr>
          <w:b/>
        </w:rPr>
        <w:t>Does TEP have concerns that customers or agencies could experience problems with IVR or related automated referrals processes?</w:t>
      </w:r>
    </w:p>
    <w:p w14:paraId="747E79FD" w14:textId="3DD93DEF" w:rsidR="00263DC3" w:rsidRDefault="00821902" w:rsidP="001C25AF">
      <w:pPr>
        <w:spacing w:line="480" w:lineRule="auto"/>
        <w:ind w:left="720" w:hanging="720"/>
      </w:pPr>
      <w:r w:rsidRPr="00821902">
        <w:t>A:</w:t>
      </w:r>
      <w:r w:rsidR="00263DC3">
        <w:tab/>
      </w:r>
      <w:r w:rsidR="00263DC3" w:rsidRPr="00FE2ED6">
        <w:t>TEP has concerns that automated processes that end in referrals to agencies for services could become problematic</w:t>
      </w:r>
      <w:r w:rsidR="00263DC3">
        <w:t xml:space="preserve">, </w:t>
      </w:r>
      <w:r w:rsidR="00E27636">
        <w:t xml:space="preserve">for example, </w:t>
      </w:r>
      <w:r w:rsidR="00263DC3">
        <w:t>with regard to the appropriateness of the referrals and the volume of referrals</w:t>
      </w:r>
      <w:r w:rsidR="00263DC3" w:rsidRPr="00FE2ED6">
        <w:t>.</w:t>
      </w:r>
      <w:r w:rsidR="00214D9F">
        <w:t xml:space="preserve"> </w:t>
      </w:r>
      <w:r w:rsidR="00263DC3" w:rsidRPr="00FE2ED6">
        <w:t xml:space="preserve"> The Community Action Partnership agencies have limited staff and resources available to handle referrals for utility assistance. </w:t>
      </w:r>
      <w:r w:rsidR="00214D9F">
        <w:t xml:space="preserve"> </w:t>
      </w:r>
      <w:r w:rsidR="00263DC3" w:rsidRPr="00FE2ED6">
        <w:t>It is the view of TEP that any processes that result in a referral (automated or not) should be discussed with agencies prior to that process being implemented.</w:t>
      </w:r>
      <w:r w:rsidR="00263DC3" w:rsidRPr="000F5344">
        <w:t xml:space="preserve"> </w:t>
      </w:r>
      <w:r w:rsidR="00214D9F">
        <w:t xml:space="preserve"> </w:t>
      </w:r>
      <w:r w:rsidR="00263DC3" w:rsidRPr="000F5344">
        <w:t xml:space="preserve">A formal process for </w:t>
      </w:r>
      <w:r w:rsidR="00263DC3">
        <w:t xml:space="preserve">discussing the impact of automated systems for referrals and other related matters </w:t>
      </w:r>
      <w:r w:rsidR="00263DC3" w:rsidRPr="006D3EC7">
        <w:t>would be very beneficial</w:t>
      </w:r>
      <w:r w:rsidR="00263DC3">
        <w:t xml:space="preserve">. </w:t>
      </w:r>
      <w:r w:rsidR="00214D9F">
        <w:t xml:space="preserve"> </w:t>
      </w:r>
      <w:r w:rsidR="00263DC3">
        <w:t xml:space="preserve">As discussed below, </w:t>
      </w:r>
      <w:r w:rsidR="00263DC3" w:rsidRPr="000F5344">
        <w:t xml:space="preserve">TEP recommends </w:t>
      </w:r>
      <w:r w:rsidR="00263DC3" w:rsidRPr="00FE2ED6">
        <w:t xml:space="preserve">establishing a PSE </w:t>
      </w:r>
      <w:r w:rsidR="00263DC3">
        <w:t xml:space="preserve">Low-Income </w:t>
      </w:r>
      <w:r w:rsidR="00263DC3" w:rsidRPr="00FE2ED6">
        <w:t>Advisory Committee</w:t>
      </w:r>
      <w:r w:rsidR="00263DC3">
        <w:t xml:space="preserve"> to address this and other issues.</w:t>
      </w:r>
    </w:p>
    <w:p w14:paraId="75763FBA" w14:textId="5C1B0252" w:rsidR="009D63DF" w:rsidRDefault="00821902" w:rsidP="0095757B">
      <w:pPr>
        <w:spacing w:line="480" w:lineRule="auto"/>
        <w:ind w:left="720" w:hanging="720"/>
        <w:rPr>
          <w:b/>
        </w:rPr>
      </w:pPr>
      <w:r>
        <w:rPr>
          <w:b/>
        </w:rPr>
        <w:lastRenderedPageBreak/>
        <w:t>Q:</w:t>
      </w:r>
      <w:r w:rsidR="00214D9F">
        <w:rPr>
          <w:b/>
        </w:rPr>
        <w:tab/>
      </w:r>
      <w:r w:rsidR="00263DC3">
        <w:rPr>
          <w:b/>
        </w:rPr>
        <w:t>Will increased use of IVR have an effect on how Community Action and other assistance agencies interact with PSE and low-income customers?</w:t>
      </w:r>
    </w:p>
    <w:p w14:paraId="27AF1B90" w14:textId="555E9C79" w:rsidR="00263DC3" w:rsidRDefault="00821902" w:rsidP="00214D9F">
      <w:pPr>
        <w:spacing w:line="480" w:lineRule="auto"/>
        <w:ind w:left="720" w:hanging="720"/>
      </w:pPr>
      <w:r w:rsidRPr="00821902">
        <w:t>A:</w:t>
      </w:r>
      <w:r w:rsidR="00214D9F">
        <w:tab/>
      </w:r>
      <w:r w:rsidR="00120502">
        <w:t xml:space="preserve">Yes.  </w:t>
      </w:r>
      <w:r w:rsidR="00263DC3">
        <w:t xml:space="preserve">One example of an area that deserves attention is the winter low-income payment program.  The Commission rules for the program allow the customer to trigger the protections of the rule by notifying the utility of inability </w:t>
      </w:r>
      <w:r w:rsidR="008959F7">
        <w:t xml:space="preserve">to </w:t>
      </w:r>
      <w:r w:rsidR="00263DC3">
        <w:t>pay the bill within five days</w:t>
      </w:r>
      <w:r w:rsidR="00120502">
        <w:t xml:space="preserve"> of receiving a delinquency notice</w:t>
      </w:r>
      <w:r w:rsidR="00263DC3">
        <w:t>, unless there are “extenuating circumstances.”</w:t>
      </w:r>
      <w:r w:rsidR="00263DC3">
        <w:rPr>
          <w:rStyle w:val="FootnoteReference"/>
        </w:rPr>
        <w:footnoteReference w:id="32"/>
      </w:r>
      <w:r w:rsidR="00601544">
        <w:t xml:space="preserve">  In order to describe </w:t>
      </w:r>
      <w:r w:rsidR="00263DC3">
        <w:t xml:space="preserve">“extenuating circumstances” a customer will need to talk with </w:t>
      </w:r>
      <w:r w:rsidR="005F0269">
        <w:t xml:space="preserve">a PSE company representative.  </w:t>
      </w:r>
      <w:r w:rsidR="00263DC3">
        <w:t xml:space="preserve">The rules require the customer to apply for energy assistance and both allow for and require a series of communications between the agency providing assistance, the customer, and the company.  The utility is in fact required to help the customer fulfill the requirements of the </w:t>
      </w:r>
      <w:r w:rsidR="005F0269">
        <w:t xml:space="preserve">winter payment program rules.  </w:t>
      </w:r>
      <w:r w:rsidR="00263DC3">
        <w:t>The Company will need to continue to have sufficient PSE customer representatives available to deal with both the agencies and the customers in this process.</w:t>
      </w:r>
    </w:p>
    <w:p w14:paraId="3255E536" w14:textId="4103C2D8" w:rsidR="009D63DF" w:rsidRDefault="00821902" w:rsidP="0095757B">
      <w:pPr>
        <w:spacing w:line="480" w:lineRule="auto"/>
        <w:ind w:left="720" w:hanging="720"/>
        <w:rPr>
          <w:b/>
        </w:rPr>
      </w:pPr>
      <w:r>
        <w:rPr>
          <w:b/>
        </w:rPr>
        <w:t>Q:</w:t>
      </w:r>
      <w:r w:rsidR="005F0269">
        <w:rPr>
          <w:b/>
        </w:rPr>
        <w:tab/>
      </w:r>
      <w:r w:rsidR="00A95CDE">
        <w:rPr>
          <w:b/>
        </w:rPr>
        <w:t xml:space="preserve">What is your understanding about how PSE currently handles the </w:t>
      </w:r>
      <w:r w:rsidR="00732B69">
        <w:rPr>
          <w:b/>
        </w:rPr>
        <w:t xml:space="preserve">different </w:t>
      </w:r>
      <w:r w:rsidR="00A95CDE">
        <w:rPr>
          <w:b/>
        </w:rPr>
        <w:t>type</w:t>
      </w:r>
      <w:r w:rsidR="00732B69">
        <w:rPr>
          <w:b/>
        </w:rPr>
        <w:t>s</w:t>
      </w:r>
      <w:r w:rsidR="00A95CDE">
        <w:rPr>
          <w:b/>
        </w:rPr>
        <w:t xml:space="preserve"> of calls discussed above?</w:t>
      </w:r>
    </w:p>
    <w:p w14:paraId="6430960F" w14:textId="095420CA" w:rsidR="005F0269" w:rsidRDefault="00821902" w:rsidP="005F0269">
      <w:pPr>
        <w:spacing w:line="480" w:lineRule="auto"/>
        <w:ind w:left="720" w:hanging="720"/>
      </w:pPr>
      <w:r w:rsidRPr="00821902">
        <w:t>A:</w:t>
      </w:r>
      <w:r w:rsidR="005F0269">
        <w:tab/>
        <w:t xml:space="preserve">In discovery, </w:t>
      </w:r>
      <w:r w:rsidR="00A95CDE">
        <w:t>The Energy Project asked PSE for information about the handling of calls on the following topics:</w:t>
      </w:r>
    </w:p>
    <w:p w14:paraId="736BBE6A" w14:textId="77B5FDE9" w:rsidR="00A95CDE" w:rsidRDefault="00A95CDE" w:rsidP="005F0269">
      <w:pPr>
        <w:spacing w:line="480" w:lineRule="auto"/>
        <w:ind w:left="720" w:firstLine="720"/>
      </w:pPr>
      <w:r>
        <w:t>(1) residential services deposits</w:t>
      </w:r>
      <w:r w:rsidR="005F0269">
        <w:t>,</w:t>
      </w:r>
    </w:p>
    <w:p w14:paraId="0774CC3E" w14:textId="7A6195F5" w:rsidR="00A95CDE" w:rsidRDefault="00A95CDE" w:rsidP="005F0269">
      <w:pPr>
        <w:spacing w:line="480" w:lineRule="auto"/>
        <w:ind w:left="720" w:firstLine="720"/>
      </w:pPr>
      <w:r>
        <w:t>(2) refusal of service and prior obligations</w:t>
      </w:r>
      <w:r w:rsidR="005F0269">
        <w:t>,</w:t>
      </w:r>
    </w:p>
    <w:p w14:paraId="26CC1102" w14:textId="4B0B7D14" w:rsidR="00A95CDE" w:rsidRDefault="00A95CDE" w:rsidP="005F0269">
      <w:pPr>
        <w:spacing w:line="480" w:lineRule="auto"/>
        <w:ind w:left="720" w:firstLine="720"/>
      </w:pPr>
      <w:r>
        <w:t>(3) disconnection of service</w:t>
      </w:r>
      <w:r w:rsidR="005F0269">
        <w:t>,</w:t>
      </w:r>
    </w:p>
    <w:p w14:paraId="7DB55330" w14:textId="6456915D" w:rsidR="00A95CDE" w:rsidRDefault="00A95CDE" w:rsidP="005F0269">
      <w:pPr>
        <w:spacing w:line="480" w:lineRule="auto"/>
        <w:ind w:left="720" w:firstLine="720"/>
      </w:pPr>
      <w:r>
        <w:lastRenderedPageBreak/>
        <w:t>(4) medical emergencies</w:t>
      </w:r>
      <w:r w:rsidR="005F0269">
        <w:t>,</w:t>
      </w:r>
    </w:p>
    <w:p w14:paraId="304553FF" w14:textId="21AD5423" w:rsidR="00A95CDE" w:rsidRDefault="00A95CDE" w:rsidP="005F0269">
      <w:pPr>
        <w:spacing w:line="480" w:lineRule="auto"/>
        <w:ind w:left="720" w:firstLine="720"/>
      </w:pPr>
      <w:r>
        <w:t>(5) reconnection after disconnection</w:t>
      </w:r>
      <w:r w:rsidR="005F0269">
        <w:t>,</w:t>
      </w:r>
    </w:p>
    <w:p w14:paraId="6EB42557" w14:textId="54B1742E" w:rsidR="00A95CDE" w:rsidRDefault="00A95CDE" w:rsidP="005F0269">
      <w:pPr>
        <w:spacing w:line="480" w:lineRule="auto"/>
        <w:ind w:left="720" w:firstLine="720"/>
      </w:pPr>
      <w:r>
        <w:t>(6) payment arrangements</w:t>
      </w:r>
      <w:r w:rsidR="005F0269">
        <w:t>,</w:t>
      </w:r>
    </w:p>
    <w:p w14:paraId="1009744B" w14:textId="70CEA7E8" w:rsidR="00A95CDE" w:rsidRDefault="00A95CDE" w:rsidP="005F0269">
      <w:pPr>
        <w:spacing w:line="480" w:lineRule="auto"/>
        <w:ind w:left="720" w:firstLine="720"/>
      </w:pPr>
      <w:r>
        <w:t>(7) bill assistance, including HELP or LIHEAP</w:t>
      </w:r>
      <w:r w:rsidR="005F0269">
        <w:t>, and</w:t>
      </w:r>
    </w:p>
    <w:p w14:paraId="55BF141F" w14:textId="2EC2FD44" w:rsidR="00A95CDE" w:rsidRDefault="00A95CDE" w:rsidP="005F0269">
      <w:pPr>
        <w:spacing w:line="480" w:lineRule="auto"/>
        <w:ind w:left="720" w:firstLine="720"/>
      </w:pPr>
      <w:r>
        <w:t>(8) low-income weatherization</w:t>
      </w:r>
      <w:r w:rsidR="005F0269">
        <w:t>.</w:t>
      </w:r>
    </w:p>
    <w:p w14:paraId="6EE96C82" w14:textId="634D93AB" w:rsidR="005F0269" w:rsidRDefault="00A95CDE" w:rsidP="005F0269">
      <w:pPr>
        <w:spacing w:line="480" w:lineRule="auto"/>
        <w:ind w:left="720" w:firstLine="720"/>
      </w:pPr>
      <w:r>
        <w:t xml:space="preserve">PSE stated that, of these call types, </w:t>
      </w:r>
      <w:r w:rsidR="00677C20">
        <w:t xml:space="preserve">only payment arrangement calls can be independently handled by </w:t>
      </w:r>
      <w:r>
        <w:t>the IVR system.</w:t>
      </w:r>
      <w:r w:rsidR="00612EA2">
        <w:rPr>
          <w:rStyle w:val="FootnoteReference"/>
        </w:rPr>
        <w:footnoteReference w:id="33"/>
      </w:r>
      <w:r w:rsidR="0051397B">
        <w:t xml:space="preserve">  </w:t>
      </w:r>
      <w:r w:rsidR="008959F7">
        <w:t xml:space="preserve">Even for </w:t>
      </w:r>
      <w:r w:rsidR="0051397B">
        <w:t xml:space="preserve">calls about payment arrangements, notwithstanding the availability of the fully automated </w:t>
      </w:r>
      <w:r w:rsidR="008959F7">
        <w:t>path</w:t>
      </w:r>
      <w:r w:rsidR="001C751C">
        <w:t xml:space="preserve">, the large majority </w:t>
      </w:r>
      <w:r w:rsidR="008959F7">
        <w:t xml:space="preserve">of calls ultimately required participation by </w:t>
      </w:r>
      <w:r w:rsidR="001C751C">
        <w:t>PSE customer representatives</w:t>
      </w:r>
      <w:r w:rsidR="0051397B">
        <w:t>.</w:t>
      </w:r>
      <w:r w:rsidR="0051397B">
        <w:rPr>
          <w:rStyle w:val="FootnoteReference"/>
        </w:rPr>
        <w:footnoteReference w:id="34"/>
      </w:r>
      <w:r w:rsidR="0051397B">
        <w:t xml:space="preserve"> </w:t>
      </w:r>
      <w:r w:rsidR="005F0269">
        <w:t xml:space="preserve"> </w:t>
      </w:r>
      <w:r w:rsidR="00677C20">
        <w:t xml:space="preserve">In 2015, PSE received 265,282 payment arrangement calls, of which 61,667 were handled solely by the IVR system, with the remainder (203,615 or 77 %) handled by a customer representative.  In 2016, PSE received 228,470 calls, of which 56,122 were handled solely by the IVR system, with the remainder (172,348 or 75%) handled by a customer representative.  </w:t>
      </w:r>
      <w:r w:rsidR="001C751C">
        <w:t xml:space="preserve">This appears to reflect a </w:t>
      </w:r>
      <w:r w:rsidR="008959F7">
        <w:t>practical necessity</w:t>
      </w:r>
      <w:r w:rsidR="00612EA2">
        <w:t xml:space="preserve"> or a </w:t>
      </w:r>
      <w:r w:rsidR="001C751C">
        <w:t>strong customer preference</w:t>
      </w:r>
      <w:r w:rsidR="008959F7">
        <w:t>, or both,</w:t>
      </w:r>
      <w:r w:rsidR="001C751C">
        <w:t xml:space="preserve"> for </w:t>
      </w:r>
      <w:r w:rsidR="008959F7">
        <w:t xml:space="preserve">interaction </w:t>
      </w:r>
      <w:r w:rsidR="001C751C">
        <w:t xml:space="preserve">with a </w:t>
      </w:r>
      <w:r w:rsidR="008959F7">
        <w:t xml:space="preserve">PSE customer representative to make </w:t>
      </w:r>
      <w:r w:rsidR="001C751C">
        <w:t xml:space="preserve">payment arrangements.  </w:t>
      </w:r>
    </w:p>
    <w:p w14:paraId="7131A997" w14:textId="5B52DA88" w:rsidR="00A95CDE" w:rsidRDefault="00687D7D" w:rsidP="005F0269">
      <w:pPr>
        <w:spacing w:line="480" w:lineRule="auto"/>
        <w:ind w:left="720" w:firstLine="720"/>
      </w:pPr>
      <w:r>
        <w:t>The Company reported that a</w:t>
      </w:r>
      <w:r w:rsidR="00A95CDE">
        <w:t xml:space="preserve">ll </w:t>
      </w:r>
      <w:r>
        <w:t xml:space="preserve">the </w:t>
      </w:r>
      <w:r w:rsidR="00A95CDE">
        <w:t>other call types</w:t>
      </w:r>
      <w:r w:rsidR="00677C20">
        <w:t xml:space="preserve"> listed</w:t>
      </w:r>
      <w:r w:rsidR="00A95CDE">
        <w:t xml:space="preserve"> are routed through the IVR to be handled by PSE customer representatives.</w:t>
      </w:r>
      <w:r w:rsidR="00701AD0">
        <w:rPr>
          <w:rStyle w:val="FootnoteReference"/>
        </w:rPr>
        <w:footnoteReference w:id="35"/>
      </w:r>
      <w:r w:rsidR="00A95CDE">
        <w:t xml:space="preserve"> </w:t>
      </w:r>
      <w:r w:rsidR="00677C20">
        <w:t xml:space="preserve"> </w:t>
      </w:r>
      <w:r w:rsidR="002D108F">
        <w:t xml:space="preserve">PSE was not able to provide the number of calls received by PSE for any of the call types </w:t>
      </w:r>
      <w:r w:rsidR="002D108F">
        <w:lastRenderedPageBreak/>
        <w:t>except payment arrangement calls</w:t>
      </w:r>
      <w:r w:rsidR="002F72CD">
        <w:t xml:space="preserve"> as it</w:t>
      </w:r>
      <w:r w:rsidR="002D108F">
        <w:t xml:space="preserve"> does not keep detailed data</w:t>
      </w:r>
      <w:r w:rsidR="002F72CD">
        <w:t xml:space="preserve"> for these call types</w:t>
      </w:r>
      <w:r w:rsidR="002D108F">
        <w:t>.</w:t>
      </w:r>
      <w:r w:rsidR="00701AD0">
        <w:rPr>
          <w:rStyle w:val="FootnoteReference"/>
        </w:rPr>
        <w:footnoteReference w:id="36"/>
      </w:r>
      <w:r w:rsidR="006E27D7">
        <w:t xml:space="preserve"> </w:t>
      </w:r>
    </w:p>
    <w:p w14:paraId="1943EDC9" w14:textId="105D4391" w:rsidR="002D108F" w:rsidRDefault="00821902" w:rsidP="002D108F">
      <w:pPr>
        <w:spacing w:line="480" w:lineRule="auto"/>
        <w:rPr>
          <w:b/>
        </w:rPr>
      </w:pPr>
      <w:r>
        <w:rPr>
          <w:b/>
        </w:rPr>
        <w:t>Q:</w:t>
      </w:r>
      <w:r w:rsidR="002D108F">
        <w:rPr>
          <w:b/>
        </w:rPr>
        <w:tab/>
        <w:t>What conclusions do you draw from this information?</w:t>
      </w:r>
    </w:p>
    <w:p w14:paraId="042F92F0" w14:textId="5AA511B4" w:rsidR="00854069" w:rsidRDefault="00821902" w:rsidP="00854069">
      <w:pPr>
        <w:spacing w:line="480" w:lineRule="auto"/>
        <w:ind w:left="720" w:hanging="720"/>
      </w:pPr>
      <w:r w:rsidRPr="00821902">
        <w:t>A:</w:t>
      </w:r>
      <w:r w:rsidR="002D108F">
        <w:tab/>
        <w:t xml:space="preserve">At present, it appears that the majority of customers facing the challenging </w:t>
      </w:r>
      <w:r w:rsidR="007A30DC">
        <w:t xml:space="preserve">or crisis </w:t>
      </w:r>
      <w:r w:rsidR="002D108F">
        <w:t>situations listed above are able to work with a PSE customer representative</w:t>
      </w:r>
      <w:r w:rsidR="00D33AB4">
        <w:t>, at least</w:t>
      </w:r>
      <w:r w:rsidR="00701AD0">
        <w:t xml:space="preserve"> after initial contact with the IVR system</w:t>
      </w:r>
      <w:r w:rsidR="0024465A">
        <w:t xml:space="preserve">. </w:t>
      </w:r>
      <w:r w:rsidR="00156175">
        <w:t xml:space="preserve"> </w:t>
      </w:r>
      <w:r w:rsidR="00680129">
        <w:t xml:space="preserve">This is positive.  </w:t>
      </w:r>
      <w:r w:rsidR="00156175">
        <w:t xml:space="preserve">The Energy Project believes </w:t>
      </w:r>
      <w:r w:rsidR="00D33AB4">
        <w:t>that personal contact</w:t>
      </w:r>
      <w:r w:rsidR="00156175">
        <w:t xml:space="preserve"> is the preferable means for PSE to interact with its customers in these situations.</w:t>
      </w:r>
      <w:r w:rsidR="0024465A">
        <w:t xml:space="preserve">  </w:t>
      </w:r>
      <w:r w:rsidR="00D33AB4">
        <w:t xml:space="preserve">To the extent IVR systems are involved prior to referral to the customer representative, the IVR phase of the call should be brief, efficient, and provide accurate information.  </w:t>
      </w:r>
      <w:r w:rsidR="00854069">
        <w:t xml:space="preserve"> </w:t>
      </w:r>
    </w:p>
    <w:p w14:paraId="7A29D0DC" w14:textId="03E9702A" w:rsidR="007F19CF" w:rsidRDefault="00D33AB4" w:rsidP="00854069">
      <w:pPr>
        <w:spacing w:line="480" w:lineRule="auto"/>
        <w:ind w:left="720" w:firstLine="720"/>
      </w:pPr>
      <w:r>
        <w:t xml:space="preserve">A </w:t>
      </w:r>
      <w:r w:rsidR="00156175">
        <w:t xml:space="preserve">concern raised by the Get to Zero initiative is whether </w:t>
      </w:r>
      <w:r>
        <w:t>it</w:t>
      </w:r>
      <w:r w:rsidR="00156175">
        <w:t xml:space="preserve"> will continue to be the case</w:t>
      </w:r>
      <w:r>
        <w:t xml:space="preserve"> that all calls of this type </w:t>
      </w:r>
      <w:r w:rsidR="00267F59">
        <w:t>will be</w:t>
      </w:r>
      <w:r>
        <w:t xml:space="preserve"> handled by customer representatives.  </w:t>
      </w:r>
      <w:r w:rsidR="00156175">
        <w:t>When asked in discovery to describe its plans for future use of IVR to handle these types of calls, PSE responded that it does not have specific detailed plans available</w:t>
      </w:r>
      <w:r w:rsidR="00267F59">
        <w:t>.</w:t>
      </w:r>
      <w:r w:rsidR="00DF63F1">
        <w:t xml:space="preserve"> </w:t>
      </w:r>
      <w:r w:rsidR="00821902">
        <w:t xml:space="preserve"> </w:t>
      </w:r>
      <w:r w:rsidR="00854069">
        <w:t>PSE referred The Energy Project generally to the testimo</w:t>
      </w:r>
      <w:r w:rsidR="0079055B">
        <w:t xml:space="preserve">ny of David Mills, Exh. DEM-1T </w:t>
      </w:r>
      <w:r w:rsidR="00854069">
        <w:t>for overall information on the objectives and scope of the Get to Zero program.</w:t>
      </w:r>
      <w:r w:rsidR="00854069" w:rsidRPr="00854069">
        <w:rPr>
          <w:rStyle w:val="FootnoteReference"/>
        </w:rPr>
        <w:t xml:space="preserve"> </w:t>
      </w:r>
      <w:r w:rsidR="00854069">
        <w:rPr>
          <w:rStyle w:val="FootnoteReference"/>
        </w:rPr>
        <w:footnoteReference w:id="37"/>
      </w:r>
      <w:r w:rsidR="00854069">
        <w:t xml:space="preserve">  </w:t>
      </w:r>
    </w:p>
    <w:p w14:paraId="1B6065AA" w14:textId="1DC3A03E" w:rsidR="00D33AB4" w:rsidRDefault="00854069" w:rsidP="00D33AB4">
      <w:pPr>
        <w:spacing w:line="480" w:lineRule="auto"/>
        <w:ind w:left="720" w:firstLine="720"/>
      </w:pPr>
      <w:r>
        <w:t>Mr. Mills</w:t>
      </w:r>
      <w:r w:rsidR="00897A43">
        <w:t xml:space="preserve">’ </w:t>
      </w:r>
      <w:r>
        <w:t>testimony does not specifically address the types of calls discussed h</w:t>
      </w:r>
      <w:r w:rsidR="00821902">
        <w:t xml:space="preserve">ere.  </w:t>
      </w:r>
      <w:r>
        <w:t xml:space="preserve">The testimony does express the “aim … to make the customer experience so good that customers will not have a need to pick up the phone and </w:t>
      </w:r>
      <w:r>
        <w:lastRenderedPageBreak/>
        <w:t>call PSE.”</w:t>
      </w:r>
      <w:r>
        <w:rPr>
          <w:rStyle w:val="FootnoteReference"/>
        </w:rPr>
        <w:footnoteReference w:id="38"/>
      </w:r>
      <w:r w:rsidR="00821902">
        <w:t xml:space="preserve">  </w:t>
      </w:r>
      <w:r>
        <w:t>While this a laudable goal generally, the reality is that significant numbers of PSE customers will</w:t>
      </w:r>
      <w:r w:rsidR="007F19CF">
        <w:t xml:space="preserve"> likely always have a need to pick up the phone </w:t>
      </w:r>
      <w:r>
        <w:t xml:space="preserve">to interact with a customer representative to resolve payment </w:t>
      </w:r>
      <w:r w:rsidR="007F19CF">
        <w:t>issues, disconnection</w:t>
      </w:r>
      <w:r w:rsidR="00897A43">
        <w:t>s</w:t>
      </w:r>
      <w:r w:rsidR="007F19CF">
        <w:t>, medical certificates and similar circumstances.</w:t>
      </w:r>
      <w:r w:rsidR="00680129">
        <w:rPr>
          <w:rStyle w:val="FootnoteReference"/>
        </w:rPr>
        <w:footnoteReference w:id="39"/>
      </w:r>
      <w:r w:rsidR="007F19CF">
        <w:t xml:space="preserve">  The Get to Zero metric for success described by Mr. Mills is call red</w:t>
      </w:r>
      <w:r w:rsidR="00821902">
        <w:t xml:space="preserve">uction -- </w:t>
      </w:r>
      <w:r w:rsidR="007F19CF">
        <w:t>300,000 fewer calls by the end of 2017, with “similar results in future years.”</w:t>
      </w:r>
      <w:r w:rsidR="00680129">
        <w:rPr>
          <w:rStyle w:val="FootnoteReference"/>
        </w:rPr>
        <w:footnoteReference w:id="40"/>
      </w:r>
      <w:r w:rsidR="007F19CF">
        <w:t xml:space="preserve">  Without more information, this </w:t>
      </w:r>
      <w:r w:rsidR="00897A43">
        <w:t xml:space="preserve">testimony </w:t>
      </w:r>
      <w:r w:rsidR="007F19CF">
        <w:t>raises concerns about PSE’s future</w:t>
      </w:r>
      <w:r w:rsidR="00897A43">
        <w:t xml:space="preserve"> ability to be responsive to calls from customers in difficult </w:t>
      </w:r>
      <w:r w:rsidR="00DF1A26">
        <w:t>circumstances</w:t>
      </w:r>
      <w:r w:rsidR="007F19CF">
        <w:t xml:space="preserve">. </w:t>
      </w:r>
    </w:p>
    <w:p w14:paraId="68DD0919" w14:textId="52EAB6FE" w:rsidR="00050A1E" w:rsidRDefault="00D33AB4" w:rsidP="00050A1E">
      <w:pPr>
        <w:spacing w:line="480" w:lineRule="auto"/>
        <w:ind w:left="720" w:firstLine="720"/>
      </w:pPr>
      <w:r>
        <w:t>The Energy Project believes it</w:t>
      </w:r>
      <w:r w:rsidR="00701AD0">
        <w:t xml:space="preserve"> is essential that the Company</w:t>
      </w:r>
      <w:r w:rsidR="00DF1A26">
        <w:t xml:space="preserve"> continue to </w:t>
      </w:r>
      <w:r w:rsidR="005770F0">
        <w:t>budget for, hire,</w:t>
      </w:r>
      <w:r w:rsidR="00701AD0">
        <w:t xml:space="preserve"> and train sufficient staff to provide accurate, high-quality and responsive custome</w:t>
      </w:r>
      <w:r w:rsidR="000E0CB6">
        <w:t>r service through live agents for the types of calls discussed here</w:t>
      </w:r>
      <w:r w:rsidR="005770F0">
        <w:t>, including payment arrangement calls</w:t>
      </w:r>
      <w:r w:rsidR="000E0CB6">
        <w:t xml:space="preserve">.  </w:t>
      </w:r>
      <w:r w:rsidR="00156175">
        <w:t>This docket provides an opportunity for the Commission to provide guidance to the Company</w:t>
      </w:r>
      <w:r w:rsidR="00607FA5">
        <w:t xml:space="preserve"> </w:t>
      </w:r>
      <w:r w:rsidR="00DF1A26">
        <w:t xml:space="preserve">that it should support this function and that </w:t>
      </w:r>
      <w:r w:rsidR="00F06871">
        <w:t xml:space="preserve">the </w:t>
      </w:r>
      <w:r w:rsidR="00156175">
        <w:t>Get to Zero program</w:t>
      </w:r>
      <w:r w:rsidR="00F06871">
        <w:t xml:space="preserve"> should not result in </w:t>
      </w:r>
      <w:r w:rsidR="00607FA5">
        <w:t>impaired</w:t>
      </w:r>
      <w:r w:rsidR="00F06871">
        <w:t xml:space="preserve"> access to PSE </w:t>
      </w:r>
      <w:r w:rsidR="00607FA5">
        <w:t xml:space="preserve">customer </w:t>
      </w:r>
      <w:r w:rsidR="00F06871">
        <w:t>representatives by customers</w:t>
      </w:r>
      <w:r w:rsidR="000003DE">
        <w:t xml:space="preserve"> in distressed circumstances</w:t>
      </w:r>
      <w:r w:rsidR="000E0CB6">
        <w:t xml:space="preserve"> who require </w:t>
      </w:r>
      <w:r w:rsidR="00F06871">
        <w:t>assistance with payment</w:t>
      </w:r>
      <w:r w:rsidR="00897A43">
        <w:t>,</w:t>
      </w:r>
      <w:r w:rsidR="00F06871">
        <w:t xml:space="preserve"> disconnection </w:t>
      </w:r>
      <w:r w:rsidR="00897A43">
        <w:t xml:space="preserve">and related </w:t>
      </w:r>
      <w:r w:rsidR="00F06871">
        <w:t>issues.</w:t>
      </w:r>
      <w:r w:rsidR="00050A1E">
        <w:br w:type="page"/>
      </w:r>
    </w:p>
    <w:p w14:paraId="082EBE94" w14:textId="033E20CB" w:rsidR="000C52AB" w:rsidRDefault="0006390F" w:rsidP="0006390F">
      <w:pPr>
        <w:spacing w:line="480" w:lineRule="auto"/>
        <w:ind w:firstLine="720"/>
        <w:rPr>
          <w:b/>
          <w:u w:val="single"/>
        </w:rPr>
      </w:pPr>
      <w:r w:rsidRPr="0006390F">
        <w:rPr>
          <w:b/>
        </w:rPr>
        <w:lastRenderedPageBreak/>
        <w:t>C.</w:t>
      </w:r>
      <w:r w:rsidRPr="0006390F">
        <w:rPr>
          <w:b/>
        </w:rPr>
        <w:tab/>
        <w:t>RATE DESIGN – BASIC MONTHLY CHARGE</w:t>
      </w:r>
      <w:r>
        <w:rPr>
          <w:b/>
        </w:rPr>
        <w:t>.</w:t>
      </w:r>
    </w:p>
    <w:p w14:paraId="7542D220" w14:textId="493120E1" w:rsidR="009D63DF" w:rsidRDefault="00821902" w:rsidP="0095757B">
      <w:pPr>
        <w:spacing w:line="480" w:lineRule="auto"/>
        <w:ind w:left="720" w:hanging="720"/>
        <w:rPr>
          <w:b/>
        </w:rPr>
      </w:pPr>
      <w:r>
        <w:rPr>
          <w:b/>
        </w:rPr>
        <w:t>Q:</w:t>
      </w:r>
      <w:r w:rsidR="0006390F">
        <w:rPr>
          <w:b/>
        </w:rPr>
        <w:tab/>
      </w:r>
      <w:r w:rsidR="000C52AB">
        <w:rPr>
          <w:b/>
        </w:rPr>
        <w:t>Do you have any concerns about PSE’s request to increase the basic monthly charges for electric and natural gas customers?</w:t>
      </w:r>
    </w:p>
    <w:p w14:paraId="54241293" w14:textId="179FDCD5" w:rsidR="000C52AB" w:rsidRPr="00C5660F" w:rsidRDefault="00821902" w:rsidP="0006390F">
      <w:pPr>
        <w:spacing w:line="480" w:lineRule="auto"/>
        <w:ind w:left="720" w:hanging="720"/>
        <w:rPr>
          <w:i/>
        </w:rPr>
      </w:pPr>
      <w:r w:rsidRPr="00821902">
        <w:t>A:</w:t>
      </w:r>
      <w:r w:rsidR="00CB17BB">
        <w:rPr>
          <w:b/>
        </w:rPr>
        <w:tab/>
      </w:r>
      <w:r w:rsidR="00182516">
        <w:t xml:space="preserve">Yes. </w:t>
      </w:r>
      <w:r w:rsidR="000C52AB">
        <w:t xml:space="preserve"> As discussed by PSE witness Jon Piliaris, the company proposes to increase the basic monthly charge for residential electric customers </w:t>
      </w:r>
      <w:r w:rsidR="00182516">
        <w:t>to $9.00, an increase of $1.51.</w:t>
      </w:r>
      <w:r w:rsidR="00E04FD9">
        <w:rPr>
          <w:rStyle w:val="FootnoteReference"/>
        </w:rPr>
        <w:footnoteReference w:id="41"/>
      </w:r>
      <w:r w:rsidR="000C52AB">
        <w:t xml:space="preserve">  For residential natural gas customers, the basic monthly charge would increase to $11.00, an increase of $0.66.</w:t>
      </w:r>
      <w:r w:rsidR="000C52AB">
        <w:rPr>
          <w:rStyle w:val="FootnoteReference"/>
        </w:rPr>
        <w:footnoteReference w:id="42"/>
      </w:r>
      <w:r w:rsidR="000C52AB">
        <w:t xml:space="preserve">  Not only do these increases make these essential services less affordable, </w:t>
      </w:r>
      <w:r w:rsidR="002D7E24">
        <w:t>a</w:t>
      </w:r>
      <w:r w:rsidR="000C52AB">
        <w:t xml:space="preserve"> higher customer charge penalizes low-volume users within the residential rate class, since a greater portion of the bill is fixed, relative to higher use customers</w:t>
      </w:r>
      <w:r w:rsidR="000C52AB" w:rsidRPr="002D7E24">
        <w:t xml:space="preserve">.   </w:t>
      </w:r>
    </w:p>
    <w:p w14:paraId="06E97C2E" w14:textId="0153F925" w:rsidR="000C52AB" w:rsidRPr="00544A83" w:rsidRDefault="00821902" w:rsidP="000C52AB">
      <w:pPr>
        <w:spacing w:line="480" w:lineRule="auto"/>
        <w:rPr>
          <w:b/>
        </w:rPr>
      </w:pPr>
      <w:r>
        <w:rPr>
          <w:b/>
        </w:rPr>
        <w:t>Q:</w:t>
      </w:r>
      <w:r w:rsidR="000C52AB" w:rsidRPr="00544A83">
        <w:rPr>
          <w:b/>
        </w:rPr>
        <w:tab/>
        <w:t>Do you have other concerns?</w:t>
      </w:r>
    </w:p>
    <w:p w14:paraId="679C8A46" w14:textId="7843E7AC" w:rsidR="00050A1E" w:rsidRDefault="00821902" w:rsidP="00050A1E">
      <w:pPr>
        <w:spacing w:line="480" w:lineRule="auto"/>
        <w:ind w:left="720" w:hanging="720"/>
      </w:pPr>
      <w:r w:rsidRPr="00821902">
        <w:t>A:</w:t>
      </w:r>
      <w:r w:rsidR="000C52AB">
        <w:t xml:space="preserve"> </w:t>
      </w:r>
      <w:r w:rsidR="000C52AB">
        <w:tab/>
      </w:r>
      <w:r w:rsidR="00FB3AD0">
        <w:t xml:space="preserve">Yes.  Such </w:t>
      </w:r>
      <w:r w:rsidR="000C52AB">
        <w:t>increase</w:t>
      </w:r>
      <w:r w:rsidR="00FB3AD0">
        <w:t>s</w:t>
      </w:r>
      <w:r w:rsidR="000C52AB">
        <w:t xml:space="preserve"> also reduce customers’ ability to control their own household utility bills.  For lower usage customers, a reduction in usage has a relatively smaller impact on the bill, since a larger percentage of the bill is unaffected by their behavior.</w:t>
      </w:r>
      <w:r w:rsidR="00DA7D79">
        <w:t xml:space="preserve"> </w:t>
      </w:r>
      <w:r w:rsidR="000C52AB">
        <w:t xml:space="preserve"> As a result, customers have a diminished price incentive to reduce their usage, and therefore their utility bill, through conservation.  Increases in basic charges, therefore, tend to run counter to state policies and utility programs that promote energy efficiency and encourage customers to weatherize homes, purchase energy efficient appliances and reduce usage in other ways.</w:t>
      </w:r>
      <w:r w:rsidR="00050A1E">
        <w:br w:type="page"/>
      </w:r>
    </w:p>
    <w:p w14:paraId="2AB201D8" w14:textId="04112621" w:rsidR="00FB3AD0" w:rsidRDefault="00821902" w:rsidP="00FB3AD0">
      <w:pPr>
        <w:spacing w:line="480" w:lineRule="auto"/>
        <w:rPr>
          <w:b/>
        </w:rPr>
      </w:pPr>
      <w:r>
        <w:rPr>
          <w:b/>
        </w:rPr>
        <w:lastRenderedPageBreak/>
        <w:t>Q:</w:t>
      </w:r>
      <w:r w:rsidR="00DA7D79">
        <w:rPr>
          <w:b/>
        </w:rPr>
        <w:tab/>
      </w:r>
      <w:r w:rsidR="00FB3AD0">
        <w:rPr>
          <w:b/>
        </w:rPr>
        <w:t>Are the proposed basic customer charges appropriately cost-based?</w:t>
      </w:r>
    </w:p>
    <w:p w14:paraId="09FD91A4" w14:textId="671FC883" w:rsidR="00FB3AD0" w:rsidRDefault="00821902" w:rsidP="00DA7D79">
      <w:pPr>
        <w:spacing w:line="480" w:lineRule="auto"/>
        <w:ind w:left="720" w:hanging="720"/>
      </w:pPr>
      <w:r w:rsidRPr="00821902">
        <w:t>A:</w:t>
      </w:r>
      <w:r w:rsidR="00FB3AD0">
        <w:tab/>
        <w:t xml:space="preserve">I have not performed </w:t>
      </w:r>
      <w:r w:rsidR="00E36FDC">
        <w:t>an</w:t>
      </w:r>
      <w:r w:rsidR="00FB3AD0">
        <w:t xml:space="preserve"> analysis of the </w:t>
      </w:r>
      <w:r w:rsidR="00E36FDC">
        <w:t xml:space="preserve">cost-basis of the </w:t>
      </w:r>
      <w:r w:rsidR="00FB3AD0">
        <w:t>proposed increases</w:t>
      </w:r>
      <w:r w:rsidR="00E36FDC">
        <w:t xml:space="preserve"> as I am not an expert witness on cost-of service analysis.</w:t>
      </w:r>
      <w:r w:rsidR="00B30B29">
        <w:t xml:space="preserve">  </w:t>
      </w:r>
      <w:r w:rsidR="00FB3AD0">
        <w:t>I expect other pa</w:t>
      </w:r>
      <w:r w:rsidR="00DA7D79">
        <w:t xml:space="preserve">rties to the case will </w:t>
      </w:r>
      <w:r w:rsidR="00E36FDC">
        <w:t>present expert testimony on the issue</w:t>
      </w:r>
      <w:r w:rsidR="00DA7D79">
        <w:t xml:space="preserve">.  </w:t>
      </w:r>
      <w:r w:rsidR="00FB3AD0">
        <w:t xml:space="preserve">However, the Commission has been clear that the basic customer charge should be </w:t>
      </w:r>
      <w:r w:rsidR="009004C8">
        <w:t xml:space="preserve">limited to recovery of </w:t>
      </w:r>
      <w:r w:rsidR="00FB3AD0">
        <w:t>customer-specific costs:</w:t>
      </w:r>
    </w:p>
    <w:p w14:paraId="5FC8EFB5" w14:textId="2BBF9EB9" w:rsidR="00FB3AD0" w:rsidRDefault="00FB3AD0" w:rsidP="00DA7D79">
      <w:pPr>
        <w:spacing w:line="264" w:lineRule="auto"/>
        <w:ind w:left="1440"/>
        <w:rPr>
          <w:sz w:val="25"/>
          <w:szCs w:val="25"/>
        </w:rPr>
      </w:pPr>
      <w:r w:rsidRPr="00942F86">
        <w:rPr>
          <w:sz w:val="25"/>
          <w:szCs w:val="25"/>
        </w:rPr>
        <w:t xml:space="preserve">We reject the Company’s and Staff’s proposals to increase significantly the basic charge to residential customers.  </w:t>
      </w:r>
      <w:r w:rsidRPr="00A11015">
        <w:rPr>
          <w:i/>
          <w:sz w:val="25"/>
          <w:szCs w:val="25"/>
        </w:rPr>
        <w:t>The Commission is not prepared to move away from the long-accepted principle that basic charges should reflect only “direct customer costs” such as meter reading and billing.</w:t>
      </w:r>
      <w:r w:rsidRPr="00942F86">
        <w:rPr>
          <w:sz w:val="25"/>
          <w:szCs w:val="25"/>
        </w:rPr>
        <w:t xml:space="preserve">  Including distribution costs in the basic charge and increasing it 81 percent, as the Company proposes in this case, does not promote, and may be antithetical to, the realization of conservation goals.</w:t>
      </w:r>
      <w:r>
        <w:rPr>
          <w:rStyle w:val="FootnoteReference"/>
          <w:sz w:val="25"/>
          <w:szCs w:val="25"/>
        </w:rPr>
        <w:footnoteReference w:id="43"/>
      </w:r>
    </w:p>
    <w:p w14:paraId="3AA0D642" w14:textId="77777777" w:rsidR="00FB3AD0" w:rsidRPr="00942F86" w:rsidRDefault="00FB3AD0" w:rsidP="00FB3AD0">
      <w:pPr>
        <w:spacing w:line="264" w:lineRule="auto"/>
        <w:ind w:left="720"/>
        <w:rPr>
          <w:sz w:val="25"/>
          <w:szCs w:val="25"/>
        </w:rPr>
      </w:pPr>
    </w:p>
    <w:p w14:paraId="47488435" w14:textId="5A544402" w:rsidR="00FB3AD0" w:rsidRPr="00532309" w:rsidRDefault="00FB3AD0" w:rsidP="00DA7D79">
      <w:pPr>
        <w:spacing w:line="480" w:lineRule="auto"/>
        <w:ind w:left="720"/>
      </w:pPr>
      <w:r>
        <w:t xml:space="preserve">The Energy Project urges the Commission to continue to adhere to </w:t>
      </w:r>
      <w:r w:rsidR="00CA4F93">
        <w:t>this</w:t>
      </w:r>
      <w:r>
        <w:t xml:space="preserve"> past approach to cost support for the basic charge.  </w:t>
      </w:r>
    </w:p>
    <w:p w14:paraId="4404C41D" w14:textId="7EA2CF13" w:rsidR="000C52AB" w:rsidRPr="00EB7E8B" w:rsidRDefault="00B30B29" w:rsidP="000C52AB">
      <w:pPr>
        <w:spacing w:line="480" w:lineRule="auto"/>
      </w:pPr>
      <w:r>
        <w:rPr>
          <w:b/>
        </w:rPr>
        <w:t>Q:</w:t>
      </w:r>
      <w:r w:rsidR="000C52AB" w:rsidRPr="00160B2A">
        <w:rPr>
          <w:b/>
        </w:rPr>
        <w:tab/>
      </w:r>
      <w:r w:rsidR="000C52AB">
        <w:rPr>
          <w:b/>
        </w:rPr>
        <w:t xml:space="preserve">Are </w:t>
      </w:r>
      <w:r w:rsidR="000C52AB" w:rsidRPr="00160B2A">
        <w:rPr>
          <w:b/>
        </w:rPr>
        <w:t>Mr. Piliaris</w:t>
      </w:r>
      <w:r w:rsidR="000C52AB">
        <w:rPr>
          <w:b/>
        </w:rPr>
        <w:t>’</w:t>
      </w:r>
      <w:r w:rsidR="000C52AB" w:rsidRPr="00160B2A">
        <w:rPr>
          <w:b/>
        </w:rPr>
        <w:t xml:space="preserve"> </w:t>
      </w:r>
      <w:r w:rsidR="000C52AB">
        <w:rPr>
          <w:b/>
        </w:rPr>
        <w:t>comparisons to other states relevant</w:t>
      </w:r>
      <w:r w:rsidR="000C52AB" w:rsidRPr="00160B2A">
        <w:rPr>
          <w:b/>
        </w:rPr>
        <w:t>?</w:t>
      </w:r>
      <w:r w:rsidR="000C52AB">
        <w:t xml:space="preserve"> </w:t>
      </w:r>
    </w:p>
    <w:p w14:paraId="05E464BB" w14:textId="74BDF7C2" w:rsidR="000C52AB" w:rsidRDefault="00B30B29" w:rsidP="00DA7D79">
      <w:pPr>
        <w:spacing w:line="480" w:lineRule="auto"/>
        <w:ind w:left="720" w:hanging="720"/>
      </w:pPr>
      <w:r w:rsidRPr="00B30B29">
        <w:t>A:</w:t>
      </w:r>
      <w:r w:rsidR="000C52AB">
        <w:tab/>
      </w:r>
      <w:r w:rsidR="00050A1E">
        <w:t>No,</w:t>
      </w:r>
      <w:r w:rsidR="000C52AB">
        <w:t xml:space="preserve"> they are not.  Just as volumetric rates are not set </w:t>
      </w:r>
      <w:r w:rsidR="00E052F4">
        <w:t xml:space="preserve">by comparison to other states, </w:t>
      </w:r>
      <w:r w:rsidR="000C52AB">
        <w:t xml:space="preserve">rates for basic monthly charges are not set in that way.  Utility rates are set based on the costs incurred by a specific company to provide service to the customers </w:t>
      </w:r>
      <w:r w:rsidR="00E052F4">
        <w:t xml:space="preserve">in its own service territory.  </w:t>
      </w:r>
      <w:r w:rsidR="000C52AB">
        <w:t>PSE customers in Washington should not be paying a rate calculated on the basis of another utility company’s costs on t</w:t>
      </w:r>
      <w:r w:rsidR="00E052F4">
        <w:t xml:space="preserve">he other side of the country.  </w:t>
      </w:r>
      <w:r w:rsidR="000C52AB">
        <w:t xml:space="preserve">Not only do different companies have different costs of service, even within the same state, but policies vary from state to state when it </w:t>
      </w:r>
      <w:r w:rsidR="000C52AB">
        <w:lastRenderedPageBreak/>
        <w:t>comes to cost recovery principles and</w:t>
      </w:r>
      <w:r w:rsidR="00E052F4">
        <w:t xml:space="preserve"> energy efficiency incentives. </w:t>
      </w:r>
      <w:r w:rsidR="000C52AB">
        <w:t xml:space="preserve"> For example, to the extent the national data offered by Mr. Piliaris includes states that have adopted high fixed charges as a policy choice, or includes higher </w:t>
      </w:r>
      <w:r w:rsidR="00A219D9">
        <w:t>local</w:t>
      </w:r>
      <w:r w:rsidR="000C52AB">
        <w:t xml:space="preserve"> custome</w:t>
      </w:r>
      <w:r w:rsidR="00E052F4">
        <w:t xml:space="preserve">r costs, it is skewed upward.  </w:t>
      </w:r>
      <w:r w:rsidR="000C52AB">
        <w:t>Adopting a national average results in Washington in effect adopting, unexamined, a different state’s po</w:t>
      </w:r>
      <w:r w:rsidR="00E052F4">
        <w:t xml:space="preserve">licy choices, costs, or both.  </w:t>
      </w:r>
      <w:r w:rsidR="000C52AB">
        <w:t xml:space="preserve">Fixed cost recovery in </w:t>
      </w:r>
      <w:r w:rsidR="00A219D9">
        <w:t xml:space="preserve">this case </w:t>
      </w:r>
      <w:r w:rsidR="00DB5996">
        <w:t>s</w:t>
      </w:r>
      <w:r w:rsidR="000C52AB">
        <w:t xml:space="preserve">hould be based on </w:t>
      </w:r>
      <w:r w:rsidR="00A219D9">
        <w:t xml:space="preserve">PSE’s </w:t>
      </w:r>
      <w:r w:rsidR="000C52AB">
        <w:t>cost of se</w:t>
      </w:r>
      <w:r w:rsidR="00DB5996">
        <w:t>rvice and on Washington policy.</w:t>
      </w:r>
    </w:p>
    <w:p w14:paraId="25F90565" w14:textId="3FA90F75" w:rsidR="00CD37FC" w:rsidRPr="00E052F4" w:rsidRDefault="00E052F4" w:rsidP="00E052F4">
      <w:pPr>
        <w:spacing w:line="480" w:lineRule="auto"/>
        <w:ind w:firstLine="720"/>
        <w:rPr>
          <w:i/>
          <w:highlight w:val="yellow"/>
        </w:rPr>
      </w:pPr>
      <w:r w:rsidRPr="00E052F4">
        <w:rPr>
          <w:b/>
        </w:rPr>
        <w:t>D.</w:t>
      </w:r>
      <w:r w:rsidRPr="00E052F4">
        <w:rPr>
          <w:b/>
        </w:rPr>
        <w:tab/>
        <w:t>ELECTRIC RATE DESIGN – THIRD TIER</w:t>
      </w:r>
      <w:r>
        <w:rPr>
          <w:b/>
        </w:rPr>
        <w:t>.</w:t>
      </w:r>
    </w:p>
    <w:p w14:paraId="5B695E4B" w14:textId="27B04A94" w:rsidR="009D63DF" w:rsidRDefault="00471751" w:rsidP="0095757B">
      <w:pPr>
        <w:spacing w:line="480" w:lineRule="auto"/>
        <w:ind w:left="720" w:hanging="720"/>
        <w:rPr>
          <w:b/>
        </w:rPr>
      </w:pPr>
      <w:r>
        <w:rPr>
          <w:b/>
        </w:rPr>
        <w:t>Q:</w:t>
      </w:r>
      <w:r w:rsidR="00804724">
        <w:tab/>
      </w:r>
      <w:r w:rsidR="00CD37FC">
        <w:rPr>
          <w:b/>
        </w:rPr>
        <w:t>What is your understanding of PSE’s electric rate design proposal in this case?</w:t>
      </w:r>
    </w:p>
    <w:p w14:paraId="7C2F5703" w14:textId="51CE1E52" w:rsidR="00C22B86" w:rsidRDefault="00471751" w:rsidP="00DC54BC">
      <w:pPr>
        <w:spacing w:line="480" w:lineRule="auto"/>
        <w:ind w:left="720" w:hanging="720"/>
      </w:pPr>
      <w:r w:rsidRPr="00471751">
        <w:t>A:</w:t>
      </w:r>
      <w:r w:rsidR="00CD37FC">
        <w:rPr>
          <w:b/>
        </w:rPr>
        <w:tab/>
      </w:r>
      <w:r w:rsidR="00CD37FC">
        <w:t>Based on the testimony of Jon Piliaris,</w:t>
      </w:r>
      <w:r w:rsidR="00C22B86">
        <w:t xml:space="preserve"> I understand that</w:t>
      </w:r>
      <w:r w:rsidR="00CD37FC">
        <w:t xml:space="preserve"> PSE’s rate proposal in this case is based on retaining the existing inverted two-block rate structure.</w:t>
      </w:r>
      <w:r w:rsidR="00C22B86">
        <w:rPr>
          <w:rStyle w:val="FootnoteReference"/>
        </w:rPr>
        <w:footnoteReference w:id="44"/>
      </w:r>
      <w:r w:rsidR="00CD37FC">
        <w:t xml:space="preserve"> </w:t>
      </w:r>
      <w:r w:rsidR="002849AB">
        <w:t xml:space="preserve"> </w:t>
      </w:r>
      <w:r w:rsidR="003F5A5F">
        <w:t>As contemplated in the</w:t>
      </w:r>
      <w:r w:rsidR="00CD37FC">
        <w:t xml:space="preserve"> settlement in </w:t>
      </w:r>
      <w:r w:rsidR="003F5A5F">
        <w:t xml:space="preserve">the </w:t>
      </w:r>
      <w:r w:rsidR="00CD37FC">
        <w:t>2014 PSE rate design collaborative,</w:t>
      </w:r>
      <w:r w:rsidR="00CD37FC">
        <w:rPr>
          <w:rStyle w:val="FootnoteReference"/>
        </w:rPr>
        <w:footnoteReference w:id="45"/>
      </w:r>
      <w:r w:rsidR="002849AB">
        <w:t xml:space="preserve"> </w:t>
      </w:r>
      <w:r w:rsidR="00775FA2">
        <w:t>H</w:t>
      </w:r>
      <w:r w:rsidR="002A7334">
        <w:t xml:space="preserve">owever, </w:t>
      </w:r>
      <w:r w:rsidR="00CD37FC">
        <w:t xml:space="preserve">Mr. Piliaris also proposed </w:t>
      </w:r>
      <w:r w:rsidR="003F5A5F">
        <w:t xml:space="preserve">rates for </w:t>
      </w:r>
      <w:r w:rsidR="00D30346">
        <w:t xml:space="preserve">a </w:t>
      </w:r>
      <w:r w:rsidR="00CD37FC">
        <w:t xml:space="preserve">rate structure </w:t>
      </w:r>
      <w:r w:rsidR="00D30346">
        <w:t xml:space="preserve">using a third </w:t>
      </w:r>
      <w:r w:rsidR="00CD37FC">
        <w:t>block</w:t>
      </w:r>
      <w:r w:rsidR="003F5A5F">
        <w:t xml:space="preserve">. </w:t>
      </w:r>
      <w:r w:rsidR="009570DD">
        <w:t xml:space="preserve"> </w:t>
      </w:r>
      <w:r w:rsidR="00C22B86">
        <w:t>The Energy Project was also a signatory to the settlement.</w:t>
      </w:r>
    </w:p>
    <w:p w14:paraId="3864A625" w14:textId="66183F16" w:rsidR="009D63DF" w:rsidRDefault="00471751" w:rsidP="0095757B">
      <w:pPr>
        <w:spacing w:line="480" w:lineRule="auto"/>
        <w:ind w:left="720" w:hanging="720"/>
        <w:rPr>
          <w:b/>
        </w:rPr>
      </w:pPr>
      <w:r>
        <w:rPr>
          <w:b/>
        </w:rPr>
        <w:t>Q:</w:t>
      </w:r>
      <w:r w:rsidR="00C22B86">
        <w:rPr>
          <w:b/>
        </w:rPr>
        <w:tab/>
        <w:t>What is The Energy Project’s position regarding Mr. Pilaris</w:t>
      </w:r>
      <w:r w:rsidR="00E24E8C">
        <w:rPr>
          <w:b/>
        </w:rPr>
        <w:t>’</w:t>
      </w:r>
      <w:r w:rsidR="00C22B86">
        <w:rPr>
          <w:b/>
        </w:rPr>
        <w:t xml:space="preserve"> proposal for the three-tier structure?</w:t>
      </w:r>
    </w:p>
    <w:p w14:paraId="49737C03" w14:textId="202B0FBA" w:rsidR="00E26BF2" w:rsidRDefault="00471751" w:rsidP="00DC54BC">
      <w:pPr>
        <w:spacing w:line="480" w:lineRule="auto"/>
        <w:ind w:left="720" w:hanging="720"/>
      </w:pPr>
      <w:r w:rsidRPr="00471751">
        <w:t>A:</w:t>
      </w:r>
      <w:r w:rsidR="00C22B86">
        <w:rPr>
          <w:b/>
        </w:rPr>
        <w:tab/>
      </w:r>
      <w:r w:rsidR="00C22B86">
        <w:t>The Energy Project agreed in the settlement that a proposal would be brought forward in the next PSE general rate case.  However</w:t>
      </w:r>
      <w:r w:rsidR="00A11015">
        <w:t xml:space="preserve">, </w:t>
      </w:r>
      <w:r w:rsidR="000C52AB">
        <w:t>parties to the original settlement have jointly agreed that the settlement should be modified to allow parties to take any position they wish regarding the i</w:t>
      </w:r>
      <w:r w:rsidR="009570DD">
        <w:t xml:space="preserve">nverted block rate structure.  </w:t>
      </w:r>
      <w:r w:rsidR="000C52AB">
        <w:lastRenderedPageBreak/>
        <w:t>The Energy Project agrees with this modification</w:t>
      </w:r>
      <w:r w:rsidR="00FB3AD0">
        <w:t xml:space="preserve"> and is supporting </w:t>
      </w:r>
      <w:r w:rsidR="00A11015">
        <w:t xml:space="preserve">a motion to modify the settlement </w:t>
      </w:r>
      <w:r w:rsidR="00FB3AD0">
        <w:t xml:space="preserve">which I expect will </w:t>
      </w:r>
      <w:r w:rsidR="00A11015">
        <w:t>be filed in the prior docket</w:t>
      </w:r>
      <w:r w:rsidR="00FB3AD0">
        <w:t xml:space="preserve"> contemporaneously with the testimony in this case.</w:t>
      </w:r>
      <w:r w:rsidR="00A11015">
        <w:t xml:space="preserve"> </w:t>
      </w:r>
    </w:p>
    <w:p w14:paraId="3711E235" w14:textId="5CF61279" w:rsidR="009D63DF" w:rsidRPr="00710955" w:rsidRDefault="00471751" w:rsidP="0095757B">
      <w:pPr>
        <w:spacing w:line="480" w:lineRule="auto"/>
        <w:ind w:left="720" w:hanging="720"/>
        <w:rPr>
          <w:b/>
        </w:rPr>
      </w:pPr>
      <w:r>
        <w:rPr>
          <w:b/>
        </w:rPr>
        <w:t>Q:</w:t>
      </w:r>
      <w:r w:rsidR="00E26BF2" w:rsidRPr="00710955">
        <w:rPr>
          <w:b/>
        </w:rPr>
        <w:tab/>
        <w:t>What concerns does The Energy Project have regarding a three-tier electric rate design?</w:t>
      </w:r>
    </w:p>
    <w:p w14:paraId="5C31C0DD" w14:textId="1E2D72A1" w:rsidR="00C22B86" w:rsidRPr="00710955" w:rsidRDefault="00471751" w:rsidP="00DC54BC">
      <w:pPr>
        <w:spacing w:line="480" w:lineRule="auto"/>
        <w:ind w:left="720" w:hanging="720"/>
      </w:pPr>
      <w:r w:rsidRPr="00471751">
        <w:t>A:</w:t>
      </w:r>
      <w:r w:rsidR="00E26BF2" w:rsidRPr="00710955">
        <w:rPr>
          <w:b/>
        </w:rPr>
        <w:tab/>
      </w:r>
      <w:r w:rsidR="00E26BF2" w:rsidRPr="00710955">
        <w:t>The Energy Project has historically had reservations about the adoption of an inverted block three-tier design</w:t>
      </w:r>
      <w:r w:rsidR="009570DD">
        <w:t xml:space="preserve">.  </w:t>
      </w:r>
      <w:r w:rsidR="00A57ABB" w:rsidRPr="00710955">
        <w:t xml:space="preserve">While The Energy Project supports the concept of sending conservation signals to higher users, and of discouraging unnecessary discretionary use of electricity, adoption of a </w:t>
      </w:r>
      <w:r w:rsidR="00910B9F" w:rsidRPr="00710955">
        <w:t>third tail-</w:t>
      </w:r>
      <w:r w:rsidR="00A57ABB" w:rsidRPr="00710955">
        <w:t>block with high rates can create a</w:t>
      </w:r>
      <w:r w:rsidR="00E26BF2" w:rsidRPr="00710955">
        <w:t xml:space="preserve"> significant risk of increased bills for </w:t>
      </w:r>
      <w:r w:rsidR="00A57ABB" w:rsidRPr="00710955">
        <w:t xml:space="preserve">some low-income customers with high consumption resulting from household size, the condition of the housing unit, </w:t>
      </w:r>
      <w:r w:rsidR="00C877EE" w:rsidRPr="00710955">
        <w:t xml:space="preserve">the heat source, </w:t>
      </w:r>
      <w:r w:rsidR="00A57ABB" w:rsidRPr="00710955">
        <w:t xml:space="preserve">and other factors.  </w:t>
      </w:r>
      <w:r w:rsidR="00D30346" w:rsidRPr="00710955">
        <w:t xml:space="preserve">These concerns need to be addressed in determining whether to adopt a new design. </w:t>
      </w:r>
      <w:r w:rsidR="00A066B1" w:rsidRPr="00710955">
        <w:t xml:space="preserve">  </w:t>
      </w:r>
    </w:p>
    <w:p w14:paraId="7BC0B785" w14:textId="21A403AD" w:rsidR="00A57ABB" w:rsidRPr="00710955" w:rsidRDefault="00471751" w:rsidP="00DC54BC">
      <w:pPr>
        <w:spacing w:line="480" w:lineRule="auto"/>
        <w:ind w:left="720" w:hanging="720"/>
        <w:rPr>
          <w:b/>
        </w:rPr>
      </w:pPr>
      <w:r>
        <w:rPr>
          <w:b/>
        </w:rPr>
        <w:t>Q:</w:t>
      </w:r>
      <w:r w:rsidR="00A57ABB" w:rsidRPr="00710955">
        <w:rPr>
          <w:b/>
        </w:rPr>
        <w:tab/>
        <w:t>Are there potential benefits for low-income users from a three-tier structure?</w:t>
      </w:r>
    </w:p>
    <w:p w14:paraId="2B4D7655" w14:textId="01EA26B9" w:rsidR="00A57ABB" w:rsidRPr="00710955" w:rsidRDefault="00471751" w:rsidP="00DC54BC">
      <w:pPr>
        <w:spacing w:line="480" w:lineRule="auto"/>
        <w:ind w:left="720" w:hanging="720"/>
      </w:pPr>
      <w:r w:rsidRPr="00471751">
        <w:t>A:</w:t>
      </w:r>
      <w:r w:rsidR="009570DD">
        <w:tab/>
        <w:t xml:space="preserve">Yes, in theory.  </w:t>
      </w:r>
      <w:r w:rsidR="00A57ABB" w:rsidRPr="00710955">
        <w:t xml:space="preserve">A properly designed structure, in which the first </w:t>
      </w:r>
      <w:r w:rsidR="00910B9F" w:rsidRPr="00710955">
        <w:t xml:space="preserve">two tiers are </w:t>
      </w:r>
      <w:r w:rsidR="00A57ABB" w:rsidRPr="00710955">
        <w:t xml:space="preserve">reasonably priced and </w:t>
      </w:r>
      <w:r w:rsidR="00910B9F" w:rsidRPr="00710955">
        <w:t xml:space="preserve">the first tier </w:t>
      </w:r>
      <w:r w:rsidR="00A57ABB" w:rsidRPr="00710955">
        <w:t>cover</w:t>
      </w:r>
      <w:r w:rsidR="00910B9F" w:rsidRPr="00710955">
        <w:t>s</w:t>
      </w:r>
      <w:r w:rsidR="00A57ABB" w:rsidRPr="00710955">
        <w:t xml:space="preserve"> enough usage to provide for essential household needs</w:t>
      </w:r>
      <w:r w:rsidR="00C77A86" w:rsidRPr="00710955">
        <w:t xml:space="preserve"> could benefit the large ma</w:t>
      </w:r>
      <w:r w:rsidR="00910B9F" w:rsidRPr="00710955">
        <w:t>jority of low-income customers</w:t>
      </w:r>
      <w:r w:rsidR="00E24E8C" w:rsidRPr="00710955">
        <w:t>, to the extent they generally have below-average usage</w:t>
      </w:r>
      <w:r w:rsidR="00C877EE" w:rsidRPr="00710955">
        <w:t xml:space="preserve">. </w:t>
      </w:r>
      <w:r w:rsidR="00E24E8C" w:rsidRPr="00710955">
        <w:t xml:space="preserve"> </w:t>
      </w:r>
      <w:r w:rsidR="00C877EE" w:rsidRPr="00710955">
        <w:t>It may</w:t>
      </w:r>
      <w:r w:rsidR="00910B9F" w:rsidRPr="00710955">
        <w:t>,</w:t>
      </w:r>
      <w:r w:rsidR="00C77A86" w:rsidRPr="00710955">
        <w:t xml:space="preserve"> depending on the rates adopted, result in bill r</w:t>
      </w:r>
      <w:r w:rsidR="009570DD">
        <w:t xml:space="preserve">eductions for many customers.  </w:t>
      </w:r>
      <w:r w:rsidR="00C77A86" w:rsidRPr="00710955">
        <w:t xml:space="preserve">Those </w:t>
      </w:r>
      <w:r w:rsidR="00E24E8C" w:rsidRPr="00710955">
        <w:t>low-</w:t>
      </w:r>
      <w:r w:rsidR="00C877EE" w:rsidRPr="00710955">
        <w:t xml:space="preserve">income </w:t>
      </w:r>
      <w:r w:rsidR="00C77A86" w:rsidRPr="00710955">
        <w:t>customers with usage in the more expensive third tier would still experience higher bills</w:t>
      </w:r>
      <w:r w:rsidR="00C877EE" w:rsidRPr="00710955">
        <w:t xml:space="preserve">.  The goal would </w:t>
      </w:r>
      <w:r w:rsidR="004D76CC">
        <w:t xml:space="preserve">be to </w:t>
      </w:r>
      <w:r w:rsidR="00C877EE" w:rsidRPr="00710955">
        <w:t xml:space="preserve">mitigate the impact on these </w:t>
      </w:r>
      <w:r w:rsidR="009570DD" w:rsidRPr="00710955">
        <w:t>high-volume</w:t>
      </w:r>
      <w:r w:rsidR="00C877EE" w:rsidRPr="00710955">
        <w:t xml:space="preserve"> customers with targeted outreach to connect them with energy assistance and with weatherization resources. </w:t>
      </w:r>
      <w:r w:rsidR="009570DD">
        <w:t xml:space="preserve"> </w:t>
      </w:r>
    </w:p>
    <w:p w14:paraId="55C16F06" w14:textId="62234055" w:rsidR="00C77A86" w:rsidRPr="00710955" w:rsidRDefault="00471751" w:rsidP="00DC54BC">
      <w:pPr>
        <w:spacing w:line="480" w:lineRule="auto"/>
        <w:ind w:left="720" w:hanging="720"/>
        <w:rPr>
          <w:b/>
        </w:rPr>
      </w:pPr>
      <w:r>
        <w:rPr>
          <w:b/>
        </w:rPr>
        <w:lastRenderedPageBreak/>
        <w:t>Q:</w:t>
      </w:r>
      <w:r w:rsidR="00C77A86" w:rsidRPr="00710955">
        <w:rPr>
          <w:b/>
        </w:rPr>
        <w:tab/>
        <w:t>Could similar benefits be obtained from a two-block structure?</w:t>
      </w:r>
    </w:p>
    <w:p w14:paraId="78CD1257" w14:textId="6E27ED79" w:rsidR="00C77A86" w:rsidRPr="00710955" w:rsidRDefault="00471751" w:rsidP="00DC54BC">
      <w:pPr>
        <w:spacing w:line="480" w:lineRule="auto"/>
        <w:ind w:left="720" w:hanging="720"/>
      </w:pPr>
      <w:r w:rsidRPr="00471751">
        <w:t>A:</w:t>
      </w:r>
      <w:r w:rsidR="00C77A86" w:rsidRPr="00710955">
        <w:rPr>
          <w:b/>
        </w:rPr>
        <w:tab/>
      </w:r>
      <w:r w:rsidR="009570DD">
        <w:t xml:space="preserve">Yes, to some extent.  </w:t>
      </w:r>
      <w:r w:rsidR="00C77A86" w:rsidRPr="00710955">
        <w:t>Increasing the size of the first bl</w:t>
      </w:r>
      <w:r w:rsidR="00E24E8C" w:rsidRPr="00710955">
        <w:t>ock, for example to 800 kWh from</w:t>
      </w:r>
      <w:r w:rsidR="00C77A86" w:rsidRPr="00710955">
        <w:t xml:space="preserve"> the current 600 kWh, would cover a larger portion of essential services for most households at a lower rate, and could result in lower bills for many customers.  The conservation incentive of the current inverted structure would remain. </w:t>
      </w:r>
    </w:p>
    <w:p w14:paraId="462BB294" w14:textId="27B539F0" w:rsidR="009D63DF" w:rsidRPr="00710955" w:rsidRDefault="00471751" w:rsidP="0095757B">
      <w:pPr>
        <w:spacing w:line="480" w:lineRule="auto"/>
        <w:ind w:left="720" w:hanging="720"/>
        <w:rPr>
          <w:b/>
        </w:rPr>
      </w:pPr>
      <w:r>
        <w:rPr>
          <w:b/>
        </w:rPr>
        <w:t>Q:</w:t>
      </w:r>
      <w:r w:rsidR="007023F4" w:rsidRPr="00710955">
        <w:rPr>
          <w:b/>
        </w:rPr>
        <w:tab/>
      </w:r>
      <w:r w:rsidR="0039203D" w:rsidRPr="00710955">
        <w:rPr>
          <w:b/>
        </w:rPr>
        <w:t>Is there data available to evaluate the impact of changing the block structure</w:t>
      </w:r>
      <w:r w:rsidR="007023F4" w:rsidRPr="00710955">
        <w:rPr>
          <w:b/>
        </w:rPr>
        <w:t>?</w:t>
      </w:r>
    </w:p>
    <w:p w14:paraId="7F2473DB" w14:textId="64F1A99D" w:rsidR="007023F4" w:rsidRPr="00710955" w:rsidRDefault="00471751" w:rsidP="00DC54BC">
      <w:pPr>
        <w:spacing w:line="480" w:lineRule="auto"/>
        <w:ind w:left="720" w:hanging="720"/>
      </w:pPr>
      <w:r w:rsidRPr="00471751">
        <w:t>A:</w:t>
      </w:r>
      <w:r w:rsidR="007023F4" w:rsidRPr="00710955">
        <w:rPr>
          <w:b/>
        </w:rPr>
        <w:tab/>
      </w:r>
      <w:r w:rsidR="0039203D" w:rsidRPr="00710955">
        <w:t>I have a concern that the current d</w:t>
      </w:r>
      <w:r w:rsidR="007023F4" w:rsidRPr="00710955">
        <w:t xml:space="preserve">ata available </w:t>
      </w:r>
      <w:r w:rsidR="0039203D" w:rsidRPr="00710955">
        <w:t xml:space="preserve">is not sufficient </w:t>
      </w:r>
      <w:r w:rsidR="007023F4" w:rsidRPr="00710955">
        <w:t xml:space="preserve">to determine </w:t>
      </w:r>
      <w:r w:rsidR="00A24F78" w:rsidRPr="00710955">
        <w:t>the</w:t>
      </w:r>
      <w:r w:rsidR="007023F4" w:rsidRPr="00710955">
        <w:t xml:space="preserve"> impact of any </w:t>
      </w:r>
      <w:r w:rsidR="002044B1">
        <w:t>change to the current inverted block structure on</w:t>
      </w:r>
      <w:r w:rsidR="00A24F78" w:rsidRPr="00710955">
        <w:t xml:space="preserve"> the low-income populati</w:t>
      </w:r>
      <w:r w:rsidR="009570DD">
        <w:t xml:space="preserve">on in PSE’s service territory. </w:t>
      </w:r>
      <w:r w:rsidR="00A24F78" w:rsidRPr="00710955">
        <w:t xml:space="preserve"> </w:t>
      </w:r>
      <w:r w:rsidR="007023F4" w:rsidRPr="00710955">
        <w:t xml:space="preserve">While some data was reviewed and presented in connection with the </w:t>
      </w:r>
      <w:r w:rsidR="009B55A1">
        <w:t xml:space="preserve">original </w:t>
      </w:r>
      <w:r w:rsidR="007023F4" w:rsidRPr="00710955">
        <w:t>settlement, it was limited in sc</w:t>
      </w:r>
      <w:r w:rsidR="009570DD">
        <w:t xml:space="preserve">ope and is now somewhat dated. </w:t>
      </w:r>
      <w:r w:rsidR="007023F4" w:rsidRPr="00710955">
        <w:t xml:space="preserve"> </w:t>
      </w:r>
      <w:r w:rsidR="00A24F78" w:rsidRPr="00710955">
        <w:t xml:space="preserve">One of the challenges with evaluating impact on low-income customers is that PSE low-income programs only serve </w:t>
      </w:r>
      <w:r w:rsidR="009B55A1">
        <w:t xml:space="preserve">a minority </w:t>
      </w:r>
      <w:r w:rsidR="00A24F78" w:rsidRPr="00710955">
        <w:t>of the eligible low-income population</w:t>
      </w:r>
      <w:r w:rsidR="009B55A1">
        <w:t>, as discussed above</w:t>
      </w:r>
      <w:r w:rsidR="00A24F78" w:rsidRPr="00710955">
        <w:t>.</w:t>
      </w:r>
      <w:r w:rsidR="009B55A1">
        <w:t xml:space="preserve">  </w:t>
      </w:r>
      <w:r w:rsidR="00D30346" w:rsidRPr="00710955">
        <w:t xml:space="preserve">There has not yet been sufficient evaluation of this larger body of customers </w:t>
      </w:r>
      <w:r w:rsidR="00775FA2">
        <w:t>and how they would be impacted.</w:t>
      </w:r>
    </w:p>
    <w:p w14:paraId="347D90D2" w14:textId="039C27F9" w:rsidR="00C22B86" w:rsidRPr="00710955" w:rsidRDefault="00471751" w:rsidP="00C22B86">
      <w:pPr>
        <w:spacing w:line="480" w:lineRule="auto"/>
        <w:rPr>
          <w:b/>
        </w:rPr>
      </w:pPr>
      <w:r>
        <w:rPr>
          <w:b/>
        </w:rPr>
        <w:t>Q:</w:t>
      </w:r>
      <w:r w:rsidR="00591DFA" w:rsidRPr="00710955">
        <w:rPr>
          <w:b/>
        </w:rPr>
        <w:tab/>
        <w:t>Does The Energy Project have its own proposal?</w:t>
      </w:r>
    </w:p>
    <w:p w14:paraId="54F42E91" w14:textId="5C75B20C" w:rsidR="002416F6" w:rsidRDefault="00471751" w:rsidP="002416F6">
      <w:pPr>
        <w:spacing w:line="480" w:lineRule="auto"/>
        <w:ind w:left="720" w:hanging="720"/>
      </w:pPr>
      <w:r w:rsidRPr="00471751">
        <w:t>A:</w:t>
      </w:r>
      <w:r w:rsidR="00591DFA" w:rsidRPr="00471751">
        <w:tab/>
      </w:r>
      <w:r w:rsidR="00591DFA" w:rsidRPr="00710955">
        <w:t>The Energy Project has not retained its own expert to support a</w:t>
      </w:r>
      <w:r w:rsidR="00A31892" w:rsidRPr="00710955">
        <w:t xml:space="preserve"> </w:t>
      </w:r>
      <w:r w:rsidR="00EA1696" w:rsidRPr="00710955">
        <w:t xml:space="preserve">specific </w:t>
      </w:r>
      <w:r w:rsidR="00061527" w:rsidRPr="00710955">
        <w:t xml:space="preserve">alternative to the current two block structure.  </w:t>
      </w:r>
      <w:r w:rsidR="009B55A1">
        <w:t xml:space="preserve">While I do not recommend a change to the current structure in this testimony, The Energy Project </w:t>
      </w:r>
      <w:r w:rsidR="00591DFA" w:rsidRPr="00710955">
        <w:t xml:space="preserve">will evaluate and respond to any proposals of other parties. </w:t>
      </w:r>
      <w:r w:rsidR="00E9427E" w:rsidRPr="00710955">
        <w:t xml:space="preserve"> </w:t>
      </w:r>
      <w:r w:rsidR="002416F6">
        <w:br w:type="page"/>
      </w:r>
    </w:p>
    <w:p w14:paraId="65917C70" w14:textId="557D4F50" w:rsidR="004C3EFD" w:rsidRPr="009570DD" w:rsidRDefault="009570DD" w:rsidP="009570DD">
      <w:pPr>
        <w:spacing w:line="480" w:lineRule="auto"/>
        <w:ind w:firstLine="720"/>
        <w:rPr>
          <w:b/>
        </w:rPr>
      </w:pPr>
      <w:bookmarkStart w:id="3" w:name="_Hlk484675524"/>
      <w:r w:rsidRPr="009570DD">
        <w:rPr>
          <w:b/>
        </w:rPr>
        <w:lastRenderedPageBreak/>
        <w:t>E.</w:t>
      </w:r>
      <w:r w:rsidRPr="009570DD">
        <w:rPr>
          <w:b/>
        </w:rPr>
        <w:tab/>
        <w:t>DECOUPLING</w:t>
      </w:r>
      <w:r>
        <w:rPr>
          <w:b/>
        </w:rPr>
        <w:t>.</w:t>
      </w:r>
    </w:p>
    <w:p w14:paraId="195FC3CF" w14:textId="70F21DC5" w:rsidR="004C3EFD" w:rsidRDefault="00471751" w:rsidP="0095757B">
      <w:pPr>
        <w:spacing w:line="480" w:lineRule="auto"/>
        <w:ind w:left="720" w:hanging="720"/>
        <w:rPr>
          <w:b/>
        </w:rPr>
      </w:pPr>
      <w:r>
        <w:rPr>
          <w:b/>
        </w:rPr>
        <w:t>Q:</w:t>
      </w:r>
      <w:r w:rsidR="009570DD">
        <w:rPr>
          <w:b/>
        </w:rPr>
        <w:tab/>
      </w:r>
      <w:r w:rsidR="00003090">
        <w:rPr>
          <w:b/>
        </w:rPr>
        <w:t>PSE witness Jon Piliaris, referencing the</w:t>
      </w:r>
      <w:r w:rsidR="00B57292">
        <w:rPr>
          <w:b/>
        </w:rPr>
        <w:t xml:space="preserve"> Gil Peach Report</w:t>
      </w:r>
      <w:r w:rsidR="00B20B03">
        <w:rPr>
          <w:b/>
        </w:rPr>
        <w:t xml:space="preserve"> “Three Years of De</w:t>
      </w:r>
      <w:r w:rsidR="00F3421B">
        <w:rPr>
          <w:b/>
        </w:rPr>
        <w:t>coupling</w:t>
      </w:r>
      <w:r w:rsidR="00B57292">
        <w:rPr>
          <w:b/>
        </w:rPr>
        <w:t>,</w:t>
      </w:r>
      <w:r w:rsidR="00F3421B">
        <w:rPr>
          <w:b/>
        </w:rPr>
        <w:t xml:space="preserve">” </w:t>
      </w:r>
      <w:r w:rsidR="00B57292">
        <w:rPr>
          <w:b/>
        </w:rPr>
        <w:t>characterizes the bill impacts of the decoupling mechanism currently in effect as “minor.”  Do you agree?</w:t>
      </w:r>
    </w:p>
    <w:p w14:paraId="09E79DFD" w14:textId="4FFC0077" w:rsidR="00B82B57" w:rsidRDefault="00471751" w:rsidP="009570DD">
      <w:pPr>
        <w:spacing w:line="480" w:lineRule="auto"/>
        <w:ind w:left="720" w:hanging="720"/>
      </w:pPr>
      <w:r>
        <w:rPr>
          <w:b/>
        </w:rPr>
        <w:t>A:</w:t>
      </w:r>
      <w:r w:rsidR="009570DD">
        <w:tab/>
      </w:r>
      <w:r w:rsidR="00F3421B">
        <w:t>No.</w:t>
      </w:r>
      <w:r w:rsidR="002849AB">
        <w:t xml:space="preserve"> </w:t>
      </w:r>
      <w:r w:rsidR="00F3421B">
        <w:t xml:space="preserve"> </w:t>
      </w:r>
      <w:r w:rsidR="00B57292">
        <w:t>I believe this statement</w:t>
      </w:r>
      <w:r w:rsidR="00B82B57">
        <w:t xml:space="preserve"> </w:t>
      </w:r>
      <w:r w:rsidR="00B57292">
        <w:t xml:space="preserve">unduly minimizes the impact of the rate changes experienced by </w:t>
      </w:r>
      <w:r w:rsidR="00DB5663">
        <w:t>low-income</w:t>
      </w:r>
      <w:r w:rsidR="00B57292">
        <w:t xml:space="preserve"> customers under the decoupling mechanism.  According</w:t>
      </w:r>
      <w:r w:rsidR="00F3421B">
        <w:t xml:space="preserve"> to </w:t>
      </w:r>
      <w:r w:rsidR="00B57292">
        <w:t xml:space="preserve">the Peach Report, low-income electric customers experienced a cumulative increase in their bills of </w:t>
      </w:r>
      <w:r w:rsidR="00F3421B">
        <w:t xml:space="preserve">just </w:t>
      </w:r>
      <w:r w:rsidR="00B57292">
        <w:t>over 9 percent</w:t>
      </w:r>
      <w:r w:rsidR="00FC2ACA">
        <w:t xml:space="preserve"> during the three year evaluation period</w:t>
      </w:r>
      <w:r w:rsidR="00B57292">
        <w:t>.</w:t>
      </w:r>
      <w:r w:rsidR="00B57292">
        <w:rPr>
          <w:rStyle w:val="FootnoteReference"/>
        </w:rPr>
        <w:footnoteReference w:id="46"/>
      </w:r>
      <w:r w:rsidR="002849AB">
        <w:t xml:space="preserve"> </w:t>
      </w:r>
      <w:r w:rsidR="00B57292">
        <w:t xml:space="preserve"> In dollar terms, the average </w:t>
      </w:r>
      <w:r w:rsidR="00272325">
        <w:t>bill-</w:t>
      </w:r>
      <w:r w:rsidR="00D067D3">
        <w:t xml:space="preserve">assisted </w:t>
      </w:r>
      <w:r w:rsidR="00B57292">
        <w:t>customer</w:t>
      </w:r>
      <w:r w:rsidR="00470FDC">
        <w:t>’</w:t>
      </w:r>
      <w:r w:rsidR="00B57292">
        <w:t xml:space="preserve">s bill has increased </w:t>
      </w:r>
      <w:r w:rsidR="00D067D3">
        <w:t xml:space="preserve">cumulatively </w:t>
      </w:r>
      <w:r w:rsidR="00B57292">
        <w:t>over the life of the plan by over $100 per year.</w:t>
      </w:r>
      <w:r w:rsidR="00272325">
        <w:rPr>
          <w:rStyle w:val="FootnoteReference"/>
        </w:rPr>
        <w:footnoteReference w:id="47"/>
      </w:r>
      <w:r w:rsidR="009570DD">
        <w:t xml:space="preserve">  </w:t>
      </w:r>
      <w:r w:rsidR="00CC21B4">
        <w:t>The average HELP grant in 2016 was $409</w:t>
      </w:r>
      <w:r w:rsidR="001B166D">
        <w:t>.</w:t>
      </w:r>
      <w:r w:rsidR="00892203">
        <w:rPr>
          <w:rStyle w:val="FootnoteReference"/>
        </w:rPr>
        <w:footnoteReference w:id="48"/>
      </w:r>
      <w:r w:rsidR="00B57292">
        <w:t xml:space="preserve">  The </w:t>
      </w:r>
      <w:r w:rsidR="00B82B57">
        <w:t xml:space="preserve">cumulative </w:t>
      </w:r>
      <w:r w:rsidR="00B57292">
        <w:t>bill incre</w:t>
      </w:r>
      <w:r w:rsidR="0066584E">
        <w:t xml:space="preserve">ase </w:t>
      </w:r>
      <w:r w:rsidR="00CC21B4">
        <w:t xml:space="preserve">over the term of the Rate Plan, therefore, </w:t>
      </w:r>
      <w:r w:rsidR="0066584E">
        <w:t xml:space="preserve">represents approximately 25 </w:t>
      </w:r>
      <w:r w:rsidR="00B57292">
        <w:t>percent of the average</w:t>
      </w:r>
      <w:r w:rsidR="00820EBE">
        <w:t xml:space="preserve"> HELP</w:t>
      </w:r>
      <w:r w:rsidR="00B57292">
        <w:t xml:space="preserve"> grant size.</w:t>
      </w:r>
      <w:r w:rsidR="00B82B57">
        <w:t xml:space="preserve">  </w:t>
      </w:r>
      <w:r w:rsidR="00884149">
        <w:t>In addition, as context, t</w:t>
      </w:r>
      <w:r w:rsidR="00B82B57">
        <w:t xml:space="preserve">he Peach Report notes that </w:t>
      </w:r>
      <w:r w:rsidR="00884149">
        <w:t>during the term of the Ra</w:t>
      </w:r>
      <w:r w:rsidR="009570DD">
        <w:t xml:space="preserve">te Plan covered by the Report, </w:t>
      </w:r>
      <w:r w:rsidR="00884149">
        <w:t>bill assistance funded a smaller share of the low-income customer’s bill than in prior years, due to decreas</w:t>
      </w:r>
      <w:r w:rsidR="009570DD">
        <w:t xml:space="preserve">es in federal LIHEAP funding.  </w:t>
      </w:r>
      <w:r w:rsidR="00884149">
        <w:t xml:space="preserve">While HELP funding increased during this period, it was not enough to offset the federal decline. </w:t>
      </w:r>
      <w:r w:rsidR="00884149">
        <w:rPr>
          <w:rStyle w:val="FootnoteReference"/>
        </w:rPr>
        <w:footnoteReference w:id="49"/>
      </w:r>
      <w:r w:rsidR="00884149">
        <w:t xml:space="preserve"> </w:t>
      </w:r>
    </w:p>
    <w:p w14:paraId="5384C157" w14:textId="2FFC0ADA" w:rsidR="009D63DF" w:rsidRDefault="00471751" w:rsidP="0095757B">
      <w:pPr>
        <w:spacing w:line="480" w:lineRule="auto"/>
        <w:ind w:left="720" w:hanging="720"/>
        <w:rPr>
          <w:b/>
        </w:rPr>
      </w:pPr>
      <w:r>
        <w:rPr>
          <w:b/>
        </w:rPr>
        <w:lastRenderedPageBreak/>
        <w:t>Q:</w:t>
      </w:r>
      <w:r w:rsidR="008D72B2">
        <w:rPr>
          <w:b/>
        </w:rPr>
        <w:tab/>
        <w:t>Doesn’t the Peach Report conclude that the impact on low-income customers is similar to all residential households.</w:t>
      </w:r>
    </w:p>
    <w:p w14:paraId="63C08BE2" w14:textId="031B76FB" w:rsidR="009570DD" w:rsidRDefault="00471751" w:rsidP="009570DD">
      <w:pPr>
        <w:spacing w:line="480" w:lineRule="auto"/>
        <w:ind w:left="720" w:hanging="720"/>
        <w:rPr>
          <w:i/>
        </w:rPr>
      </w:pPr>
      <w:r w:rsidRPr="00471751">
        <w:t>A:</w:t>
      </w:r>
      <w:r w:rsidR="009570DD">
        <w:tab/>
      </w:r>
      <w:r w:rsidR="008D72B2">
        <w:t xml:space="preserve">Yes.  However, </w:t>
      </w:r>
      <w:r w:rsidR="009570DD">
        <w:t>it’s</w:t>
      </w:r>
      <w:r w:rsidR="008D72B2">
        <w:t xml:space="preserve"> important to </w:t>
      </w:r>
      <w:r w:rsidR="00605E9B">
        <w:t>note</w:t>
      </w:r>
      <w:r w:rsidR="008D72B2">
        <w:t xml:space="preserve"> that </w:t>
      </w:r>
      <w:r w:rsidR="00DB5663">
        <w:t>low-income</w:t>
      </w:r>
      <w:r w:rsidR="00B57292">
        <w:t xml:space="preserve"> household budgets also </w:t>
      </w:r>
      <w:r w:rsidR="0080719C">
        <w:t>have less ability to absorb a 9 per</w:t>
      </w:r>
      <w:r w:rsidR="00FC2ACA">
        <w:t>cent rate increase than non-low-</w:t>
      </w:r>
      <w:r w:rsidR="0080719C">
        <w:t>income residential household</w:t>
      </w:r>
      <w:r w:rsidR="00FC2ACA">
        <w:t>s.</w:t>
      </w:r>
      <w:r w:rsidR="0080719C">
        <w:t xml:space="preserve"> </w:t>
      </w:r>
      <w:r w:rsidR="009570DD">
        <w:t xml:space="preserve"> </w:t>
      </w:r>
      <w:r w:rsidR="00C7315E">
        <w:t xml:space="preserve">As the Peach Report itself </w:t>
      </w:r>
      <w:r w:rsidR="008D72B2">
        <w:t>observes</w:t>
      </w:r>
      <w:r w:rsidR="009570DD">
        <w:t>,</w:t>
      </w:r>
      <w:r w:rsidR="008D72B2" w:rsidRPr="00884149">
        <w:t xml:space="preserve"> “</w:t>
      </w:r>
      <w:r w:rsidR="00884149" w:rsidRPr="00884149">
        <w:t>[i]f households have insufficient income, they will have trouble with energy bills</w:t>
      </w:r>
      <w:r w:rsidR="00884149">
        <w:t>.  PSE HELP funding is essential</w:t>
      </w:r>
      <w:r w:rsidR="00884149" w:rsidRPr="00884149">
        <w:t>.”</w:t>
      </w:r>
      <w:r w:rsidR="00884149">
        <w:rPr>
          <w:rStyle w:val="FootnoteReference"/>
        </w:rPr>
        <w:footnoteReference w:id="50"/>
      </w:r>
      <w:r>
        <w:t xml:space="preserve"> </w:t>
      </w:r>
      <w:r w:rsidR="00FC2ACA">
        <w:t xml:space="preserve"> Put another way, the higher the bill and the lower the income, the higher the household energy burden.</w:t>
      </w:r>
      <w:r>
        <w:t xml:space="preserve"> </w:t>
      </w:r>
      <w:r w:rsidR="0048683F">
        <w:t xml:space="preserve"> Low-income households on average have </w:t>
      </w:r>
      <w:r w:rsidR="00A94746">
        <w:t xml:space="preserve">a </w:t>
      </w:r>
      <w:r w:rsidR="0048683F">
        <w:t>significantly</w:t>
      </w:r>
      <w:r w:rsidR="00A94746">
        <w:t xml:space="preserve"> </w:t>
      </w:r>
      <w:r w:rsidR="0048683F">
        <w:t xml:space="preserve">higher energy burden than other households.  </w:t>
      </w:r>
      <w:r w:rsidR="00FC2ACA">
        <w:t xml:space="preserve"> </w:t>
      </w:r>
    </w:p>
    <w:p w14:paraId="556F47D0" w14:textId="082F86A0" w:rsidR="002416F6" w:rsidRDefault="00DA0024" w:rsidP="002416F6">
      <w:pPr>
        <w:spacing w:line="480" w:lineRule="auto"/>
        <w:ind w:left="720" w:firstLine="720"/>
      </w:pPr>
      <w:r>
        <w:t xml:space="preserve">The </w:t>
      </w:r>
      <w:r w:rsidR="008D72B2">
        <w:t xml:space="preserve">Commission </w:t>
      </w:r>
      <w:r>
        <w:t xml:space="preserve">should </w:t>
      </w:r>
      <w:r w:rsidR="008D72B2">
        <w:t xml:space="preserve">not conclude from the Peach Report that low-income customer impact is </w:t>
      </w:r>
      <w:r w:rsidR="000A4638">
        <w:t>an unimportant</w:t>
      </w:r>
      <w:r w:rsidR="008D72B2">
        <w:t xml:space="preserve"> consideration in deciding on whether and in what form PSE will continue to have a decoupling mechanism. </w:t>
      </w:r>
      <w:r w:rsidR="009570DD">
        <w:t xml:space="preserve"> </w:t>
      </w:r>
      <w:r w:rsidR="00CF7554">
        <w:t xml:space="preserve">This is especially the case given </w:t>
      </w:r>
      <w:r w:rsidR="00471751">
        <w:t>the projected additional impact</w:t>
      </w:r>
      <w:r w:rsidR="00CF7554">
        <w:t xml:space="preserve"> that would result from PSE’s recommended modifications.  </w:t>
      </w:r>
      <w:r w:rsidR="00892203">
        <w:t>An important point in this regard is that only a minority of PSE’s customers receiv</w:t>
      </w:r>
      <w:r w:rsidR="009570DD">
        <w:t xml:space="preserve">e energy assistance payments.  </w:t>
      </w:r>
      <w:r w:rsidR="00B53914">
        <w:t xml:space="preserve">The Peach Report </w:t>
      </w:r>
      <w:r w:rsidR="009570DD">
        <w:t>takes note that</w:t>
      </w:r>
      <w:r w:rsidR="006E734F">
        <w:t xml:space="preserve"> many PSE customers at or below 150 percent of </w:t>
      </w:r>
      <w:r w:rsidR="004130C8">
        <w:t>Federal Poverty Level</w:t>
      </w:r>
      <w:r w:rsidR="006E734F">
        <w:t xml:space="preserve"> are not </w:t>
      </w:r>
      <w:r w:rsidR="0095757B">
        <w:t xml:space="preserve">receiving bill assistance, and </w:t>
      </w:r>
      <w:r w:rsidR="006E734F">
        <w:t xml:space="preserve">that “an analysis of households with insufficient income would be more </w:t>
      </w:r>
      <w:r w:rsidR="009570DD">
        <w:t>truthful if set at or above 250 percent to 350 percent</w:t>
      </w:r>
      <w:r w:rsidR="005A4818">
        <w:t xml:space="preserve">” </w:t>
      </w:r>
      <w:r w:rsidR="002849AB">
        <w:t>of</w:t>
      </w:r>
      <w:r w:rsidR="006E734F">
        <w:t xml:space="preserve"> the </w:t>
      </w:r>
      <w:r w:rsidR="004130C8">
        <w:t>Federal Poverty Level</w:t>
      </w:r>
      <w:r w:rsidR="006E734F">
        <w:t>.</w:t>
      </w:r>
      <w:r w:rsidR="006E734F">
        <w:rPr>
          <w:rStyle w:val="FootnoteReference"/>
        </w:rPr>
        <w:footnoteReference w:id="51"/>
      </w:r>
      <w:r w:rsidR="002416F6">
        <w:br w:type="page"/>
      </w:r>
    </w:p>
    <w:p w14:paraId="3AF1F79C" w14:textId="1913FDEB" w:rsidR="009570DD" w:rsidRDefault="00471751" w:rsidP="0095757B">
      <w:pPr>
        <w:spacing w:line="480" w:lineRule="auto"/>
        <w:ind w:left="720" w:hanging="720"/>
        <w:rPr>
          <w:b/>
        </w:rPr>
      </w:pPr>
      <w:r>
        <w:rPr>
          <w:b/>
        </w:rPr>
        <w:lastRenderedPageBreak/>
        <w:t>Q:</w:t>
      </w:r>
      <w:r w:rsidR="008D72B2">
        <w:rPr>
          <w:b/>
        </w:rPr>
        <w:tab/>
        <w:t>Do</w:t>
      </w:r>
      <w:r w:rsidR="006F7BC3">
        <w:rPr>
          <w:b/>
        </w:rPr>
        <w:t>es The Energy Project have concerns about PSE’s proposed changes to its decoupling mechanism</w:t>
      </w:r>
      <w:r w:rsidR="008D72B2">
        <w:rPr>
          <w:b/>
        </w:rPr>
        <w:t>?</w:t>
      </w:r>
    </w:p>
    <w:p w14:paraId="2F23CF3E" w14:textId="4835C942" w:rsidR="00A64BCE" w:rsidRDefault="00471751" w:rsidP="009570DD">
      <w:pPr>
        <w:spacing w:line="480" w:lineRule="auto"/>
        <w:ind w:left="720" w:hanging="720"/>
      </w:pPr>
      <w:r w:rsidRPr="00471751">
        <w:t>A:</w:t>
      </w:r>
      <w:r w:rsidR="008D72B2">
        <w:tab/>
      </w:r>
      <w:r w:rsidR="006F7BC3">
        <w:t xml:space="preserve">Yes.  </w:t>
      </w:r>
      <w:r w:rsidR="00A64BCE">
        <w:t>PSE has requested an increase in the rate cap for both electric and natural gas.</w:t>
      </w:r>
      <w:r w:rsidR="009570DD">
        <w:t xml:space="preserve"> </w:t>
      </w:r>
      <w:r w:rsidR="00A64BCE">
        <w:t xml:space="preserve"> For electric service, this appears to be based on a concern that including fixed costs in the mechanism for the first time is likely to approximately double the size of the decoupling impact annually, which would exceed the 3 percent cap.</w:t>
      </w:r>
      <w:r w:rsidR="00A64BCE">
        <w:rPr>
          <w:rStyle w:val="FootnoteReference"/>
        </w:rPr>
        <w:footnoteReference w:id="52"/>
      </w:r>
      <w:r w:rsidR="00A64BCE">
        <w:t xml:space="preserve">  </w:t>
      </w:r>
    </w:p>
    <w:p w14:paraId="0BD24768" w14:textId="43FC203A" w:rsidR="008D72B2" w:rsidRDefault="006F7BC3" w:rsidP="009570DD">
      <w:pPr>
        <w:spacing w:line="480" w:lineRule="auto"/>
        <w:ind w:left="720" w:firstLine="720"/>
      </w:pPr>
      <w:r>
        <w:t>The Energy Project is concerned about the proposal to increase the “soft cap” from 3 percent to 5 percent.  At the 3 percent level, the soft cap kept rate increases at a more modest level and provided customers some protection against volatility and rate “spikes</w:t>
      </w:r>
      <w:r w:rsidR="0014701F">
        <w:t>.</w:t>
      </w:r>
      <w:r>
        <w:t>”  Although customers ultimately paid the deferred amounts in subsequent years, the impact was spread out.</w:t>
      </w:r>
      <w:r w:rsidR="00D65DB0">
        <w:t xml:space="preserve"> </w:t>
      </w:r>
      <w:r>
        <w:t xml:space="preserve"> Increasing the cap to 5 percent exposes customers to larger rate impacts in any given year, and </w:t>
      </w:r>
      <w:r w:rsidR="00892203">
        <w:t>reduces the offsetting effects of energy assistanc</w:t>
      </w:r>
      <w:r w:rsidR="006E734F">
        <w:t>e grants such as HELP or LIHEAP.</w:t>
      </w:r>
      <w:r w:rsidR="00D65DB0">
        <w:t xml:space="preserve"> </w:t>
      </w:r>
    </w:p>
    <w:p w14:paraId="693B8536" w14:textId="6F7BB1EA" w:rsidR="002416F6" w:rsidRDefault="0014701F" w:rsidP="002416F6">
      <w:pPr>
        <w:spacing w:line="480" w:lineRule="auto"/>
        <w:ind w:left="720" w:hanging="720"/>
      </w:pPr>
      <w:r>
        <w:tab/>
      </w:r>
      <w:r w:rsidR="00D65DB0">
        <w:tab/>
      </w:r>
      <w:r>
        <w:t>The Energy Project is concerned that the changes proposed by PSE, increasing the cap and recovering fi</w:t>
      </w:r>
      <w:r w:rsidR="006E1D42">
        <w:t xml:space="preserve">xed costs through decoupling, </w:t>
      </w:r>
      <w:r>
        <w:t>would not be minor</w:t>
      </w:r>
      <w:r w:rsidR="00E9794A">
        <w:t xml:space="preserve"> technical</w:t>
      </w:r>
      <w:r>
        <w:t xml:space="preserve"> “tweaks” but would significantly change the nature </w:t>
      </w:r>
      <w:r w:rsidR="00EB3105">
        <w:t xml:space="preserve">and impact </w:t>
      </w:r>
      <w:r>
        <w:t>of the decoupling</w:t>
      </w:r>
      <w:bookmarkEnd w:id="3"/>
      <w:r w:rsidR="00DA0024">
        <w:t>.</w:t>
      </w:r>
      <w:r w:rsidR="002416F6">
        <w:br w:type="page"/>
      </w:r>
    </w:p>
    <w:p w14:paraId="04B1DD3B" w14:textId="03B97278" w:rsidR="001B353E" w:rsidRDefault="00AD4B42" w:rsidP="009D63DF">
      <w:pPr>
        <w:jc w:val="center"/>
        <w:rPr>
          <w:b/>
        </w:rPr>
      </w:pPr>
      <w:r>
        <w:rPr>
          <w:b/>
        </w:rPr>
        <w:lastRenderedPageBreak/>
        <w:t>V.</w:t>
      </w:r>
      <w:r w:rsidR="00565132">
        <w:rPr>
          <w:b/>
        </w:rPr>
        <w:t xml:space="preserve">  </w:t>
      </w:r>
      <w:r w:rsidR="001B353E">
        <w:rPr>
          <w:b/>
        </w:rPr>
        <w:t xml:space="preserve">ENERGY PROJECT PROPOSAL FOR A </w:t>
      </w:r>
      <w:r w:rsidR="00DB5663">
        <w:rPr>
          <w:b/>
        </w:rPr>
        <w:t>LOW-INCOME</w:t>
      </w:r>
      <w:r w:rsidR="001B353E">
        <w:rPr>
          <w:b/>
        </w:rPr>
        <w:t xml:space="preserve"> ADVISORY COMMITTEE</w:t>
      </w:r>
    </w:p>
    <w:p w14:paraId="1D90892C" w14:textId="77777777" w:rsidR="009D63DF" w:rsidRDefault="009D63DF" w:rsidP="009D63DF">
      <w:pPr>
        <w:jc w:val="center"/>
        <w:rPr>
          <w:b/>
        </w:rPr>
      </w:pPr>
    </w:p>
    <w:p w14:paraId="3680DB07" w14:textId="53372AF3" w:rsidR="00014CCA" w:rsidRDefault="00471751" w:rsidP="00014CCA">
      <w:pPr>
        <w:spacing w:line="480" w:lineRule="auto"/>
        <w:rPr>
          <w:b/>
        </w:rPr>
      </w:pPr>
      <w:r>
        <w:rPr>
          <w:b/>
        </w:rPr>
        <w:t>Q:</w:t>
      </w:r>
      <w:r w:rsidR="00565132">
        <w:rPr>
          <w:b/>
        </w:rPr>
        <w:tab/>
      </w:r>
      <w:r w:rsidR="00014CCA">
        <w:rPr>
          <w:b/>
        </w:rPr>
        <w:t>Is there currently a low-income advisory committee for PSE?</w:t>
      </w:r>
    </w:p>
    <w:p w14:paraId="085F7709" w14:textId="552AD6B3" w:rsidR="00014CCA" w:rsidRDefault="00471751" w:rsidP="00565132">
      <w:pPr>
        <w:spacing w:line="480" w:lineRule="auto"/>
        <w:ind w:left="720" w:hanging="720"/>
        <w:rPr>
          <w:i/>
        </w:rPr>
      </w:pPr>
      <w:r w:rsidRPr="00471751">
        <w:t>A:</w:t>
      </w:r>
      <w:r w:rsidR="00014CCA">
        <w:tab/>
      </w:r>
      <w:r w:rsidR="00014CCA" w:rsidRPr="00906E54">
        <w:t xml:space="preserve">No.  </w:t>
      </w:r>
      <w:r w:rsidR="006E1D42">
        <w:t xml:space="preserve">PSE does not have such a committee at the present time.  </w:t>
      </w:r>
      <w:r w:rsidR="00FD1F8B">
        <w:t>Both Avista</w:t>
      </w:r>
      <w:r w:rsidR="0090771C">
        <w:rPr>
          <w:rStyle w:val="FootnoteReference"/>
        </w:rPr>
        <w:footnoteReference w:id="53"/>
      </w:r>
      <w:r w:rsidR="00FD1F8B">
        <w:t xml:space="preserve"> </w:t>
      </w:r>
      <w:r w:rsidR="00014CCA">
        <w:t>and Cascade Natural Gas</w:t>
      </w:r>
      <w:r w:rsidR="00FD1F8B">
        <w:rPr>
          <w:rStyle w:val="FootnoteReference"/>
        </w:rPr>
        <w:footnoteReference w:id="54"/>
      </w:r>
      <w:r w:rsidR="00014CCA">
        <w:t xml:space="preserve"> have established advisory </w:t>
      </w:r>
      <w:r w:rsidR="006E1D42">
        <w:t>groups that meet</w:t>
      </w:r>
      <w:r w:rsidR="00014CCA">
        <w:t xml:space="preserve"> regul</w:t>
      </w:r>
      <w:r w:rsidR="006E1D42">
        <w:t>arly to monitor and to explore ways to improve their</w:t>
      </w:r>
      <w:r w:rsidR="00014CCA">
        <w:t xml:space="preserve"> low-income </w:t>
      </w:r>
      <w:r w:rsidR="00014CCA" w:rsidRPr="006D3EC7">
        <w:t>energy assistance program</w:t>
      </w:r>
      <w:r w:rsidR="00014CCA">
        <w:t>s.</w:t>
      </w:r>
      <w:r w:rsidR="00410174">
        <w:t xml:space="preserve">  </w:t>
      </w:r>
      <w:r w:rsidR="001D7B41">
        <w:t>Pacific Power recently engaged in a formal collaborative process with stakeholders to review its low-income programs.</w:t>
      </w:r>
      <w:r w:rsidR="00881B65">
        <w:rPr>
          <w:rStyle w:val="FootnoteReference"/>
        </w:rPr>
        <w:footnoteReference w:id="55"/>
      </w:r>
      <w:r w:rsidR="001D7B41">
        <w:t xml:space="preserve">   </w:t>
      </w:r>
    </w:p>
    <w:p w14:paraId="1177D5FE" w14:textId="3DAE2B94" w:rsidR="00565132" w:rsidRDefault="00471751" w:rsidP="0095757B">
      <w:pPr>
        <w:spacing w:line="480" w:lineRule="auto"/>
        <w:ind w:left="720" w:hanging="720"/>
        <w:rPr>
          <w:b/>
        </w:rPr>
      </w:pPr>
      <w:r>
        <w:rPr>
          <w:b/>
        </w:rPr>
        <w:t>Q:</w:t>
      </w:r>
      <w:r w:rsidR="00014CCA">
        <w:rPr>
          <w:b/>
        </w:rPr>
        <w:tab/>
      </w:r>
      <w:r w:rsidR="001D7B41">
        <w:rPr>
          <w:b/>
        </w:rPr>
        <w:t>Does</w:t>
      </w:r>
      <w:r w:rsidR="00014CCA">
        <w:rPr>
          <w:b/>
        </w:rPr>
        <w:t xml:space="preserve"> TEP </w:t>
      </w:r>
      <w:r w:rsidR="001D7B41">
        <w:rPr>
          <w:b/>
        </w:rPr>
        <w:t xml:space="preserve">recommend </w:t>
      </w:r>
      <w:r w:rsidR="008D626F">
        <w:rPr>
          <w:b/>
        </w:rPr>
        <w:t xml:space="preserve">that </w:t>
      </w:r>
      <w:r w:rsidR="001D7B41">
        <w:rPr>
          <w:b/>
        </w:rPr>
        <w:t xml:space="preserve">PSE </w:t>
      </w:r>
      <w:r w:rsidR="00014CCA">
        <w:rPr>
          <w:b/>
        </w:rPr>
        <w:t xml:space="preserve">establish a </w:t>
      </w:r>
      <w:r w:rsidR="007E7808">
        <w:rPr>
          <w:b/>
        </w:rPr>
        <w:t>Low-Income Advisory</w:t>
      </w:r>
      <w:r w:rsidR="00014CCA">
        <w:rPr>
          <w:b/>
        </w:rPr>
        <w:t xml:space="preserve"> Committee, and if so, why?</w:t>
      </w:r>
    </w:p>
    <w:p w14:paraId="6BB046B7" w14:textId="011E8013" w:rsidR="00C4615F" w:rsidRDefault="00471751" w:rsidP="00471751">
      <w:pPr>
        <w:spacing w:line="480" w:lineRule="auto"/>
        <w:ind w:left="720" w:hanging="720"/>
      </w:pPr>
      <w:r>
        <w:t>A:</w:t>
      </w:r>
      <w:r w:rsidR="00014CCA">
        <w:tab/>
        <w:t>Yes</w:t>
      </w:r>
      <w:r w:rsidR="00C4615F">
        <w:t>, TEP recommends that the Commission establish a Low-Income Advisory Committee for PSE</w:t>
      </w:r>
      <w:r w:rsidR="00014CCA">
        <w:t xml:space="preserve">.  </w:t>
      </w:r>
      <w:r w:rsidR="008D626F">
        <w:t xml:space="preserve">In recent years with other utilities, </w:t>
      </w:r>
      <w:r w:rsidR="00014CCA">
        <w:t xml:space="preserve">TEP has found great value in advisory committees that engage multiple stakeholders to discuss the past, present, and future performance of the bill assistance program. </w:t>
      </w:r>
      <w:r w:rsidR="008D626F">
        <w:t xml:space="preserve"> </w:t>
      </w:r>
      <w:r w:rsidR="00C4615F">
        <w:t>TEP suggest that the following goals are core to the development and ongoing purpose of an advisory committee:  k</w:t>
      </w:r>
      <w:r w:rsidR="00C4615F" w:rsidRPr="0063439A">
        <w:t>eeping custom</w:t>
      </w:r>
      <w:r w:rsidR="00C4615F">
        <w:t>ers connected to energy service, p</w:t>
      </w:r>
      <w:r w:rsidR="00C4615F" w:rsidRPr="0063439A">
        <w:t xml:space="preserve">roviding assistance to more customers than are currently </w:t>
      </w:r>
      <w:r w:rsidR="00C4615F">
        <w:t>served, l</w:t>
      </w:r>
      <w:r w:rsidR="00C4615F" w:rsidRPr="0063439A">
        <w:t>owering the energy</w:t>
      </w:r>
      <w:r w:rsidR="00C4615F">
        <w:t xml:space="preserve"> burden of program participants,</w:t>
      </w:r>
      <w:r w:rsidR="00C4615F" w:rsidRPr="0063439A">
        <w:t xml:space="preserve"> and</w:t>
      </w:r>
      <w:r w:rsidR="00C4615F">
        <w:t xml:space="preserve"> c</w:t>
      </w:r>
      <w:r w:rsidR="00C4615F" w:rsidRPr="0063439A">
        <w:t>ollecting data necessary to assess program effectiveness and inform ongoing policy discussions.</w:t>
      </w:r>
    </w:p>
    <w:p w14:paraId="5A9C2A6A" w14:textId="7E1CE0F7" w:rsidR="00014CCA" w:rsidRDefault="008D626F" w:rsidP="00C4615F">
      <w:pPr>
        <w:spacing w:line="480" w:lineRule="auto"/>
        <w:ind w:left="720" w:firstLine="720"/>
      </w:pPr>
      <w:r>
        <w:lastRenderedPageBreak/>
        <w:t xml:space="preserve">TEP believe </w:t>
      </w:r>
      <w:r w:rsidR="00C4615F">
        <w:t>the creation of an advisory committee</w:t>
      </w:r>
      <w:r>
        <w:t xml:space="preserve"> would be helpful </w:t>
      </w:r>
      <w:r w:rsidR="00C4615F">
        <w:t xml:space="preserve">for </w:t>
      </w:r>
      <w:r>
        <w:t xml:space="preserve">PSE </w:t>
      </w:r>
      <w:r w:rsidR="00C4615F">
        <w:t xml:space="preserve">and stakeholders, as it has been with other companies.  </w:t>
      </w:r>
      <w:r w:rsidR="006E1D42">
        <w:t>PSE has the largest low</w:t>
      </w:r>
      <w:r w:rsidR="00565132">
        <w:t xml:space="preserve">-income program in the state.  </w:t>
      </w:r>
      <w:r w:rsidR="00C4615F">
        <w:t xml:space="preserve">PSE has a provided strong support for low-income programs and has been a good partner </w:t>
      </w:r>
      <w:r w:rsidR="00684C17">
        <w:t xml:space="preserve">and responsive </w:t>
      </w:r>
      <w:r w:rsidR="00C4615F">
        <w:t xml:space="preserve">with Community Action and other agencies in its service territory in implementing services over the ten plus years since the HELP program was first established in a multiparty agreement with the Company.  Establishing an advisory committee </w:t>
      </w:r>
      <w:r>
        <w:t xml:space="preserve">for PSE </w:t>
      </w:r>
      <w:r w:rsidR="00C4615F">
        <w:t xml:space="preserve">would create a forum </w:t>
      </w:r>
      <w:r>
        <w:t xml:space="preserve">to provide regular feedback on the management and delivery of </w:t>
      </w:r>
      <w:r w:rsidR="00623011">
        <w:t xml:space="preserve">the </w:t>
      </w:r>
      <w:r>
        <w:t>PSE HELP</w:t>
      </w:r>
      <w:r w:rsidR="00C4615F">
        <w:t xml:space="preserve"> and other low-income issues, including those discussed below. </w:t>
      </w:r>
    </w:p>
    <w:p w14:paraId="7D9013D2" w14:textId="1E604331" w:rsidR="00014CCA" w:rsidRDefault="00014CCA" w:rsidP="00BE7BE1">
      <w:pPr>
        <w:spacing w:line="480" w:lineRule="auto"/>
        <w:ind w:left="720" w:hanging="720"/>
      </w:pPr>
      <w:r>
        <w:tab/>
      </w:r>
      <w:r w:rsidR="00BE7BE1">
        <w:tab/>
      </w:r>
      <w:r>
        <w:t xml:space="preserve">TEP recommends that the advisory committee meet on a quarterly basis and include participation by </w:t>
      </w:r>
      <w:r w:rsidR="00E7609A">
        <w:t xml:space="preserve">PSE, </w:t>
      </w:r>
      <w:r>
        <w:t>Commission Staff, Public Counsel, Northwest Energy Coalition, The Energy Project,</w:t>
      </w:r>
      <w:r w:rsidR="00E7609A">
        <w:t xml:space="preserve"> </w:t>
      </w:r>
      <w:r>
        <w:t>Community Action Partnership agencies</w:t>
      </w:r>
      <w:r w:rsidR="00E7609A">
        <w:t xml:space="preserve"> from the service territory </w:t>
      </w:r>
      <w:r>
        <w:t>and other interested stakeholders.</w:t>
      </w:r>
      <w:r w:rsidR="00623011">
        <w:t xml:space="preserve">  As with </w:t>
      </w:r>
      <w:r w:rsidR="00586AFD">
        <w:t xml:space="preserve">the Avista advisory committee, the cost of convening the advisory group </w:t>
      </w:r>
      <w:r w:rsidR="00623011">
        <w:t xml:space="preserve">would be </w:t>
      </w:r>
      <w:r w:rsidR="00586AFD">
        <w:t>recovered</w:t>
      </w:r>
      <w:r w:rsidR="00623011">
        <w:t xml:space="preserve"> </w:t>
      </w:r>
      <w:r w:rsidR="00E7609A">
        <w:t xml:space="preserve">through </w:t>
      </w:r>
      <w:r w:rsidR="00623011">
        <w:t>general rates.</w:t>
      </w:r>
      <w:r w:rsidR="00623011">
        <w:rPr>
          <w:rStyle w:val="FootnoteReference"/>
        </w:rPr>
        <w:footnoteReference w:id="56"/>
      </w:r>
    </w:p>
    <w:p w14:paraId="66ED0EC4" w14:textId="505877FE" w:rsidR="00BE7BE1" w:rsidRDefault="00471751" w:rsidP="0095757B">
      <w:pPr>
        <w:spacing w:line="480" w:lineRule="auto"/>
        <w:ind w:left="720" w:hanging="720"/>
        <w:rPr>
          <w:b/>
        </w:rPr>
      </w:pPr>
      <w:r>
        <w:rPr>
          <w:b/>
        </w:rPr>
        <w:t>Q:</w:t>
      </w:r>
      <w:r w:rsidR="00014CCA">
        <w:rPr>
          <w:b/>
        </w:rPr>
        <w:tab/>
        <w:t xml:space="preserve">What specific topics does TEP recommend for consideration </w:t>
      </w:r>
      <w:r w:rsidR="00C4615F">
        <w:rPr>
          <w:b/>
        </w:rPr>
        <w:t>by</w:t>
      </w:r>
      <w:r w:rsidR="00014CCA">
        <w:rPr>
          <w:b/>
        </w:rPr>
        <w:t xml:space="preserve"> a PSE </w:t>
      </w:r>
      <w:r w:rsidR="00C4615F">
        <w:rPr>
          <w:b/>
        </w:rPr>
        <w:t xml:space="preserve">Low-Income </w:t>
      </w:r>
      <w:r w:rsidR="00014CCA">
        <w:rPr>
          <w:b/>
        </w:rPr>
        <w:t>Advisory Committee?</w:t>
      </w:r>
    </w:p>
    <w:p w14:paraId="3437A237" w14:textId="5FAA4696" w:rsidR="00014CCA" w:rsidRDefault="00471751" w:rsidP="00BE7BE1">
      <w:pPr>
        <w:spacing w:line="480" w:lineRule="auto"/>
        <w:ind w:left="720" w:hanging="720"/>
      </w:pPr>
      <w:r>
        <w:rPr>
          <w:b/>
        </w:rPr>
        <w:t>A:</w:t>
      </w:r>
      <w:r w:rsidR="00014CCA" w:rsidRPr="00FE2ED6">
        <w:tab/>
        <w:t xml:space="preserve">There are several </w:t>
      </w:r>
      <w:r w:rsidR="00014CCA">
        <w:t>important issues tha</w:t>
      </w:r>
      <w:r w:rsidR="00C4615F">
        <w:t xml:space="preserve">t deserve careful consideration.  </w:t>
      </w:r>
      <w:r w:rsidR="00283B1E">
        <w:t xml:space="preserve">Major topics include: </w:t>
      </w:r>
      <w:r w:rsidR="00014CCA">
        <w:t>expanding assistance</w:t>
      </w:r>
      <w:r w:rsidR="00C4615F">
        <w:t xml:space="preserve"> program offerings, developing </w:t>
      </w:r>
      <w:r w:rsidR="00014CCA">
        <w:t>a shared outreach and marketing plan and budget, and enhancing access to low</w:t>
      </w:r>
      <w:r>
        <w:t>-income programs and resources.</w:t>
      </w:r>
    </w:p>
    <w:p w14:paraId="7D947F2B" w14:textId="75442D46" w:rsidR="00BE7BE1" w:rsidRDefault="00014CCA" w:rsidP="00BE7BE1">
      <w:pPr>
        <w:spacing w:line="480" w:lineRule="auto"/>
        <w:ind w:left="720" w:hanging="720"/>
      </w:pPr>
      <w:r>
        <w:lastRenderedPageBreak/>
        <w:tab/>
      </w:r>
      <w:r w:rsidR="00BE7BE1">
        <w:tab/>
      </w:r>
      <w:r w:rsidR="0089167B" w:rsidRPr="0089167B">
        <w:rPr>
          <w:u w:val="single"/>
        </w:rPr>
        <w:t>E</w:t>
      </w:r>
      <w:r w:rsidRPr="0089167B">
        <w:rPr>
          <w:u w:val="single"/>
        </w:rPr>
        <w:t xml:space="preserve">xpanding </w:t>
      </w:r>
      <w:r w:rsidR="00283B1E" w:rsidRPr="0089167B">
        <w:rPr>
          <w:u w:val="single"/>
        </w:rPr>
        <w:t>low-income assistance program</w:t>
      </w:r>
      <w:r w:rsidRPr="0089167B">
        <w:rPr>
          <w:u w:val="single"/>
        </w:rPr>
        <w:t xml:space="preserve"> offerings</w:t>
      </w:r>
      <w:r w:rsidR="0089167B">
        <w:rPr>
          <w:u w:val="single"/>
        </w:rPr>
        <w:t>.</w:t>
      </w:r>
      <w:r w:rsidR="00471751">
        <w:t xml:space="preserve">  The committee would look</w:t>
      </w:r>
      <w:r>
        <w:t xml:space="preserve"> at what tools are available to PSE customers to help </w:t>
      </w:r>
      <w:r w:rsidR="004C08D5">
        <w:t xml:space="preserve">ensure </w:t>
      </w:r>
      <w:r>
        <w:t>that they stay connected to affordable utility services.</w:t>
      </w:r>
      <w:r w:rsidR="00BE7BE1">
        <w:t xml:space="preserve">  </w:t>
      </w:r>
      <w:r>
        <w:t xml:space="preserve">Recently, there have been a variety of efforts in </w:t>
      </w:r>
      <w:r w:rsidR="004C08D5">
        <w:t>Washington</w:t>
      </w:r>
      <w:r>
        <w:t xml:space="preserve"> to look at expanding options for serving low-income customers. </w:t>
      </w:r>
      <w:r w:rsidR="00BE7BE1">
        <w:t xml:space="preserve"> </w:t>
      </w:r>
      <w:r>
        <w:t>One such effort is the development of an Arrearage Management Program</w:t>
      </w:r>
      <w:r w:rsidR="00084701">
        <w:t xml:space="preserve"> (AMP)</w:t>
      </w:r>
      <w:r>
        <w:t xml:space="preserve"> pilot wit</w:t>
      </w:r>
      <w:r w:rsidR="00CA6D1C">
        <w:t>hin Avista’s service territory.</w:t>
      </w:r>
      <w:r w:rsidR="00CA6D1C">
        <w:rPr>
          <w:rStyle w:val="FootnoteReference"/>
        </w:rPr>
        <w:footnoteReference w:id="57"/>
      </w:r>
      <w:r w:rsidR="00CA6D1C">
        <w:t xml:space="preserve">  </w:t>
      </w:r>
      <w:r>
        <w:t xml:space="preserve">This program looks to be quite promising in its ability to address challenges with low-income utility customers’ </w:t>
      </w:r>
      <w:r w:rsidR="00084701">
        <w:t xml:space="preserve">ability to pay by establishing achievable monthly payment paid over time to mitigate the </w:t>
      </w:r>
      <w:r w:rsidR="00471751">
        <w:t>hardship</w:t>
      </w:r>
      <w:r w:rsidR="00084701">
        <w:t xml:space="preserve"> caused by a large arrearage.  An AMP can </w:t>
      </w:r>
      <w:r>
        <w:t xml:space="preserve">provide </w:t>
      </w:r>
      <w:r w:rsidR="00084701">
        <w:t xml:space="preserve">an </w:t>
      </w:r>
      <w:r w:rsidR="00684C17">
        <w:t xml:space="preserve">alternative </w:t>
      </w:r>
      <w:r>
        <w:t>to disconnection for nonpayment, late fees/disconnection fees,</w:t>
      </w:r>
      <w:r w:rsidR="004C08D5">
        <w:t xml:space="preserve"> and collections activities</w:t>
      </w:r>
      <w:r>
        <w:t>.</w:t>
      </w:r>
      <w:r w:rsidR="00BE7BE1">
        <w:t xml:space="preserve"> </w:t>
      </w:r>
      <w:r>
        <w:t xml:space="preserve"> A PSE </w:t>
      </w:r>
      <w:r w:rsidR="00084701">
        <w:t>Low-Income</w:t>
      </w:r>
      <w:r>
        <w:t xml:space="preserve"> Advisory Committee could assess the feasibility of an Arrearage Management Program and the potential benefits to PSE and </w:t>
      </w:r>
      <w:r w:rsidR="004C08D5">
        <w:t>its</w:t>
      </w:r>
      <w:r>
        <w:t xml:space="preserve"> customers</w:t>
      </w:r>
      <w:r w:rsidR="00283B1E">
        <w:t>.</w:t>
      </w:r>
    </w:p>
    <w:p w14:paraId="6E90E188" w14:textId="5379FE6D" w:rsidR="00BE7BE1" w:rsidRDefault="00DB3676" w:rsidP="00BE7BE1">
      <w:pPr>
        <w:spacing w:line="480" w:lineRule="auto"/>
        <w:ind w:left="720" w:firstLine="720"/>
      </w:pPr>
      <w:r w:rsidRPr="00DB3676">
        <w:rPr>
          <w:u w:val="single"/>
        </w:rPr>
        <w:t>Outreach</w:t>
      </w:r>
      <w:r w:rsidR="00471751">
        <w:t xml:space="preserve">.  </w:t>
      </w:r>
      <w:r w:rsidR="00283B1E" w:rsidRPr="00DB3676">
        <w:t>A</w:t>
      </w:r>
      <w:r w:rsidR="00283B1E">
        <w:t xml:space="preserve"> second important topic is t</w:t>
      </w:r>
      <w:r w:rsidR="00014CCA">
        <w:t>he creation of a shared marketi</w:t>
      </w:r>
      <w:r w:rsidR="00283B1E">
        <w:t xml:space="preserve">ng </w:t>
      </w:r>
      <w:r w:rsidR="00BE7BE1">
        <w:t xml:space="preserve">and outreach plan and budget.  </w:t>
      </w:r>
      <w:r w:rsidR="00283B1E">
        <w:t xml:space="preserve">This </w:t>
      </w:r>
      <w:r w:rsidR="00014CCA">
        <w:t xml:space="preserve">is an important step in providing better coordinated outreach to potentially eligible low-income customers, in addition to allowing for more effective uses of limited resources among agencies and the utility. </w:t>
      </w:r>
      <w:r w:rsidR="00471751">
        <w:t xml:space="preserve"> </w:t>
      </w:r>
      <w:r w:rsidR="00283B1E">
        <w:t xml:space="preserve">Developing an annual plan and budget with the participation of </w:t>
      </w:r>
      <w:r w:rsidR="00014CCA">
        <w:t xml:space="preserve">all PSE </w:t>
      </w:r>
      <w:r w:rsidR="00471751">
        <w:t>Low-Income Advisory</w:t>
      </w:r>
      <w:r w:rsidR="00014CCA">
        <w:t xml:space="preserve"> Committee stakeholders would provide a clearly articulated strategy and targets for outreach activities and the ability to evaluate </w:t>
      </w:r>
      <w:r w:rsidR="00014CCA">
        <w:lastRenderedPageBreak/>
        <w:t xml:space="preserve">their effectiveness on an ongoing basis. </w:t>
      </w:r>
      <w:r w:rsidR="00BE7BE1">
        <w:t xml:space="preserve"> </w:t>
      </w:r>
      <w:r w:rsidR="00014CCA">
        <w:t>TEP strongly recommends including this a</w:t>
      </w:r>
      <w:r w:rsidR="00085157">
        <w:t xml:space="preserve">spect to the role of a PSE Low-Income </w:t>
      </w:r>
      <w:r w:rsidR="00014CCA">
        <w:t>Advisory Committee.</w:t>
      </w:r>
    </w:p>
    <w:p w14:paraId="31876F80" w14:textId="24249179" w:rsidR="00014CCA" w:rsidRPr="00E2778A" w:rsidRDefault="00DB3676" w:rsidP="00D155C8">
      <w:pPr>
        <w:spacing w:line="480" w:lineRule="auto"/>
        <w:ind w:left="720" w:firstLine="720"/>
      </w:pPr>
      <w:r>
        <w:rPr>
          <w:u w:val="single"/>
        </w:rPr>
        <w:t>E</w:t>
      </w:r>
      <w:r w:rsidR="00014CCA" w:rsidRPr="00DB3676">
        <w:rPr>
          <w:u w:val="single"/>
        </w:rPr>
        <w:t>nhancing access to low-income programs and resources</w:t>
      </w:r>
      <w:r w:rsidR="00283B1E">
        <w:t xml:space="preserve">. </w:t>
      </w:r>
      <w:r w:rsidR="00471751">
        <w:t xml:space="preserve"> </w:t>
      </w:r>
      <w:r w:rsidR="00283B1E">
        <w:t xml:space="preserve">This </w:t>
      </w:r>
      <w:r w:rsidR="00014CCA">
        <w:t xml:space="preserve">includes looking at new ways to reach and serve PSE low-income customers. </w:t>
      </w:r>
      <w:r w:rsidR="00471751">
        <w:t xml:space="preserve"> </w:t>
      </w:r>
      <w:r w:rsidR="00A87397">
        <w:t>With the development of</w:t>
      </w:r>
      <w:r w:rsidR="00014CCA">
        <w:t xml:space="preserve"> PSE’s Get to Zero program, the utilization of technology to improve access to services and reduce the potential cost of serving customers is an important consideration in the delivery of </w:t>
      </w:r>
      <w:r w:rsidR="00A87397">
        <w:t>PSE’s</w:t>
      </w:r>
      <w:r w:rsidR="00014CCA">
        <w:t xml:space="preserve"> HELP program.  TEP envisions that the Advisory Committee would look at the possibility of utilizing technology such as an online/electronic application process to enroll PSE HELP participants. </w:t>
      </w:r>
      <w:r w:rsidR="00930AB7">
        <w:t xml:space="preserve"> </w:t>
      </w:r>
      <w:r w:rsidR="00014CCA">
        <w:t xml:space="preserve">The discussion of how to design and integrate new access opportunities through the use of technology is an important discussion and requires participation from the full range of stakeholders. </w:t>
      </w:r>
      <w:r w:rsidR="00930AB7">
        <w:t xml:space="preserve"> </w:t>
      </w:r>
      <w:r w:rsidR="00014CCA">
        <w:t>TEP sees a strong role for the Advisory Committee in the consideration of an online/electronic application and other related opportunities.</w:t>
      </w:r>
      <w:r w:rsidR="000707A9">
        <w:rPr>
          <w:rStyle w:val="FootnoteReference"/>
        </w:rPr>
        <w:footnoteReference w:id="58"/>
      </w:r>
      <w:r w:rsidR="00014CCA">
        <w:t xml:space="preserve">   </w:t>
      </w:r>
    </w:p>
    <w:p w14:paraId="33CD4430" w14:textId="30632B93" w:rsidR="00014CCA" w:rsidRDefault="00014CCA" w:rsidP="00014CCA">
      <w:pPr>
        <w:spacing w:line="480" w:lineRule="auto"/>
        <w:jc w:val="center"/>
        <w:rPr>
          <w:b/>
        </w:rPr>
      </w:pPr>
      <w:r>
        <w:rPr>
          <w:b/>
        </w:rPr>
        <w:t>VI.</w:t>
      </w:r>
      <w:r w:rsidR="00D155C8">
        <w:rPr>
          <w:b/>
        </w:rPr>
        <w:tab/>
      </w:r>
      <w:r>
        <w:rPr>
          <w:b/>
        </w:rPr>
        <w:t xml:space="preserve"> CONCLUSION</w:t>
      </w:r>
    </w:p>
    <w:p w14:paraId="64BDB23D" w14:textId="60479D0B" w:rsidR="00014CCA" w:rsidRPr="0095757B" w:rsidRDefault="00471751" w:rsidP="00014CCA">
      <w:pPr>
        <w:spacing w:line="480" w:lineRule="auto"/>
        <w:ind w:left="540" w:hanging="540"/>
        <w:rPr>
          <w:b/>
        </w:rPr>
      </w:pPr>
      <w:r>
        <w:rPr>
          <w:b/>
        </w:rPr>
        <w:t>Q:</w:t>
      </w:r>
      <w:r w:rsidR="00014CCA" w:rsidRPr="00D155C8">
        <w:tab/>
      </w:r>
      <w:r w:rsidR="00014CCA" w:rsidRPr="0095757B">
        <w:rPr>
          <w:b/>
        </w:rPr>
        <w:t>Please summarize your recommendations.</w:t>
      </w:r>
    </w:p>
    <w:p w14:paraId="33454E47" w14:textId="0A2A6EC7" w:rsidR="006E59CB" w:rsidRDefault="00471751" w:rsidP="006E59CB">
      <w:pPr>
        <w:spacing w:line="480" w:lineRule="auto"/>
        <w:ind w:left="540" w:hanging="540"/>
      </w:pPr>
      <w:r w:rsidRPr="00471751">
        <w:t>A:</w:t>
      </w:r>
      <w:r w:rsidR="00014CCA">
        <w:t xml:space="preserve"> </w:t>
      </w:r>
      <w:r w:rsidR="00D155C8">
        <w:tab/>
      </w:r>
      <w:r w:rsidR="00014CCA">
        <w:t xml:space="preserve">TEP recommends that the Commission </w:t>
      </w:r>
      <w:r w:rsidR="00014CCA" w:rsidRPr="00FE2ED6">
        <w:t xml:space="preserve">approve </w:t>
      </w:r>
      <w:r w:rsidR="00014CCA">
        <w:t xml:space="preserve">the proposed modifications to </w:t>
      </w:r>
      <w:r w:rsidR="003E1B9B">
        <w:t xml:space="preserve">the HELP </w:t>
      </w:r>
      <w:r w:rsidR="00014CCA">
        <w:t xml:space="preserve">program. </w:t>
      </w:r>
      <w:r w:rsidR="00D155C8">
        <w:t xml:space="preserve"> </w:t>
      </w:r>
      <w:r w:rsidR="006E59CB">
        <w:t>These changes include:</w:t>
      </w:r>
      <w:r w:rsidR="00014CCA">
        <w:t xml:space="preserve"> </w:t>
      </w:r>
    </w:p>
    <w:p w14:paraId="4CAC96D3" w14:textId="28D9A3AD" w:rsidR="006E59CB" w:rsidRDefault="00014CCA" w:rsidP="006E59CB">
      <w:pPr>
        <w:pStyle w:val="ListParagraph"/>
        <w:numPr>
          <w:ilvl w:val="0"/>
          <w:numId w:val="13"/>
        </w:numPr>
        <w:spacing w:line="480" w:lineRule="auto"/>
      </w:pPr>
      <w:r>
        <w:t xml:space="preserve">approval </w:t>
      </w:r>
      <w:r w:rsidR="003E1B9B">
        <w:t xml:space="preserve">of </w:t>
      </w:r>
      <w:r>
        <w:t xml:space="preserve">PSE’s request to increase funding to HELP by twice the percentage of the overall rate increase to residential customers for both the gas and electric customers; </w:t>
      </w:r>
    </w:p>
    <w:p w14:paraId="2EC38F4F" w14:textId="77777777" w:rsidR="006E59CB" w:rsidRDefault="006E59CB" w:rsidP="006E59CB">
      <w:pPr>
        <w:pStyle w:val="ListParagraph"/>
        <w:numPr>
          <w:ilvl w:val="0"/>
          <w:numId w:val="13"/>
        </w:numPr>
        <w:spacing w:line="480" w:lineRule="auto"/>
      </w:pPr>
      <w:r>
        <w:lastRenderedPageBreak/>
        <w:t>modification of</w:t>
      </w:r>
      <w:r w:rsidR="003E1B9B">
        <w:t xml:space="preserve"> the </w:t>
      </w:r>
      <w:r w:rsidR="00014CCA">
        <w:t xml:space="preserve">HELP program’s funding ratio between electric and gas </w:t>
      </w:r>
      <w:r w:rsidR="00014CCA" w:rsidRPr="006E59CB">
        <w:t>so that the distribution is</w:t>
      </w:r>
      <w:r w:rsidR="00D155C8" w:rsidRPr="006E59CB">
        <w:t xml:space="preserve"> 80 percent electric and 20 percent</w:t>
      </w:r>
      <w:r w:rsidR="00014CCA" w:rsidRPr="006E59CB">
        <w:t xml:space="preserve"> gas</w:t>
      </w:r>
      <w:r w:rsidR="00014CCA">
        <w:t xml:space="preserve">; </w:t>
      </w:r>
    </w:p>
    <w:p w14:paraId="138154C2" w14:textId="16C72BEB" w:rsidR="006E59CB" w:rsidRDefault="006E59CB" w:rsidP="006E59CB">
      <w:pPr>
        <w:pStyle w:val="ListParagraph"/>
        <w:numPr>
          <w:ilvl w:val="0"/>
          <w:numId w:val="13"/>
        </w:numPr>
        <w:spacing w:line="480" w:lineRule="auto"/>
      </w:pPr>
      <w:r>
        <w:t>two-year eligibility certification; and</w:t>
      </w:r>
    </w:p>
    <w:p w14:paraId="5C6BAEF7" w14:textId="01C54D25" w:rsidR="00014CCA" w:rsidRDefault="006E59CB" w:rsidP="006E59CB">
      <w:pPr>
        <w:pStyle w:val="ListParagraph"/>
        <w:numPr>
          <w:ilvl w:val="0"/>
          <w:numId w:val="13"/>
        </w:numPr>
        <w:spacing w:line="480" w:lineRule="auto"/>
      </w:pPr>
      <w:r>
        <w:t>removal of</w:t>
      </w:r>
      <w:r w:rsidR="00014CCA" w:rsidRPr="00FE2ED6">
        <w:t xml:space="preserve"> area median income as a factor in</w:t>
      </w:r>
      <w:r w:rsidR="000E5E34">
        <w:t xml:space="preserve"> HELP </w:t>
      </w:r>
      <w:r w:rsidR="00014CCA" w:rsidRPr="00FE2ED6">
        <w:t>eligibility</w:t>
      </w:r>
      <w:r w:rsidR="00014CCA">
        <w:t>.</w:t>
      </w:r>
    </w:p>
    <w:p w14:paraId="2A242DA5" w14:textId="77777777" w:rsidR="00014CCA" w:rsidRDefault="00014CCA" w:rsidP="000E5E34">
      <w:pPr>
        <w:spacing w:line="480" w:lineRule="auto"/>
        <w:ind w:left="720" w:firstLine="720"/>
      </w:pPr>
      <w:r w:rsidRPr="000E5E34">
        <w:t xml:space="preserve">TEP also recommends </w:t>
      </w:r>
      <w:r w:rsidR="000E5E34">
        <w:t xml:space="preserve">approval of the PSE recommendation to continue the “higher level” $500,000 funding for low-income weatherization, with an additional $250,000 increase to reflect the impact of the new decoupling proposal. </w:t>
      </w:r>
    </w:p>
    <w:p w14:paraId="48F7ECB5" w14:textId="0CAF42B8" w:rsidR="00014CCA" w:rsidRDefault="00014CCA" w:rsidP="00014CCA">
      <w:pPr>
        <w:spacing w:line="480" w:lineRule="auto"/>
        <w:ind w:left="720" w:firstLine="720"/>
      </w:pPr>
      <w:r>
        <w:t xml:space="preserve">TEP </w:t>
      </w:r>
      <w:r w:rsidR="000E5E34">
        <w:t xml:space="preserve">opposes increasing </w:t>
      </w:r>
      <w:r>
        <w:t xml:space="preserve">the </w:t>
      </w:r>
      <w:r w:rsidRPr="00FE2ED6">
        <w:t>basic monthly charge</w:t>
      </w:r>
      <w:r>
        <w:t xml:space="preserve"> </w:t>
      </w:r>
      <w:r w:rsidR="000E5E34">
        <w:t>for electric and natural gas service</w:t>
      </w:r>
      <w:r>
        <w:t xml:space="preserve">. </w:t>
      </w:r>
      <w:r w:rsidR="00D155C8">
        <w:t xml:space="preserve"> </w:t>
      </w:r>
      <w:r>
        <w:t>Additionally, TEP encourages the Commission to look</w:t>
      </w:r>
      <w:r w:rsidRPr="00FE2ED6">
        <w:t xml:space="preserve"> at alternatives to the</w:t>
      </w:r>
      <w:r>
        <w:t xml:space="preserve"> </w:t>
      </w:r>
      <w:r w:rsidRPr="00FE2ED6">
        <w:t xml:space="preserve">existing decoupling mechanism </w:t>
      </w:r>
      <w:r w:rsidR="00E16F3B">
        <w:t>so as to reduce the</w:t>
      </w:r>
      <w:r>
        <w:t xml:space="preserve"> impact on low-income households, as well as disallow the request of PSE </w:t>
      </w:r>
      <w:r w:rsidR="00D155C8">
        <w:t>to increase the soft cap from 3 percent to 5 percent</w:t>
      </w:r>
      <w:r w:rsidRPr="00FE2ED6">
        <w:t xml:space="preserve">.  </w:t>
      </w:r>
    </w:p>
    <w:p w14:paraId="6A40A675" w14:textId="139E0557" w:rsidR="0014757C" w:rsidRDefault="0014757C" w:rsidP="00014CCA">
      <w:pPr>
        <w:spacing w:line="480" w:lineRule="auto"/>
        <w:ind w:left="720" w:firstLine="720"/>
      </w:pPr>
      <w:r>
        <w:t>T</w:t>
      </w:r>
      <w:r w:rsidR="00014CCA">
        <w:t xml:space="preserve">EP </w:t>
      </w:r>
      <w:r w:rsidR="006E59CB">
        <w:t>recommends that the Commission provide guidance to PSE regarding the Get to Zero program and use of IVR to ensure that high quality service by customer representatives is available to PSE customers with billing and disconnection issue</w:t>
      </w:r>
      <w:r w:rsidR="00B84621">
        <w:t>s</w:t>
      </w:r>
      <w:r w:rsidR="00E92EB4">
        <w:t xml:space="preserve"> and </w:t>
      </w:r>
      <w:r w:rsidR="006E59CB">
        <w:t>that</w:t>
      </w:r>
      <w:r w:rsidR="006E59CB" w:rsidRPr="00FE2ED6">
        <w:t xml:space="preserve"> </w:t>
      </w:r>
      <w:r w:rsidR="00014CCA" w:rsidRPr="00FE2ED6">
        <w:t>consumer protections</w:t>
      </w:r>
      <w:r w:rsidR="00014CCA">
        <w:t xml:space="preserve"> </w:t>
      </w:r>
      <w:r w:rsidR="006E59CB">
        <w:t>are maintaine</w:t>
      </w:r>
      <w:r w:rsidR="00B84621">
        <w:t xml:space="preserve">d.  </w:t>
      </w:r>
    </w:p>
    <w:p w14:paraId="4D3EB404" w14:textId="7803FAC6" w:rsidR="00014CCA" w:rsidRPr="00681370" w:rsidRDefault="0014757C" w:rsidP="00014CCA">
      <w:pPr>
        <w:spacing w:line="480" w:lineRule="auto"/>
        <w:ind w:left="720" w:firstLine="720"/>
        <w:rPr>
          <w:i/>
          <w:highlight w:val="yellow"/>
        </w:rPr>
      </w:pPr>
      <w:r>
        <w:t xml:space="preserve">Finally, </w:t>
      </w:r>
      <w:r w:rsidR="00014CCA">
        <w:t xml:space="preserve">TEP strongly recommends establishing a PSE </w:t>
      </w:r>
      <w:r w:rsidR="00E92EB4">
        <w:t>Low-Income</w:t>
      </w:r>
      <w:r w:rsidR="00E16F3B">
        <w:t xml:space="preserve"> Advisory Committee</w:t>
      </w:r>
      <w:r w:rsidR="00014CCA">
        <w:t>, which would look at options for expanding assistance p</w:t>
      </w:r>
      <w:r w:rsidR="00E92EB4">
        <w:t xml:space="preserve">rogram offerings, developing </w:t>
      </w:r>
      <w:r w:rsidR="00014CCA">
        <w:t>a shared outreach and marketing plan and budget, and enhancing access to low-income programs and resources.</w:t>
      </w:r>
    </w:p>
    <w:p w14:paraId="798CCB4D" w14:textId="77B22BB7" w:rsidR="00014CCA" w:rsidRDefault="00471751" w:rsidP="00014CCA">
      <w:pPr>
        <w:spacing w:line="480" w:lineRule="auto"/>
        <w:ind w:left="540" w:hanging="540"/>
        <w:rPr>
          <w:b/>
        </w:rPr>
      </w:pPr>
      <w:r>
        <w:rPr>
          <w:b/>
        </w:rPr>
        <w:t>Q:</w:t>
      </w:r>
      <w:r w:rsidR="00014CCA">
        <w:rPr>
          <w:b/>
        </w:rPr>
        <w:tab/>
        <w:t>Does this conclude your testimony?</w:t>
      </w:r>
    </w:p>
    <w:p w14:paraId="2544A75E" w14:textId="111833BA" w:rsidR="003746B9" w:rsidRPr="00D155C8" w:rsidRDefault="00471751" w:rsidP="00D155C8">
      <w:pPr>
        <w:spacing w:line="480" w:lineRule="auto"/>
        <w:ind w:left="540" w:hanging="540"/>
      </w:pPr>
      <w:r w:rsidRPr="00471751">
        <w:t>A:</w:t>
      </w:r>
      <w:r w:rsidR="00442D1E">
        <w:rPr>
          <w:b/>
        </w:rPr>
        <w:tab/>
      </w:r>
      <w:r w:rsidR="00014CCA" w:rsidRPr="00AD4B42">
        <w:t xml:space="preserve">Yes. </w:t>
      </w:r>
    </w:p>
    <w:sectPr w:rsidR="003746B9" w:rsidRPr="00D155C8" w:rsidSect="00D274C6">
      <w:footerReference w:type="default" r:id="rId13"/>
      <w:pgSz w:w="12240" w:h="15840"/>
      <w:pgMar w:top="1440" w:right="1800" w:bottom="1440" w:left="1800" w:header="720" w:footer="720"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31F3C" w14:textId="77777777" w:rsidR="006A7339" w:rsidRDefault="006A7339" w:rsidP="00061921">
      <w:r>
        <w:separator/>
      </w:r>
    </w:p>
  </w:endnote>
  <w:endnote w:type="continuationSeparator" w:id="0">
    <w:p w14:paraId="69FEE4EA" w14:textId="77777777" w:rsidR="006A7339" w:rsidRDefault="006A7339" w:rsidP="000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Calibri"/>
    <w:panose1 w:val="00000000000000000000"/>
    <w:charset w:val="4D"/>
    <w:family w:val="roman"/>
    <w:notTrueType/>
    <w:pitch w:val="default"/>
    <w:sig w:usb0="03000000"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CC2A" w14:textId="16492546" w:rsidR="00616B86" w:rsidRDefault="00616B86" w:rsidP="008A4CBD">
    <w:pPr>
      <w:pStyle w:val="Footer"/>
      <w:jc w:val="center"/>
    </w:pPr>
    <w:r>
      <w:t>i</w:t>
    </w:r>
  </w:p>
  <w:p w14:paraId="5363E469" w14:textId="77777777" w:rsidR="00616B86" w:rsidRDefault="0061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03861"/>
      <w:docPartObj>
        <w:docPartGallery w:val="Page Numbers (Bottom of Page)"/>
        <w:docPartUnique/>
      </w:docPartObj>
    </w:sdtPr>
    <w:sdtEndPr>
      <w:rPr>
        <w:noProof/>
      </w:rPr>
    </w:sdtEndPr>
    <w:sdtContent>
      <w:p w14:paraId="5B8586F9" w14:textId="0EAC8A20" w:rsidR="00616B86" w:rsidRDefault="00616B86" w:rsidP="008A4CBD">
        <w:pPr>
          <w:pStyle w:val="Footer"/>
          <w:jc w:val="center"/>
        </w:pPr>
        <w:r>
          <w:fldChar w:fldCharType="begin"/>
        </w:r>
        <w:r>
          <w:instrText xml:space="preserve"> PAGE   \* MERGEFORMAT </w:instrText>
        </w:r>
        <w:r>
          <w:fldChar w:fldCharType="separate"/>
        </w:r>
        <w:r w:rsidR="00361475">
          <w:rPr>
            <w:noProof/>
          </w:rPr>
          <w:t>3</w:t>
        </w:r>
        <w:r>
          <w:rPr>
            <w:noProof/>
          </w:rPr>
          <w:fldChar w:fldCharType="end"/>
        </w:r>
      </w:p>
    </w:sdtContent>
  </w:sdt>
  <w:p w14:paraId="65727662" w14:textId="77777777" w:rsidR="00616B86" w:rsidRDefault="0061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C54E" w14:textId="77777777" w:rsidR="006A7339" w:rsidRDefault="006A7339" w:rsidP="00061921">
      <w:r>
        <w:separator/>
      </w:r>
    </w:p>
  </w:footnote>
  <w:footnote w:type="continuationSeparator" w:id="0">
    <w:p w14:paraId="3E478FA5" w14:textId="77777777" w:rsidR="006A7339" w:rsidRDefault="006A7339" w:rsidP="00061921">
      <w:r>
        <w:continuationSeparator/>
      </w:r>
    </w:p>
  </w:footnote>
  <w:footnote w:id="1">
    <w:p w14:paraId="6E507BDE" w14:textId="5380BBEB"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Exh. SMS-1T at 3:7-10; Exh. SMS-3.</w:t>
      </w:r>
    </w:p>
  </w:footnote>
  <w:footnote w:id="2">
    <w:p w14:paraId="20ACF008" w14:textId="479727D1"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The percentage </w:t>
      </w:r>
      <w:r w:rsidR="008E415D">
        <w:rPr>
          <w:rFonts w:ascii="Times New Roman" w:hAnsi="Times New Roman" w:cs="Times New Roman"/>
          <w:sz w:val="20"/>
          <w:szCs w:val="20"/>
        </w:rPr>
        <w:t xml:space="preserve">(13.2) </w:t>
      </w:r>
      <w:r w:rsidRPr="007F6749">
        <w:rPr>
          <w:rFonts w:ascii="Times New Roman" w:hAnsi="Times New Roman" w:cs="Times New Roman"/>
          <w:sz w:val="20"/>
          <w:szCs w:val="20"/>
        </w:rPr>
        <w:t xml:space="preserve">is obtained by dividing the reported HELP customers in the 2014/2015 Annual Report </w:t>
      </w:r>
      <w:r w:rsidR="008E415D">
        <w:rPr>
          <w:rFonts w:ascii="Times New Roman" w:hAnsi="Times New Roman" w:cs="Times New Roman"/>
          <w:sz w:val="20"/>
          <w:szCs w:val="20"/>
        </w:rPr>
        <w:t xml:space="preserve">(34,938) </w:t>
      </w:r>
      <w:r w:rsidRPr="007F6749">
        <w:rPr>
          <w:rFonts w:ascii="Times New Roman" w:hAnsi="Times New Roman" w:cs="Times New Roman"/>
          <w:sz w:val="20"/>
          <w:szCs w:val="20"/>
        </w:rPr>
        <w:t>by the estimated total number of PSE customers below 150 percent of Federal Poverty Level in Exh. SMS-3</w:t>
      </w:r>
      <w:r w:rsidR="008E415D">
        <w:rPr>
          <w:rFonts w:ascii="Times New Roman" w:hAnsi="Times New Roman" w:cs="Times New Roman"/>
          <w:sz w:val="20"/>
          <w:szCs w:val="20"/>
        </w:rPr>
        <w:t xml:space="preserve"> (264.988)</w:t>
      </w:r>
      <w:r w:rsidRPr="007F6749">
        <w:rPr>
          <w:rFonts w:ascii="Times New Roman" w:hAnsi="Times New Roman" w:cs="Times New Roman"/>
          <w:sz w:val="20"/>
          <w:szCs w:val="20"/>
        </w:rPr>
        <w:t>.  The Annual Report was produced in the PSE Response to Staff Data Request No. 130, Att. A.</w:t>
      </w:r>
    </w:p>
  </w:footnote>
  <w:footnote w:id="3">
    <w:p w14:paraId="25812A77" w14:textId="3F1703C4"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The Self-Sufficiency Standard for Washington State 2014 (August 2015 Revision)(WSSS), Executive Summary, p. 1.</w:t>
      </w:r>
    </w:p>
  </w:footnote>
  <w:footnote w:id="4">
    <w:p w14:paraId="6746DC9D"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Id</w:t>
      </w:r>
      <w:r w:rsidRPr="007F6749">
        <w:rPr>
          <w:rFonts w:ascii="Times New Roman" w:hAnsi="Times New Roman" w:cs="Times New Roman"/>
          <w:sz w:val="20"/>
          <w:szCs w:val="20"/>
        </w:rPr>
        <w:t>.</w:t>
      </w:r>
    </w:p>
  </w:footnote>
  <w:footnote w:id="5">
    <w:p w14:paraId="248A5485"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bookmarkStart w:id="1" w:name="_Hlk486004426"/>
      <w:r w:rsidRPr="007F6749">
        <w:rPr>
          <w:rFonts w:ascii="Times New Roman" w:hAnsi="Times New Roman" w:cs="Times New Roman"/>
          <w:sz w:val="20"/>
          <w:szCs w:val="20"/>
        </w:rPr>
        <w:t>WSSS, Table C-1</w:t>
      </w:r>
      <w:bookmarkEnd w:id="1"/>
      <w:r w:rsidRPr="007F6749">
        <w:rPr>
          <w:rFonts w:ascii="Times New Roman" w:hAnsi="Times New Roman" w:cs="Times New Roman"/>
          <w:sz w:val="20"/>
          <w:szCs w:val="20"/>
        </w:rPr>
        <w:t>.</w:t>
      </w:r>
    </w:p>
  </w:footnote>
  <w:footnote w:id="6">
    <w:p w14:paraId="69D931DA" w14:textId="4ADF65FD" w:rsidR="00616B86" w:rsidRPr="007F6749" w:rsidRDefault="00616B86" w:rsidP="00F30F80">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ALICE reports are prepared for many parts of the United States.  Citations here are to the United Way ALICE Report – Pacific Northwest: Idaho, Oregon and Washington (Fall 2015, Revised September 2016)(ALICE Report).  Alice Report, Executive Summary, p. 2</w:t>
      </w:r>
      <w:r w:rsidR="00B64173">
        <w:rPr>
          <w:rFonts w:ascii="Times New Roman" w:hAnsi="Times New Roman" w:cs="Times New Roman"/>
          <w:sz w:val="20"/>
          <w:szCs w:val="20"/>
        </w:rPr>
        <w:t>.</w:t>
      </w:r>
    </w:p>
  </w:footnote>
  <w:footnote w:id="7">
    <w:p w14:paraId="4C5A7999" w14:textId="7DC8D5AF"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ALICE Report, p. 334, ALICE in Thurston County, 2013 Point In Time Data.</w:t>
      </w:r>
    </w:p>
  </w:footnote>
  <w:footnote w:id="8">
    <w:p w14:paraId="45F7B0A8"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Id.</w:t>
      </w:r>
    </w:p>
  </w:footnote>
  <w:footnote w:id="9">
    <w:p w14:paraId="4A410136" w14:textId="2EB8481E"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In the Matter of The Petition of Puget Sound Energy, Inc., and Northwest Energy Coalition, </w:t>
      </w:r>
      <w:r w:rsidRPr="007F6749">
        <w:rPr>
          <w:rFonts w:ascii="Times New Roman" w:hAnsi="Times New Roman" w:cs="Times New Roman"/>
          <w:sz w:val="20"/>
          <w:szCs w:val="20"/>
        </w:rPr>
        <w:t>Dockets UE-121697 and UG-121705, UE-130137/UG-130138, Order 07 (Rate Plan Order), ¶ 174.</w:t>
      </w:r>
    </w:p>
  </w:footnote>
  <w:footnote w:id="10">
    <w:p w14:paraId="3AD848D6" w14:textId="20967103" w:rsidR="00616B86" w:rsidRPr="007F6749" w:rsidRDefault="00616B86">
      <w:pPr>
        <w:pStyle w:val="FootnoteText"/>
        <w:rPr>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Rate Plan Order, n.246.</w:t>
      </w:r>
    </w:p>
  </w:footnote>
  <w:footnote w:id="11">
    <w:p w14:paraId="166F19E1" w14:textId="62B6F149"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Washington Utilities &amp; Transportation Commission v. Avista Corporation, </w:t>
      </w:r>
      <w:r w:rsidRPr="007F6749">
        <w:rPr>
          <w:rFonts w:ascii="Times New Roman" w:hAnsi="Times New Roman" w:cs="Times New Roman"/>
          <w:sz w:val="20"/>
          <w:szCs w:val="20"/>
        </w:rPr>
        <w:t xml:space="preserve">UE-150204/UG-150205, Order 05, ¶ 232; </w:t>
      </w:r>
      <w:r w:rsidRPr="007F6749">
        <w:rPr>
          <w:rFonts w:ascii="Times New Roman" w:hAnsi="Times New Roman" w:cs="Times New Roman"/>
          <w:i/>
          <w:sz w:val="20"/>
          <w:szCs w:val="20"/>
        </w:rPr>
        <w:t>Washington Utilities &amp; Transportation Commission v. Pacific Power &amp; Light Co.</w:t>
      </w:r>
      <w:r w:rsidRPr="007F6749">
        <w:rPr>
          <w:rFonts w:ascii="Times New Roman" w:hAnsi="Times New Roman" w:cs="Times New Roman"/>
          <w:sz w:val="20"/>
          <w:szCs w:val="20"/>
        </w:rPr>
        <w:t xml:space="preserve">, Docket UE-152253, Order 12, ¶ 241. </w:t>
      </w:r>
    </w:p>
  </w:footnote>
  <w:footnote w:id="12">
    <w:p w14:paraId="3F4081F0" w14:textId="634960F5"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Rate Plan Order, ¶ 177.</w:t>
      </w:r>
    </w:p>
  </w:footnote>
  <w:footnote w:id="13">
    <w:p w14:paraId="28C5ACAE" w14:textId="69CDDB69" w:rsidR="00616B86" w:rsidRDefault="00616B86">
      <w:pPr>
        <w:pStyle w:val="FootnoteText"/>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Supplemental Direct Testimony of Jon Piliaris, Exh. JAP-34T at 12, Table 1.</w:t>
      </w:r>
    </w:p>
  </w:footnote>
  <w:footnote w:id="14">
    <w:p w14:paraId="03CAE958" w14:textId="06555AA1" w:rsidR="00616B86" w:rsidRPr="007F6749" w:rsidRDefault="00616B86" w:rsidP="00FA7286">
      <w:pPr>
        <w:keepNext/>
        <w:keepLines/>
        <w:spacing w:before="200" w:line="276" w:lineRule="auto"/>
        <w:ind w:left="450" w:hanging="450"/>
        <w:outlineLvl w:val="3"/>
        <w:rPr>
          <w:b/>
          <w:sz w:val="20"/>
          <w:szCs w:val="20"/>
        </w:rPr>
      </w:pPr>
      <w:r w:rsidRPr="007F6749">
        <w:rPr>
          <w:rStyle w:val="FootnoteReference"/>
          <w:sz w:val="20"/>
          <w:szCs w:val="20"/>
        </w:rPr>
        <w:footnoteRef/>
      </w:r>
      <w:r w:rsidRPr="007F6749">
        <w:rPr>
          <w:sz w:val="20"/>
          <w:szCs w:val="20"/>
        </w:rPr>
        <w:t xml:space="preserve"> Direct Testimony Of Suzanne M. Sasville, Exh. SMS-1T at 5:9-12.</w:t>
      </w:r>
    </w:p>
  </w:footnote>
  <w:footnote w:id="15">
    <w:p w14:paraId="1A667617" w14:textId="7ACE0E01"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Sasville, Exh. SMS-1T at 7:4-6.</w:t>
      </w:r>
    </w:p>
  </w:footnote>
  <w:footnote w:id="16">
    <w:p w14:paraId="67CD0EC5" w14:textId="6E5CBACE" w:rsidR="00616B86" w:rsidRPr="007F6749" w:rsidRDefault="00616B86">
      <w:pPr>
        <w:pStyle w:val="FootnoteText"/>
        <w:rPr>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Avista Utilities, Schedules 2 and 102 (Fixed-Income Senior and Disabled Residential Service-Washington</w:t>
      </w:r>
      <w:r w:rsidRPr="007F6749">
        <w:rPr>
          <w:sz w:val="20"/>
          <w:szCs w:val="20"/>
        </w:rPr>
        <w:t>).</w:t>
      </w:r>
    </w:p>
  </w:footnote>
  <w:footnote w:id="17">
    <w:p w14:paraId="40BC812B" w14:textId="148221AF"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Avista uses an eligibility level of 125 percent of Federal Poverty Level, except in its Fixed-Income Senior and Disabled Pilot which uses 126 – 200 percent.  Avista, Schedules 2 and 102.</w:t>
      </w:r>
    </w:p>
  </w:footnote>
  <w:footnote w:id="18">
    <w:p w14:paraId="1AB43427" w14:textId="017EC5E9" w:rsidR="00616B86" w:rsidRPr="007F6749" w:rsidRDefault="00616B86" w:rsidP="00D07815">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Direct Testimony of Jon A. Piliaris, Exh. JAP-1T at 146:4-5.</w:t>
      </w:r>
    </w:p>
  </w:footnote>
  <w:footnote w:id="19">
    <w:p w14:paraId="0E41745E" w14:textId="74C3FA01"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Rate Plan Order 07, ¶ 177.</w:t>
      </w:r>
    </w:p>
  </w:footnote>
  <w:footnote w:id="20">
    <w:p w14:paraId="0019F678"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Id.</w:t>
      </w:r>
    </w:p>
  </w:footnote>
  <w:footnote w:id="21">
    <w:p w14:paraId="07D74A6E" w14:textId="0135891F" w:rsidR="00616B86" w:rsidRDefault="00616B86" w:rsidP="00111344">
      <w:pPr>
        <w:pStyle w:val="FootnoteText"/>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As part of the original Rate Plan Settlement, PSE also committed to provide $100,000 per year for low-income energy efficiency.  Rate Plan Order 07, ¶ 178.  Exh. JAP-29 at 85, n.41 (Peach Decoupling Report).  That commitment expires with the end of the Rate Plan.  Shareholder funding provides additional flexibility to fund health and safety and repair measures that facilitate low-income energy efficiency.</w:t>
      </w:r>
      <w:r>
        <w:t xml:space="preserve"> </w:t>
      </w:r>
    </w:p>
  </w:footnote>
  <w:footnote w:id="22">
    <w:p w14:paraId="7F111588" w14:textId="6FC66991" w:rsidR="00616B86" w:rsidRPr="007F6749" w:rsidRDefault="00616B86">
      <w:pPr>
        <w:pStyle w:val="FootnoteText"/>
        <w:rPr>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Piliaris, Exh. JAP-1T at 136:4-8.</w:t>
      </w:r>
    </w:p>
  </w:footnote>
  <w:footnote w:id="23">
    <w:p w14:paraId="4D740E99" w14:textId="0C4ED43E"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Rate Plan Order 07, n.246.</w:t>
      </w:r>
    </w:p>
  </w:footnote>
  <w:footnote w:id="24">
    <w:p w14:paraId="7860E55C"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The current funding level includes the $500,000 proposed to continue by Mr. Piliaris.  That would remain in effect.  The Energy Project proposal of $250,000 would be additional to that. </w:t>
      </w:r>
    </w:p>
  </w:footnote>
  <w:footnote w:id="25">
    <w:p w14:paraId="5616FB14" w14:textId="4B93F3D6"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480-100-128(6)(a)(iv).</w:t>
      </w:r>
    </w:p>
  </w:footnote>
  <w:footnote w:id="26">
    <w:p w14:paraId="4AAB2434" w14:textId="31A49F48"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 (5).</w:t>
      </w:r>
    </w:p>
  </w:footnote>
  <w:footnote w:id="27">
    <w:p w14:paraId="2298B4FC" w14:textId="16C3FE08" w:rsidR="00616B86" w:rsidRPr="007F6749" w:rsidRDefault="00616B86">
      <w:pPr>
        <w:pStyle w:val="FootnoteText"/>
        <w:rPr>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480-100-128(9).</w:t>
      </w:r>
    </w:p>
  </w:footnote>
  <w:footnote w:id="28">
    <w:p w14:paraId="5763F612" w14:textId="0463C620"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480-100-128(5)(c)(iii).</w:t>
      </w:r>
    </w:p>
  </w:footnote>
  <w:footnote w:id="29">
    <w:p w14:paraId="30E3F82B" w14:textId="24C34CAD"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480-100-113 (4).</w:t>
      </w:r>
    </w:p>
  </w:footnote>
  <w:footnote w:id="30">
    <w:p w14:paraId="34B4451D" w14:textId="628FFC49"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480-100-128(6)(n).</w:t>
      </w:r>
    </w:p>
  </w:footnote>
  <w:footnote w:id="31">
    <w:p w14:paraId="02CC4BEC" w14:textId="49A711C0" w:rsidR="00616B86" w:rsidRPr="0006390F" w:rsidRDefault="00616B86">
      <w:pPr>
        <w:pStyle w:val="FootnoteText"/>
        <w:rPr>
          <w:rFonts w:ascii="Times New Roman" w:hAnsi="Times New Roman" w:cs="Times New Roman"/>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480-100-128(6)(l).</w:t>
      </w:r>
    </w:p>
  </w:footnote>
  <w:footnote w:id="32">
    <w:p w14:paraId="72893CCD" w14:textId="77777777" w:rsidR="00616B86" w:rsidRPr="007F6749" w:rsidRDefault="00616B86" w:rsidP="00263DC3">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WAC 480-100-143(1)(a).</w:t>
      </w:r>
    </w:p>
  </w:footnote>
  <w:footnote w:id="33">
    <w:p w14:paraId="15EE7ACA"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PSE Response to The Energy Project Data Request No. 1(a).</w:t>
      </w:r>
    </w:p>
  </w:footnote>
  <w:footnote w:id="34">
    <w:p w14:paraId="78E95A97" w14:textId="77777777" w:rsidR="00616B86" w:rsidRPr="007F6749" w:rsidRDefault="00616B86" w:rsidP="0051397B">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PSE Response to The Energy Project Data Request No. 1(e) and (f).</w:t>
      </w:r>
    </w:p>
  </w:footnote>
  <w:footnote w:id="35">
    <w:p w14:paraId="2B455070" w14:textId="51E5B42E"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PSE Response to The Energy Project Data Request No. 1(b).</w:t>
      </w:r>
    </w:p>
  </w:footnote>
  <w:footnote w:id="36">
    <w:p w14:paraId="1D2B9CA6" w14:textId="720974E6" w:rsidR="00616B86" w:rsidRPr="0024465A" w:rsidRDefault="00616B86">
      <w:pPr>
        <w:pStyle w:val="FootnoteText"/>
        <w:rPr>
          <w:rFonts w:ascii="Times New Roman" w:hAnsi="Times New Roman" w:cs="Times New Roman"/>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PSE Response to The Energy Project Data Request No. 1(f).</w:t>
      </w:r>
    </w:p>
  </w:footnote>
  <w:footnote w:id="37">
    <w:p w14:paraId="0C684AD5" w14:textId="77777777" w:rsidR="00616B86" w:rsidRPr="007F6749" w:rsidRDefault="00616B86" w:rsidP="00854069">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PSE Response To The Energy Project Data Request No. 1 (g).  </w:t>
      </w:r>
      <w:r w:rsidRPr="007F6749">
        <w:rPr>
          <w:sz w:val="20"/>
          <w:szCs w:val="20"/>
        </w:rPr>
        <w:t>PSE referred The Energy Project generally to the testimony of David Mills</w:t>
      </w:r>
      <w:r w:rsidRPr="007F6749">
        <w:rPr>
          <w:rFonts w:ascii="Times New Roman" w:hAnsi="Times New Roman" w:cs="Times New Roman"/>
          <w:sz w:val="20"/>
          <w:szCs w:val="20"/>
        </w:rPr>
        <w:t xml:space="preserve">, Exh. DEM-1T, </w:t>
      </w:r>
      <w:r w:rsidRPr="007F6749">
        <w:rPr>
          <w:sz w:val="20"/>
          <w:szCs w:val="20"/>
        </w:rPr>
        <w:t>for overall information on the objectives and scope of the Get to Zero program.</w:t>
      </w:r>
    </w:p>
  </w:footnote>
  <w:footnote w:id="38">
    <w:p w14:paraId="392DE1F7" w14:textId="103EB10D" w:rsidR="00616B86" w:rsidRPr="007F6749" w:rsidRDefault="00616B86">
      <w:pPr>
        <w:pStyle w:val="FootnoteText"/>
        <w:rPr>
          <w:sz w:val="20"/>
          <w:szCs w:val="20"/>
        </w:rPr>
      </w:pPr>
      <w:r w:rsidRPr="007F6749">
        <w:rPr>
          <w:rStyle w:val="FootnoteReference"/>
          <w:sz w:val="20"/>
          <w:szCs w:val="20"/>
        </w:rPr>
        <w:footnoteRef/>
      </w:r>
      <w:r w:rsidRPr="007F6749">
        <w:rPr>
          <w:sz w:val="20"/>
          <w:szCs w:val="20"/>
        </w:rPr>
        <w:t xml:space="preserve"> </w:t>
      </w:r>
      <w:bookmarkStart w:id="2" w:name="_Hlk486501168"/>
      <w:r w:rsidRPr="007F6749">
        <w:rPr>
          <w:sz w:val="20"/>
          <w:szCs w:val="20"/>
        </w:rPr>
        <w:t>Mill, Exh. DEM-1T at 24:2-3.</w:t>
      </w:r>
      <w:bookmarkEnd w:id="2"/>
    </w:p>
  </w:footnote>
  <w:footnote w:id="39">
    <w:p w14:paraId="20D8C78A" w14:textId="38196B1B" w:rsidR="00616B86" w:rsidRPr="007F6749" w:rsidRDefault="00616B86">
      <w:pPr>
        <w:pStyle w:val="FootnoteText"/>
        <w:rPr>
          <w:sz w:val="20"/>
          <w:szCs w:val="20"/>
        </w:rPr>
      </w:pPr>
      <w:r w:rsidRPr="007F6749">
        <w:rPr>
          <w:rStyle w:val="FootnoteReference"/>
          <w:sz w:val="20"/>
          <w:szCs w:val="20"/>
        </w:rPr>
        <w:footnoteRef/>
      </w:r>
      <w:r w:rsidRPr="007F6749">
        <w:rPr>
          <w:sz w:val="20"/>
          <w:szCs w:val="20"/>
        </w:rPr>
        <w:t xml:space="preserve"> For example, as noted above, PSE receives well over 200,000 calls per year regarding payment arrangements, most of which are handled by live agents. </w:t>
      </w:r>
    </w:p>
  </w:footnote>
  <w:footnote w:id="40">
    <w:p w14:paraId="7C31C8AA" w14:textId="0CE4AB8E" w:rsidR="00616B86" w:rsidRPr="007F6749" w:rsidRDefault="00616B86">
      <w:pPr>
        <w:pStyle w:val="FootnoteText"/>
        <w:rPr>
          <w:sz w:val="20"/>
          <w:szCs w:val="20"/>
        </w:rPr>
      </w:pPr>
      <w:r w:rsidRPr="007F6749">
        <w:rPr>
          <w:rStyle w:val="FootnoteReference"/>
          <w:sz w:val="20"/>
          <w:szCs w:val="20"/>
        </w:rPr>
        <w:footnoteRef/>
      </w:r>
      <w:r w:rsidRPr="007F6749">
        <w:rPr>
          <w:sz w:val="20"/>
          <w:szCs w:val="20"/>
        </w:rPr>
        <w:t xml:space="preserve"> Mill, Exh. DEM-1T at 24:14-17.</w:t>
      </w:r>
    </w:p>
  </w:footnote>
  <w:footnote w:id="41">
    <w:p w14:paraId="2D255C7B" w14:textId="1B4A83F0"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Piliaris, Exh. JAP-1T at 65:7-12.</w:t>
      </w:r>
    </w:p>
  </w:footnote>
  <w:footnote w:id="42">
    <w:p w14:paraId="0D599BCD" w14:textId="4ECF52FF" w:rsidR="00616B86" w:rsidRPr="007F6749" w:rsidRDefault="00616B86" w:rsidP="000C52AB">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Id. </w:t>
      </w:r>
      <w:r w:rsidRPr="007F6749">
        <w:rPr>
          <w:rFonts w:ascii="Times New Roman" w:hAnsi="Times New Roman" w:cs="Times New Roman"/>
          <w:sz w:val="20"/>
          <w:szCs w:val="20"/>
        </w:rPr>
        <w:t>at 92:1-4.</w:t>
      </w:r>
    </w:p>
  </w:footnote>
  <w:footnote w:id="43">
    <w:p w14:paraId="41BAB507" w14:textId="121D229E" w:rsidR="00616B86" w:rsidRPr="007F6749" w:rsidRDefault="00616B86" w:rsidP="00FB3AD0">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Washington Utilities &amp; Transportation Commission v. Pacific Power &amp; Light Company, </w:t>
      </w:r>
      <w:r w:rsidRPr="007F6749">
        <w:rPr>
          <w:rFonts w:ascii="Times New Roman" w:hAnsi="Times New Roman" w:cs="Times New Roman"/>
          <w:sz w:val="20"/>
          <w:szCs w:val="20"/>
        </w:rPr>
        <w:t>Docket UE 140762 et. al., Order 08, ¶ 216 (emphasis added).</w:t>
      </w:r>
    </w:p>
  </w:footnote>
  <w:footnote w:id="44">
    <w:p w14:paraId="32BFB82B" w14:textId="7F987B7D"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Piliaris, Exh. JAP-1T at 57:16. </w:t>
      </w:r>
    </w:p>
  </w:footnote>
  <w:footnote w:id="45">
    <w:p w14:paraId="00090F4F" w14:textId="7777777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Id.</w:t>
      </w:r>
      <w:r w:rsidRPr="007F6749">
        <w:rPr>
          <w:rFonts w:ascii="Times New Roman" w:hAnsi="Times New Roman" w:cs="Times New Roman"/>
          <w:sz w:val="20"/>
          <w:szCs w:val="20"/>
        </w:rPr>
        <w:t xml:space="preserve"> at 57:16-21 (referencing the Rate Design Settlement in Docket UE-141368).</w:t>
      </w:r>
    </w:p>
  </w:footnote>
  <w:footnote w:id="46">
    <w:p w14:paraId="769CFA53" w14:textId="707FC35A"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The Puget Sound Energy Electric and Gas Evaluation, Three Years of Decoupling, H. Gil Peach &amp; Associates, (Peach Decoupling Evaluation), Exh. JAP-29 at 62.</w:t>
      </w:r>
    </w:p>
  </w:footnote>
  <w:footnote w:id="47">
    <w:p w14:paraId="7F3C3DEF" w14:textId="1C2B9BC0" w:rsidR="00616B86" w:rsidRPr="009570DD" w:rsidRDefault="00616B86">
      <w:pPr>
        <w:pStyle w:val="FootnoteText"/>
        <w:rPr>
          <w:rFonts w:ascii="Times New Roman" w:hAnsi="Times New Roman" w:cs="Times New Roman"/>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Peach Decoupling Evaluation, Exh. JAP-29 at 63, Table IV. 4.  Over the three years of the Report, the impact on bill-assisted customers ranged from 11 percent to 16 percent more than on non-bill assisted customers.</w:t>
      </w:r>
    </w:p>
  </w:footnote>
  <w:footnote w:id="48">
    <w:p w14:paraId="4520E426" w14:textId="6872609F" w:rsidR="00616B86" w:rsidRPr="00471751" w:rsidRDefault="00616B86">
      <w:pPr>
        <w:pStyle w:val="FootnoteText"/>
        <w:rPr>
          <w:rFonts w:ascii="Times New Roman" w:hAnsi="Times New Roman" w:cs="Times New Roman"/>
          <w:i/>
          <w:sz w:val="20"/>
          <w:szCs w:val="20"/>
        </w:rPr>
      </w:pPr>
      <w:r w:rsidRPr="00471751">
        <w:rPr>
          <w:rStyle w:val="FootnoteReference"/>
          <w:rFonts w:ascii="Times New Roman" w:hAnsi="Times New Roman" w:cs="Times New Roman"/>
          <w:sz w:val="20"/>
          <w:szCs w:val="20"/>
        </w:rPr>
        <w:footnoteRef/>
      </w:r>
      <w:r w:rsidRPr="00471751">
        <w:rPr>
          <w:rFonts w:ascii="Times New Roman" w:hAnsi="Times New Roman" w:cs="Times New Roman"/>
          <w:sz w:val="20"/>
          <w:szCs w:val="20"/>
        </w:rPr>
        <w:t>The average HELP grant for the period July 2015-July 2016 was approximately $400 ($399.87).</w:t>
      </w:r>
      <w:r w:rsidRPr="00471751">
        <w:rPr>
          <w:rFonts w:ascii="Times New Roman" w:hAnsi="Times New Roman" w:cs="Times New Roman"/>
          <w:i/>
          <w:sz w:val="20"/>
          <w:szCs w:val="20"/>
        </w:rPr>
        <w:t xml:space="preserve">  </w:t>
      </w:r>
      <w:r w:rsidRPr="00471751">
        <w:rPr>
          <w:rFonts w:ascii="Times New Roman" w:hAnsi="Times New Roman" w:cs="Times New Roman"/>
          <w:sz w:val="20"/>
          <w:szCs w:val="20"/>
        </w:rPr>
        <w:t>Peach Decoupling Evaluation, Table IV-13, Exh. JAP-29 at 71.</w:t>
      </w:r>
    </w:p>
  </w:footnote>
  <w:footnote w:id="49">
    <w:p w14:paraId="19DD560E" w14:textId="22BFD1E2"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Peach Decoupling Evaluation, Exh. JAP 29 at 18.  Peach observes that the drop in federal support is a contextual factor that would have happened with or without decoupling. </w:t>
      </w:r>
    </w:p>
  </w:footnote>
  <w:footnote w:id="50">
    <w:p w14:paraId="5B3B1F2A" w14:textId="3C03EAAD"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Peach Decoupling Evaluation, Exh. JAP-29 at 26.</w:t>
      </w:r>
    </w:p>
  </w:footnote>
  <w:footnote w:id="51">
    <w:p w14:paraId="0627846C" w14:textId="61E50C7B"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Peach Decoupling Evaluation, Exh. JAP 29 at 60.</w:t>
      </w:r>
    </w:p>
  </w:footnote>
  <w:footnote w:id="52">
    <w:p w14:paraId="350FE7DF" w14:textId="3F6078E9" w:rsidR="00616B86" w:rsidRPr="007F6749" w:rsidRDefault="00616B86" w:rsidP="00A64BCE">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Piliaris, Exh. JAP-1T at 136:1-19.</w:t>
      </w:r>
    </w:p>
  </w:footnote>
  <w:footnote w:id="53">
    <w:p w14:paraId="3E3F182D" w14:textId="33CB2B08" w:rsidR="00616B86" w:rsidRPr="007F6749" w:rsidRDefault="00616B86" w:rsidP="0090771C">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Washington Utilities &amp; Transportation Commission v. Avista Corp.</w:t>
      </w:r>
      <w:r w:rsidRPr="007F6749">
        <w:rPr>
          <w:rFonts w:ascii="Times New Roman" w:hAnsi="Times New Roman" w:cs="Times New Roman"/>
          <w:sz w:val="20"/>
          <w:szCs w:val="20"/>
        </w:rPr>
        <w:t xml:space="preserve">, Dockets UE-140188/UG-140189, Order 07, </w:t>
      </w:r>
      <w:bookmarkStart w:id="4" w:name="_Hlk486247683"/>
      <w:r w:rsidRPr="007F6749">
        <w:rPr>
          <w:rFonts w:ascii="Times New Roman" w:hAnsi="Times New Roman" w:cs="Times New Roman"/>
          <w:sz w:val="20"/>
          <w:szCs w:val="20"/>
        </w:rPr>
        <w:t>¶</w:t>
      </w:r>
      <w:bookmarkEnd w:id="4"/>
      <w:r w:rsidRPr="007F6749">
        <w:rPr>
          <w:rFonts w:ascii="Times New Roman" w:hAnsi="Times New Roman" w:cs="Times New Roman"/>
          <w:sz w:val="20"/>
          <w:szCs w:val="20"/>
        </w:rPr>
        <w:t xml:space="preserve"> 7.</w:t>
      </w:r>
    </w:p>
  </w:footnote>
  <w:footnote w:id="54">
    <w:p w14:paraId="158F38BD" w14:textId="51E64112"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Washington Utilities &amp; Transportation Commission v. Cascade Natural Gas, </w:t>
      </w:r>
      <w:r w:rsidRPr="007F6749">
        <w:rPr>
          <w:rFonts w:ascii="Times New Roman" w:hAnsi="Times New Roman" w:cs="Times New Roman"/>
          <w:sz w:val="20"/>
          <w:szCs w:val="20"/>
        </w:rPr>
        <w:t>Docket 152286, Order 04, Exhibit A, Joint Settlement Agreement, ¶ 28 (Low-Income Energy Assistance Advisory Group).</w:t>
      </w:r>
    </w:p>
  </w:footnote>
  <w:footnote w:id="55">
    <w:p w14:paraId="32805B97" w14:textId="61EE7362" w:rsidR="00616B86" w:rsidRPr="007F6749" w:rsidRDefault="00616B86">
      <w:pPr>
        <w:pStyle w:val="FootnoteText"/>
        <w:rPr>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Washington Utilities &amp; Transportation Commission v. Pacific Power &amp; Light Company, </w:t>
      </w:r>
      <w:r w:rsidRPr="007F6749">
        <w:rPr>
          <w:rFonts w:ascii="Times New Roman" w:hAnsi="Times New Roman" w:cs="Times New Roman"/>
          <w:sz w:val="20"/>
          <w:szCs w:val="20"/>
        </w:rPr>
        <w:t>Docket UE-152253, Order 12, ¶¶ 248, 253.</w:t>
      </w:r>
    </w:p>
  </w:footnote>
  <w:footnote w:id="56">
    <w:p w14:paraId="01467ACA" w14:textId="048BB8C7"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Pr="007F6749">
        <w:rPr>
          <w:rFonts w:ascii="Times New Roman" w:hAnsi="Times New Roman" w:cs="Times New Roman"/>
          <w:sz w:val="20"/>
          <w:szCs w:val="20"/>
        </w:rPr>
        <w:t xml:space="preserve"> </w:t>
      </w:r>
      <w:r w:rsidRPr="007F6749">
        <w:rPr>
          <w:rFonts w:ascii="Times New Roman" w:hAnsi="Times New Roman" w:cs="Times New Roman"/>
          <w:i/>
          <w:sz w:val="20"/>
          <w:szCs w:val="20"/>
        </w:rPr>
        <w:t xml:space="preserve">Washington Utilities &amp; Transportation Commission v. Avista Corporation, </w:t>
      </w:r>
      <w:r w:rsidRPr="007F6749">
        <w:rPr>
          <w:rFonts w:ascii="Times New Roman" w:hAnsi="Times New Roman" w:cs="Times New Roman"/>
          <w:sz w:val="20"/>
          <w:szCs w:val="20"/>
        </w:rPr>
        <w:t>Dockets UE-140188/UG-140189, Order 07, ¶ 7.</w:t>
      </w:r>
    </w:p>
  </w:footnote>
  <w:footnote w:id="57">
    <w:p w14:paraId="1202145D" w14:textId="16604670" w:rsidR="00616B86" w:rsidRPr="00471751" w:rsidRDefault="00616B86">
      <w:pPr>
        <w:pStyle w:val="FootnoteText"/>
        <w:rPr>
          <w:rFonts w:ascii="Times New Roman" w:hAnsi="Times New Roman" w:cs="Times New Roman"/>
          <w:sz w:val="20"/>
          <w:szCs w:val="20"/>
        </w:rPr>
      </w:pPr>
      <w:r w:rsidRPr="00471751">
        <w:rPr>
          <w:rStyle w:val="FootnoteReference"/>
          <w:rFonts w:ascii="Times New Roman" w:hAnsi="Times New Roman" w:cs="Times New Roman"/>
          <w:sz w:val="20"/>
          <w:szCs w:val="20"/>
        </w:rPr>
        <w:footnoteRef/>
      </w:r>
      <w:r w:rsidRPr="00471751">
        <w:rPr>
          <w:rFonts w:ascii="Times New Roman" w:hAnsi="Times New Roman" w:cs="Times New Roman"/>
          <w:sz w:val="20"/>
          <w:szCs w:val="20"/>
        </w:rPr>
        <w:t xml:space="preserve"> </w:t>
      </w:r>
      <w:r w:rsidRPr="00471751">
        <w:rPr>
          <w:rFonts w:ascii="Times New Roman" w:hAnsi="Times New Roman" w:cs="Times New Roman"/>
          <w:i/>
          <w:sz w:val="20"/>
          <w:szCs w:val="20"/>
        </w:rPr>
        <w:t>Id.</w:t>
      </w:r>
      <w:r w:rsidRPr="00471751">
        <w:rPr>
          <w:rFonts w:ascii="Times New Roman" w:hAnsi="Times New Roman" w:cs="Times New Roman"/>
          <w:sz w:val="20"/>
          <w:szCs w:val="20"/>
        </w:rPr>
        <w:t xml:space="preserve">, ¶ 13.  The parties in the Avista </w:t>
      </w:r>
      <w:r w:rsidR="00DB5663" w:rsidRPr="00471751">
        <w:rPr>
          <w:rFonts w:ascii="Times New Roman" w:hAnsi="Times New Roman" w:cs="Times New Roman"/>
          <w:sz w:val="20"/>
          <w:szCs w:val="20"/>
        </w:rPr>
        <w:t>low-income</w:t>
      </w:r>
      <w:r w:rsidRPr="00471751">
        <w:rPr>
          <w:rFonts w:ascii="Times New Roman" w:hAnsi="Times New Roman" w:cs="Times New Roman"/>
          <w:sz w:val="20"/>
          <w:szCs w:val="20"/>
        </w:rPr>
        <w:t xml:space="preserve"> settlement agreed to explore addition of new program offerings, including arrearage management plans.  </w:t>
      </w:r>
    </w:p>
  </w:footnote>
  <w:footnote w:id="58">
    <w:p w14:paraId="7DEF7330" w14:textId="4FBFA026" w:rsidR="00616B86" w:rsidRPr="007F6749" w:rsidRDefault="00616B86">
      <w:pPr>
        <w:pStyle w:val="FootnoteText"/>
        <w:rPr>
          <w:rFonts w:ascii="Times New Roman" w:hAnsi="Times New Roman" w:cs="Times New Roman"/>
          <w:sz w:val="20"/>
          <w:szCs w:val="20"/>
        </w:rPr>
      </w:pPr>
      <w:r w:rsidRPr="007F6749">
        <w:rPr>
          <w:rStyle w:val="FootnoteReference"/>
          <w:rFonts w:ascii="Times New Roman" w:hAnsi="Times New Roman" w:cs="Times New Roman"/>
          <w:sz w:val="20"/>
          <w:szCs w:val="20"/>
        </w:rPr>
        <w:footnoteRef/>
      </w:r>
      <w:r w:rsidR="007F6749">
        <w:rPr>
          <w:rFonts w:ascii="Times New Roman" w:hAnsi="Times New Roman" w:cs="Times New Roman"/>
          <w:sz w:val="20"/>
          <w:szCs w:val="20"/>
        </w:rPr>
        <w:t xml:space="preserve"> </w:t>
      </w:r>
      <w:r w:rsidRPr="007F6749">
        <w:rPr>
          <w:rFonts w:ascii="Times New Roman" w:hAnsi="Times New Roman" w:cs="Times New Roman"/>
          <w:sz w:val="20"/>
          <w:szCs w:val="20"/>
        </w:rPr>
        <w:t xml:space="preserve">One effective approach could be for the Advisory Group to establish a targeted working group/collaborative with a focus on specific proposals or pilots using technology to enhance access to PSE’s low-income programs.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48DC" w14:textId="7598F2FA" w:rsidR="00616B86" w:rsidRDefault="00616B86">
    <w:pPr>
      <w:pStyle w:val="Header"/>
    </w:pPr>
    <w:r>
      <w:tab/>
    </w:r>
    <w:r>
      <w:tab/>
      <w:t>Dockets UE-170033/UG-170034</w:t>
    </w:r>
  </w:p>
  <w:p w14:paraId="07AE44DA" w14:textId="297DEA65" w:rsidR="00616B86" w:rsidRDefault="00616B86">
    <w:pPr>
      <w:pStyle w:val="Header"/>
    </w:pPr>
    <w:r>
      <w:tab/>
    </w:r>
    <w:r>
      <w:tab/>
    </w:r>
    <w:r w:rsidR="00902B52">
      <w:t xml:space="preserve">Response </w:t>
    </w:r>
    <w:r>
      <w:t>Testimony of Shawn M. Collins</w:t>
    </w:r>
  </w:p>
  <w:p w14:paraId="4C44C70D" w14:textId="4FD46534" w:rsidR="00616B86" w:rsidRDefault="00616B86">
    <w:pPr>
      <w:pStyle w:val="Header"/>
    </w:pPr>
    <w:r>
      <w:tab/>
    </w:r>
    <w:r>
      <w:tab/>
      <w:t>Exh. SMC-1T</w:t>
    </w:r>
  </w:p>
  <w:p w14:paraId="4E8660DC" w14:textId="77777777" w:rsidR="00616B86" w:rsidRDefault="00616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AB5"/>
    <w:multiLevelType w:val="hybridMultilevel"/>
    <w:tmpl w:val="807A2E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4FB0452"/>
    <w:multiLevelType w:val="hybridMultilevel"/>
    <w:tmpl w:val="B8ECD938"/>
    <w:lvl w:ilvl="0" w:tplc="8A08F0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96"/>
    <w:multiLevelType w:val="hybridMultilevel"/>
    <w:tmpl w:val="E7B23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8936351"/>
    <w:multiLevelType w:val="hybridMultilevel"/>
    <w:tmpl w:val="84EA71DA"/>
    <w:lvl w:ilvl="0" w:tplc="41B2C7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F42"/>
    <w:multiLevelType w:val="hybridMultilevel"/>
    <w:tmpl w:val="CCF8CE98"/>
    <w:lvl w:ilvl="0" w:tplc="FB5A5F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44CC0"/>
    <w:multiLevelType w:val="hybridMultilevel"/>
    <w:tmpl w:val="8FC4FA7A"/>
    <w:lvl w:ilvl="0" w:tplc="1EE2262A">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3A4233"/>
    <w:multiLevelType w:val="hybridMultilevel"/>
    <w:tmpl w:val="1B62CF66"/>
    <w:lvl w:ilvl="0" w:tplc="400EAB66">
      <w:start w:val="1"/>
      <w:numFmt w:val="decimal"/>
      <w:lvlText w:val="%1"/>
      <w:lvlJc w:val="left"/>
      <w:pPr>
        <w:tabs>
          <w:tab w:val="num" w:pos="2880"/>
        </w:tabs>
        <w:ind w:left="288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3780"/>
        </w:tabs>
        <w:ind w:left="3780" w:hanging="360"/>
      </w:pPr>
      <w:rPr>
        <w:rFonts w:hint="default"/>
      </w:rPr>
    </w:lvl>
    <w:lvl w:ilvl="2" w:tplc="0409000F">
      <w:start w:val="1"/>
      <w:numFmt w:val="decimal"/>
      <w:lvlText w:val="%3."/>
      <w:lvlJc w:val="left"/>
      <w:pPr>
        <w:tabs>
          <w:tab w:val="num" w:pos="4500"/>
        </w:tabs>
        <w:ind w:left="4500" w:hanging="360"/>
      </w:pPr>
      <w:rPr>
        <w:rFonts w:hint="default"/>
      </w:rPr>
    </w:lvl>
    <w:lvl w:ilvl="3" w:tplc="3F9826F0">
      <w:start w:val="1"/>
      <w:numFmt w:val="lowerLetter"/>
      <w:lvlText w:val="%4."/>
      <w:lvlJc w:val="left"/>
      <w:pPr>
        <w:tabs>
          <w:tab w:val="num" w:pos="5040"/>
        </w:tabs>
        <w:ind w:left="5040" w:hanging="360"/>
      </w:pPr>
      <w:rPr>
        <w:rFonts w:hint="default"/>
      </w:rPr>
    </w:lvl>
    <w:lvl w:ilvl="4" w:tplc="6F86D32A">
      <w:start w:val="1"/>
      <w:numFmt w:val="lowerLetter"/>
      <w:lvlText w:val="%5."/>
      <w:lvlJc w:val="left"/>
      <w:pPr>
        <w:tabs>
          <w:tab w:val="num" w:pos="5760"/>
        </w:tabs>
        <w:ind w:left="5760" w:hanging="360"/>
      </w:pPr>
      <w:rPr>
        <w:rFonts w:hint="default"/>
      </w:rPr>
    </w:lvl>
    <w:lvl w:ilvl="5" w:tplc="1ECA6D5E">
      <w:start w:val="1"/>
      <w:numFmt w:val="lowerRoman"/>
      <w:lvlText w:val="(%6)"/>
      <w:lvlJc w:val="left"/>
      <w:pPr>
        <w:ind w:left="7020" w:hanging="720"/>
      </w:pPr>
      <w:rPr>
        <w:rFonts w:hint="default"/>
      </w:rPr>
    </w:lvl>
    <w:lvl w:ilvl="6" w:tplc="FEC6B172">
      <w:start w:val="1"/>
      <w:numFmt w:val="lowerRoman"/>
      <w:lvlText w:val="%7)"/>
      <w:lvlJc w:val="left"/>
      <w:pPr>
        <w:ind w:left="7560" w:hanging="720"/>
      </w:pPr>
      <w:rPr>
        <w:rFonts w:hint="default"/>
      </w:rPr>
    </w:lvl>
    <w:lvl w:ilvl="7" w:tplc="5C1032FC">
      <w:start w:val="1"/>
      <w:numFmt w:val="decimal"/>
      <w:lvlText w:val="(%8)"/>
      <w:lvlJc w:val="left"/>
      <w:pPr>
        <w:ind w:left="7980" w:hanging="420"/>
      </w:pPr>
      <w:rPr>
        <w:rFonts w:hint="default"/>
      </w:rPr>
    </w:lvl>
    <w:lvl w:ilvl="8" w:tplc="0409001B" w:tentative="1">
      <w:start w:val="1"/>
      <w:numFmt w:val="lowerRoman"/>
      <w:lvlText w:val="%9."/>
      <w:lvlJc w:val="right"/>
      <w:pPr>
        <w:tabs>
          <w:tab w:val="num" w:pos="8640"/>
        </w:tabs>
        <w:ind w:left="8640" w:hanging="180"/>
      </w:pPr>
    </w:lvl>
  </w:abstractNum>
  <w:abstractNum w:abstractNumId="7" w15:restartNumberingAfterBreak="0">
    <w:nsid w:val="323E37E1"/>
    <w:multiLevelType w:val="hybridMultilevel"/>
    <w:tmpl w:val="14DCA4F2"/>
    <w:lvl w:ilvl="0" w:tplc="F7B6A1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F271AD"/>
    <w:multiLevelType w:val="hybridMultilevel"/>
    <w:tmpl w:val="B8EC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561CB"/>
    <w:multiLevelType w:val="hybridMultilevel"/>
    <w:tmpl w:val="ACEE9CEE"/>
    <w:lvl w:ilvl="0" w:tplc="C99A9CDA">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03782D"/>
    <w:multiLevelType w:val="hybridMultilevel"/>
    <w:tmpl w:val="DDBC2778"/>
    <w:lvl w:ilvl="0" w:tplc="B8AAC31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A9279A"/>
    <w:multiLevelType w:val="hybridMultilevel"/>
    <w:tmpl w:val="CCC88AE2"/>
    <w:lvl w:ilvl="0" w:tplc="F226319A">
      <w:start w:val="1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9D27E0"/>
    <w:multiLevelType w:val="hybridMultilevel"/>
    <w:tmpl w:val="A5CC34D6"/>
    <w:lvl w:ilvl="0" w:tplc="6ACA68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D5FC7"/>
    <w:multiLevelType w:val="hybridMultilevel"/>
    <w:tmpl w:val="673E3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2"/>
  </w:num>
  <w:num w:numId="5">
    <w:abstractNumId w:val="12"/>
  </w:num>
  <w:num w:numId="6">
    <w:abstractNumId w:val="6"/>
  </w:num>
  <w:num w:numId="7">
    <w:abstractNumId w:val="3"/>
  </w:num>
  <w:num w:numId="8">
    <w:abstractNumId w:val="1"/>
  </w:num>
  <w:num w:numId="9">
    <w:abstractNumId w:val="13"/>
  </w:num>
  <w:num w:numId="10">
    <w:abstractNumId w:val="5"/>
  </w:num>
  <w:num w:numId="11">
    <w:abstractNumId w:val="9"/>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1"/>
    <w:rsid w:val="000003DE"/>
    <w:rsid w:val="00003090"/>
    <w:rsid w:val="00003155"/>
    <w:rsid w:val="00005EFB"/>
    <w:rsid w:val="00010759"/>
    <w:rsid w:val="00014CCA"/>
    <w:rsid w:val="00017595"/>
    <w:rsid w:val="00024254"/>
    <w:rsid w:val="000268FB"/>
    <w:rsid w:val="000330E8"/>
    <w:rsid w:val="00040FB3"/>
    <w:rsid w:val="000461D4"/>
    <w:rsid w:val="000475AB"/>
    <w:rsid w:val="00050A1E"/>
    <w:rsid w:val="00052773"/>
    <w:rsid w:val="00056E71"/>
    <w:rsid w:val="00061527"/>
    <w:rsid w:val="00061921"/>
    <w:rsid w:val="0006390F"/>
    <w:rsid w:val="00070037"/>
    <w:rsid w:val="000707A9"/>
    <w:rsid w:val="00071F29"/>
    <w:rsid w:val="00072600"/>
    <w:rsid w:val="000755DF"/>
    <w:rsid w:val="000808CC"/>
    <w:rsid w:val="0008415B"/>
    <w:rsid w:val="00084701"/>
    <w:rsid w:val="00085157"/>
    <w:rsid w:val="00093135"/>
    <w:rsid w:val="000A203F"/>
    <w:rsid w:val="000A2316"/>
    <w:rsid w:val="000A4638"/>
    <w:rsid w:val="000A6FA1"/>
    <w:rsid w:val="000B3F6F"/>
    <w:rsid w:val="000C52AB"/>
    <w:rsid w:val="000D059E"/>
    <w:rsid w:val="000D67EE"/>
    <w:rsid w:val="000E0CB6"/>
    <w:rsid w:val="000E3338"/>
    <w:rsid w:val="000E5E34"/>
    <w:rsid w:val="000F551C"/>
    <w:rsid w:val="000F5737"/>
    <w:rsid w:val="00102949"/>
    <w:rsid w:val="00105AA3"/>
    <w:rsid w:val="00111181"/>
    <w:rsid w:val="00111344"/>
    <w:rsid w:val="00113957"/>
    <w:rsid w:val="00117660"/>
    <w:rsid w:val="00120502"/>
    <w:rsid w:val="00121C1A"/>
    <w:rsid w:val="001278AE"/>
    <w:rsid w:val="00132C04"/>
    <w:rsid w:val="0013530E"/>
    <w:rsid w:val="0013638A"/>
    <w:rsid w:val="00144816"/>
    <w:rsid w:val="0014701F"/>
    <w:rsid w:val="0014757C"/>
    <w:rsid w:val="0015505F"/>
    <w:rsid w:val="00155450"/>
    <w:rsid w:val="00156175"/>
    <w:rsid w:val="001568F5"/>
    <w:rsid w:val="00160B2A"/>
    <w:rsid w:val="00162D89"/>
    <w:rsid w:val="0016509D"/>
    <w:rsid w:val="00165DAC"/>
    <w:rsid w:val="00170A99"/>
    <w:rsid w:val="00173A8D"/>
    <w:rsid w:val="001740D0"/>
    <w:rsid w:val="00177AAA"/>
    <w:rsid w:val="00182516"/>
    <w:rsid w:val="00187B79"/>
    <w:rsid w:val="00194C86"/>
    <w:rsid w:val="001B050B"/>
    <w:rsid w:val="001B15CA"/>
    <w:rsid w:val="001B166D"/>
    <w:rsid w:val="001B353E"/>
    <w:rsid w:val="001B5634"/>
    <w:rsid w:val="001B5D57"/>
    <w:rsid w:val="001B7E7E"/>
    <w:rsid w:val="001C1AD9"/>
    <w:rsid w:val="001C25AF"/>
    <w:rsid w:val="001C5184"/>
    <w:rsid w:val="001C5C8E"/>
    <w:rsid w:val="001C751C"/>
    <w:rsid w:val="001D7B41"/>
    <w:rsid w:val="001E3573"/>
    <w:rsid w:val="001E3A6C"/>
    <w:rsid w:val="001F04EA"/>
    <w:rsid w:val="001F2442"/>
    <w:rsid w:val="001F3F39"/>
    <w:rsid w:val="002010C8"/>
    <w:rsid w:val="002044B1"/>
    <w:rsid w:val="00206E7D"/>
    <w:rsid w:val="00214D9F"/>
    <w:rsid w:val="00222A50"/>
    <w:rsid w:val="0022417E"/>
    <w:rsid w:val="00233551"/>
    <w:rsid w:val="002341E5"/>
    <w:rsid w:val="00234734"/>
    <w:rsid w:val="002362DD"/>
    <w:rsid w:val="002416F6"/>
    <w:rsid w:val="00242FD9"/>
    <w:rsid w:val="0024465A"/>
    <w:rsid w:val="0025201C"/>
    <w:rsid w:val="002535A2"/>
    <w:rsid w:val="00253697"/>
    <w:rsid w:val="00256554"/>
    <w:rsid w:val="00263DC3"/>
    <w:rsid w:val="00263E4C"/>
    <w:rsid w:val="002658A0"/>
    <w:rsid w:val="00267F59"/>
    <w:rsid w:val="00272325"/>
    <w:rsid w:val="00274501"/>
    <w:rsid w:val="0027713B"/>
    <w:rsid w:val="00277BC3"/>
    <w:rsid w:val="00280DE1"/>
    <w:rsid w:val="00281098"/>
    <w:rsid w:val="00283B1E"/>
    <w:rsid w:val="00284118"/>
    <w:rsid w:val="002849AB"/>
    <w:rsid w:val="00284B63"/>
    <w:rsid w:val="002907BE"/>
    <w:rsid w:val="0029504A"/>
    <w:rsid w:val="00296F78"/>
    <w:rsid w:val="002A5CA1"/>
    <w:rsid w:val="002A63B8"/>
    <w:rsid w:val="002A7334"/>
    <w:rsid w:val="002B1DFC"/>
    <w:rsid w:val="002B2D26"/>
    <w:rsid w:val="002B37CC"/>
    <w:rsid w:val="002B52E2"/>
    <w:rsid w:val="002C2393"/>
    <w:rsid w:val="002C38B3"/>
    <w:rsid w:val="002D108F"/>
    <w:rsid w:val="002D36E2"/>
    <w:rsid w:val="002D640F"/>
    <w:rsid w:val="002D6794"/>
    <w:rsid w:val="002D6C8C"/>
    <w:rsid w:val="002D7E24"/>
    <w:rsid w:val="002E038B"/>
    <w:rsid w:val="002E2075"/>
    <w:rsid w:val="002E21CA"/>
    <w:rsid w:val="002F502E"/>
    <w:rsid w:val="002F5CA2"/>
    <w:rsid w:val="002F72CD"/>
    <w:rsid w:val="00304B49"/>
    <w:rsid w:val="0031670F"/>
    <w:rsid w:val="00316C1A"/>
    <w:rsid w:val="0032246D"/>
    <w:rsid w:val="00322CC8"/>
    <w:rsid w:val="00326F07"/>
    <w:rsid w:val="00330C36"/>
    <w:rsid w:val="00333717"/>
    <w:rsid w:val="00343DBF"/>
    <w:rsid w:val="0034785D"/>
    <w:rsid w:val="00361475"/>
    <w:rsid w:val="0036206B"/>
    <w:rsid w:val="00363621"/>
    <w:rsid w:val="00365195"/>
    <w:rsid w:val="00367AFD"/>
    <w:rsid w:val="00371BED"/>
    <w:rsid w:val="00371EFA"/>
    <w:rsid w:val="00372C93"/>
    <w:rsid w:val="003746B9"/>
    <w:rsid w:val="00376C37"/>
    <w:rsid w:val="0038202C"/>
    <w:rsid w:val="003821D6"/>
    <w:rsid w:val="003871F2"/>
    <w:rsid w:val="0039041D"/>
    <w:rsid w:val="00390FB4"/>
    <w:rsid w:val="00391B81"/>
    <w:rsid w:val="0039203D"/>
    <w:rsid w:val="003A0629"/>
    <w:rsid w:val="003A36FF"/>
    <w:rsid w:val="003B603E"/>
    <w:rsid w:val="003C124E"/>
    <w:rsid w:val="003C2309"/>
    <w:rsid w:val="003D140C"/>
    <w:rsid w:val="003D1974"/>
    <w:rsid w:val="003D1A1A"/>
    <w:rsid w:val="003D5841"/>
    <w:rsid w:val="003D7080"/>
    <w:rsid w:val="003E1B9B"/>
    <w:rsid w:val="003E6FA8"/>
    <w:rsid w:val="003F25DE"/>
    <w:rsid w:val="003F322C"/>
    <w:rsid w:val="003F5A5F"/>
    <w:rsid w:val="00410174"/>
    <w:rsid w:val="00411653"/>
    <w:rsid w:val="004130C8"/>
    <w:rsid w:val="00413877"/>
    <w:rsid w:val="00420AAA"/>
    <w:rsid w:val="004329DD"/>
    <w:rsid w:val="00434AF5"/>
    <w:rsid w:val="004357D2"/>
    <w:rsid w:val="0043679C"/>
    <w:rsid w:val="00441193"/>
    <w:rsid w:val="004422D6"/>
    <w:rsid w:val="00442D1E"/>
    <w:rsid w:val="004502EB"/>
    <w:rsid w:val="004579E6"/>
    <w:rsid w:val="0046559B"/>
    <w:rsid w:val="00470FDC"/>
    <w:rsid w:val="00471751"/>
    <w:rsid w:val="004730E8"/>
    <w:rsid w:val="00473C3F"/>
    <w:rsid w:val="00476048"/>
    <w:rsid w:val="004826A8"/>
    <w:rsid w:val="0048683F"/>
    <w:rsid w:val="00486CB2"/>
    <w:rsid w:val="00487C71"/>
    <w:rsid w:val="00490B5D"/>
    <w:rsid w:val="00492AA4"/>
    <w:rsid w:val="00494F67"/>
    <w:rsid w:val="004B07D1"/>
    <w:rsid w:val="004B161D"/>
    <w:rsid w:val="004C08D5"/>
    <w:rsid w:val="004C3EFD"/>
    <w:rsid w:val="004D0CDD"/>
    <w:rsid w:val="004D216D"/>
    <w:rsid w:val="004D76CC"/>
    <w:rsid w:val="004E1974"/>
    <w:rsid w:val="004E6425"/>
    <w:rsid w:val="004F2DA5"/>
    <w:rsid w:val="004F2E8D"/>
    <w:rsid w:val="0050369F"/>
    <w:rsid w:val="00503838"/>
    <w:rsid w:val="00505538"/>
    <w:rsid w:val="0051397B"/>
    <w:rsid w:val="00522AB9"/>
    <w:rsid w:val="00523A1E"/>
    <w:rsid w:val="005307C9"/>
    <w:rsid w:val="00532309"/>
    <w:rsid w:val="00534980"/>
    <w:rsid w:val="005352FF"/>
    <w:rsid w:val="00541FD6"/>
    <w:rsid w:val="00544A83"/>
    <w:rsid w:val="00550A3F"/>
    <w:rsid w:val="00565132"/>
    <w:rsid w:val="00570EC4"/>
    <w:rsid w:val="005770F0"/>
    <w:rsid w:val="00581D20"/>
    <w:rsid w:val="00583223"/>
    <w:rsid w:val="00586AFD"/>
    <w:rsid w:val="00591DFA"/>
    <w:rsid w:val="00597574"/>
    <w:rsid w:val="005A1869"/>
    <w:rsid w:val="005A3550"/>
    <w:rsid w:val="005A4818"/>
    <w:rsid w:val="005A5CD1"/>
    <w:rsid w:val="005B631C"/>
    <w:rsid w:val="005E7061"/>
    <w:rsid w:val="005F0269"/>
    <w:rsid w:val="005F0AAD"/>
    <w:rsid w:val="005F1865"/>
    <w:rsid w:val="00600564"/>
    <w:rsid w:val="00601544"/>
    <w:rsid w:val="006038D1"/>
    <w:rsid w:val="0060413F"/>
    <w:rsid w:val="00605E9B"/>
    <w:rsid w:val="00607211"/>
    <w:rsid w:val="00607354"/>
    <w:rsid w:val="00607FA5"/>
    <w:rsid w:val="00612EA2"/>
    <w:rsid w:val="00613460"/>
    <w:rsid w:val="00613F6F"/>
    <w:rsid w:val="00616B86"/>
    <w:rsid w:val="00623011"/>
    <w:rsid w:val="0063542A"/>
    <w:rsid w:val="00651294"/>
    <w:rsid w:val="00660C7D"/>
    <w:rsid w:val="0066584E"/>
    <w:rsid w:val="00665A32"/>
    <w:rsid w:val="0067417F"/>
    <w:rsid w:val="00677C20"/>
    <w:rsid w:val="00680129"/>
    <w:rsid w:val="00681370"/>
    <w:rsid w:val="00682088"/>
    <w:rsid w:val="00684C17"/>
    <w:rsid w:val="00687D7D"/>
    <w:rsid w:val="006A4F43"/>
    <w:rsid w:val="006A6E29"/>
    <w:rsid w:val="006A7339"/>
    <w:rsid w:val="006B6B44"/>
    <w:rsid w:val="006B7E11"/>
    <w:rsid w:val="006C2655"/>
    <w:rsid w:val="006D1732"/>
    <w:rsid w:val="006D60C7"/>
    <w:rsid w:val="006E1D42"/>
    <w:rsid w:val="006E27D7"/>
    <w:rsid w:val="006E2CF7"/>
    <w:rsid w:val="006E59CB"/>
    <w:rsid w:val="006E734F"/>
    <w:rsid w:val="006F05A2"/>
    <w:rsid w:val="006F0F36"/>
    <w:rsid w:val="006F1E92"/>
    <w:rsid w:val="006F2B45"/>
    <w:rsid w:val="006F714B"/>
    <w:rsid w:val="006F7BC3"/>
    <w:rsid w:val="00701AD0"/>
    <w:rsid w:val="007023F4"/>
    <w:rsid w:val="0070421F"/>
    <w:rsid w:val="0070450A"/>
    <w:rsid w:val="00707C3E"/>
    <w:rsid w:val="00710955"/>
    <w:rsid w:val="00710F9F"/>
    <w:rsid w:val="0071149A"/>
    <w:rsid w:val="00712925"/>
    <w:rsid w:val="00722F16"/>
    <w:rsid w:val="007257EA"/>
    <w:rsid w:val="007269DB"/>
    <w:rsid w:val="00732B69"/>
    <w:rsid w:val="007353ED"/>
    <w:rsid w:val="007370F3"/>
    <w:rsid w:val="00737C6C"/>
    <w:rsid w:val="00737C71"/>
    <w:rsid w:val="0074134A"/>
    <w:rsid w:val="00745D6A"/>
    <w:rsid w:val="00746F42"/>
    <w:rsid w:val="00747D97"/>
    <w:rsid w:val="00751BA6"/>
    <w:rsid w:val="00754EB2"/>
    <w:rsid w:val="0076046E"/>
    <w:rsid w:val="0076124E"/>
    <w:rsid w:val="0076463F"/>
    <w:rsid w:val="00765339"/>
    <w:rsid w:val="007727CC"/>
    <w:rsid w:val="00775FA2"/>
    <w:rsid w:val="00784DBB"/>
    <w:rsid w:val="0079055B"/>
    <w:rsid w:val="0079153E"/>
    <w:rsid w:val="00795144"/>
    <w:rsid w:val="007A30DC"/>
    <w:rsid w:val="007A4E3B"/>
    <w:rsid w:val="007C00C5"/>
    <w:rsid w:val="007C6EDE"/>
    <w:rsid w:val="007C780C"/>
    <w:rsid w:val="007D3BC4"/>
    <w:rsid w:val="007D4C85"/>
    <w:rsid w:val="007D4D4B"/>
    <w:rsid w:val="007D55FF"/>
    <w:rsid w:val="007D63D2"/>
    <w:rsid w:val="007E7808"/>
    <w:rsid w:val="007F0769"/>
    <w:rsid w:val="007F19CF"/>
    <w:rsid w:val="007F264C"/>
    <w:rsid w:val="007F6749"/>
    <w:rsid w:val="00802EB4"/>
    <w:rsid w:val="00803174"/>
    <w:rsid w:val="00804724"/>
    <w:rsid w:val="008049FC"/>
    <w:rsid w:val="00805CC1"/>
    <w:rsid w:val="00806849"/>
    <w:rsid w:val="0080719C"/>
    <w:rsid w:val="00814548"/>
    <w:rsid w:val="00820152"/>
    <w:rsid w:val="008207C1"/>
    <w:rsid w:val="00820EBE"/>
    <w:rsid w:val="00821902"/>
    <w:rsid w:val="0082400B"/>
    <w:rsid w:val="00824A5C"/>
    <w:rsid w:val="00827D49"/>
    <w:rsid w:val="008319AD"/>
    <w:rsid w:val="008359CA"/>
    <w:rsid w:val="0083674F"/>
    <w:rsid w:val="00837EC0"/>
    <w:rsid w:val="00854069"/>
    <w:rsid w:val="00857327"/>
    <w:rsid w:val="008641BC"/>
    <w:rsid w:val="008702C0"/>
    <w:rsid w:val="00875FEE"/>
    <w:rsid w:val="008765B0"/>
    <w:rsid w:val="00877262"/>
    <w:rsid w:val="00881B65"/>
    <w:rsid w:val="00884149"/>
    <w:rsid w:val="008875D2"/>
    <w:rsid w:val="0089167B"/>
    <w:rsid w:val="00892203"/>
    <w:rsid w:val="008959F7"/>
    <w:rsid w:val="008970D0"/>
    <w:rsid w:val="00897A43"/>
    <w:rsid w:val="008A0E8D"/>
    <w:rsid w:val="008A3F49"/>
    <w:rsid w:val="008A431F"/>
    <w:rsid w:val="008A4CBD"/>
    <w:rsid w:val="008A6B9F"/>
    <w:rsid w:val="008B0867"/>
    <w:rsid w:val="008C3A6F"/>
    <w:rsid w:val="008D1937"/>
    <w:rsid w:val="008D2803"/>
    <w:rsid w:val="008D4B4E"/>
    <w:rsid w:val="008D626F"/>
    <w:rsid w:val="008D70DA"/>
    <w:rsid w:val="008D72B2"/>
    <w:rsid w:val="008E415D"/>
    <w:rsid w:val="008E5051"/>
    <w:rsid w:val="008E5841"/>
    <w:rsid w:val="008F6456"/>
    <w:rsid w:val="009004C8"/>
    <w:rsid w:val="00902B52"/>
    <w:rsid w:val="009074C3"/>
    <w:rsid w:val="0090771C"/>
    <w:rsid w:val="00910B9F"/>
    <w:rsid w:val="00911408"/>
    <w:rsid w:val="00911A33"/>
    <w:rsid w:val="00916F6B"/>
    <w:rsid w:val="00917E26"/>
    <w:rsid w:val="00922B28"/>
    <w:rsid w:val="00923A1A"/>
    <w:rsid w:val="00924EE0"/>
    <w:rsid w:val="00930AB7"/>
    <w:rsid w:val="00934041"/>
    <w:rsid w:val="00937D19"/>
    <w:rsid w:val="0094590B"/>
    <w:rsid w:val="00945B9E"/>
    <w:rsid w:val="00947502"/>
    <w:rsid w:val="009510EF"/>
    <w:rsid w:val="0095295E"/>
    <w:rsid w:val="00954884"/>
    <w:rsid w:val="009570DD"/>
    <w:rsid w:val="0095757B"/>
    <w:rsid w:val="009746C9"/>
    <w:rsid w:val="009761EE"/>
    <w:rsid w:val="0099176C"/>
    <w:rsid w:val="00992076"/>
    <w:rsid w:val="0099337A"/>
    <w:rsid w:val="009A41FD"/>
    <w:rsid w:val="009A7B9A"/>
    <w:rsid w:val="009B55A1"/>
    <w:rsid w:val="009B5FE0"/>
    <w:rsid w:val="009B60D0"/>
    <w:rsid w:val="009C4046"/>
    <w:rsid w:val="009D1661"/>
    <w:rsid w:val="009D63DF"/>
    <w:rsid w:val="009D6B11"/>
    <w:rsid w:val="009F52AC"/>
    <w:rsid w:val="009F78FD"/>
    <w:rsid w:val="00A00397"/>
    <w:rsid w:val="00A01C03"/>
    <w:rsid w:val="00A059C8"/>
    <w:rsid w:val="00A066B1"/>
    <w:rsid w:val="00A103C4"/>
    <w:rsid w:val="00A11015"/>
    <w:rsid w:val="00A1512F"/>
    <w:rsid w:val="00A15ADC"/>
    <w:rsid w:val="00A20BD0"/>
    <w:rsid w:val="00A219D9"/>
    <w:rsid w:val="00A24F78"/>
    <w:rsid w:val="00A31892"/>
    <w:rsid w:val="00A31AF4"/>
    <w:rsid w:val="00A34629"/>
    <w:rsid w:val="00A37ECB"/>
    <w:rsid w:val="00A41D1A"/>
    <w:rsid w:val="00A443C9"/>
    <w:rsid w:val="00A459AD"/>
    <w:rsid w:val="00A516C5"/>
    <w:rsid w:val="00A57ABB"/>
    <w:rsid w:val="00A57C1B"/>
    <w:rsid w:val="00A64BCE"/>
    <w:rsid w:val="00A64C1F"/>
    <w:rsid w:val="00A7101B"/>
    <w:rsid w:val="00A775D1"/>
    <w:rsid w:val="00A86DDC"/>
    <w:rsid w:val="00A87397"/>
    <w:rsid w:val="00A877E9"/>
    <w:rsid w:val="00A90393"/>
    <w:rsid w:val="00A92199"/>
    <w:rsid w:val="00A923A7"/>
    <w:rsid w:val="00A94746"/>
    <w:rsid w:val="00A95CDE"/>
    <w:rsid w:val="00AA001B"/>
    <w:rsid w:val="00AB2A9D"/>
    <w:rsid w:val="00AB6808"/>
    <w:rsid w:val="00AC5A70"/>
    <w:rsid w:val="00AD143C"/>
    <w:rsid w:val="00AD42B6"/>
    <w:rsid w:val="00AD4B42"/>
    <w:rsid w:val="00AE46C4"/>
    <w:rsid w:val="00AF066D"/>
    <w:rsid w:val="00AF1B29"/>
    <w:rsid w:val="00AF7E6B"/>
    <w:rsid w:val="00B04842"/>
    <w:rsid w:val="00B1125B"/>
    <w:rsid w:val="00B20B03"/>
    <w:rsid w:val="00B261EB"/>
    <w:rsid w:val="00B26A07"/>
    <w:rsid w:val="00B30B29"/>
    <w:rsid w:val="00B3135C"/>
    <w:rsid w:val="00B36DAC"/>
    <w:rsid w:val="00B45150"/>
    <w:rsid w:val="00B50328"/>
    <w:rsid w:val="00B518B6"/>
    <w:rsid w:val="00B5255B"/>
    <w:rsid w:val="00B53914"/>
    <w:rsid w:val="00B55745"/>
    <w:rsid w:val="00B57292"/>
    <w:rsid w:val="00B64173"/>
    <w:rsid w:val="00B65A42"/>
    <w:rsid w:val="00B6699B"/>
    <w:rsid w:val="00B67248"/>
    <w:rsid w:val="00B71695"/>
    <w:rsid w:val="00B74F9A"/>
    <w:rsid w:val="00B774AE"/>
    <w:rsid w:val="00B829A8"/>
    <w:rsid w:val="00B82B57"/>
    <w:rsid w:val="00B84621"/>
    <w:rsid w:val="00B85C48"/>
    <w:rsid w:val="00B95EC2"/>
    <w:rsid w:val="00BA2CA1"/>
    <w:rsid w:val="00BA75E2"/>
    <w:rsid w:val="00BB4309"/>
    <w:rsid w:val="00BB5110"/>
    <w:rsid w:val="00BB5741"/>
    <w:rsid w:val="00BB75DD"/>
    <w:rsid w:val="00BC0101"/>
    <w:rsid w:val="00BC366C"/>
    <w:rsid w:val="00BC62F2"/>
    <w:rsid w:val="00BC6E42"/>
    <w:rsid w:val="00BD1564"/>
    <w:rsid w:val="00BD6E99"/>
    <w:rsid w:val="00BE35D1"/>
    <w:rsid w:val="00BE4B27"/>
    <w:rsid w:val="00BE4D59"/>
    <w:rsid w:val="00BE50A9"/>
    <w:rsid w:val="00BE7BE1"/>
    <w:rsid w:val="00BF15FF"/>
    <w:rsid w:val="00BF6871"/>
    <w:rsid w:val="00BF7CBD"/>
    <w:rsid w:val="00C044BA"/>
    <w:rsid w:val="00C062B3"/>
    <w:rsid w:val="00C1641A"/>
    <w:rsid w:val="00C1753B"/>
    <w:rsid w:val="00C17717"/>
    <w:rsid w:val="00C204B5"/>
    <w:rsid w:val="00C22B86"/>
    <w:rsid w:val="00C40853"/>
    <w:rsid w:val="00C4615F"/>
    <w:rsid w:val="00C50793"/>
    <w:rsid w:val="00C5660F"/>
    <w:rsid w:val="00C62B85"/>
    <w:rsid w:val="00C6617D"/>
    <w:rsid w:val="00C66467"/>
    <w:rsid w:val="00C7315E"/>
    <w:rsid w:val="00C7386B"/>
    <w:rsid w:val="00C77A86"/>
    <w:rsid w:val="00C807CA"/>
    <w:rsid w:val="00C8306D"/>
    <w:rsid w:val="00C877EE"/>
    <w:rsid w:val="00C87890"/>
    <w:rsid w:val="00C93BF4"/>
    <w:rsid w:val="00C96C13"/>
    <w:rsid w:val="00C979D6"/>
    <w:rsid w:val="00CA2D7E"/>
    <w:rsid w:val="00CA4F93"/>
    <w:rsid w:val="00CA6D1C"/>
    <w:rsid w:val="00CB17BB"/>
    <w:rsid w:val="00CB26E8"/>
    <w:rsid w:val="00CB47FD"/>
    <w:rsid w:val="00CB53C9"/>
    <w:rsid w:val="00CB734F"/>
    <w:rsid w:val="00CC0A9C"/>
    <w:rsid w:val="00CC21B4"/>
    <w:rsid w:val="00CD37FC"/>
    <w:rsid w:val="00CD4114"/>
    <w:rsid w:val="00CD4BED"/>
    <w:rsid w:val="00CD7FAA"/>
    <w:rsid w:val="00CE0E44"/>
    <w:rsid w:val="00CE6850"/>
    <w:rsid w:val="00CE68B2"/>
    <w:rsid w:val="00CE7949"/>
    <w:rsid w:val="00CF1A60"/>
    <w:rsid w:val="00CF1F75"/>
    <w:rsid w:val="00CF7554"/>
    <w:rsid w:val="00D01DF6"/>
    <w:rsid w:val="00D0361B"/>
    <w:rsid w:val="00D05B34"/>
    <w:rsid w:val="00D067D3"/>
    <w:rsid w:val="00D07815"/>
    <w:rsid w:val="00D10415"/>
    <w:rsid w:val="00D12395"/>
    <w:rsid w:val="00D155C8"/>
    <w:rsid w:val="00D26E94"/>
    <w:rsid w:val="00D274C6"/>
    <w:rsid w:val="00D30346"/>
    <w:rsid w:val="00D32678"/>
    <w:rsid w:val="00D33AB4"/>
    <w:rsid w:val="00D40262"/>
    <w:rsid w:val="00D44BB4"/>
    <w:rsid w:val="00D47DDA"/>
    <w:rsid w:val="00D54E09"/>
    <w:rsid w:val="00D553B2"/>
    <w:rsid w:val="00D60197"/>
    <w:rsid w:val="00D65DB0"/>
    <w:rsid w:val="00D66C09"/>
    <w:rsid w:val="00D702DD"/>
    <w:rsid w:val="00D70EF0"/>
    <w:rsid w:val="00D754AA"/>
    <w:rsid w:val="00D7613F"/>
    <w:rsid w:val="00D77687"/>
    <w:rsid w:val="00D80208"/>
    <w:rsid w:val="00D831E1"/>
    <w:rsid w:val="00D912CC"/>
    <w:rsid w:val="00DA0024"/>
    <w:rsid w:val="00DA1742"/>
    <w:rsid w:val="00DA7D79"/>
    <w:rsid w:val="00DB00FE"/>
    <w:rsid w:val="00DB11F0"/>
    <w:rsid w:val="00DB3676"/>
    <w:rsid w:val="00DB5663"/>
    <w:rsid w:val="00DB5996"/>
    <w:rsid w:val="00DC54BC"/>
    <w:rsid w:val="00DC65B1"/>
    <w:rsid w:val="00DC684A"/>
    <w:rsid w:val="00DD04FF"/>
    <w:rsid w:val="00DD0960"/>
    <w:rsid w:val="00DD2422"/>
    <w:rsid w:val="00DD5000"/>
    <w:rsid w:val="00DD6F7F"/>
    <w:rsid w:val="00DD729C"/>
    <w:rsid w:val="00DE12F4"/>
    <w:rsid w:val="00DE5D6A"/>
    <w:rsid w:val="00DE68C9"/>
    <w:rsid w:val="00DF1A26"/>
    <w:rsid w:val="00DF63F1"/>
    <w:rsid w:val="00E03DE3"/>
    <w:rsid w:val="00E04FD9"/>
    <w:rsid w:val="00E052F4"/>
    <w:rsid w:val="00E1070E"/>
    <w:rsid w:val="00E10BBE"/>
    <w:rsid w:val="00E15CAA"/>
    <w:rsid w:val="00E16F3B"/>
    <w:rsid w:val="00E1764C"/>
    <w:rsid w:val="00E24425"/>
    <w:rsid w:val="00E24E8C"/>
    <w:rsid w:val="00E26BF2"/>
    <w:rsid w:val="00E27636"/>
    <w:rsid w:val="00E2778A"/>
    <w:rsid w:val="00E34F23"/>
    <w:rsid w:val="00E35A59"/>
    <w:rsid w:val="00E36FDC"/>
    <w:rsid w:val="00E41203"/>
    <w:rsid w:val="00E51AB4"/>
    <w:rsid w:val="00E51ABC"/>
    <w:rsid w:val="00E536BA"/>
    <w:rsid w:val="00E53765"/>
    <w:rsid w:val="00E578AD"/>
    <w:rsid w:val="00E7609A"/>
    <w:rsid w:val="00E76467"/>
    <w:rsid w:val="00E77DA9"/>
    <w:rsid w:val="00E805B0"/>
    <w:rsid w:val="00E82955"/>
    <w:rsid w:val="00E92EB4"/>
    <w:rsid w:val="00E9427E"/>
    <w:rsid w:val="00E94ED2"/>
    <w:rsid w:val="00E96852"/>
    <w:rsid w:val="00E9794A"/>
    <w:rsid w:val="00EA01CF"/>
    <w:rsid w:val="00EA0BF7"/>
    <w:rsid w:val="00EA1696"/>
    <w:rsid w:val="00EA3DAC"/>
    <w:rsid w:val="00EA541A"/>
    <w:rsid w:val="00EA599F"/>
    <w:rsid w:val="00EB0590"/>
    <w:rsid w:val="00EB07AE"/>
    <w:rsid w:val="00EB0974"/>
    <w:rsid w:val="00EB3105"/>
    <w:rsid w:val="00EB7E8B"/>
    <w:rsid w:val="00EC5193"/>
    <w:rsid w:val="00EC683A"/>
    <w:rsid w:val="00EC717E"/>
    <w:rsid w:val="00ED08E3"/>
    <w:rsid w:val="00ED289C"/>
    <w:rsid w:val="00EE291B"/>
    <w:rsid w:val="00EF3DBF"/>
    <w:rsid w:val="00EF486A"/>
    <w:rsid w:val="00EF5FF1"/>
    <w:rsid w:val="00F06871"/>
    <w:rsid w:val="00F06896"/>
    <w:rsid w:val="00F07A29"/>
    <w:rsid w:val="00F161C5"/>
    <w:rsid w:val="00F1696E"/>
    <w:rsid w:val="00F20D1E"/>
    <w:rsid w:val="00F20D6F"/>
    <w:rsid w:val="00F21378"/>
    <w:rsid w:val="00F230AE"/>
    <w:rsid w:val="00F25110"/>
    <w:rsid w:val="00F268F6"/>
    <w:rsid w:val="00F30F80"/>
    <w:rsid w:val="00F32253"/>
    <w:rsid w:val="00F32443"/>
    <w:rsid w:val="00F3421B"/>
    <w:rsid w:val="00F359D4"/>
    <w:rsid w:val="00F36BDB"/>
    <w:rsid w:val="00F40936"/>
    <w:rsid w:val="00F44AAB"/>
    <w:rsid w:val="00F45DC3"/>
    <w:rsid w:val="00F46C13"/>
    <w:rsid w:val="00F536EF"/>
    <w:rsid w:val="00F60222"/>
    <w:rsid w:val="00F627D2"/>
    <w:rsid w:val="00F65842"/>
    <w:rsid w:val="00F65B32"/>
    <w:rsid w:val="00F65E88"/>
    <w:rsid w:val="00F75006"/>
    <w:rsid w:val="00F858FC"/>
    <w:rsid w:val="00F87C22"/>
    <w:rsid w:val="00F92AB5"/>
    <w:rsid w:val="00F933BC"/>
    <w:rsid w:val="00F9493F"/>
    <w:rsid w:val="00F97097"/>
    <w:rsid w:val="00FA096A"/>
    <w:rsid w:val="00FA1B0D"/>
    <w:rsid w:val="00FA1D91"/>
    <w:rsid w:val="00FA2A36"/>
    <w:rsid w:val="00FA7286"/>
    <w:rsid w:val="00FA7768"/>
    <w:rsid w:val="00FB0978"/>
    <w:rsid w:val="00FB3AD0"/>
    <w:rsid w:val="00FB51C6"/>
    <w:rsid w:val="00FB5521"/>
    <w:rsid w:val="00FB7170"/>
    <w:rsid w:val="00FC01BB"/>
    <w:rsid w:val="00FC2ACA"/>
    <w:rsid w:val="00FC4EFD"/>
    <w:rsid w:val="00FD1F8B"/>
    <w:rsid w:val="00FD5234"/>
    <w:rsid w:val="00FE1740"/>
    <w:rsid w:val="00FE2C7D"/>
    <w:rsid w:val="00FE4660"/>
    <w:rsid w:val="00FE65BB"/>
    <w:rsid w:val="00FF3A70"/>
    <w:rsid w:val="00FF687A"/>
    <w:rsid w:val="329DA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D84AF3A"/>
  <w15:docId w15:val="{33D2629D-5292-41A3-8022-87AB18F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21"/>
    <w:rPr>
      <w:rFonts w:ascii="Times New Roman" w:eastAsiaTheme="minorHAnsi"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8D4B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21"/>
    <w:pPr>
      <w:tabs>
        <w:tab w:val="center" w:pos="4320"/>
        <w:tab w:val="right" w:pos="8640"/>
      </w:tabs>
    </w:pPr>
  </w:style>
  <w:style w:type="character" w:customStyle="1" w:styleId="HeaderChar">
    <w:name w:val="Header Char"/>
    <w:basedOn w:val="DefaultParagraphFont"/>
    <w:link w:val="Header"/>
    <w:uiPriority w:val="99"/>
    <w:rsid w:val="0006192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061921"/>
    <w:pPr>
      <w:tabs>
        <w:tab w:val="center" w:pos="4320"/>
        <w:tab w:val="right" w:pos="8640"/>
      </w:tabs>
    </w:pPr>
  </w:style>
  <w:style w:type="character" w:customStyle="1" w:styleId="FooterChar">
    <w:name w:val="Footer Char"/>
    <w:basedOn w:val="DefaultParagraphFont"/>
    <w:link w:val="Footer"/>
    <w:uiPriority w:val="99"/>
    <w:rsid w:val="00061921"/>
    <w:rPr>
      <w:rFonts w:ascii="Times New Roman" w:eastAsiaTheme="minorHAnsi" w:hAnsi="Times New Roman" w:cs="Times New Roman"/>
      <w:sz w:val="24"/>
      <w:szCs w:val="24"/>
      <w:lang w:eastAsia="en-US"/>
    </w:rPr>
  </w:style>
  <w:style w:type="paragraph" w:styleId="Subtitle">
    <w:name w:val="Subtitle"/>
    <w:basedOn w:val="Normal"/>
    <w:next w:val="Normal"/>
    <w:link w:val="SubtitleChar"/>
    <w:qFormat/>
    <w:rsid w:val="00061921"/>
    <w:pPr>
      <w:widowControl w:val="0"/>
      <w:autoSpaceDE w:val="0"/>
      <w:autoSpaceDN w:val="0"/>
      <w:adjustRightInd w:val="0"/>
    </w:pPr>
    <w:rPr>
      <w:rFonts w:ascii="TimesNewRoman" w:eastAsia="Times New Roman" w:hAnsi="TimesNewRoman"/>
      <w:szCs w:val="20"/>
    </w:rPr>
  </w:style>
  <w:style w:type="character" w:customStyle="1" w:styleId="SubtitleChar">
    <w:name w:val="Subtitle Char"/>
    <w:basedOn w:val="DefaultParagraphFont"/>
    <w:link w:val="Subtitle"/>
    <w:rsid w:val="00061921"/>
    <w:rPr>
      <w:rFonts w:ascii="TimesNewRoman" w:eastAsia="Times New Roman" w:hAnsi="TimesNewRoman" w:cs="Times New Roman"/>
      <w:sz w:val="24"/>
      <w:lang w:eastAsia="en-US"/>
    </w:rPr>
  </w:style>
  <w:style w:type="paragraph" w:styleId="ListParagraph">
    <w:name w:val="List Paragraph"/>
    <w:basedOn w:val="Normal"/>
    <w:uiPriority w:val="34"/>
    <w:qFormat/>
    <w:rsid w:val="004422D6"/>
    <w:pPr>
      <w:ind w:left="720"/>
      <w:contextualSpacing/>
    </w:pPr>
  </w:style>
  <w:style w:type="paragraph" w:styleId="BalloonText">
    <w:name w:val="Balloon Text"/>
    <w:basedOn w:val="Normal"/>
    <w:link w:val="BalloonTextChar"/>
    <w:uiPriority w:val="99"/>
    <w:semiHidden/>
    <w:unhideWhenUsed/>
    <w:rsid w:val="00BC6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2F2"/>
    <w:rPr>
      <w:rFonts w:ascii="Lucida Grande" w:eastAsiaTheme="minorHAnsi" w:hAnsi="Lucida Grande" w:cs="Times New Roman"/>
      <w:sz w:val="18"/>
      <w:szCs w:val="18"/>
      <w:lang w:eastAsia="en-US"/>
    </w:rPr>
  </w:style>
  <w:style w:type="character" w:styleId="CommentReference">
    <w:name w:val="annotation reference"/>
    <w:basedOn w:val="DefaultParagraphFont"/>
    <w:uiPriority w:val="99"/>
    <w:semiHidden/>
    <w:unhideWhenUsed/>
    <w:rsid w:val="00BC62F2"/>
    <w:rPr>
      <w:sz w:val="18"/>
      <w:szCs w:val="18"/>
    </w:rPr>
  </w:style>
  <w:style w:type="paragraph" w:styleId="CommentText">
    <w:name w:val="annotation text"/>
    <w:basedOn w:val="Normal"/>
    <w:link w:val="CommentTextChar"/>
    <w:uiPriority w:val="99"/>
    <w:semiHidden/>
    <w:unhideWhenUsed/>
    <w:rsid w:val="00BC62F2"/>
  </w:style>
  <w:style w:type="character" w:customStyle="1" w:styleId="CommentTextChar">
    <w:name w:val="Comment Text Char"/>
    <w:basedOn w:val="DefaultParagraphFont"/>
    <w:link w:val="CommentText"/>
    <w:uiPriority w:val="99"/>
    <w:semiHidden/>
    <w:rsid w:val="00BC62F2"/>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C62F2"/>
    <w:rPr>
      <w:b/>
      <w:bCs/>
      <w:sz w:val="20"/>
      <w:szCs w:val="20"/>
    </w:rPr>
  </w:style>
  <w:style w:type="character" w:customStyle="1" w:styleId="CommentSubjectChar">
    <w:name w:val="Comment Subject Char"/>
    <w:basedOn w:val="CommentTextChar"/>
    <w:link w:val="CommentSubject"/>
    <w:uiPriority w:val="99"/>
    <w:semiHidden/>
    <w:rsid w:val="00BC62F2"/>
    <w:rPr>
      <w:rFonts w:ascii="Times New Roman" w:eastAsiaTheme="minorHAnsi" w:hAnsi="Times New Roman" w:cs="Times New Roman"/>
      <w:b/>
      <w:bCs/>
      <w:sz w:val="24"/>
      <w:szCs w:val="24"/>
      <w:lang w:eastAsia="en-US"/>
    </w:rPr>
  </w:style>
  <w:style w:type="paragraph" w:styleId="FootnoteText">
    <w:name w:val="footnote text"/>
    <w:basedOn w:val="Normal"/>
    <w:link w:val="FootnoteTextChar"/>
    <w:uiPriority w:val="99"/>
    <w:unhideWhenUsed/>
    <w:rsid w:val="0008415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08415B"/>
    <w:rPr>
      <w:sz w:val="24"/>
      <w:szCs w:val="24"/>
    </w:rPr>
  </w:style>
  <w:style w:type="character" w:styleId="FootnoteReference">
    <w:name w:val="footnote reference"/>
    <w:basedOn w:val="DefaultParagraphFont"/>
    <w:uiPriority w:val="99"/>
    <w:unhideWhenUsed/>
    <w:rsid w:val="0008415B"/>
    <w:rPr>
      <w:vertAlign w:val="superscript"/>
    </w:rPr>
  </w:style>
  <w:style w:type="character" w:styleId="LineNumber">
    <w:name w:val="line number"/>
    <w:basedOn w:val="DefaultParagraphFont"/>
    <w:uiPriority w:val="99"/>
    <w:semiHidden/>
    <w:unhideWhenUsed/>
    <w:rsid w:val="00C979D6"/>
  </w:style>
  <w:style w:type="paragraph" w:customStyle="1" w:styleId="question">
    <w:name w:val="question"/>
    <w:basedOn w:val="Normal"/>
    <w:next w:val="Normal"/>
    <w:link w:val="questionChar"/>
    <w:uiPriority w:val="99"/>
    <w:rsid w:val="00367AFD"/>
    <w:pPr>
      <w:keepNext/>
      <w:spacing w:before="240" w:after="120" w:line="480" w:lineRule="auto"/>
      <w:ind w:left="720" w:hanging="720"/>
    </w:pPr>
    <w:rPr>
      <w:rFonts w:eastAsia="Times New Roman"/>
      <w:b/>
      <w:szCs w:val="20"/>
      <w:lang w:eastAsia="zh-CN"/>
    </w:rPr>
  </w:style>
  <w:style w:type="character" w:customStyle="1" w:styleId="questionChar">
    <w:name w:val="question Char"/>
    <w:basedOn w:val="DefaultParagraphFont"/>
    <w:link w:val="question"/>
    <w:uiPriority w:val="99"/>
    <w:locked/>
    <w:rsid w:val="00367AFD"/>
    <w:rPr>
      <w:rFonts w:ascii="Times New Roman" w:eastAsia="Times New Roman" w:hAnsi="Times New Roman" w:cs="Times New Roman"/>
      <w:b/>
      <w:sz w:val="24"/>
      <w:lang w:eastAsia="zh-CN"/>
    </w:rPr>
  </w:style>
  <w:style w:type="character" w:customStyle="1" w:styleId="Heading2Char">
    <w:name w:val="Heading 2 Char"/>
    <w:basedOn w:val="DefaultParagraphFont"/>
    <w:link w:val="Heading2"/>
    <w:uiPriority w:val="9"/>
    <w:semiHidden/>
    <w:rsid w:val="008D4B4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4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E751C1E-C767-497F-BC6E-AF3B6DE574EA}">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6a7bd91e-004b-490a-8704-e368d63d59a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D4C7B1-9325-4A51-9442-7ABE40CC6B5E}">
  <ds:schemaRefs>
    <ds:schemaRef ds:uri="http://schemas.microsoft.com/sharepoint/v3/contenttype/forms"/>
  </ds:schemaRefs>
</ds:datastoreItem>
</file>

<file path=customXml/itemProps3.xml><?xml version="1.0" encoding="utf-8"?>
<ds:datastoreItem xmlns:ds="http://schemas.openxmlformats.org/officeDocument/2006/customXml" ds:itemID="{2817992B-B671-4D25-A52B-F0B3B074CAB0}"/>
</file>

<file path=customXml/itemProps4.xml><?xml version="1.0" encoding="utf-8"?>
<ds:datastoreItem xmlns:ds="http://schemas.openxmlformats.org/officeDocument/2006/customXml" ds:itemID="{A8DC0646-1114-460A-A59A-D2AE69A2F519}">
  <ds:schemaRefs>
    <ds:schemaRef ds:uri="http://schemas.openxmlformats.org/officeDocument/2006/bibliography"/>
  </ds:schemaRefs>
</ds:datastoreItem>
</file>

<file path=customXml/itemProps5.xml><?xml version="1.0" encoding="utf-8"?>
<ds:datastoreItem xmlns:ds="http://schemas.openxmlformats.org/officeDocument/2006/customXml" ds:itemID="{592C7611-799A-4C39-B02B-DF1F6713D9B1}"/>
</file>

<file path=docProps/app.xml><?xml version="1.0" encoding="utf-8"?>
<Properties xmlns="http://schemas.openxmlformats.org/officeDocument/2006/extended-properties" xmlns:vt="http://schemas.openxmlformats.org/officeDocument/2006/docPropsVTypes">
  <Template>Normal</Template>
  <TotalTime>0</TotalTime>
  <Pages>34</Pages>
  <Words>6954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46500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Collins</dc:creator>
  <cp:lastModifiedBy>Huff, Ashley (UTC)</cp:lastModifiedBy>
  <cp:revision>2</cp:revision>
  <cp:lastPrinted>2017-06-29T23:48:00Z</cp:lastPrinted>
  <dcterms:created xsi:type="dcterms:W3CDTF">2017-07-03T21:03:00Z</dcterms:created>
  <dcterms:modified xsi:type="dcterms:W3CDTF">2017-07-03T21:03:00Z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0x0101006E56B4D1795A2E4DB2F0B01679ED314A00718D2FBB09848246B6FD4A5A815592E3</vt:lpwstr>
  </property>
  <property fmtid="{D5CDD505-2E9C-101B-9397-08002B2CF9AE}" pid="4" name="_docset_NoMedatataSyncRequired">
    <vt:lpwstr>False</vt:lpwstr>
  </property>
  <property fmtid="{D5CDD505-2E9C-101B-9397-08002B2CF9AE}" pid="5" name="IsEFSEC">
    <vt:bool>false</vt:bool>
  </property>
</Properties>
</file>