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B6" w:rsidRPr="000C75B6" w:rsidRDefault="000C75B6" w:rsidP="000C75B6">
      <w:pPr>
        <w:jc w:val="both"/>
        <w:rPr>
          <w:rFonts w:ascii="Arial" w:hAnsi="Arial" w:cs="Arial"/>
          <w:sz w:val="20"/>
        </w:rPr>
      </w:pPr>
      <w:bookmarkStart w:id="0" w:name="_GoBack"/>
      <w:bookmarkEnd w:id="0"/>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In all territory served by Company in the State of Washington.</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To Customers desiring service for irrigation and soil drainage pumping installations only.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6229350</wp:posOffset>
                </wp:positionH>
                <wp:positionV relativeFrom="paragraph">
                  <wp:posOffset>389890</wp:posOffset>
                </wp:positionV>
                <wp:extent cx="676275" cy="3619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026BEC" w:rsidRDefault="00026BEC">
                            <w:pPr>
                              <w:rPr>
                                <w:rFonts w:ascii="Arial" w:hAnsi="Arial" w:cs="Arial"/>
                                <w:sz w:val="20"/>
                              </w:rPr>
                            </w:pPr>
                          </w:p>
                          <w:p w:rsidR="00026BEC" w:rsidRDefault="00026BE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7F91B" id="_x0000_t202" coordsize="21600,21600" o:spt="202" path="m,l,21600r21600,l21600,xe">
                <v:stroke joinstyle="miter"/>
                <v:path gradientshapeok="t" o:connecttype="rect"/>
              </v:shapetype>
              <v:shape id="Text Box 2" o:spid="_x0000_s1026" type="#_x0000_t202" style="position:absolute;left:0;text-align:left;margin-left:490.5pt;margin-top:30.7pt;width:53.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8ktw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" filled="f" stroked="f">
                <v:textbo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r>
                        <w:rPr>
                          <w:rFonts w:ascii="Arial" w:hAnsi="Arial" w:cs="Arial"/>
                          <w:sz w:val="20"/>
                        </w:rPr>
                        <w:t>(I)</w:t>
                      </w: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3E388C" w:rsidP="003E388C">
                      <w:pPr>
                        <w:rPr>
                          <w:rFonts w:ascii="Arial" w:hAnsi="Arial" w:cs="Arial"/>
                          <w:sz w:val="20"/>
                        </w:rPr>
                      </w:pPr>
                      <w:r>
                        <w:rPr>
                          <w:rFonts w:ascii="Arial" w:hAnsi="Arial" w:cs="Arial"/>
                          <w:sz w:val="20"/>
                        </w:rPr>
                        <w:t>(I)</w:t>
                      </w:r>
                    </w:p>
                    <w:p w:rsidR="00026BEC" w:rsidRDefault="00026BEC">
                      <w:pPr>
                        <w:rPr>
                          <w:rFonts w:ascii="Arial" w:hAnsi="Arial" w:cs="Arial"/>
                          <w:sz w:val="20"/>
                        </w:rPr>
                      </w:pPr>
                    </w:p>
                    <w:p w:rsidR="00026BEC" w:rsidRDefault="00026BEC">
                      <w:pPr>
                        <w:rPr>
                          <w:rFonts w:ascii="Arial" w:hAnsi="Arial" w:cs="Arial"/>
                          <w:sz w:val="20"/>
                        </w:rPr>
                      </w:pPr>
                    </w:p>
                  </w:txbxContent>
                </v:textbox>
              </v:shape>
            </w:pict>
          </mc:Fallback>
        </mc:AlternateContent>
      </w:r>
      <w:r w:rsidR="000C75B6"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00CF7CEB">
        <w:rPr>
          <w:rFonts w:ascii="Arial" w:hAnsi="Arial" w:cs="Arial"/>
          <w:sz w:val="20"/>
        </w:rPr>
        <w:t>$26.02</w:t>
      </w:r>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CF7CEB">
        <w:rPr>
          <w:rFonts w:ascii="Arial" w:hAnsi="Arial" w:cs="Arial"/>
          <w:sz w:val="20"/>
        </w:rPr>
        <w:t>78.06</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r w:rsidR="00CF7CEB">
        <w:rPr>
          <w:rFonts w:ascii="Arial" w:hAnsi="Arial" w:cs="Arial"/>
          <w:sz w:val="20"/>
        </w:rPr>
        <w:t>26.02</w:t>
      </w:r>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CF7CEB">
        <w:rPr>
          <w:rFonts w:ascii="Arial" w:hAnsi="Arial" w:cs="Arial"/>
          <w:sz w:val="20"/>
        </w:rPr>
        <w:t>156.12</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r w:rsidR="00CF7CEB">
        <w:rPr>
          <w:rFonts w:ascii="Arial" w:hAnsi="Arial" w:cs="Arial"/>
          <w:sz w:val="20"/>
        </w:rPr>
        <w:t>3</w:t>
      </w:r>
      <w:r w:rsidR="00B1425B">
        <w:rPr>
          <w:rFonts w:ascii="Arial" w:hAnsi="Arial" w:cs="Arial"/>
          <w:sz w:val="20"/>
        </w:rPr>
        <w:t>70</w:t>
      </w:r>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18.10</w:t>
      </w:r>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r w:rsidR="00CF7CEB">
        <w:rPr>
          <w:rFonts w:ascii="Arial" w:hAnsi="Arial" w:cs="Arial"/>
          <w:sz w:val="20"/>
        </w:rPr>
        <w:t>1,504</w:t>
      </w:r>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14.1</w:t>
      </w:r>
      <w:r w:rsidR="008A2E5D">
        <w:rPr>
          <w:rFonts w:ascii="Arial" w:hAnsi="Arial" w:cs="Arial"/>
          <w:sz w:val="20"/>
        </w:rPr>
        <w:t>6</w:t>
      </w:r>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8A2E5D" w:rsidP="000C75B6">
      <w:pPr>
        <w:ind w:left="720" w:firstLine="720"/>
        <w:rPr>
          <w:rFonts w:ascii="Arial" w:hAnsi="Arial" w:cs="Arial"/>
          <w:sz w:val="20"/>
        </w:rPr>
      </w:pPr>
      <w:r>
        <w:rPr>
          <w:rFonts w:ascii="Arial" w:hAnsi="Arial" w:cs="Arial"/>
          <w:sz w:val="20"/>
        </w:rPr>
        <w:t>7.035</w:t>
      </w:r>
      <w:r w:rsidR="000C75B6" w:rsidRPr="000C75B6">
        <w:rPr>
          <w:rFonts w:ascii="Arial" w:hAnsi="Arial" w:cs="Arial"/>
          <w:sz w:val="20"/>
        </w:rPr>
        <w:t>¢</w:t>
      </w:r>
      <w:r w:rsidR="000C75B6" w:rsidRPr="000C75B6">
        <w:rPr>
          <w:rFonts w:ascii="Arial" w:hAnsi="Arial" w:cs="Arial"/>
          <w:sz w:val="20"/>
        </w:rPr>
        <w:tab/>
        <w:t>per kWh for all kWh</w:t>
      </w:r>
    </w:p>
    <w:sectPr w:rsidR="00F07160" w:rsidRPr="000C75B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A2E5D">
      <w:rPr>
        <w:rFonts w:ascii="Arial" w:hAnsi="Arial" w:cs="Arial"/>
        <w:sz w:val="20"/>
      </w:rPr>
      <w:t>October 3</w:t>
    </w:r>
    <w:r w:rsidR="00422793">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8A2E5D">
      <w:rPr>
        <w:rFonts w:ascii="Arial" w:hAnsi="Arial" w:cs="Arial"/>
        <w:sz w:val="20"/>
      </w:rPr>
      <w:t>October 4</w:t>
    </w:r>
    <w:r w:rsidR="00422793">
      <w:rPr>
        <w:rFonts w:ascii="Arial" w:hAnsi="Arial" w:cs="Arial"/>
        <w:sz w:val="20"/>
      </w:rPr>
      <w:t>, 2016</w:t>
    </w:r>
  </w:p>
  <w:p w:rsidR="001B345B" w:rsidRDefault="00C32D27"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1B345B">
      <w:rPr>
        <w:rFonts w:ascii="Arial" w:hAnsi="Arial" w:cs="Arial"/>
        <w:b/>
        <w:sz w:val="20"/>
      </w:rPr>
      <w:t xml:space="preserve"> No.</w:t>
    </w:r>
    <w:r w:rsidR="001B345B">
      <w:rPr>
        <w:rFonts w:ascii="Arial" w:hAnsi="Arial" w:cs="Arial"/>
        <w:sz w:val="20"/>
      </w:rPr>
      <w:t xml:space="preserve"> UE-</w:t>
    </w:r>
    <w:r w:rsidR="00422793">
      <w:rPr>
        <w:rFonts w:ascii="Arial" w:hAnsi="Arial" w:cs="Arial"/>
        <w:sz w:val="20"/>
      </w:rPr>
      <w:t>152253</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60B9587" wp14:editId="45744611">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CFFF"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E8AD0"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22793" w:rsidP="00A91A21">
    <w:pPr>
      <w:tabs>
        <w:tab w:val="left" w:pos="7200"/>
      </w:tabs>
      <w:ind w:right="2160"/>
      <w:jc w:val="right"/>
      <w:rPr>
        <w:rFonts w:ascii="Arial" w:hAnsi="Arial" w:cs="Arial"/>
        <w:sz w:val="20"/>
      </w:rPr>
    </w:pPr>
    <w:r>
      <w:rPr>
        <w:rFonts w:ascii="Arial" w:hAnsi="Arial" w:cs="Arial"/>
        <w:sz w:val="20"/>
      </w:rPr>
      <w:t xml:space="preserve">Fourth </w:t>
    </w:r>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422793">
      <w:rPr>
        <w:rFonts w:ascii="Arial" w:hAnsi="Arial" w:cs="Arial"/>
        <w:sz w:val="20"/>
      </w:rPr>
      <w:t xml:space="preserve">Third </w:t>
    </w:r>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87CF7"/>
    <w:rsid w:val="000A0FF1"/>
    <w:rsid w:val="000B36F4"/>
    <w:rsid w:val="000C75B6"/>
    <w:rsid w:val="000D229A"/>
    <w:rsid w:val="000E3B96"/>
    <w:rsid w:val="00113567"/>
    <w:rsid w:val="00135716"/>
    <w:rsid w:val="001522E7"/>
    <w:rsid w:val="001620F1"/>
    <w:rsid w:val="00172D01"/>
    <w:rsid w:val="00187F29"/>
    <w:rsid w:val="001B345B"/>
    <w:rsid w:val="001C1A71"/>
    <w:rsid w:val="001D4F15"/>
    <w:rsid w:val="001F19AC"/>
    <w:rsid w:val="001F372F"/>
    <w:rsid w:val="0020317F"/>
    <w:rsid w:val="00204381"/>
    <w:rsid w:val="00205735"/>
    <w:rsid w:val="002362C5"/>
    <w:rsid w:val="00266E07"/>
    <w:rsid w:val="002739D8"/>
    <w:rsid w:val="0028207A"/>
    <w:rsid w:val="002972ED"/>
    <w:rsid w:val="002B1262"/>
    <w:rsid w:val="002C1B76"/>
    <w:rsid w:val="002C79BC"/>
    <w:rsid w:val="002D40E8"/>
    <w:rsid w:val="002E41E4"/>
    <w:rsid w:val="002E6C6E"/>
    <w:rsid w:val="00322467"/>
    <w:rsid w:val="00341521"/>
    <w:rsid w:val="0034455A"/>
    <w:rsid w:val="00386678"/>
    <w:rsid w:val="003960AD"/>
    <w:rsid w:val="00396580"/>
    <w:rsid w:val="003E388C"/>
    <w:rsid w:val="003F72C1"/>
    <w:rsid w:val="004043D5"/>
    <w:rsid w:val="00422793"/>
    <w:rsid w:val="00450021"/>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2E5D"/>
    <w:rsid w:val="008A77C7"/>
    <w:rsid w:val="008E7364"/>
    <w:rsid w:val="00920A5D"/>
    <w:rsid w:val="009735C5"/>
    <w:rsid w:val="009B1635"/>
    <w:rsid w:val="009E0C82"/>
    <w:rsid w:val="00A159BB"/>
    <w:rsid w:val="00A261ED"/>
    <w:rsid w:val="00A56D6C"/>
    <w:rsid w:val="00A6775B"/>
    <w:rsid w:val="00A91A21"/>
    <w:rsid w:val="00AA4FC3"/>
    <w:rsid w:val="00AA6EAF"/>
    <w:rsid w:val="00AD4335"/>
    <w:rsid w:val="00AE07BB"/>
    <w:rsid w:val="00AE0A76"/>
    <w:rsid w:val="00AE1E9E"/>
    <w:rsid w:val="00AE7611"/>
    <w:rsid w:val="00AF0EAC"/>
    <w:rsid w:val="00B1425B"/>
    <w:rsid w:val="00B14270"/>
    <w:rsid w:val="00B20EEB"/>
    <w:rsid w:val="00B43CBE"/>
    <w:rsid w:val="00B54432"/>
    <w:rsid w:val="00B569E9"/>
    <w:rsid w:val="00B62CA7"/>
    <w:rsid w:val="00B86CD1"/>
    <w:rsid w:val="00B9409F"/>
    <w:rsid w:val="00BA088F"/>
    <w:rsid w:val="00BE0909"/>
    <w:rsid w:val="00C0493E"/>
    <w:rsid w:val="00C210FD"/>
    <w:rsid w:val="00C32D27"/>
    <w:rsid w:val="00C41918"/>
    <w:rsid w:val="00C41C7D"/>
    <w:rsid w:val="00C60F7D"/>
    <w:rsid w:val="00C91131"/>
    <w:rsid w:val="00CD01ED"/>
    <w:rsid w:val="00CE6692"/>
    <w:rsid w:val="00CF64E6"/>
    <w:rsid w:val="00CF7CEB"/>
    <w:rsid w:val="00D23AB3"/>
    <w:rsid w:val="00D313E0"/>
    <w:rsid w:val="00D45A57"/>
    <w:rsid w:val="00D60206"/>
    <w:rsid w:val="00D71A78"/>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E60A10-FDEA-4980-A741-85013F2E5DA8}">
  <ds:schemaRefs>
    <ds:schemaRef ds:uri="http://schemas.openxmlformats.org/officeDocument/2006/bibliography"/>
  </ds:schemaRefs>
</ds:datastoreItem>
</file>

<file path=customXml/itemProps2.xml><?xml version="1.0" encoding="utf-8"?>
<ds:datastoreItem xmlns:ds="http://schemas.openxmlformats.org/officeDocument/2006/customXml" ds:itemID="{37B5BEBA-91D0-4B56-829B-E750F4F00003}"/>
</file>

<file path=customXml/itemProps3.xml><?xml version="1.0" encoding="utf-8"?>
<ds:datastoreItem xmlns:ds="http://schemas.openxmlformats.org/officeDocument/2006/customXml" ds:itemID="{881ADB3C-9956-4CCE-B6C5-FDA9BD671439}"/>
</file>

<file path=customXml/itemProps4.xml><?xml version="1.0" encoding="utf-8"?>
<ds:datastoreItem xmlns:ds="http://schemas.openxmlformats.org/officeDocument/2006/customXml" ds:itemID="{7EFB7D75-2F95-482A-B3F0-B87F06D06C6C}"/>
</file>

<file path=customXml/itemProps5.xml><?xml version="1.0" encoding="utf-8"?>
<ds:datastoreItem xmlns:ds="http://schemas.openxmlformats.org/officeDocument/2006/customXml" ds:itemID="{A951A8CF-D7E8-48DE-AED7-107FD8EA8D4C}"/>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2016-10-03T17:55:00Z</dcterms:created>
  <dcterms:modified xsi:type="dcterms:W3CDTF">2016-10-03T17:55:00Z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