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418EE" w14:textId="2961CAFB" w:rsidR="00EA3F1B" w:rsidRPr="00A2358C" w:rsidRDefault="00011936" w:rsidP="00B54941">
      <w:pPr>
        <w:pStyle w:val="single"/>
        <w:widowControl w:val="0"/>
        <w:spacing w:before="0" w:line="240" w:lineRule="auto"/>
        <w:ind w:left="5040" w:firstLine="0"/>
        <w:rPr>
          <w:rStyle w:val="Strong"/>
          <w:rFonts w:asciiTheme="majorHAnsi" w:hAnsiTheme="majorHAnsi" w:cstheme="majorHAnsi"/>
          <w:szCs w:val="24"/>
        </w:rPr>
      </w:pPr>
      <w:bookmarkStart w:id="0" w:name="_GoBack"/>
      <w:bookmarkEnd w:id="0"/>
      <w:r>
        <w:rPr>
          <w:rStyle w:val="Strong"/>
          <w:rFonts w:asciiTheme="majorHAnsi" w:hAnsiTheme="majorHAnsi" w:cstheme="majorHAnsi"/>
          <w:szCs w:val="24"/>
        </w:rPr>
        <w:t xml:space="preserve">EXHIBIT </w:t>
      </w:r>
      <w:r w:rsidR="00267092">
        <w:rPr>
          <w:rStyle w:val="Strong"/>
          <w:rFonts w:asciiTheme="majorHAnsi" w:hAnsiTheme="majorHAnsi" w:cstheme="majorHAnsi"/>
          <w:szCs w:val="24"/>
        </w:rPr>
        <w:t>NO. ___ (</w:t>
      </w:r>
      <w:r w:rsidR="00EA3F1B" w:rsidRPr="00A2358C">
        <w:rPr>
          <w:rStyle w:val="Strong"/>
          <w:rFonts w:asciiTheme="majorHAnsi" w:hAnsiTheme="majorHAnsi" w:cstheme="majorHAnsi"/>
          <w:szCs w:val="24"/>
        </w:rPr>
        <w:t>EDH-1</w:t>
      </w:r>
      <w:r w:rsidR="00936E83" w:rsidRPr="00A2358C">
        <w:rPr>
          <w:rStyle w:val="Strong"/>
          <w:rFonts w:asciiTheme="majorHAnsi" w:hAnsiTheme="majorHAnsi" w:cstheme="majorHAnsi"/>
          <w:szCs w:val="24"/>
        </w:rPr>
        <w:t>T</w:t>
      </w:r>
      <w:proofErr w:type="gramStart"/>
      <w:r w:rsidR="00267092">
        <w:rPr>
          <w:rStyle w:val="Strong"/>
          <w:rFonts w:asciiTheme="majorHAnsi" w:hAnsiTheme="majorHAnsi" w:cstheme="majorHAnsi"/>
          <w:szCs w:val="24"/>
        </w:rPr>
        <w:t>)</w:t>
      </w:r>
      <w:proofErr w:type="gramEnd"/>
      <w:r w:rsidR="00EA3F1B" w:rsidRPr="00A2358C">
        <w:rPr>
          <w:rStyle w:val="Strong"/>
          <w:rFonts w:asciiTheme="majorHAnsi" w:hAnsiTheme="majorHAnsi" w:cstheme="majorHAnsi"/>
          <w:szCs w:val="24"/>
        </w:rPr>
        <w:br/>
        <w:t xml:space="preserve">DOCKETS </w:t>
      </w:r>
      <w:r w:rsidR="007F25D0" w:rsidRPr="00A2358C">
        <w:rPr>
          <w:rStyle w:val="Strong"/>
          <w:rFonts w:asciiTheme="majorHAnsi" w:hAnsiTheme="majorHAnsi" w:cstheme="majorHAnsi"/>
          <w:szCs w:val="24"/>
        </w:rPr>
        <w:t>UE-</w:t>
      </w:r>
      <w:r w:rsidR="007F25D0" w:rsidRPr="00A2358C">
        <w:rPr>
          <w:rFonts w:asciiTheme="majorHAnsi" w:hAnsiTheme="majorHAnsi" w:cstheme="majorHAnsi"/>
          <w:b/>
          <w:szCs w:val="24"/>
        </w:rPr>
        <w:t>170033</w:t>
      </w:r>
      <w:r w:rsidR="00EA3F1B" w:rsidRPr="00A2358C">
        <w:rPr>
          <w:rStyle w:val="Strong"/>
          <w:rFonts w:asciiTheme="majorHAnsi" w:hAnsiTheme="majorHAnsi" w:cstheme="majorHAnsi"/>
          <w:szCs w:val="24"/>
        </w:rPr>
        <w:t>/UG-17</w:t>
      </w:r>
      <w:r w:rsidR="007F25D0" w:rsidRPr="00A2358C">
        <w:rPr>
          <w:rStyle w:val="Strong"/>
          <w:rFonts w:asciiTheme="majorHAnsi" w:hAnsiTheme="majorHAnsi" w:cstheme="majorHAnsi"/>
          <w:szCs w:val="24"/>
        </w:rPr>
        <w:t>0034</w:t>
      </w:r>
      <w:r w:rsidR="00EA3F1B" w:rsidRPr="00A2358C">
        <w:rPr>
          <w:rStyle w:val="Strong"/>
          <w:rFonts w:asciiTheme="majorHAnsi" w:hAnsiTheme="majorHAnsi" w:cstheme="majorHAnsi"/>
          <w:szCs w:val="24"/>
        </w:rPr>
        <w:br/>
        <w:t xml:space="preserve">2017 </w:t>
      </w:r>
      <w:r w:rsidR="00B54941">
        <w:rPr>
          <w:rStyle w:val="Strong"/>
          <w:rFonts w:asciiTheme="majorHAnsi" w:hAnsiTheme="majorHAnsi" w:cstheme="majorHAnsi"/>
          <w:szCs w:val="24"/>
        </w:rPr>
        <w:t>PSE GENERAL RATE CASE</w:t>
      </w:r>
      <w:r w:rsidR="00B54941">
        <w:rPr>
          <w:rStyle w:val="Strong"/>
          <w:rFonts w:asciiTheme="majorHAnsi" w:hAnsiTheme="majorHAnsi" w:cstheme="majorHAnsi"/>
          <w:szCs w:val="24"/>
        </w:rPr>
        <w:br/>
        <w:t>WITNESS: </w:t>
      </w:r>
      <w:r w:rsidR="00EA3F1B" w:rsidRPr="00A2358C">
        <w:rPr>
          <w:rFonts w:asciiTheme="majorHAnsi" w:hAnsiTheme="majorHAnsi" w:cstheme="majorHAnsi"/>
          <w:b/>
          <w:color w:val="000000"/>
          <w:szCs w:val="24"/>
        </w:rPr>
        <w:t>EZRA D. HAUSMAN, PH.D.</w:t>
      </w:r>
    </w:p>
    <w:p w14:paraId="49CD32B5" w14:textId="0D0AC187" w:rsidR="00EA3F1B" w:rsidRPr="00A2358C" w:rsidRDefault="00EA3F1B" w:rsidP="00EA3F1B">
      <w:pPr>
        <w:pStyle w:val="center"/>
        <w:keepLines w:val="0"/>
        <w:widowControl w:val="0"/>
        <w:spacing w:before="0" w:line="240" w:lineRule="auto"/>
        <w:rPr>
          <w:rFonts w:asciiTheme="majorHAnsi" w:hAnsiTheme="majorHAnsi" w:cstheme="majorHAnsi"/>
          <w:b/>
          <w:szCs w:val="24"/>
        </w:rPr>
      </w:pPr>
    </w:p>
    <w:p w14:paraId="70AF0466" w14:textId="0548AB47" w:rsidR="00C00DB7" w:rsidRPr="00A2358C" w:rsidRDefault="00C00DB7" w:rsidP="00EA3F1B">
      <w:pPr>
        <w:pStyle w:val="center"/>
        <w:keepLines w:val="0"/>
        <w:widowControl w:val="0"/>
        <w:spacing w:before="0" w:line="240" w:lineRule="auto"/>
        <w:rPr>
          <w:rFonts w:asciiTheme="majorHAnsi" w:hAnsiTheme="majorHAnsi" w:cstheme="majorHAnsi"/>
          <w:b/>
          <w:szCs w:val="24"/>
        </w:rPr>
      </w:pPr>
    </w:p>
    <w:p w14:paraId="4FDF7DC3" w14:textId="4BE879CE" w:rsidR="00C00DB7" w:rsidRPr="00A2358C" w:rsidRDefault="00C00DB7" w:rsidP="00EA3F1B">
      <w:pPr>
        <w:pStyle w:val="center"/>
        <w:keepLines w:val="0"/>
        <w:widowControl w:val="0"/>
        <w:spacing w:before="0" w:line="240" w:lineRule="auto"/>
        <w:rPr>
          <w:rFonts w:asciiTheme="majorHAnsi" w:hAnsiTheme="majorHAnsi" w:cstheme="majorHAnsi"/>
          <w:b/>
          <w:szCs w:val="24"/>
        </w:rPr>
      </w:pPr>
    </w:p>
    <w:p w14:paraId="601F3832" w14:textId="77777777" w:rsidR="00EA3F1B" w:rsidRPr="00A2358C" w:rsidRDefault="00EA3F1B" w:rsidP="007F25D0">
      <w:pPr>
        <w:pStyle w:val="center"/>
        <w:keepLines w:val="0"/>
        <w:widowControl w:val="0"/>
        <w:spacing w:before="0" w:line="240" w:lineRule="auto"/>
        <w:jc w:val="left"/>
        <w:rPr>
          <w:rFonts w:asciiTheme="majorHAnsi" w:hAnsiTheme="majorHAnsi" w:cstheme="majorHAnsi"/>
          <w:b/>
          <w:szCs w:val="24"/>
        </w:rPr>
      </w:pPr>
    </w:p>
    <w:p w14:paraId="28BBCC54"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p>
    <w:p w14:paraId="479A7726"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r w:rsidRPr="00A2358C">
        <w:rPr>
          <w:rFonts w:asciiTheme="majorHAnsi" w:hAnsiTheme="majorHAnsi" w:cstheme="majorHAnsi"/>
          <w:b/>
          <w:szCs w:val="24"/>
        </w:rPr>
        <w:t>BEFORE THE</w:t>
      </w:r>
    </w:p>
    <w:p w14:paraId="0BD9D555"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r w:rsidRPr="00A2358C">
        <w:rPr>
          <w:rFonts w:asciiTheme="majorHAnsi" w:hAnsiTheme="majorHAnsi" w:cstheme="majorHAnsi"/>
          <w:b/>
          <w:szCs w:val="24"/>
        </w:rPr>
        <w:t>WASHINGTON UTILITIES AND TRANSPORTATION COMMISSION</w:t>
      </w:r>
    </w:p>
    <w:p w14:paraId="3ED9E044"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p>
    <w:p w14:paraId="477D67FF"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p>
    <w:p w14:paraId="310B6C91"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EA3F1B" w:rsidRPr="00A2358C" w14:paraId="58CC88B7" w14:textId="77777777" w:rsidTr="002057D2">
        <w:tc>
          <w:tcPr>
            <w:tcW w:w="4536" w:type="dxa"/>
            <w:tcBorders>
              <w:top w:val="nil"/>
              <w:left w:val="nil"/>
            </w:tcBorders>
          </w:tcPr>
          <w:p w14:paraId="1E50C2BB" w14:textId="77777777" w:rsidR="00EA3F1B" w:rsidRPr="00A2358C" w:rsidRDefault="00EA3F1B" w:rsidP="002057D2">
            <w:pPr>
              <w:spacing w:after="240" w:line="240" w:lineRule="auto"/>
              <w:ind w:firstLine="0"/>
              <w:rPr>
                <w:rFonts w:asciiTheme="majorHAnsi" w:hAnsiTheme="majorHAnsi" w:cstheme="majorHAnsi"/>
                <w:b/>
                <w:sz w:val="24"/>
                <w:szCs w:val="24"/>
              </w:rPr>
            </w:pPr>
            <w:r w:rsidRPr="00A2358C">
              <w:rPr>
                <w:rFonts w:asciiTheme="majorHAnsi" w:hAnsiTheme="majorHAnsi" w:cstheme="majorHAnsi"/>
                <w:b/>
                <w:sz w:val="24"/>
                <w:szCs w:val="24"/>
              </w:rPr>
              <w:t>WASHINGTON UTILITIES AND TRANSPORTATION COMMISSION,</w:t>
            </w:r>
          </w:p>
          <w:p w14:paraId="1B4B416C" w14:textId="77777777" w:rsidR="00EA3F1B" w:rsidRPr="00A2358C" w:rsidRDefault="00EA3F1B" w:rsidP="002057D2">
            <w:pPr>
              <w:spacing w:after="240" w:line="240" w:lineRule="auto"/>
              <w:ind w:left="2160" w:firstLine="0"/>
              <w:rPr>
                <w:rFonts w:asciiTheme="majorHAnsi" w:hAnsiTheme="majorHAnsi" w:cstheme="majorHAnsi"/>
                <w:b/>
                <w:sz w:val="24"/>
                <w:szCs w:val="24"/>
              </w:rPr>
            </w:pPr>
            <w:r w:rsidRPr="00A2358C">
              <w:rPr>
                <w:rFonts w:asciiTheme="majorHAnsi" w:hAnsiTheme="majorHAnsi" w:cstheme="majorHAnsi"/>
                <w:b/>
                <w:sz w:val="24"/>
                <w:szCs w:val="24"/>
              </w:rPr>
              <w:t>Complainant,</w:t>
            </w:r>
          </w:p>
          <w:p w14:paraId="31199CA2" w14:textId="77777777" w:rsidR="00EA3F1B" w:rsidRPr="00A2358C" w:rsidRDefault="00EA3F1B" w:rsidP="002057D2">
            <w:pPr>
              <w:spacing w:after="240" w:line="240" w:lineRule="auto"/>
              <w:ind w:left="1440" w:firstLine="0"/>
              <w:rPr>
                <w:rFonts w:asciiTheme="majorHAnsi" w:hAnsiTheme="majorHAnsi" w:cstheme="majorHAnsi"/>
                <w:b/>
                <w:sz w:val="24"/>
                <w:szCs w:val="24"/>
              </w:rPr>
            </w:pPr>
            <w:proofErr w:type="gramStart"/>
            <w:r w:rsidRPr="00A2358C">
              <w:rPr>
                <w:rFonts w:asciiTheme="majorHAnsi" w:hAnsiTheme="majorHAnsi" w:cstheme="majorHAnsi"/>
                <w:b/>
                <w:sz w:val="24"/>
                <w:szCs w:val="24"/>
              </w:rPr>
              <w:t>v</w:t>
            </w:r>
            <w:proofErr w:type="gramEnd"/>
            <w:r w:rsidRPr="00A2358C">
              <w:rPr>
                <w:rFonts w:asciiTheme="majorHAnsi" w:hAnsiTheme="majorHAnsi" w:cstheme="majorHAnsi"/>
                <w:b/>
                <w:sz w:val="24"/>
                <w:szCs w:val="24"/>
              </w:rPr>
              <w:t>.</w:t>
            </w:r>
          </w:p>
          <w:p w14:paraId="3E9AC8DF" w14:textId="77777777" w:rsidR="00EA3F1B" w:rsidRPr="00A2358C" w:rsidRDefault="00EA3F1B" w:rsidP="002057D2">
            <w:pPr>
              <w:spacing w:after="240" w:line="240" w:lineRule="auto"/>
              <w:ind w:firstLine="0"/>
              <w:rPr>
                <w:rFonts w:asciiTheme="majorHAnsi" w:hAnsiTheme="majorHAnsi" w:cstheme="majorHAnsi"/>
                <w:b/>
                <w:sz w:val="24"/>
                <w:szCs w:val="24"/>
              </w:rPr>
            </w:pPr>
            <w:r w:rsidRPr="00A2358C">
              <w:rPr>
                <w:rFonts w:asciiTheme="majorHAnsi" w:hAnsiTheme="majorHAnsi" w:cstheme="majorHAnsi"/>
                <w:b/>
                <w:sz w:val="24"/>
                <w:szCs w:val="24"/>
              </w:rPr>
              <w:t>PUGET SOUND ENERGY,</w:t>
            </w:r>
          </w:p>
          <w:p w14:paraId="5318DA91" w14:textId="77777777" w:rsidR="00EA3F1B" w:rsidRPr="00A2358C" w:rsidRDefault="00EA3F1B" w:rsidP="002057D2">
            <w:pPr>
              <w:spacing w:after="240" w:line="240" w:lineRule="auto"/>
              <w:ind w:left="2160" w:firstLine="0"/>
              <w:rPr>
                <w:rFonts w:asciiTheme="majorHAnsi" w:hAnsiTheme="majorHAnsi" w:cstheme="majorHAnsi"/>
                <w:b/>
                <w:sz w:val="24"/>
                <w:szCs w:val="24"/>
              </w:rPr>
            </w:pPr>
            <w:r w:rsidRPr="00A2358C">
              <w:rPr>
                <w:rFonts w:asciiTheme="majorHAnsi" w:hAnsiTheme="majorHAnsi" w:cstheme="majorHAnsi"/>
                <w:b/>
                <w:sz w:val="24"/>
                <w:szCs w:val="24"/>
              </w:rPr>
              <w:t>Respondent.</w:t>
            </w:r>
          </w:p>
        </w:tc>
        <w:tc>
          <w:tcPr>
            <w:tcW w:w="4545" w:type="dxa"/>
            <w:tcBorders>
              <w:top w:val="nil"/>
              <w:bottom w:val="nil"/>
              <w:right w:val="nil"/>
            </w:tcBorders>
            <w:vAlign w:val="center"/>
          </w:tcPr>
          <w:p w14:paraId="7B85D86B" w14:textId="4599FC18" w:rsidR="00EA3F1B" w:rsidRPr="00A2358C" w:rsidRDefault="007F25D0" w:rsidP="007F25D0">
            <w:pPr>
              <w:keepNext/>
              <w:keepLines/>
              <w:spacing w:after="240" w:line="240" w:lineRule="auto"/>
              <w:ind w:left="324" w:firstLine="0"/>
              <w:jc w:val="center"/>
              <w:rPr>
                <w:rFonts w:asciiTheme="majorHAnsi" w:hAnsiTheme="majorHAnsi" w:cstheme="majorHAnsi"/>
                <w:b/>
                <w:sz w:val="24"/>
                <w:szCs w:val="24"/>
              </w:rPr>
            </w:pPr>
            <w:r w:rsidRPr="00A2358C">
              <w:rPr>
                <w:rFonts w:asciiTheme="majorHAnsi" w:hAnsiTheme="majorHAnsi" w:cstheme="majorHAnsi"/>
                <w:b/>
                <w:sz w:val="24"/>
                <w:szCs w:val="24"/>
              </w:rPr>
              <w:t>Docket UE-170033</w:t>
            </w:r>
            <w:r w:rsidRPr="00A2358C">
              <w:rPr>
                <w:rFonts w:asciiTheme="majorHAnsi" w:hAnsiTheme="majorHAnsi" w:cstheme="majorHAnsi"/>
                <w:b/>
                <w:sz w:val="24"/>
                <w:szCs w:val="24"/>
              </w:rPr>
              <w:br/>
              <w:t>Docket UG-170034</w:t>
            </w:r>
          </w:p>
        </w:tc>
      </w:tr>
    </w:tbl>
    <w:p w14:paraId="39A5BA75" w14:textId="0689697E" w:rsidR="00EA3F1B" w:rsidRPr="00A2358C" w:rsidRDefault="00EA3F1B" w:rsidP="00C00DB7">
      <w:pPr>
        <w:pStyle w:val="center"/>
        <w:keepLines w:val="0"/>
        <w:widowControl w:val="0"/>
        <w:spacing w:before="0" w:line="240" w:lineRule="auto"/>
        <w:jc w:val="left"/>
        <w:rPr>
          <w:rFonts w:asciiTheme="majorHAnsi" w:hAnsiTheme="majorHAnsi" w:cstheme="majorHAnsi"/>
          <w:b/>
          <w:szCs w:val="24"/>
        </w:rPr>
      </w:pPr>
    </w:p>
    <w:p w14:paraId="60A0B7ED" w14:textId="5489BA50" w:rsidR="00C00DB7" w:rsidRPr="00A2358C" w:rsidRDefault="00C00DB7" w:rsidP="00C00DB7">
      <w:pPr>
        <w:pStyle w:val="center"/>
        <w:keepLines w:val="0"/>
        <w:widowControl w:val="0"/>
        <w:spacing w:before="0" w:line="240" w:lineRule="auto"/>
        <w:jc w:val="left"/>
        <w:rPr>
          <w:rFonts w:asciiTheme="majorHAnsi" w:hAnsiTheme="majorHAnsi" w:cstheme="majorHAnsi"/>
          <w:b/>
          <w:szCs w:val="24"/>
        </w:rPr>
      </w:pPr>
    </w:p>
    <w:p w14:paraId="42BD75B7" w14:textId="77777777" w:rsidR="00C00DB7" w:rsidRPr="00A2358C" w:rsidRDefault="00C00DB7" w:rsidP="00C00DB7">
      <w:pPr>
        <w:pStyle w:val="center"/>
        <w:keepLines w:val="0"/>
        <w:widowControl w:val="0"/>
        <w:spacing w:before="0" w:line="240" w:lineRule="auto"/>
        <w:jc w:val="left"/>
        <w:rPr>
          <w:rFonts w:asciiTheme="majorHAnsi" w:hAnsiTheme="majorHAnsi" w:cstheme="majorHAnsi"/>
          <w:b/>
          <w:szCs w:val="24"/>
        </w:rPr>
      </w:pPr>
    </w:p>
    <w:p w14:paraId="25EEFC83"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p>
    <w:p w14:paraId="5C59F78B"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p>
    <w:p w14:paraId="027A740E" w14:textId="7C528308" w:rsidR="00EA3F1B" w:rsidRPr="00A2358C" w:rsidRDefault="007F25D0" w:rsidP="00EA3F1B">
      <w:pPr>
        <w:pStyle w:val="center"/>
        <w:keepLines w:val="0"/>
        <w:widowControl w:val="0"/>
        <w:spacing w:before="0" w:line="240" w:lineRule="auto"/>
        <w:rPr>
          <w:rFonts w:asciiTheme="majorHAnsi" w:hAnsiTheme="majorHAnsi" w:cstheme="majorHAnsi"/>
          <w:b/>
          <w:szCs w:val="24"/>
        </w:rPr>
      </w:pPr>
      <w:r w:rsidRPr="00A2358C">
        <w:rPr>
          <w:rFonts w:asciiTheme="majorHAnsi" w:hAnsiTheme="majorHAnsi" w:cstheme="majorHAnsi"/>
          <w:b/>
          <w:szCs w:val="24"/>
        </w:rPr>
        <w:t>RESPONSE</w:t>
      </w:r>
      <w:r w:rsidR="00EA3F1B" w:rsidRPr="00A2358C">
        <w:rPr>
          <w:rFonts w:asciiTheme="majorHAnsi" w:hAnsiTheme="majorHAnsi" w:cstheme="majorHAnsi"/>
          <w:b/>
          <w:szCs w:val="24"/>
        </w:rPr>
        <w:t xml:space="preserve"> TESTIMONY OF</w:t>
      </w:r>
    </w:p>
    <w:p w14:paraId="2EC2E76C"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p>
    <w:p w14:paraId="0634E5C5" w14:textId="77777777" w:rsidR="00EA3F1B" w:rsidRPr="00A2358C" w:rsidRDefault="00EA3F1B" w:rsidP="00EA3F1B">
      <w:pPr>
        <w:pStyle w:val="center"/>
        <w:keepLines w:val="0"/>
        <w:widowControl w:val="0"/>
        <w:spacing w:before="0" w:line="240" w:lineRule="auto"/>
        <w:rPr>
          <w:rFonts w:asciiTheme="majorHAnsi" w:hAnsiTheme="majorHAnsi" w:cstheme="majorHAnsi"/>
          <w:b/>
          <w:color w:val="000000"/>
          <w:szCs w:val="24"/>
        </w:rPr>
      </w:pPr>
      <w:proofErr w:type="gramStart"/>
      <w:r w:rsidRPr="00A2358C">
        <w:rPr>
          <w:rFonts w:asciiTheme="majorHAnsi" w:hAnsiTheme="majorHAnsi" w:cstheme="majorHAnsi"/>
          <w:b/>
          <w:color w:val="000000"/>
          <w:szCs w:val="24"/>
        </w:rPr>
        <w:t>EZRA D. HAUSMAN, PH.D.</w:t>
      </w:r>
      <w:proofErr w:type="gramEnd"/>
    </w:p>
    <w:p w14:paraId="365F5E48" w14:textId="77777777" w:rsidR="00EA3F1B" w:rsidRPr="00A2358C" w:rsidRDefault="00EA3F1B" w:rsidP="00EA3F1B">
      <w:pPr>
        <w:pStyle w:val="center"/>
        <w:keepLines w:val="0"/>
        <w:widowControl w:val="0"/>
        <w:spacing w:before="0" w:line="240" w:lineRule="auto"/>
        <w:rPr>
          <w:rFonts w:asciiTheme="majorHAnsi" w:hAnsiTheme="majorHAnsi" w:cstheme="majorHAnsi"/>
          <w:b/>
          <w:szCs w:val="24"/>
        </w:rPr>
      </w:pPr>
    </w:p>
    <w:p w14:paraId="03B0ADFA" w14:textId="59DA3E4F" w:rsidR="00EA3F1B" w:rsidRPr="00A2358C" w:rsidRDefault="00EA3F1B" w:rsidP="00EA3F1B">
      <w:pPr>
        <w:pStyle w:val="center"/>
        <w:keepLines w:val="0"/>
        <w:widowControl w:val="0"/>
        <w:spacing w:before="0" w:line="240" w:lineRule="auto"/>
        <w:rPr>
          <w:rFonts w:asciiTheme="majorHAnsi" w:hAnsiTheme="majorHAnsi" w:cstheme="majorHAnsi"/>
          <w:b/>
          <w:szCs w:val="24"/>
        </w:rPr>
      </w:pPr>
      <w:r w:rsidRPr="00A2358C">
        <w:rPr>
          <w:rFonts w:asciiTheme="majorHAnsi" w:hAnsiTheme="majorHAnsi" w:cstheme="majorHAnsi"/>
          <w:b/>
          <w:szCs w:val="24"/>
        </w:rPr>
        <w:t>ON BEHALF OF SIERRA CLUB</w:t>
      </w:r>
    </w:p>
    <w:p w14:paraId="2C0EFDAE" w14:textId="77777777" w:rsidR="00457D8C" w:rsidRPr="00A2358C" w:rsidRDefault="00457D8C">
      <w:pPr>
        <w:pStyle w:val="NoSpacing"/>
        <w:rPr>
          <w:rFonts w:asciiTheme="majorHAnsi" w:hAnsiTheme="majorHAnsi" w:cstheme="majorHAnsi"/>
          <w:sz w:val="24"/>
          <w:szCs w:val="24"/>
        </w:rPr>
      </w:pPr>
    </w:p>
    <w:p w14:paraId="70668DE0" w14:textId="513C37EE" w:rsidR="00C00DB7" w:rsidRPr="00A2358C" w:rsidRDefault="00C00DB7" w:rsidP="00FD7B0F">
      <w:pPr>
        <w:pStyle w:val="Heading1"/>
        <w:numPr>
          <w:ilvl w:val="0"/>
          <w:numId w:val="0"/>
        </w:numPr>
        <w:ind w:left="720"/>
      </w:pPr>
    </w:p>
    <w:p w14:paraId="0E3A7BA2" w14:textId="11B714B1" w:rsidR="00C00DB7" w:rsidRPr="00A2358C" w:rsidRDefault="00C00DB7" w:rsidP="00C00DB7">
      <w:pPr>
        <w:rPr>
          <w:rFonts w:asciiTheme="majorHAnsi" w:hAnsiTheme="majorHAnsi" w:cstheme="majorHAnsi"/>
          <w:sz w:val="24"/>
          <w:szCs w:val="24"/>
        </w:rPr>
      </w:pPr>
    </w:p>
    <w:p w14:paraId="37A1862B" w14:textId="18EE5F52" w:rsidR="00C00DB7" w:rsidRDefault="00C00DB7" w:rsidP="00C00DB7">
      <w:pPr>
        <w:pStyle w:val="center"/>
        <w:keepLines w:val="0"/>
        <w:widowControl w:val="0"/>
        <w:spacing w:before="0" w:line="240" w:lineRule="auto"/>
        <w:rPr>
          <w:rFonts w:asciiTheme="majorHAnsi" w:hAnsiTheme="majorHAnsi" w:cstheme="majorHAnsi"/>
          <w:b/>
          <w:szCs w:val="24"/>
        </w:rPr>
      </w:pPr>
      <w:r w:rsidRPr="00A2358C">
        <w:rPr>
          <w:rFonts w:asciiTheme="majorHAnsi" w:hAnsiTheme="majorHAnsi" w:cstheme="majorHAnsi"/>
          <w:b/>
          <w:szCs w:val="24"/>
        </w:rPr>
        <w:t xml:space="preserve">June </w:t>
      </w:r>
      <w:r w:rsidR="009A48D7" w:rsidRPr="00A2358C">
        <w:rPr>
          <w:rFonts w:asciiTheme="majorHAnsi" w:hAnsiTheme="majorHAnsi" w:cstheme="majorHAnsi"/>
          <w:b/>
          <w:szCs w:val="24"/>
        </w:rPr>
        <w:t>30</w:t>
      </w:r>
      <w:r w:rsidRPr="00A2358C">
        <w:rPr>
          <w:rFonts w:asciiTheme="majorHAnsi" w:hAnsiTheme="majorHAnsi" w:cstheme="majorHAnsi"/>
          <w:b/>
          <w:szCs w:val="24"/>
        </w:rPr>
        <w:t>, 2017</w:t>
      </w:r>
    </w:p>
    <w:p w14:paraId="01F18726" w14:textId="77777777" w:rsidR="00392898" w:rsidRDefault="00392898" w:rsidP="00C00DB7">
      <w:pPr>
        <w:pStyle w:val="center"/>
        <w:keepLines w:val="0"/>
        <w:widowControl w:val="0"/>
        <w:spacing w:before="0" w:line="240" w:lineRule="auto"/>
        <w:rPr>
          <w:rFonts w:asciiTheme="majorHAnsi" w:hAnsiTheme="majorHAnsi" w:cstheme="majorHAnsi"/>
          <w:b/>
          <w:szCs w:val="24"/>
        </w:rPr>
      </w:pPr>
    </w:p>
    <w:p w14:paraId="7A04550A" w14:textId="77777777" w:rsidR="00392898" w:rsidRDefault="00392898" w:rsidP="00C00DB7">
      <w:pPr>
        <w:pStyle w:val="center"/>
        <w:keepLines w:val="0"/>
        <w:widowControl w:val="0"/>
        <w:spacing w:before="0" w:line="240" w:lineRule="auto"/>
        <w:rPr>
          <w:rFonts w:asciiTheme="majorHAnsi" w:hAnsiTheme="majorHAnsi" w:cstheme="majorHAnsi"/>
          <w:b/>
          <w:szCs w:val="24"/>
        </w:rPr>
      </w:pPr>
    </w:p>
    <w:p w14:paraId="09CEDC48" w14:textId="77777777" w:rsidR="00392898" w:rsidRDefault="00392898" w:rsidP="00C00DB7">
      <w:pPr>
        <w:pStyle w:val="center"/>
        <w:keepLines w:val="0"/>
        <w:widowControl w:val="0"/>
        <w:spacing w:before="0" w:line="240" w:lineRule="auto"/>
        <w:rPr>
          <w:rFonts w:asciiTheme="majorHAnsi" w:hAnsiTheme="majorHAnsi" w:cstheme="majorHAnsi"/>
          <w:b/>
          <w:szCs w:val="24"/>
        </w:rPr>
      </w:pPr>
    </w:p>
    <w:p w14:paraId="66617E1F" w14:textId="77777777" w:rsidR="00C2456A" w:rsidRDefault="00C2456A" w:rsidP="00C00DB7">
      <w:pPr>
        <w:pStyle w:val="center"/>
        <w:keepLines w:val="0"/>
        <w:widowControl w:val="0"/>
        <w:spacing w:before="0" w:line="240" w:lineRule="auto"/>
        <w:rPr>
          <w:rFonts w:asciiTheme="majorHAnsi" w:hAnsiTheme="majorHAnsi" w:cstheme="majorHAnsi"/>
          <w:b/>
          <w:szCs w:val="24"/>
        </w:rPr>
        <w:sectPr w:rsidR="00C2456A" w:rsidSect="00C245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pgNumType w:fmt="lowerRoman"/>
          <w:cols w:space="720"/>
          <w:docGrid w:linePitch="360"/>
        </w:sectPr>
      </w:pPr>
    </w:p>
    <w:sdt>
      <w:sdtPr>
        <w:rPr>
          <w:rFonts w:asciiTheme="minorHAnsi" w:eastAsiaTheme="minorEastAsia" w:hAnsiTheme="minorHAnsi" w:cstheme="minorBidi"/>
          <w:b w:val="0"/>
          <w:bCs w:val="0"/>
          <w:color w:val="auto"/>
          <w:sz w:val="20"/>
          <w:szCs w:val="20"/>
        </w:rPr>
        <w:id w:val="652646298"/>
        <w:docPartObj>
          <w:docPartGallery w:val="Table of Contents"/>
          <w:docPartUnique/>
        </w:docPartObj>
      </w:sdtPr>
      <w:sdtEndPr>
        <w:rPr>
          <w:noProof/>
        </w:rPr>
      </w:sdtEndPr>
      <w:sdtContent>
        <w:p w14:paraId="5BA2FBEF" w14:textId="23DDEA54" w:rsidR="00392898" w:rsidRPr="00392898" w:rsidRDefault="00392898" w:rsidP="00C2456A">
          <w:pPr>
            <w:pStyle w:val="TOCHeading"/>
            <w:spacing w:before="0" w:after="240"/>
            <w:jc w:val="center"/>
            <w:rPr>
              <w:color w:val="auto"/>
            </w:rPr>
          </w:pPr>
          <w:r w:rsidRPr="00392898">
            <w:rPr>
              <w:color w:val="auto"/>
            </w:rPr>
            <w:t>Table of Contents</w:t>
          </w:r>
        </w:p>
        <w:p w14:paraId="5919A462" w14:textId="77777777" w:rsidR="00392898" w:rsidRPr="00DC75D8" w:rsidRDefault="00392898" w:rsidP="00DC75D8">
          <w:pPr>
            <w:pStyle w:val="TOC1"/>
            <w:rPr>
              <w:noProof/>
              <w:sz w:val="24"/>
              <w:szCs w:val="24"/>
              <w:lang w:eastAsia="en-US"/>
            </w:rPr>
          </w:pPr>
          <w:r>
            <w:fldChar w:fldCharType="begin"/>
          </w:r>
          <w:r>
            <w:instrText xml:space="preserve"> TOC \o "1-3" \h \z \u </w:instrText>
          </w:r>
          <w:r>
            <w:fldChar w:fldCharType="separate"/>
          </w:r>
          <w:hyperlink w:anchor="_Toc486496054" w:history="1">
            <w:r w:rsidRPr="00DC75D8">
              <w:rPr>
                <w:rStyle w:val="Hyperlink"/>
                <w:noProof/>
                <w:sz w:val="24"/>
                <w:szCs w:val="24"/>
              </w:rPr>
              <w:t>I.</w:t>
            </w:r>
            <w:r w:rsidRPr="00DC75D8">
              <w:rPr>
                <w:noProof/>
                <w:sz w:val="24"/>
                <w:szCs w:val="24"/>
                <w:lang w:eastAsia="en-US"/>
              </w:rPr>
              <w:tab/>
            </w:r>
            <w:r w:rsidRPr="00DC75D8">
              <w:rPr>
                <w:rStyle w:val="Hyperlink"/>
                <w:noProof/>
                <w:sz w:val="24"/>
                <w:szCs w:val="24"/>
              </w:rPr>
              <w:t>Professional Qualifications and Purpose of Testimony</w:t>
            </w:r>
            <w:r w:rsidRPr="00DC75D8">
              <w:rPr>
                <w:noProof/>
                <w:webHidden/>
                <w:sz w:val="24"/>
                <w:szCs w:val="24"/>
              </w:rPr>
              <w:tab/>
            </w:r>
            <w:r w:rsidRPr="00DC75D8">
              <w:rPr>
                <w:noProof/>
                <w:webHidden/>
                <w:sz w:val="24"/>
                <w:szCs w:val="24"/>
              </w:rPr>
              <w:fldChar w:fldCharType="begin"/>
            </w:r>
            <w:r w:rsidRPr="00DC75D8">
              <w:rPr>
                <w:noProof/>
                <w:webHidden/>
                <w:sz w:val="24"/>
                <w:szCs w:val="24"/>
              </w:rPr>
              <w:instrText xml:space="preserve"> PAGEREF _Toc486496054 \h </w:instrText>
            </w:r>
            <w:r w:rsidRPr="00DC75D8">
              <w:rPr>
                <w:noProof/>
                <w:webHidden/>
                <w:sz w:val="24"/>
                <w:szCs w:val="24"/>
              </w:rPr>
            </w:r>
            <w:r w:rsidRPr="00DC75D8">
              <w:rPr>
                <w:noProof/>
                <w:webHidden/>
                <w:sz w:val="24"/>
                <w:szCs w:val="24"/>
              </w:rPr>
              <w:fldChar w:fldCharType="separate"/>
            </w:r>
            <w:r w:rsidR="001B4925">
              <w:rPr>
                <w:noProof/>
                <w:webHidden/>
                <w:sz w:val="24"/>
                <w:szCs w:val="24"/>
              </w:rPr>
              <w:t>1</w:t>
            </w:r>
            <w:r w:rsidRPr="00DC75D8">
              <w:rPr>
                <w:noProof/>
                <w:webHidden/>
                <w:sz w:val="24"/>
                <w:szCs w:val="24"/>
              </w:rPr>
              <w:fldChar w:fldCharType="end"/>
            </w:r>
          </w:hyperlink>
        </w:p>
        <w:p w14:paraId="47C435B8" w14:textId="77777777" w:rsidR="00392898" w:rsidRPr="00DC75D8" w:rsidRDefault="001B4925" w:rsidP="00DC75D8">
          <w:pPr>
            <w:pStyle w:val="TOC1"/>
            <w:rPr>
              <w:noProof/>
              <w:sz w:val="24"/>
              <w:szCs w:val="24"/>
              <w:lang w:eastAsia="en-US"/>
            </w:rPr>
          </w:pPr>
          <w:hyperlink w:anchor="_Toc486496055" w:history="1">
            <w:r w:rsidR="00392898" w:rsidRPr="00DC75D8">
              <w:rPr>
                <w:rStyle w:val="Hyperlink"/>
                <w:noProof/>
                <w:sz w:val="24"/>
                <w:szCs w:val="24"/>
              </w:rPr>
              <w:t>II.</w:t>
            </w:r>
            <w:r w:rsidR="00392898" w:rsidRPr="00DC75D8">
              <w:rPr>
                <w:noProof/>
                <w:sz w:val="24"/>
                <w:szCs w:val="24"/>
                <w:lang w:eastAsia="en-US"/>
              </w:rPr>
              <w:tab/>
            </w:r>
            <w:r w:rsidR="00392898" w:rsidRPr="00DC75D8">
              <w:rPr>
                <w:rStyle w:val="Hyperlink"/>
                <w:noProof/>
                <w:sz w:val="24"/>
                <w:szCs w:val="24"/>
              </w:rPr>
              <w:t>Summary of Conclusions and Recommendations</w:t>
            </w:r>
            <w:r w:rsidR="00392898" w:rsidRPr="00DC75D8">
              <w:rPr>
                <w:noProof/>
                <w:webHidden/>
                <w:sz w:val="24"/>
                <w:szCs w:val="24"/>
              </w:rPr>
              <w:tab/>
            </w:r>
            <w:r w:rsidR="00392898" w:rsidRPr="00DC75D8">
              <w:rPr>
                <w:noProof/>
                <w:webHidden/>
                <w:sz w:val="24"/>
                <w:szCs w:val="24"/>
              </w:rPr>
              <w:fldChar w:fldCharType="begin"/>
            </w:r>
            <w:r w:rsidR="00392898" w:rsidRPr="00DC75D8">
              <w:rPr>
                <w:noProof/>
                <w:webHidden/>
                <w:sz w:val="24"/>
                <w:szCs w:val="24"/>
              </w:rPr>
              <w:instrText xml:space="preserve"> PAGEREF _Toc486496055 \h </w:instrText>
            </w:r>
            <w:r w:rsidR="00392898" w:rsidRPr="00DC75D8">
              <w:rPr>
                <w:noProof/>
                <w:webHidden/>
                <w:sz w:val="24"/>
                <w:szCs w:val="24"/>
              </w:rPr>
            </w:r>
            <w:r w:rsidR="00392898" w:rsidRPr="00DC75D8">
              <w:rPr>
                <w:noProof/>
                <w:webHidden/>
                <w:sz w:val="24"/>
                <w:szCs w:val="24"/>
              </w:rPr>
              <w:fldChar w:fldCharType="separate"/>
            </w:r>
            <w:r>
              <w:rPr>
                <w:noProof/>
                <w:webHidden/>
                <w:sz w:val="24"/>
                <w:szCs w:val="24"/>
              </w:rPr>
              <w:t>3</w:t>
            </w:r>
            <w:r w:rsidR="00392898" w:rsidRPr="00DC75D8">
              <w:rPr>
                <w:noProof/>
                <w:webHidden/>
                <w:sz w:val="24"/>
                <w:szCs w:val="24"/>
              </w:rPr>
              <w:fldChar w:fldCharType="end"/>
            </w:r>
          </w:hyperlink>
        </w:p>
        <w:p w14:paraId="4D4D9FD2" w14:textId="77777777" w:rsidR="00392898" w:rsidRPr="00DC75D8" w:rsidRDefault="001B4925" w:rsidP="00DC75D8">
          <w:pPr>
            <w:pStyle w:val="TOC1"/>
            <w:rPr>
              <w:noProof/>
              <w:sz w:val="24"/>
              <w:szCs w:val="24"/>
              <w:lang w:eastAsia="en-US"/>
            </w:rPr>
          </w:pPr>
          <w:hyperlink w:anchor="_Toc486496056" w:history="1">
            <w:r w:rsidR="00392898" w:rsidRPr="00DC75D8">
              <w:rPr>
                <w:rStyle w:val="Hyperlink"/>
                <w:noProof/>
                <w:sz w:val="24"/>
                <w:szCs w:val="24"/>
              </w:rPr>
              <w:t>III.</w:t>
            </w:r>
            <w:r w:rsidR="00392898" w:rsidRPr="00DC75D8">
              <w:rPr>
                <w:noProof/>
                <w:sz w:val="24"/>
                <w:szCs w:val="24"/>
                <w:lang w:eastAsia="en-US"/>
              </w:rPr>
              <w:tab/>
            </w:r>
            <w:r w:rsidR="00392898" w:rsidRPr="00DC75D8">
              <w:rPr>
                <w:rStyle w:val="Hyperlink"/>
                <w:noProof/>
                <w:sz w:val="24"/>
                <w:szCs w:val="24"/>
              </w:rPr>
              <w:t>Background on the Depreciation Schedules for All Colstrip Units</w:t>
            </w:r>
            <w:r w:rsidR="00392898" w:rsidRPr="00DC75D8">
              <w:rPr>
                <w:noProof/>
                <w:webHidden/>
                <w:sz w:val="24"/>
                <w:szCs w:val="24"/>
              </w:rPr>
              <w:tab/>
            </w:r>
            <w:r w:rsidR="00392898" w:rsidRPr="00DC75D8">
              <w:rPr>
                <w:noProof/>
                <w:webHidden/>
                <w:sz w:val="24"/>
                <w:szCs w:val="24"/>
              </w:rPr>
              <w:fldChar w:fldCharType="begin"/>
            </w:r>
            <w:r w:rsidR="00392898" w:rsidRPr="00DC75D8">
              <w:rPr>
                <w:noProof/>
                <w:webHidden/>
                <w:sz w:val="24"/>
                <w:szCs w:val="24"/>
              </w:rPr>
              <w:instrText xml:space="preserve"> PAGEREF _Toc486496056 \h </w:instrText>
            </w:r>
            <w:r w:rsidR="00392898" w:rsidRPr="00DC75D8">
              <w:rPr>
                <w:noProof/>
                <w:webHidden/>
                <w:sz w:val="24"/>
                <w:szCs w:val="24"/>
              </w:rPr>
            </w:r>
            <w:r w:rsidR="00392898" w:rsidRPr="00DC75D8">
              <w:rPr>
                <w:noProof/>
                <w:webHidden/>
                <w:sz w:val="24"/>
                <w:szCs w:val="24"/>
              </w:rPr>
              <w:fldChar w:fldCharType="separate"/>
            </w:r>
            <w:r>
              <w:rPr>
                <w:noProof/>
                <w:webHidden/>
                <w:sz w:val="24"/>
                <w:szCs w:val="24"/>
              </w:rPr>
              <w:t>7</w:t>
            </w:r>
            <w:r w:rsidR="00392898" w:rsidRPr="00DC75D8">
              <w:rPr>
                <w:noProof/>
                <w:webHidden/>
                <w:sz w:val="24"/>
                <w:szCs w:val="24"/>
              </w:rPr>
              <w:fldChar w:fldCharType="end"/>
            </w:r>
          </w:hyperlink>
        </w:p>
        <w:p w14:paraId="35F91C2C" w14:textId="77777777" w:rsidR="00392898" w:rsidRPr="00DC75D8" w:rsidRDefault="001B4925" w:rsidP="00DC75D8">
          <w:pPr>
            <w:pStyle w:val="TOC1"/>
            <w:rPr>
              <w:noProof/>
              <w:sz w:val="24"/>
              <w:szCs w:val="24"/>
              <w:lang w:eastAsia="en-US"/>
            </w:rPr>
          </w:pPr>
          <w:hyperlink w:anchor="_Toc486496057" w:history="1">
            <w:r w:rsidR="00392898" w:rsidRPr="00DC75D8">
              <w:rPr>
                <w:rStyle w:val="Hyperlink"/>
                <w:noProof/>
                <w:sz w:val="24"/>
                <w:szCs w:val="24"/>
              </w:rPr>
              <w:t>IV.</w:t>
            </w:r>
            <w:r w:rsidR="00392898" w:rsidRPr="00DC75D8">
              <w:rPr>
                <w:noProof/>
                <w:sz w:val="24"/>
                <w:szCs w:val="24"/>
                <w:lang w:eastAsia="en-US"/>
              </w:rPr>
              <w:tab/>
            </w:r>
            <w:r w:rsidR="00392898" w:rsidRPr="00DC75D8">
              <w:rPr>
                <w:rStyle w:val="Hyperlink"/>
                <w:noProof/>
                <w:sz w:val="24"/>
                <w:szCs w:val="24"/>
              </w:rPr>
              <w:t>Colstrip Units 1 and 2 Retirement</w:t>
            </w:r>
            <w:r w:rsidR="00392898" w:rsidRPr="00DC75D8">
              <w:rPr>
                <w:noProof/>
                <w:webHidden/>
                <w:sz w:val="24"/>
                <w:szCs w:val="24"/>
              </w:rPr>
              <w:tab/>
            </w:r>
            <w:r w:rsidR="00392898" w:rsidRPr="00DC75D8">
              <w:rPr>
                <w:noProof/>
                <w:webHidden/>
                <w:sz w:val="24"/>
                <w:szCs w:val="24"/>
              </w:rPr>
              <w:fldChar w:fldCharType="begin"/>
            </w:r>
            <w:r w:rsidR="00392898" w:rsidRPr="00DC75D8">
              <w:rPr>
                <w:noProof/>
                <w:webHidden/>
                <w:sz w:val="24"/>
                <w:szCs w:val="24"/>
              </w:rPr>
              <w:instrText xml:space="preserve"> PAGEREF _Toc486496057 \h </w:instrText>
            </w:r>
            <w:r w:rsidR="00392898" w:rsidRPr="00DC75D8">
              <w:rPr>
                <w:noProof/>
                <w:webHidden/>
                <w:sz w:val="24"/>
                <w:szCs w:val="24"/>
              </w:rPr>
            </w:r>
            <w:r w:rsidR="00392898" w:rsidRPr="00DC75D8">
              <w:rPr>
                <w:noProof/>
                <w:webHidden/>
                <w:sz w:val="24"/>
                <w:szCs w:val="24"/>
              </w:rPr>
              <w:fldChar w:fldCharType="separate"/>
            </w:r>
            <w:r>
              <w:rPr>
                <w:noProof/>
                <w:webHidden/>
                <w:sz w:val="24"/>
                <w:szCs w:val="24"/>
              </w:rPr>
              <w:t>13</w:t>
            </w:r>
            <w:r w:rsidR="00392898" w:rsidRPr="00DC75D8">
              <w:rPr>
                <w:noProof/>
                <w:webHidden/>
                <w:sz w:val="24"/>
                <w:szCs w:val="24"/>
              </w:rPr>
              <w:fldChar w:fldCharType="end"/>
            </w:r>
          </w:hyperlink>
        </w:p>
        <w:p w14:paraId="30BA9881" w14:textId="77777777" w:rsidR="00392898" w:rsidRPr="00DC75D8" w:rsidRDefault="001B4925" w:rsidP="00DC75D8">
          <w:pPr>
            <w:pStyle w:val="TOC1"/>
            <w:rPr>
              <w:noProof/>
              <w:sz w:val="24"/>
              <w:szCs w:val="24"/>
              <w:lang w:eastAsia="en-US"/>
            </w:rPr>
          </w:pPr>
          <w:hyperlink w:anchor="_Toc486496058" w:history="1">
            <w:r w:rsidR="00392898" w:rsidRPr="00DC75D8">
              <w:rPr>
                <w:rStyle w:val="Hyperlink"/>
                <w:noProof/>
                <w:sz w:val="24"/>
                <w:szCs w:val="24"/>
              </w:rPr>
              <w:t>V.</w:t>
            </w:r>
            <w:r w:rsidR="00392898" w:rsidRPr="00DC75D8">
              <w:rPr>
                <w:noProof/>
                <w:sz w:val="24"/>
                <w:szCs w:val="24"/>
                <w:lang w:eastAsia="en-US"/>
              </w:rPr>
              <w:tab/>
            </w:r>
            <w:r w:rsidR="00392898" w:rsidRPr="00DC75D8">
              <w:rPr>
                <w:rStyle w:val="Hyperlink"/>
                <w:noProof/>
                <w:sz w:val="24"/>
                <w:szCs w:val="24"/>
              </w:rPr>
              <w:t>Depreciation Schedule for Colstrip Units 3 and 4</w:t>
            </w:r>
            <w:r w:rsidR="00392898" w:rsidRPr="00DC75D8">
              <w:rPr>
                <w:noProof/>
                <w:webHidden/>
                <w:sz w:val="24"/>
                <w:szCs w:val="24"/>
              </w:rPr>
              <w:tab/>
            </w:r>
            <w:r w:rsidR="00392898" w:rsidRPr="00DC75D8">
              <w:rPr>
                <w:noProof/>
                <w:webHidden/>
                <w:sz w:val="24"/>
                <w:szCs w:val="24"/>
              </w:rPr>
              <w:fldChar w:fldCharType="begin"/>
            </w:r>
            <w:r w:rsidR="00392898" w:rsidRPr="00DC75D8">
              <w:rPr>
                <w:noProof/>
                <w:webHidden/>
                <w:sz w:val="24"/>
                <w:szCs w:val="24"/>
              </w:rPr>
              <w:instrText xml:space="preserve"> PAGEREF _Toc486496058 \h </w:instrText>
            </w:r>
            <w:r w:rsidR="00392898" w:rsidRPr="00DC75D8">
              <w:rPr>
                <w:noProof/>
                <w:webHidden/>
                <w:sz w:val="24"/>
                <w:szCs w:val="24"/>
              </w:rPr>
            </w:r>
            <w:r w:rsidR="00392898" w:rsidRPr="00DC75D8">
              <w:rPr>
                <w:noProof/>
                <w:webHidden/>
                <w:sz w:val="24"/>
                <w:szCs w:val="24"/>
              </w:rPr>
              <w:fldChar w:fldCharType="separate"/>
            </w:r>
            <w:r>
              <w:rPr>
                <w:noProof/>
                <w:webHidden/>
                <w:sz w:val="24"/>
                <w:szCs w:val="24"/>
              </w:rPr>
              <w:t>24</w:t>
            </w:r>
            <w:r w:rsidR="00392898" w:rsidRPr="00DC75D8">
              <w:rPr>
                <w:noProof/>
                <w:webHidden/>
                <w:sz w:val="24"/>
                <w:szCs w:val="24"/>
              </w:rPr>
              <w:fldChar w:fldCharType="end"/>
            </w:r>
          </w:hyperlink>
        </w:p>
        <w:p w14:paraId="01796283" w14:textId="77777777" w:rsidR="00392898" w:rsidRPr="00DC75D8" w:rsidRDefault="001B4925" w:rsidP="00DC75D8">
          <w:pPr>
            <w:pStyle w:val="TOC1"/>
            <w:rPr>
              <w:noProof/>
              <w:sz w:val="24"/>
              <w:szCs w:val="24"/>
              <w:lang w:eastAsia="en-US"/>
            </w:rPr>
          </w:pPr>
          <w:hyperlink w:anchor="_Toc486496059" w:history="1">
            <w:r w:rsidR="00392898" w:rsidRPr="00DC75D8">
              <w:rPr>
                <w:rStyle w:val="Hyperlink"/>
                <w:noProof/>
                <w:sz w:val="24"/>
                <w:szCs w:val="24"/>
              </w:rPr>
              <w:t>VI.</w:t>
            </w:r>
            <w:r w:rsidR="00392898" w:rsidRPr="00DC75D8">
              <w:rPr>
                <w:noProof/>
                <w:sz w:val="24"/>
                <w:szCs w:val="24"/>
                <w:lang w:eastAsia="en-US"/>
              </w:rPr>
              <w:tab/>
            </w:r>
            <w:r w:rsidR="00392898" w:rsidRPr="00DC75D8">
              <w:rPr>
                <w:rStyle w:val="Hyperlink"/>
                <w:noProof/>
                <w:sz w:val="24"/>
                <w:szCs w:val="24"/>
              </w:rPr>
              <w:t>Recommendations</w:t>
            </w:r>
            <w:r w:rsidR="00392898" w:rsidRPr="00DC75D8">
              <w:rPr>
                <w:noProof/>
                <w:webHidden/>
                <w:sz w:val="24"/>
                <w:szCs w:val="24"/>
              </w:rPr>
              <w:tab/>
            </w:r>
            <w:r w:rsidR="00392898" w:rsidRPr="00DC75D8">
              <w:rPr>
                <w:noProof/>
                <w:webHidden/>
                <w:sz w:val="24"/>
                <w:szCs w:val="24"/>
              </w:rPr>
              <w:fldChar w:fldCharType="begin"/>
            </w:r>
            <w:r w:rsidR="00392898" w:rsidRPr="00DC75D8">
              <w:rPr>
                <w:noProof/>
                <w:webHidden/>
                <w:sz w:val="24"/>
                <w:szCs w:val="24"/>
              </w:rPr>
              <w:instrText xml:space="preserve"> PAGEREF _Toc486496059 \h </w:instrText>
            </w:r>
            <w:r w:rsidR="00392898" w:rsidRPr="00DC75D8">
              <w:rPr>
                <w:noProof/>
                <w:webHidden/>
                <w:sz w:val="24"/>
                <w:szCs w:val="24"/>
              </w:rPr>
            </w:r>
            <w:r w:rsidR="00392898" w:rsidRPr="00DC75D8">
              <w:rPr>
                <w:noProof/>
                <w:webHidden/>
                <w:sz w:val="24"/>
                <w:szCs w:val="24"/>
              </w:rPr>
              <w:fldChar w:fldCharType="separate"/>
            </w:r>
            <w:r>
              <w:rPr>
                <w:noProof/>
                <w:webHidden/>
                <w:sz w:val="24"/>
                <w:szCs w:val="24"/>
              </w:rPr>
              <w:t>39</w:t>
            </w:r>
            <w:r w:rsidR="00392898" w:rsidRPr="00DC75D8">
              <w:rPr>
                <w:noProof/>
                <w:webHidden/>
                <w:sz w:val="24"/>
                <w:szCs w:val="24"/>
              </w:rPr>
              <w:fldChar w:fldCharType="end"/>
            </w:r>
          </w:hyperlink>
        </w:p>
        <w:p w14:paraId="16A7DACA" w14:textId="28C4E04E" w:rsidR="00392898" w:rsidRDefault="00392898">
          <w:r>
            <w:rPr>
              <w:b/>
              <w:bCs/>
              <w:noProof/>
            </w:rPr>
            <w:fldChar w:fldCharType="end"/>
          </w:r>
        </w:p>
      </w:sdtContent>
    </w:sdt>
    <w:p w14:paraId="4A92AD35" w14:textId="77777777" w:rsidR="00392898" w:rsidRDefault="00392898" w:rsidP="00C00DB7">
      <w:pPr>
        <w:pStyle w:val="center"/>
        <w:keepLines w:val="0"/>
        <w:widowControl w:val="0"/>
        <w:spacing w:before="0" w:line="240" w:lineRule="auto"/>
        <w:rPr>
          <w:rFonts w:asciiTheme="majorHAnsi" w:hAnsiTheme="majorHAnsi" w:cstheme="majorHAnsi"/>
          <w:b/>
          <w:szCs w:val="24"/>
        </w:rPr>
      </w:pPr>
    </w:p>
    <w:p w14:paraId="31F3630F"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612BF65D"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6E97254D"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377EDACF"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89CF6F7"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58BB2B4F"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F795DC7"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0E0F5A3C" w14:textId="27EBEBBB" w:rsidR="0085237A" w:rsidRDefault="0085237A" w:rsidP="00C00DB7">
      <w:pPr>
        <w:pStyle w:val="center"/>
        <w:keepLines w:val="0"/>
        <w:widowControl w:val="0"/>
        <w:spacing w:before="0" w:line="240" w:lineRule="auto"/>
        <w:rPr>
          <w:rFonts w:asciiTheme="majorHAnsi" w:hAnsiTheme="majorHAnsi" w:cstheme="majorHAnsi"/>
          <w:b/>
          <w:szCs w:val="24"/>
        </w:rPr>
      </w:pPr>
    </w:p>
    <w:p w14:paraId="7E057973"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33111FD2"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32FE9C79"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6CC597FC"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73648A11"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7311A130"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0661A7C0"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6B6D2738"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55869191"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268B5C0B"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4B56C8D8"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5B63DECF"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21678AF6"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C4AB817"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79851116"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00ED64D1"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2E416817"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0C9D5316" w14:textId="2F96EBBF" w:rsidR="00DC75D8" w:rsidRPr="00392898" w:rsidRDefault="00DC75D8" w:rsidP="00DC75D8">
      <w:pPr>
        <w:pStyle w:val="TOCHeading"/>
        <w:spacing w:after="240"/>
        <w:jc w:val="center"/>
        <w:rPr>
          <w:color w:val="auto"/>
        </w:rPr>
      </w:pPr>
      <w:r w:rsidRPr="00392898">
        <w:rPr>
          <w:color w:val="auto"/>
        </w:rPr>
        <w:lastRenderedPageBreak/>
        <w:t xml:space="preserve">Table of </w:t>
      </w:r>
      <w:r>
        <w:rPr>
          <w:color w:val="auto"/>
        </w:rPr>
        <w:t>Figures</w:t>
      </w:r>
    </w:p>
    <w:p w14:paraId="37D11EEA" w14:textId="77777777" w:rsidR="00DC75D8" w:rsidRPr="00DC75D8" w:rsidRDefault="00DC75D8" w:rsidP="00DC75D8">
      <w:pPr>
        <w:pStyle w:val="TableofFigures"/>
        <w:tabs>
          <w:tab w:val="right" w:leader="dot" w:pos="9350"/>
        </w:tabs>
        <w:spacing w:line="240" w:lineRule="auto"/>
        <w:ind w:firstLine="0"/>
        <w:rPr>
          <w:noProof/>
          <w:sz w:val="24"/>
          <w:szCs w:val="24"/>
          <w:lang w:eastAsia="en-US"/>
        </w:rPr>
      </w:pPr>
      <w:r w:rsidRPr="00DC75D8">
        <w:rPr>
          <w:rFonts w:asciiTheme="majorHAnsi" w:hAnsiTheme="majorHAnsi" w:cstheme="majorHAnsi"/>
          <w:sz w:val="24"/>
          <w:szCs w:val="24"/>
        </w:rPr>
        <w:fldChar w:fldCharType="begin"/>
      </w:r>
      <w:r w:rsidRPr="00DC75D8">
        <w:rPr>
          <w:rFonts w:asciiTheme="majorHAnsi" w:hAnsiTheme="majorHAnsi" w:cstheme="majorHAnsi"/>
          <w:sz w:val="24"/>
          <w:szCs w:val="24"/>
        </w:rPr>
        <w:instrText xml:space="preserve"> TOC \h \z \c "Figure" </w:instrText>
      </w:r>
      <w:r w:rsidRPr="00DC75D8">
        <w:rPr>
          <w:rFonts w:asciiTheme="majorHAnsi" w:hAnsiTheme="majorHAnsi" w:cstheme="majorHAnsi"/>
          <w:sz w:val="24"/>
          <w:szCs w:val="24"/>
        </w:rPr>
        <w:fldChar w:fldCharType="separate"/>
      </w:r>
      <w:hyperlink w:anchor="_Toc486501930" w:history="1">
        <w:r w:rsidRPr="00DC75D8">
          <w:rPr>
            <w:rStyle w:val="Hyperlink"/>
            <w:noProof/>
            <w:sz w:val="24"/>
            <w:szCs w:val="24"/>
          </w:rPr>
          <w:t>Figure 1. Comparison of US Department of Energy natural gas price forecasts from 2007 and 2017.</w:t>
        </w:r>
        <w:r w:rsidRPr="00DC75D8">
          <w:rPr>
            <w:noProof/>
            <w:webHidden/>
            <w:sz w:val="24"/>
            <w:szCs w:val="24"/>
          </w:rPr>
          <w:tab/>
        </w:r>
        <w:r w:rsidRPr="00DC75D8">
          <w:rPr>
            <w:noProof/>
            <w:webHidden/>
            <w:sz w:val="24"/>
            <w:szCs w:val="24"/>
          </w:rPr>
          <w:fldChar w:fldCharType="begin"/>
        </w:r>
        <w:r w:rsidRPr="00DC75D8">
          <w:rPr>
            <w:noProof/>
            <w:webHidden/>
            <w:sz w:val="24"/>
            <w:szCs w:val="24"/>
          </w:rPr>
          <w:instrText xml:space="preserve"> PAGEREF _Toc486501930 \h </w:instrText>
        </w:r>
        <w:r w:rsidRPr="00DC75D8">
          <w:rPr>
            <w:noProof/>
            <w:webHidden/>
            <w:sz w:val="24"/>
            <w:szCs w:val="24"/>
          </w:rPr>
        </w:r>
        <w:r w:rsidRPr="00DC75D8">
          <w:rPr>
            <w:noProof/>
            <w:webHidden/>
            <w:sz w:val="24"/>
            <w:szCs w:val="24"/>
          </w:rPr>
          <w:fldChar w:fldCharType="separate"/>
        </w:r>
        <w:r w:rsidR="001B4925">
          <w:rPr>
            <w:noProof/>
            <w:webHidden/>
            <w:sz w:val="24"/>
            <w:szCs w:val="24"/>
          </w:rPr>
          <w:t>26</w:t>
        </w:r>
        <w:r w:rsidRPr="00DC75D8">
          <w:rPr>
            <w:noProof/>
            <w:webHidden/>
            <w:sz w:val="24"/>
            <w:szCs w:val="24"/>
          </w:rPr>
          <w:fldChar w:fldCharType="end"/>
        </w:r>
      </w:hyperlink>
    </w:p>
    <w:p w14:paraId="6C9BC0F6" w14:textId="77777777" w:rsidR="00DC75D8" w:rsidRPr="00DC75D8" w:rsidRDefault="001B4925" w:rsidP="00DC75D8">
      <w:pPr>
        <w:pStyle w:val="TableofFigures"/>
        <w:tabs>
          <w:tab w:val="right" w:leader="dot" w:pos="9350"/>
        </w:tabs>
        <w:spacing w:before="240" w:after="240" w:line="240" w:lineRule="auto"/>
        <w:ind w:firstLine="0"/>
        <w:rPr>
          <w:noProof/>
          <w:sz w:val="24"/>
          <w:szCs w:val="24"/>
          <w:lang w:eastAsia="en-US"/>
        </w:rPr>
      </w:pPr>
      <w:hyperlink w:anchor="_Toc486501931" w:history="1">
        <w:r w:rsidR="00DC75D8" w:rsidRPr="00DC75D8">
          <w:rPr>
            <w:rStyle w:val="Hyperlink"/>
            <w:noProof/>
            <w:sz w:val="24"/>
            <w:szCs w:val="24"/>
          </w:rPr>
          <w:t>Figure 2. Comparison of Forecasts of US Renewable Energy Output from AEO 2007 and AEO 2017.</w:t>
        </w:r>
        <w:r w:rsidR="00DC75D8" w:rsidRPr="00DC75D8">
          <w:rPr>
            <w:noProof/>
            <w:webHidden/>
            <w:sz w:val="24"/>
            <w:szCs w:val="24"/>
          </w:rPr>
          <w:tab/>
        </w:r>
        <w:r w:rsidR="00DC75D8" w:rsidRPr="00DC75D8">
          <w:rPr>
            <w:noProof/>
            <w:webHidden/>
            <w:sz w:val="24"/>
            <w:szCs w:val="24"/>
          </w:rPr>
          <w:fldChar w:fldCharType="begin"/>
        </w:r>
        <w:r w:rsidR="00DC75D8" w:rsidRPr="00DC75D8">
          <w:rPr>
            <w:noProof/>
            <w:webHidden/>
            <w:sz w:val="24"/>
            <w:szCs w:val="24"/>
          </w:rPr>
          <w:instrText xml:space="preserve"> PAGEREF _Toc486501931 \h </w:instrText>
        </w:r>
        <w:r w:rsidR="00DC75D8" w:rsidRPr="00DC75D8">
          <w:rPr>
            <w:noProof/>
            <w:webHidden/>
            <w:sz w:val="24"/>
            <w:szCs w:val="24"/>
          </w:rPr>
        </w:r>
        <w:r w:rsidR="00DC75D8" w:rsidRPr="00DC75D8">
          <w:rPr>
            <w:noProof/>
            <w:webHidden/>
            <w:sz w:val="24"/>
            <w:szCs w:val="24"/>
          </w:rPr>
          <w:fldChar w:fldCharType="separate"/>
        </w:r>
        <w:r>
          <w:rPr>
            <w:noProof/>
            <w:webHidden/>
            <w:sz w:val="24"/>
            <w:szCs w:val="24"/>
          </w:rPr>
          <w:t>30</w:t>
        </w:r>
        <w:r w:rsidR="00DC75D8" w:rsidRPr="00DC75D8">
          <w:rPr>
            <w:noProof/>
            <w:webHidden/>
            <w:sz w:val="24"/>
            <w:szCs w:val="24"/>
          </w:rPr>
          <w:fldChar w:fldCharType="end"/>
        </w:r>
      </w:hyperlink>
    </w:p>
    <w:p w14:paraId="2E4681EC" w14:textId="77777777" w:rsidR="00DC75D8" w:rsidRPr="00DC75D8" w:rsidRDefault="001B4925" w:rsidP="00DC75D8">
      <w:pPr>
        <w:pStyle w:val="TableofFigures"/>
        <w:tabs>
          <w:tab w:val="right" w:leader="dot" w:pos="9350"/>
        </w:tabs>
        <w:spacing w:line="240" w:lineRule="auto"/>
        <w:ind w:firstLine="0"/>
        <w:rPr>
          <w:noProof/>
          <w:sz w:val="24"/>
          <w:szCs w:val="24"/>
          <w:lang w:eastAsia="en-US"/>
        </w:rPr>
      </w:pPr>
      <w:hyperlink w:anchor="_Toc486501932" w:history="1">
        <w:r w:rsidR="00DC75D8" w:rsidRPr="00DC75D8">
          <w:rPr>
            <w:rStyle w:val="Hyperlink"/>
            <w:noProof/>
            <w:sz w:val="24"/>
            <w:szCs w:val="24"/>
          </w:rPr>
          <w:t>Figure 3. Comparison of Forecasts of Total US Electricity Consumption from AEO 2007 and AEO 2017.</w:t>
        </w:r>
        <w:r w:rsidR="00DC75D8" w:rsidRPr="00DC75D8">
          <w:rPr>
            <w:noProof/>
            <w:webHidden/>
            <w:sz w:val="24"/>
            <w:szCs w:val="24"/>
          </w:rPr>
          <w:tab/>
        </w:r>
        <w:r w:rsidR="00DC75D8" w:rsidRPr="00DC75D8">
          <w:rPr>
            <w:noProof/>
            <w:webHidden/>
            <w:sz w:val="24"/>
            <w:szCs w:val="24"/>
          </w:rPr>
          <w:fldChar w:fldCharType="begin"/>
        </w:r>
        <w:r w:rsidR="00DC75D8" w:rsidRPr="00DC75D8">
          <w:rPr>
            <w:noProof/>
            <w:webHidden/>
            <w:sz w:val="24"/>
            <w:szCs w:val="24"/>
          </w:rPr>
          <w:instrText xml:space="preserve"> PAGEREF _Toc486501932 \h </w:instrText>
        </w:r>
        <w:r w:rsidR="00DC75D8" w:rsidRPr="00DC75D8">
          <w:rPr>
            <w:noProof/>
            <w:webHidden/>
            <w:sz w:val="24"/>
            <w:szCs w:val="24"/>
          </w:rPr>
        </w:r>
        <w:r w:rsidR="00DC75D8" w:rsidRPr="00DC75D8">
          <w:rPr>
            <w:noProof/>
            <w:webHidden/>
            <w:sz w:val="24"/>
            <w:szCs w:val="24"/>
          </w:rPr>
          <w:fldChar w:fldCharType="separate"/>
        </w:r>
        <w:r>
          <w:rPr>
            <w:noProof/>
            <w:webHidden/>
            <w:sz w:val="24"/>
            <w:szCs w:val="24"/>
          </w:rPr>
          <w:t>31</w:t>
        </w:r>
        <w:r w:rsidR="00DC75D8" w:rsidRPr="00DC75D8">
          <w:rPr>
            <w:noProof/>
            <w:webHidden/>
            <w:sz w:val="24"/>
            <w:szCs w:val="24"/>
          </w:rPr>
          <w:fldChar w:fldCharType="end"/>
        </w:r>
      </w:hyperlink>
    </w:p>
    <w:p w14:paraId="61F30B6E" w14:textId="77777777" w:rsidR="00DC75D8" w:rsidRPr="00DC75D8" w:rsidRDefault="001B4925" w:rsidP="00DC75D8">
      <w:pPr>
        <w:pStyle w:val="TableofFigures"/>
        <w:tabs>
          <w:tab w:val="right" w:leader="dot" w:pos="9350"/>
        </w:tabs>
        <w:spacing w:before="240" w:line="240" w:lineRule="auto"/>
        <w:ind w:firstLine="0"/>
        <w:rPr>
          <w:noProof/>
          <w:sz w:val="24"/>
          <w:szCs w:val="24"/>
          <w:lang w:eastAsia="en-US"/>
        </w:rPr>
      </w:pPr>
      <w:hyperlink w:anchor="_Toc486501933" w:history="1">
        <w:r w:rsidR="00DC75D8" w:rsidRPr="00DC75D8">
          <w:rPr>
            <w:rStyle w:val="Hyperlink"/>
            <w:noProof/>
            <w:sz w:val="24"/>
            <w:szCs w:val="24"/>
          </w:rPr>
          <w:t xml:space="preserve">Figure 4. </w:t>
        </w:r>
        <w:r w:rsidR="00DC75D8" w:rsidRPr="00DC75D8">
          <w:rPr>
            <w:rStyle w:val="Hyperlink"/>
            <w:rFonts w:asciiTheme="majorHAnsi" w:hAnsiTheme="majorHAnsi" w:cstheme="majorHAnsi"/>
            <w:noProof/>
            <w:sz w:val="24"/>
            <w:szCs w:val="24"/>
          </w:rPr>
          <w:t>Comparison of Forecasts of Total US Electricity Generation from Coal from AEO 2007 and AEO 2017.</w:t>
        </w:r>
        <w:r w:rsidR="00DC75D8" w:rsidRPr="00DC75D8">
          <w:rPr>
            <w:noProof/>
            <w:webHidden/>
            <w:sz w:val="24"/>
            <w:szCs w:val="24"/>
          </w:rPr>
          <w:tab/>
        </w:r>
        <w:r w:rsidR="00DC75D8" w:rsidRPr="00DC75D8">
          <w:rPr>
            <w:noProof/>
            <w:webHidden/>
            <w:sz w:val="24"/>
            <w:szCs w:val="24"/>
          </w:rPr>
          <w:fldChar w:fldCharType="begin"/>
        </w:r>
        <w:r w:rsidR="00DC75D8" w:rsidRPr="00DC75D8">
          <w:rPr>
            <w:noProof/>
            <w:webHidden/>
            <w:sz w:val="24"/>
            <w:szCs w:val="24"/>
          </w:rPr>
          <w:instrText xml:space="preserve"> PAGEREF _Toc486501933 \h </w:instrText>
        </w:r>
        <w:r w:rsidR="00DC75D8" w:rsidRPr="00DC75D8">
          <w:rPr>
            <w:noProof/>
            <w:webHidden/>
            <w:sz w:val="24"/>
            <w:szCs w:val="24"/>
          </w:rPr>
        </w:r>
        <w:r w:rsidR="00DC75D8" w:rsidRPr="00DC75D8">
          <w:rPr>
            <w:noProof/>
            <w:webHidden/>
            <w:sz w:val="24"/>
            <w:szCs w:val="24"/>
          </w:rPr>
          <w:fldChar w:fldCharType="separate"/>
        </w:r>
        <w:r>
          <w:rPr>
            <w:noProof/>
            <w:webHidden/>
            <w:sz w:val="24"/>
            <w:szCs w:val="24"/>
          </w:rPr>
          <w:t>34</w:t>
        </w:r>
        <w:r w:rsidR="00DC75D8" w:rsidRPr="00DC75D8">
          <w:rPr>
            <w:noProof/>
            <w:webHidden/>
            <w:sz w:val="24"/>
            <w:szCs w:val="24"/>
          </w:rPr>
          <w:fldChar w:fldCharType="end"/>
        </w:r>
      </w:hyperlink>
    </w:p>
    <w:p w14:paraId="6E01D13F" w14:textId="50B5B155" w:rsidR="0085237A" w:rsidRPr="00DC75D8" w:rsidRDefault="00DC75D8" w:rsidP="00DC75D8">
      <w:pPr>
        <w:pStyle w:val="center"/>
        <w:keepLines w:val="0"/>
        <w:widowControl w:val="0"/>
        <w:spacing w:before="0" w:line="480" w:lineRule="auto"/>
        <w:rPr>
          <w:rFonts w:asciiTheme="majorHAnsi" w:hAnsiTheme="majorHAnsi" w:cstheme="majorHAnsi"/>
          <w:szCs w:val="24"/>
        </w:rPr>
      </w:pPr>
      <w:r w:rsidRPr="00DC75D8">
        <w:rPr>
          <w:rFonts w:asciiTheme="majorHAnsi" w:hAnsiTheme="majorHAnsi" w:cstheme="majorHAnsi"/>
          <w:szCs w:val="24"/>
        </w:rPr>
        <w:fldChar w:fldCharType="end"/>
      </w:r>
    </w:p>
    <w:p w14:paraId="56C54211" w14:textId="77777777" w:rsidR="0085237A" w:rsidRPr="00DC75D8" w:rsidRDefault="0085237A" w:rsidP="00DC75D8">
      <w:pPr>
        <w:pStyle w:val="center"/>
        <w:keepLines w:val="0"/>
        <w:widowControl w:val="0"/>
        <w:spacing w:before="0" w:line="480" w:lineRule="auto"/>
        <w:rPr>
          <w:rFonts w:asciiTheme="majorHAnsi" w:hAnsiTheme="majorHAnsi" w:cstheme="majorHAnsi"/>
          <w:szCs w:val="24"/>
        </w:rPr>
      </w:pPr>
    </w:p>
    <w:p w14:paraId="388F94B2"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7748481A"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2B030CAD" w14:textId="61655FCB" w:rsidR="0085237A" w:rsidRDefault="0085237A" w:rsidP="00C00DB7">
      <w:pPr>
        <w:pStyle w:val="center"/>
        <w:keepLines w:val="0"/>
        <w:widowControl w:val="0"/>
        <w:spacing w:before="0" w:line="240" w:lineRule="auto"/>
        <w:rPr>
          <w:rFonts w:asciiTheme="majorHAnsi" w:hAnsiTheme="majorHAnsi" w:cstheme="majorHAnsi"/>
          <w:b/>
          <w:szCs w:val="24"/>
        </w:rPr>
      </w:pPr>
    </w:p>
    <w:p w14:paraId="2F0A0CA9"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2F9471A2"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6CD81D34"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39E54D6D"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2CD819E7"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79667B72"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6B9ABE05"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2A78BE87"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75320C7E"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C163A9B"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BD31750"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0C322B16"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7BABA85B"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0366A233"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3692AAA"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44966EB6"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5A22035F"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65E849BF"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B62165B"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D005F1A"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324D2B35"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557F6406" w14:textId="77777777" w:rsidR="0085237A" w:rsidRDefault="0085237A" w:rsidP="00C00DB7">
      <w:pPr>
        <w:pStyle w:val="center"/>
        <w:keepLines w:val="0"/>
        <w:widowControl w:val="0"/>
        <w:spacing w:before="0" w:line="240" w:lineRule="auto"/>
        <w:rPr>
          <w:rFonts w:asciiTheme="majorHAnsi" w:hAnsiTheme="majorHAnsi" w:cstheme="majorHAnsi"/>
          <w:b/>
          <w:szCs w:val="24"/>
        </w:rPr>
      </w:pPr>
    </w:p>
    <w:p w14:paraId="1929D944" w14:textId="77777777" w:rsidR="00C2456A" w:rsidRDefault="00C2456A" w:rsidP="00C00DB7">
      <w:pPr>
        <w:pStyle w:val="center"/>
        <w:keepLines w:val="0"/>
        <w:widowControl w:val="0"/>
        <w:spacing w:before="0" w:line="240" w:lineRule="auto"/>
        <w:rPr>
          <w:rFonts w:asciiTheme="majorHAnsi" w:hAnsiTheme="majorHAnsi" w:cstheme="majorHAnsi"/>
          <w:b/>
          <w:szCs w:val="24"/>
        </w:rPr>
      </w:pPr>
    </w:p>
    <w:p w14:paraId="50EBCBD0" w14:textId="22BC0C9D" w:rsidR="0085237A" w:rsidRPr="007C3944" w:rsidRDefault="007C3944" w:rsidP="007C3944">
      <w:pPr>
        <w:pStyle w:val="center"/>
        <w:keepLines w:val="0"/>
        <w:widowControl w:val="0"/>
        <w:spacing w:before="0" w:line="240" w:lineRule="auto"/>
        <w:rPr>
          <w:rFonts w:asciiTheme="majorHAnsi" w:hAnsiTheme="majorHAnsi" w:cstheme="majorHAnsi"/>
          <w:b/>
          <w:sz w:val="28"/>
          <w:szCs w:val="24"/>
        </w:rPr>
      </w:pPr>
      <w:r>
        <w:rPr>
          <w:rFonts w:asciiTheme="majorHAnsi" w:hAnsiTheme="majorHAnsi" w:cstheme="majorHAnsi"/>
          <w:b/>
          <w:sz w:val="28"/>
          <w:szCs w:val="24"/>
        </w:rPr>
        <w:lastRenderedPageBreak/>
        <w:t xml:space="preserve">Exhibit List </w:t>
      </w:r>
    </w:p>
    <w:p w14:paraId="3F34DB07" w14:textId="36F090B5" w:rsidR="00BE3B87" w:rsidRPr="005D4635" w:rsidRDefault="00BE3B87" w:rsidP="00BE3B87">
      <w:pPr>
        <w:pStyle w:val="center"/>
        <w:keepLines w:val="0"/>
        <w:widowControl w:val="0"/>
        <w:spacing w:line="240" w:lineRule="auto"/>
        <w:jc w:val="left"/>
        <w:rPr>
          <w:rFonts w:asciiTheme="majorHAnsi" w:hAnsiTheme="majorHAnsi" w:cstheme="majorHAnsi"/>
          <w:szCs w:val="24"/>
        </w:rPr>
      </w:pPr>
      <w:proofErr w:type="gramStart"/>
      <w:r>
        <w:rPr>
          <w:rFonts w:asciiTheme="majorHAnsi" w:hAnsiTheme="majorHAnsi" w:cstheme="majorHAnsi"/>
          <w:szCs w:val="24"/>
        </w:rPr>
        <w:t xml:space="preserve">Exhibit </w:t>
      </w:r>
      <w:r w:rsidRPr="005D4635">
        <w:rPr>
          <w:rFonts w:asciiTheme="majorHAnsi" w:hAnsiTheme="majorHAnsi" w:cstheme="majorHAnsi"/>
          <w:szCs w:val="24"/>
        </w:rPr>
        <w:t>EDH-</w:t>
      </w:r>
      <w:r w:rsidR="00F164B2">
        <w:rPr>
          <w:rFonts w:asciiTheme="majorHAnsi" w:hAnsiTheme="majorHAnsi" w:cstheme="majorHAnsi"/>
          <w:szCs w:val="24"/>
        </w:rPr>
        <w:t>2</w:t>
      </w:r>
      <w:r w:rsidR="00F164B2">
        <w:rPr>
          <w:rFonts w:asciiTheme="majorHAnsi" w:hAnsiTheme="majorHAnsi" w:cstheme="majorHAnsi"/>
          <w:szCs w:val="24"/>
        </w:rPr>
        <w:tab/>
      </w:r>
      <w:r w:rsidR="00F164B2">
        <w:rPr>
          <w:rFonts w:asciiTheme="majorHAnsi" w:hAnsiTheme="majorHAnsi" w:cstheme="majorHAnsi"/>
          <w:szCs w:val="24"/>
        </w:rPr>
        <w:tab/>
        <w:t>Resume of Ezra D. Hausman, Ph</w:t>
      </w:r>
      <w:r w:rsidRPr="005D4635">
        <w:rPr>
          <w:rFonts w:asciiTheme="majorHAnsi" w:hAnsiTheme="majorHAnsi" w:cstheme="majorHAnsi"/>
          <w:szCs w:val="24"/>
        </w:rPr>
        <w:t>.D.</w:t>
      </w:r>
      <w:proofErr w:type="gramEnd"/>
    </w:p>
    <w:p w14:paraId="69C3692B" w14:textId="77777777" w:rsidR="00BE3B87" w:rsidRDefault="00BE3B87" w:rsidP="00BE3B87">
      <w:pPr>
        <w:pStyle w:val="center"/>
        <w:keepLines w:val="0"/>
        <w:widowControl w:val="0"/>
        <w:spacing w:line="240" w:lineRule="auto"/>
        <w:ind w:left="2880" w:hanging="2880"/>
        <w:jc w:val="left"/>
        <w:rPr>
          <w:rFonts w:asciiTheme="majorHAnsi" w:hAnsiTheme="majorHAnsi" w:cstheme="majorHAnsi"/>
          <w:szCs w:val="24"/>
        </w:rPr>
      </w:pPr>
      <w:proofErr w:type="gramStart"/>
      <w:r>
        <w:rPr>
          <w:rFonts w:asciiTheme="majorHAnsi" w:hAnsiTheme="majorHAnsi" w:cstheme="majorHAnsi"/>
          <w:szCs w:val="24"/>
        </w:rPr>
        <w:t xml:space="preserve">Exhibit </w:t>
      </w:r>
      <w:r w:rsidRPr="005D4635">
        <w:rPr>
          <w:rFonts w:asciiTheme="majorHAnsi" w:hAnsiTheme="majorHAnsi" w:cstheme="majorHAnsi"/>
          <w:szCs w:val="24"/>
        </w:rPr>
        <w:t>EDH-3</w:t>
      </w:r>
      <w:r>
        <w:rPr>
          <w:rFonts w:asciiTheme="majorHAnsi" w:hAnsiTheme="majorHAnsi" w:cstheme="majorHAnsi"/>
          <w:szCs w:val="24"/>
        </w:rPr>
        <w:tab/>
      </w:r>
      <w:r w:rsidRPr="00601476">
        <w:rPr>
          <w:rFonts w:asciiTheme="majorHAnsi" w:hAnsiTheme="majorHAnsi" w:cstheme="majorHAnsi"/>
          <w:szCs w:val="24"/>
        </w:rPr>
        <w:t>WUTC Docket No.</w:t>
      </w:r>
      <w:proofErr w:type="gramEnd"/>
      <w:r w:rsidRPr="00601476">
        <w:rPr>
          <w:rFonts w:asciiTheme="majorHAnsi" w:hAnsiTheme="majorHAnsi" w:cstheme="majorHAnsi"/>
          <w:szCs w:val="24"/>
        </w:rPr>
        <w:t xml:space="preserve"> UE-072300, Second Exhibit to the </w:t>
      </w:r>
      <w:proofErr w:type="spellStart"/>
      <w:r w:rsidRPr="00601476">
        <w:rPr>
          <w:rFonts w:asciiTheme="majorHAnsi" w:hAnsiTheme="majorHAnsi" w:cstheme="majorHAnsi"/>
          <w:szCs w:val="24"/>
        </w:rPr>
        <w:t>Prefiled</w:t>
      </w:r>
      <w:proofErr w:type="spellEnd"/>
      <w:r w:rsidRPr="00601476">
        <w:rPr>
          <w:rFonts w:asciiTheme="majorHAnsi" w:hAnsiTheme="majorHAnsi" w:cstheme="majorHAnsi"/>
          <w:szCs w:val="24"/>
        </w:rPr>
        <w:t xml:space="preserve"> Direct </w:t>
      </w:r>
      <w:r>
        <w:rPr>
          <w:rFonts w:asciiTheme="majorHAnsi" w:hAnsiTheme="majorHAnsi" w:cstheme="majorHAnsi"/>
          <w:szCs w:val="24"/>
        </w:rPr>
        <w:t>Testimony of C. Richard Clarke (excerpt)</w:t>
      </w:r>
    </w:p>
    <w:p w14:paraId="08A6775B" w14:textId="77777777" w:rsidR="00BE3B87" w:rsidRDefault="00BE3B87" w:rsidP="00BE3B87">
      <w:pPr>
        <w:pStyle w:val="center"/>
        <w:keepLines w:val="0"/>
        <w:widowControl w:val="0"/>
        <w:spacing w:line="240" w:lineRule="auto"/>
        <w:ind w:left="2880" w:hanging="2880"/>
        <w:jc w:val="left"/>
        <w:rPr>
          <w:rFonts w:asciiTheme="majorHAnsi" w:hAnsiTheme="majorHAnsi" w:cstheme="majorHAnsi"/>
          <w:szCs w:val="24"/>
        </w:rPr>
      </w:pPr>
      <w:proofErr w:type="gramStart"/>
      <w:r>
        <w:rPr>
          <w:rFonts w:asciiTheme="majorHAnsi" w:hAnsiTheme="majorHAnsi" w:cstheme="majorHAnsi"/>
          <w:szCs w:val="24"/>
        </w:rPr>
        <w:t xml:space="preserve">Exhibit </w:t>
      </w:r>
      <w:r w:rsidRPr="005D4635">
        <w:rPr>
          <w:rFonts w:asciiTheme="majorHAnsi" w:hAnsiTheme="majorHAnsi" w:cstheme="majorHAnsi"/>
          <w:szCs w:val="24"/>
        </w:rPr>
        <w:t>EDH-4</w:t>
      </w:r>
      <w:r>
        <w:rPr>
          <w:rFonts w:asciiTheme="majorHAnsi" w:hAnsiTheme="majorHAnsi" w:cstheme="majorHAnsi"/>
          <w:szCs w:val="24"/>
        </w:rPr>
        <w:tab/>
      </w:r>
      <w:r>
        <w:t>WUTC Docket No.</w:t>
      </w:r>
      <w:proofErr w:type="gramEnd"/>
      <w:r>
        <w:t xml:space="preserve"> </w:t>
      </w:r>
      <w:r w:rsidRPr="00C720E2">
        <w:t>UE-072300</w:t>
      </w:r>
      <w:r>
        <w:t xml:space="preserve">, Testimony of William H. </w:t>
      </w:r>
      <w:proofErr w:type="spellStart"/>
      <w:r>
        <w:t>Weinman</w:t>
      </w:r>
      <w:proofErr w:type="spellEnd"/>
      <w:r>
        <w:rPr>
          <w:rFonts w:asciiTheme="majorHAnsi" w:hAnsiTheme="majorHAnsi" w:cstheme="majorHAnsi"/>
          <w:szCs w:val="24"/>
        </w:rPr>
        <w:tab/>
      </w:r>
    </w:p>
    <w:p w14:paraId="753DA4A3" w14:textId="77777777" w:rsidR="00BE3B87" w:rsidRDefault="00BE3B87" w:rsidP="00BE3B87">
      <w:pPr>
        <w:pStyle w:val="center"/>
        <w:keepLines w:val="0"/>
        <w:widowControl w:val="0"/>
        <w:spacing w:line="240" w:lineRule="auto"/>
        <w:ind w:left="2880" w:hanging="2880"/>
        <w:jc w:val="left"/>
      </w:pPr>
      <w:proofErr w:type="gramStart"/>
      <w:r>
        <w:rPr>
          <w:rFonts w:asciiTheme="majorHAnsi" w:hAnsiTheme="majorHAnsi" w:cstheme="majorHAnsi"/>
          <w:szCs w:val="24"/>
        </w:rPr>
        <w:t xml:space="preserve">Exhibit </w:t>
      </w:r>
      <w:r w:rsidRPr="005D4635">
        <w:rPr>
          <w:rFonts w:asciiTheme="majorHAnsi" w:hAnsiTheme="majorHAnsi" w:cstheme="majorHAnsi"/>
          <w:szCs w:val="24"/>
        </w:rPr>
        <w:t>EDH-5</w:t>
      </w:r>
      <w:r>
        <w:rPr>
          <w:rFonts w:asciiTheme="majorHAnsi" w:hAnsiTheme="majorHAnsi" w:cstheme="majorHAnsi"/>
          <w:szCs w:val="24"/>
        </w:rPr>
        <w:tab/>
      </w:r>
      <w:r>
        <w:t>WUTC Docket No.</w:t>
      </w:r>
      <w:proofErr w:type="gramEnd"/>
      <w:r>
        <w:t xml:space="preserve"> </w:t>
      </w:r>
      <w:r w:rsidRPr="00C720E2">
        <w:t>UE-072300</w:t>
      </w:r>
      <w:r>
        <w:t>, Direct Testimony of Charles W. King</w:t>
      </w:r>
    </w:p>
    <w:p w14:paraId="58E20576" w14:textId="77777777" w:rsidR="00BE3B87" w:rsidRDefault="00BE3B87" w:rsidP="00BE3B87">
      <w:pPr>
        <w:pStyle w:val="center"/>
        <w:keepLines w:val="0"/>
        <w:widowControl w:val="0"/>
        <w:spacing w:line="240" w:lineRule="auto"/>
        <w:ind w:left="2880" w:hanging="2880"/>
        <w:jc w:val="left"/>
      </w:pPr>
      <w:proofErr w:type="gramStart"/>
      <w:r>
        <w:rPr>
          <w:rFonts w:asciiTheme="majorHAnsi" w:hAnsiTheme="majorHAnsi" w:cstheme="majorHAnsi"/>
          <w:szCs w:val="24"/>
        </w:rPr>
        <w:t xml:space="preserve">Exhibit </w:t>
      </w:r>
      <w:r w:rsidRPr="005D4635">
        <w:rPr>
          <w:rFonts w:asciiTheme="majorHAnsi" w:hAnsiTheme="majorHAnsi" w:cstheme="majorHAnsi"/>
          <w:szCs w:val="24"/>
        </w:rPr>
        <w:t>EDH-6</w:t>
      </w:r>
      <w:r>
        <w:rPr>
          <w:rFonts w:asciiTheme="majorHAnsi" w:hAnsiTheme="majorHAnsi" w:cstheme="majorHAnsi"/>
          <w:szCs w:val="24"/>
        </w:rPr>
        <w:tab/>
      </w:r>
      <w:r w:rsidRPr="00602264">
        <w:rPr>
          <w:rFonts w:asciiTheme="majorHAnsi" w:hAnsiTheme="majorHAnsi" w:cstheme="majorHAnsi"/>
          <w:szCs w:val="24"/>
        </w:rPr>
        <w:t>WUTC Docket No.</w:t>
      </w:r>
      <w:proofErr w:type="gramEnd"/>
      <w:r w:rsidRPr="00602264">
        <w:rPr>
          <w:rFonts w:asciiTheme="majorHAnsi" w:hAnsiTheme="majorHAnsi" w:cstheme="majorHAnsi"/>
          <w:szCs w:val="24"/>
        </w:rPr>
        <w:t xml:space="preserve"> UE-072300, </w:t>
      </w:r>
      <w:proofErr w:type="spellStart"/>
      <w:r>
        <w:rPr>
          <w:rFonts w:asciiTheme="majorHAnsi" w:hAnsiTheme="majorHAnsi" w:cstheme="majorHAnsi"/>
          <w:szCs w:val="24"/>
        </w:rPr>
        <w:t>Prefiled</w:t>
      </w:r>
      <w:proofErr w:type="spellEnd"/>
      <w:r>
        <w:rPr>
          <w:rFonts w:asciiTheme="majorHAnsi" w:hAnsiTheme="majorHAnsi" w:cstheme="majorHAnsi"/>
          <w:szCs w:val="24"/>
        </w:rPr>
        <w:t xml:space="preserve"> Rebuttal </w:t>
      </w:r>
      <w:r w:rsidRPr="00602264">
        <w:rPr>
          <w:rFonts w:asciiTheme="majorHAnsi" w:hAnsiTheme="majorHAnsi" w:cstheme="majorHAnsi"/>
          <w:szCs w:val="24"/>
        </w:rPr>
        <w:t xml:space="preserve">Testimony </w:t>
      </w:r>
      <w:r>
        <w:rPr>
          <w:rFonts w:asciiTheme="majorHAnsi" w:hAnsiTheme="majorHAnsi" w:cstheme="majorHAnsi"/>
          <w:szCs w:val="24"/>
        </w:rPr>
        <w:t xml:space="preserve">of </w:t>
      </w:r>
      <w:r>
        <w:t xml:space="preserve">Michael J. Jones </w:t>
      </w:r>
    </w:p>
    <w:p w14:paraId="7684A82B" w14:textId="77777777" w:rsidR="00CA47CA" w:rsidRDefault="00BE3B87" w:rsidP="001061F0">
      <w:pPr>
        <w:pStyle w:val="center"/>
        <w:keepLines w:val="0"/>
        <w:widowControl w:val="0"/>
        <w:spacing w:after="240" w:line="240" w:lineRule="auto"/>
        <w:ind w:left="2880" w:hanging="2880"/>
        <w:jc w:val="left"/>
        <w:rPr>
          <w:rFonts w:asciiTheme="majorHAnsi" w:hAnsiTheme="majorHAnsi" w:cstheme="majorHAnsi"/>
          <w:szCs w:val="24"/>
        </w:rPr>
      </w:pPr>
      <w:r>
        <w:rPr>
          <w:rFonts w:asciiTheme="majorHAnsi" w:hAnsiTheme="majorHAnsi" w:cstheme="majorHAnsi"/>
          <w:szCs w:val="24"/>
        </w:rPr>
        <w:t xml:space="preserve">Exhibit EDH-7 </w:t>
      </w:r>
      <w:r>
        <w:rPr>
          <w:rFonts w:asciiTheme="majorHAnsi" w:hAnsiTheme="majorHAnsi" w:cstheme="majorHAnsi"/>
          <w:szCs w:val="24"/>
        </w:rPr>
        <w:tab/>
        <w:t>PSE Response</w:t>
      </w:r>
      <w:r w:rsidR="00CA47CA">
        <w:rPr>
          <w:rFonts w:asciiTheme="majorHAnsi" w:hAnsiTheme="majorHAnsi" w:cstheme="majorHAnsi"/>
          <w:szCs w:val="24"/>
        </w:rPr>
        <w:t>s to Data Requests</w:t>
      </w:r>
    </w:p>
    <w:p w14:paraId="5581809D" w14:textId="258A707E" w:rsidR="00BE3B87" w:rsidRPr="005D4635" w:rsidRDefault="00BE3B87" w:rsidP="009B111A">
      <w:pPr>
        <w:spacing w:after="240" w:line="240" w:lineRule="auto"/>
        <w:ind w:left="2880" w:hanging="2880"/>
        <w:rPr>
          <w:rFonts w:asciiTheme="majorHAnsi" w:hAnsiTheme="majorHAnsi" w:cstheme="majorHAnsi"/>
          <w:sz w:val="24"/>
          <w:szCs w:val="24"/>
        </w:rPr>
      </w:pPr>
      <w:r>
        <w:rPr>
          <w:rFonts w:asciiTheme="majorHAnsi" w:hAnsiTheme="majorHAnsi" w:cstheme="majorHAnsi"/>
          <w:sz w:val="24"/>
          <w:szCs w:val="24"/>
        </w:rPr>
        <w:t>Ex</w:t>
      </w:r>
      <w:r w:rsidR="00CA47CA">
        <w:rPr>
          <w:rFonts w:asciiTheme="majorHAnsi" w:hAnsiTheme="majorHAnsi" w:cstheme="majorHAnsi"/>
          <w:sz w:val="24"/>
          <w:szCs w:val="24"/>
        </w:rPr>
        <w:t>hibit EDH-8</w:t>
      </w:r>
      <w:r w:rsidR="009B111A">
        <w:rPr>
          <w:rFonts w:asciiTheme="majorHAnsi" w:hAnsiTheme="majorHAnsi" w:cstheme="majorHAnsi"/>
          <w:szCs w:val="24"/>
        </w:rPr>
        <w:tab/>
      </w:r>
      <w:r w:rsidRPr="005D4635">
        <w:rPr>
          <w:rFonts w:asciiTheme="majorHAnsi" w:hAnsiTheme="majorHAnsi" w:cstheme="majorHAnsi"/>
          <w:sz w:val="24"/>
          <w:szCs w:val="24"/>
        </w:rPr>
        <w:t>Attachment A to PSE Response to WUTC Data Request No. 459</w:t>
      </w:r>
      <w:r w:rsidR="009B111A">
        <w:rPr>
          <w:rFonts w:asciiTheme="majorHAnsi" w:hAnsiTheme="majorHAnsi" w:cstheme="majorHAnsi"/>
          <w:sz w:val="24"/>
          <w:szCs w:val="24"/>
        </w:rPr>
        <w:t xml:space="preserve"> (Excel Spreadsheet)</w:t>
      </w:r>
    </w:p>
    <w:p w14:paraId="22E58BDD" w14:textId="4B0A6146" w:rsidR="00BE3B87" w:rsidRPr="005D4635" w:rsidRDefault="00CA47CA" w:rsidP="00BE3B87">
      <w:pPr>
        <w:pStyle w:val="center"/>
        <w:keepLines w:val="0"/>
        <w:widowControl w:val="0"/>
        <w:spacing w:line="240" w:lineRule="auto"/>
        <w:ind w:left="2880" w:hanging="2880"/>
        <w:jc w:val="left"/>
        <w:rPr>
          <w:rFonts w:asciiTheme="majorHAnsi" w:hAnsiTheme="majorHAnsi" w:cstheme="majorHAnsi"/>
          <w:szCs w:val="24"/>
        </w:rPr>
      </w:pPr>
      <w:r>
        <w:rPr>
          <w:rFonts w:asciiTheme="majorHAnsi" w:hAnsiTheme="majorHAnsi" w:cstheme="majorHAnsi"/>
          <w:szCs w:val="24"/>
        </w:rPr>
        <w:t>Exhibit EDH-9</w:t>
      </w:r>
      <w:r w:rsidR="00BE3B87">
        <w:rPr>
          <w:rFonts w:asciiTheme="majorHAnsi" w:hAnsiTheme="majorHAnsi" w:cstheme="majorHAnsi"/>
          <w:szCs w:val="24"/>
        </w:rPr>
        <w:tab/>
        <w:t xml:space="preserve">Attachment A to </w:t>
      </w:r>
      <w:r w:rsidR="00BE3B87" w:rsidRPr="005D4635">
        <w:rPr>
          <w:rFonts w:asciiTheme="majorHAnsi" w:hAnsiTheme="majorHAnsi" w:cstheme="majorHAnsi"/>
          <w:szCs w:val="24"/>
        </w:rPr>
        <w:t xml:space="preserve">PSE Response to Public Counsel Data Request No. </w:t>
      </w:r>
      <w:r w:rsidR="00BE3B87">
        <w:rPr>
          <w:rFonts w:asciiTheme="majorHAnsi" w:hAnsiTheme="majorHAnsi" w:cstheme="majorHAnsi"/>
          <w:szCs w:val="24"/>
        </w:rPr>
        <w:t>286</w:t>
      </w:r>
      <w:r w:rsidR="009B111A">
        <w:rPr>
          <w:rFonts w:asciiTheme="majorHAnsi" w:hAnsiTheme="majorHAnsi" w:cstheme="majorHAnsi"/>
          <w:szCs w:val="24"/>
        </w:rPr>
        <w:t xml:space="preserve"> (Excel Spreadsheet)</w:t>
      </w:r>
    </w:p>
    <w:p w14:paraId="293BAACC" w14:textId="77777777" w:rsidR="008848CB" w:rsidRPr="00BE3B87" w:rsidRDefault="008848CB" w:rsidP="005D4635">
      <w:pPr>
        <w:pStyle w:val="center"/>
        <w:keepLines w:val="0"/>
        <w:widowControl w:val="0"/>
        <w:spacing w:line="240" w:lineRule="auto"/>
        <w:jc w:val="left"/>
        <w:rPr>
          <w:rFonts w:asciiTheme="majorHAnsi" w:hAnsiTheme="majorHAnsi" w:cstheme="majorHAnsi"/>
          <w:szCs w:val="24"/>
        </w:rPr>
      </w:pPr>
    </w:p>
    <w:p w14:paraId="01055181" w14:textId="77777777" w:rsidR="0085237A" w:rsidRPr="0085237A" w:rsidRDefault="0085237A" w:rsidP="0085237A">
      <w:pPr>
        <w:pStyle w:val="center"/>
        <w:keepLines w:val="0"/>
        <w:widowControl w:val="0"/>
        <w:spacing w:line="240" w:lineRule="auto"/>
        <w:jc w:val="left"/>
        <w:rPr>
          <w:rFonts w:asciiTheme="majorHAnsi" w:hAnsiTheme="majorHAnsi" w:cstheme="majorHAnsi"/>
          <w:szCs w:val="24"/>
        </w:rPr>
      </w:pPr>
    </w:p>
    <w:p w14:paraId="170D0741" w14:textId="77777777" w:rsidR="0085237A" w:rsidRDefault="0085237A" w:rsidP="0085237A">
      <w:pPr>
        <w:pStyle w:val="center"/>
        <w:keepLines w:val="0"/>
        <w:widowControl w:val="0"/>
        <w:spacing w:line="240" w:lineRule="auto"/>
        <w:jc w:val="left"/>
        <w:rPr>
          <w:rFonts w:asciiTheme="majorHAnsi" w:hAnsiTheme="majorHAnsi" w:cstheme="majorHAnsi"/>
          <w:b/>
          <w:szCs w:val="24"/>
        </w:rPr>
      </w:pPr>
    </w:p>
    <w:p w14:paraId="7DB6F685" w14:textId="77777777" w:rsidR="00392898" w:rsidRDefault="00392898" w:rsidP="00C00DB7">
      <w:pPr>
        <w:pStyle w:val="center"/>
        <w:keepLines w:val="0"/>
        <w:widowControl w:val="0"/>
        <w:spacing w:before="0" w:line="240" w:lineRule="auto"/>
        <w:rPr>
          <w:rFonts w:asciiTheme="majorHAnsi" w:hAnsiTheme="majorHAnsi" w:cstheme="majorHAnsi"/>
          <w:b/>
          <w:szCs w:val="24"/>
        </w:rPr>
      </w:pPr>
    </w:p>
    <w:p w14:paraId="7688D526" w14:textId="77777777" w:rsidR="00392898" w:rsidRPr="00A2358C" w:rsidRDefault="00392898" w:rsidP="00C00DB7">
      <w:pPr>
        <w:pStyle w:val="center"/>
        <w:keepLines w:val="0"/>
        <w:widowControl w:val="0"/>
        <w:spacing w:before="0" w:line="240" w:lineRule="auto"/>
        <w:rPr>
          <w:rFonts w:asciiTheme="majorHAnsi" w:hAnsiTheme="majorHAnsi" w:cstheme="majorHAnsi"/>
          <w:b/>
          <w:szCs w:val="24"/>
        </w:rPr>
        <w:sectPr w:rsidR="00392898" w:rsidRPr="00A2358C" w:rsidSect="00C2456A">
          <w:headerReference w:type="default" r:id="rId14"/>
          <w:type w:val="continuous"/>
          <w:pgSz w:w="12240" w:h="15840" w:code="1"/>
          <w:pgMar w:top="1440" w:right="1440" w:bottom="1440" w:left="1440" w:header="720" w:footer="1440" w:gutter="0"/>
          <w:pgNumType w:fmt="lowerRoman" w:start="1"/>
          <w:cols w:space="720"/>
          <w:docGrid w:linePitch="360"/>
        </w:sectPr>
      </w:pPr>
    </w:p>
    <w:p w14:paraId="262039BF" w14:textId="45BB7173" w:rsidR="008139C8" w:rsidRPr="00AE4B1E" w:rsidRDefault="008139C8" w:rsidP="00FD7B0F">
      <w:pPr>
        <w:pStyle w:val="Heading1"/>
      </w:pPr>
      <w:bookmarkStart w:id="1" w:name="_Toc486496054"/>
      <w:r w:rsidRPr="00AE4B1E">
        <w:lastRenderedPageBreak/>
        <w:t>Professional Qualifications and Purpose of Testimony</w:t>
      </w:r>
      <w:bookmarkEnd w:id="1"/>
    </w:p>
    <w:p w14:paraId="3D542CE1" w14:textId="61C6EB70" w:rsidR="00EA3F1B" w:rsidRPr="00A2358C" w:rsidRDefault="004A2F13"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2358C" w:rsidRPr="00A2358C">
        <w:rPr>
          <w:rFonts w:asciiTheme="majorHAnsi" w:hAnsiTheme="majorHAnsi" w:cstheme="majorHAnsi"/>
          <w:caps w:val="0"/>
          <w:sz w:val="24"/>
          <w:szCs w:val="24"/>
        </w:rPr>
        <w:t>Please state your name, occupation, and business address.</w:t>
      </w:r>
    </w:p>
    <w:p w14:paraId="614A7B11" w14:textId="77777777" w:rsidR="00EA3F1B" w:rsidRPr="00A2358C" w:rsidRDefault="00EA3F1B" w:rsidP="00AE4B1E">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My name is Ezra D. Hausman, Ph.D. I am an independent consultant doing business as Ezra Hausman Consulting, operating from offices at 77 </w:t>
      </w:r>
      <w:proofErr w:type="spellStart"/>
      <w:r w:rsidRPr="00A2358C">
        <w:rPr>
          <w:rFonts w:asciiTheme="majorHAnsi" w:hAnsiTheme="majorHAnsi" w:cstheme="majorHAnsi"/>
          <w:sz w:val="24"/>
          <w:szCs w:val="24"/>
        </w:rPr>
        <w:t>Kaposia</w:t>
      </w:r>
      <w:proofErr w:type="spellEnd"/>
      <w:r w:rsidRPr="00A2358C">
        <w:rPr>
          <w:rFonts w:asciiTheme="majorHAnsi" w:hAnsiTheme="majorHAnsi" w:cstheme="majorHAnsi"/>
          <w:sz w:val="24"/>
          <w:szCs w:val="24"/>
        </w:rPr>
        <w:t xml:space="preserve"> Street, Auburndale, Massachusetts 02466. </w:t>
      </w:r>
    </w:p>
    <w:p w14:paraId="01603863" w14:textId="331EB993" w:rsidR="00EA3F1B" w:rsidRPr="00A2358C" w:rsidRDefault="00EA3F1B"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E4B1E" w:rsidRPr="00A2358C">
        <w:rPr>
          <w:rFonts w:asciiTheme="majorHAnsi" w:hAnsiTheme="majorHAnsi" w:cstheme="majorHAnsi"/>
          <w:caps w:val="0"/>
          <w:sz w:val="24"/>
          <w:szCs w:val="24"/>
        </w:rPr>
        <w:t>Are you providing any exhibits with your testimony?</w:t>
      </w:r>
    </w:p>
    <w:p w14:paraId="635FCF15" w14:textId="28FCD8BF" w:rsidR="00EA3F1B" w:rsidRPr="00A2358C" w:rsidRDefault="00EA3F1B" w:rsidP="005D4635">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Yes. I am sp</w:t>
      </w:r>
      <w:r w:rsidR="00223D1E">
        <w:rPr>
          <w:rFonts w:asciiTheme="majorHAnsi" w:hAnsiTheme="majorHAnsi" w:cstheme="majorHAnsi"/>
          <w:sz w:val="24"/>
          <w:szCs w:val="24"/>
        </w:rPr>
        <w:t xml:space="preserve">onsoring exhibits </w:t>
      </w:r>
      <w:r w:rsidR="00223D1E" w:rsidRPr="005D4635">
        <w:rPr>
          <w:rFonts w:asciiTheme="majorHAnsi" w:hAnsiTheme="majorHAnsi" w:cstheme="majorHAnsi"/>
          <w:sz w:val="24"/>
          <w:szCs w:val="24"/>
        </w:rPr>
        <w:t xml:space="preserve">EDH-2 </w:t>
      </w:r>
      <w:r w:rsidR="009543F5" w:rsidRPr="005D4635">
        <w:rPr>
          <w:rFonts w:asciiTheme="majorHAnsi" w:hAnsiTheme="majorHAnsi" w:cstheme="majorHAnsi"/>
          <w:sz w:val="24"/>
          <w:szCs w:val="24"/>
        </w:rPr>
        <w:t>– EDH-</w:t>
      </w:r>
      <w:r w:rsidR="00B77C8D">
        <w:rPr>
          <w:rFonts w:asciiTheme="majorHAnsi" w:hAnsiTheme="majorHAnsi" w:cstheme="majorHAnsi"/>
          <w:sz w:val="24"/>
          <w:szCs w:val="24"/>
        </w:rPr>
        <w:t>9</w:t>
      </w:r>
      <w:r w:rsidR="005D4635" w:rsidRPr="005D4635">
        <w:rPr>
          <w:rFonts w:asciiTheme="majorHAnsi" w:hAnsiTheme="majorHAnsi" w:cstheme="majorHAnsi"/>
          <w:sz w:val="24"/>
          <w:szCs w:val="24"/>
        </w:rPr>
        <w:t>.</w:t>
      </w:r>
    </w:p>
    <w:p w14:paraId="54095CA8" w14:textId="6C95AE2A" w:rsidR="00EA3F1B" w:rsidRPr="00A2358C" w:rsidRDefault="00EA3F1B"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What is your educational and professional background?</w:t>
      </w:r>
    </w:p>
    <w:p w14:paraId="06347DAA" w14:textId="10427D91" w:rsidR="00EA3F1B" w:rsidRPr="00A2358C" w:rsidRDefault="00EA3F1B"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I hold a BA in Psychology from Wesleyan University, an MS in Environmental Engineering from Tufts University, an SM in Applied Physics from Harvard University, and a PhD in Atmospheric Chemistry from Harvard University. I have been involved in analysis of both regulated and restructured electricity markets for </w:t>
      </w:r>
      <w:r w:rsidR="00B33996" w:rsidRPr="00A2358C">
        <w:rPr>
          <w:rFonts w:asciiTheme="majorHAnsi" w:hAnsiTheme="majorHAnsi" w:cstheme="majorHAnsi"/>
          <w:sz w:val="24"/>
          <w:szCs w:val="24"/>
        </w:rPr>
        <w:t>approximately 20</w:t>
      </w:r>
      <w:r w:rsidRPr="00A2358C">
        <w:rPr>
          <w:rFonts w:asciiTheme="majorHAnsi" w:hAnsiTheme="majorHAnsi" w:cstheme="majorHAnsi"/>
          <w:sz w:val="24"/>
          <w:szCs w:val="24"/>
        </w:rPr>
        <w:t xml:space="preserve"> years. I have provided a </w:t>
      </w:r>
      <w:r w:rsidR="00387EB4">
        <w:rPr>
          <w:rFonts w:asciiTheme="majorHAnsi" w:hAnsiTheme="majorHAnsi" w:cstheme="majorHAnsi"/>
          <w:sz w:val="24"/>
          <w:szCs w:val="24"/>
        </w:rPr>
        <w:t>detailed resume as Exhibit EDH-2</w:t>
      </w:r>
      <w:r w:rsidRPr="00A2358C">
        <w:rPr>
          <w:rFonts w:asciiTheme="majorHAnsi" w:hAnsiTheme="majorHAnsi" w:cstheme="majorHAnsi"/>
          <w:sz w:val="24"/>
          <w:szCs w:val="24"/>
        </w:rPr>
        <w:t>.</w:t>
      </w:r>
    </w:p>
    <w:p w14:paraId="4A07C665" w14:textId="69279219" w:rsidR="001715A7" w:rsidRPr="00A2358C" w:rsidRDefault="00EA3F1B" w:rsidP="004136AE">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From 2005 until early 2014, I was employed at Synapse Energy Economics, Inc., a research and consulting company located in Cambridge, Massachusetts, where I served most recently as Vice President and Chief Operating Officer. At Synapse, and continuing as an independent consultant, I served as an analyst and expert in several areas related to my expertise and experience in energy economics. Sp</w:t>
      </w:r>
      <w:r w:rsidR="00936E83" w:rsidRPr="00A2358C">
        <w:rPr>
          <w:rFonts w:asciiTheme="majorHAnsi" w:hAnsiTheme="majorHAnsi" w:cstheme="majorHAnsi"/>
          <w:sz w:val="24"/>
          <w:szCs w:val="24"/>
        </w:rPr>
        <w:t>ecific areas include: s</w:t>
      </w:r>
      <w:r w:rsidRPr="00A2358C">
        <w:rPr>
          <w:rFonts w:asciiTheme="majorHAnsi" w:hAnsiTheme="majorHAnsi" w:cstheme="majorHAnsi"/>
          <w:sz w:val="24"/>
          <w:szCs w:val="24"/>
        </w:rPr>
        <w:t>tate and regional energy, capacity, and transmission planning, including both utility resource planning and long-term (multi-decadal) climate-constrained resource planning</w:t>
      </w:r>
      <w:r w:rsidR="00936E83" w:rsidRPr="00A2358C">
        <w:rPr>
          <w:rFonts w:asciiTheme="majorHAnsi" w:hAnsiTheme="majorHAnsi" w:cstheme="majorHAnsi"/>
          <w:sz w:val="24"/>
          <w:szCs w:val="24"/>
        </w:rPr>
        <w:t>; r</w:t>
      </w:r>
      <w:r w:rsidR="00394EFC" w:rsidRPr="00A2358C">
        <w:rPr>
          <w:rFonts w:asciiTheme="majorHAnsi" w:hAnsiTheme="majorHAnsi" w:cstheme="majorHAnsi"/>
          <w:sz w:val="24"/>
          <w:szCs w:val="24"/>
        </w:rPr>
        <w:t>egulatory and ratemaking proceedings</w:t>
      </w:r>
      <w:r w:rsidR="00936E83" w:rsidRPr="00A2358C">
        <w:rPr>
          <w:rFonts w:asciiTheme="majorHAnsi" w:hAnsiTheme="majorHAnsi" w:cstheme="majorHAnsi"/>
          <w:sz w:val="24"/>
          <w:szCs w:val="24"/>
        </w:rPr>
        <w:t>; e</w:t>
      </w:r>
      <w:r w:rsidRPr="00A2358C">
        <w:rPr>
          <w:rFonts w:asciiTheme="majorHAnsi" w:hAnsiTheme="majorHAnsi" w:cstheme="majorHAnsi"/>
          <w:sz w:val="24"/>
          <w:szCs w:val="24"/>
        </w:rPr>
        <w:t xml:space="preserve">lectricity and generating capacity market design and </w:t>
      </w:r>
      <w:r w:rsidRPr="00A2358C">
        <w:rPr>
          <w:rFonts w:asciiTheme="majorHAnsi" w:hAnsiTheme="majorHAnsi" w:cstheme="majorHAnsi"/>
          <w:sz w:val="24"/>
          <w:szCs w:val="24"/>
        </w:rPr>
        <w:lastRenderedPageBreak/>
        <w:t>analysis</w:t>
      </w:r>
      <w:r w:rsidR="00936E83" w:rsidRPr="00A2358C">
        <w:rPr>
          <w:rFonts w:asciiTheme="majorHAnsi" w:hAnsiTheme="majorHAnsi" w:cstheme="majorHAnsi"/>
          <w:sz w:val="24"/>
          <w:szCs w:val="24"/>
        </w:rPr>
        <w:t>; e</w:t>
      </w:r>
      <w:r w:rsidRPr="00A2358C">
        <w:rPr>
          <w:rFonts w:asciiTheme="majorHAnsi" w:hAnsiTheme="majorHAnsi" w:cstheme="majorHAnsi"/>
          <w:sz w:val="24"/>
          <w:szCs w:val="24"/>
        </w:rPr>
        <w:t>lectric system dispatch modeling</w:t>
      </w:r>
      <w:r w:rsidR="00936E83" w:rsidRPr="00A2358C">
        <w:rPr>
          <w:rFonts w:asciiTheme="majorHAnsi" w:hAnsiTheme="majorHAnsi" w:cstheme="majorHAnsi"/>
          <w:sz w:val="24"/>
          <w:szCs w:val="24"/>
        </w:rPr>
        <w:t>; e</w:t>
      </w:r>
      <w:r w:rsidRPr="00A2358C">
        <w:rPr>
          <w:rFonts w:asciiTheme="majorHAnsi" w:hAnsiTheme="majorHAnsi" w:cstheme="majorHAnsi"/>
          <w:sz w:val="24"/>
          <w:szCs w:val="24"/>
        </w:rPr>
        <w:t>conomic analysis of environmental and other regulations, including greenhouse gas reg</w:t>
      </w:r>
      <w:r w:rsidR="00936E83" w:rsidRPr="00A2358C">
        <w:rPr>
          <w:rFonts w:asciiTheme="majorHAnsi" w:hAnsiTheme="majorHAnsi" w:cstheme="majorHAnsi"/>
          <w:sz w:val="24"/>
          <w:szCs w:val="24"/>
        </w:rPr>
        <w:t>ulation, in electricity markets; e</w:t>
      </w:r>
      <w:r w:rsidRPr="00A2358C">
        <w:rPr>
          <w:rFonts w:asciiTheme="majorHAnsi" w:hAnsiTheme="majorHAnsi" w:cstheme="majorHAnsi"/>
          <w:sz w:val="24"/>
          <w:szCs w:val="24"/>
        </w:rPr>
        <w:t>conomic analysis, price forecasting, and asset valuation in electricity markets</w:t>
      </w:r>
      <w:r w:rsidR="00936E83" w:rsidRPr="00A2358C">
        <w:rPr>
          <w:rFonts w:asciiTheme="majorHAnsi" w:hAnsiTheme="majorHAnsi" w:cstheme="majorHAnsi"/>
          <w:sz w:val="24"/>
          <w:szCs w:val="24"/>
        </w:rPr>
        <w:t>; q</w:t>
      </w:r>
      <w:r w:rsidRPr="00A2358C">
        <w:rPr>
          <w:rFonts w:asciiTheme="majorHAnsi" w:hAnsiTheme="majorHAnsi" w:cstheme="majorHAnsi"/>
          <w:sz w:val="24"/>
          <w:szCs w:val="24"/>
        </w:rPr>
        <w:t xml:space="preserve">uantification of the economic and environmental </w:t>
      </w:r>
      <w:r w:rsidR="00936E83" w:rsidRPr="00A2358C">
        <w:rPr>
          <w:rFonts w:asciiTheme="majorHAnsi" w:hAnsiTheme="majorHAnsi" w:cstheme="majorHAnsi"/>
          <w:sz w:val="24"/>
          <w:szCs w:val="24"/>
        </w:rPr>
        <w:t>benefits of displaced emissions; t</w:t>
      </w:r>
      <w:r w:rsidR="00394EFC" w:rsidRPr="00A2358C">
        <w:rPr>
          <w:rFonts w:asciiTheme="majorHAnsi" w:hAnsiTheme="majorHAnsi" w:cstheme="majorHAnsi"/>
          <w:sz w:val="24"/>
          <w:szCs w:val="24"/>
        </w:rPr>
        <w:t>reatment of e</w:t>
      </w:r>
      <w:r w:rsidRPr="00A2358C">
        <w:rPr>
          <w:rFonts w:asciiTheme="majorHAnsi" w:hAnsiTheme="majorHAnsi" w:cstheme="majorHAnsi"/>
          <w:sz w:val="24"/>
          <w:szCs w:val="24"/>
        </w:rPr>
        <w:t>nergy efficiency and renewable energy</w:t>
      </w:r>
      <w:r w:rsidR="00394EFC" w:rsidRPr="00A2358C">
        <w:rPr>
          <w:rFonts w:asciiTheme="majorHAnsi" w:hAnsiTheme="majorHAnsi" w:cstheme="majorHAnsi"/>
          <w:sz w:val="24"/>
          <w:szCs w:val="24"/>
        </w:rPr>
        <w:t xml:space="preserve"> in electricity and capacity markets</w:t>
      </w:r>
      <w:r w:rsidR="00936E83" w:rsidRPr="00A2358C">
        <w:rPr>
          <w:rFonts w:asciiTheme="majorHAnsi" w:hAnsiTheme="majorHAnsi" w:cstheme="majorHAnsi"/>
          <w:sz w:val="24"/>
          <w:szCs w:val="24"/>
        </w:rPr>
        <w:t>; and r</w:t>
      </w:r>
      <w:r w:rsidRPr="00A2358C">
        <w:rPr>
          <w:rFonts w:asciiTheme="majorHAnsi" w:hAnsiTheme="majorHAnsi" w:cstheme="majorHAnsi"/>
          <w:sz w:val="24"/>
          <w:szCs w:val="24"/>
        </w:rPr>
        <w:t>egulation and mitigation of greenhouse gas emissions from the supply and demand sides of the U.S. electricity sector</w:t>
      </w:r>
      <w:r w:rsidR="00936E83" w:rsidRPr="00A2358C">
        <w:rPr>
          <w:rFonts w:asciiTheme="majorHAnsi" w:hAnsiTheme="majorHAnsi" w:cstheme="majorHAnsi"/>
          <w:sz w:val="24"/>
          <w:szCs w:val="24"/>
        </w:rPr>
        <w:t>.</w:t>
      </w:r>
    </w:p>
    <w:p w14:paraId="2752E164" w14:textId="03CAAA28" w:rsidR="00EA3F1B" w:rsidRPr="00A2358C" w:rsidRDefault="00EA3F1B" w:rsidP="004136AE">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 xml:space="preserve">I have </w:t>
      </w:r>
      <w:r w:rsidR="00394EFC" w:rsidRPr="00A2358C">
        <w:rPr>
          <w:rFonts w:asciiTheme="majorHAnsi" w:hAnsiTheme="majorHAnsi" w:cstheme="majorHAnsi"/>
          <w:sz w:val="24"/>
          <w:szCs w:val="24"/>
        </w:rPr>
        <w:t>provided testimony and/</w:t>
      </w:r>
      <w:r w:rsidRPr="00A2358C">
        <w:rPr>
          <w:rFonts w:asciiTheme="majorHAnsi" w:hAnsiTheme="majorHAnsi" w:cstheme="majorHAnsi"/>
          <w:sz w:val="24"/>
          <w:szCs w:val="24"/>
        </w:rPr>
        <w:t>or appeared before</w:t>
      </w:r>
      <w:r w:rsidR="00394EFC" w:rsidRPr="00A2358C">
        <w:rPr>
          <w:rFonts w:asciiTheme="majorHAnsi" w:hAnsiTheme="majorHAnsi" w:cstheme="majorHAnsi"/>
          <w:sz w:val="24"/>
          <w:szCs w:val="24"/>
        </w:rPr>
        <w:t xml:space="preserve"> public utility commissions </w:t>
      </w:r>
      <w:r w:rsidRPr="00A2358C">
        <w:rPr>
          <w:rFonts w:asciiTheme="majorHAnsi" w:hAnsiTheme="majorHAnsi" w:cstheme="majorHAnsi"/>
          <w:sz w:val="24"/>
          <w:szCs w:val="24"/>
        </w:rPr>
        <w:t xml:space="preserve">or legislative committees in </w:t>
      </w:r>
      <w:r w:rsidR="001715A7" w:rsidRPr="00A2358C">
        <w:rPr>
          <w:rFonts w:asciiTheme="majorHAnsi" w:hAnsiTheme="majorHAnsi" w:cstheme="majorHAnsi"/>
          <w:sz w:val="24"/>
          <w:szCs w:val="24"/>
        </w:rPr>
        <w:t>Arizona, Illinois, Iowa, Kansas, Louisiana, Maryland, Massachusetts, Minnesota, Mississippi, Missouri, New Hampshire,</w:t>
      </w:r>
      <w:r w:rsidR="00394EFC" w:rsidRPr="00A2358C">
        <w:rPr>
          <w:rFonts w:asciiTheme="majorHAnsi" w:hAnsiTheme="majorHAnsi" w:cstheme="majorHAnsi"/>
          <w:sz w:val="24"/>
          <w:szCs w:val="24"/>
        </w:rPr>
        <w:t xml:space="preserve"> New Jersey,</w:t>
      </w:r>
      <w:r w:rsidR="001715A7" w:rsidRPr="00A2358C">
        <w:rPr>
          <w:rFonts w:asciiTheme="majorHAnsi" w:hAnsiTheme="majorHAnsi" w:cstheme="majorHAnsi"/>
          <w:sz w:val="24"/>
          <w:szCs w:val="24"/>
        </w:rPr>
        <w:t xml:space="preserve"> Nevada, South Dakota, </w:t>
      </w:r>
      <w:r w:rsidRPr="00A2358C">
        <w:rPr>
          <w:rFonts w:asciiTheme="majorHAnsi" w:hAnsiTheme="majorHAnsi" w:cstheme="majorHAnsi"/>
          <w:sz w:val="24"/>
          <w:szCs w:val="24"/>
        </w:rPr>
        <w:t xml:space="preserve">Vermont, </w:t>
      </w:r>
      <w:r w:rsidR="001715A7" w:rsidRPr="00A2358C">
        <w:rPr>
          <w:rFonts w:asciiTheme="majorHAnsi" w:hAnsiTheme="majorHAnsi" w:cstheme="majorHAnsi"/>
          <w:sz w:val="24"/>
          <w:szCs w:val="24"/>
        </w:rPr>
        <w:t xml:space="preserve">and </w:t>
      </w:r>
      <w:r w:rsidRPr="00A2358C">
        <w:rPr>
          <w:rFonts w:asciiTheme="majorHAnsi" w:hAnsiTheme="majorHAnsi" w:cstheme="majorHAnsi"/>
          <w:sz w:val="24"/>
          <w:szCs w:val="24"/>
        </w:rPr>
        <w:t>Washington State, as well as at the federal level. I have provided expert representation for stakeholders at the PJM ISO</w:t>
      </w:r>
      <w:r w:rsidR="00394EFC" w:rsidRPr="00A2358C">
        <w:rPr>
          <w:rFonts w:asciiTheme="majorHAnsi" w:hAnsiTheme="majorHAnsi" w:cstheme="majorHAnsi"/>
          <w:sz w:val="24"/>
          <w:szCs w:val="24"/>
        </w:rPr>
        <w:t>, the California ISO, the Midwest ISO,</w:t>
      </w:r>
      <w:r w:rsidRPr="00A2358C">
        <w:rPr>
          <w:rFonts w:asciiTheme="majorHAnsi" w:hAnsiTheme="majorHAnsi" w:cstheme="majorHAnsi"/>
          <w:sz w:val="24"/>
          <w:szCs w:val="24"/>
        </w:rPr>
        <w:t xml:space="preserve"> and at the FERC. While most of my testimony and analytical work has centered on issues in electricity market economics, I have also brought my expertise as a scientist to bear on cases involving </w:t>
      </w:r>
      <w:r w:rsidR="001715A7" w:rsidRPr="00A2358C">
        <w:rPr>
          <w:rFonts w:asciiTheme="majorHAnsi" w:hAnsiTheme="majorHAnsi" w:cstheme="majorHAnsi"/>
          <w:sz w:val="24"/>
          <w:szCs w:val="24"/>
        </w:rPr>
        <w:t xml:space="preserve">and </w:t>
      </w:r>
      <w:r w:rsidRPr="00A2358C">
        <w:rPr>
          <w:rFonts w:asciiTheme="majorHAnsi" w:hAnsiTheme="majorHAnsi" w:cstheme="majorHAnsi"/>
          <w:sz w:val="24"/>
          <w:szCs w:val="24"/>
        </w:rPr>
        <w:t xml:space="preserve">greenhouse gas </w:t>
      </w:r>
      <w:r w:rsidR="00394EFC" w:rsidRPr="00A2358C">
        <w:rPr>
          <w:rFonts w:asciiTheme="majorHAnsi" w:hAnsiTheme="majorHAnsi" w:cstheme="majorHAnsi"/>
          <w:sz w:val="24"/>
          <w:szCs w:val="24"/>
        </w:rPr>
        <w:t xml:space="preserve">regulation and </w:t>
      </w:r>
      <w:r w:rsidRPr="00A2358C">
        <w:rPr>
          <w:rFonts w:asciiTheme="majorHAnsi" w:hAnsiTheme="majorHAnsi" w:cstheme="majorHAnsi"/>
          <w:sz w:val="24"/>
          <w:szCs w:val="24"/>
        </w:rPr>
        <w:t>mitigation in the electric sector.</w:t>
      </w:r>
    </w:p>
    <w:p w14:paraId="319D84DB" w14:textId="77777777" w:rsidR="00EA3F1B" w:rsidRPr="00A2358C" w:rsidRDefault="00EA3F1B" w:rsidP="004136AE">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Prior to joining Synapse, I was employed from 1998 through 2004 as a Senior Associate at Tabors </w:t>
      </w:r>
      <w:proofErr w:type="spellStart"/>
      <w:r w:rsidRPr="00A2358C">
        <w:rPr>
          <w:rFonts w:asciiTheme="majorHAnsi" w:hAnsiTheme="majorHAnsi" w:cstheme="majorHAnsi"/>
          <w:sz w:val="24"/>
          <w:szCs w:val="24"/>
        </w:rPr>
        <w:t>Caramanis</w:t>
      </w:r>
      <w:proofErr w:type="spellEnd"/>
      <w:r w:rsidRPr="00A2358C">
        <w:rPr>
          <w:rFonts w:asciiTheme="majorHAnsi" w:hAnsiTheme="majorHAnsi" w:cstheme="majorHAnsi"/>
          <w:sz w:val="24"/>
          <w:szCs w:val="24"/>
        </w:rPr>
        <w:t xml:space="preserve"> and Associates (TCA) of Cambridge, Massachusetts. In 2004, TCA was acquired by Charles River Associates (CRA), where I remained until I joined Synapse in 2005. At TCA/CRA, I performed a wide range of electricity market and economic analyses and price forecast modeling studies. These included asset valuation </w:t>
      </w:r>
      <w:r w:rsidRPr="00A2358C">
        <w:rPr>
          <w:rFonts w:asciiTheme="majorHAnsi" w:hAnsiTheme="majorHAnsi" w:cstheme="majorHAnsi"/>
          <w:sz w:val="24"/>
          <w:szCs w:val="24"/>
        </w:rPr>
        <w:lastRenderedPageBreak/>
        <w:t>studies, market transition cost/benefit studies, market power analyses, and litigation support. I have extensive personal experience with market simulation, production cost modeling, and resource planning methodologies and software.</w:t>
      </w:r>
    </w:p>
    <w:p w14:paraId="02FEA300" w14:textId="37738179" w:rsidR="001715A7" w:rsidRPr="00A2358C" w:rsidRDefault="001715A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Have</w:t>
      </w:r>
      <w:r w:rsidR="004136AE">
        <w:rPr>
          <w:rFonts w:asciiTheme="majorHAnsi" w:hAnsiTheme="majorHAnsi" w:cstheme="majorHAnsi"/>
          <w:caps w:val="0"/>
          <w:sz w:val="24"/>
          <w:szCs w:val="24"/>
        </w:rPr>
        <w:t xml:space="preserve"> you ever testified before the Washington Utilities and Transportation C</w:t>
      </w:r>
      <w:r w:rsidR="004136AE" w:rsidRPr="00A2358C">
        <w:rPr>
          <w:rFonts w:asciiTheme="majorHAnsi" w:hAnsiTheme="majorHAnsi" w:cstheme="majorHAnsi"/>
          <w:caps w:val="0"/>
          <w:sz w:val="24"/>
          <w:szCs w:val="24"/>
        </w:rPr>
        <w:t>ommi</w:t>
      </w:r>
      <w:r w:rsidR="004136AE">
        <w:rPr>
          <w:rFonts w:asciiTheme="majorHAnsi" w:hAnsiTheme="majorHAnsi" w:cstheme="majorHAnsi"/>
          <w:caps w:val="0"/>
          <w:sz w:val="24"/>
          <w:szCs w:val="24"/>
        </w:rPr>
        <w:t>ssion (WUTC</w:t>
      </w:r>
      <w:r w:rsidR="004136AE" w:rsidRPr="00A2358C">
        <w:rPr>
          <w:rFonts w:asciiTheme="majorHAnsi" w:hAnsiTheme="majorHAnsi" w:cstheme="majorHAnsi"/>
          <w:caps w:val="0"/>
          <w:sz w:val="24"/>
          <w:szCs w:val="24"/>
        </w:rPr>
        <w:t>)?</w:t>
      </w:r>
    </w:p>
    <w:p w14:paraId="7DBFD784" w14:textId="083F2D71" w:rsidR="007C142A" w:rsidRPr="00A2358C" w:rsidRDefault="001715A7" w:rsidP="004136AE">
      <w:pPr>
        <w:pStyle w:val="A"/>
        <w:spacing w:after="240"/>
        <w:rPr>
          <w:rFonts w:asciiTheme="majorHAnsi" w:eastAsiaTheme="minorEastAsia"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Yes. I </w:t>
      </w:r>
      <w:r w:rsidR="00936E83" w:rsidRPr="00A2358C">
        <w:rPr>
          <w:rFonts w:asciiTheme="majorHAnsi" w:hAnsiTheme="majorHAnsi" w:cstheme="majorHAnsi"/>
          <w:sz w:val="24"/>
          <w:szCs w:val="24"/>
        </w:rPr>
        <w:t>testified on behalf of Sierra Club in</w:t>
      </w:r>
      <w:r w:rsidRPr="00A2358C">
        <w:rPr>
          <w:rFonts w:asciiTheme="majorHAnsi" w:hAnsiTheme="majorHAnsi" w:cstheme="majorHAnsi"/>
          <w:sz w:val="24"/>
          <w:szCs w:val="24"/>
        </w:rPr>
        <w:t xml:space="preserve"> Puget Sound Energy</w:t>
      </w:r>
      <w:r w:rsidR="00936E83" w:rsidRPr="00A2358C">
        <w:rPr>
          <w:rFonts w:asciiTheme="majorHAnsi" w:hAnsiTheme="majorHAnsi" w:cstheme="majorHAnsi"/>
          <w:sz w:val="24"/>
          <w:szCs w:val="24"/>
        </w:rPr>
        <w:t>’s</w:t>
      </w:r>
      <w:r w:rsidR="007C142A" w:rsidRPr="00A2358C">
        <w:rPr>
          <w:rFonts w:asciiTheme="majorHAnsi" w:hAnsiTheme="majorHAnsi" w:cstheme="majorHAnsi"/>
          <w:sz w:val="24"/>
          <w:szCs w:val="24"/>
        </w:rPr>
        <w:t xml:space="preserve"> (</w:t>
      </w:r>
      <w:r w:rsidR="00F70B35" w:rsidRPr="00A2358C">
        <w:rPr>
          <w:rFonts w:asciiTheme="majorHAnsi" w:hAnsiTheme="majorHAnsi" w:cstheme="majorHAnsi"/>
          <w:sz w:val="24"/>
          <w:szCs w:val="24"/>
        </w:rPr>
        <w:t>“</w:t>
      </w:r>
      <w:r w:rsidR="007C142A" w:rsidRPr="00A2358C">
        <w:rPr>
          <w:rFonts w:asciiTheme="majorHAnsi" w:hAnsiTheme="majorHAnsi" w:cstheme="majorHAnsi"/>
          <w:sz w:val="24"/>
          <w:szCs w:val="24"/>
        </w:rPr>
        <w:t>PSE</w:t>
      </w:r>
      <w:r w:rsidR="00F70B35" w:rsidRPr="00A2358C">
        <w:rPr>
          <w:rFonts w:asciiTheme="majorHAnsi" w:hAnsiTheme="majorHAnsi" w:cstheme="majorHAnsi"/>
          <w:sz w:val="24"/>
          <w:szCs w:val="24"/>
        </w:rPr>
        <w:t>” or, “Company”</w:t>
      </w:r>
      <w:r w:rsidR="007C142A" w:rsidRPr="00A2358C">
        <w:rPr>
          <w:rFonts w:asciiTheme="majorHAnsi" w:hAnsiTheme="majorHAnsi" w:cstheme="majorHAnsi"/>
          <w:sz w:val="24"/>
          <w:szCs w:val="24"/>
        </w:rPr>
        <w:t>)</w:t>
      </w:r>
      <w:r w:rsidR="0084274F" w:rsidRPr="00A2358C">
        <w:rPr>
          <w:rFonts w:asciiTheme="majorHAnsi" w:hAnsiTheme="majorHAnsi" w:cstheme="majorHAnsi"/>
          <w:sz w:val="24"/>
          <w:szCs w:val="24"/>
        </w:rPr>
        <w:t xml:space="preserve"> 201</w:t>
      </w:r>
      <w:r w:rsidR="00936E83" w:rsidRPr="00A2358C">
        <w:rPr>
          <w:rFonts w:asciiTheme="majorHAnsi" w:hAnsiTheme="majorHAnsi" w:cstheme="majorHAnsi"/>
          <w:sz w:val="24"/>
          <w:szCs w:val="24"/>
        </w:rPr>
        <w:t>2</w:t>
      </w:r>
      <w:r w:rsidR="0084274F" w:rsidRPr="00A2358C">
        <w:rPr>
          <w:rFonts w:asciiTheme="majorHAnsi" w:hAnsiTheme="majorHAnsi" w:cstheme="majorHAnsi"/>
          <w:sz w:val="24"/>
          <w:szCs w:val="24"/>
        </w:rPr>
        <w:t xml:space="preserve"> General Rate Case, Docket Nos. </w:t>
      </w:r>
      <w:proofErr w:type="gramStart"/>
      <w:r w:rsidR="007C142A" w:rsidRPr="00A2358C">
        <w:rPr>
          <w:rFonts w:asciiTheme="majorHAnsi" w:eastAsiaTheme="minorEastAsia" w:hAnsiTheme="majorHAnsi" w:cstheme="majorHAnsi"/>
          <w:sz w:val="24"/>
          <w:szCs w:val="24"/>
        </w:rPr>
        <w:t>UE-111048</w:t>
      </w:r>
      <w:r w:rsidR="007C142A" w:rsidRPr="00A2358C">
        <w:rPr>
          <w:rFonts w:asciiTheme="majorHAnsi" w:hAnsiTheme="majorHAnsi" w:cstheme="majorHAnsi"/>
          <w:sz w:val="24"/>
          <w:szCs w:val="24"/>
        </w:rPr>
        <w:t xml:space="preserve"> </w:t>
      </w:r>
      <w:r w:rsidR="00696119" w:rsidRPr="00A2358C">
        <w:rPr>
          <w:rFonts w:asciiTheme="majorHAnsi" w:hAnsiTheme="majorHAnsi" w:cstheme="majorHAnsi"/>
          <w:sz w:val="24"/>
          <w:szCs w:val="24"/>
        </w:rPr>
        <w:t>a</w:t>
      </w:r>
      <w:r w:rsidR="007C142A" w:rsidRPr="00A2358C">
        <w:rPr>
          <w:rFonts w:asciiTheme="majorHAnsi" w:hAnsiTheme="majorHAnsi" w:cstheme="majorHAnsi"/>
          <w:sz w:val="24"/>
          <w:szCs w:val="24"/>
        </w:rPr>
        <w:t xml:space="preserve">nd </w:t>
      </w:r>
      <w:r w:rsidR="007C142A" w:rsidRPr="00A2358C">
        <w:rPr>
          <w:rFonts w:asciiTheme="majorHAnsi" w:eastAsiaTheme="minorEastAsia" w:hAnsiTheme="majorHAnsi" w:cstheme="majorHAnsi"/>
          <w:sz w:val="24"/>
          <w:szCs w:val="24"/>
        </w:rPr>
        <w:t>UG-111049.</w:t>
      </w:r>
      <w:proofErr w:type="gramEnd"/>
    </w:p>
    <w:p w14:paraId="43BBDCB7" w14:textId="242EF91E" w:rsidR="001715A7" w:rsidRPr="00A2358C" w:rsidRDefault="001715A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What is the purpose of your testimony in this proceeding?</w:t>
      </w:r>
    </w:p>
    <w:p w14:paraId="190F2955" w14:textId="1DC52196" w:rsidR="001715A7" w:rsidRPr="00A2358C" w:rsidRDefault="007C142A" w:rsidP="004136AE">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I</w:t>
      </w:r>
      <w:r w:rsidR="007F60B2" w:rsidRPr="00A2358C">
        <w:rPr>
          <w:rFonts w:asciiTheme="majorHAnsi" w:hAnsiTheme="majorHAnsi" w:cstheme="majorHAnsi"/>
          <w:sz w:val="24"/>
          <w:szCs w:val="24"/>
        </w:rPr>
        <w:t>n this filing</w:t>
      </w:r>
      <w:r w:rsidR="00C85E94" w:rsidRPr="00A2358C">
        <w:rPr>
          <w:rFonts w:asciiTheme="majorHAnsi" w:hAnsiTheme="majorHAnsi" w:cstheme="majorHAnsi"/>
          <w:sz w:val="24"/>
          <w:szCs w:val="24"/>
        </w:rPr>
        <w:t>,</w:t>
      </w:r>
      <w:r w:rsidR="007F60B2" w:rsidRPr="00A2358C">
        <w:rPr>
          <w:rFonts w:asciiTheme="majorHAnsi" w:hAnsiTheme="majorHAnsi" w:cstheme="majorHAnsi"/>
          <w:sz w:val="24"/>
          <w:szCs w:val="24"/>
        </w:rPr>
        <w:t xml:space="preserve"> </w:t>
      </w:r>
      <w:r w:rsidR="00C85E94" w:rsidRPr="00A2358C">
        <w:rPr>
          <w:rFonts w:asciiTheme="majorHAnsi" w:hAnsiTheme="majorHAnsi" w:cstheme="majorHAnsi"/>
          <w:sz w:val="24"/>
          <w:szCs w:val="24"/>
        </w:rPr>
        <w:t xml:space="preserve">PSE proposes an accounting treatment of the </w:t>
      </w:r>
      <w:r w:rsidR="00280D0F" w:rsidRPr="00A2358C">
        <w:rPr>
          <w:rFonts w:asciiTheme="majorHAnsi" w:hAnsiTheme="majorHAnsi" w:cstheme="majorHAnsi"/>
          <w:sz w:val="24"/>
          <w:szCs w:val="24"/>
        </w:rPr>
        <w:t>end-of-life costs for</w:t>
      </w:r>
      <w:r w:rsidR="00C85E94" w:rsidRPr="00A2358C">
        <w:rPr>
          <w:rFonts w:asciiTheme="majorHAnsi" w:hAnsiTheme="majorHAnsi" w:cstheme="majorHAnsi"/>
          <w:sz w:val="24"/>
          <w:szCs w:val="24"/>
        </w:rPr>
        <w:t xml:space="preserve"> Units 1 and 2 of its Colstrip </w:t>
      </w:r>
      <w:r w:rsidR="007F60B2" w:rsidRPr="00A2358C">
        <w:rPr>
          <w:rFonts w:asciiTheme="majorHAnsi" w:hAnsiTheme="majorHAnsi" w:cstheme="majorHAnsi"/>
          <w:sz w:val="24"/>
          <w:szCs w:val="24"/>
        </w:rPr>
        <w:t xml:space="preserve">coal-fired electric generating </w:t>
      </w:r>
      <w:r w:rsidRPr="00A2358C">
        <w:rPr>
          <w:rFonts w:asciiTheme="majorHAnsi" w:hAnsiTheme="majorHAnsi" w:cstheme="majorHAnsi"/>
          <w:sz w:val="24"/>
          <w:szCs w:val="24"/>
        </w:rPr>
        <w:t>units</w:t>
      </w:r>
      <w:r w:rsidR="00394EFC" w:rsidRPr="00A2358C">
        <w:rPr>
          <w:rFonts w:asciiTheme="majorHAnsi" w:hAnsiTheme="majorHAnsi" w:cstheme="majorHAnsi"/>
          <w:sz w:val="24"/>
          <w:szCs w:val="24"/>
        </w:rPr>
        <w:t xml:space="preserve"> </w:t>
      </w:r>
      <w:r w:rsidR="007F60B2" w:rsidRPr="00A2358C">
        <w:rPr>
          <w:rFonts w:asciiTheme="majorHAnsi" w:hAnsiTheme="majorHAnsi" w:cstheme="majorHAnsi"/>
          <w:sz w:val="24"/>
          <w:szCs w:val="24"/>
        </w:rPr>
        <w:t>in eastern Montana</w:t>
      </w:r>
      <w:r w:rsidR="00280D0F" w:rsidRPr="00A2358C">
        <w:rPr>
          <w:rFonts w:asciiTheme="majorHAnsi" w:hAnsiTheme="majorHAnsi" w:cstheme="majorHAnsi"/>
          <w:sz w:val="24"/>
          <w:szCs w:val="24"/>
        </w:rPr>
        <w:t>, including</w:t>
      </w:r>
      <w:r w:rsidR="00C85E94" w:rsidRPr="00A2358C">
        <w:rPr>
          <w:rFonts w:asciiTheme="majorHAnsi" w:hAnsiTheme="majorHAnsi" w:cstheme="majorHAnsi"/>
          <w:sz w:val="24"/>
          <w:szCs w:val="24"/>
        </w:rPr>
        <w:t xml:space="preserve"> repurposing the proceeds of certain otherwise unrelated federal incentives</w:t>
      </w:r>
      <w:r w:rsidR="00280D0F" w:rsidRPr="00A2358C">
        <w:rPr>
          <w:rFonts w:asciiTheme="majorHAnsi" w:hAnsiTheme="majorHAnsi" w:cstheme="majorHAnsi"/>
          <w:sz w:val="24"/>
          <w:szCs w:val="24"/>
        </w:rPr>
        <w:t xml:space="preserve"> to cover the costs of decommissioning and remediation</w:t>
      </w:r>
      <w:r w:rsidRPr="00A2358C">
        <w:rPr>
          <w:rFonts w:asciiTheme="majorHAnsi" w:hAnsiTheme="majorHAnsi" w:cstheme="majorHAnsi"/>
          <w:sz w:val="24"/>
          <w:szCs w:val="24"/>
        </w:rPr>
        <w:t xml:space="preserve">. I </w:t>
      </w:r>
      <w:r w:rsidR="008263BF" w:rsidRPr="00A2358C">
        <w:rPr>
          <w:rFonts w:asciiTheme="majorHAnsi" w:hAnsiTheme="majorHAnsi" w:cstheme="majorHAnsi"/>
          <w:sz w:val="24"/>
          <w:szCs w:val="24"/>
        </w:rPr>
        <w:t xml:space="preserve">recommend certain modifications </w:t>
      </w:r>
      <w:r w:rsidR="002057D2" w:rsidRPr="00A2358C">
        <w:rPr>
          <w:rFonts w:asciiTheme="majorHAnsi" w:hAnsiTheme="majorHAnsi" w:cstheme="majorHAnsi"/>
          <w:sz w:val="24"/>
          <w:szCs w:val="24"/>
        </w:rPr>
        <w:t>to</w:t>
      </w:r>
      <w:r w:rsidRPr="00A2358C">
        <w:rPr>
          <w:rFonts w:asciiTheme="majorHAnsi" w:hAnsiTheme="majorHAnsi" w:cstheme="majorHAnsi"/>
          <w:sz w:val="24"/>
          <w:szCs w:val="24"/>
        </w:rPr>
        <w:t xml:space="preserve"> PSE’s </w:t>
      </w:r>
      <w:r w:rsidR="007F60B2" w:rsidRPr="00A2358C">
        <w:rPr>
          <w:rFonts w:asciiTheme="majorHAnsi" w:hAnsiTheme="majorHAnsi" w:cstheme="majorHAnsi"/>
          <w:sz w:val="24"/>
          <w:szCs w:val="24"/>
        </w:rPr>
        <w:t>proposal,</w:t>
      </w:r>
      <w:r w:rsidR="00F70B35" w:rsidRPr="00A2358C">
        <w:rPr>
          <w:rFonts w:asciiTheme="majorHAnsi" w:hAnsiTheme="majorHAnsi" w:cstheme="majorHAnsi"/>
          <w:sz w:val="24"/>
          <w:szCs w:val="24"/>
        </w:rPr>
        <w:t xml:space="preserve"> and </w:t>
      </w:r>
      <w:r w:rsidR="007F60B2" w:rsidRPr="00A2358C">
        <w:rPr>
          <w:rFonts w:asciiTheme="majorHAnsi" w:hAnsiTheme="majorHAnsi" w:cstheme="majorHAnsi"/>
          <w:sz w:val="24"/>
          <w:szCs w:val="24"/>
        </w:rPr>
        <w:t xml:space="preserve">I </w:t>
      </w:r>
      <w:r w:rsidR="00F70B35" w:rsidRPr="00A2358C">
        <w:rPr>
          <w:rFonts w:asciiTheme="majorHAnsi" w:hAnsiTheme="majorHAnsi" w:cstheme="majorHAnsi"/>
          <w:sz w:val="24"/>
          <w:szCs w:val="24"/>
        </w:rPr>
        <w:t>address the intergenerational equity issues raised by the Company</w:t>
      </w:r>
      <w:r w:rsidR="00936E83" w:rsidRPr="00A2358C">
        <w:rPr>
          <w:rFonts w:asciiTheme="majorHAnsi" w:hAnsiTheme="majorHAnsi" w:cstheme="majorHAnsi"/>
          <w:sz w:val="24"/>
          <w:szCs w:val="24"/>
        </w:rPr>
        <w:t>’s actions</w:t>
      </w:r>
      <w:r w:rsidR="00394EFC" w:rsidRPr="00A2358C">
        <w:rPr>
          <w:rFonts w:asciiTheme="majorHAnsi" w:hAnsiTheme="majorHAnsi" w:cstheme="majorHAnsi"/>
          <w:sz w:val="24"/>
          <w:szCs w:val="24"/>
        </w:rPr>
        <w:t xml:space="preserve">. I also address </w:t>
      </w:r>
      <w:r w:rsidRPr="00A2358C">
        <w:rPr>
          <w:rFonts w:asciiTheme="majorHAnsi" w:hAnsiTheme="majorHAnsi" w:cstheme="majorHAnsi"/>
          <w:sz w:val="24"/>
          <w:szCs w:val="24"/>
        </w:rPr>
        <w:t xml:space="preserve">the implications </w:t>
      </w:r>
      <w:r w:rsidR="00394EFC" w:rsidRPr="00A2358C">
        <w:rPr>
          <w:rFonts w:asciiTheme="majorHAnsi" w:hAnsiTheme="majorHAnsi" w:cstheme="majorHAnsi"/>
          <w:sz w:val="24"/>
          <w:szCs w:val="24"/>
        </w:rPr>
        <w:t xml:space="preserve">of this approach </w:t>
      </w:r>
      <w:r w:rsidRPr="00A2358C">
        <w:rPr>
          <w:rFonts w:asciiTheme="majorHAnsi" w:hAnsiTheme="majorHAnsi" w:cstheme="majorHAnsi"/>
          <w:sz w:val="24"/>
          <w:szCs w:val="24"/>
        </w:rPr>
        <w:t xml:space="preserve">for </w:t>
      </w:r>
      <w:r w:rsidR="00394EFC" w:rsidRPr="00A2358C">
        <w:rPr>
          <w:rFonts w:asciiTheme="majorHAnsi" w:hAnsiTheme="majorHAnsi" w:cstheme="majorHAnsi"/>
          <w:sz w:val="24"/>
          <w:szCs w:val="24"/>
        </w:rPr>
        <w:t xml:space="preserve">PSE’s </w:t>
      </w:r>
      <w:r w:rsidRPr="00A2358C">
        <w:rPr>
          <w:rFonts w:asciiTheme="majorHAnsi" w:hAnsiTheme="majorHAnsi" w:cstheme="majorHAnsi"/>
          <w:sz w:val="24"/>
          <w:szCs w:val="24"/>
        </w:rPr>
        <w:t xml:space="preserve">ability to adequately fund decommissioning and remediation not only of these two units, but </w:t>
      </w:r>
      <w:r w:rsidR="007F60B2" w:rsidRPr="00A2358C">
        <w:rPr>
          <w:rFonts w:asciiTheme="majorHAnsi" w:hAnsiTheme="majorHAnsi" w:cstheme="majorHAnsi"/>
          <w:sz w:val="24"/>
          <w:szCs w:val="24"/>
        </w:rPr>
        <w:t xml:space="preserve">also </w:t>
      </w:r>
      <w:r w:rsidRPr="00A2358C">
        <w:rPr>
          <w:rFonts w:asciiTheme="majorHAnsi" w:hAnsiTheme="majorHAnsi" w:cstheme="majorHAnsi"/>
          <w:sz w:val="24"/>
          <w:szCs w:val="24"/>
        </w:rPr>
        <w:t xml:space="preserve">of Colstrip Units 3 and 4. </w:t>
      </w:r>
      <w:r w:rsidR="00C85E94" w:rsidRPr="00A2358C">
        <w:rPr>
          <w:rFonts w:asciiTheme="majorHAnsi" w:hAnsiTheme="majorHAnsi" w:cstheme="majorHAnsi"/>
          <w:sz w:val="24"/>
          <w:szCs w:val="24"/>
        </w:rPr>
        <w:t xml:space="preserve">Finally, </w:t>
      </w:r>
      <w:r w:rsidRPr="00A2358C">
        <w:rPr>
          <w:rFonts w:asciiTheme="majorHAnsi" w:hAnsiTheme="majorHAnsi" w:cstheme="majorHAnsi"/>
          <w:sz w:val="24"/>
          <w:szCs w:val="24"/>
        </w:rPr>
        <w:t xml:space="preserve">I </w:t>
      </w:r>
      <w:r w:rsidR="001229AC" w:rsidRPr="00A2358C">
        <w:rPr>
          <w:rFonts w:asciiTheme="majorHAnsi" w:hAnsiTheme="majorHAnsi" w:cstheme="majorHAnsi"/>
          <w:sz w:val="24"/>
          <w:szCs w:val="24"/>
        </w:rPr>
        <w:t>address</w:t>
      </w:r>
      <w:r w:rsidRPr="00A2358C">
        <w:rPr>
          <w:rFonts w:asciiTheme="majorHAnsi" w:hAnsiTheme="majorHAnsi" w:cstheme="majorHAnsi"/>
          <w:sz w:val="24"/>
          <w:szCs w:val="24"/>
        </w:rPr>
        <w:t xml:space="preserve"> the company’s</w:t>
      </w:r>
      <w:r w:rsidR="001229AC" w:rsidRPr="00A2358C">
        <w:rPr>
          <w:rFonts w:asciiTheme="majorHAnsi" w:hAnsiTheme="majorHAnsi" w:cstheme="majorHAnsi"/>
          <w:sz w:val="24"/>
          <w:szCs w:val="24"/>
        </w:rPr>
        <w:t xml:space="preserve"> proposed </w:t>
      </w:r>
      <w:r w:rsidRPr="00A2358C">
        <w:rPr>
          <w:rFonts w:asciiTheme="majorHAnsi" w:hAnsiTheme="majorHAnsi" w:cstheme="majorHAnsi"/>
          <w:sz w:val="24"/>
          <w:szCs w:val="24"/>
        </w:rPr>
        <w:t xml:space="preserve">assumptions </w:t>
      </w:r>
      <w:r w:rsidR="00A64D02" w:rsidRPr="00A2358C">
        <w:rPr>
          <w:rFonts w:asciiTheme="majorHAnsi" w:hAnsiTheme="majorHAnsi" w:cstheme="majorHAnsi"/>
          <w:sz w:val="24"/>
          <w:szCs w:val="24"/>
        </w:rPr>
        <w:t>regarding</w:t>
      </w:r>
      <w:r w:rsidRPr="00A2358C">
        <w:rPr>
          <w:rFonts w:asciiTheme="majorHAnsi" w:hAnsiTheme="majorHAnsi" w:cstheme="majorHAnsi"/>
          <w:sz w:val="24"/>
          <w:szCs w:val="24"/>
        </w:rPr>
        <w:t xml:space="preserve"> the remaining life of </w:t>
      </w:r>
      <w:r w:rsidR="00C85E94" w:rsidRPr="00A2358C">
        <w:rPr>
          <w:rFonts w:asciiTheme="majorHAnsi" w:hAnsiTheme="majorHAnsi" w:cstheme="majorHAnsi"/>
          <w:sz w:val="24"/>
          <w:szCs w:val="24"/>
        </w:rPr>
        <w:t xml:space="preserve">Colstrip </w:t>
      </w:r>
      <w:r w:rsidRPr="00A2358C">
        <w:rPr>
          <w:rFonts w:asciiTheme="majorHAnsi" w:hAnsiTheme="majorHAnsi" w:cstheme="majorHAnsi"/>
          <w:sz w:val="24"/>
          <w:szCs w:val="24"/>
        </w:rPr>
        <w:t>Units 3 and 4</w:t>
      </w:r>
      <w:r w:rsidR="00C85E94" w:rsidRPr="00A2358C">
        <w:rPr>
          <w:rFonts w:asciiTheme="majorHAnsi" w:hAnsiTheme="majorHAnsi" w:cstheme="majorHAnsi"/>
          <w:sz w:val="24"/>
          <w:szCs w:val="24"/>
        </w:rPr>
        <w:t xml:space="preserve"> for depreciation purposes</w:t>
      </w:r>
      <w:r w:rsidR="001229AC" w:rsidRPr="00A2358C">
        <w:rPr>
          <w:rFonts w:asciiTheme="majorHAnsi" w:hAnsiTheme="majorHAnsi" w:cstheme="majorHAnsi"/>
          <w:sz w:val="24"/>
          <w:szCs w:val="24"/>
        </w:rPr>
        <w:t>.</w:t>
      </w:r>
    </w:p>
    <w:p w14:paraId="75B154FA" w14:textId="77777777" w:rsidR="008139C8" w:rsidRPr="00A2358C" w:rsidRDefault="008139C8" w:rsidP="00FD7B0F">
      <w:pPr>
        <w:pStyle w:val="Heading1"/>
      </w:pPr>
      <w:bookmarkStart w:id="2" w:name="_Toc486496055"/>
      <w:r w:rsidRPr="00A2358C">
        <w:t>Summary of Conclusions and Recommendations</w:t>
      </w:r>
      <w:bookmarkEnd w:id="2"/>
    </w:p>
    <w:p w14:paraId="2F15F661" w14:textId="5ED327D6" w:rsidR="007C142A" w:rsidRPr="00A2358C" w:rsidRDefault="007C142A"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What are your</w:t>
      </w:r>
      <w:r w:rsidR="00073B71">
        <w:rPr>
          <w:rFonts w:asciiTheme="majorHAnsi" w:hAnsiTheme="majorHAnsi" w:cstheme="majorHAnsi"/>
          <w:caps w:val="0"/>
          <w:sz w:val="24"/>
          <w:szCs w:val="24"/>
        </w:rPr>
        <w:t xml:space="preserve"> conclusions regarding the C</w:t>
      </w:r>
      <w:r w:rsidR="004136AE" w:rsidRPr="00A2358C">
        <w:rPr>
          <w:rFonts w:asciiTheme="majorHAnsi" w:hAnsiTheme="majorHAnsi" w:cstheme="majorHAnsi"/>
          <w:caps w:val="0"/>
          <w:sz w:val="24"/>
          <w:szCs w:val="24"/>
        </w:rPr>
        <w:t>ompany’s plans for funding</w:t>
      </w:r>
      <w:r w:rsidR="004136AE">
        <w:rPr>
          <w:rFonts w:asciiTheme="majorHAnsi" w:hAnsiTheme="majorHAnsi" w:cstheme="majorHAnsi"/>
          <w:caps w:val="0"/>
          <w:sz w:val="24"/>
          <w:szCs w:val="24"/>
        </w:rPr>
        <w:t xml:space="preserve"> the liability associated with C</w:t>
      </w:r>
      <w:r w:rsidR="00457388">
        <w:rPr>
          <w:rFonts w:asciiTheme="majorHAnsi" w:hAnsiTheme="majorHAnsi" w:cstheme="majorHAnsi"/>
          <w:caps w:val="0"/>
          <w:sz w:val="24"/>
          <w:szCs w:val="24"/>
        </w:rPr>
        <w:t>olstrip U</w:t>
      </w:r>
      <w:r w:rsidR="004136AE" w:rsidRPr="00A2358C">
        <w:rPr>
          <w:rFonts w:asciiTheme="majorHAnsi" w:hAnsiTheme="majorHAnsi" w:cstheme="majorHAnsi"/>
          <w:caps w:val="0"/>
          <w:sz w:val="24"/>
          <w:szCs w:val="24"/>
        </w:rPr>
        <w:t>nits 1 and 2</w:t>
      </w:r>
      <w:r w:rsidRPr="00A2358C">
        <w:rPr>
          <w:rFonts w:asciiTheme="majorHAnsi" w:hAnsiTheme="majorHAnsi" w:cstheme="majorHAnsi"/>
          <w:sz w:val="24"/>
          <w:szCs w:val="24"/>
        </w:rPr>
        <w:t>?</w:t>
      </w:r>
    </w:p>
    <w:p w14:paraId="0C98B6C8" w14:textId="660F9944" w:rsidR="008263BF" w:rsidRPr="00A2358C" w:rsidRDefault="007C142A"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8263BF" w:rsidRPr="00A2358C">
        <w:rPr>
          <w:rFonts w:asciiTheme="majorHAnsi" w:hAnsiTheme="majorHAnsi" w:cstheme="majorHAnsi"/>
          <w:sz w:val="24"/>
          <w:szCs w:val="24"/>
        </w:rPr>
        <w:t>T</w:t>
      </w:r>
      <w:r w:rsidR="00073B71">
        <w:rPr>
          <w:rFonts w:asciiTheme="majorHAnsi" w:hAnsiTheme="majorHAnsi" w:cstheme="majorHAnsi"/>
          <w:sz w:val="24"/>
          <w:szCs w:val="24"/>
        </w:rPr>
        <w:t>he C</w:t>
      </w:r>
      <w:r w:rsidRPr="00A2358C">
        <w:rPr>
          <w:rFonts w:asciiTheme="majorHAnsi" w:hAnsiTheme="majorHAnsi" w:cstheme="majorHAnsi"/>
          <w:sz w:val="24"/>
          <w:szCs w:val="24"/>
        </w:rPr>
        <w:t>ompany’s plan</w:t>
      </w:r>
      <w:r w:rsidR="008263BF" w:rsidRPr="00A2358C">
        <w:rPr>
          <w:rFonts w:asciiTheme="majorHAnsi" w:hAnsiTheme="majorHAnsi" w:cstheme="majorHAnsi"/>
          <w:sz w:val="24"/>
          <w:szCs w:val="24"/>
        </w:rPr>
        <w:t xml:space="preserve"> to use treasury grants and Production Tax Credits (PTCs) to offset </w:t>
      </w:r>
      <w:r w:rsidR="008263BF" w:rsidRPr="00A2358C">
        <w:rPr>
          <w:rFonts w:asciiTheme="majorHAnsi" w:hAnsiTheme="majorHAnsi" w:cstheme="majorHAnsi"/>
          <w:sz w:val="24"/>
          <w:szCs w:val="24"/>
        </w:rPr>
        <w:lastRenderedPageBreak/>
        <w:t xml:space="preserve">the costs of decommissioning and remediation for Colstrip Units 1 and 2 was </w:t>
      </w:r>
      <w:r w:rsidR="00F70B35" w:rsidRPr="00A2358C">
        <w:rPr>
          <w:rFonts w:asciiTheme="majorHAnsi" w:hAnsiTheme="majorHAnsi" w:cstheme="majorHAnsi"/>
          <w:sz w:val="24"/>
          <w:szCs w:val="24"/>
        </w:rPr>
        <w:t>authorized by the Washington legislature</w:t>
      </w:r>
      <w:r w:rsidR="008263BF" w:rsidRPr="00A2358C">
        <w:rPr>
          <w:rFonts w:asciiTheme="majorHAnsi" w:hAnsiTheme="majorHAnsi" w:cstheme="majorHAnsi"/>
          <w:sz w:val="24"/>
          <w:szCs w:val="24"/>
        </w:rPr>
        <w:t xml:space="preserve"> in June 2016. This approach represents a reasonable if unconventional path out of a bad situation for PSE. </w:t>
      </w:r>
      <w:r w:rsidR="008A63C5" w:rsidRPr="00A2358C">
        <w:rPr>
          <w:rFonts w:asciiTheme="majorHAnsi" w:hAnsiTheme="majorHAnsi" w:cstheme="majorHAnsi"/>
          <w:sz w:val="24"/>
          <w:szCs w:val="24"/>
        </w:rPr>
        <w:t xml:space="preserve">The company proposes to </w:t>
      </w:r>
      <w:r w:rsidR="002057D2" w:rsidRPr="00A2358C">
        <w:rPr>
          <w:rFonts w:asciiTheme="majorHAnsi" w:hAnsiTheme="majorHAnsi" w:cstheme="majorHAnsi"/>
          <w:sz w:val="24"/>
          <w:szCs w:val="24"/>
        </w:rPr>
        <w:t xml:space="preserve">combine two unlike factors into one, </w:t>
      </w:r>
      <w:r w:rsidR="008F756A" w:rsidRPr="00A2358C">
        <w:rPr>
          <w:rFonts w:asciiTheme="majorHAnsi" w:hAnsiTheme="majorHAnsi" w:cstheme="majorHAnsi"/>
          <w:sz w:val="24"/>
          <w:szCs w:val="24"/>
        </w:rPr>
        <w:t>using</w:t>
      </w:r>
      <w:r w:rsidR="00F70B35" w:rsidRPr="00A2358C">
        <w:rPr>
          <w:rFonts w:asciiTheme="majorHAnsi" w:hAnsiTheme="majorHAnsi" w:cstheme="majorHAnsi"/>
          <w:sz w:val="24"/>
          <w:szCs w:val="24"/>
        </w:rPr>
        <w:t xml:space="preserve"> </w:t>
      </w:r>
      <w:r w:rsidR="00C85E94" w:rsidRPr="00A2358C">
        <w:rPr>
          <w:rFonts w:asciiTheme="majorHAnsi" w:hAnsiTheme="majorHAnsi" w:cstheme="majorHAnsi"/>
          <w:sz w:val="24"/>
          <w:szCs w:val="24"/>
        </w:rPr>
        <w:t xml:space="preserve">unrelated </w:t>
      </w:r>
      <w:r w:rsidR="002057D2" w:rsidRPr="00A2358C">
        <w:rPr>
          <w:rFonts w:asciiTheme="majorHAnsi" w:hAnsiTheme="majorHAnsi" w:cstheme="majorHAnsi"/>
          <w:sz w:val="24"/>
          <w:szCs w:val="24"/>
        </w:rPr>
        <w:t xml:space="preserve">treasury grants and tax credits </w:t>
      </w:r>
      <w:r w:rsidR="00F70B35" w:rsidRPr="00A2358C">
        <w:rPr>
          <w:rFonts w:asciiTheme="majorHAnsi" w:hAnsiTheme="majorHAnsi" w:cstheme="majorHAnsi"/>
          <w:sz w:val="24"/>
          <w:szCs w:val="24"/>
        </w:rPr>
        <w:t xml:space="preserve">whose value </w:t>
      </w:r>
      <w:r w:rsidR="002057D2" w:rsidRPr="00A2358C">
        <w:rPr>
          <w:rFonts w:asciiTheme="majorHAnsi" w:hAnsiTheme="majorHAnsi" w:cstheme="majorHAnsi"/>
          <w:sz w:val="24"/>
          <w:szCs w:val="24"/>
        </w:rPr>
        <w:t>should already accrue to ratepayers to mask the impact of its earlier use of an unrealistic depreciable life for Colstrip Units 1 and 2.</w:t>
      </w:r>
      <w:r w:rsidR="00E05592" w:rsidRPr="00A2358C">
        <w:rPr>
          <w:rFonts w:asciiTheme="majorHAnsi" w:hAnsiTheme="majorHAnsi" w:cstheme="majorHAnsi"/>
          <w:sz w:val="24"/>
          <w:szCs w:val="24"/>
        </w:rPr>
        <w:t xml:space="preserve"> </w:t>
      </w:r>
      <w:r w:rsidR="00A31713" w:rsidRPr="00A2358C">
        <w:rPr>
          <w:rFonts w:asciiTheme="majorHAnsi" w:hAnsiTheme="majorHAnsi" w:cstheme="majorHAnsi"/>
          <w:sz w:val="24"/>
          <w:szCs w:val="24"/>
        </w:rPr>
        <w:t>The</w:t>
      </w:r>
      <w:r w:rsidR="00E05592" w:rsidRPr="00A2358C">
        <w:rPr>
          <w:rFonts w:asciiTheme="majorHAnsi" w:hAnsiTheme="majorHAnsi" w:cstheme="majorHAnsi"/>
          <w:sz w:val="24"/>
          <w:szCs w:val="24"/>
        </w:rPr>
        <w:t xml:space="preserve"> benefit to this approach </w:t>
      </w:r>
      <w:r w:rsidR="00A31713" w:rsidRPr="00A2358C">
        <w:rPr>
          <w:rFonts w:asciiTheme="majorHAnsi" w:hAnsiTheme="majorHAnsi" w:cstheme="majorHAnsi"/>
          <w:sz w:val="24"/>
          <w:szCs w:val="24"/>
        </w:rPr>
        <w:t xml:space="preserve">is </w:t>
      </w:r>
      <w:r w:rsidR="00E05592" w:rsidRPr="00A2358C">
        <w:rPr>
          <w:rFonts w:asciiTheme="majorHAnsi" w:hAnsiTheme="majorHAnsi" w:cstheme="majorHAnsi"/>
          <w:sz w:val="24"/>
          <w:szCs w:val="24"/>
        </w:rPr>
        <w:t>that it combines two problems of intergenerational inequity</w:t>
      </w:r>
      <w:r w:rsidR="00A31713" w:rsidRPr="00A2358C">
        <w:rPr>
          <w:rFonts w:asciiTheme="majorHAnsi" w:hAnsiTheme="majorHAnsi" w:cstheme="majorHAnsi"/>
          <w:sz w:val="24"/>
          <w:szCs w:val="24"/>
        </w:rPr>
        <w:t>, which roughly balance each other out</w:t>
      </w:r>
      <w:r w:rsidR="00E05592" w:rsidRPr="00A2358C">
        <w:rPr>
          <w:rFonts w:asciiTheme="majorHAnsi" w:hAnsiTheme="majorHAnsi" w:cstheme="majorHAnsi"/>
          <w:sz w:val="24"/>
          <w:szCs w:val="24"/>
        </w:rPr>
        <w:t>.</w:t>
      </w:r>
      <w:r w:rsidR="002057D2" w:rsidRPr="00A2358C">
        <w:rPr>
          <w:rFonts w:asciiTheme="majorHAnsi" w:hAnsiTheme="majorHAnsi" w:cstheme="majorHAnsi"/>
          <w:sz w:val="24"/>
          <w:szCs w:val="24"/>
        </w:rPr>
        <w:t xml:space="preserve"> </w:t>
      </w:r>
    </w:p>
    <w:p w14:paraId="7899AEF1" w14:textId="214257BC" w:rsidR="007C142A" w:rsidRPr="00A2358C" w:rsidRDefault="000A502D" w:rsidP="004136AE">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W</w:t>
      </w:r>
      <w:r w:rsidR="00A64D02" w:rsidRPr="00A2358C">
        <w:rPr>
          <w:rFonts w:asciiTheme="majorHAnsi" w:hAnsiTheme="majorHAnsi" w:cstheme="majorHAnsi"/>
          <w:sz w:val="24"/>
          <w:szCs w:val="24"/>
        </w:rPr>
        <w:t xml:space="preserve">hile the </w:t>
      </w:r>
      <w:r w:rsidR="00F70B35" w:rsidRPr="00A2358C">
        <w:rPr>
          <w:rFonts w:asciiTheme="majorHAnsi" w:hAnsiTheme="majorHAnsi" w:cstheme="majorHAnsi"/>
          <w:sz w:val="24"/>
          <w:szCs w:val="24"/>
        </w:rPr>
        <w:t>C</w:t>
      </w:r>
      <w:r w:rsidR="00A64D02" w:rsidRPr="00A2358C">
        <w:rPr>
          <w:rFonts w:asciiTheme="majorHAnsi" w:hAnsiTheme="majorHAnsi" w:cstheme="majorHAnsi"/>
          <w:sz w:val="24"/>
          <w:szCs w:val="24"/>
        </w:rPr>
        <w:t xml:space="preserve">ompany may </w:t>
      </w:r>
      <w:r w:rsidRPr="00A2358C">
        <w:rPr>
          <w:rFonts w:asciiTheme="majorHAnsi" w:hAnsiTheme="majorHAnsi" w:cstheme="majorHAnsi"/>
          <w:sz w:val="24"/>
          <w:szCs w:val="24"/>
        </w:rPr>
        <w:t xml:space="preserve">have found a means to paper over </w:t>
      </w:r>
      <w:r w:rsidR="00A64D02" w:rsidRPr="00A2358C">
        <w:rPr>
          <w:rFonts w:asciiTheme="majorHAnsi" w:hAnsiTheme="majorHAnsi" w:cstheme="majorHAnsi"/>
          <w:sz w:val="24"/>
          <w:szCs w:val="24"/>
        </w:rPr>
        <w:t xml:space="preserve">this predicament of its own making with regard to Units 1 and 2, </w:t>
      </w:r>
      <w:r w:rsidR="00E05592" w:rsidRPr="00A2358C">
        <w:rPr>
          <w:rFonts w:asciiTheme="majorHAnsi" w:hAnsiTheme="majorHAnsi" w:cstheme="majorHAnsi"/>
          <w:sz w:val="24"/>
          <w:szCs w:val="24"/>
        </w:rPr>
        <w:t xml:space="preserve">the Commission should not condone this one-time fix as good ratemaking practice. Specifically, PSE’s </w:t>
      </w:r>
      <w:r w:rsidR="00280D0F" w:rsidRPr="00A2358C">
        <w:rPr>
          <w:rFonts w:asciiTheme="majorHAnsi" w:hAnsiTheme="majorHAnsi" w:cstheme="majorHAnsi"/>
          <w:sz w:val="24"/>
          <w:szCs w:val="24"/>
        </w:rPr>
        <w:t xml:space="preserve">proposed </w:t>
      </w:r>
      <w:r w:rsidR="00C85E94" w:rsidRPr="00A2358C">
        <w:rPr>
          <w:rFonts w:asciiTheme="majorHAnsi" w:hAnsiTheme="majorHAnsi" w:cstheme="majorHAnsi"/>
          <w:sz w:val="24"/>
          <w:szCs w:val="24"/>
        </w:rPr>
        <w:t>depreciati</w:t>
      </w:r>
      <w:r w:rsidR="00280D0F" w:rsidRPr="00A2358C">
        <w:rPr>
          <w:rFonts w:asciiTheme="majorHAnsi" w:hAnsiTheme="majorHAnsi" w:cstheme="majorHAnsi"/>
          <w:sz w:val="24"/>
          <w:szCs w:val="24"/>
        </w:rPr>
        <w:t xml:space="preserve">on schedule for </w:t>
      </w:r>
      <w:r w:rsidR="00C85E94" w:rsidRPr="00A2358C">
        <w:rPr>
          <w:rFonts w:asciiTheme="majorHAnsi" w:hAnsiTheme="majorHAnsi" w:cstheme="majorHAnsi"/>
          <w:sz w:val="24"/>
          <w:szCs w:val="24"/>
        </w:rPr>
        <w:t xml:space="preserve">Units 3 and 4 </w:t>
      </w:r>
      <w:r w:rsidR="00A31713" w:rsidRPr="00A2358C">
        <w:rPr>
          <w:rFonts w:asciiTheme="majorHAnsi" w:hAnsiTheme="majorHAnsi" w:cstheme="majorHAnsi"/>
          <w:sz w:val="24"/>
          <w:szCs w:val="24"/>
        </w:rPr>
        <w:t xml:space="preserve">in the current petition </w:t>
      </w:r>
      <w:r w:rsidR="00A64D02" w:rsidRPr="00A2358C">
        <w:rPr>
          <w:rFonts w:asciiTheme="majorHAnsi" w:hAnsiTheme="majorHAnsi" w:cstheme="majorHAnsi"/>
          <w:sz w:val="24"/>
          <w:szCs w:val="24"/>
        </w:rPr>
        <w:t>would lead it directly into the same bind</w:t>
      </w:r>
      <w:r w:rsidR="00C85E94" w:rsidRPr="00A2358C">
        <w:rPr>
          <w:rFonts w:asciiTheme="majorHAnsi" w:hAnsiTheme="majorHAnsi" w:cstheme="majorHAnsi"/>
          <w:sz w:val="24"/>
          <w:szCs w:val="24"/>
        </w:rPr>
        <w:t xml:space="preserve"> as those units reach retirement,</w:t>
      </w:r>
      <w:r w:rsidR="00A64D02" w:rsidRPr="00A2358C">
        <w:rPr>
          <w:rFonts w:asciiTheme="majorHAnsi" w:hAnsiTheme="majorHAnsi" w:cstheme="majorHAnsi"/>
          <w:sz w:val="24"/>
          <w:szCs w:val="24"/>
        </w:rPr>
        <w:t xml:space="preserve"> but with no similar mechanism available to salvage the situation and </w:t>
      </w:r>
      <w:r w:rsidR="00C85E94" w:rsidRPr="00A2358C">
        <w:rPr>
          <w:rFonts w:asciiTheme="majorHAnsi" w:hAnsiTheme="majorHAnsi" w:cstheme="majorHAnsi"/>
          <w:sz w:val="24"/>
          <w:szCs w:val="24"/>
        </w:rPr>
        <w:t xml:space="preserve">restore </w:t>
      </w:r>
      <w:r w:rsidR="00A64D02" w:rsidRPr="00A2358C">
        <w:rPr>
          <w:rFonts w:asciiTheme="majorHAnsi" w:hAnsiTheme="majorHAnsi" w:cstheme="majorHAnsi"/>
          <w:sz w:val="24"/>
          <w:szCs w:val="24"/>
        </w:rPr>
        <w:t>intergenerational equity.</w:t>
      </w:r>
    </w:p>
    <w:p w14:paraId="3AD94D3C" w14:textId="2ED3AE80" w:rsidR="00A64D02" w:rsidRPr="00A2358C" w:rsidRDefault="00A64D02"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What ar</w:t>
      </w:r>
      <w:r w:rsidR="004136AE">
        <w:rPr>
          <w:rFonts w:asciiTheme="majorHAnsi" w:hAnsiTheme="majorHAnsi" w:cstheme="majorHAnsi"/>
          <w:caps w:val="0"/>
          <w:sz w:val="24"/>
          <w:szCs w:val="24"/>
        </w:rPr>
        <w:t>e your conclusions regarding PSE</w:t>
      </w:r>
      <w:r w:rsidR="004136AE" w:rsidRPr="00A2358C">
        <w:rPr>
          <w:rFonts w:asciiTheme="majorHAnsi" w:hAnsiTheme="majorHAnsi" w:cstheme="majorHAnsi"/>
          <w:caps w:val="0"/>
          <w:sz w:val="24"/>
          <w:szCs w:val="24"/>
        </w:rPr>
        <w:t xml:space="preserve">’s request to adjust </w:t>
      </w:r>
      <w:r w:rsidR="004136AE">
        <w:rPr>
          <w:rFonts w:asciiTheme="majorHAnsi" w:hAnsiTheme="majorHAnsi" w:cstheme="majorHAnsi"/>
          <w:caps w:val="0"/>
          <w:sz w:val="24"/>
          <w:szCs w:val="24"/>
        </w:rPr>
        <w:t>the depreciation schedules for C</w:t>
      </w:r>
      <w:r w:rsidR="00457388">
        <w:rPr>
          <w:rFonts w:asciiTheme="majorHAnsi" w:hAnsiTheme="majorHAnsi" w:cstheme="majorHAnsi"/>
          <w:caps w:val="0"/>
          <w:sz w:val="24"/>
          <w:szCs w:val="24"/>
        </w:rPr>
        <w:t>olstrip U</w:t>
      </w:r>
      <w:r w:rsidR="004136AE" w:rsidRPr="00A2358C">
        <w:rPr>
          <w:rFonts w:asciiTheme="majorHAnsi" w:hAnsiTheme="majorHAnsi" w:cstheme="majorHAnsi"/>
          <w:caps w:val="0"/>
          <w:sz w:val="24"/>
          <w:szCs w:val="24"/>
        </w:rPr>
        <w:t>nits 3 and 4?</w:t>
      </w:r>
    </w:p>
    <w:p w14:paraId="6CB0D703" w14:textId="1A34FB0B" w:rsidR="0062787C" w:rsidRPr="00A2358C" w:rsidRDefault="00A64D02"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1229AC" w:rsidRPr="00A2358C">
        <w:rPr>
          <w:rFonts w:asciiTheme="majorHAnsi" w:hAnsiTheme="majorHAnsi" w:cstheme="majorHAnsi"/>
          <w:sz w:val="24"/>
          <w:szCs w:val="24"/>
        </w:rPr>
        <w:t xml:space="preserve">I agree with PSE’s witness John J. </w:t>
      </w:r>
      <w:proofErr w:type="spellStart"/>
      <w:r w:rsidR="001229AC" w:rsidRPr="00A2358C">
        <w:rPr>
          <w:rFonts w:asciiTheme="majorHAnsi" w:hAnsiTheme="majorHAnsi" w:cstheme="majorHAnsi"/>
          <w:sz w:val="24"/>
          <w:szCs w:val="24"/>
        </w:rPr>
        <w:t>Spanos</w:t>
      </w:r>
      <w:proofErr w:type="spellEnd"/>
      <w:r w:rsidR="001229AC" w:rsidRPr="00A2358C">
        <w:rPr>
          <w:rFonts w:asciiTheme="majorHAnsi" w:hAnsiTheme="majorHAnsi" w:cstheme="majorHAnsi"/>
          <w:sz w:val="24"/>
          <w:szCs w:val="24"/>
        </w:rPr>
        <w:t xml:space="preserve"> that PSE should accelerate the depreciation schedule for Colstrip Units 3 </w:t>
      </w:r>
      <w:r w:rsidR="00936E83" w:rsidRPr="00A2358C">
        <w:rPr>
          <w:rFonts w:asciiTheme="majorHAnsi" w:hAnsiTheme="majorHAnsi" w:cstheme="majorHAnsi"/>
          <w:sz w:val="24"/>
          <w:szCs w:val="24"/>
        </w:rPr>
        <w:t>and</w:t>
      </w:r>
      <w:r w:rsidR="001229AC" w:rsidRPr="00A2358C">
        <w:rPr>
          <w:rFonts w:asciiTheme="majorHAnsi" w:hAnsiTheme="majorHAnsi" w:cstheme="majorHAnsi"/>
          <w:sz w:val="24"/>
          <w:szCs w:val="24"/>
        </w:rPr>
        <w:t xml:space="preserve"> 4. However, the Company’s proposal to set depreciation rates based </w:t>
      </w:r>
      <w:r w:rsidR="00946A70">
        <w:rPr>
          <w:rFonts w:asciiTheme="majorHAnsi" w:hAnsiTheme="majorHAnsi" w:cstheme="majorHAnsi"/>
          <w:sz w:val="24"/>
          <w:szCs w:val="24"/>
        </w:rPr>
        <w:t>on a</w:t>
      </w:r>
      <w:r w:rsidR="00961EEB" w:rsidRPr="00A2358C">
        <w:rPr>
          <w:rFonts w:asciiTheme="majorHAnsi" w:hAnsiTheme="majorHAnsi" w:cstheme="majorHAnsi"/>
          <w:sz w:val="24"/>
          <w:szCs w:val="24"/>
        </w:rPr>
        <w:t xml:space="preserve"> </w:t>
      </w:r>
      <w:r w:rsidR="001229AC" w:rsidRPr="00A2358C">
        <w:rPr>
          <w:rFonts w:asciiTheme="majorHAnsi" w:hAnsiTheme="majorHAnsi" w:cstheme="majorHAnsi"/>
          <w:sz w:val="24"/>
          <w:szCs w:val="24"/>
        </w:rPr>
        <w:t xml:space="preserve">2035 </w:t>
      </w:r>
      <w:r w:rsidR="00961EEB" w:rsidRPr="00A2358C">
        <w:rPr>
          <w:rFonts w:asciiTheme="majorHAnsi" w:hAnsiTheme="majorHAnsi" w:cstheme="majorHAnsi"/>
          <w:sz w:val="24"/>
          <w:szCs w:val="24"/>
        </w:rPr>
        <w:t>end-of-life</w:t>
      </w:r>
      <w:r w:rsidR="001229AC" w:rsidRPr="00A2358C">
        <w:rPr>
          <w:rFonts w:asciiTheme="majorHAnsi" w:hAnsiTheme="majorHAnsi" w:cstheme="majorHAnsi"/>
          <w:sz w:val="24"/>
          <w:szCs w:val="24"/>
        </w:rPr>
        <w:t xml:space="preserve"> date does not go far enough. </w:t>
      </w:r>
      <w:r w:rsidRPr="00A2358C">
        <w:rPr>
          <w:rFonts w:asciiTheme="majorHAnsi" w:hAnsiTheme="majorHAnsi" w:cstheme="majorHAnsi"/>
          <w:sz w:val="24"/>
          <w:szCs w:val="24"/>
        </w:rPr>
        <w:t xml:space="preserve">I find that the company’s assumptions regarding the </w:t>
      </w:r>
      <w:r w:rsidR="0065687A" w:rsidRPr="00A2358C">
        <w:rPr>
          <w:rFonts w:asciiTheme="majorHAnsi" w:hAnsiTheme="majorHAnsi" w:cstheme="majorHAnsi"/>
          <w:sz w:val="24"/>
          <w:szCs w:val="24"/>
        </w:rPr>
        <w:t xml:space="preserve">long-term </w:t>
      </w:r>
      <w:r w:rsidRPr="00A2358C">
        <w:rPr>
          <w:rFonts w:asciiTheme="majorHAnsi" w:hAnsiTheme="majorHAnsi" w:cstheme="majorHAnsi"/>
          <w:sz w:val="24"/>
          <w:szCs w:val="24"/>
        </w:rPr>
        <w:t>future viability of Units 3 and 4 are manifestly unrealistic</w:t>
      </w:r>
      <w:r w:rsidR="006442A5" w:rsidRPr="00A2358C">
        <w:rPr>
          <w:rFonts w:asciiTheme="majorHAnsi" w:hAnsiTheme="majorHAnsi" w:cstheme="majorHAnsi"/>
          <w:sz w:val="24"/>
          <w:szCs w:val="24"/>
        </w:rPr>
        <w:t xml:space="preserve"> </w:t>
      </w:r>
      <w:r w:rsidR="0065687A" w:rsidRPr="00A2358C">
        <w:rPr>
          <w:rFonts w:asciiTheme="majorHAnsi" w:hAnsiTheme="majorHAnsi" w:cstheme="majorHAnsi"/>
          <w:sz w:val="24"/>
          <w:szCs w:val="24"/>
        </w:rPr>
        <w:t xml:space="preserve">for a number of reasons, including the cost of coal relative to other fuels and generation resource types; the likely </w:t>
      </w:r>
      <w:r w:rsidR="00595A8C" w:rsidRPr="00A2358C">
        <w:rPr>
          <w:rFonts w:asciiTheme="majorHAnsi" w:hAnsiTheme="majorHAnsi" w:cstheme="majorHAnsi"/>
          <w:sz w:val="24"/>
          <w:szCs w:val="24"/>
        </w:rPr>
        <w:t xml:space="preserve">future </w:t>
      </w:r>
      <w:r w:rsidR="0065687A" w:rsidRPr="00A2358C">
        <w:rPr>
          <w:rFonts w:asciiTheme="majorHAnsi" w:hAnsiTheme="majorHAnsi" w:cstheme="majorHAnsi"/>
          <w:sz w:val="24"/>
          <w:szCs w:val="24"/>
        </w:rPr>
        <w:t>cost</w:t>
      </w:r>
      <w:r w:rsidR="00595A8C" w:rsidRPr="00A2358C">
        <w:rPr>
          <w:rFonts w:asciiTheme="majorHAnsi" w:hAnsiTheme="majorHAnsi" w:cstheme="majorHAnsi"/>
          <w:sz w:val="24"/>
          <w:szCs w:val="24"/>
        </w:rPr>
        <w:t>s</w:t>
      </w:r>
      <w:r w:rsidR="0065687A" w:rsidRPr="00A2358C">
        <w:rPr>
          <w:rFonts w:asciiTheme="majorHAnsi" w:hAnsiTheme="majorHAnsi" w:cstheme="majorHAnsi"/>
          <w:sz w:val="24"/>
          <w:szCs w:val="24"/>
        </w:rPr>
        <w:t xml:space="preserve"> </w:t>
      </w:r>
      <w:r w:rsidR="00595A8C" w:rsidRPr="00A2358C">
        <w:rPr>
          <w:rFonts w:asciiTheme="majorHAnsi" w:hAnsiTheme="majorHAnsi" w:cstheme="majorHAnsi"/>
          <w:sz w:val="24"/>
          <w:szCs w:val="24"/>
        </w:rPr>
        <w:t xml:space="preserve">for </w:t>
      </w:r>
      <w:r w:rsidR="0065687A" w:rsidRPr="00A2358C">
        <w:rPr>
          <w:rFonts w:asciiTheme="majorHAnsi" w:hAnsiTheme="majorHAnsi" w:cstheme="majorHAnsi"/>
          <w:sz w:val="24"/>
          <w:szCs w:val="24"/>
        </w:rPr>
        <w:t xml:space="preserve">maintenance and </w:t>
      </w:r>
      <w:r w:rsidR="0065687A" w:rsidRPr="00A2358C">
        <w:rPr>
          <w:rFonts w:asciiTheme="majorHAnsi" w:hAnsiTheme="majorHAnsi" w:cstheme="majorHAnsi"/>
          <w:sz w:val="24"/>
          <w:szCs w:val="24"/>
        </w:rPr>
        <w:lastRenderedPageBreak/>
        <w:t>environmental upgrades;</w:t>
      </w:r>
      <w:r w:rsidR="00957738" w:rsidRPr="00A2358C">
        <w:rPr>
          <w:rFonts w:asciiTheme="majorHAnsi" w:hAnsiTheme="majorHAnsi" w:cstheme="majorHAnsi"/>
          <w:sz w:val="24"/>
          <w:szCs w:val="24"/>
        </w:rPr>
        <w:t xml:space="preserve"> the goal of the State of Washington, as codified in Governo</w:t>
      </w:r>
      <w:r w:rsidR="008D0E36" w:rsidRPr="00A2358C">
        <w:rPr>
          <w:rFonts w:asciiTheme="majorHAnsi" w:hAnsiTheme="majorHAnsi" w:cstheme="majorHAnsi"/>
          <w:sz w:val="24"/>
          <w:szCs w:val="24"/>
        </w:rPr>
        <w:t>r Inslee’s Executive Order 14-0</w:t>
      </w:r>
      <w:r w:rsidR="00957738" w:rsidRPr="00A2358C">
        <w:rPr>
          <w:rFonts w:asciiTheme="majorHAnsi" w:hAnsiTheme="majorHAnsi" w:cstheme="majorHAnsi"/>
          <w:sz w:val="24"/>
          <w:szCs w:val="24"/>
        </w:rPr>
        <w:t xml:space="preserve">4 </w:t>
      </w:r>
      <w:r w:rsidR="00D63329" w:rsidRPr="00A2358C">
        <w:rPr>
          <w:rFonts w:asciiTheme="majorHAnsi" w:hAnsiTheme="majorHAnsi" w:cstheme="majorHAnsi"/>
          <w:sz w:val="24"/>
          <w:szCs w:val="24"/>
        </w:rPr>
        <w:t xml:space="preserve">(calling for the ultimate elimination of </w:t>
      </w:r>
      <w:r w:rsidR="00F27AD8" w:rsidRPr="00A2358C">
        <w:rPr>
          <w:rFonts w:asciiTheme="majorHAnsi" w:hAnsiTheme="majorHAnsi" w:cstheme="majorHAnsi"/>
          <w:sz w:val="24"/>
          <w:szCs w:val="24"/>
        </w:rPr>
        <w:t>coal</w:t>
      </w:r>
      <w:r w:rsidR="00D63329" w:rsidRPr="00A2358C">
        <w:rPr>
          <w:rFonts w:asciiTheme="majorHAnsi" w:hAnsiTheme="majorHAnsi" w:cstheme="majorHAnsi"/>
          <w:sz w:val="24"/>
          <w:szCs w:val="24"/>
        </w:rPr>
        <w:t xml:space="preserve"> generation from </w:t>
      </w:r>
      <w:r w:rsidR="00F27AD8" w:rsidRPr="00A2358C">
        <w:rPr>
          <w:rFonts w:asciiTheme="majorHAnsi" w:hAnsiTheme="majorHAnsi" w:cstheme="majorHAnsi"/>
          <w:sz w:val="24"/>
          <w:szCs w:val="24"/>
        </w:rPr>
        <w:t>Washington’s electricity supply</w:t>
      </w:r>
      <w:r w:rsidR="00D63329" w:rsidRPr="00A2358C">
        <w:rPr>
          <w:rFonts w:asciiTheme="majorHAnsi" w:hAnsiTheme="majorHAnsi" w:cstheme="majorHAnsi"/>
          <w:sz w:val="24"/>
          <w:szCs w:val="24"/>
        </w:rPr>
        <w:t>)</w:t>
      </w:r>
      <w:r w:rsidR="00F27AD8" w:rsidRPr="00A2358C">
        <w:rPr>
          <w:rFonts w:asciiTheme="majorHAnsi" w:hAnsiTheme="majorHAnsi" w:cstheme="majorHAnsi"/>
          <w:sz w:val="24"/>
          <w:szCs w:val="24"/>
        </w:rPr>
        <w:t xml:space="preserve"> </w:t>
      </w:r>
      <w:r w:rsidR="0065687A" w:rsidRPr="00A2358C">
        <w:rPr>
          <w:rFonts w:asciiTheme="majorHAnsi" w:hAnsiTheme="majorHAnsi" w:cstheme="majorHAnsi"/>
          <w:sz w:val="24"/>
          <w:szCs w:val="24"/>
        </w:rPr>
        <w:t xml:space="preserve">and the limited long-term availability of </w:t>
      </w:r>
      <w:r w:rsidR="002957DD" w:rsidRPr="00A2358C">
        <w:rPr>
          <w:rFonts w:asciiTheme="majorHAnsi" w:hAnsiTheme="majorHAnsi" w:cstheme="majorHAnsi"/>
          <w:sz w:val="24"/>
          <w:szCs w:val="24"/>
        </w:rPr>
        <w:t xml:space="preserve">a continued economically-viable coal supply </w:t>
      </w:r>
      <w:r w:rsidR="00D63329" w:rsidRPr="00A2358C">
        <w:rPr>
          <w:rFonts w:asciiTheme="majorHAnsi" w:hAnsiTheme="majorHAnsi" w:cstheme="majorHAnsi"/>
          <w:sz w:val="24"/>
          <w:szCs w:val="24"/>
        </w:rPr>
        <w:t xml:space="preserve">for </w:t>
      </w:r>
      <w:r w:rsidR="00C85E94" w:rsidRPr="00A2358C">
        <w:rPr>
          <w:rFonts w:asciiTheme="majorHAnsi" w:hAnsiTheme="majorHAnsi" w:cstheme="majorHAnsi"/>
          <w:sz w:val="24"/>
          <w:szCs w:val="24"/>
        </w:rPr>
        <w:t>Units 3 and 4</w:t>
      </w:r>
      <w:r w:rsidR="00D63329" w:rsidRPr="00A2358C">
        <w:rPr>
          <w:rFonts w:asciiTheme="majorHAnsi" w:hAnsiTheme="majorHAnsi" w:cstheme="majorHAnsi"/>
          <w:sz w:val="24"/>
          <w:szCs w:val="24"/>
        </w:rPr>
        <w:t xml:space="preserve"> </w:t>
      </w:r>
      <w:r w:rsidR="0065687A" w:rsidRPr="00A2358C">
        <w:rPr>
          <w:rFonts w:asciiTheme="majorHAnsi" w:hAnsiTheme="majorHAnsi" w:cstheme="majorHAnsi"/>
          <w:sz w:val="24"/>
          <w:szCs w:val="24"/>
        </w:rPr>
        <w:t xml:space="preserve">from the Rosebud mine. </w:t>
      </w:r>
    </w:p>
    <w:p w14:paraId="3D74D009" w14:textId="433397CC" w:rsidR="00A64D02" w:rsidRPr="00A2358C" w:rsidRDefault="0065687A" w:rsidP="004136AE">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 xml:space="preserve">I believe that a much more reasonable assumption for the end of the useful life of these units is </w:t>
      </w:r>
      <w:r w:rsidR="007F60B2" w:rsidRPr="00A2358C">
        <w:rPr>
          <w:rFonts w:asciiTheme="majorHAnsi" w:hAnsiTheme="majorHAnsi" w:cstheme="majorHAnsi"/>
          <w:sz w:val="24"/>
          <w:szCs w:val="24"/>
        </w:rPr>
        <w:t>December 31, 2024</w:t>
      </w:r>
      <w:r w:rsidRPr="00A2358C">
        <w:rPr>
          <w:rFonts w:asciiTheme="majorHAnsi" w:hAnsiTheme="majorHAnsi" w:cstheme="majorHAnsi"/>
          <w:sz w:val="24"/>
          <w:szCs w:val="24"/>
        </w:rPr>
        <w:t xml:space="preserve">, </w:t>
      </w:r>
      <w:r w:rsidR="00D63329" w:rsidRPr="00A2358C">
        <w:rPr>
          <w:rFonts w:asciiTheme="majorHAnsi" w:hAnsiTheme="majorHAnsi" w:cstheme="majorHAnsi"/>
          <w:sz w:val="24"/>
          <w:szCs w:val="24"/>
        </w:rPr>
        <w:t>based on consideration of</w:t>
      </w:r>
      <w:r w:rsidRPr="00A2358C">
        <w:rPr>
          <w:rFonts w:asciiTheme="majorHAnsi" w:hAnsiTheme="majorHAnsi" w:cstheme="majorHAnsi"/>
          <w:sz w:val="24"/>
          <w:szCs w:val="24"/>
        </w:rPr>
        <w:t xml:space="preserve"> the company’s </w:t>
      </w:r>
      <w:r w:rsidR="007F60B2" w:rsidRPr="00A2358C">
        <w:rPr>
          <w:rFonts w:asciiTheme="majorHAnsi" w:hAnsiTheme="majorHAnsi" w:cstheme="majorHAnsi"/>
          <w:sz w:val="24"/>
          <w:szCs w:val="24"/>
        </w:rPr>
        <w:t xml:space="preserve">own experts’ proposal </w:t>
      </w:r>
      <w:r w:rsidRPr="00A2358C">
        <w:rPr>
          <w:rFonts w:asciiTheme="majorHAnsi" w:hAnsiTheme="majorHAnsi" w:cstheme="majorHAnsi"/>
          <w:sz w:val="24"/>
          <w:szCs w:val="24"/>
        </w:rPr>
        <w:t>in its 2007 filing</w:t>
      </w:r>
      <w:r w:rsidR="00936E83" w:rsidRPr="00A2358C">
        <w:rPr>
          <w:rFonts w:asciiTheme="majorHAnsi" w:hAnsiTheme="majorHAnsi" w:cstheme="majorHAnsi"/>
          <w:sz w:val="24"/>
          <w:szCs w:val="24"/>
        </w:rPr>
        <w:t xml:space="preserve"> in Docket </w:t>
      </w:r>
      <w:r w:rsidR="00876C38" w:rsidRPr="00A2358C">
        <w:rPr>
          <w:rFonts w:asciiTheme="majorHAnsi" w:hAnsiTheme="majorHAnsi" w:cstheme="majorHAnsi"/>
          <w:sz w:val="24"/>
          <w:szCs w:val="24"/>
        </w:rPr>
        <w:t>UE-072300</w:t>
      </w:r>
      <w:r w:rsidR="00280D0F" w:rsidRPr="00A2358C">
        <w:rPr>
          <w:rFonts w:asciiTheme="majorHAnsi" w:hAnsiTheme="majorHAnsi" w:cstheme="majorHAnsi"/>
          <w:sz w:val="24"/>
          <w:szCs w:val="24"/>
        </w:rPr>
        <w:t>,</w:t>
      </w:r>
      <w:r w:rsidR="00D63329" w:rsidRPr="00A2358C">
        <w:rPr>
          <w:rFonts w:asciiTheme="majorHAnsi" w:hAnsiTheme="majorHAnsi" w:cstheme="majorHAnsi"/>
          <w:sz w:val="24"/>
          <w:szCs w:val="24"/>
        </w:rPr>
        <w:t xml:space="preserve"> updated with more recent information.</w:t>
      </w:r>
      <w:r w:rsidRPr="00A2358C">
        <w:rPr>
          <w:rFonts w:asciiTheme="majorHAnsi" w:hAnsiTheme="majorHAnsi" w:cstheme="majorHAnsi"/>
          <w:sz w:val="24"/>
          <w:szCs w:val="24"/>
        </w:rPr>
        <w:t xml:space="preserve"> </w:t>
      </w:r>
      <w:r w:rsidR="00D63329" w:rsidRPr="00A2358C">
        <w:rPr>
          <w:rFonts w:asciiTheme="majorHAnsi" w:hAnsiTheme="majorHAnsi" w:cstheme="majorHAnsi"/>
          <w:sz w:val="24"/>
          <w:szCs w:val="24"/>
        </w:rPr>
        <w:t>F</w:t>
      </w:r>
      <w:r w:rsidRPr="00A2358C">
        <w:rPr>
          <w:rFonts w:asciiTheme="majorHAnsi" w:hAnsiTheme="majorHAnsi" w:cstheme="majorHAnsi"/>
          <w:sz w:val="24"/>
          <w:szCs w:val="24"/>
        </w:rPr>
        <w:t>or reasons that I will detail, the outlook for coal units such as Colstrip Units 3 and 4 is significantly worse today than it was in 2007</w:t>
      </w:r>
      <w:r w:rsidR="00C85E94" w:rsidRPr="00A2358C">
        <w:rPr>
          <w:rFonts w:asciiTheme="majorHAnsi" w:hAnsiTheme="majorHAnsi" w:cstheme="majorHAnsi"/>
          <w:sz w:val="24"/>
          <w:szCs w:val="24"/>
        </w:rPr>
        <w:t xml:space="preserve"> when PSE’s experts made their previous end-of-life assessment</w:t>
      </w:r>
      <w:r w:rsidRPr="00A2358C">
        <w:rPr>
          <w:rFonts w:asciiTheme="majorHAnsi" w:hAnsiTheme="majorHAnsi" w:cstheme="majorHAnsi"/>
          <w:sz w:val="24"/>
          <w:szCs w:val="24"/>
        </w:rPr>
        <w:t xml:space="preserve">. The company seems to be asserting, without explanation, that these units are somehow immune to the trends that are affecting the </w:t>
      </w:r>
      <w:r w:rsidR="008B3C7C" w:rsidRPr="00A2358C">
        <w:rPr>
          <w:rFonts w:asciiTheme="majorHAnsi" w:hAnsiTheme="majorHAnsi" w:cstheme="majorHAnsi"/>
          <w:sz w:val="24"/>
          <w:szCs w:val="24"/>
        </w:rPr>
        <w:t xml:space="preserve">rest of the industry throughout the </w:t>
      </w:r>
      <w:r w:rsidR="00595A8C" w:rsidRPr="00A2358C">
        <w:rPr>
          <w:rFonts w:asciiTheme="majorHAnsi" w:hAnsiTheme="majorHAnsi" w:cstheme="majorHAnsi"/>
          <w:sz w:val="24"/>
          <w:szCs w:val="24"/>
        </w:rPr>
        <w:t>United States</w:t>
      </w:r>
      <w:r w:rsidR="008B3C7C" w:rsidRPr="00A2358C">
        <w:rPr>
          <w:rFonts w:asciiTheme="majorHAnsi" w:hAnsiTheme="majorHAnsi" w:cstheme="majorHAnsi"/>
          <w:sz w:val="24"/>
          <w:szCs w:val="24"/>
        </w:rPr>
        <w:t xml:space="preserve">, including Colstrip Units 1 and 2. </w:t>
      </w:r>
      <w:r w:rsidR="00150938" w:rsidRPr="00A2358C">
        <w:rPr>
          <w:rFonts w:asciiTheme="majorHAnsi" w:hAnsiTheme="majorHAnsi" w:cstheme="majorHAnsi"/>
          <w:sz w:val="24"/>
          <w:szCs w:val="24"/>
        </w:rPr>
        <w:t xml:space="preserve">Colstrip </w:t>
      </w:r>
      <w:r w:rsidR="008B3C7C" w:rsidRPr="00A2358C">
        <w:rPr>
          <w:rFonts w:asciiTheme="majorHAnsi" w:hAnsiTheme="majorHAnsi" w:cstheme="majorHAnsi"/>
          <w:sz w:val="24"/>
          <w:szCs w:val="24"/>
        </w:rPr>
        <w:t xml:space="preserve">Units 3 and 4 are </w:t>
      </w:r>
      <w:r w:rsidR="00150938" w:rsidRPr="00A2358C">
        <w:rPr>
          <w:rFonts w:asciiTheme="majorHAnsi" w:hAnsiTheme="majorHAnsi" w:cstheme="majorHAnsi"/>
          <w:sz w:val="24"/>
          <w:szCs w:val="24"/>
        </w:rPr>
        <w:t xml:space="preserve">also </w:t>
      </w:r>
      <w:r w:rsidR="008B3C7C" w:rsidRPr="00A2358C">
        <w:rPr>
          <w:rFonts w:asciiTheme="majorHAnsi" w:hAnsiTheme="majorHAnsi" w:cstheme="majorHAnsi"/>
          <w:sz w:val="24"/>
          <w:szCs w:val="24"/>
        </w:rPr>
        <w:t>exposed to these factors</w:t>
      </w:r>
      <w:r w:rsidR="00150938" w:rsidRPr="00A2358C">
        <w:rPr>
          <w:rFonts w:asciiTheme="majorHAnsi" w:hAnsiTheme="majorHAnsi" w:cstheme="majorHAnsi"/>
          <w:sz w:val="24"/>
          <w:szCs w:val="24"/>
        </w:rPr>
        <w:t>,</w:t>
      </w:r>
      <w:r w:rsidR="00A35730" w:rsidRPr="00A2358C">
        <w:rPr>
          <w:rFonts w:asciiTheme="majorHAnsi" w:hAnsiTheme="majorHAnsi" w:cstheme="majorHAnsi"/>
          <w:sz w:val="24"/>
          <w:szCs w:val="24"/>
        </w:rPr>
        <w:t xml:space="preserve"> and </w:t>
      </w:r>
      <w:r w:rsidR="00150938" w:rsidRPr="00A2358C">
        <w:rPr>
          <w:rFonts w:asciiTheme="majorHAnsi" w:hAnsiTheme="majorHAnsi" w:cstheme="majorHAnsi"/>
          <w:sz w:val="24"/>
          <w:szCs w:val="24"/>
        </w:rPr>
        <w:t xml:space="preserve">will not somehow </w:t>
      </w:r>
      <w:r w:rsidR="00A35730" w:rsidRPr="00A2358C">
        <w:rPr>
          <w:rFonts w:asciiTheme="majorHAnsi" w:hAnsiTheme="majorHAnsi" w:cstheme="majorHAnsi"/>
          <w:sz w:val="24"/>
          <w:szCs w:val="24"/>
        </w:rPr>
        <w:t>escape the realities of today’s energy market economics</w:t>
      </w:r>
      <w:r w:rsidR="00150938" w:rsidRPr="00A2358C">
        <w:rPr>
          <w:rFonts w:asciiTheme="majorHAnsi" w:hAnsiTheme="majorHAnsi" w:cstheme="majorHAnsi"/>
          <w:sz w:val="24"/>
          <w:szCs w:val="24"/>
        </w:rPr>
        <w:t xml:space="preserve"> just because PSE assigns them an unrealistically long depreciable life</w:t>
      </w:r>
      <w:r w:rsidR="008B3C7C" w:rsidRPr="00A2358C">
        <w:rPr>
          <w:rFonts w:asciiTheme="majorHAnsi" w:hAnsiTheme="majorHAnsi" w:cstheme="majorHAnsi"/>
          <w:sz w:val="24"/>
          <w:szCs w:val="24"/>
        </w:rPr>
        <w:t>.</w:t>
      </w:r>
    </w:p>
    <w:p w14:paraId="455DCFEC" w14:textId="35E1B85C" w:rsidR="008B3C7C" w:rsidRPr="00A2358C" w:rsidRDefault="007F60B2" w:rsidP="004136AE">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If allowed to make this misleading </w:t>
      </w:r>
      <w:r w:rsidR="008B3C7C" w:rsidRPr="00A2358C">
        <w:rPr>
          <w:rFonts w:asciiTheme="majorHAnsi" w:hAnsiTheme="majorHAnsi" w:cstheme="majorHAnsi"/>
          <w:sz w:val="24"/>
          <w:szCs w:val="24"/>
        </w:rPr>
        <w:t xml:space="preserve">assumption, the </w:t>
      </w:r>
      <w:r w:rsidR="00B73985" w:rsidRPr="00A2358C">
        <w:rPr>
          <w:rFonts w:asciiTheme="majorHAnsi" w:hAnsiTheme="majorHAnsi" w:cstheme="majorHAnsi"/>
          <w:sz w:val="24"/>
          <w:szCs w:val="24"/>
        </w:rPr>
        <w:t>C</w:t>
      </w:r>
      <w:r w:rsidR="008B3C7C" w:rsidRPr="00A2358C">
        <w:rPr>
          <w:rFonts w:asciiTheme="majorHAnsi" w:hAnsiTheme="majorHAnsi" w:cstheme="majorHAnsi"/>
          <w:sz w:val="24"/>
          <w:szCs w:val="24"/>
        </w:rPr>
        <w:t xml:space="preserve">ompany’s proposal would lead to significant underfunding of its decommissioning and remediation requirements </w:t>
      </w:r>
      <w:r w:rsidR="00150938" w:rsidRPr="00A2358C">
        <w:rPr>
          <w:rFonts w:asciiTheme="majorHAnsi" w:hAnsiTheme="majorHAnsi" w:cstheme="majorHAnsi"/>
          <w:sz w:val="24"/>
          <w:szCs w:val="24"/>
        </w:rPr>
        <w:t>over</w:t>
      </w:r>
      <w:r w:rsidR="008B3C7C" w:rsidRPr="00A2358C">
        <w:rPr>
          <w:rFonts w:asciiTheme="majorHAnsi" w:hAnsiTheme="majorHAnsi" w:cstheme="majorHAnsi"/>
          <w:sz w:val="24"/>
          <w:szCs w:val="24"/>
        </w:rPr>
        <w:t xml:space="preserve"> the next </w:t>
      </w:r>
      <w:r w:rsidR="00150938" w:rsidRPr="00A2358C">
        <w:rPr>
          <w:rFonts w:asciiTheme="majorHAnsi" w:hAnsiTheme="majorHAnsi" w:cstheme="majorHAnsi"/>
          <w:sz w:val="24"/>
          <w:szCs w:val="24"/>
        </w:rPr>
        <w:t>several</w:t>
      </w:r>
      <w:r w:rsidR="008B3C7C" w:rsidRPr="00A2358C">
        <w:rPr>
          <w:rFonts w:asciiTheme="majorHAnsi" w:hAnsiTheme="majorHAnsi" w:cstheme="majorHAnsi"/>
          <w:sz w:val="24"/>
          <w:szCs w:val="24"/>
        </w:rPr>
        <w:t xml:space="preserve"> years, </w:t>
      </w:r>
      <w:r w:rsidR="00150938" w:rsidRPr="00A2358C">
        <w:rPr>
          <w:rFonts w:asciiTheme="majorHAnsi" w:hAnsiTheme="majorHAnsi" w:cstheme="majorHAnsi"/>
          <w:sz w:val="24"/>
          <w:szCs w:val="24"/>
        </w:rPr>
        <w:t xml:space="preserve">which will inevitably lead </w:t>
      </w:r>
      <w:r w:rsidR="008B3C7C" w:rsidRPr="00A2358C">
        <w:rPr>
          <w:rFonts w:asciiTheme="majorHAnsi" w:hAnsiTheme="majorHAnsi" w:cstheme="majorHAnsi"/>
          <w:sz w:val="24"/>
          <w:szCs w:val="24"/>
        </w:rPr>
        <w:t xml:space="preserve">to severe rate shock and/or </w:t>
      </w:r>
      <w:r w:rsidR="00D63329" w:rsidRPr="00A2358C">
        <w:rPr>
          <w:rFonts w:asciiTheme="majorHAnsi" w:hAnsiTheme="majorHAnsi" w:cstheme="majorHAnsi"/>
          <w:sz w:val="24"/>
          <w:szCs w:val="24"/>
        </w:rPr>
        <w:t xml:space="preserve">impositions of </w:t>
      </w:r>
      <w:r w:rsidR="008B3C7C" w:rsidRPr="00A2358C">
        <w:rPr>
          <w:rFonts w:asciiTheme="majorHAnsi" w:hAnsiTheme="majorHAnsi" w:cstheme="majorHAnsi"/>
          <w:sz w:val="24"/>
          <w:szCs w:val="24"/>
        </w:rPr>
        <w:t xml:space="preserve">intergenerational </w:t>
      </w:r>
      <w:r w:rsidR="00D63329" w:rsidRPr="00A2358C">
        <w:rPr>
          <w:rFonts w:asciiTheme="majorHAnsi" w:hAnsiTheme="majorHAnsi" w:cstheme="majorHAnsi"/>
          <w:sz w:val="24"/>
          <w:szCs w:val="24"/>
        </w:rPr>
        <w:t>in</w:t>
      </w:r>
      <w:r w:rsidR="008B3C7C" w:rsidRPr="00A2358C">
        <w:rPr>
          <w:rFonts w:asciiTheme="majorHAnsi" w:hAnsiTheme="majorHAnsi" w:cstheme="majorHAnsi"/>
          <w:sz w:val="24"/>
          <w:szCs w:val="24"/>
        </w:rPr>
        <w:t>equity on ratepayers as the company struggles to make up lost ground.</w:t>
      </w:r>
    </w:p>
    <w:p w14:paraId="3AFE64BB" w14:textId="119ADEB0" w:rsidR="00CF7CB4" w:rsidRPr="00A2358C" w:rsidRDefault="00CF7CB4"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 xml:space="preserve">What are your recommendations for this </w:t>
      </w:r>
      <w:r w:rsidR="004136AE">
        <w:rPr>
          <w:rFonts w:asciiTheme="majorHAnsi" w:hAnsiTheme="majorHAnsi" w:cstheme="majorHAnsi"/>
          <w:caps w:val="0"/>
          <w:sz w:val="24"/>
          <w:szCs w:val="24"/>
        </w:rPr>
        <w:t>C</w:t>
      </w:r>
      <w:r w:rsidR="004136AE" w:rsidRPr="00A2358C">
        <w:rPr>
          <w:rFonts w:asciiTheme="majorHAnsi" w:hAnsiTheme="majorHAnsi" w:cstheme="majorHAnsi"/>
          <w:caps w:val="0"/>
          <w:sz w:val="24"/>
          <w:szCs w:val="24"/>
        </w:rPr>
        <w:t>ommission?</w:t>
      </w:r>
    </w:p>
    <w:p w14:paraId="4C6B2529" w14:textId="77777777" w:rsidR="00CF7CB4" w:rsidRPr="00A2358C" w:rsidRDefault="00CF7CB4"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I make the following recommendations:</w:t>
      </w:r>
    </w:p>
    <w:p w14:paraId="25EC8067" w14:textId="3ABC5190" w:rsidR="000A502D" w:rsidRPr="00A2358C" w:rsidRDefault="00A35730" w:rsidP="001809FB">
      <w:pPr>
        <w:pStyle w:val="Bullet"/>
        <w:numPr>
          <w:ilvl w:val="0"/>
          <w:numId w:val="18"/>
        </w:numPr>
        <w:spacing w:line="480" w:lineRule="auto"/>
        <w:ind w:left="1080"/>
        <w:rPr>
          <w:rFonts w:asciiTheme="majorHAnsi" w:hAnsiTheme="majorHAnsi" w:cstheme="majorHAnsi"/>
          <w:sz w:val="24"/>
          <w:szCs w:val="24"/>
        </w:rPr>
      </w:pPr>
      <w:r w:rsidRPr="00A2358C">
        <w:rPr>
          <w:rFonts w:asciiTheme="majorHAnsi" w:hAnsiTheme="majorHAnsi" w:cstheme="majorHAnsi"/>
          <w:sz w:val="24"/>
          <w:szCs w:val="24"/>
        </w:rPr>
        <w:lastRenderedPageBreak/>
        <w:t xml:space="preserve">The Commission should </w:t>
      </w:r>
      <w:r w:rsidR="00047E88" w:rsidRPr="00A2358C">
        <w:rPr>
          <w:rFonts w:asciiTheme="majorHAnsi" w:hAnsiTheme="majorHAnsi" w:cstheme="majorHAnsi"/>
          <w:sz w:val="24"/>
          <w:szCs w:val="24"/>
        </w:rPr>
        <w:t xml:space="preserve">accept </w:t>
      </w:r>
      <w:r w:rsidRPr="00A2358C">
        <w:rPr>
          <w:rFonts w:asciiTheme="majorHAnsi" w:hAnsiTheme="majorHAnsi" w:cstheme="majorHAnsi"/>
          <w:sz w:val="24"/>
          <w:szCs w:val="24"/>
        </w:rPr>
        <w:t xml:space="preserve">PSE’s proposal to </w:t>
      </w:r>
      <w:r w:rsidR="00595A8C" w:rsidRPr="00A2358C">
        <w:rPr>
          <w:rFonts w:asciiTheme="majorHAnsi" w:hAnsiTheme="majorHAnsi" w:cstheme="majorHAnsi"/>
          <w:sz w:val="24"/>
          <w:szCs w:val="24"/>
        </w:rPr>
        <w:t>“</w:t>
      </w:r>
      <w:r w:rsidRPr="00A2358C">
        <w:rPr>
          <w:rFonts w:asciiTheme="majorHAnsi" w:hAnsiTheme="majorHAnsi" w:cstheme="majorHAnsi"/>
          <w:sz w:val="24"/>
          <w:szCs w:val="24"/>
        </w:rPr>
        <w:t>fund</w:t>
      </w:r>
      <w:r w:rsidR="00595A8C" w:rsidRPr="00A2358C">
        <w:rPr>
          <w:rFonts w:asciiTheme="majorHAnsi" w:hAnsiTheme="majorHAnsi" w:cstheme="majorHAnsi"/>
          <w:sz w:val="24"/>
          <w:szCs w:val="24"/>
        </w:rPr>
        <w:t>”</w:t>
      </w:r>
      <w:r w:rsidRPr="00A2358C">
        <w:rPr>
          <w:rFonts w:asciiTheme="majorHAnsi" w:hAnsiTheme="majorHAnsi" w:cstheme="majorHAnsi"/>
          <w:sz w:val="24"/>
          <w:szCs w:val="24"/>
        </w:rPr>
        <w:t xml:space="preserve"> the decommissioning and remediation of Colstrip Units 1 and 2 by </w:t>
      </w:r>
      <w:r w:rsidR="00595A8C" w:rsidRPr="00A2358C">
        <w:rPr>
          <w:rFonts w:asciiTheme="majorHAnsi" w:hAnsiTheme="majorHAnsi" w:cstheme="majorHAnsi"/>
          <w:sz w:val="24"/>
          <w:szCs w:val="24"/>
        </w:rPr>
        <w:t xml:space="preserve">reassigning </w:t>
      </w:r>
      <w:r w:rsidRPr="00A2358C">
        <w:rPr>
          <w:rFonts w:asciiTheme="majorHAnsi" w:hAnsiTheme="majorHAnsi" w:cstheme="majorHAnsi"/>
          <w:sz w:val="24"/>
          <w:szCs w:val="24"/>
        </w:rPr>
        <w:t xml:space="preserve">its outstanding </w:t>
      </w:r>
      <w:r w:rsidR="000A1751" w:rsidRPr="00A2358C">
        <w:rPr>
          <w:rFonts w:asciiTheme="majorHAnsi" w:hAnsiTheme="majorHAnsi" w:cstheme="majorHAnsi"/>
          <w:sz w:val="24"/>
          <w:szCs w:val="24"/>
        </w:rPr>
        <w:t>treasury grants and tax credits</w:t>
      </w:r>
      <w:r w:rsidR="00595A8C" w:rsidRPr="00A2358C">
        <w:rPr>
          <w:rFonts w:asciiTheme="majorHAnsi" w:hAnsiTheme="majorHAnsi" w:cstheme="majorHAnsi"/>
          <w:sz w:val="24"/>
          <w:szCs w:val="24"/>
        </w:rPr>
        <w:t xml:space="preserve"> from a regulatory liability account to a FERC 108 account. </w:t>
      </w:r>
      <w:r w:rsidR="00047E88" w:rsidRPr="00A2358C">
        <w:rPr>
          <w:rFonts w:asciiTheme="majorHAnsi" w:hAnsiTheme="majorHAnsi" w:cstheme="majorHAnsi"/>
          <w:sz w:val="24"/>
          <w:szCs w:val="24"/>
        </w:rPr>
        <w:t xml:space="preserve">However, </w:t>
      </w:r>
      <w:r w:rsidR="006E1008" w:rsidRPr="00A2358C">
        <w:rPr>
          <w:rFonts w:asciiTheme="majorHAnsi" w:hAnsiTheme="majorHAnsi" w:cstheme="majorHAnsi"/>
          <w:sz w:val="24"/>
          <w:szCs w:val="24"/>
        </w:rPr>
        <w:t xml:space="preserve">the treasury </w:t>
      </w:r>
      <w:r w:rsidR="00701357" w:rsidRPr="00A2358C">
        <w:rPr>
          <w:rFonts w:asciiTheme="majorHAnsi" w:hAnsiTheme="majorHAnsi" w:cstheme="majorHAnsi"/>
          <w:sz w:val="24"/>
          <w:szCs w:val="24"/>
        </w:rPr>
        <w:t xml:space="preserve">grants </w:t>
      </w:r>
      <w:r w:rsidR="006E1008" w:rsidRPr="00A2358C">
        <w:rPr>
          <w:rFonts w:asciiTheme="majorHAnsi" w:hAnsiTheme="majorHAnsi" w:cstheme="majorHAnsi"/>
          <w:sz w:val="24"/>
          <w:szCs w:val="24"/>
        </w:rPr>
        <w:t xml:space="preserve">and tax </w:t>
      </w:r>
      <w:r w:rsidR="00701357" w:rsidRPr="00A2358C">
        <w:rPr>
          <w:rFonts w:asciiTheme="majorHAnsi" w:hAnsiTheme="majorHAnsi" w:cstheme="majorHAnsi"/>
          <w:sz w:val="24"/>
          <w:szCs w:val="24"/>
        </w:rPr>
        <w:t>credits</w:t>
      </w:r>
      <w:r w:rsidR="006E1008" w:rsidRPr="00A2358C">
        <w:rPr>
          <w:rFonts w:asciiTheme="majorHAnsi" w:hAnsiTheme="majorHAnsi" w:cstheme="majorHAnsi"/>
          <w:sz w:val="24"/>
          <w:szCs w:val="24"/>
        </w:rPr>
        <w:t xml:space="preserve"> should not be applied to pay down any undepreciated plant balance. </w:t>
      </w:r>
      <w:r w:rsidR="000A502D" w:rsidRPr="00A2358C">
        <w:rPr>
          <w:rFonts w:asciiTheme="majorHAnsi" w:hAnsiTheme="majorHAnsi" w:cstheme="majorHAnsi"/>
          <w:sz w:val="24"/>
          <w:szCs w:val="24"/>
        </w:rPr>
        <w:t xml:space="preserve">PSE should bear some of the costs associated with its poor planning for the shutdown of </w:t>
      </w:r>
      <w:r w:rsidR="00D63329" w:rsidRPr="00A2358C">
        <w:rPr>
          <w:rFonts w:asciiTheme="majorHAnsi" w:hAnsiTheme="majorHAnsi" w:cstheme="majorHAnsi"/>
          <w:sz w:val="24"/>
          <w:szCs w:val="24"/>
        </w:rPr>
        <w:t xml:space="preserve">Colstrip </w:t>
      </w:r>
      <w:r w:rsidR="000A502D" w:rsidRPr="00A2358C">
        <w:rPr>
          <w:rFonts w:asciiTheme="majorHAnsi" w:hAnsiTheme="majorHAnsi" w:cstheme="majorHAnsi"/>
          <w:sz w:val="24"/>
          <w:szCs w:val="24"/>
        </w:rPr>
        <w:t xml:space="preserve">Units 1 and 2. </w:t>
      </w:r>
      <w:r w:rsidR="00876C38" w:rsidRPr="00A2358C">
        <w:rPr>
          <w:rFonts w:asciiTheme="majorHAnsi" w:hAnsiTheme="majorHAnsi" w:cstheme="majorHAnsi"/>
          <w:sz w:val="24"/>
          <w:szCs w:val="24"/>
        </w:rPr>
        <w:t>Once Units 1 and 2 stop providing service to PSE customers, whether that occurs in 2022 or sooner, t</w:t>
      </w:r>
      <w:r w:rsidR="005E13D5" w:rsidRPr="00A2358C">
        <w:rPr>
          <w:rFonts w:asciiTheme="majorHAnsi" w:hAnsiTheme="majorHAnsi" w:cstheme="majorHAnsi"/>
          <w:sz w:val="24"/>
          <w:szCs w:val="24"/>
        </w:rPr>
        <w:t>he</w:t>
      </w:r>
      <w:r w:rsidR="000A502D" w:rsidRPr="00A2358C">
        <w:rPr>
          <w:rFonts w:asciiTheme="majorHAnsi" w:hAnsiTheme="majorHAnsi" w:cstheme="majorHAnsi"/>
          <w:sz w:val="24"/>
          <w:szCs w:val="24"/>
        </w:rPr>
        <w:t xml:space="preserve"> commission</w:t>
      </w:r>
      <w:r w:rsidR="007D4E2D" w:rsidRPr="00A2358C">
        <w:rPr>
          <w:rFonts w:asciiTheme="majorHAnsi" w:hAnsiTheme="majorHAnsi" w:cstheme="majorHAnsi"/>
          <w:sz w:val="24"/>
          <w:szCs w:val="24"/>
        </w:rPr>
        <w:t xml:space="preserve"> </w:t>
      </w:r>
      <w:r w:rsidR="005E13D5" w:rsidRPr="00A2358C">
        <w:rPr>
          <w:rFonts w:asciiTheme="majorHAnsi" w:hAnsiTheme="majorHAnsi" w:cstheme="majorHAnsi"/>
          <w:sz w:val="24"/>
          <w:szCs w:val="24"/>
        </w:rPr>
        <w:t xml:space="preserve">should </w:t>
      </w:r>
      <w:r w:rsidR="00876C38" w:rsidRPr="00A2358C">
        <w:rPr>
          <w:rFonts w:asciiTheme="majorHAnsi" w:hAnsiTheme="majorHAnsi" w:cstheme="majorHAnsi"/>
          <w:sz w:val="24"/>
          <w:szCs w:val="24"/>
        </w:rPr>
        <w:t xml:space="preserve">require PSE to remove any undepreciated plant balance for Colstrip Units 1 and 2 from rate base and </w:t>
      </w:r>
      <w:r w:rsidR="00C85E94" w:rsidRPr="00A2358C">
        <w:rPr>
          <w:rFonts w:asciiTheme="majorHAnsi" w:hAnsiTheme="majorHAnsi" w:cstheme="majorHAnsi"/>
          <w:sz w:val="24"/>
          <w:szCs w:val="24"/>
        </w:rPr>
        <w:t xml:space="preserve">to </w:t>
      </w:r>
      <w:r w:rsidR="00876C38" w:rsidRPr="00A2358C">
        <w:rPr>
          <w:rFonts w:asciiTheme="majorHAnsi" w:hAnsiTheme="majorHAnsi" w:cstheme="majorHAnsi"/>
          <w:sz w:val="24"/>
          <w:szCs w:val="24"/>
        </w:rPr>
        <w:t xml:space="preserve">create a separate regulatory asset for those amounts. Given that those assets will no longer be “used and useful,” and to </w:t>
      </w:r>
      <w:r w:rsidR="005E13D5" w:rsidRPr="00A2358C">
        <w:rPr>
          <w:rFonts w:asciiTheme="majorHAnsi" w:hAnsiTheme="majorHAnsi" w:cstheme="majorHAnsi"/>
          <w:sz w:val="24"/>
          <w:szCs w:val="24"/>
        </w:rPr>
        <w:t xml:space="preserve">encourage better planning </w:t>
      </w:r>
      <w:r w:rsidR="00D63329" w:rsidRPr="00A2358C">
        <w:rPr>
          <w:rFonts w:asciiTheme="majorHAnsi" w:hAnsiTheme="majorHAnsi" w:cstheme="majorHAnsi"/>
          <w:sz w:val="24"/>
          <w:szCs w:val="24"/>
        </w:rPr>
        <w:t>with</w:t>
      </w:r>
      <w:r w:rsidR="005E13D5" w:rsidRPr="00A2358C">
        <w:rPr>
          <w:rFonts w:asciiTheme="majorHAnsi" w:hAnsiTheme="majorHAnsi" w:cstheme="majorHAnsi"/>
          <w:sz w:val="24"/>
          <w:szCs w:val="24"/>
        </w:rPr>
        <w:t xml:space="preserve"> future depreciation schedules,</w:t>
      </w:r>
      <w:r w:rsidR="007D4E2D" w:rsidRPr="00A2358C">
        <w:rPr>
          <w:rFonts w:asciiTheme="majorHAnsi" w:hAnsiTheme="majorHAnsi" w:cstheme="majorHAnsi"/>
          <w:sz w:val="24"/>
          <w:szCs w:val="24"/>
        </w:rPr>
        <w:t xml:space="preserve"> </w:t>
      </w:r>
      <w:r w:rsidR="005E13D5" w:rsidRPr="00A2358C">
        <w:rPr>
          <w:rFonts w:asciiTheme="majorHAnsi" w:hAnsiTheme="majorHAnsi" w:cstheme="majorHAnsi"/>
          <w:sz w:val="24"/>
          <w:szCs w:val="24"/>
        </w:rPr>
        <w:t xml:space="preserve">the Commission should </w:t>
      </w:r>
      <w:r w:rsidR="00876C38" w:rsidRPr="00A2358C">
        <w:rPr>
          <w:rFonts w:asciiTheme="majorHAnsi" w:hAnsiTheme="majorHAnsi" w:cstheme="majorHAnsi"/>
          <w:sz w:val="24"/>
          <w:szCs w:val="24"/>
        </w:rPr>
        <w:t>not</w:t>
      </w:r>
      <w:r w:rsidR="000A502D" w:rsidRPr="00A2358C">
        <w:rPr>
          <w:rFonts w:asciiTheme="majorHAnsi" w:hAnsiTheme="majorHAnsi" w:cstheme="majorHAnsi"/>
          <w:sz w:val="24"/>
          <w:szCs w:val="24"/>
        </w:rPr>
        <w:t xml:space="preserve"> allow the </w:t>
      </w:r>
      <w:r w:rsidR="007D4E2D" w:rsidRPr="00A2358C">
        <w:rPr>
          <w:rFonts w:asciiTheme="majorHAnsi" w:hAnsiTheme="majorHAnsi" w:cstheme="majorHAnsi"/>
          <w:sz w:val="24"/>
          <w:szCs w:val="24"/>
        </w:rPr>
        <w:t>C</w:t>
      </w:r>
      <w:r w:rsidR="000A502D" w:rsidRPr="00A2358C">
        <w:rPr>
          <w:rFonts w:asciiTheme="majorHAnsi" w:hAnsiTheme="majorHAnsi" w:cstheme="majorHAnsi"/>
          <w:sz w:val="24"/>
          <w:szCs w:val="24"/>
        </w:rPr>
        <w:t xml:space="preserve">ompany to </w:t>
      </w:r>
      <w:r w:rsidR="006D7E54" w:rsidRPr="00A2358C">
        <w:rPr>
          <w:rFonts w:asciiTheme="majorHAnsi" w:hAnsiTheme="majorHAnsi" w:cstheme="majorHAnsi"/>
          <w:sz w:val="24"/>
          <w:szCs w:val="24"/>
        </w:rPr>
        <w:t xml:space="preserve">recover </w:t>
      </w:r>
      <w:r w:rsidR="00876C38" w:rsidRPr="00A2358C">
        <w:rPr>
          <w:rFonts w:asciiTheme="majorHAnsi" w:hAnsiTheme="majorHAnsi" w:cstheme="majorHAnsi"/>
          <w:sz w:val="24"/>
          <w:szCs w:val="24"/>
        </w:rPr>
        <w:t xml:space="preserve">its full authorized rate of return on that regulatory asset. </w:t>
      </w:r>
      <w:r w:rsidR="00D63329" w:rsidRPr="00A2358C">
        <w:rPr>
          <w:rFonts w:asciiTheme="majorHAnsi" w:hAnsiTheme="majorHAnsi" w:cstheme="majorHAnsi"/>
          <w:sz w:val="24"/>
          <w:szCs w:val="24"/>
        </w:rPr>
        <w:t>I recommend that</w:t>
      </w:r>
      <w:r w:rsidR="00315031" w:rsidRPr="00A2358C">
        <w:rPr>
          <w:rFonts w:asciiTheme="majorHAnsi" w:hAnsiTheme="majorHAnsi" w:cstheme="majorHAnsi"/>
          <w:sz w:val="24"/>
          <w:szCs w:val="24"/>
        </w:rPr>
        <w:t xml:space="preserve"> the Commission authorize recovery of the remaining plant balance </w:t>
      </w:r>
      <w:r w:rsidR="00D63329" w:rsidRPr="00A2358C">
        <w:rPr>
          <w:rFonts w:asciiTheme="majorHAnsi" w:hAnsiTheme="majorHAnsi" w:cstheme="majorHAnsi"/>
          <w:sz w:val="24"/>
          <w:szCs w:val="24"/>
        </w:rPr>
        <w:t xml:space="preserve">only, </w:t>
      </w:r>
      <w:r w:rsidR="00315031" w:rsidRPr="00A2358C">
        <w:rPr>
          <w:rFonts w:asciiTheme="majorHAnsi" w:hAnsiTheme="majorHAnsi" w:cstheme="majorHAnsi"/>
          <w:sz w:val="24"/>
          <w:szCs w:val="24"/>
        </w:rPr>
        <w:t xml:space="preserve">without allowing </w:t>
      </w:r>
      <w:r w:rsidR="00D63329" w:rsidRPr="00A2358C">
        <w:rPr>
          <w:rFonts w:asciiTheme="majorHAnsi" w:hAnsiTheme="majorHAnsi" w:cstheme="majorHAnsi"/>
          <w:sz w:val="24"/>
          <w:szCs w:val="24"/>
        </w:rPr>
        <w:t xml:space="preserve">a </w:t>
      </w:r>
      <w:r w:rsidR="004A4492" w:rsidRPr="00A2358C">
        <w:rPr>
          <w:rFonts w:asciiTheme="majorHAnsi" w:hAnsiTheme="majorHAnsi" w:cstheme="majorHAnsi"/>
          <w:sz w:val="24"/>
          <w:szCs w:val="24"/>
        </w:rPr>
        <w:t xml:space="preserve">recovery of </w:t>
      </w:r>
      <w:r w:rsidR="00A31713" w:rsidRPr="00A2358C">
        <w:rPr>
          <w:rFonts w:asciiTheme="majorHAnsi" w:hAnsiTheme="majorHAnsi" w:cstheme="majorHAnsi"/>
          <w:sz w:val="24"/>
          <w:szCs w:val="24"/>
        </w:rPr>
        <w:t xml:space="preserve">its cost of capital </w:t>
      </w:r>
      <w:r w:rsidR="00315031" w:rsidRPr="00A2358C">
        <w:rPr>
          <w:rFonts w:asciiTheme="majorHAnsi" w:hAnsiTheme="majorHAnsi" w:cstheme="majorHAnsi"/>
          <w:sz w:val="24"/>
          <w:szCs w:val="24"/>
        </w:rPr>
        <w:t>on that balance.</w:t>
      </w:r>
      <w:r w:rsidR="00315031" w:rsidRPr="00A2358C" w:rsidDel="00876C38">
        <w:rPr>
          <w:rFonts w:asciiTheme="majorHAnsi" w:hAnsiTheme="majorHAnsi" w:cstheme="majorHAnsi"/>
          <w:sz w:val="24"/>
          <w:szCs w:val="24"/>
        </w:rPr>
        <w:t xml:space="preserve"> </w:t>
      </w:r>
    </w:p>
    <w:p w14:paraId="7A50B8A7" w14:textId="5C25D0A6" w:rsidR="006C4F8E" w:rsidRPr="00A2358C" w:rsidRDefault="00CF7CB4" w:rsidP="001809FB">
      <w:pPr>
        <w:pStyle w:val="Bullet"/>
        <w:numPr>
          <w:ilvl w:val="0"/>
          <w:numId w:val="18"/>
        </w:numPr>
        <w:spacing w:line="480" w:lineRule="auto"/>
        <w:ind w:left="1080"/>
        <w:rPr>
          <w:rFonts w:asciiTheme="majorHAnsi" w:hAnsiTheme="majorHAnsi" w:cstheme="majorHAnsi"/>
          <w:b/>
          <w:sz w:val="24"/>
          <w:szCs w:val="24"/>
        </w:rPr>
      </w:pPr>
      <w:r w:rsidRPr="00A2358C">
        <w:rPr>
          <w:rFonts w:asciiTheme="majorHAnsi" w:hAnsiTheme="majorHAnsi" w:cstheme="majorHAnsi"/>
          <w:sz w:val="24"/>
          <w:szCs w:val="24"/>
        </w:rPr>
        <w:t xml:space="preserve">The </w:t>
      </w:r>
      <w:r w:rsidR="00144F26" w:rsidRPr="00A2358C">
        <w:rPr>
          <w:rFonts w:asciiTheme="majorHAnsi" w:hAnsiTheme="majorHAnsi" w:cstheme="majorHAnsi"/>
          <w:sz w:val="24"/>
          <w:szCs w:val="24"/>
        </w:rPr>
        <w:t xml:space="preserve">Commission </w:t>
      </w:r>
      <w:r w:rsidRPr="00A2358C">
        <w:rPr>
          <w:rFonts w:asciiTheme="majorHAnsi" w:hAnsiTheme="majorHAnsi" w:cstheme="majorHAnsi"/>
          <w:sz w:val="24"/>
          <w:szCs w:val="24"/>
        </w:rPr>
        <w:t xml:space="preserve">should </w:t>
      </w:r>
      <w:r w:rsidR="00144F26" w:rsidRPr="00A2358C">
        <w:rPr>
          <w:rFonts w:asciiTheme="majorHAnsi" w:hAnsiTheme="majorHAnsi" w:cstheme="majorHAnsi"/>
          <w:sz w:val="24"/>
          <w:szCs w:val="24"/>
        </w:rPr>
        <w:t xml:space="preserve">reject PSE’s proposed depreciation </w:t>
      </w:r>
      <w:r w:rsidR="005E208B" w:rsidRPr="00A2358C">
        <w:rPr>
          <w:rFonts w:asciiTheme="majorHAnsi" w:hAnsiTheme="majorHAnsi" w:cstheme="majorHAnsi"/>
          <w:sz w:val="24"/>
          <w:szCs w:val="24"/>
        </w:rPr>
        <w:t xml:space="preserve">timeline </w:t>
      </w:r>
      <w:r w:rsidR="00144F26" w:rsidRPr="00A2358C">
        <w:rPr>
          <w:rFonts w:asciiTheme="majorHAnsi" w:hAnsiTheme="majorHAnsi" w:cstheme="majorHAnsi"/>
          <w:sz w:val="24"/>
          <w:szCs w:val="24"/>
        </w:rPr>
        <w:t>for Colstrip Units 3 and 4</w:t>
      </w:r>
      <w:r w:rsidR="000A1751" w:rsidRPr="00A2358C">
        <w:rPr>
          <w:rFonts w:asciiTheme="majorHAnsi" w:hAnsiTheme="majorHAnsi" w:cstheme="majorHAnsi"/>
          <w:sz w:val="24"/>
          <w:szCs w:val="24"/>
        </w:rPr>
        <w:t>,</w:t>
      </w:r>
      <w:r w:rsidR="00144F26" w:rsidRPr="00A2358C">
        <w:rPr>
          <w:rFonts w:asciiTheme="majorHAnsi" w:hAnsiTheme="majorHAnsi" w:cstheme="majorHAnsi"/>
          <w:sz w:val="24"/>
          <w:szCs w:val="24"/>
        </w:rPr>
        <w:t xml:space="preserve"> and instead </w:t>
      </w:r>
      <w:r w:rsidR="003A3443" w:rsidRPr="00A2358C">
        <w:rPr>
          <w:rFonts w:asciiTheme="majorHAnsi" w:hAnsiTheme="majorHAnsi" w:cstheme="majorHAnsi"/>
          <w:sz w:val="24"/>
          <w:szCs w:val="24"/>
        </w:rPr>
        <w:t xml:space="preserve">base </w:t>
      </w:r>
      <w:r w:rsidR="00144F26" w:rsidRPr="00A2358C">
        <w:rPr>
          <w:rFonts w:asciiTheme="majorHAnsi" w:hAnsiTheme="majorHAnsi" w:cstheme="majorHAnsi"/>
          <w:sz w:val="24"/>
          <w:szCs w:val="24"/>
        </w:rPr>
        <w:t xml:space="preserve">the </w:t>
      </w:r>
      <w:r w:rsidRPr="00A2358C">
        <w:rPr>
          <w:rFonts w:asciiTheme="majorHAnsi" w:hAnsiTheme="majorHAnsi" w:cstheme="majorHAnsi"/>
          <w:sz w:val="24"/>
          <w:szCs w:val="24"/>
        </w:rPr>
        <w:t xml:space="preserve">depreciation schedule for </w:t>
      </w:r>
      <w:r w:rsidR="008B663B" w:rsidRPr="00A2358C">
        <w:rPr>
          <w:rFonts w:asciiTheme="majorHAnsi" w:hAnsiTheme="majorHAnsi" w:cstheme="majorHAnsi"/>
          <w:sz w:val="24"/>
          <w:szCs w:val="24"/>
        </w:rPr>
        <w:t>these</w:t>
      </w:r>
      <w:r w:rsidR="00144F26" w:rsidRPr="00A2358C">
        <w:rPr>
          <w:rFonts w:asciiTheme="majorHAnsi" w:hAnsiTheme="majorHAnsi" w:cstheme="majorHAnsi"/>
          <w:sz w:val="24"/>
          <w:szCs w:val="24"/>
        </w:rPr>
        <w:t xml:space="preserve"> </w:t>
      </w:r>
      <w:r w:rsidR="008B663B" w:rsidRPr="00A2358C">
        <w:rPr>
          <w:rFonts w:asciiTheme="majorHAnsi" w:hAnsiTheme="majorHAnsi" w:cstheme="majorHAnsi"/>
          <w:sz w:val="24"/>
          <w:szCs w:val="24"/>
        </w:rPr>
        <w:t>u</w:t>
      </w:r>
      <w:r w:rsidRPr="00A2358C">
        <w:rPr>
          <w:rFonts w:asciiTheme="majorHAnsi" w:hAnsiTheme="majorHAnsi" w:cstheme="majorHAnsi"/>
          <w:sz w:val="24"/>
          <w:szCs w:val="24"/>
        </w:rPr>
        <w:t xml:space="preserve">nits </w:t>
      </w:r>
      <w:r w:rsidR="003A3443" w:rsidRPr="00A2358C">
        <w:rPr>
          <w:rFonts w:asciiTheme="majorHAnsi" w:hAnsiTheme="majorHAnsi" w:cstheme="majorHAnsi"/>
          <w:sz w:val="24"/>
          <w:szCs w:val="24"/>
        </w:rPr>
        <w:t>on a</w:t>
      </w:r>
      <w:r w:rsidR="006D7E54" w:rsidRPr="00A2358C">
        <w:rPr>
          <w:rFonts w:asciiTheme="majorHAnsi" w:hAnsiTheme="majorHAnsi" w:cstheme="majorHAnsi"/>
          <w:sz w:val="24"/>
          <w:szCs w:val="24"/>
        </w:rPr>
        <w:t xml:space="preserve">n estimated retirement date no later than December 31, 2024. This </w:t>
      </w:r>
      <w:r w:rsidR="003A3443" w:rsidRPr="00A2358C">
        <w:rPr>
          <w:rFonts w:asciiTheme="majorHAnsi" w:hAnsiTheme="majorHAnsi" w:cstheme="majorHAnsi"/>
          <w:sz w:val="24"/>
          <w:szCs w:val="24"/>
        </w:rPr>
        <w:t xml:space="preserve">date </w:t>
      </w:r>
      <w:r w:rsidR="006D7E54" w:rsidRPr="00A2358C">
        <w:rPr>
          <w:rFonts w:asciiTheme="majorHAnsi" w:hAnsiTheme="majorHAnsi" w:cstheme="majorHAnsi"/>
          <w:sz w:val="24"/>
          <w:szCs w:val="24"/>
        </w:rPr>
        <w:t xml:space="preserve">is </w:t>
      </w:r>
      <w:r w:rsidR="003A3443" w:rsidRPr="00A2358C">
        <w:rPr>
          <w:rFonts w:asciiTheme="majorHAnsi" w:hAnsiTheme="majorHAnsi" w:cstheme="majorHAnsi"/>
          <w:sz w:val="24"/>
          <w:szCs w:val="24"/>
        </w:rPr>
        <w:t xml:space="preserve">more consistent with the Company’s proposal from </w:t>
      </w:r>
      <w:r w:rsidR="000A1751" w:rsidRPr="00A2358C">
        <w:rPr>
          <w:rFonts w:asciiTheme="majorHAnsi" w:hAnsiTheme="majorHAnsi" w:cstheme="majorHAnsi"/>
          <w:sz w:val="24"/>
          <w:szCs w:val="24"/>
        </w:rPr>
        <w:t>2007</w:t>
      </w:r>
      <w:r w:rsidR="005E208B" w:rsidRPr="00A2358C">
        <w:rPr>
          <w:rFonts w:asciiTheme="majorHAnsi" w:hAnsiTheme="majorHAnsi" w:cstheme="majorHAnsi"/>
          <w:sz w:val="24"/>
          <w:szCs w:val="24"/>
        </w:rPr>
        <w:t>,</w:t>
      </w:r>
      <w:r w:rsidR="003A3443" w:rsidRPr="00A2358C">
        <w:rPr>
          <w:rFonts w:asciiTheme="majorHAnsi" w:hAnsiTheme="majorHAnsi" w:cstheme="majorHAnsi"/>
          <w:sz w:val="24"/>
          <w:szCs w:val="24"/>
        </w:rPr>
        <w:t xml:space="preserve"> </w:t>
      </w:r>
      <w:r w:rsidR="008B663B" w:rsidRPr="00A2358C">
        <w:rPr>
          <w:rFonts w:asciiTheme="majorHAnsi" w:hAnsiTheme="majorHAnsi" w:cstheme="majorHAnsi"/>
          <w:sz w:val="24"/>
          <w:szCs w:val="24"/>
        </w:rPr>
        <w:t>adjusted by</w:t>
      </w:r>
      <w:r w:rsidR="003A3443" w:rsidRPr="00A2358C">
        <w:rPr>
          <w:rFonts w:asciiTheme="majorHAnsi" w:hAnsiTheme="majorHAnsi" w:cstheme="majorHAnsi"/>
          <w:sz w:val="24"/>
          <w:szCs w:val="24"/>
        </w:rPr>
        <w:t xml:space="preserve"> the updated realities of the electricity marketplace. </w:t>
      </w:r>
      <w:r w:rsidR="00200AD9" w:rsidRPr="00A2358C">
        <w:rPr>
          <w:rFonts w:asciiTheme="majorHAnsi" w:hAnsiTheme="majorHAnsi" w:cstheme="majorHAnsi"/>
          <w:sz w:val="24"/>
          <w:szCs w:val="24"/>
        </w:rPr>
        <w:t xml:space="preserve">By my estimation, this will result in </w:t>
      </w:r>
      <w:r w:rsidR="003A3443" w:rsidRPr="00A2358C">
        <w:rPr>
          <w:rFonts w:asciiTheme="majorHAnsi" w:hAnsiTheme="majorHAnsi" w:cstheme="majorHAnsi"/>
          <w:sz w:val="24"/>
          <w:szCs w:val="24"/>
        </w:rPr>
        <w:t xml:space="preserve">a short-term </w:t>
      </w:r>
      <w:r w:rsidR="00200AD9" w:rsidRPr="00A2358C">
        <w:rPr>
          <w:rFonts w:asciiTheme="majorHAnsi" w:hAnsiTheme="majorHAnsi" w:cstheme="majorHAnsi"/>
          <w:sz w:val="24"/>
          <w:szCs w:val="24"/>
        </w:rPr>
        <w:t xml:space="preserve">increase in annual revenue requirements of approximately $16 million; however, </w:t>
      </w:r>
      <w:r w:rsidR="00C85E94" w:rsidRPr="00A2358C">
        <w:rPr>
          <w:rFonts w:asciiTheme="majorHAnsi" w:hAnsiTheme="majorHAnsi" w:cstheme="majorHAnsi"/>
          <w:sz w:val="24"/>
          <w:szCs w:val="24"/>
        </w:rPr>
        <w:t xml:space="preserve">rectifying the </w:t>
      </w:r>
      <w:r w:rsidR="006D7E54" w:rsidRPr="00A2358C">
        <w:rPr>
          <w:rFonts w:asciiTheme="majorHAnsi" w:hAnsiTheme="majorHAnsi" w:cstheme="majorHAnsi"/>
          <w:sz w:val="24"/>
          <w:szCs w:val="24"/>
        </w:rPr>
        <w:t xml:space="preserve">depreciation </w:t>
      </w:r>
      <w:r w:rsidR="00C85E94" w:rsidRPr="00A2358C">
        <w:rPr>
          <w:rFonts w:asciiTheme="majorHAnsi" w:hAnsiTheme="majorHAnsi" w:cstheme="majorHAnsi"/>
          <w:sz w:val="24"/>
          <w:szCs w:val="24"/>
        </w:rPr>
        <w:t xml:space="preserve">schedule </w:t>
      </w:r>
      <w:r w:rsidR="006D7E54" w:rsidRPr="00A2358C">
        <w:rPr>
          <w:rFonts w:asciiTheme="majorHAnsi" w:hAnsiTheme="majorHAnsi" w:cstheme="majorHAnsi"/>
          <w:sz w:val="24"/>
          <w:szCs w:val="24"/>
        </w:rPr>
        <w:t xml:space="preserve">now </w:t>
      </w:r>
      <w:r w:rsidR="00200AD9" w:rsidRPr="00A2358C">
        <w:rPr>
          <w:rFonts w:asciiTheme="majorHAnsi" w:hAnsiTheme="majorHAnsi" w:cstheme="majorHAnsi"/>
          <w:sz w:val="24"/>
          <w:szCs w:val="24"/>
        </w:rPr>
        <w:t>will</w:t>
      </w:r>
      <w:r w:rsidR="006D7E54" w:rsidRPr="00A2358C">
        <w:rPr>
          <w:rFonts w:asciiTheme="majorHAnsi" w:hAnsiTheme="majorHAnsi" w:cstheme="majorHAnsi"/>
          <w:sz w:val="24"/>
          <w:szCs w:val="24"/>
        </w:rPr>
        <w:t xml:space="preserve"> significantly</w:t>
      </w:r>
      <w:r w:rsidR="00200AD9" w:rsidRPr="00A2358C">
        <w:rPr>
          <w:rFonts w:asciiTheme="majorHAnsi" w:hAnsiTheme="majorHAnsi" w:cstheme="majorHAnsi"/>
          <w:sz w:val="24"/>
          <w:szCs w:val="24"/>
        </w:rPr>
        <w:t xml:space="preserve"> reduce </w:t>
      </w:r>
      <w:r w:rsidR="006D7E54" w:rsidRPr="00A2358C">
        <w:rPr>
          <w:rFonts w:asciiTheme="majorHAnsi" w:hAnsiTheme="majorHAnsi" w:cstheme="majorHAnsi"/>
          <w:sz w:val="24"/>
          <w:szCs w:val="24"/>
        </w:rPr>
        <w:t>ratepayers’ exposure to Colstrip’s liabilities. Otherwise, there is a high</w:t>
      </w:r>
      <w:r w:rsidR="00200AD9" w:rsidRPr="00A2358C">
        <w:rPr>
          <w:rFonts w:asciiTheme="majorHAnsi" w:hAnsiTheme="majorHAnsi" w:cstheme="majorHAnsi"/>
          <w:sz w:val="24"/>
          <w:szCs w:val="24"/>
        </w:rPr>
        <w:t xml:space="preserve"> likelihood that PSE will </w:t>
      </w:r>
      <w:r w:rsidR="00D63329" w:rsidRPr="00A2358C">
        <w:rPr>
          <w:rFonts w:asciiTheme="majorHAnsi" w:hAnsiTheme="majorHAnsi" w:cstheme="majorHAnsi"/>
          <w:sz w:val="24"/>
          <w:szCs w:val="24"/>
        </w:rPr>
        <w:lastRenderedPageBreak/>
        <w:t xml:space="preserve">once again </w:t>
      </w:r>
      <w:r w:rsidR="00200AD9" w:rsidRPr="00A2358C">
        <w:rPr>
          <w:rFonts w:asciiTheme="majorHAnsi" w:hAnsiTheme="majorHAnsi" w:cstheme="majorHAnsi"/>
          <w:sz w:val="24"/>
          <w:szCs w:val="24"/>
        </w:rPr>
        <w:t>find itself with a large undepreciated balance and inadequate funds for decommissioning and remediation when Units 3 and 4 ultimately retire.</w:t>
      </w:r>
    </w:p>
    <w:p w14:paraId="05C8D6EF" w14:textId="67CC7127" w:rsidR="006C4F8E" w:rsidRPr="00A2358C" w:rsidRDefault="00CF7CB4" w:rsidP="001809FB">
      <w:pPr>
        <w:pStyle w:val="Bullet"/>
        <w:numPr>
          <w:ilvl w:val="0"/>
          <w:numId w:val="18"/>
        </w:numPr>
        <w:spacing w:line="480" w:lineRule="auto"/>
        <w:ind w:left="1080"/>
        <w:rPr>
          <w:rFonts w:asciiTheme="majorHAnsi" w:hAnsiTheme="majorHAnsi" w:cstheme="majorHAnsi"/>
          <w:sz w:val="24"/>
          <w:szCs w:val="24"/>
        </w:rPr>
      </w:pPr>
      <w:r w:rsidRPr="00A2358C">
        <w:rPr>
          <w:rFonts w:asciiTheme="majorHAnsi" w:hAnsiTheme="majorHAnsi" w:cstheme="majorHAnsi"/>
          <w:sz w:val="24"/>
          <w:szCs w:val="24"/>
        </w:rPr>
        <w:t xml:space="preserve">The </w:t>
      </w:r>
      <w:r w:rsidR="00144F26" w:rsidRPr="00A2358C">
        <w:rPr>
          <w:rFonts w:asciiTheme="majorHAnsi" w:hAnsiTheme="majorHAnsi" w:cstheme="majorHAnsi"/>
          <w:sz w:val="24"/>
          <w:szCs w:val="24"/>
        </w:rPr>
        <w:t xml:space="preserve">Commission should direct </w:t>
      </w:r>
      <w:r w:rsidR="005E208B" w:rsidRPr="00A2358C">
        <w:rPr>
          <w:rFonts w:asciiTheme="majorHAnsi" w:hAnsiTheme="majorHAnsi" w:cstheme="majorHAnsi"/>
          <w:sz w:val="24"/>
          <w:szCs w:val="24"/>
        </w:rPr>
        <w:t>PSE</w:t>
      </w:r>
      <w:r w:rsidRPr="00A2358C">
        <w:rPr>
          <w:rFonts w:asciiTheme="majorHAnsi" w:hAnsiTheme="majorHAnsi" w:cstheme="majorHAnsi"/>
          <w:sz w:val="24"/>
          <w:szCs w:val="24"/>
        </w:rPr>
        <w:t xml:space="preserve"> </w:t>
      </w:r>
      <w:r w:rsidR="006C4F8E" w:rsidRPr="00A2358C">
        <w:rPr>
          <w:rFonts w:asciiTheme="majorHAnsi" w:hAnsiTheme="majorHAnsi" w:cstheme="majorHAnsi"/>
          <w:sz w:val="24"/>
          <w:szCs w:val="24"/>
        </w:rPr>
        <w:t xml:space="preserve">to limit its expenditures on </w:t>
      </w:r>
      <w:r w:rsidR="00144F26" w:rsidRPr="00A2358C">
        <w:rPr>
          <w:rFonts w:asciiTheme="majorHAnsi" w:hAnsiTheme="majorHAnsi" w:cstheme="majorHAnsi"/>
          <w:sz w:val="24"/>
          <w:szCs w:val="24"/>
        </w:rPr>
        <w:t xml:space="preserve">Colstrip </w:t>
      </w:r>
      <w:r w:rsidR="006C4F8E" w:rsidRPr="00A2358C">
        <w:rPr>
          <w:rFonts w:asciiTheme="majorHAnsi" w:hAnsiTheme="majorHAnsi" w:cstheme="majorHAnsi"/>
          <w:sz w:val="24"/>
          <w:szCs w:val="24"/>
        </w:rPr>
        <w:t>units</w:t>
      </w:r>
      <w:r w:rsidR="00144F26" w:rsidRPr="00A2358C">
        <w:rPr>
          <w:rFonts w:asciiTheme="majorHAnsi" w:hAnsiTheme="majorHAnsi" w:cstheme="majorHAnsi"/>
          <w:sz w:val="24"/>
          <w:szCs w:val="24"/>
        </w:rPr>
        <w:t xml:space="preserve"> 3</w:t>
      </w:r>
      <w:r w:rsidR="00200AD9" w:rsidRPr="00A2358C">
        <w:rPr>
          <w:rFonts w:asciiTheme="majorHAnsi" w:hAnsiTheme="majorHAnsi" w:cstheme="majorHAnsi"/>
          <w:sz w:val="24"/>
          <w:szCs w:val="24"/>
        </w:rPr>
        <w:t xml:space="preserve"> and </w:t>
      </w:r>
      <w:r w:rsidR="00144F26" w:rsidRPr="00A2358C">
        <w:rPr>
          <w:rFonts w:asciiTheme="majorHAnsi" w:hAnsiTheme="majorHAnsi" w:cstheme="majorHAnsi"/>
          <w:sz w:val="24"/>
          <w:szCs w:val="24"/>
        </w:rPr>
        <w:t>4</w:t>
      </w:r>
      <w:r w:rsidR="006C4F8E" w:rsidRPr="00A2358C">
        <w:rPr>
          <w:rFonts w:asciiTheme="majorHAnsi" w:hAnsiTheme="majorHAnsi" w:cstheme="majorHAnsi"/>
          <w:sz w:val="24"/>
          <w:szCs w:val="24"/>
        </w:rPr>
        <w:t xml:space="preserve"> to routine maintenance and operations</w:t>
      </w:r>
      <w:r w:rsidR="00144F26" w:rsidRPr="00A2358C">
        <w:rPr>
          <w:rFonts w:asciiTheme="majorHAnsi" w:hAnsiTheme="majorHAnsi" w:cstheme="majorHAnsi"/>
          <w:sz w:val="24"/>
          <w:szCs w:val="24"/>
        </w:rPr>
        <w:t xml:space="preserve"> expenditures </w:t>
      </w:r>
      <w:r w:rsidR="008139C8" w:rsidRPr="00A2358C">
        <w:rPr>
          <w:rFonts w:asciiTheme="majorHAnsi" w:hAnsiTheme="majorHAnsi" w:cstheme="majorHAnsi"/>
          <w:sz w:val="24"/>
          <w:szCs w:val="24"/>
        </w:rPr>
        <w:t xml:space="preserve">consistent with an </w:t>
      </w:r>
      <w:r w:rsidR="00144F26" w:rsidRPr="00A2358C">
        <w:rPr>
          <w:rFonts w:asciiTheme="majorHAnsi" w:hAnsiTheme="majorHAnsi" w:cstheme="majorHAnsi"/>
          <w:sz w:val="24"/>
          <w:szCs w:val="24"/>
        </w:rPr>
        <w:t>end of life date</w:t>
      </w:r>
      <w:r w:rsidR="008139C8" w:rsidRPr="00A2358C">
        <w:rPr>
          <w:rFonts w:asciiTheme="majorHAnsi" w:hAnsiTheme="majorHAnsi" w:cstheme="majorHAnsi"/>
          <w:sz w:val="24"/>
          <w:szCs w:val="24"/>
        </w:rPr>
        <w:t xml:space="preserve"> no later than December 31, </w:t>
      </w:r>
      <w:r w:rsidR="008E525A" w:rsidRPr="00A2358C">
        <w:rPr>
          <w:rFonts w:asciiTheme="majorHAnsi" w:hAnsiTheme="majorHAnsi" w:cstheme="majorHAnsi"/>
          <w:sz w:val="24"/>
          <w:szCs w:val="24"/>
        </w:rPr>
        <w:t>2024</w:t>
      </w:r>
      <w:r w:rsidR="00144F26" w:rsidRPr="00A2358C">
        <w:rPr>
          <w:rFonts w:asciiTheme="majorHAnsi" w:hAnsiTheme="majorHAnsi" w:cstheme="majorHAnsi"/>
          <w:sz w:val="24"/>
          <w:szCs w:val="24"/>
        </w:rPr>
        <w:t xml:space="preserve">. </w:t>
      </w:r>
    </w:p>
    <w:p w14:paraId="580DA96F" w14:textId="457C35A4" w:rsidR="00936E83" w:rsidRPr="004136AE" w:rsidRDefault="006D7E54" w:rsidP="004136AE">
      <w:pPr>
        <w:pStyle w:val="Bullet"/>
        <w:numPr>
          <w:ilvl w:val="0"/>
          <w:numId w:val="18"/>
        </w:numPr>
        <w:spacing w:after="240" w:line="480" w:lineRule="auto"/>
        <w:ind w:left="1080"/>
        <w:rPr>
          <w:rFonts w:asciiTheme="majorHAnsi" w:hAnsiTheme="majorHAnsi" w:cstheme="majorHAnsi"/>
          <w:sz w:val="24"/>
          <w:szCs w:val="24"/>
        </w:rPr>
      </w:pPr>
      <w:r w:rsidRPr="00A2358C">
        <w:rPr>
          <w:rFonts w:asciiTheme="majorHAnsi" w:hAnsiTheme="majorHAnsi" w:cstheme="majorHAnsi"/>
          <w:sz w:val="24"/>
          <w:szCs w:val="24"/>
        </w:rPr>
        <w:t xml:space="preserve"> Regardless of the depreciation schedule adopted by the Commission in this docket, t</w:t>
      </w:r>
      <w:r w:rsidR="00E9416D" w:rsidRPr="00A2358C">
        <w:rPr>
          <w:rFonts w:asciiTheme="majorHAnsi" w:hAnsiTheme="majorHAnsi" w:cstheme="majorHAnsi"/>
          <w:sz w:val="24"/>
          <w:szCs w:val="24"/>
        </w:rPr>
        <w:t xml:space="preserve">he Commission should require more frequent updates and adjustments to depreciation rates as Colstrip Units 3 </w:t>
      </w:r>
      <w:r w:rsidR="00701357" w:rsidRPr="00A2358C">
        <w:rPr>
          <w:rFonts w:asciiTheme="majorHAnsi" w:hAnsiTheme="majorHAnsi" w:cstheme="majorHAnsi"/>
          <w:sz w:val="24"/>
          <w:szCs w:val="24"/>
        </w:rPr>
        <w:t>and</w:t>
      </w:r>
      <w:r w:rsidR="00E9416D" w:rsidRPr="00A2358C">
        <w:rPr>
          <w:rFonts w:asciiTheme="majorHAnsi" w:hAnsiTheme="majorHAnsi" w:cstheme="majorHAnsi"/>
          <w:sz w:val="24"/>
          <w:szCs w:val="24"/>
        </w:rPr>
        <w:t xml:space="preserve"> 4 near their end of life.</w:t>
      </w:r>
      <w:r w:rsidRPr="00A2358C">
        <w:rPr>
          <w:rFonts w:asciiTheme="majorHAnsi" w:hAnsiTheme="majorHAnsi" w:cstheme="majorHAnsi"/>
          <w:sz w:val="24"/>
          <w:szCs w:val="24"/>
        </w:rPr>
        <w:t xml:space="preserve"> In addition to the current practice of evaluating the depreciation schedule every five years</w:t>
      </w:r>
      <w:r w:rsidR="006C4F8E" w:rsidRPr="00A2358C">
        <w:rPr>
          <w:rFonts w:asciiTheme="majorHAnsi" w:hAnsiTheme="majorHAnsi" w:cstheme="majorHAnsi"/>
          <w:sz w:val="24"/>
          <w:szCs w:val="24"/>
        </w:rPr>
        <w:t xml:space="preserve">, the </w:t>
      </w:r>
      <w:r w:rsidR="00E9416D" w:rsidRPr="00A2358C">
        <w:rPr>
          <w:rFonts w:asciiTheme="majorHAnsi" w:hAnsiTheme="majorHAnsi" w:cstheme="majorHAnsi"/>
          <w:sz w:val="24"/>
          <w:szCs w:val="24"/>
        </w:rPr>
        <w:t xml:space="preserve">Commission should </w:t>
      </w:r>
      <w:r w:rsidR="00200AD9" w:rsidRPr="00A2358C">
        <w:rPr>
          <w:rFonts w:asciiTheme="majorHAnsi" w:hAnsiTheme="majorHAnsi" w:cstheme="majorHAnsi"/>
          <w:sz w:val="24"/>
          <w:szCs w:val="24"/>
        </w:rPr>
        <w:t xml:space="preserve">direct </w:t>
      </w:r>
      <w:r w:rsidR="00E9416D" w:rsidRPr="00A2358C">
        <w:rPr>
          <w:rFonts w:asciiTheme="majorHAnsi" w:hAnsiTheme="majorHAnsi" w:cstheme="majorHAnsi"/>
          <w:sz w:val="24"/>
          <w:szCs w:val="24"/>
        </w:rPr>
        <w:t xml:space="preserve">the Company to conduct </w:t>
      </w:r>
      <w:r w:rsidRPr="00A2358C">
        <w:rPr>
          <w:rFonts w:asciiTheme="majorHAnsi" w:hAnsiTheme="majorHAnsi" w:cstheme="majorHAnsi"/>
          <w:sz w:val="24"/>
          <w:szCs w:val="24"/>
        </w:rPr>
        <w:t xml:space="preserve">a </w:t>
      </w:r>
      <w:r w:rsidR="00E9416D" w:rsidRPr="00A2358C">
        <w:rPr>
          <w:rFonts w:asciiTheme="majorHAnsi" w:hAnsiTheme="majorHAnsi" w:cstheme="majorHAnsi"/>
          <w:sz w:val="24"/>
          <w:szCs w:val="24"/>
        </w:rPr>
        <w:t>routine end of life assessment</w:t>
      </w:r>
      <w:r w:rsidRPr="00A2358C">
        <w:rPr>
          <w:rFonts w:asciiTheme="majorHAnsi" w:hAnsiTheme="majorHAnsi" w:cstheme="majorHAnsi"/>
          <w:sz w:val="24"/>
          <w:szCs w:val="24"/>
        </w:rPr>
        <w:t xml:space="preserve"> between </w:t>
      </w:r>
      <w:r w:rsidR="00D63329" w:rsidRPr="00A2358C">
        <w:rPr>
          <w:rFonts w:asciiTheme="majorHAnsi" w:hAnsiTheme="majorHAnsi" w:cstheme="majorHAnsi"/>
          <w:sz w:val="24"/>
          <w:szCs w:val="24"/>
        </w:rPr>
        <w:t>its</w:t>
      </w:r>
      <w:r w:rsidRPr="00A2358C">
        <w:rPr>
          <w:rFonts w:asciiTheme="majorHAnsi" w:hAnsiTheme="majorHAnsi" w:cstheme="majorHAnsi"/>
          <w:sz w:val="24"/>
          <w:szCs w:val="24"/>
        </w:rPr>
        <w:t xml:space="preserve"> depreciation filing</w:t>
      </w:r>
      <w:r w:rsidR="005E208B" w:rsidRPr="00A2358C">
        <w:rPr>
          <w:rFonts w:asciiTheme="majorHAnsi" w:hAnsiTheme="majorHAnsi" w:cstheme="majorHAnsi"/>
          <w:sz w:val="24"/>
          <w:szCs w:val="24"/>
        </w:rPr>
        <w:t>s</w:t>
      </w:r>
      <w:r w:rsidRPr="00A2358C">
        <w:rPr>
          <w:rFonts w:asciiTheme="majorHAnsi" w:hAnsiTheme="majorHAnsi" w:cstheme="majorHAnsi"/>
          <w:sz w:val="24"/>
          <w:szCs w:val="24"/>
        </w:rPr>
        <w:t xml:space="preserve">, or </w:t>
      </w:r>
      <w:r w:rsidR="00200AD9" w:rsidRPr="00A2358C">
        <w:rPr>
          <w:rFonts w:asciiTheme="majorHAnsi" w:hAnsiTheme="majorHAnsi" w:cstheme="majorHAnsi"/>
          <w:sz w:val="24"/>
          <w:szCs w:val="24"/>
        </w:rPr>
        <w:t xml:space="preserve">at </w:t>
      </w:r>
      <w:r w:rsidR="005E208B" w:rsidRPr="00A2358C">
        <w:rPr>
          <w:rFonts w:asciiTheme="majorHAnsi" w:hAnsiTheme="majorHAnsi" w:cstheme="majorHAnsi"/>
          <w:sz w:val="24"/>
          <w:szCs w:val="24"/>
        </w:rPr>
        <w:t xml:space="preserve">intervals of no more than </w:t>
      </w:r>
      <w:r w:rsidR="00200AD9" w:rsidRPr="00A2358C">
        <w:rPr>
          <w:rFonts w:asciiTheme="majorHAnsi" w:hAnsiTheme="majorHAnsi" w:cstheme="majorHAnsi"/>
          <w:sz w:val="24"/>
          <w:szCs w:val="24"/>
        </w:rPr>
        <w:t>three years</w:t>
      </w:r>
      <w:r w:rsidRPr="00A2358C">
        <w:rPr>
          <w:rFonts w:asciiTheme="majorHAnsi" w:hAnsiTheme="majorHAnsi" w:cstheme="majorHAnsi"/>
          <w:sz w:val="24"/>
          <w:szCs w:val="24"/>
        </w:rPr>
        <w:t xml:space="preserve">. These more frequent updates will allow the Company and the Commission to </w:t>
      </w:r>
      <w:r w:rsidR="00642BA5" w:rsidRPr="00A2358C">
        <w:rPr>
          <w:rFonts w:asciiTheme="majorHAnsi" w:hAnsiTheme="majorHAnsi" w:cstheme="majorHAnsi"/>
          <w:sz w:val="24"/>
          <w:szCs w:val="24"/>
        </w:rPr>
        <w:t xml:space="preserve">make </w:t>
      </w:r>
      <w:r w:rsidR="00200AD9" w:rsidRPr="00A2358C">
        <w:rPr>
          <w:rFonts w:asciiTheme="majorHAnsi" w:hAnsiTheme="majorHAnsi" w:cstheme="majorHAnsi"/>
          <w:sz w:val="24"/>
          <w:szCs w:val="24"/>
        </w:rPr>
        <w:t>adjustments to depreciation r</w:t>
      </w:r>
      <w:r w:rsidR="00E9416D" w:rsidRPr="00A2358C">
        <w:rPr>
          <w:rFonts w:asciiTheme="majorHAnsi" w:hAnsiTheme="majorHAnsi" w:cstheme="majorHAnsi"/>
          <w:sz w:val="24"/>
          <w:szCs w:val="24"/>
        </w:rPr>
        <w:t>ates</w:t>
      </w:r>
      <w:r w:rsidRPr="00A2358C">
        <w:rPr>
          <w:rFonts w:asciiTheme="majorHAnsi" w:hAnsiTheme="majorHAnsi" w:cstheme="majorHAnsi"/>
          <w:sz w:val="24"/>
          <w:szCs w:val="24"/>
        </w:rPr>
        <w:t xml:space="preserve"> at Colstrip 3 and 4</w:t>
      </w:r>
      <w:r w:rsidR="00E9416D" w:rsidRPr="00A2358C">
        <w:rPr>
          <w:rFonts w:asciiTheme="majorHAnsi" w:hAnsiTheme="majorHAnsi" w:cstheme="majorHAnsi"/>
          <w:sz w:val="24"/>
          <w:szCs w:val="24"/>
        </w:rPr>
        <w:t xml:space="preserve"> </w:t>
      </w:r>
      <w:r w:rsidR="00642BA5" w:rsidRPr="00A2358C">
        <w:rPr>
          <w:rFonts w:asciiTheme="majorHAnsi" w:hAnsiTheme="majorHAnsi" w:cstheme="majorHAnsi"/>
          <w:sz w:val="24"/>
          <w:szCs w:val="24"/>
        </w:rPr>
        <w:t xml:space="preserve">based on updated </w:t>
      </w:r>
      <w:r w:rsidR="00D63329" w:rsidRPr="00A2358C">
        <w:rPr>
          <w:rFonts w:asciiTheme="majorHAnsi" w:hAnsiTheme="majorHAnsi" w:cstheme="majorHAnsi"/>
          <w:sz w:val="24"/>
          <w:szCs w:val="24"/>
        </w:rPr>
        <w:t>information and projections</w:t>
      </w:r>
      <w:r w:rsidR="005E208B" w:rsidRPr="00A2358C">
        <w:rPr>
          <w:rFonts w:asciiTheme="majorHAnsi" w:hAnsiTheme="majorHAnsi" w:cstheme="majorHAnsi"/>
          <w:sz w:val="24"/>
          <w:szCs w:val="24"/>
        </w:rPr>
        <w:t xml:space="preserve">, and will prevent the depreciation schedule from straying too far from the units’ </w:t>
      </w:r>
      <w:r w:rsidR="00976316" w:rsidRPr="00A2358C">
        <w:rPr>
          <w:rFonts w:asciiTheme="majorHAnsi" w:hAnsiTheme="majorHAnsi" w:cstheme="majorHAnsi"/>
          <w:sz w:val="24"/>
          <w:szCs w:val="24"/>
        </w:rPr>
        <w:t>actual useful lives.</w:t>
      </w:r>
    </w:p>
    <w:p w14:paraId="2752346D" w14:textId="6041385B" w:rsidR="008139C8" w:rsidRPr="00A2358C" w:rsidRDefault="006A0240" w:rsidP="00FD7B0F">
      <w:pPr>
        <w:pStyle w:val="Heading1"/>
      </w:pPr>
      <w:bookmarkStart w:id="3" w:name="_Toc486496056"/>
      <w:bookmarkStart w:id="4" w:name="_Hlk485195850"/>
      <w:r w:rsidRPr="00A2358C">
        <w:t>Background on the Depreciation Schedules for All Colstrip Units</w:t>
      </w:r>
      <w:bookmarkEnd w:id="3"/>
    </w:p>
    <w:bookmarkEnd w:id="4"/>
    <w:p w14:paraId="2A432838" w14:textId="0B95DB28" w:rsidR="006A0240" w:rsidRPr="00A2358C" w:rsidRDefault="006A0240"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What are the currently applicable depreciation schedules for</w:t>
      </w:r>
      <w:r w:rsidRPr="00A2358C">
        <w:rPr>
          <w:rFonts w:asciiTheme="majorHAnsi" w:hAnsiTheme="majorHAnsi" w:cstheme="majorHAnsi"/>
          <w:sz w:val="24"/>
          <w:szCs w:val="24"/>
        </w:rPr>
        <w:t xml:space="preserve"> </w:t>
      </w:r>
      <w:r w:rsidR="004136AE">
        <w:rPr>
          <w:rFonts w:asciiTheme="majorHAnsi" w:hAnsiTheme="majorHAnsi" w:cstheme="majorHAnsi"/>
          <w:caps w:val="0"/>
          <w:sz w:val="24"/>
          <w:szCs w:val="24"/>
        </w:rPr>
        <w:t>each of the C</w:t>
      </w:r>
      <w:r w:rsidR="004136AE" w:rsidRPr="00A2358C">
        <w:rPr>
          <w:rFonts w:asciiTheme="majorHAnsi" w:hAnsiTheme="majorHAnsi" w:cstheme="majorHAnsi"/>
          <w:caps w:val="0"/>
          <w:sz w:val="24"/>
          <w:szCs w:val="24"/>
        </w:rPr>
        <w:t>olstrip units</w:t>
      </w:r>
      <w:r w:rsidRPr="00A2358C">
        <w:rPr>
          <w:rFonts w:asciiTheme="majorHAnsi" w:hAnsiTheme="majorHAnsi" w:cstheme="majorHAnsi"/>
          <w:sz w:val="24"/>
          <w:szCs w:val="24"/>
        </w:rPr>
        <w:t xml:space="preserve">? </w:t>
      </w:r>
    </w:p>
    <w:p w14:paraId="39453AFB" w14:textId="3509E007" w:rsidR="006A0240" w:rsidRPr="00A2358C" w:rsidRDefault="006A0240" w:rsidP="004136AE">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Colstrip Units 1 and 2 are scheduled to be fully depreciated in </w:t>
      </w:r>
      <w:r w:rsidR="00C54D8E" w:rsidRPr="00A2358C">
        <w:rPr>
          <w:rFonts w:asciiTheme="majorHAnsi" w:hAnsiTheme="majorHAnsi" w:cstheme="majorHAnsi"/>
          <w:sz w:val="24"/>
          <w:szCs w:val="24"/>
        </w:rPr>
        <w:t>2035</w:t>
      </w:r>
      <w:r w:rsidRPr="00A2358C">
        <w:rPr>
          <w:rFonts w:asciiTheme="majorHAnsi" w:hAnsiTheme="majorHAnsi" w:cstheme="majorHAnsi"/>
          <w:sz w:val="24"/>
          <w:szCs w:val="24"/>
        </w:rPr>
        <w:t xml:space="preserve">, and Colstrip Units 3 </w:t>
      </w:r>
      <w:r w:rsidRPr="00A2358C">
        <w:rPr>
          <w:rFonts w:asciiTheme="majorHAnsi" w:hAnsiTheme="majorHAnsi" w:cstheme="majorHAnsi"/>
          <w:sz w:val="24"/>
          <w:szCs w:val="24"/>
        </w:rPr>
        <w:lastRenderedPageBreak/>
        <w:t xml:space="preserve">and 4 are scheduled to be fully depreciated in </w:t>
      </w:r>
      <w:r w:rsidR="00C54D8E" w:rsidRPr="00A2358C">
        <w:rPr>
          <w:rFonts w:asciiTheme="majorHAnsi" w:hAnsiTheme="majorHAnsi" w:cstheme="majorHAnsi"/>
          <w:sz w:val="24"/>
          <w:szCs w:val="24"/>
        </w:rPr>
        <w:t>2044 and 2045, respectively</w:t>
      </w:r>
      <w:r w:rsidRPr="00A2358C">
        <w:rPr>
          <w:rFonts w:asciiTheme="majorHAnsi" w:hAnsiTheme="majorHAnsi" w:cstheme="majorHAnsi"/>
          <w:sz w:val="24"/>
          <w:szCs w:val="24"/>
        </w:rPr>
        <w:t>.</w:t>
      </w:r>
      <w:r w:rsidR="00C54D8E" w:rsidRPr="00A2358C">
        <w:rPr>
          <w:rStyle w:val="FootnoteReference"/>
          <w:rFonts w:asciiTheme="majorHAnsi" w:hAnsiTheme="majorHAnsi" w:cstheme="majorHAnsi"/>
          <w:sz w:val="24"/>
          <w:szCs w:val="24"/>
        </w:rPr>
        <w:footnoteReference w:id="1"/>
      </w:r>
    </w:p>
    <w:p w14:paraId="69AB9BEF" w14:textId="7E8B3684" w:rsidR="006A0240" w:rsidRPr="00A2358C" w:rsidRDefault="007B0950"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 xml:space="preserve">Are those the original depreciation schedules for these units? </w:t>
      </w:r>
    </w:p>
    <w:p w14:paraId="093DED73" w14:textId="6A2345CD" w:rsidR="007B0950" w:rsidRPr="00A2358C" w:rsidRDefault="007B0950" w:rsidP="004136AE">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Previously, the Colstrip </w:t>
      </w:r>
      <w:r w:rsidR="00D63329" w:rsidRPr="00A2358C">
        <w:rPr>
          <w:rFonts w:asciiTheme="majorHAnsi" w:hAnsiTheme="majorHAnsi" w:cstheme="majorHAnsi"/>
          <w:sz w:val="24"/>
          <w:szCs w:val="24"/>
        </w:rPr>
        <w:t xml:space="preserve">units all </w:t>
      </w:r>
      <w:r w:rsidRPr="00A2358C">
        <w:rPr>
          <w:rFonts w:asciiTheme="majorHAnsi" w:hAnsiTheme="majorHAnsi" w:cstheme="majorHAnsi"/>
          <w:sz w:val="24"/>
          <w:szCs w:val="24"/>
        </w:rPr>
        <w:t>had much shorter depreciable lives. However, in 2007 the Commission approved schedules that significantly – and it turns out incorrectly – extended the</w:t>
      </w:r>
      <w:r w:rsidR="00D63329" w:rsidRPr="00A2358C">
        <w:rPr>
          <w:rFonts w:asciiTheme="majorHAnsi" w:hAnsiTheme="majorHAnsi" w:cstheme="majorHAnsi"/>
          <w:sz w:val="24"/>
          <w:szCs w:val="24"/>
        </w:rPr>
        <w:t>ir</w:t>
      </w:r>
      <w:r w:rsidRPr="00A2358C">
        <w:rPr>
          <w:rFonts w:asciiTheme="majorHAnsi" w:hAnsiTheme="majorHAnsi" w:cstheme="majorHAnsi"/>
          <w:sz w:val="24"/>
          <w:szCs w:val="24"/>
        </w:rPr>
        <w:t xml:space="preserve"> </w:t>
      </w:r>
      <w:r w:rsidR="00C85E94" w:rsidRPr="00A2358C">
        <w:rPr>
          <w:rFonts w:asciiTheme="majorHAnsi" w:hAnsiTheme="majorHAnsi" w:cstheme="majorHAnsi"/>
          <w:sz w:val="24"/>
          <w:szCs w:val="24"/>
        </w:rPr>
        <w:t xml:space="preserve">assumed useful </w:t>
      </w:r>
      <w:r w:rsidRPr="00A2358C">
        <w:rPr>
          <w:rFonts w:asciiTheme="majorHAnsi" w:hAnsiTheme="majorHAnsi" w:cstheme="majorHAnsi"/>
          <w:sz w:val="24"/>
          <w:szCs w:val="24"/>
        </w:rPr>
        <w:t>life</w:t>
      </w:r>
      <w:r w:rsidR="00D63329" w:rsidRPr="00A2358C">
        <w:rPr>
          <w:rFonts w:asciiTheme="majorHAnsi" w:hAnsiTheme="majorHAnsi" w:cstheme="majorHAnsi"/>
          <w:sz w:val="24"/>
          <w:szCs w:val="24"/>
        </w:rPr>
        <w:t xml:space="preserve"> for depreciation purposes</w:t>
      </w:r>
      <w:r w:rsidRPr="00A2358C">
        <w:rPr>
          <w:rFonts w:asciiTheme="majorHAnsi" w:hAnsiTheme="majorHAnsi" w:cstheme="majorHAnsi"/>
          <w:sz w:val="24"/>
          <w:szCs w:val="24"/>
        </w:rPr>
        <w:t xml:space="preserve">. </w:t>
      </w:r>
    </w:p>
    <w:p w14:paraId="16CC78FF" w14:textId="5AFD391B" w:rsidR="0057037A" w:rsidRPr="00A2358C" w:rsidRDefault="0057037A"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136AE" w:rsidRPr="00A2358C">
        <w:rPr>
          <w:rFonts w:asciiTheme="majorHAnsi" w:hAnsiTheme="majorHAnsi" w:cstheme="majorHAnsi"/>
          <w:caps w:val="0"/>
          <w:sz w:val="24"/>
          <w:szCs w:val="24"/>
        </w:rPr>
        <w:t>What end-of-life assumptions</w:t>
      </w:r>
      <w:r w:rsidR="00A91CEE" w:rsidRPr="00A2358C">
        <w:rPr>
          <w:rFonts w:asciiTheme="majorHAnsi" w:hAnsiTheme="majorHAnsi" w:cstheme="majorHAnsi"/>
          <w:sz w:val="24"/>
          <w:szCs w:val="24"/>
        </w:rPr>
        <w:t xml:space="preserve"> </w:t>
      </w:r>
      <w:r w:rsidR="004136AE">
        <w:rPr>
          <w:rFonts w:asciiTheme="majorHAnsi" w:hAnsiTheme="majorHAnsi" w:cstheme="majorHAnsi"/>
          <w:caps w:val="0"/>
          <w:sz w:val="24"/>
          <w:szCs w:val="24"/>
        </w:rPr>
        <w:t>did PSE</w:t>
      </w:r>
      <w:r w:rsidR="004136AE" w:rsidRPr="00A2358C">
        <w:rPr>
          <w:rFonts w:asciiTheme="majorHAnsi" w:hAnsiTheme="majorHAnsi" w:cstheme="majorHAnsi"/>
          <w:caps w:val="0"/>
          <w:sz w:val="24"/>
          <w:szCs w:val="24"/>
        </w:rPr>
        <w:t xml:space="preserve"> rely on</w:t>
      </w:r>
      <w:r w:rsidR="006A0240" w:rsidRPr="00A2358C">
        <w:rPr>
          <w:rFonts w:asciiTheme="majorHAnsi" w:hAnsiTheme="majorHAnsi" w:cstheme="majorHAnsi"/>
          <w:sz w:val="24"/>
          <w:szCs w:val="24"/>
        </w:rPr>
        <w:t xml:space="preserve"> </w:t>
      </w:r>
      <w:r w:rsidR="004136AE">
        <w:rPr>
          <w:rFonts w:asciiTheme="majorHAnsi" w:hAnsiTheme="majorHAnsi" w:cstheme="majorHAnsi"/>
          <w:caps w:val="0"/>
          <w:sz w:val="24"/>
          <w:szCs w:val="24"/>
        </w:rPr>
        <w:t>for each of the C</w:t>
      </w:r>
      <w:r w:rsidR="004136AE" w:rsidRPr="00A2358C">
        <w:rPr>
          <w:rFonts w:asciiTheme="majorHAnsi" w:hAnsiTheme="majorHAnsi" w:cstheme="majorHAnsi"/>
          <w:caps w:val="0"/>
          <w:sz w:val="24"/>
          <w:szCs w:val="24"/>
        </w:rPr>
        <w:t xml:space="preserve">olstrip units for depreciation purposes as of the company’s </w:t>
      </w:r>
      <w:r w:rsidR="007B0950" w:rsidRPr="00A2358C">
        <w:rPr>
          <w:rFonts w:asciiTheme="majorHAnsi" w:hAnsiTheme="majorHAnsi" w:cstheme="majorHAnsi"/>
          <w:sz w:val="24"/>
          <w:szCs w:val="24"/>
        </w:rPr>
        <w:t>2007</w:t>
      </w:r>
      <w:r w:rsidR="004136AE">
        <w:rPr>
          <w:rFonts w:asciiTheme="majorHAnsi" w:hAnsiTheme="majorHAnsi" w:cstheme="majorHAnsi"/>
          <w:caps w:val="0"/>
          <w:sz w:val="24"/>
          <w:szCs w:val="24"/>
        </w:rPr>
        <w:t xml:space="preserve"> general rate case (GRC</w:t>
      </w:r>
      <w:r w:rsidR="004136AE" w:rsidRPr="00A2358C">
        <w:rPr>
          <w:rFonts w:asciiTheme="majorHAnsi" w:hAnsiTheme="majorHAnsi" w:cstheme="majorHAnsi"/>
          <w:caps w:val="0"/>
          <w:sz w:val="24"/>
          <w:szCs w:val="24"/>
        </w:rPr>
        <w:t>)?</w:t>
      </w:r>
    </w:p>
    <w:p w14:paraId="5DC91DC2" w14:textId="24C3C49B" w:rsidR="00642BA5" w:rsidRPr="00A2358C" w:rsidRDefault="00A91CEE" w:rsidP="00073292">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As part of PSE’s 2007 GRC filing</w:t>
      </w:r>
      <w:r w:rsidR="007B0950" w:rsidRPr="00A2358C">
        <w:rPr>
          <w:rFonts w:asciiTheme="majorHAnsi" w:hAnsiTheme="majorHAnsi" w:cstheme="majorHAnsi"/>
          <w:sz w:val="24"/>
          <w:szCs w:val="24"/>
        </w:rPr>
        <w:t xml:space="preserve"> in Docket UE-072300</w:t>
      </w:r>
      <w:r w:rsidRPr="00A2358C">
        <w:rPr>
          <w:rFonts w:asciiTheme="majorHAnsi" w:hAnsiTheme="majorHAnsi" w:cstheme="majorHAnsi"/>
          <w:sz w:val="24"/>
          <w:szCs w:val="24"/>
        </w:rPr>
        <w:t xml:space="preserve">, the company submitted a depreciation study performed by Gannett </w:t>
      </w:r>
      <w:proofErr w:type="spellStart"/>
      <w:r w:rsidRPr="00A2358C">
        <w:rPr>
          <w:rFonts w:asciiTheme="majorHAnsi" w:hAnsiTheme="majorHAnsi" w:cstheme="majorHAnsi"/>
          <w:sz w:val="24"/>
          <w:szCs w:val="24"/>
        </w:rPr>
        <w:t>Flemming</w:t>
      </w:r>
      <w:proofErr w:type="spellEnd"/>
      <w:r w:rsidR="00A00734" w:rsidRPr="00A2358C">
        <w:rPr>
          <w:rFonts w:asciiTheme="majorHAnsi" w:hAnsiTheme="majorHAnsi" w:cstheme="majorHAnsi"/>
          <w:sz w:val="24"/>
          <w:szCs w:val="24"/>
        </w:rPr>
        <w:t xml:space="preserve"> </w:t>
      </w:r>
      <w:r w:rsidRPr="00A2358C">
        <w:rPr>
          <w:rFonts w:asciiTheme="majorHAnsi" w:hAnsiTheme="majorHAnsi" w:cstheme="majorHAnsi"/>
          <w:sz w:val="24"/>
          <w:szCs w:val="24"/>
        </w:rPr>
        <w:t xml:space="preserve">and sponsored by PSE witness C. Richard Clarke. In this study, </w:t>
      </w:r>
      <w:r w:rsidR="006376A6" w:rsidRPr="00A2358C">
        <w:rPr>
          <w:rFonts w:asciiTheme="majorHAnsi" w:hAnsiTheme="majorHAnsi" w:cstheme="majorHAnsi"/>
          <w:sz w:val="24"/>
          <w:szCs w:val="24"/>
        </w:rPr>
        <w:t xml:space="preserve">a “probable retirement year” </w:t>
      </w:r>
      <w:r w:rsidRPr="00A2358C">
        <w:rPr>
          <w:rFonts w:asciiTheme="majorHAnsi" w:hAnsiTheme="majorHAnsi" w:cstheme="majorHAnsi"/>
          <w:sz w:val="24"/>
          <w:szCs w:val="24"/>
        </w:rPr>
        <w:t xml:space="preserve">of 2019 was </w:t>
      </w:r>
      <w:r w:rsidR="00C720E2" w:rsidRPr="00A2358C">
        <w:rPr>
          <w:rFonts w:asciiTheme="majorHAnsi" w:hAnsiTheme="majorHAnsi" w:cstheme="majorHAnsi"/>
          <w:sz w:val="24"/>
          <w:szCs w:val="24"/>
        </w:rPr>
        <w:t xml:space="preserve">used </w:t>
      </w:r>
      <w:r w:rsidRPr="00A2358C">
        <w:rPr>
          <w:rFonts w:asciiTheme="majorHAnsi" w:hAnsiTheme="majorHAnsi" w:cstheme="majorHAnsi"/>
          <w:sz w:val="24"/>
          <w:szCs w:val="24"/>
        </w:rPr>
        <w:t xml:space="preserve">for both of the older Colstrip units </w:t>
      </w:r>
      <w:r w:rsidR="000E3247" w:rsidRPr="00A2358C">
        <w:rPr>
          <w:rFonts w:asciiTheme="majorHAnsi" w:hAnsiTheme="majorHAnsi" w:cstheme="majorHAnsi"/>
          <w:sz w:val="24"/>
          <w:szCs w:val="24"/>
        </w:rPr>
        <w:t>consistent with a 4</w:t>
      </w:r>
      <w:r w:rsidR="00177DFA" w:rsidRPr="00A2358C">
        <w:rPr>
          <w:rFonts w:asciiTheme="majorHAnsi" w:hAnsiTheme="majorHAnsi" w:cstheme="majorHAnsi"/>
          <w:sz w:val="24"/>
          <w:szCs w:val="24"/>
        </w:rPr>
        <w:t>4</w:t>
      </w:r>
      <w:r w:rsidR="000E3247" w:rsidRPr="00A2358C">
        <w:rPr>
          <w:rFonts w:asciiTheme="majorHAnsi" w:hAnsiTheme="majorHAnsi" w:cstheme="majorHAnsi"/>
          <w:sz w:val="24"/>
          <w:szCs w:val="24"/>
        </w:rPr>
        <w:t xml:space="preserve">-year lifespan for </w:t>
      </w:r>
      <w:r w:rsidR="00177DFA" w:rsidRPr="00A2358C">
        <w:rPr>
          <w:rFonts w:asciiTheme="majorHAnsi" w:hAnsiTheme="majorHAnsi" w:cstheme="majorHAnsi"/>
          <w:sz w:val="24"/>
          <w:szCs w:val="24"/>
        </w:rPr>
        <w:t>U</w:t>
      </w:r>
      <w:r w:rsidR="000E3247" w:rsidRPr="00A2358C">
        <w:rPr>
          <w:rFonts w:asciiTheme="majorHAnsi" w:hAnsiTheme="majorHAnsi" w:cstheme="majorHAnsi"/>
          <w:sz w:val="24"/>
          <w:szCs w:val="24"/>
        </w:rPr>
        <w:t>nit</w:t>
      </w:r>
      <w:r w:rsidR="00177DFA" w:rsidRPr="00A2358C">
        <w:rPr>
          <w:rFonts w:asciiTheme="majorHAnsi" w:hAnsiTheme="majorHAnsi" w:cstheme="majorHAnsi"/>
          <w:sz w:val="24"/>
          <w:szCs w:val="24"/>
        </w:rPr>
        <w:t xml:space="preserve"> 1 and a 43-year lifespan for Unit 2</w:t>
      </w:r>
      <w:r w:rsidRPr="00A2358C">
        <w:rPr>
          <w:rFonts w:asciiTheme="majorHAnsi" w:hAnsiTheme="majorHAnsi" w:cstheme="majorHAnsi"/>
          <w:sz w:val="24"/>
          <w:szCs w:val="24"/>
        </w:rPr>
        <w:t>.</w:t>
      </w:r>
      <w:r w:rsidR="000E3247" w:rsidRPr="00A2358C">
        <w:rPr>
          <w:rFonts w:asciiTheme="majorHAnsi" w:hAnsiTheme="majorHAnsi" w:cstheme="majorHAnsi"/>
          <w:sz w:val="24"/>
          <w:szCs w:val="24"/>
        </w:rPr>
        <w:t xml:space="preserve"> </w:t>
      </w:r>
      <w:r w:rsidR="007B0950" w:rsidRPr="00A2358C">
        <w:rPr>
          <w:rFonts w:asciiTheme="majorHAnsi" w:hAnsiTheme="majorHAnsi" w:cstheme="majorHAnsi"/>
          <w:sz w:val="24"/>
          <w:szCs w:val="24"/>
        </w:rPr>
        <w:t>PSE’s witness also estimated p</w:t>
      </w:r>
      <w:r w:rsidR="00C720E2" w:rsidRPr="00A2358C">
        <w:rPr>
          <w:rFonts w:asciiTheme="majorHAnsi" w:hAnsiTheme="majorHAnsi" w:cstheme="majorHAnsi"/>
          <w:sz w:val="24"/>
          <w:szCs w:val="24"/>
        </w:rPr>
        <w:t>robabl</w:t>
      </w:r>
      <w:r w:rsidR="007B0950" w:rsidRPr="00A2358C">
        <w:rPr>
          <w:rFonts w:asciiTheme="majorHAnsi" w:hAnsiTheme="majorHAnsi" w:cstheme="majorHAnsi"/>
          <w:sz w:val="24"/>
          <w:szCs w:val="24"/>
        </w:rPr>
        <w:t>e</w:t>
      </w:r>
      <w:r w:rsidR="00C720E2" w:rsidRPr="00A2358C">
        <w:rPr>
          <w:rFonts w:asciiTheme="majorHAnsi" w:hAnsiTheme="majorHAnsi" w:cstheme="majorHAnsi"/>
          <w:sz w:val="24"/>
          <w:szCs w:val="24"/>
        </w:rPr>
        <w:t xml:space="preserve"> retirement years for Colstrip Units 3 and 4 at 2024 and 2026, consistent with life spans of 40 and 41 years, respectively.</w:t>
      </w:r>
      <w:r w:rsidR="00C720E2" w:rsidRPr="00A2358C">
        <w:rPr>
          <w:rStyle w:val="FootnoteReference"/>
          <w:rFonts w:asciiTheme="majorHAnsi" w:hAnsiTheme="majorHAnsi" w:cstheme="majorHAnsi"/>
          <w:sz w:val="24"/>
          <w:szCs w:val="24"/>
        </w:rPr>
        <w:footnoteReference w:id="2"/>
      </w:r>
    </w:p>
    <w:p w14:paraId="2AB5951D" w14:textId="4ECA16BC" w:rsidR="00A91CEE" w:rsidRPr="00A2358C" w:rsidRDefault="000E324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E640A">
        <w:rPr>
          <w:rFonts w:asciiTheme="majorHAnsi" w:hAnsiTheme="majorHAnsi" w:cstheme="majorHAnsi"/>
          <w:caps w:val="0"/>
          <w:sz w:val="24"/>
          <w:szCs w:val="24"/>
        </w:rPr>
        <w:t>Did WUTC Staff and Public C</w:t>
      </w:r>
      <w:r w:rsidR="00AE640A" w:rsidRPr="00A2358C">
        <w:rPr>
          <w:rFonts w:asciiTheme="majorHAnsi" w:hAnsiTheme="majorHAnsi" w:cstheme="majorHAnsi"/>
          <w:caps w:val="0"/>
          <w:sz w:val="24"/>
          <w:szCs w:val="24"/>
        </w:rPr>
        <w:t>ounsel support</w:t>
      </w:r>
      <w:r w:rsidRPr="00A2358C">
        <w:rPr>
          <w:rFonts w:asciiTheme="majorHAnsi" w:hAnsiTheme="majorHAnsi" w:cstheme="majorHAnsi"/>
          <w:sz w:val="24"/>
          <w:szCs w:val="24"/>
        </w:rPr>
        <w:t xml:space="preserve"> </w:t>
      </w:r>
      <w:r w:rsidR="00AE640A">
        <w:rPr>
          <w:rFonts w:asciiTheme="majorHAnsi" w:hAnsiTheme="majorHAnsi" w:cstheme="majorHAnsi"/>
          <w:caps w:val="0"/>
          <w:sz w:val="24"/>
          <w:szCs w:val="24"/>
        </w:rPr>
        <w:t>PSE</w:t>
      </w:r>
      <w:r w:rsidR="00AE640A" w:rsidRPr="00A2358C">
        <w:rPr>
          <w:rFonts w:asciiTheme="majorHAnsi" w:hAnsiTheme="majorHAnsi" w:cstheme="majorHAnsi"/>
          <w:caps w:val="0"/>
          <w:sz w:val="24"/>
          <w:szCs w:val="24"/>
        </w:rPr>
        <w:t xml:space="preserve">’s proposed depreciation </w:t>
      </w:r>
      <w:r w:rsidR="00AE640A">
        <w:rPr>
          <w:rFonts w:asciiTheme="majorHAnsi" w:hAnsiTheme="majorHAnsi" w:cstheme="majorHAnsi"/>
          <w:caps w:val="0"/>
          <w:sz w:val="24"/>
          <w:szCs w:val="24"/>
        </w:rPr>
        <w:t>schedules for the C</w:t>
      </w:r>
      <w:r w:rsidR="00AE640A" w:rsidRPr="00A2358C">
        <w:rPr>
          <w:rFonts w:asciiTheme="majorHAnsi" w:hAnsiTheme="majorHAnsi" w:cstheme="majorHAnsi"/>
          <w:caps w:val="0"/>
          <w:sz w:val="24"/>
          <w:szCs w:val="24"/>
        </w:rPr>
        <w:t>olstrip units based on this end-of-life assumption?</w:t>
      </w:r>
    </w:p>
    <w:p w14:paraId="0295238F" w14:textId="5864A9B0" w:rsidR="00157A86" w:rsidRPr="00A2358C" w:rsidRDefault="000E3247" w:rsidP="00A3056D">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WUTC Staff witness William H. </w:t>
      </w:r>
      <w:proofErr w:type="spellStart"/>
      <w:r w:rsidRPr="00A2358C">
        <w:rPr>
          <w:rFonts w:asciiTheme="majorHAnsi" w:hAnsiTheme="majorHAnsi" w:cstheme="majorHAnsi"/>
          <w:sz w:val="24"/>
          <w:szCs w:val="24"/>
        </w:rPr>
        <w:t>Weinman</w:t>
      </w:r>
      <w:proofErr w:type="spellEnd"/>
      <w:r w:rsidRPr="00A2358C">
        <w:rPr>
          <w:rFonts w:asciiTheme="majorHAnsi" w:hAnsiTheme="majorHAnsi" w:cstheme="majorHAnsi"/>
          <w:sz w:val="24"/>
          <w:szCs w:val="24"/>
        </w:rPr>
        <w:t xml:space="preserve"> argued that the company should assume a sixty-year life for the Colstrip units</w:t>
      </w:r>
      <w:r w:rsidR="00C720E2" w:rsidRPr="00A2358C">
        <w:rPr>
          <w:rFonts w:asciiTheme="majorHAnsi" w:hAnsiTheme="majorHAnsi" w:cstheme="majorHAnsi"/>
          <w:sz w:val="24"/>
          <w:szCs w:val="24"/>
        </w:rPr>
        <w:t xml:space="preserve">, based on “comparing Colstrip with other coal-fired </w:t>
      </w:r>
      <w:r w:rsidR="00C720E2" w:rsidRPr="00A2358C">
        <w:rPr>
          <w:rFonts w:asciiTheme="majorHAnsi" w:hAnsiTheme="majorHAnsi" w:cstheme="majorHAnsi"/>
          <w:sz w:val="24"/>
          <w:szCs w:val="24"/>
        </w:rPr>
        <w:lastRenderedPageBreak/>
        <w:t>steam plants</w:t>
      </w:r>
      <w:r w:rsidR="00177DFA" w:rsidRPr="00A2358C">
        <w:rPr>
          <w:rFonts w:asciiTheme="majorHAnsi" w:hAnsiTheme="majorHAnsi" w:cstheme="majorHAnsi"/>
          <w:sz w:val="24"/>
          <w:szCs w:val="24"/>
        </w:rPr>
        <w:t>.</w:t>
      </w:r>
      <w:r w:rsidR="00C720E2" w:rsidRPr="00A2358C">
        <w:rPr>
          <w:rFonts w:asciiTheme="majorHAnsi" w:hAnsiTheme="majorHAnsi" w:cstheme="majorHAnsi"/>
          <w:sz w:val="24"/>
          <w:szCs w:val="24"/>
        </w:rPr>
        <w:t>”</w:t>
      </w:r>
      <w:r w:rsidR="00C720E2" w:rsidRPr="00A2358C">
        <w:rPr>
          <w:rStyle w:val="FootnoteReference"/>
          <w:rFonts w:asciiTheme="majorHAnsi" w:hAnsiTheme="majorHAnsi" w:cstheme="majorHAnsi"/>
          <w:sz w:val="24"/>
          <w:szCs w:val="24"/>
        </w:rPr>
        <w:footnoteReference w:id="3"/>
      </w:r>
      <w:r w:rsidR="00177DFA" w:rsidRPr="00A2358C">
        <w:rPr>
          <w:rFonts w:asciiTheme="majorHAnsi" w:hAnsiTheme="majorHAnsi" w:cstheme="majorHAnsi"/>
          <w:sz w:val="24"/>
          <w:szCs w:val="24"/>
        </w:rPr>
        <w:t xml:space="preserve"> Public Counsel </w:t>
      </w:r>
      <w:proofErr w:type="gramStart"/>
      <w:r w:rsidR="00177DFA" w:rsidRPr="00A2358C">
        <w:rPr>
          <w:rFonts w:asciiTheme="majorHAnsi" w:hAnsiTheme="majorHAnsi" w:cstheme="majorHAnsi"/>
          <w:sz w:val="24"/>
          <w:szCs w:val="24"/>
        </w:rPr>
        <w:t>witness</w:t>
      </w:r>
      <w:proofErr w:type="gramEnd"/>
      <w:r w:rsidR="00177DFA" w:rsidRPr="00A2358C">
        <w:rPr>
          <w:rFonts w:asciiTheme="majorHAnsi" w:hAnsiTheme="majorHAnsi" w:cstheme="majorHAnsi"/>
          <w:sz w:val="24"/>
          <w:szCs w:val="24"/>
        </w:rPr>
        <w:t xml:space="preserve"> Charles W. King also argued for a 60-year lifespan</w:t>
      </w:r>
      <w:r w:rsidR="00157A86" w:rsidRPr="00A2358C">
        <w:rPr>
          <w:rFonts w:asciiTheme="majorHAnsi" w:hAnsiTheme="majorHAnsi" w:cstheme="majorHAnsi"/>
          <w:sz w:val="24"/>
          <w:szCs w:val="24"/>
        </w:rPr>
        <w:t>, also based on his analysis of coal-fired plant retirements going back to 1900.</w:t>
      </w:r>
      <w:r w:rsidR="00F6424F" w:rsidRPr="00A2358C">
        <w:rPr>
          <w:rStyle w:val="FootnoteReference"/>
          <w:rFonts w:asciiTheme="majorHAnsi" w:hAnsiTheme="majorHAnsi" w:cstheme="majorHAnsi"/>
          <w:sz w:val="24"/>
          <w:szCs w:val="24"/>
        </w:rPr>
        <w:footnoteReference w:id="4"/>
      </w:r>
      <w:r w:rsidR="00157A86" w:rsidRPr="00A2358C">
        <w:rPr>
          <w:rFonts w:asciiTheme="majorHAnsi" w:hAnsiTheme="majorHAnsi" w:cstheme="majorHAnsi"/>
          <w:sz w:val="24"/>
          <w:szCs w:val="24"/>
        </w:rPr>
        <w:t xml:space="preserve"> Mr. King also offered as supporting evidence his interpretation of the Company’s then-current IRP, and a depreciation schedule used by Colstrip co-owner PacifiCorp from a multi-state settlement</w:t>
      </w:r>
      <w:r w:rsidR="00177DFA" w:rsidRPr="00A2358C">
        <w:rPr>
          <w:rFonts w:asciiTheme="majorHAnsi" w:hAnsiTheme="majorHAnsi" w:cstheme="majorHAnsi"/>
          <w:sz w:val="24"/>
          <w:szCs w:val="24"/>
        </w:rPr>
        <w:t xml:space="preserve">. </w:t>
      </w:r>
    </w:p>
    <w:p w14:paraId="612F031C" w14:textId="51C065F6" w:rsidR="006221D1" w:rsidRPr="00A2358C" w:rsidRDefault="006221D1"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3056D" w:rsidRPr="00A2358C">
        <w:rPr>
          <w:rFonts w:asciiTheme="majorHAnsi" w:hAnsiTheme="majorHAnsi" w:cstheme="majorHAnsi"/>
          <w:caps w:val="0"/>
          <w:sz w:val="24"/>
          <w:szCs w:val="24"/>
        </w:rPr>
        <w:t xml:space="preserve">Were the witnesses advocating for longer retirement dates correct in their estimates? </w:t>
      </w:r>
    </w:p>
    <w:p w14:paraId="0EDB6EF9" w14:textId="603F4E39" w:rsidR="006221D1" w:rsidRPr="00A2358C" w:rsidRDefault="006221D1" w:rsidP="00A3056D">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We now know with certainty that the estimated end of life dates </w:t>
      </w:r>
      <w:r w:rsidR="00C54D8E" w:rsidRPr="00A2358C">
        <w:rPr>
          <w:rFonts w:asciiTheme="majorHAnsi" w:hAnsiTheme="majorHAnsi" w:cstheme="majorHAnsi"/>
          <w:sz w:val="24"/>
          <w:szCs w:val="24"/>
        </w:rPr>
        <w:t>of 2035 for Colstrip Units 1 and 2 were incorrect. Those units will retire by 2022, if not sooner.</w:t>
      </w:r>
      <w:r w:rsidR="006E1008" w:rsidRPr="00A2358C">
        <w:rPr>
          <w:rStyle w:val="FootnoteReference"/>
          <w:rFonts w:asciiTheme="majorHAnsi" w:hAnsiTheme="majorHAnsi" w:cstheme="majorHAnsi"/>
          <w:sz w:val="24"/>
          <w:szCs w:val="24"/>
        </w:rPr>
        <w:footnoteReference w:id="5"/>
      </w:r>
      <w:r w:rsidR="00C54D8E" w:rsidRPr="00A2358C">
        <w:rPr>
          <w:rFonts w:asciiTheme="majorHAnsi" w:hAnsiTheme="majorHAnsi" w:cstheme="majorHAnsi"/>
          <w:sz w:val="24"/>
          <w:szCs w:val="24"/>
        </w:rPr>
        <w:t xml:space="preserve"> The 2007 estimates for Units 1 and 2 were therefore wrong by </w:t>
      </w:r>
      <w:r w:rsidR="006E1008" w:rsidRPr="00A2358C">
        <w:rPr>
          <w:rFonts w:asciiTheme="majorHAnsi" w:hAnsiTheme="majorHAnsi" w:cstheme="majorHAnsi"/>
          <w:sz w:val="24"/>
          <w:szCs w:val="24"/>
        </w:rPr>
        <w:t>at least</w:t>
      </w:r>
      <w:r w:rsidR="0028115D" w:rsidRPr="00A2358C">
        <w:rPr>
          <w:rFonts w:asciiTheme="majorHAnsi" w:hAnsiTheme="majorHAnsi" w:cstheme="majorHAnsi"/>
          <w:sz w:val="24"/>
          <w:szCs w:val="24"/>
        </w:rPr>
        <w:t xml:space="preserve"> </w:t>
      </w:r>
      <w:r w:rsidR="00C54D8E" w:rsidRPr="00A2358C">
        <w:rPr>
          <w:rFonts w:asciiTheme="majorHAnsi" w:hAnsiTheme="majorHAnsi" w:cstheme="majorHAnsi"/>
          <w:sz w:val="24"/>
          <w:szCs w:val="24"/>
        </w:rPr>
        <w:t>13</w:t>
      </w:r>
      <w:r w:rsidR="0028115D" w:rsidRPr="00A2358C">
        <w:rPr>
          <w:rFonts w:asciiTheme="majorHAnsi" w:hAnsiTheme="majorHAnsi" w:cstheme="majorHAnsi"/>
          <w:sz w:val="24"/>
          <w:szCs w:val="24"/>
        </w:rPr>
        <w:t xml:space="preserve"> </w:t>
      </w:r>
      <w:r w:rsidR="00C54D8E" w:rsidRPr="00A2358C">
        <w:rPr>
          <w:rFonts w:asciiTheme="majorHAnsi" w:hAnsiTheme="majorHAnsi" w:cstheme="majorHAnsi"/>
          <w:sz w:val="24"/>
          <w:szCs w:val="24"/>
        </w:rPr>
        <w:t xml:space="preserve">years. Similarly, while we do not </w:t>
      </w:r>
      <w:r w:rsidR="00976316" w:rsidRPr="00A2358C">
        <w:rPr>
          <w:rFonts w:asciiTheme="majorHAnsi" w:hAnsiTheme="majorHAnsi" w:cstheme="majorHAnsi"/>
          <w:sz w:val="24"/>
          <w:szCs w:val="24"/>
        </w:rPr>
        <w:t xml:space="preserve">currently </w:t>
      </w:r>
      <w:r w:rsidR="00C54D8E" w:rsidRPr="00A2358C">
        <w:rPr>
          <w:rFonts w:asciiTheme="majorHAnsi" w:hAnsiTheme="majorHAnsi" w:cstheme="majorHAnsi"/>
          <w:sz w:val="24"/>
          <w:szCs w:val="24"/>
        </w:rPr>
        <w:t xml:space="preserve">know </w:t>
      </w:r>
      <w:r w:rsidR="00976316" w:rsidRPr="00A2358C">
        <w:rPr>
          <w:rFonts w:asciiTheme="majorHAnsi" w:hAnsiTheme="majorHAnsi" w:cstheme="majorHAnsi"/>
          <w:sz w:val="24"/>
          <w:szCs w:val="24"/>
        </w:rPr>
        <w:t>exactly when</w:t>
      </w:r>
      <w:r w:rsidR="00C54D8E" w:rsidRPr="00A2358C">
        <w:rPr>
          <w:rFonts w:asciiTheme="majorHAnsi" w:hAnsiTheme="majorHAnsi" w:cstheme="majorHAnsi"/>
          <w:sz w:val="24"/>
          <w:szCs w:val="24"/>
        </w:rPr>
        <w:t xml:space="preserve"> Colstrip Units 3 and 4 will ultimately retire, it is exceedingly unlikely that those units will </w:t>
      </w:r>
      <w:r w:rsidR="00B90334" w:rsidRPr="00A2358C">
        <w:rPr>
          <w:rFonts w:asciiTheme="majorHAnsi" w:hAnsiTheme="majorHAnsi" w:cstheme="majorHAnsi"/>
          <w:sz w:val="24"/>
          <w:szCs w:val="24"/>
        </w:rPr>
        <w:t>continue operating</w:t>
      </w:r>
      <w:r w:rsidR="00C54D8E" w:rsidRPr="00A2358C">
        <w:rPr>
          <w:rFonts w:asciiTheme="majorHAnsi" w:hAnsiTheme="majorHAnsi" w:cstheme="majorHAnsi"/>
          <w:sz w:val="24"/>
          <w:szCs w:val="24"/>
        </w:rPr>
        <w:t xml:space="preserve"> until 2044 and 2045</w:t>
      </w:r>
      <w:r w:rsidR="00B90334" w:rsidRPr="00A2358C">
        <w:rPr>
          <w:rFonts w:asciiTheme="majorHAnsi" w:hAnsiTheme="majorHAnsi" w:cstheme="majorHAnsi"/>
          <w:sz w:val="24"/>
          <w:szCs w:val="24"/>
        </w:rPr>
        <w:t xml:space="preserve"> as suggested by their current depreciation schedules</w:t>
      </w:r>
      <w:r w:rsidR="00C54D8E" w:rsidRPr="00A2358C">
        <w:rPr>
          <w:rFonts w:asciiTheme="majorHAnsi" w:hAnsiTheme="majorHAnsi" w:cstheme="majorHAnsi"/>
          <w:sz w:val="24"/>
          <w:szCs w:val="24"/>
        </w:rPr>
        <w:t xml:space="preserve">. </w:t>
      </w:r>
    </w:p>
    <w:p w14:paraId="56657F2C" w14:textId="1FA32D04" w:rsidR="00157A86" w:rsidRPr="00A2358C" w:rsidRDefault="00157A86"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3056D" w:rsidRPr="00A2358C">
        <w:rPr>
          <w:rFonts w:asciiTheme="majorHAnsi" w:hAnsiTheme="majorHAnsi" w:cstheme="majorHAnsi"/>
          <w:caps w:val="0"/>
          <w:sz w:val="24"/>
          <w:szCs w:val="24"/>
        </w:rPr>
        <w:t>Is a sta</w:t>
      </w:r>
      <w:r w:rsidR="0022574C">
        <w:rPr>
          <w:rFonts w:asciiTheme="majorHAnsi" w:hAnsiTheme="majorHAnsi" w:cstheme="majorHAnsi"/>
          <w:caps w:val="0"/>
          <w:sz w:val="24"/>
          <w:szCs w:val="24"/>
        </w:rPr>
        <w:t>tistical analysis of coal plant</w:t>
      </w:r>
      <w:r w:rsidR="00A3056D" w:rsidRPr="00A2358C">
        <w:rPr>
          <w:rFonts w:asciiTheme="majorHAnsi" w:hAnsiTheme="majorHAnsi" w:cstheme="majorHAnsi"/>
          <w:caps w:val="0"/>
          <w:sz w:val="24"/>
          <w:szCs w:val="24"/>
        </w:rPr>
        <w:t xml:space="preserve"> retirements dating back to 1900 a reasonable basis for estimating th</w:t>
      </w:r>
      <w:r w:rsidR="00A3056D">
        <w:rPr>
          <w:rFonts w:asciiTheme="majorHAnsi" w:hAnsiTheme="majorHAnsi" w:cstheme="majorHAnsi"/>
          <w:caps w:val="0"/>
          <w:sz w:val="24"/>
          <w:szCs w:val="24"/>
        </w:rPr>
        <w:t>e probable</w:t>
      </w:r>
      <w:r w:rsidR="00946A70">
        <w:rPr>
          <w:rFonts w:asciiTheme="majorHAnsi" w:hAnsiTheme="majorHAnsi" w:cstheme="majorHAnsi"/>
          <w:caps w:val="0"/>
          <w:sz w:val="24"/>
          <w:szCs w:val="24"/>
        </w:rPr>
        <w:t xml:space="preserve"> service lives</w:t>
      </w:r>
      <w:r w:rsidR="00A3056D">
        <w:rPr>
          <w:rFonts w:asciiTheme="majorHAnsi" w:hAnsiTheme="majorHAnsi" w:cstheme="majorHAnsi"/>
          <w:caps w:val="0"/>
          <w:sz w:val="24"/>
          <w:szCs w:val="24"/>
        </w:rPr>
        <w:t xml:space="preserve"> of the C</w:t>
      </w:r>
      <w:r w:rsidR="00A3056D" w:rsidRPr="00A2358C">
        <w:rPr>
          <w:rFonts w:asciiTheme="majorHAnsi" w:hAnsiTheme="majorHAnsi" w:cstheme="majorHAnsi"/>
          <w:caps w:val="0"/>
          <w:sz w:val="24"/>
          <w:szCs w:val="24"/>
        </w:rPr>
        <w:t>olstrip units?</w:t>
      </w:r>
      <w:r w:rsidR="00BE48B0" w:rsidRPr="00A2358C">
        <w:rPr>
          <w:rFonts w:asciiTheme="majorHAnsi" w:hAnsiTheme="majorHAnsi" w:cstheme="majorHAnsi"/>
          <w:sz w:val="24"/>
          <w:szCs w:val="24"/>
        </w:rPr>
        <w:t xml:space="preserve"> </w:t>
      </w:r>
      <w:r w:rsidR="00A3056D" w:rsidRPr="00A2358C">
        <w:rPr>
          <w:rFonts w:asciiTheme="majorHAnsi" w:hAnsiTheme="majorHAnsi" w:cstheme="majorHAnsi"/>
          <w:caps w:val="0"/>
          <w:sz w:val="24"/>
          <w:szCs w:val="24"/>
        </w:rPr>
        <w:t>If not, why not?</w:t>
      </w:r>
    </w:p>
    <w:p w14:paraId="48C7AAC4" w14:textId="2BB78A47" w:rsidR="001D0412" w:rsidRPr="00A2358C" w:rsidRDefault="00157A86"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w:t>
      </w:r>
      <w:r w:rsidR="001D0412" w:rsidRPr="00A2358C">
        <w:rPr>
          <w:rFonts w:asciiTheme="majorHAnsi" w:hAnsiTheme="majorHAnsi" w:cstheme="majorHAnsi"/>
          <w:sz w:val="24"/>
          <w:szCs w:val="24"/>
        </w:rPr>
        <w:t xml:space="preserve">The economic and regulatory environment for coal today is completely different from anything that existed over most of the time period referenced by witnesses King and </w:t>
      </w:r>
      <w:proofErr w:type="spellStart"/>
      <w:r w:rsidR="001D0412" w:rsidRPr="00A2358C">
        <w:rPr>
          <w:rFonts w:asciiTheme="majorHAnsi" w:hAnsiTheme="majorHAnsi" w:cstheme="majorHAnsi"/>
          <w:sz w:val="24"/>
          <w:szCs w:val="24"/>
        </w:rPr>
        <w:t>Weinman</w:t>
      </w:r>
      <w:proofErr w:type="spellEnd"/>
      <w:r w:rsidR="00F6424F" w:rsidRPr="00A2358C">
        <w:rPr>
          <w:rFonts w:asciiTheme="majorHAnsi" w:hAnsiTheme="majorHAnsi" w:cstheme="majorHAnsi"/>
          <w:sz w:val="24"/>
          <w:szCs w:val="24"/>
        </w:rPr>
        <w:t xml:space="preserve"> in Docket No. UE-072300/UG-072301</w:t>
      </w:r>
      <w:r w:rsidR="001D0412" w:rsidRPr="00A2358C">
        <w:rPr>
          <w:rFonts w:asciiTheme="majorHAnsi" w:hAnsiTheme="majorHAnsi" w:cstheme="majorHAnsi"/>
          <w:sz w:val="24"/>
          <w:szCs w:val="24"/>
        </w:rPr>
        <w:t>, rendering their statistical analysis irrelevant to estimating the future lives of the Colstrip units.</w:t>
      </w:r>
    </w:p>
    <w:p w14:paraId="503CC631" w14:textId="3EB8C688" w:rsidR="00453ADD" w:rsidRPr="00A2358C" w:rsidRDefault="00157A86" w:rsidP="00712576">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lastRenderedPageBreak/>
        <w:t>For most of the 20</w:t>
      </w:r>
      <w:r w:rsidRPr="00A2358C">
        <w:rPr>
          <w:rFonts w:asciiTheme="majorHAnsi" w:hAnsiTheme="majorHAnsi" w:cstheme="majorHAnsi"/>
          <w:sz w:val="24"/>
          <w:szCs w:val="24"/>
          <w:vertAlign w:val="superscript"/>
        </w:rPr>
        <w:t>th</w:t>
      </w:r>
      <w:r w:rsidRPr="00A2358C">
        <w:rPr>
          <w:rFonts w:asciiTheme="majorHAnsi" w:hAnsiTheme="majorHAnsi" w:cstheme="majorHAnsi"/>
          <w:sz w:val="24"/>
          <w:szCs w:val="24"/>
        </w:rPr>
        <w:t xml:space="preserve"> century there were very few retirements of coal plants, as demand for power grew exponentially and the availability and cost of </w:t>
      </w:r>
      <w:r w:rsidR="00F6424F" w:rsidRPr="00A2358C">
        <w:rPr>
          <w:rFonts w:asciiTheme="majorHAnsi" w:hAnsiTheme="majorHAnsi" w:cstheme="majorHAnsi"/>
          <w:sz w:val="24"/>
          <w:szCs w:val="24"/>
        </w:rPr>
        <w:t xml:space="preserve">coal made it more attractive to utilities than </w:t>
      </w:r>
      <w:r w:rsidRPr="00A2358C">
        <w:rPr>
          <w:rFonts w:asciiTheme="majorHAnsi" w:hAnsiTheme="majorHAnsi" w:cstheme="majorHAnsi"/>
          <w:sz w:val="24"/>
          <w:szCs w:val="24"/>
        </w:rPr>
        <w:t xml:space="preserve">alternative energy sources. In </w:t>
      </w:r>
      <w:r w:rsidR="00F6424F" w:rsidRPr="00A2358C">
        <w:rPr>
          <w:rFonts w:asciiTheme="majorHAnsi" w:hAnsiTheme="majorHAnsi" w:cstheme="majorHAnsi"/>
          <w:sz w:val="24"/>
          <w:szCs w:val="24"/>
        </w:rPr>
        <w:t>addition</w:t>
      </w:r>
      <w:r w:rsidRPr="00A2358C">
        <w:rPr>
          <w:rFonts w:asciiTheme="majorHAnsi" w:hAnsiTheme="majorHAnsi" w:cstheme="majorHAnsi"/>
          <w:sz w:val="24"/>
          <w:szCs w:val="24"/>
        </w:rPr>
        <w:t xml:space="preserve">, the environmental and public health impacts of coal combustion were </w:t>
      </w:r>
      <w:r w:rsidR="003A3443" w:rsidRPr="00A2358C">
        <w:rPr>
          <w:rFonts w:asciiTheme="majorHAnsi" w:hAnsiTheme="majorHAnsi" w:cstheme="majorHAnsi"/>
          <w:sz w:val="24"/>
          <w:szCs w:val="24"/>
        </w:rPr>
        <w:t xml:space="preserve">less well-known, and/or were </w:t>
      </w:r>
      <w:r w:rsidR="00453ADD" w:rsidRPr="00A2358C">
        <w:rPr>
          <w:rFonts w:asciiTheme="majorHAnsi" w:hAnsiTheme="majorHAnsi" w:cstheme="majorHAnsi"/>
          <w:sz w:val="24"/>
          <w:szCs w:val="24"/>
        </w:rPr>
        <w:t xml:space="preserve">considered an acceptable cost of this engine of economic growth. In 1970, the US Congress passed the Clean Air Act and began the process of requiring coal plants to install pollution controls to reduce the environmental and health impacts of their emissions. However, Congress exempted many existing coal plants from strict emissions control requirements. This </w:t>
      </w:r>
      <w:r w:rsidR="00C54D8E" w:rsidRPr="00A2358C">
        <w:rPr>
          <w:rFonts w:asciiTheme="majorHAnsi" w:hAnsiTheme="majorHAnsi" w:cstheme="majorHAnsi"/>
          <w:sz w:val="24"/>
          <w:szCs w:val="24"/>
        </w:rPr>
        <w:t xml:space="preserve">loophole </w:t>
      </w:r>
      <w:r w:rsidR="00453ADD" w:rsidRPr="00A2358C">
        <w:rPr>
          <w:rFonts w:asciiTheme="majorHAnsi" w:hAnsiTheme="majorHAnsi" w:cstheme="majorHAnsi"/>
          <w:sz w:val="24"/>
          <w:szCs w:val="24"/>
        </w:rPr>
        <w:t xml:space="preserve">had the unintended consequence of actually prolonging the life of many coal plants </w:t>
      </w:r>
      <w:r w:rsidR="00B90334" w:rsidRPr="00A2358C">
        <w:rPr>
          <w:rFonts w:asciiTheme="majorHAnsi" w:hAnsiTheme="majorHAnsi" w:cstheme="majorHAnsi"/>
          <w:sz w:val="24"/>
          <w:szCs w:val="24"/>
        </w:rPr>
        <w:t>that lacked modern pollution controls</w:t>
      </w:r>
      <w:r w:rsidR="00453ADD" w:rsidRPr="00A2358C">
        <w:rPr>
          <w:rFonts w:asciiTheme="majorHAnsi" w:hAnsiTheme="majorHAnsi" w:cstheme="majorHAnsi"/>
          <w:sz w:val="24"/>
          <w:szCs w:val="24"/>
        </w:rPr>
        <w:t xml:space="preserve">, as companies sought to avoid the costs associated with the </w:t>
      </w:r>
      <w:r w:rsidR="00B90334" w:rsidRPr="00A2358C">
        <w:rPr>
          <w:rFonts w:asciiTheme="majorHAnsi" w:hAnsiTheme="majorHAnsi" w:cstheme="majorHAnsi"/>
          <w:sz w:val="24"/>
          <w:szCs w:val="24"/>
        </w:rPr>
        <w:t>technology</w:t>
      </w:r>
      <w:r w:rsidR="00453ADD" w:rsidRPr="00A2358C">
        <w:rPr>
          <w:rFonts w:asciiTheme="majorHAnsi" w:hAnsiTheme="majorHAnsi" w:cstheme="majorHAnsi"/>
          <w:sz w:val="24"/>
          <w:szCs w:val="24"/>
        </w:rPr>
        <w:t xml:space="preserve"> that would be required on new, or substantially refurbished, coal-fired power plants.</w:t>
      </w:r>
    </w:p>
    <w:p w14:paraId="6355E5B4" w14:textId="2EEB88B6" w:rsidR="002F36AB" w:rsidRPr="00A2358C" w:rsidRDefault="001D0412" w:rsidP="00712576">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Over the last two decades</w:t>
      </w:r>
      <w:r w:rsidR="00453ADD" w:rsidRPr="00A2358C">
        <w:rPr>
          <w:rFonts w:asciiTheme="majorHAnsi" w:hAnsiTheme="majorHAnsi" w:cstheme="majorHAnsi"/>
          <w:sz w:val="24"/>
          <w:szCs w:val="24"/>
        </w:rPr>
        <w:t xml:space="preserve"> this picture has changed. In much of the country </w:t>
      </w:r>
      <w:r w:rsidRPr="00A2358C">
        <w:rPr>
          <w:rFonts w:asciiTheme="majorHAnsi" w:hAnsiTheme="majorHAnsi" w:cstheme="majorHAnsi"/>
          <w:sz w:val="24"/>
          <w:szCs w:val="24"/>
        </w:rPr>
        <w:t xml:space="preserve">the growth </w:t>
      </w:r>
      <w:r w:rsidR="00060D33" w:rsidRPr="00A2358C">
        <w:rPr>
          <w:rFonts w:asciiTheme="majorHAnsi" w:hAnsiTheme="majorHAnsi" w:cstheme="majorHAnsi"/>
          <w:sz w:val="24"/>
          <w:szCs w:val="24"/>
        </w:rPr>
        <w:t xml:space="preserve">in </w:t>
      </w:r>
      <w:r w:rsidR="00453ADD" w:rsidRPr="00A2358C">
        <w:rPr>
          <w:rFonts w:asciiTheme="majorHAnsi" w:hAnsiTheme="majorHAnsi" w:cstheme="majorHAnsi"/>
          <w:sz w:val="24"/>
          <w:szCs w:val="24"/>
        </w:rPr>
        <w:t xml:space="preserve">demand </w:t>
      </w:r>
      <w:r w:rsidR="00060D33" w:rsidRPr="00A2358C">
        <w:rPr>
          <w:rFonts w:asciiTheme="majorHAnsi" w:hAnsiTheme="majorHAnsi" w:cstheme="majorHAnsi"/>
          <w:sz w:val="24"/>
          <w:szCs w:val="24"/>
        </w:rPr>
        <w:t xml:space="preserve">for electricity </w:t>
      </w:r>
      <w:r w:rsidR="00453ADD" w:rsidRPr="00A2358C">
        <w:rPr>
          <w:rFonts w:asciiTheme="majorHAnsi" w:hAnsiTheme="majorHAnsi" w:cstheme="majorHAnsi"/>
          <w:sz w:val="24"/>
          <w:szCs w:val="24"/>
        </w:rPr>
        <w:t xml:space="preserve">has slowed or even halted due to </w:t>
      </w:r>
      <w:r w:rsidR="00F6424F" w:rsidRPr="00A2358C">
        <w:rPr>
          <w:rFonts w:asciiTheme="majorHAnsi" w:hAnsiTheme="majorHAnsi" w:cstheme="majorHAnsi"/>
          <w:sz w:val="24"/>
          <w:szCs w:val="24"/>
        </w:rPr>
        <w:t xml:space="preserve">factors </w:t>
      </w:r>
      <w:r w:rsidR="00453ADD" w:rsidRPr="00A2358C">
        <w:rPr>
          <w:rFonts w:asciiTheme="majorHAnsi" w:hAnsiTheme="majorHAnsi" w:cstheme="majorHAnsi"/>
          <w:sz w:val="24"/>
          <w:szCs w:val="24"/>
        </w:rPr>
        <w:t xml:space="preserve">such as </w:t>
      </w:r>
      <w:r w:rsidR="00F6424F" w:rsidRPr="00A2358C">
        <w:rPr>
          <w:rFonts w:asciiTheme="majorHAnsi" w:hAnsiTheme="majorHAnsi" w:cstheme="majorHAnsi"/>
          <w:sz w:val="24"/>
          <w:szCs w:val="24"/>
        </w:rPr>
        <w:t>stringent</w:t>
      </w:r>
      <w:r w:rsidR="00453ADD" w:rsidRPr="00A2358C">
        <w:rPr>
          <w:rFonts w:asciiTheme="majorHAnsi" w:hAnsiTheme="majorHAnsi" w:cstheme="majorHAnsi"/>
          <w:sz w:val="24"/>
          <w:szCs w:val="24"/>
        </w:rPr>
        <w:t xml:space="preserve"> appliance energy </w:t>
      </w:r>
      <w:r w:rsidR="00F6424F" w:rsidRPr="00A2358C">
        <w:rPr>
          <w:rFonts w:asciiTheme="majorHAnsi" w:hAnsiTheme="majorHAnsi" w:cstheme="majorHAnsi"/>
          <w:sz w:val="24"/>
          <w:szCs w:val="24"/>
        </w:rPr>
        <w:t>efficiency</w:t>
      </w:r>
      <w:r w:rsidR="00453ADD" w:rsidRPr="00A2358C">
        <w:rPr>
          <w:rFonts w:asciiTheme="majorHAnsi" w:hAnsiTheme="majorHAnsi" w:cstheme="majorHAnsi"/>
          <w:sz w:val="24"/>
          <w:szCs w:val="24"/>
        </w:rPr>
        <w:t xml:space="preserve"> standards, along with utility-run energy efficiency programs such as PSE’s.</w:t>
      </w:r>
      <w:r w:rsidR="00060D33" w:rsidRPr="00A2358C">
        <w:rPr>
          <w:rStyle w:val="FootnoteReference"/>
          <w:rFonts w:asciiTheme="majorHAnsi" w:hAnsiTheme="majorHAnsi" w:cstheme="majorHAnsi"/>
          <w:sz w:val="24"/>
          <w:szCs w:val="24"/>
        </w:rPr>
        <w:footnoteReference w:id="6"/>
      </w:r>
      <w:r w:rsidR="000F4C4C" w:rsidRPr="00A2358C">
        <w:rPr>
          <w:rFonts w:asciiTheme="majorHAnsi" w:hAnsiTheme="majorHAnsi" w:cstheme="majorHAnsi"/>
          <w:sz w:val="24"/>
          <w:szCs w:val="24"/>
        </w:rPr>
        <w:t xml:space="preserve"> (The US Department of Energy’s Annual Energy Ou</w:t>
      </w:r>
      <w:r w:rsidR="007E4687">
        <w:rPr>
          <w:rFonts w:asciiTheme="majorHAnsi" w:hAnsiTheme="majorHAnsi" w:cstheme="majorHAnsi"/>
          <w:sz w:val="24"/>
          <w:szCs w:val="24"/>
        </w:rPr>
        <w:t>tlook (AEO) for 2017 projects a</w:t>
      </w:r>
      <w:r w:rsidR="000F4C4C" w:rsidRPr="00A2358C">
        <w:rPr>
          <w:rFonts w:asciiTheme="majorHAnsi" w:hAnsiTheme="majorHAnsi" w:cstheme="majorHAnsi"/>
          <w:sz w:val="24"/>
          <w:szCs w:val="24"/>
        </w:rPr>
        <w:t xml:space="preserve"> total increase in electricity consumption of just 2.0% in the Western region of the United States </w:t>
      </w:r>
      <w:r w:rsidR="00FD065E" w:rsidRPr="00A2358C">
        <w:rPr>
          <w:rFonts w:asciiTheme="majorHAnsi" w:hAnsiTheme="majorHAnsi" w:cstheme="majorHAnsi"/>
          <w:sz w:val="24"/>
          <w:szCs w:val="24"/>
        </w:rPr>
        <w:t xml:space="preserve">by </w:t>
      </w:r>
      <w:r w:rsidR="000F4C4C" w:rsidRPr="00A2358C">
        <w:rPr>
          <w:rFonts w:asciiTheme="majorHAnsi" w:hAnsiTheme="majorHAnsi" w:cstheme="majorHAnsi"/>
          <w:sz w:val="24"/>
          <w:szCs w:val="24"/>
        </w:rPr>
        <w:t>2035</w:t>
      </w:r>
      <w:r w:rsidR="00FD065E" w:rsidRPr="00A2358C">
        <w:rPr>
          <w:rFonts w:asciiTheme="majorHAnsi" w:hAnsiTheme="majorHAnsi" w:cstheme="majorHAnsi"/>
          <w:sz w:val="24"/>
          <w:szCs w:val="24"/>
        </w:rPr>
        <w:t xml:space="preserve"> over 2015 levels</w:t>
      </w:r>
      <w:r w:rsidR="000F4C4C" w:rsidRPr="00A2358C">
        <w:rPr>
          <w:rFonts w:asciiTheme="majorHAnsi" w:hAnsiTheme="majorHAnsi" w:cstheme="majorHAnsi"/>
          <w:sz w:val="24"/>
          <w:szCs w:val="24"/>
        </w:rPr>
        <w:t xml:space="preserve">, </w:t>
      </w:r>
      <w:r w:rsidR="00FD065E" w:rsidRPr="00A2358C">
        <w:rPr>
          <w:rFonts w:asciiTheme="majorHAnsi" w:hAnsiTheme="majorHAnsi" w:cstheme="majorHAnsi"/>
          <w:sz w:val="24"/>
          <w:szCs w:val="24"/>
        </w:rPr>
        <w:t xml:space="preserve">despite </w:t>
      </w:r>
      <w:r w:rsidR="000F4C4C" w:rsidRPr="00A2358C">
        <w:rPr>
          <w:rFonts w:asciiTheme="majorHAnsi" w:hAnsiTheme="majorHAnsi" w:cstheme="majorHAnsi"/>
          <w:sz w:val="24"/>
          <w:szCs w:val="24"/>
        </w:rPr>
        <w:t>an 804%</w:t>
      </w:r>
      <w:r w:rsidR="00FD065E" w:rsidRPr="00A2358C">
        <w:rPr>
          <w:rFonts w:asciiTheme="majorHAnsi" w:hAnsiTheme="majorHAnsi" w:cstheme="majorHAnsi"/>
          <w:sz w:val="24"/>
          <w:szCs w:val="24"/>
        </w:rPr>
        <w:t xml:space="preserve"> </w:t>
      </w:r>
      <w:r w:rsidR="000F4C4C" w:rsidRPr="00A2358C">
        <w:rPr>
          <w:rFonts w:asciiTheme="majorHAnsi" w:hAnsiTheme="majorHAnsi" w:cstheme="majorHAnsi"/>
          <w:sz w:val="24"/>
          <w:szCs w:val="24"/>
        </w:rPr>
        <w:t>increase in electricity demand for transportation.</w:t>
      </w:r>
      <w:r w:rsidR="000F4C4C" w:rsidRPr="00A2358C">
        <w:rPr>
          <w:rStyle w:val="FootnoteReference"/>
          <w:rFonts w:asciiTheme="majorHAnsi" w:hAnsiTheme="majorHAnsi" w:cstheme="majorHAnsi"/>
          <w:sz w:val="24"/>
          <w:szCs w:val="24"/>
        </w:rPr>
        <w:footnoteReference w:id="7"/>
      </w:r>
      <w:r w:rsidR="000F4C4C" w:rsidRPr="00A2358C">
        <w:rPr>
          <w:rFonts w:asciiTheme="majorHAnsi" w:hAnsiTheme="majorHAnsi" w:cstheme="majorHAnsi"/>
          <w:sz w:val="24"/>
          <w:szCs w:val="24"/>
        </w:rPr>
        <w:t>)</w:t>
      </w:r>
      <w:r w:rsidR="00453ADD" w:rsidRPr="00A2358C">
        <w:rPr>
          <w:rFonts w:asciiTheme="majorHAnsi" w:hAnsiTheme="majorHAnsi" w:cstheme="majorHAnsi"/>
          <w:sz w:val="24"/>
          <w:szCs w:val="24"/>
        </w:rPr>
        <w:t xml:space="preserve"> </w:t>
      </w:r>
      <w:r w:rsidR="009A42F6" w:rsidRPr="00A2358C">
        <w:rPr>
          <w:rFonts w:asciiTheme="majorHAnsi" w:hAnsiTheme="majorHAnsi" w:cstheme="majorHAnsi"/>
          <w:sz w:val="24"/>
          <w:szCs w:val="24"/>
        </w:rPr>
        <w:t xml:space="preserve">More recent environmental regulations have required existing coal-fired plants to reduce their emissions of harmful and haze-inducing </w:t>
      </w:r>
      <w:r w:rsidR="009A42F6" w:rsidRPr="00A2358C">
        <w:rPr>
          <w:rFonts w:asciiTheme="majorHAnsi" w:hAnsiTheme="majorHAnsi" w:cstheme="majorHAnsi"/>
          <w:sz w:val="24"/>
          <w:szCs w:val="24"/>
        </w:rPr>
        <w:lastRenderedPageBreak/>
        <w:t>pollutants, in addition to better management of their water use,</w:t>
      </w:r>
      <w:r w:rsidR="003A3443" w:rsidRPr="00A2358C">
        <w:rPr>
          <w:rFonts w:asciiTheme="majorHAnsi" w:hAnsiTheme="majorHAnsi" w:cstheme="majorHAnsi"/>
          <w:sz w:val="24"/>
          <w:szCs w:val="24"/>
        </w:rPr>
        <w:t xml:space="preserve"> their</w:t>
      </w:r>
      <w:r w:rsidR="009A42F6" w:rsidRPr="00A2358C">
        <w:rPr>
          <w:rFonts w:asciiTheme="majorHAnsi" w:hAnsiTheme="majorHAnsi" w:cstheme="majorHAnsi"/>
          <w:sz w:val="24"/>
          <w:szCs w:val="24"/>
        </w:rPr>
        <w:t xml:space="preserve"> impact on aquatic life, and disposal of combustion residuals (a.k.a. ash). </w:t>
      </w:r>
      <w:r w:rsidR="002F36AB" w:rsidRPr="00A2358C">
        <w:rPr>
          <w:rFonts w:asciiTheme="majorHAnsi" w:hAnsiTheme="majorHAnsi" w:cstheme="majorHAnsi"/>
          <w:sz w:val="24"/>
          <w:szCs w:val="24"/>
        </w:rPr>
        <w:t xml:space="preserve">These mandates often necessitate </w:t>
      </w:r>
      <w:r w:rsidR="009A42F6" w:rsidRPr="00A2358C">
        <w:rPr>
          <w:rFonts w:asciiTheme="majorHAnsi" w:hAnsiTheme="majorHAnsi" w:cstheme="majorHAnsi"/>
          <w:sz w:val="24"/>
          <w:szCs w:val="24"/>
        </w:rPr>
        <w:t xml:space="preserve">costly equipment upgrades </w:t>
      </w:r>
      <w:r w:rsidR="002F36AB" w:rsidRPr="00A2358C">
        <w:rPr>
          <w:rFonts w:asciiTheme="majorHAnsi" w:hAnsiTheme="majorHAnsi" w:cstheme="majorHAnsi"/>
          <w:sz w:val="24"/>
          <w:szCs w:val="24"/>
        </w:rPr>
        <w:t xml:space="preserve">for </w:t>
      </w:r>
      <w:r w:rsidR="009A42F6" w:rsidRPr="00A2358C">
        <w:rPr>
          <w:rFonts w:asciiTheme="majorHAnsi" w:hAnsiTheme="majorHAnsi" w:cstheme="majorHAnsi"/>
          <w:sz w:val="24"/>
          <w:szCs w:val="24"/>
        </w:rPr>
        <w:t>plants to continue operating.</w:t>
      </w:r>
      <w:r w:rsidR="002F36AB" w:rsidRPr="00A2358C">
        <w:rPr>
          <w:rFonts w:asciiTheme="majorHAnsi" w:hAnsiTheme="majorHAnsi" w:cstheme="majorHAnsi"/>
          <w:sz w:val="24"/>
          <w:szCs w:val="24"/>
        </w:rPr>
        <w:t xml:space="preserve"> </w:t>
      </w:r>
    </w:p>
    <w:p w14:paraId="652BE18D" w14:textId="48F49950" w:rsidR="00062464" w:rsidRPr="00A2358C" w:rsidRDefault="00453ADD" w:rsidP="00712576">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 xml:space="preserve">At the same time, the availability of natural gas has </w:t>
      </w:r>
      <w:r w:rsidR="00060D33" w:rsidRPr="00A2358C">
        <w:rPr>
          <w:rFonts w:asciiTheme="majorHAnsi" w:hAnsiTheme="majorHAnsi" w:cstheme="majorHAnsi"/>
          <w:sz w:val="24"/>
          <w:szCs w:val="24"/>
        </w:rPr>
        <w:t xml:space="preserve">increased with the </w:t>
      </w:r>
      <w:r w:rsidR="000629B7" w:rsidRPr="00A2358C">
        <w:rPr>
          <w:rFonts w:asciiTheme="majorHAnsi" w:hAnsiTheme="majorHAnsi" w:cstheme="majorHAnsi"/>
          <w:sz w:val="24"/>
          <w:szCs w:val="24"/>
        </w:rPr>
        <w:t xml:space="preserve">development and widespread use </w:t>
      </w:r>
      <w:r w:rsidR="00060D33" w:rsidRPr="00A2358C">
        <w:rPr>
          <w:rFonts w:asciiTheme="majorHAnsi" w:hAnsiTheme="majorHAnsi" w:cstheme="majorHAnsi"/>
          <w:sz w:val="24"/>
          <w:szCs w:val="24"/>
        </w:rPr>
        <w:t xml:space="preserve">of hydraulic fracturing, and the current and expected cost of gas has dropped to the point where it is often cost-preferable to coal as a generation fuel. The cost of renewable energy sources has also plummeted, while the demand for renewable-sourced energy has increased as a result of state Renewable Portfolio Standards and other policies. </w:t>
      </w:r>
      <w:r w:rsidR="00FD065E" w:rsidRPr="00A2358C">
        <w:rPr>
          <w:rFonts w:asciiTheme="majorHAnsi" w:hAnsiTheme="majorHAnsi" w:cstheme="majorHAnsi"/>
          <w:sz w:val="24"/>
          <w:szCs w:val="24"/>
        </w:rPr>
        <w:t xml:space="preserve">AEO 2017 projects an increase in renewable generation of 81.2% over 2015 levels by 2035, replacing not just coal (decrease of 77.8%) but also natural gas (decrease of </w:t>
      </w:r>
      <w:proofErr w:type="gramStart"/>
      <w:r w:rsidR="00FD065E" w:rsidRPr="00A2358C">
        <w:rPr>
          <w:rFonts w:asciiTheme="majorHAnsi" w:hAnsiTheme="majorHAnsi" w:cstheme="majorHAnsi"/>
          <w:sz w:val="24"/>
          <w:szCs w:val="24"/>
        </w:rPr>
        <w:t>46.4%</w:t>
      </w:r>
      <w:proofErr w:type="gramEnd"/>
      <w:r w:rsidR="00FD065E" w:rsidRPr="00A2358C">
        <w:rPr>
          <w:rFonts w:asciiTheme="majorHAnsi" w:hAnsiTheme="majorHAnsi" w:cstheme="majorHAnsi"/>
          <w:sz w:val="24"/>
          <w:szCs w:val="24"/>
        </w:rPr>
        <w:t>.)</w:t>
      </w:r>
    </w:p>
    <w:p w14:paraId="0691E4FF" w14:textId="08149E02" w:rsidR="00453ADD" w:rsidRPr="00A2358C" w:rsidRDefault="00062464" w:rsidP="00712576">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Finally, coal-fired plants such as Colstrip are very large point-sources of carbon dioxide (CO</w:t>
      </w:r>
      <w:r w:rsidRPr="00A2358C">
        <w:rPr>
          <w:rFonts w:asciiTheme="majorHAnsi" w:hAnsiTheme="majorHAnsi" w:cstheme="majorHAnsi"/>
          <w:sz w:val="24"/>
          <w:szCs w:val="24"/>
          <w:vertAlign w:val="subscript"/>
        </w:rPr>
        <w:t>2</w:t>
      </w:r>
      <w:r w:rsidRPr="00A2358C">
        <w:rPr>
          <w:rFonts w:asciiTheme="majorHAnsi" w:hAnsiTheme="majorHAnsi" w:cstheme="majorHAnsi"/>
          <w:sz w:val="24"/>
          <w:szCs w:val="24"/>
        </w:rPr>
        <w:t>) and other greenhouse gases, which have well-documented and extremely harmful</w:t>
      </w:r>
      <w:r w:rsidR="003A3443" w:rsidRPr="00A2358C">
        <w:rPr>
          <w:rFonts w:asciiTheme="majorHAnsi" w:hAnsiTheme="majorHAnsi" w:cstheme="majorHAnsi"/>
          <w:sz w:val="24"/>
          <w:szCs w:val="24"/>
        </w:rPr>
        <w:t xml:space="preserve"> </w:t>
      </w:r>
      <w:r w:rsidRPr="00A2358C">
        <w:rPr>
          <w:rFonts w:asciiTheme="majorHAnsi" w:hAnsiTheme="majorHAnsi" w:cstheme="majorHAnsi"/>
          <w:sz w:val="24"/>
          <w:szCs w:val="24"/>
        </w:rPr>
        <w:t xml:space="preserve">long-term impacts on the Earth’s climate and environment, human health, and economic well-being. The United States currently lags other countries in federal policies to address this threat. However, </w:t>
      </w:r>
      <w:r w:rsidR="003A3443" w:rsidRPr="00A2358C">
        <w:rPr>
          <w:rFonts w:asciiTheme="majorHAnsi" w:hAnsiTheme="majorHAnsi" w:cstheme="majorHAnsi"/>
          <w:sz w:val="24"/>
          <w:szCs w:val="24"/>
        </w:rPr>
        <w:t xml:space="preserve">numerous states, </w:t>
      </w:r>
      <w:r w:rsidRPr="00A2358C">
        <w:rPr>
          <w:rFonts w:asciiTheme="majorHAnsi" w:hAnsiTheme="majorHAnsi" w:cstheme="majorHAnsi"/>
          <w:sz w:val="24"/>
          <w:szCs w:val="24"/>
        </w:rPr>
        <w:t>including Washington and California</w:t>
      </w:r>
      <w:r w:rsidR="003A3443" w:rsidRPr="00A2358C">
        <w:rPr>
          <w:rFonts w:asciiTheme="majorHAnsi" w:hAnsiTheme="majorHAnsi" w:cstheme="majorHAnsi"/>
          <w:sz w:val="24"/>
          <w:szCs w:val="24"/>
        </w:rPr>
        <w:t>,</w:t>
      </w:r>
      <w:r w:rsidRPr="00A2358C">
        <w:rPr>
          <w:rFonts w:asciiTheme="majorHAnsi" w:hAnsiTheme="majorHAnsi" w:cstheme="majorHAnsi"/>
          <w:sz w:val="24"/>
          <w:szCs w:val="24"/>
        </w:rPr>
        <w:t xml:space="preserve"> are moving aggressively to reduce the greenhouse gas emissions associated with electricity production and other economic activity, </w:t>
      </w:r>
      <w:r w:rsidR="00F6424F" w:rsidRPr="00A2358C">
        <w:rPr>
          <w:rFonts w:asciiTheme="majorHAnsi" w:hAnsiTheme="majorHAnsi" w:cstheme="majorHAnsi"/>
          <w:sz w:val="24"/>
          <w:szCs w:val="24"/>
        </w:rPr>
        <w:t>transforming</w:t>
      </w:r>
      <w:r w:rsidRPr="00A2358C">
        <w:rPr>
          <w:rFonts w:asciiTheme="majorHAnsi" w:hAnsiTheme="majorHAnsi" w:cstheme="majorHAnsi"/>
          <w:sz w:val="24"/>
          <w:szCs w:val="24"/>
        </w:rPr>
        <w:t xml:space="preserve"> the regional electricity market by </w:t>
      </w:r>
      <w:r w:rsidR="001D0412" w:rsidRPr="00A2358C">
        <w:rPr>
          <w:rFonts w:asciiTheme="majorHAnsi" w:hAnsiTheme="majorHAnsi" w:cstheme="majorHAnsi"/>
          <w:sz w:val="24"/>
          <w:szCs w:val="24"/>
        </w:rPr>
        <w:t>pushing the generation mix away from high-carbon sources such as Colstrip</w:t>
      </w:r>
      <w:r w:rsidR="00F6424F" w:rsidRPr="00A2358C">
        <w:rPr>
          <w:rFonts w:asciiTheme="majorHAnsi" w:hAnsiTheme="majorHAnsi" w:cstheme="majorHAnsi"/>
          <w:sz w:val="24"/>
          <w:szCs w:val="24"/>
        </w:rPr>
        <w:t xml:space="preserve"> and towards cleaner generating </w:t>
      </w:r>
      <w:r w:rsidR="000629B7" w:rsidRPr="00A2358C">
        <w:rPr>
          <w:rFonts w:asciiTheme="majorHAnsi" w:hAnsiTheme="majorHAnsi" w:cstheme="majorHAnsi"/>
          <w:sz w:val="24"/>
          <w:szCs w:val="24"/>
        </w:rPr>
        <w:t>technologies</w:t>
      </w:r>
      <w:r w:rsidR="001D0412" w:rsidRPr="00A2358C">
        <w:rPr>
          <w:rFonts w:asciiTheme="majorHAnsi" w:hAnsiTheme="majorHAnsi" w:cstheme="majorHAnsi"/>
          <w:sz w:val="24"/>
          <w:szCs w:val="24"/>
        </w:rPr>
        <w:t xml:space="preserve">. </w:t>
      </w:r>
      <w:r w:rsidR="003A3443" w:rsidRPr="00A2358C">
        <w:rPr>
          <w:rFonts w:asciiTheme="majorHAnsi" w:hAnsiTheme="majorHAnsi" w:cstheme="majorHAnsi"/>
          <w:sz w:val="24"/>
          <w:szCs w:val="24"/>
        </w:rPr>
        <w:t xml:space="preserve">There has also been widespread recognition throughout the electric industry </w:t>
      </w:r>
      <w:r w:rsidR="001D0412" w:rsidRPr="00A2358C">
        <w:rPr>
          <w:rFonts w:asciiTheme="majorHAnsi" w:hAnsiTheme="majorHAnsi" w:cstheme="majorHAnsi"/>
          <w:sz w:val="24"/>
          <w:szCs w:val="24"/>
        </w:rPr>
        <w:t xml:space="preserve">that the United States will ultimately implement policies that impose </w:t>
      </w:r>
      <w:r w:rsidR="001D0412" w:rsidRPr="00A2358C">
        <w:rPr>
          <w:rFonts w:asciiTheme="majorHAnsi" w:hAnsiTheme="majorHAnsi" w:cstheme="majorHAnsi"/>
          <w:sz w:val="24"/>
          <w:szCs w:val="24"/>
        </w:rPr>
        <w:lastRenderedPageBreak/>
        <w:t>a price on greenhouse gas emissions as the deleterious effects of global climate change become increasingly difficult to ignore or deny.</w:t>
      </w:r>
    </w:p>
    <w:p w14:paraId="16D6BCE0" w14:textId="4DE6FB73" w:rsidR="002F36AB" w:rsidRPr="00A2358C" w:rsidRDefault="00F70F8C" w:rsidP="00712576">
      <w:pPr>
        <w:pStyle w:val="A2"/>
        <w:spacing w:before="240" w:after="240"/>
        <w:ind w:firstLine="0"/>
        <w:rPr>
          <w:rFonts w:asciiTheme="majorHAnsi" w:hAnsiTheme="majorHAnsi" w:cstheme="majorHAnsi"/>
          <w:b/>
          <w:i/>
          <w:sz w:val="24"/>
          <w:szCs w:val="24"/>
        </w:rPr>
      </w:pPr>
      <w:r w:rsidRPr="00A2358C">
        <w:rPr>
          <w:rFonts w:asciiTheme="majorHAnsi" w:hAnsiTheme="majorHAnsi" w:cstheme="majorHAnsi"/>
          <w:sz w:val="24"/>
          <w:szCs w:val="24"/>
        </w:rPr>
        <w:t>T</w:t>
      </w:r>
      <w:r w:rsidR="002F36AB" w:rsidRPr="00A2358C">
        <w:rPr>
          <w:rFonts w:asciiTheme="majorHAnsi" w:hAnsiTheme="majorHAnsi" w:cstheme="majorHAnsi"/>
          <w:sz w:val="24"/>
          <w:szCs w:val="24"/>
        </w:rPr>
        <w:t xml:space="preserve">hese factors have led to conditions where many coal plants cannot compete economically, and </w:t>
      </w:r>
      <w:r w:rsidR="001D0412" w:rsidRPr="00A2358C">
        <w:rPr>
          <w:rFonts w:asciiTheme="majorHAnsi" w:hAnsiTheme="majorHAnsi" w:cstheme="majorHAnsi"/>
          <w:sz w:val="24"/>
          <w:szCs w:val="24"/>
        </w:rPr>
        <w:t xml:space="preserve">even more </w:t>
      </w:r>
      <w:r w:rsidR="002F36AB" w:rsidRPr="00A2358C">
        <w:rPr>
          <w:rFonts w:asciiTheme="majorHAnsi" w:hAnsiTheme="majorHAnsi" w:cstheme="majorHAnsi"/>
          <w:sz w:val="24"/>
          <w:szCs w:val="24"/>
        </w:rPr>
        <w:t>cannot justify continued investments in either e</w:t>
      </w:r>
      <w:r w:rsidR="001D0412" w:rsidRPr="00A2358C">
        <w:rPr>
          <w:rFonts w:asciiTheme="majorHAnsi" w:hAnsiTheme="majorHAnsi" w:cstheme="majorHAnsi"/>
          <w:sz w:val="24"/>
          <w:szCs w:val="24"/>
        </w:rPr>
        <w:t xml:space="preserve">nvironmental upgrades or other </w:t>
      </w:r>
      <w:r w:rsidR="002F36AB" w:rsidRPr="00A2358C">
        <w:rPr>
          <w:rFonts w:asciiTheme="majorHAnsi" w:hAnsiTheme="majorHAnsi" w:cstheme="majorHAnsi"/>
          <w:sz w:val="24"/>
          <w:szCs w:val="24"/>
        </w:rPr>
        <w:t>significant capital improvements</w:t>
      </w:r>
      <w:r w:rsidR="001D0412" w:rsidRPr="00A2358C">
        <w:rPr>
          <w:rFonts w:asciiTheme="majorHAnsi" w:hAnsiTheme="majorHAnsi" w:cstheme="majorHAnsi"/>
          <w:sz w:val="24"/>
          <w:szCs w:val="24"/>
        </w:rPr>
        <w:t xml:space="preserve"> given their long-term outlook</w:t>
      </w:r>
      <w:r w:rsidR="002F36AB" w:rsidRPr="00A2358C">
        <w:rPr>
          <w:rFonts w:asciiTheme="majorHAnsi" w:hAnsiTheme="majorHAnsi" w:cstheme="majorHAnsi"/>
          <w:sz w:val="24"/>
          <w:szCs w:val="24"/>
        </w:rPr>
        <w:t>. As a result, coal plants have been retired</w:t>
      </w:r>
      <w:r w:rsidRPr="00A2358C">
        <w:rPr>
          <w:rFonts w:asciiTheme="majorHAnsi" w:hAnsiTheme="majorHAnsi" w:cstheme="majorHAnsi"/>
          <w:sz w:val="24"/>
          <w:szCs w:val="24"/>
        </w:rPr>
        <w:t>,</w:t>
      </w:r>
      <w:r w:rsidR="002F36AB" w:rsidRPr="00A2358C">
        <w:rPr>
          <w:rFonts w:asciiTheme="majorHAnsi" w:hAnsiTheme="majorHAnsi" w:cstheme="majorHAnsi"/>
          <w:sz w:val="24"/>
          <w:szCs w:val="24"/>
        </w:rPr>
        <w:t xml:space="preserve"> or repowered to burn gas</w:t>
      </w:r>
      <w:r w:rsidRPr="00A2358C">
        <w:rPr>
          <w:rFonts w:asciiTheme="majorHAnsi" w:hAnsiTheme="majorHAnsi" w:cstheme="majorHAnsi"/>
          <w:sz w:val="24"/>
          <w:szCs w:val="24"/>
        </w:rPr>
        <w:t>,</w:t>
      </w:r>
      <w:r w:rsidR="002F36AB" w:rsidRPr="00A2358C">
        <w:rPr>
          <w:rFonts w:asciiTheme="majorHAnsi" w:hAnsiTheme="majorHAnsi" w:cstheme="majorHAnsi"/>
          <w:sz w:val="24"/>
          <w:szCs w:val="24"/>
        </w:rPr>
        <w:t xml:space="preserve"> at an unprecedented rate over the last decade. </w:t>
      </w:r>
      <w:r w:rsidR="000629B7" w:rsidRPr="00A2358C">
        <w:rPr>
          <w:rFonts w:asciiTheme="majorHAnsi" w:hAnsiTheme="majorHAnsi" w:cstheme="majorHAnsi"/>
          <w:sz w:val="24"/>
          <w:szCs w:val="24"/>
        </w:rPr>
        <w:t xml:space="preserve">As tallied by </w:t>
      </w:r>
      <w:r w:rsidR="009A1D6A" w:rsidRPr="00A2358C">
        <w:rPr>
          <w:rFonts w:asciiTheme="majorHAnsi" w:hAnsiTheme="majorHAnsi" w:cstheme="majorHAnsi"/>
          <w:sz w:val="24"/>
          <w:szCs w:val="24"/>
        </w:rPr>
        <w:t>the Sierra Club, over 250 coal plants have retired or committed to retire in the United States since 2010, or about 50% of all coal plants in the country.</w:t>
      </w:r>
      <w:r w:rsidR="009A1D6A" w:rsidRPr="00A2358C">
        <w:rPr>
          <w:rStyle w:val="FootnoteReference"/>
          <w:rFonts w:asciiTheme="majorHAnsi" w:hAnsiTheme="majorHAnsi" w:cstheme="majorHAnsi"/>
          <w:sz w:val="24"/>
          <w:szCs w:val="24"/>
        </w:rPr>
        <w:footnoteReference w:id="8"/>
      </w:r>
      <w:r w:rsidR="009A1D6A" w:rsidRPr="00A2358C">
        <w:rPr>
          <w:rFonts w:asciiTheme="majorHAnsi" w:hAnsiTheme="majorHAnsi" w:cstheme="majorHAnsi"/>
          <w:sz w:val="24"/>
          <w:szCs w:val="24"/>
        </w:rPr>
        <w:t xml:space="preserve"> Today, even larger, younger coal plants are struggling to survive the economic competition from cleaner, cheaper energy sources.</w:t>
      </w:r>
      <w:r w:rsidR="009A1D6A" w:rsidRPr="00A2358C">
        <w:rPr>
          <w:rStyle w:val="FootnoteReference"/>
          <w:rFonts w:asciiTheme="majorHAnsi" w:hAnsiTheme="majorHAnsi" w:cstheme="majorHAnsi"/>
          <w:sz w:val="24"/>
          <w:szCs w:val="24"/>
        </w:rPr>
        <w:footnoteReference w:id="9"/>
      </w:r>
    </w:p>
    <w:p w14:paraId="783E7914" w14:textId="24146528" w:rsidR="002F36AB" w:rsidRPr="00A2358C" w:rsidRDefault="002F36AB"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712576">
        <w:rPr>
          <w:rFonts w:asciiTheme="majorHAnsi" w:hAnsiTheme="majorHAnsi" w:cstheme="majorHAnsi"/>
          <w:caps w:val="0"/>
          <w:sz w:val="24"/>
          <w:szCs w:val="24"/>
        </w:rPr>
        <w:t>Did PSE Manager of Colstrip Project Operations &amp; F</w:t>
      </w:r>
      <w:r w:rsidR="00712576" w:rsidRPr="00A2358C">
        <w:rPr>
          <w:rFonts w:asciiTheme="majorHAnsi" w:hAnsiTheme="majorHAnsi" w:cstheme="majorHAnsi"/>
          <w:caps w:val="0"/>
          <w:sz w:val="24"/>
          <w:szCs w:val="24"/>
        </w:rPr>
        <w:t xml:space="preserve">uels </w:t>
      </w:r>
      <w:r w:rsidR="00712576">
        <w:rPr>
          <w:rFonts w:asciiTheme="majorHAnsi" w:hAnsiTheme="majorHAnsi" w:cstheme="majorHAnsi"/>
          <w:caps w:val="0"/>
          <w:sz w:val="24"/>
          <w:szCs w:val="24"/>
        </w:rPr>
        <w:t>M</w:t>
      </w:r>
      <w:r w:rsidR="00342013">
        <w:rPr>
          <w:rFonts w:asciiTheme="majorHAnsi" w:hAnsiTheme="majorHAnsi" w:cstheme="majorHAnsi"/>
          <w:caps w:val="0"/>
          <w:sz w:val="24"/>
          <w:szCs w:val="24"/>
        </w:rPr>
        <w:t>ichael L.</w:t>
      </w:r>
      <w:r w:rsidR="00712576" w:rsidRPr="00A2358C">
        <w:rPr>
          <w:rFonts w:asciiTheme="majorHAnsi" w:hAnsiTheme="majorHAnsi" w:cstheme="majorHAnsi"/>
          <w:caps w:val="0"/>
          <w:sz w:val="24"/>
          <w:szCs w:val="24"/>
        </w:rPr>
        <w:t xml:space="preserve"> Jones, testifying in</w:t>
      </w:r>
      <w:r w:rsidRPr="00A2358C">
        <w:rPr>
          <w:rFonts w:asciiTheme="majorHAnsi" w:hAnsiTheme="majorHAnsi" w:cstheme="majorHAnsi"/>
          <w:sz w:val="24"/>
          <w:szCs w:val="24"/>
        </w:rPr>
        <w:t xml:space="preserve"> </w:t>
      </w:r>
      <w:r w:rsidR="00712576">
        <w:rPr>
          <w:rFonts w:asciiTheme="majorHAnsi" w:hAnsiTheme="majorHAnsi" w:cstheme="majorHAnsi"/>
          <w:caps w:val="0"/>
          <w:sz w:val="24"/>
          <w:szCs w:val="24"/>
        </w:rPr>
        <w:t>PSE</w:t>
      </w:r>
      <w:r w:rsidR="00712576" w:rsidRPr="00A2358C">
        <w:rPr>
          <w:rFonts w:asciiTheme="majorHAnsi" w:hAnsiTheme="majorHAnsi" w:cstheme="majorHAnsi"/>
          <w:caps w:val="0"/>
          <w:sz w:val="24"/>
          <w:szCs w:val="24"/>
        </w:rPr>
        <w:t>’s 2007 general rate case, express a similar outlook on coal plants as the one outlined above?</w:t>
      </w:r>
    </w:p>
    <w:p w14:paraId="00DCA600" w14:textId="1C4BB8A0" w:rsidR="002F36AB" w:rsidRPr="00A2358C" w:rsidRDefault="002F36AB" w:rsidP="00712576">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A76DA0" w:rsidRPr="00A2358C">
        <w:rPr>
          <w:rFonts w:asciiTheme="majorHAnsi" w:hAnsiTheme="majorHAnsi" w:cstheme="majorHAnsi"/>
          <w:sz w:val="24"/>
          <w:szCs w:val="24"/>
        </w:rPr>
        <w:t>Only partly</w:t>
      </w:r>
      <w:r w:rsidRPr="00A2358C">
        <w:rPr>
          <w:rFonts w:asciiTheme="majorHAnsi" w:hAnsiTheme="majorHAnsi" w:cstheme="majorHAnsi"/>
          <w:sz w:val="24"/>
          <w:szCs w:val="24"/>
        </w:rPr>
        <w:t>.</w:t>
      </w:r>
      <w:r w:rsidR="00062464" w:rsidRPr="00A2358C">
        <w:rPr>
          <w:rFonts w:asciiTheme="majorHAnsi" w:hAnsiTheme="majorHAnsi" w:cstheme="majorHAnsi"/>
          <w:sz w:val="24"/>
          <w:szCs w:val="24"/>
        </w:rPr>
        <w:t xml:space="preserve"> </w:t>
      </w:r>
      <w:r w:rsidR="000629B7" w:rsidRPr="00A2358C">
        <w:rPr>
          <w:rFonts w:asciiTheme="majorHAnsi" w:hAnsiTheme="majorHAnsi" w:cstheme="majorHAnsi"/>
          <w:sz w:val="24"/>
          <w:szCs w:val="24"/>
        </w:rPr>
        <w:t xml:space="preserve">In his rebuttal testimony </w:t>
      </w:r>
      <w:r w:rsidR="00062464" w:rsidRPr="00A2358C">
        <w:rPr>
          <w:rFonts w:asciiTheme="majorHAnsi" w:hAnsiTheme="majorHAnsi" w:cstheme="majorHAnsi"/>
          <w:sz w:val="24"/>
          <w:szCs w:val="24"/>
        </w:rPr>
        <w:t xml:space="preserve">Mr. Jones </w:t>
      </w:r>
      <w:r w:rsidR="00A76DA0" w:rsidRPr="00A2358C">
        <w:rPr>
          <w:rFonts w:asciiTheme="majorHAnsi" w:hAnsiTheme="majorHAnsi" w:cstheme="majorHAnsi"/>
          <w:sz w:val="24"/>
          <w:szCs w:val="24"/>
        </w:rPr>
        <w:t>provided a detailed description of the environmental pressures the Colstrip units were likely to face in the years ahead,</w:t>
      </w:r>
      <w:r w:rsidR="00AC4ED9" w:rsidRPr="00A2358C">
        <w:rPr>
          <w:rStyle w:val="FootnoteReference"/>
          <w:rFonts w:asciiTheme="majorHAnsi" w:hAnsiTheme="majorHAnsi" w:cstheme="majorHAnsi"/>
          <w:sz w:val="24"/>
          <w:szCs w:val="24"/>
        </w:rPr>
        <w:footnoteReference w:id="10"/>
      </w:r>
      <w:r w:rsidR="00A76DA0" w:rsidRPr="00A2358C">
        <w:rPr>
          <w:rFonts w:asciiTheme="majorHAnsi" w:hAnsiTheme="majorHAnsi" w:cstheme="majorHAnsi"/>
          <w:sz w:val="24"/>
          <w:szCs w:val="24"/>
        </w:rPr>
        <w:t xml:space="preserve"> </w:t>
      </w:r>
      <w:r w:rsidR="00AC4ED9" w:rsidRPr="00A2358C">
        <w:rPr>
          <w:rFonts w:asciiTheme="majorHAnsi" w:hAnsiTheme="majorHAnsi" w:cstheme="majorHAnsi"/>
          <w:sz w:val="24"/>
          <w:szCs w:val="24"/>
        </w:rPr>
        <w:t>along with specific concerns about the long-term viab</w:t>
      </w:r>
      <w:r w:rsidR="00F70F8C" w:rsidRPr="00A2358C">
        <w:rPr>
          <w:rFonts w:asciiTheme="majorHAnsi" w:hAnsiTheme="majorHAnsi" w:cstheme="majorHAnsi"/>
          <w:sz w:val="24"/>
          <w:szCs w:val="24"/>
        </w:rPr>
        <w:t>ility of the plant’s coal supply</w:t>
      </w:r>
      <w:r w:rsidR="00AC4ED9" w:rsidRPr="00A2358C">
        <w:rPr>
          <w:rFonts w:asciiTheme="majorHAnsi" w:hAnsiTheme="majorHAnsi" w:cstheme="majorHAnsi"/>
          <w:sz w:val="24"/>
          <w:szCs w:val="24"/>
        </w:rPr>
        <w:t>.</w:t>
      </w:r>
      <w:r w:rsidR="00AC4ED9" w:rsidRPr="00A2358C">
        <w:rPr>
          <w:rStyle w:val="FootnoteReference"/>
          <w:rFonts w:asciiTheme="majorHAnsi" w:hAnsiTheme="majorHAnsi" w:cstheme="majorHAnsi"/>
          <w:sz w:val="24"/>
          <w:szCs w:val="24"/>
        </w:rPr>
        <w:footnoteReference w:id="11"/>
      </w:r>
      <w:r w:rsidR="00307EC7" w:rsidRPr="00A2358C">
        <w:rPr>
          <w:rFonts w:asciiTheme="majorHAnsi" w:hAnsiTheme="majorHAnsi" w:cstheme="majorHAnsi"/>
          <w:sz w:val="24"/>
          <w:szCs w:val="24"/>
        </w:rPr>
        <w:t xml:space="preserve"> However, Mr. Jones could not have anticipated the other economic factors that have compounded the economic distress for coal plants in the decade since the 2007 rate case. </w:t>
      </w:r>
    </w:p>
    <w:p w14:paraId="73B3136B" w14:textId="323A7665" w:rsidR="00A45497" w:rsidRPr="00A2358C" w:rsidRDefault="00A828D7" w:rsidP="001809FB">
      <w:pPr>
        <w:pStyle w:val="Q"/>
        <w:rPr>
          <w:rFonts w:asciiTheme="majorHAnsi" w:hAnsiTheme="majorHAnsi" w:cstheme="majorHAnsi"/>
          <w:sz w:val="24"/>
          <w:szCs w:val="24"/>
        </w:rPr>
      </w:pPr>
      <w:r w:rsidRPr="00A2358C">
        <w:rPr>
          <w:rFonts w:asciiTheme="majorHAnsi" w:hAnsiTheme="majorHAnsi" w:cstheme="majorHAnsi"/>
          <w:sz w:val="24"/>
          <w:szCs w:val="24"/>
        </w:rPr>
        <w:lastRenderedPageBreak/>
        <w:t>Q.</w:t>
      </w:r>
      <w:r w:rsidRPr="00A2358C">
        <w:rPr>
          <w:rFonts w:asciiTheme="majorHAnsi" w:hAnsiTheme="majorHAnsi" w:cstheme="majorHAnsi"/>
          <w:sz w:val="24"/>
          <w:szCs w:val="24"/>
        </w:rPr>
        <w:tab/>
      </w:r>
      <w:r w:rsidR="00712576">
        <w:rPr>
          <w:rFonts w:asciiTheme="majorHAnsi" w:hAnsiTheme="majorHAnsi" w:cstheme="majorHAnsi"/>
          <w:caps w:val="0"/>
          <w:sz w:val="24"/>
          <w:szCs w:val="24"/>
        </w:rPr>
        <w:t>Did the C</w:t>
      </w:r>
      <w:r w:rsidR="00712576" w:rsidRPr="00A2358C">
        <w:rPr>
          <w:rFonts w:asciiTheme="majorHAnsi" w:hAnsiTheme="majorHAnsi" w:cstheme="majorHAnsi"/>
          <w:caps w:val="0"/>
          <w:sz w:val="24"/>
          <w:szCs w:val="24"/>
        </w:rPr>
        <w:t>ommission apply the end</w:t>
      </w:r>
      <w:r w:rsidR="00712576">
        <w:rPr>
          <w:rFonts w:asciiTheme="majorHAnsi" w:hAnsiTheme="majorHAnsi" w:cstheme="majorHAnsi"/>
          <w:caps w:val="0"/>
          <w:sz w:val="24"/>
          <w:szCs w:val="24"/>
        </w:rPr>
        <w:t xml:space="preserve">-of-life dates proposed by the </w:t>
      </w:r>
      <w:r w:rsidR="00A801A7">
        <w:rPr>
          <w:rFonts w:asciiTheme="majorHAnsi" w:hAnsiTheme="majorHAnsi" w:cstheme="majorHAnsi"/>
          <w:caps w:val="0"/>
          <w:sz w:val="24"/>
          <w:szCs w:val="24"/>
        </w:rPr>
        <w:t>c</w:t>
      </w:r>
      <w:r w:rsidR="00712576" w:rsidRPr="00A2358C">
        <w:rPr>
          <w:rFonts w:asciiTheme="majorHAnsi" w:hAnsiTheme="majorHAnsi" w:cstheme="majorHAnsi"/>
          <w:caps w:val="0"/>
          <w:sz w:val="24"/>
          <w:szCs w:val="24"/>
        </w:rPr>
        <w:t>ompany in sett</w:t>
      </w:r>
      <w:r w:rsidR="00712576">
        <w:rPr>
          <w:rFonts w:asciiTheme="majorHAnsi" w:hAnsiTheme="majorHAnsi" w:cstheme="majorHAnsi"/>
          <w:caps w:val="0"/>
          <w:sz w:val="24"/>
          <w:szCs w:val="24"/>
        </w:rPr>
        <w:t>ing depreciation rates for the C</w:t>
      </w:r>
      <w:r w:rsidR="00712576" w:rsidRPr="00A2358C">
        <w:rPr>
          <w:rFonts w:asciiTheme="majorHAnsi" w:hAnsiTheme="majorHAnsi" w:cstheme="majorHAnsi"/>
          <w:caps w:val="0"/>
          <w:sz w:val="24"/>
          <w:szCs w:val="24"/>
        </w:rPr>
        <w:t>olstrip units?</w:t>
      </w:r>
    </w:p>
    <w:p w14:paraId="3EB5B4DA" w14:textId="6E9B9185" w:rsidR="00FD30C1" w:rsidRPr="00A2358C" w:rsidRDefault="00FD30C1" w:rsidP="00174A74">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w:t>
      </w:r>
      <w:r w:rsidR="005F662C" w:rsidRPr="00A2358C">
        <w:rPr>
          <w:rFonts w:asciiTheme="majorHAnsi" w:hAnsiTheme="majorHAnsi" w:cstheme="majorHAnsi"/>
          <w:sz w:val="24"/>
          <w:szCs w:val="24"/>
        </w:rPr>
        <w:t xml:space="preserve">The </w:t>
      </w:r>
      <w:r w:rsidR="00630F78" w:rsidRPr="00A2358C">
        <w:rPr>
          <w:rFonts w:asciiTheme="majorHAnsi" w:hAnsiTheme="majorHAnsi" w:cstheme="majorHAnsi"/>
          <w:sz w:val="24"/>
          <w:szCs w:val="24"/>
        </w:rPr>
        <w:t xml:space="preserve">2007 rate case was ultimately settled in a stipulation that </w:t>
      </w:r>
      <w:r w:rsidR="005F662C" w:rsidRPr="00A2358C">
        <w:rPr>
          <w:rFonts w:asciiTheme="majorHAnsi" w:hAnsiTheme="majorHAnsi" w:cstheme="majorHAnsi"/>
          <w:sz w:val="24"/>
          <w:szCs w:val="24"/>
        </w:rPr>
        <w:t xml:space="preserve">set depreciation rates based on </w:t>
      </w:r>
      <w:r w:rsidRPr="00A2358C">
        <w:rPr>
          <w:rFonts w:asciiTheme="majorHAnsi" w:hAnsiTheme="majorHAnsi" w:cstheme="majorHAnsi"/>
          <w:sz w:val="24"/>
          <w:szCs w:val="24"/>
        </w:rPr>
        <w:t>a 60-year lifespan for each of the Colstrip units. Specifically, the depreciation rates for Units 1 and 2 were set using the straight-line method with end-of-life set a</w:t>
      </w:r>
      <w:r w:rsidR="005F662C" w:rsidRPr="00A2358C">
        <w:rPr>
          <w:rFonts w:asciiTheme="majorHAnsi" w:hAnsiTheme="majorHAnsi" w:cstheme="majorHAnsi"/>
          <w:sz w:val="24"/>
          <w:szCs w:val="24"/>
        </w:rPr>
        <w:t>t 2035</w:t>
      </w:r>
      <w:r w:rsidR="00367190" w:rsidRPr="00A2358C">
        <w:rPr>
          <w:rFonts w:asciiTheme="majorHAnsi" w:hAnsiTheme="majorHAnsi" w:cstheme="majorHAnsi"/>
          <w:sz w:val="24"/>
          <w:szCs w:val="24"/>
        </w:rPr>
        <w:t xml:space="preserve"> and 2036, respectively,</w:t>
      </w:r>
      <w:r w:rsidR="005F662C" w:rsidRPr="00A2358C">
        <w:rPr>
          <w:rFonts w:asciiTheme="majorHAnsi" w:hAnsiTheme="majorHAnsi" w:cstheme="majorHAnsi"/>
          <w:sz w:val="24"/>
          <w:szCs w:val="24"/>
        </w:rPr>
        <w:t xml:space="preserve"> while the depreciation rates for Units 3 and 4 were set, also using the straight-line method, </w:t>
      </w:r>
      <w:r w:rsidR="00367190" w:rsidRPr="00A2358C">
        <w:rPr>
          <w:rFonts w:asciiTheme="majorHAnsi" w:hAnsiTheme="majorHAnsi" w:cstheme="majorHAnsi"/>
          <w:sz w:val="24"/>
          <w:szCs w:val="24"/>
        </w:rPr>
        <w:t>with end-of-life set at 2044 and 2045, respectively.</w:t>
      </w:r>
    </w:p>
    <w:p w14:paraId="33B2BD26" w14:textId="3E3147CA" w:rsidR="00E15827" w:rsidRPr="00FD7B0F" w:rsidRDefault="00E15827" w:rsidP="00FD7B0F">
      <w:pPr>
        <w:pStyle w:val="Heading1"/>
      </w:pPr>
      <w:bookmarkStart w:id="5" w:name="_Toc486496057"/>
      <w:r w:rsidRPr="00FD7B0F">
        <w:t xml:space="preserve">Colstrip Units 1 and 2 </w:t>
      </w:r>
      <w:r w:rsidR="00F70F8C" w:rsidRPr="00FD7B0F">
        <w:t>Retirement</w:t>
      </w:r>
      <w:bookmarkEnd w:id="5"/>
    </w:p>
    <w:p w14:paraId="0287254E" w14:textId="6888D57A" w:rsidR="00150938" w:rsidRPr="00A2358C" w:rsidRDefault="00150938"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712576" w:rsidRPr="00A2358C">
        <w:rPr>
          <w:rFonts w:asciiTheme="majorHAnsi" w:hAnsiTheme="majorHAnsi" w:cstheme="majorHAnsi"/>
          <w:caps w:val="0"/>
          <w:sz w:val="24"/>
          <w:szCs w:val="24"/>
        </w:rPr>
        <w:t>What is the</w:t>
      </w:r>
      <w:r w:rsidR="00712576">
        <w:rPr>
          <w:rFonts w:asciiTheme="majorHAnsi" w:hAnsiTheme="majorHAnsi" w:cstheme="majorHAnsi"/>
          <w:caps w:val="0"/>
          <w:sz w:val="24"/>
          <w:szCs w:val="24"/>
        </w:rPr>
        <w:t xml:space="preserve"> current schedule for retiring C</w:t>
      </w:r>
      <w:r w:rsidR="00712576" w:rsidRPr="00A2358C">
        <w:rPr>
          <w:rFonts w:asciiTheme="majorHAnsi" w:hAnsiTheme="majorHAnsi" w:cstheme="majorHAnsi"/>
          <w:caps w:val="0"/>
          <w:sz w:val="24"/>
          <w:szCs w:val="24"/>
        </w:rPr>
        <w:t>ols</w:t>
      </w:r>
      <w:r w:rsidR="00FD7B0F">
        <w:rPr>
          <w:rFonts w:asciiTheme="majorHAnsi" w:hAnsiTheme="majorHAnsi" w:cstheme="majorHAnsi"/>
          <w:caps w:val="0"/>
          <w:sz w:val="24"/>
          <w:szCs w:val="24"/>
        </w:rPr>
        <w:t>trip U</w:t>
      </w:r>
      <w:r w:rsidR="00712576" w:rsidRPr="00A2358C">
        <w:rPr>
          <w:rFonts w:asciiTheme="majorHAnsi" w:hAnsiTheme="majorHAnsi" w:cstheme="majorHAnsi"/>
          <w:caps w:val="0"/>
          <w:sz w:val="24"/>
          <w:szCs w:val="24"/>
        </w:rPr>
        <w:t>nits 1 and 2?</w:t>
      </w:r>
    </w:p>
    <w:p w14:paraId="25073050" w14:textId="79F3AAB0" w:rsidR="00E04F68" w:rsidRPr="00A2358C" w:rsidRDefault="00150938" w:rsidP="00712576">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E04F68" w:rsidRPr="00A2358C">
        <w:rPr>
          <w:rFonts w:asciiTheme="majorHAnsi" w:hAnsiTheme="majorHAnsi" w:cstheme="majorHAnsi"/>
          <w:sz w:val="24"/>
          <w:szCs w:val="24"/>
        </w:rPr>
        <w:t xml:space="preserve">Pursuant to </w:t>
      </w:r>
      <w:r w:rsidR="001273E4" w:rsidRPr="00A2358C">
        <w:rPr>
          <w:rFonts w:asciiTheme="majorHAnsi" w:hAnsiTheme="majorHAnsi" w:cstheme="majorHAnsi"/>
          <w:sz w:val="24"/>
          <w:szCs w:val="24"/>
        </w:rPr>
        <w:t>a settlement agreement resolving clean air act litigation with Sierra Club and the Montana Environmental Information Center, PSE and Talen Montana (the owners of Colstrip Units 1 and 2) agreed to retire the units no later than July 1, 2022. The settlement is described by PSE witness Ronald J. Roberts, who also provides the agreement itself as Exhibit No. __</w:t>
      </w:r>
      <w:proofErr w:type="gramStart"/>
      <w:r w:rsidR="001273E4" w:rsidRPr="00A2358C">
        <w:rPr>
          <w:rFonts w:asciiTheme="majorHAnsi" w:hAnsiTheme="majorHAnsi" w:cstheme="majorHAnsi"/>
          <w:sz w:val="24"/>
          <w:szCs w:val="24"/>
        </w:rPr>
        <w:t>_(</w:t>
      </w:r>
      <w:proofErr w:type="gramEnd"/>
      <w:r w:rsidR="001273E4" w:rsidRPr="00A2358C">
        <w:rPr>
          <w:rFonts w:asciiTheme="majorHAnsi" w:hAnsiTheme="majorHAnsi" w:cstheme="majorHAnsi"/>
          <w:sz w:val="24"/>
          <w:szCs w:val="24"/>
        </w:rPr>
        <w:t xml:space="preserve">RJR-18). </w:t>
      </w:r>
      <w:r w:rsidR="006E1008" w:rsidRPr="00A2358C">
        <w:rPr>
          <w:rFonts w:asciiTheme="majorHAnsi" w:hAnsiTheme="majorHAnsi" w:cstheme="majorHAnsi"/>
          <w:sz w:val="24"/>
          <w:szCs w:val="24"/>
        </w:rPr>
        <w:t>Mr. Roberts also describes additional factors that may prompt an even earlier retirement of Units 1 and 2.</w:t>
      </w:r>
      <w:r w:rsidR="006E1008" w:rsidRPr="00A2358C">
        <w:rPr>
          <w:rStyle w:val="FootnoteReference"/>
          <w:rFonts w:asciiTheme="majorHAnsi" w:hAnsiTheme="majorHAnsi" w:cstheme="majorHAnsi"/>
          <w:sz w:val="24"/>
          <w:szCs w:val="24"/>
        </w:rPr>
        <w:footnoteReference w:id="12"/>
      </w:r>
    </w:p>
    <w:p w14:paraId="4BEA9D10" w14:textId="67D8AE33" w:rsidR="00367190" w:rsidRPr="00A2358C" w:rsidRDefault="00367190"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712576" w:rsidRPr="00A2358C">
        <w:rPr>
          <w:rFonts w:asciiTheme="majorHAnsi" w:hAnsiTheme="majorHAnsi" w:cstheme="majorHAnsi"/>
          <w:caps w:val="0"/>
          <w:sz w:val="24"/>
          <w:szCs w:val="24"/>
        </w:rPr>
        <w:t>Please describe the economic challenges con</w:t>
      </w:r>
      <w:r w:rsidR="00712576">
        <w:rPr>
          <w:rFonts w:asciiTheme="majorHAnsi" w:hAnsiTheme="majorHAnsi" w:cstheme="majorHAnsi"/>
          <w:caps w:val="0"/>
          <w:sz w:val="24"/>
          <w:szCs w:val="24"/>
        </w:rPr>
        <w:t>tributing to the retirement of C</w:t>
      </w:r>
      <w:r w:rsidR="00FD7B0F">
        <w:rPr>
          <w:rFonts w:asciiTheme="majorHAnsi" w:hAnsiTheme="majorHAnsi" w:cstheme="majorHAnsi"/>
          <w:caps w:val="0"/>
          <w:sz w:val="24"/>
          <w:szCs w:val="24"/>
        </w:rPr>
        <w:t>olstrip U</w:t>
      </w:r>
      <w:r w:rsidR="00712576" w:rsidRPr="00A2358C">
        <w:rPr>
          <w:rFonts w:asciiTheme="majorHAnsi" w:hAnsiTheme="majorHAnsi" w:cstheme="majorHAnsi"/>
          <w:caps w:val="0"/>
          <w:sz w:val="24"/>
          <w:szCs w:val="24"/>
        </w:rPr>
        <w:t>nits 1 and</w:t>
      </w:r>
      <w:r w:rsidR="006E1008" w:rsidRPr="00A2358C">
        <w:rPr>
          <w:rFonts w:asciiTheme="majorHAnsi" w:hAnsiTheme="majorHAnsi" w:cstheme="majorHAnsi"/>
          <w:sz w:val="24"/>
          <w:szCs w:val="24"/>
        </w:rPr>
        <w:t xml:space="preserve"> 2</w:t>
      </w:r>
      <w:r w:rsidR="00712576" w:rsidRPr="00A2358C">
        <w:rPr>
          <w:rFonts w:asciiTheme="majorHAnsi" w:hAnsiTheme="majorHAnsi" w:cstheme="majorHAnsi"/>
          <w:caps w:val="0"/>
          <w:sz w:val="24"/>
          <w:szCs w:val="24"/>
        </w:rPr>
        <w:t xml:space="preserve"> in 2022 or earlier</w:t>
      </w:r>
      <w:r w:rsidRPr="00A2358C">
        <w:rPr>
          <w:rFonts w:asciiTheme="majorHAnsi" w:hAnsiTheme="majorHAnsi" w:cstheme="majorHAnsi"/>
          <w:sz w:val="24"/>
          <w:szCs w:val="24"/>
        </w:rPr>
        <w:t>?</w:t>
      </w:r>
    </w:p>
    <w:p w14:paraId="0B4D9D0A" w14:textId="1E7885FC" w:rsidR="00061C9B" w:rsidRPr="00A2358C" w:rsidRDefault="00367190"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6E1008" w:rsidRPr="00A2358C">
        <w:rPr>
          <w:rFonts w:asciiTheme="majorHAnsi" w:hAnsiTheme="majorHAnsi" w:cstheme="majorHAnsi"/>
          <w:sz w:val="24"/>
          <w:szCs w:val="24"/>
        </w:rPr>
        <w:t>In addition to the issues addressed by Mr. Roberts, t</w:t>
      </w:r>
      <w:r w:rsidR="00AE354F" w:rsidRPr="00A2358C">
        <w:rPr>
          <w:rFonts w:asciiTheme="majorHAnsi" w:hAnsiTheme="majorHAnsi" w:cstheme="majorHAnsi"/>
          <w:sz w:val="24"/>
          <w:szCs w:val="24"/>
        </w:rPr>
        <w:t xml:space="preserve">here are </w:t>
      </w:r>
      <w:r w:rsidR="007F734C" w:rsidRPr="00A2358C">
        <w:rPr>
          <w:rFonts w:asciiTheme="majorHAnsi" w:hAnsiTheme="majorHAnsi" w:cstheme="majorHAnsi"/>
          <w:sz w:val="24"/>
          <w:szCs w:val="24"/>
        </w:rPr>
        <w:t>numerous</w:t>
      </w:r>
      <w:r w:rsidR="00AE354F" w:rsidRPr="00A2358C">
        <w:rPr>
          <w:rFonts w:asciiTheme="majorHAnsi" w:hAnsiTheme="majorHAnsi" w:cstheme="majorHAnsi"/>
          <w:sz w:val="24"/>
          <w:szCs w:val="24"/>
        </w:rPr>
        <w:t xml:space="preserve"> signs that Colstrip Units 1 and 2 </w:t>
      </w:r>
      <w:r w:rsidR="006E1008" w:rsidRPr="00A2358C">
        <w:rPr>
          <w:rFonts w:asciiTheme="majorHAnsi" w:hAnsiTheme="majorHAnsi" w:cstheme="majorHAnsi"/>
          <w:sz w:val="24"/>
          <w:szCs w:val="24"/>
        </w:rPr>
        <w:t>are facing substantial economic pressure</w:t>
      </w:r>
      <w:r w:rsidR="00AE354F" w:rsidRPr="00A2358C">
        <w:rPr>
          <w:rFonts w:asciiTheme="majorHAnsi" w:hAnsiTheme="majorHAnsi" w:cstheme="majorHAnsi"/>
          <w:sz w:val="24"/>
          <w:szCs w:val="24"/>
        </w:rPr>
        <w:t xml:space="preserve">. </w:t>
      </w:r>
      <w:r w:rsidR="003077DE" w:rsidRPr="00A2358C">
        <w:rPr>
          <w:rFonts w:asciiTheme="majorHAnsi" w:hAnsiTheme="majorHAnsi" w:cstheme="majorHAnsi"/>
          <w:sz w:val="24"/>
          <w:szCs w:val="24"/>
        </w:rPr>
        <w:t>Talen representative</w:t>
      </w:r>
      <w:r w:rsidR="00047E88" w:rsidRPr="00A2358C">
        <w:rPr>
          <w:rFonts w:asciiTheme="majorHAnsi" w:hAnsiTheme="majorHAnsi" w:cstheme="majorHAnsi"/>
          <w:sz w:val="24"/>
          <w:szCs w:val="24"/>
        </w:rPr>
        <w:t>s</w:t>
      </w:r>
      <w:r w:rsidR="003077DE" w:rsidRPr="00A2358C">
        <w:rPr>
          <w:rFonts w:asciiTheme="majorHAnsi" w:hAnsiTheme="majorHAnsi" w:cstheme="majorHAnsi"/>
          <w:sz w:val="24"/>
          <w:szCs w:val="24"/>
        </w:rPr>
        <w:t xml:space="preserve"> have </w:t>
      </w:r>
      <w:r w:rsidR="00741D80" w:rsidRPr="00A2358C">
        <w:rPr>
          <w:rFonts w:asciiTheme="majorHAnsi" w:hAnsiTheme="majorHAnsi" w:cstheme="majorHAnsi"/>
          <w:sz w:val="24"/>
          <w:szCs w:val="24"/>
        </w:rPr>
        <w:t xml:space="preserve">reportedly </w:t>
      </w:r>
      <w:r w:rsidR="00AE354F" w:rsidRPr="00A2358C">
        <w:rPr>
          <w:rFonts w:asciiTheme="majorHAnsi" w:hAnsiTheme="majorHAnsi" w:cstheme="majorHAnsi"/>
          <w:sz w:val="24"/>
          <w:szCs w:val="24"/>
        </w:rPr>
        <w:t xml:space="preserve">announced that the company </w:t>
      </w:r>
      <w:r w:rsidR="003077DE" w:rsidRPr="00A2358C">
        <w:rPr>
          <w:rFonts w:asciiTheme="majorHAnsi" w:hAnsiTheme="majorHAnsi" w:cstheme="majorHAnsi"/>
          <w:sz w:val="24"/>
          <w:szCs w:val="24"/>
        </w:rPr>
        <w:t>is losing tens of</w:t>
      </w:r>
      <w:r w:rsidR="00AE354F" w:rsidRPr="00A2358C">
        <w:rPr>
          <w:rFonts w:asciiTheme="majorHAnsi" w:hAnsiTheme="majorHAnsi" w:cstheme="majorHAnsi"/>
          <w:sz w:val="24"/>
          <w:szCs w:val="24"/>
        </w:rPr>
        <w:t xml:space="preserve"> millions of dollars</w:t>
      </w:r>
      <w:r w:rsidR="003077DE" w:rsidRPr="00A2358C">
        <w:rPr>
          <w:rFonts w:asciiTheme="majorHAnsi" w:hAnsiTheme="majorHAnsi" w:cstheme="majorHAnsi"/>
          <w:sz w:val="24"/>
          <w:szCs w:val="24"/>
        </w:rPr>
        <w:t xml:space="preserve"> a year</w:t>
      </w:r>
      <w:r w:rsidR="00AE354F" w:rsidRPr="00A2358C">
        <w:rPr>
          <w:rFonts w:asciiTheme="majorHAnsi" w:hAnsiTheme="majorHAnsi" w:cstheme="majorHAnsi"/>
          <w:sz w:val="24"/>
          <w:szCs w:val="24"/>
        </w:rPr>
        <w:t xml:space="preserve"> on </w:t>
      </w:r>
      <w:r w:rsidR="00AE354F" w:rsidRPr="00A2358C">
        <w:rPr>
          <w:rFonts w:asciiTheme="majorHAnsi" w:hAnsiTheme="majorHAnsi" w:cstheme="majorHAnsi"/>
          <w:sz w:val="24"/>
          <w:szCs w:val="24"/>
        </w:rPr>
        <w:lastRenderedPageBreak/>
        <w:t>Colstrip</w:t>
      </w:r>
      <w:r w:rsidR="003077DE" w:rsidRPr="00A2358C">
        <w:rPr>
          <w:rFonts w:asciiTheme="majorHAnsi" w:hAnsiTheme="majorHAnsi" w:cstheme="majorHAnsi"/>
          <w:sz w:val="24"/>
          <w:szCs w:val="24"/>
        </w:rPr>
        <w:t>.</w:t>
      </w:r>
      <w:r w:rsidR="003077DE" w:rsidRPr="00A2358C">
        <w:rPr>
          <w:rStyle w:val="FootnoteReference"/>
          <w:rFonts w:asciiTheme="majorHAnsi" w:hAnsiTheme="majorHAnsi" w:cstheme="majorHAnsi"/>
          <w:sz w:val="24"/>
          <w:szCs w:val="24"/>
        </w:rPr>
        <w:footnoteReference w:id="13"/>
      </w:r>
      <w:r w:rsidR="00AE354F" w:rsidRPr="00A2358C">
        <w:rPr>
          <w:rFonts w:asciiTheme="majorHAnsi" w:hAnsiTheme="majorHAnsi" w:cstheme="majorHAnsi"/>
          <w:sz w:val="24"/>
          <w:szCs w:val="24"/>
        </w:rPr>
        <w:t xml:space="preserve"> </w:t>
      </w:r>
      <w:r w:rsidR="003077DE" w:rsidRPr="00A2358C">
        <w:rPr>
          <w:rFonts w:asciiTheme="majorHAnsi" w:hAnsiTheme="majorHAnsi" w:cstheme="majorHAnsi"/>
          <w:sz w:val="24"/>
          <w:szCs w:val="24"/>
        </w:rPr>
        <w:t xml:space="preserve">As a result, the Company issued a notice </w:t>
      </w:r>
      <w:r w:rsidR="001E341B" w:rsidRPr="00A2358C">
        <w:rPr>
          <w:rFonts w:asciiTheme="majorHAnsi" w:hAnsiTheme="majorHAnsi" w:cstheme="majorHAnsi"/>
          <w:sz w:val="24"/>
          <w:szCs w:val="24"/>
        </w:rPr>
        <w:t xml:space="preserve">in 2016 </w:t>
      </w:r>
      <w:r w:rsidR="003077DE" w:rsidRPr="00A2358C">
        <w:rPr>
          <w:rFonts w:asciiTheme="majorHAnsi" w:hAnsiTheme="majorHAnsi" w:cstheme="majorHAnsi"/>
          <w:sz w:val="24"/>
          <w:szCs w:val="24"/>
        </w:rPr>
        <w:t>that it</w:t>
      </w:r>
      <w:r w:rsidR="00AE354F" w:rsidRPr="00A2358C">
        <w:rPr>
          <w:rFonts w:asciiTheme="majorHAnsi" w:hAnsiTheme="majorHAnsi" w:cstheme="majorHAnsi"/>
          <w:sz w:val="24"/>
          <w:szCs w:val="24"/>
        </w:rPr>
        <w:t xml:space="preserve"> wished to </w:t>
      </w:r>
      <w:r w:rsidR="00150128" w:rsidRPr="00A2358C">
        <w:rPr>
          <w:rFonts w:asciiTheme="majorHAnsi" w:hAnsiTheme="majorHAnsi" w:cstheme="majorHAnsi"/>
          <w:sz w:val="24"/>
          <w:szCs w:val="24"/>
        </w:rPr>
        <w:t>cease its role as operator of the plants in 2018</w:t>
      </w:r>
      <w:r w:rsidR="00AE354F" w:rsidRPr="00A2358C">
        <w:rPr>
          <w:rFonts w:asciiTheme="majorHAnsi" w:hAnsiTheme="majorHAnsi" w:cstheme="majorHAnsi"/>
          <w:sz w:val="24"/>
          <w:szCs w:val="24"/>
        </w:rPr>
        <w:t>.</w:t>
      </w:r>
      <w:r w:rsidR="00AE354F" w:rsidRPr="00A2358C">
        <w:rPr>
          <w:rStyle w:val="FootnoteReference"/>
          <w:rFonts w:asciiTheme="majorHAnsi" w:hAnsiTheme="majorHAnsi" w:cstheme="majorHAnsi"/>
          <w:sz w:val="24"/>
          <w:szCs w:val="24"/>
        </w:rPr>
        <w:footnoteReference w:id="14"/>
      </w:r>
      <w:r w:rsidR="00150128" w:rsidRPr="00A2358C">
        <w:rPr>
          <w:rFonts w:asciiTheme="majorHAnsi" w:hAnsiTheme="majorHAnsi" w:cstheme="majorHAnsi"/>
          <w:sz w:val="24"/>
          <w:szCs w:val="24"/>
        </w:rPr>
        <w:t xml:space="preserve"> </w:t>
      </w:r>
      <w:r w:rsidR="00441A8D" w:rsidRPr="00A2358C">
        <w:rPr>
          <w:rFonts w:asciiTheme="majorHAnsi" w:hAnsiTheme="majorHAnsi" w:cstheme="majorHAnsi"/>
          <w:sz w:val="24"/>
          <w:szCs w:val="24"/>
        </w:rPr>
        <w:t xml:space="preserve">In addition, the </w:t>
      </w:r>
      <w:r w:rsidR="00150128" w:rsidRPr="00A2358C">
        <w:rPr>
          <w:rFonts w:asciiTheme="majorHAnsi" w:hAnsiTheme="majorHAnsi" w:cstheme="majorHAnsi"/>
          <w:sz w:val="24"/>
          <w:szCs w:val="24"/>
        </w:rPr>
        <w:t>owners have been seeking a multi-million dollar tax break from the Montana legislature to help keep the units running</w:t>
      </w:r>
      <w:r w:rsidR="00AA4E2F" w:rsidRPr="00A2358C">
        <w:rPr>
          <w:rFonts w:asciiTheme="majorHAnsi" w:hAnsiTheme="majorHAnsi" w:cstheme="majorHAnsi"/>
          <w:sz w:val="24"/>
          <w:szCs w:val="24"/>
        </w:rPr>
        <w:t>.</w:t>
      </w:r>
      <w:r w:rsidR="00AA4E2F" w:rsidRPr="00A2358C">
        <w:rPr>
          <w:rStyle w:val="FootnoteReference"/>
          <w:rFonts w:asciiTheme="majorHAnsi" w:hAnsiTheme="majorHAnsi" w:cstheme="majorHAnsi"/>
          <w:sz w:val="24"/>
          <w:szCs w:val="24"/>
        </w:rPr>
        <w:footnoteReference w:id="15"/>
      </w:r>
      <w:r w:rsidR="00AA4E2F" w:rsidRPr="00A2358C">
        <w:rPr>
          <w:rFonts w:asciiTheme="majorHAnsi" w:hAnsiTheme="majorHAnsi" w:cstheme="majorHAnsi"/>
          <w:sz w:val="24"/>
          <w:szCs w:val="24"/>
        </w:rPr>
        <w:t xml:space="preserve"> </w:t>
      </w:r>
    </w:p>
    <w:p w14:paraId="0852F791" w14:textId="77777777" w:rsidR="00D7511E" w:rsidRPr="00A2358C" w:rsidRDefault="00AA4E2F" w:rsidP="00FD7065">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These events are consistent with predictions made in a 2015 study by the Institute for Energy Economics and Financial Analysis (IEEFA), cited by PSE witness Roberts in his direct testimony, entitled “A Bleak Future for Colstrip Units 1 and 2.”</w:t>
      </w:r>
      <w:r w:rsidRPr="00A2358C">
        <w:rPr>
          <w:rStyle w:val="FootnoteReference"/>
          <w:rFonts w:asciiTheme="majorHAnsi" w:hAnsiTheme="majorHAnsi" w:cstheme="majorHAnsi"/>
          <w:sz w:val="24"/>
          <w:szCs w:val="24"/>
        </w:rPr>
        <w:footnoteReference w:id="16"/>
      </w:r>
      <w:r w:rsidRPr="00A2358C">
        <w:rPr>
          <w:rFonts w:asciiTheme="majorHAnsi" w:hAnsiTheme="majorHAnsi" w:cstheme="majorHAnsi"/>
          <w:sz w:val="24"/>
          <w:szCs w:val="24"/>
        </w:rPr>
        <w:t xml:space="preserve"> </w:t>
      </w:r>
      <w:r w:rsidR="00061C9B" w:rsidRPr="00A2358C">
        <w:rPr>
          <w:rFonts w:asciiTheme="majorHAnsi" w:hAnsiTheme="majorHAnsi" w:cstheme="majorHAnsi"/>
          <w:sz w:val="24"/>
          <w:szCs w:val="24"/>
        </w:rPr>
        <w:t>The IEEFA study fo</w:t>
      </w:r>
      <w:r w:rsidR="00441A8D" w:rsidRPr="00A2358C">
        <w:rPr>
          <w:rFonts w:asciiTheme="majorHAnsi" w:hAnsiTheme="majorHAnsi" w:cstheme="majorHAnsi"/>
          <w:sz w:val="24"/>
          <w:szCs w:val="24"/>
        </w:rPr>
        <w:t>u</w:t>
      </w:r>
      <w:r w:rsidR="00061C9B" w:rsidRPr="00A2358C">
        <w:rPr>
          <w:rFonts w:asciiTheme="majorHAnsi" w:hAnsiTheme="majorHAnsi" w:cstheme="majorHAnsi"/>
          <w:sz w:val="24"/>
          <w:szCs w:val="24"/>
        </w:rPr>
        <w:t>nd that even in its “High Scenario”, with more attractive power prices for Colstrip, the plants earnings do not “appear anywhere near adequate to enable the company to pay interest, taxes, depreciation and amortization while earning any significant after-tax profits for its owner(s).” Under the IEEFA “Moderate Scenario”, which was based on then-current futures market power prices and other “expected value” projections, the owners would lose millions of dollars every year the plant operates starting in 2015 and growing significantly worse by 2017 and beyond.</w:t>
      </w:r>
      <w:r w:rsidR="00D7511E" w:rsidRPr="00A2358C">
        <w:rPr>
          <w:rFonts w:asciiTheme="majorHAnsi" w:hAnsiTheme="majorHAnsi" w:cstheme="majorHAnsi"/>
          <w:sz w:val="24"/>
          <w:szCs w:val="24"/>
        </w:rPr>
        <w:t xml:space="preserve"> </w:t>
      </w:r>
    </w:p>
    <w:p w14:paraId="102C03F8" w14:textId="009B0A62" w:rsidR="00441A8D" w:rsidRPr="00A2358C" w:rsidRDefault="0095353E" w:rsidP="00FE298D">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On March 4, </w:t>
      </w:r>
      <w:r w:rsidR="00441A8D" w:rsidRPr="00A2358C">
        <w:rPr>
          <w:rFonts w:asciiTheme="majorHAnsi" w:hAnsiTheme="majorHAnsi" w:cstheme="majorHAnsi"/>
          <w:sz w:val="24"/>
          <w:szCs w:val="24"/>
        </w:rPr>
        <w:t xml:space="preserve">2016 IEEFA </w:t>
      </w:r>
      <w:r w:rsidRPr="00A2358C">
        <w:rPr>
          <w:rFonts w:asciiTheme="majorHAnsi" w:hAnsiTheme="majorHAnsi" w:cstheme="majorHAnsi"/>
          <w:sz w:val="24"/>
          <w:szCs w:val="24"/>
        </w:rPr>
        <w:t xml:space="preserve">President David </w:t>
      </w:r>
      <w:proofErr w:type="spellStart"/>
      <w:r w:rsidRPr="00A2358C">
        <w:rPr>
          <w:rFonts w:asciiTheme="majorHAnsi" w:hAnsiTheme="majorHAnsi" w:cstheme="majorHAnsi"/>
          <w:sz w:val="24"/>
          <w:szCs w:val="24"/>
        </w:rPr>
        <w:t>Schlissel</w:t>
      </w:r>
      <w:proofErr w:type="spellEnd"/>
      <w:r w:rsidRPr="00A2358C">
        <w:rPr>
          <w:rFonts w:asciiTheme="majorHAnsi" w:hAnsiTheme="majorHAnsi" w:cstheme="majorHAnsi"/>
          <w:sz w:val="24"/>
          <w:szCs w:val="24"/>
        </w:rPr>
        <w:t xml:space="preserve"> presented an updated analysis to the </w:t>
      </w:r>
      <w:r w:rsidRPr="00A2358C">
        <w:rPr>
          <w:rFonts w:asciiTheme="majorHAnsi" w:hAnsiTheme="majorHAnsi" w:cstheme="majorHAnsi"/>
          <w:sz w:val="24"/>
          <w:szCs w:val="24"/>
        </w:rPr>
        <w:lastRenderedPageBreak/>
        <w:t>WUTC</w:t>
      </w:r>
      <w:r w:rsidR="00441A8D" w:rsidRPr="00A2358C">
        <w:rPr>
          <w:rStyle w:val="FootnoteReference"/>
          <w:rFonts w:asciiTheme="majorHAnsi" w:hAnsiTheme="majorHAnsi" w:cstheme="majorHAnsi"/>
          <w:sz w:val="24"/>
          <w:szCs w:val="24"/>
        </w:rPr>
        <w:footnoteReference w:id="17"/>
      </w:r>
      <w:r w:rsidRPr="00A2358C">
        <w:rPr>
          <w:rFonts w:asciiTheme="majorHAnsi" w:hAnsiTheme="majorHAnsi" w:cstheme="majorHAnsi"/>
          <w:sz w:val="24"/>
          <w:szCs w:val="24"/>
        </w:rPr>
        <w:t xml:space="preserve"> showing that “Talen will experience very significant financial losses due to Colstrip 1&amp;2” and that “Generating power at Colstrip 1&amp;2 is substantially more expensive for Puget Sound’s ratepayers than buying power at Mid-Columbia Hub.”</w:t>
      </w:r>
      <w:r w:rsidRPr="00A2358C">
        <w:rPr>
          <w:rStyle w:val="FootnoteReference"/>
          <w:rFonts w:asciiTheme="majorHAnsi" w:hAnsiTheme="majorHAnsi" w:cstheme="majorHAnsi"/>
          <w:sz w:val="24"/>
          <w:szCs w:val="24"/>
        </w:rPr>
        <w:footnoteReference w:id="18"/>
      </w:r>
    </w:p>
    <w:p w14:paraId="6EF82DE0" w14:textId="7D53DCCB" w:rsidR="00D037B7" w:rsidRPr="00A2358C" w:rsidRDefault="00D037B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FD7065" w:rsidRPr="00A2358C">
        <w:rPr>
          <w:rFonts w:asciiTheme="majorHAnsi" w:hAnsiTheme="majorHAnsi" w:cstheme="majorHAnsi"/>
          <w:caps w:val="0"/>
          <w:sz w:val="24"/>
          <w:szCs w:val="24"/>
        </w:rPr>
        <w:t>What is the status of the coal supply cont</w:t>
      </w:r>
      <w:r w:rsidR="00835F40">
        <w:rPr>
          <w:rFonts w:asciiTheme="majorHAnsi" w:hAnsiTheme="majorHAnsi" w:cstheme="majorHAnsi"/>
          <w:caps w:val="0"/>
          <w:sz w:val="24"/>
          <w:szCs w:val="24"/>
        </w:rPr>
        <w:t>ract with the Rosebud M</w:t>
      </w:r>
      <w:r w:rsidR="00FD7065">
        <w:rPr>
          <w:rFonts w:asciiTheme="majorHAnsi" w:hAnsiTheme="majorHAnsi" w:cstheme="majorHAnsi"/>
          <w:caps w:val="0"/>
          <w:sz w:val="24"/>
          <w:szCs w:val="24"/>
        </w:rPr>
        <w:t>ine for C</w:t>
      </w:r>
      <w:r w:rsidR="00FD7B0F">
        <w:rPr>
          <w:rFonts w:asciiTheme="majorHAnsi" w:hAnsiTheme="majorHAnsi" w:cstheme="majorHAnsi"/>
          <w:caps w:val="0"/>
          <w:sz w:val="24"/>
          <w:szCs w:val="24"/>
        </w:rPr>
        <w:t>olstrip U</w:t>
      </w:r>
      <w:r w:rsidR="00FD7065" w:rsidRPr="00A2358C">
        <w:rPr>
          <w:rFonts w:asciiTheme="majorHAnsi" w:hAnsiTheme="majorHAnsi" w:cstheme="majorHAnsi"/>
          <w:caps w:val="0"/>
          <w:sz w:val="24"/>
          <w:szCs w:val="24"/>
        </w:rPr>
        <w:t>nits 1 and 2?</w:t>
      </w:r>
      <w:r w:rsidR="0095353E" w:rsidRPr="00A2358C">
        <w:rPr>
          <w:rFonts w:asciiTheme="majorHAnsi" w:hAnsiTheme="majorHAnsi" w:cstheme="majorHAnsi"/>
          <w:sz w:val="24"/>
          <w:szCs w:val="24"/>
        </w:rPr>
        <w:t xml:space="preserve"> </w:t>
      </w:r>
    </w:p>
    <w:p w14:paraId="4204D393" w14:textId="0F6BB98E" w:rsidR="00D037B7" w:rsidRPr="00A2358C" w:rsidRDefault="00D037B7" w:rsidP="00FD7065">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PSE and Talen Energy, the co-owners</w:t>
      </w:r>
      <w:r w:rsidR="0095353E" w:rsidRPr="00A2358C">
        <w:rPr>
          <w:rFonts w:asciiTheme="majorHAnsi" w:hAnsiTheme="majorHAnsi" w:cstheme="majorHAnsi"/>
          <w:sz w:val="24"/>
          <w:szCs w:val="24"/>
        </w:rPr>
        <w:t xml:space="preserve"> of Colstrip Units 1 and 2, sent</w:t>
      </w:r>
      <w:r w:rsidRPr="00A2358C">
        <w:rPr>
          <w:rFonts w:asciiTheme="majorHAnsi" w:hAnsiTheme="majorHAnsi" w:cstheme="majorHAnsi"/>
          <w:sz w:val="24"/>
          <w:szCs w:val="24"/>
        </w:rPr>
        <w:t xml:space="preserve"> a notice to Western Energy Company on December 29, 2016 stating that they would be terminating the contract </w:t>
      </w:r>
      <w:r w:rsidR="0095353E" w:rsidRPr="00A2358C">
        <w:rPr>
          <w:rFonts w:asciiTheme="majorHAnsi" w:hAnsiTheme="majorHAnsi" w:cstheme="majorHAnsi"/>
          <w:sz w:val="24"/>
          <w:szCs w:val="24"/>
        </w:rPr>
        <w:t xml:space="preserve">to purchase coal from the Rosebud Mine for these units </w:t>
      </w:r>
      <w:r w:rsidRPr="00A2358C">
        <w:rPr>
          <w:rFonts w:asciiTheme="majorHAnsi" w:hAnsiTheme="majorHAnsi" w:cstheme="majorHAnsi"/>
          <w:sz w:val="24"/>
          <w:szCs w:val="24"/>
        </w:rPr>
        <w:t xml:space="preserve">because certain signs of resource depletion, specified in their Coal Sales and Purchase agreement, had been reached. Specifically, </w:t>
      </w:r>
      <w:r w:rsidR="0095353E" w:rsidRPr="00A2358C">
        <w:rPr>
          <w:rFonts w:asciiTheme="majorHAnsi" w:hAnsiTheme="majorHAnsi" w:cstheme="majorHAnsi"/>
          <w:sz w:val="24"/>
          <w:szCs w:val="24"/>
        </w:rPr>
        <w:t>a</w:t>
      </w:r>
      <w:r w:rsidRPr="00A2358C">
        <w:rPr>
          <w:rFonts w:asciiTheme="majorHAnsi" w:hAnsiTheme="majorHAnsi" w:cstheme="majorHAnsi"/>
          <w:sz w:val="24"/>
          <w:szCs w:val="24"/>
        </w:rPr>
        <w:t>ll of the available coal in so-called “Area D” had been delivered, and the average stripping ratio</w:t>
      </w:r>
      <w:r w:rsidRPr="00A2358C">
        <w:rPr>
          <w:rStyle w:val="FootnoteReference"/>
          <w:rFonts w:asciiTheme="majorHAnsi" w:hAnsiTheme="majorHAnsi" w:cstheme="majorHAnsi"/>
          <w:sz w:val="24"/>
          <w:szCs w:val="24"/>
        </w:rPr>
        <w:footnoteReference w:id="19"/>
      </w:r>
      <w:r w:rsidRPr="00A2358C">
        <w:rPr>
          <w:rFonts w:asciiTheme="majorHAnsi" w:hAnsiTheme="majorHAnsi" w:cstheme="majorHAnsi"/>
          <w:sz w:val="24"/>
          <w:szCs w:val="24"/>
        </w:rPr>
        <w:t xml:space="preserve"> of Areas A and B exceeded a specified threshold.</w:t>
      </w:r>
      <w:r w:rsidRPr="00A2358C">
        <w:rPr>
          <w:rStyle w:val="FootnoteReference"/>
          <w:rFonts w:asciiTheme="majorHAnsi" w:hAnsiTheme="majorHAnsi" w:cstheme="majorHAnsi"/>
          <w:sz w:val="24"/>
          <w:szCs w:val="24"/>
        </w:rPr>
        <w:footnoteReference w:id="20"/>
      </w:r>
      <w:r w:rsidRPr="00A2358C">
        <w:rPr>
          <w:rFonts w:asciiTheme="majorHAnsi" w:hAnsiTheme="majorHAnsi" w:cstheme="majorHAnsi"/>
          <w:sz w:val="24"/>
          <w:szCs w:val="24"/>
        </w:rPr>
        <w:t xml:space="preserve"> Pursuant to this notice, the contract </w:t>
      </w:r>
      <w:r w:rsidR="0095353E" w:rsidRPr="00A2358C">
        <w:rPr>
          <w:rFonts w:asciiTheme="majorHAnsi" w:hAnsiTheme="majorHAnsi" w:cstheme="majorHAnsi"/>
          <w:sz w:val="24"/>
          <w:szCs w:val="24"/>
        </w:rPr>
        <w:t xml:space="preserve">to purchase Rosebud Mine coal </w:t>
      </w:r>
      <w:r w:rsidRPr="00A2358C">
        <w:rPr>
          <w:rFonts w:asciiTheme="majorHAnsi" w:hAnsiTheme="majorHAnsi" w:cstheme="majorHAnsi"/>
          <w:sz w:val="24"/>
          <w:szCs w:val="24"/>
        </w:rPr>
        <w:t xml:space="preserve">for Units 1 and 2 expires on December 31, 2019. </w:t>
      </w:r>
    </w:p>
    <w:p w14:paraId="4E358924" w14:textId="54D10F91" w:rsidR="00D037B7" w:rsidRPr="00A2358C" w:rsidRDefault="00D037B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FD7065">
        <w:rPr>
          <w:rFonts w:asciiTheme="majorHAnsi" w:hAnsiTheme="majorHAnsi" w:cstheme="majorHAnsi"/>
          <w:caps w:val="0"/>
          <w:sz w:val="24"/>
          <w:szCs w:val="24"/>
        </w:rPr>
        <w:t>Have the C</w:t>
      </w:r>
      <w:r w:rsidR="006237B8">
        <w:rPr>
          <w:rFonts w:asciiTheme="majorHAnsi" w:hAnsiTheme="majorHAnsi" w:cstheme="majorHAnsi"/>
          <w:caps w:val="0"/>
          <w:sz w:val="24"/>
          <w:szCs w:val="24"/>
        </w:rPr>
        <w:t>olstrip U</w:t>
      </w:r>
      <w:r w:rsidR="00FD7065" w:rsidRPr="00A2358C">
        <w:rPr>
          <w:rFonts w:asciiTheme="majorHAnsi" w:hAnsiTheme="majorHAnsi" w:cstheme="majorHAnsi"/>
          <w:caps w:val="0"/>
          <w:sz w:val="24"/>
          <w:szCs w:val="24"/>
        </w:rPr>
        <w:t>nits 1 and 2 owners negotiated a replacement coal contract for these units</w:t>
      </w:r>
      <w:r w:rsidRPr="00A2358C">
        <w:rPr>
          <w:rFonts w:asciiTheme="majorHAnsi" w:hAnsiTheme="majorHAnsi" w:cstheme="majorHAnsi"/>
          <w:sz w:val="24"/>
          <w:szCs w:val="24"/>
        </w:rPr>
        <w:t>?</w:t>
      </w:r>
    </w:p>
    <w:p w14:paraId="76DB02A4" w14:textId="7949366D" w:rsidR="00D037B7" w:rsidRPr="00A2358C" w:rsidRDefault="00D037B7" w:rsidP="0092584C">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According to PSE’s response to Sierra Club Data Request </w:t>
      </w:r>
      <w:r w:rsidR="00CD5DDB">
        <w:rPr>
          <w:rFonts w:asciiTheme="majorHAnsi" w:hAnsiTheme="majorHAnsi" w:cstheme="majorHAnsi"/>
          <w:sz w:val="24"/>
          <w:szCs w:val="24"/>
        </w:rPr>
        <w:t>0</w:t>
      </w:r>
      <w:r w:rsidRPr="00A2358C">
        <w:rPr>
          <w:rFonts w:asciiTheme="majorHAnsi" w:hAnsiTheme="majorHAnsi" w:cstheme="majorHAnsi"/>
          <w:sz w:val="24"/>
          <w:szCs w:val="24"/>
        </w:rPr>
        <w:t xml:space="preserve">10, “PSE </w:t>
      </w:r>
      <w:r w:rsidRPr="00A2358C">
        <w:rPr>
          <w:rFonts w:asciiTheme="majorHAnsi" w:hAnsiTheme="majorHAnsi" w:cstheme="majorHAnsi"/>
          <w:i/>
          <w:sz w:val="24"/>
          <w:szCs w:val="24"/>
        </w:rPr>
        <w:t>expects to</w:t>
      </w:r>
      <w:r w:rsidRPr="00A2358C">
        <w:rPr>
          <w:rFonts w:asciiTheme="majorHAnsi" w:hAnsiTheme="majorHAnsi" w:cstheme="majorHAnsi"/>
          <w:sz w:val="24"/>
          <w:szCs w:val="24"/>
        </w:rPr>
        <w:t xml:space="preserve"> work with Western Energy to negotiate an extension to the contract that supplies coal for Units 1 and 2 and that matches the purchase commitment to the expected retirement of the </w:t>
      </w:r>
      <w:r w:rsidRPr="00A2358C">
        <w:rPr>
          <w:rFonts w:asciiTheme="majorHAnsi" w:hAnsiTheme="majorHAnsi" w:cstheme="majorHAnsi"/>
          <w:sz w:val="24"/>
          <w:szCs w:val="24"/>
        </w:rPr>
        <w:lastRenderedPageBreak/>
        <w:t>Units.” (</w:t>
      </w:r>
      <w:proofErr w:type="gramStart"/>
      <w:r w:rsidRPr="00A2358C">
        <w:rPr>
          <w:rFonts w:asciiTheme="majorHAnsi" w:hAnsiTheme="majorHAnsi" w:cstheme="majorHAnsi"/>
          <w:sz w:val="24"/>
          <w:szCs w:val="24"/>
        </w:rPr>
        <w:t>emphasis</w:t>
      </w:r>
      <w:proofErr w:type="gramEnd"/>
      <w:r w:rsidRPr="00A2358C">
        <w:rPr>
          <w:rFonts w:asciiTheme="majorHAnsi" w:hAnsiTheme="majorHAnsi" w:cstheme="majorHAnsi"/>
          <w:sz w:val="24"/>
          <w:szCs w:val="24"/>
        </w:rPr>
        <w:t xml:space="preserve"> added.)</w:t>
      </w:r>
      <w:r w:rsidR="00447B1A" w:rsidRPr="00A2358C">
        <w:rPr>
          <w:rStyle w:val="FootnoteReference"/>
          <w:rFonts w:asciiTheme="majorHAnsi" w:hAnsiTheme="majorHAnsi" w:cstheme="majorHAnsi"/>
          <w:sz w:val="24"/>
          <w:szCs w:val="24"/>
        </w:rPr>
        <w:footnoteReference w:id="21"/>
      </w:r>
      <w:r w:rsidR="0095353E" w:rsidRPr="00A2358C">
        <w:rPr>
          <w:rFonts w:asciiTheme="majorHAnsi" w:hAnsiTheme="majorHAnsi" w:cstheme="majorHAnsi"/>
          <w:sz w:val="24"/>
          <w:szCs w:val="24"/>
        </w:rPr>
        <w:t xml:space="preserve"> The costs and other terms for this agreement, if any, are unknown.</w:t>
      </w:r>
    </w:p>
    <w:p w14:paraId="1CA06D53" w14:textId="2B90076E" w:rsidR="00D53F57" w:rsidRPr="00A2358C" w:rsidRDefault="00D53F5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FD7065">
        <w:rPr>
          <w:rFonts w:asciiTheme="majorHAnsi" w:hAnsiTheme="majorHAnsi" w:cstheme="majorHAnsi"/>
          <w:caps w:val="0"/>
          <w:sz w:val="24"/>
          <w:szCs w:val="24"/>
        </w:rPr>
        <w:t>Is Sierra C</w:t>
      </w:r>
      <w:r w:rsidR="00FD7065" w:rsidRPr="00A2358C">
        <w:rPr>
          <w:rFonts w:asciiTheme="majorHAnsi" w:hAnsiTheme="majorHAnsi" w:cstheme="majorHAnsi"/>
          <w:caps w:val="0"/>
          <w:sz w:val="24"/>
          <w:szCs w:val="24"/>
        </w:rPr>
        <w:t xml:space="preserve">lub recommending </w:t>
      </w:r>
      <w:r w:rsidR="00FD7065">
        <w:rPr>
          <w:rFonts w:asciiTheme="majorHAnsi" w:hAnsiTheme="majorHAnsi" w:cstheme="majorHAnsi"/>
          <w:caps w:val="0"/>
          <w:sz w:val="24"/>
          <w:szCs w:val="24"/>
        </w:rPr>
        <w:t>an earlier retirement date for C</w:t>
      </w:r>
      <w:r w:rsidR="00FD7B0F">
        <w:rPr>
          <w:rFonts w:asciiTheme="majorHAnsi" w:hAnsiTheme="majorHAnsi" w:cstheme="majorHAnsi"/>
          <w:caps w:val="0"/>
          <w:sz w:val="24"/>
          <w:szCs w:val="24"/>
        </w:rPr>
        <w:t>olstrip U</w:t>
      </w:r>
      <w:r w:rsidR="00FD7065" w:rsidRPr="00A2358C">
        <w:rPr>
          <w:rFonts w:asciiTheme="majorHAnsi" w:hAnsiTheme="majorHAnsi" w:cstheme="majorHAnsi"/>
          <w:caps w:val="0"/>
          <w:sz w:val="24"/>
          <w:szCs w:val="24"/>
        </w:rPr>
        <w:t xml:space="preserve">nits 1 and </w:t>
      </w:r>
      <w:r w:rsidRPr="00A2358C">
        <w:rPr>
          <w:rFonts w:asciiTheme="majorHAnsi" w:hAnsiTheme="majorHAnsi" w:cstheme="majorHAnsi"/>
          <w:sz w:val="24"/>
          <w:szCs w:val="24"/>
        </w:rPr>
        <w:t>2?</w:t>
      </w:r>
    </w:p>
    <w:p w14:paraId="04146EF6" w14:textId="5934FC50" w:rsidR="00D53F57" w:rsidRPr="00A2358C" w:rsidRDefault="00D53F57" w:rsidP="00FD7065">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Sierra Club is not </w:t>
      </w:r>
      <w:r w:rsidR="00EF6CC1" w:rsidRPr="00A2358C">
        <w:rPr>
          <w:rFonts w:asciiTheme="majorHAnsi" w:hAnsiTheme="majorHAnsi" w:cstheme="majorHAnsi"/>
          <w:sz w:val="24"/>
          <w:szCs w:val="24"/>
        </w:rPr>
        <w:t xml:space="preserve">making any recommendation </w:t>
      </w:r>
      <w:r w:rsidR="00C65052" w:rsidRPr="00A2358C">
        <w:rPr>
          <w:rFonts w:asciiTheme="majorHAnsi" w:hAnsiTheme="majorHAnsi" w:cstheme="majorHAnsi"/>
          <w:sz w:val="24"/>
          <w:szCs w:val="24"/>
        </w:rPr>
        <w:t xml:space="preserve">for </w:t>
      </w:r>
      <w:r w:rsidR="00EF6CC1" w:rsidRPr="00A2358C">
        <w:rPr>
          <w:rFonts w:asciiTheme="majorHAnsi" w:hAnsiTheme="majorHAnsi" w:cstheme="majorHAnsi"/>
          <w:sz w:val="24"/>
          <w:szCs w:val="24"/>
        </w:rPr>
        <w:t xml:space="preserve">when </w:t>
      </w:r>
      <w:r w:rsidR="00FB465D" w:rsidRPr="00A2358C">
        <w:rPr>
          <w:rFonts w:asciiTheme="majorHAnsi" w:hAnsiTheme="majorHAnsi" w:cstheme="majorHAnsi"/>
          <w:sz w:val="24"/>
          <w:szCs w:val="24"/>
        </w:rPr>
        <w:t>Units 1 and 2 should retire</w:t>
      </w:r>
      <w:r w:rsidRPr="00A2358C">
        <w:rPr>
          <w:rFonts w:asciiTheme="majorHAnsi" w:hAnsiTheme="majorHAnsi" w:cstheme="majorHAnsi"/>
          <w:sz w:val="24"/>
          <w:szCs w:val="24"/>
        </w:rPr>
        <w:t xml:space="preserve">. I am simply </w:t>
      </w:r>
      <w:r w:rsidR="006E1008" w:rsidRPr="00A2358C">
        <w:rPr>
          <w:rFonts w:asciiTheme="majorHAnsi" w:hAnsiTheme="majorHAnsi" w:cstheme="majorHAnsi"/>
          <w:sz w:val="24"/>
          <w:szCs w:val="24"/>
        </w:rPr>
        <w:t xml:space="preserve">making an observation similar to </w:t>
      </w:r>
      <w:r w:rsidR="007F734C" w:rsidRPr="00A2358C">
        <w:rPr>
          <w:rFonts w:asciiTheme="majorHAnsi" w:hAnsiTheme="majorHAnsi" w:cstheme="majorHAnsi"/>
          <w:sz w:val="24"/>
          <w:szCs w:val="24"/>
        </w:rPr>
        <w:t xml:space="preserve">that of </w:t>
      </w:r>
      <w:r w:rsidR="006E1008" w:rsidRPr="00A2358C">
        <w:rPr>
          <w:rFonts w:asciiTheme="majorHAnsi" w:hAnsiTheme="majorHAnsi" w:cstheme="majorHAnsi"/>
          <w:sz w:val="24"/>
          <w:szCs w:val="24"/>
        </w:rPr>
        <w:t xml:space="preserve">Mr. </w:t>
      </w:r>
      <w:proofErr w:type="gramStart"/>
      <w:r w:rsidR="006E1008" w:rsidRPr="00A2358C">
        <w:rPr>
          <w:rFonts w:asciiTheme="majorHAnsi" w:hAnsiTheme="majorHAnsi" w:cstheme="majorHAnsi"/>
          <w:sz w:val="24"/>
          <w:szCs w:val="24"/>
        </w:rPr>
        <w:t>Roberts</w:t>
      </w:r>
      <w:r w:rsidR="007F734C" w:rsidRPr="00A2358C">
        <w:rPr>
          <w:rFonts w:asciiTheme="majorHAnsi" w:hAnsiTheme="majorHAnsi" w:cstheme="majorHAnsi"/>
          <w:sz w:val="24"/>
          <w:szCs w:val="24"/>
        </w:rPr>
        <w:t>,</w:t>
      </w:r>
      <w:r w:rsidR="006E1008" w:rsidRPr="00A2358C">
        <w:rPr>
          <w:rFonts w:asciiTheme="majorHAnsi" w:hAnsiTheme="majorHAnsi" w:cstheme="majorHAnsi"/>
          <w:sz w:val="24"/>
          <w:szCs w:val="24"/>
        </w:rPr>
        <w:t xml:space="preserve"> </w:t>
      </w:r>
      <w:r w:rsidRPr="00A2358C">
        <w:rPr>
          <w:rFonts w:asciiTheme="majorHAnsi" w:hAnsiTheme="majorHAnsi" w:cstheme="majorHAnsi"/>
          <w:sz w:val="24"/>
          <w:szCs w:val="24"/>
        </w:rPr>
        <w:t>that based on the factors discussed above,</w:t>
      </w:r>
      <w:proofErr w:type="gramEnd"/>
      <w:r w:rsidRPr="00A2358C">
        <w:rPr>
          <w:rFonts w:asciiTheme="majorHAnsi" w:hAnsiTheme="majorHAnsi" w:cstheme="majorHAnsi"/>
          <w:sz w:val="24"/>
          <w:szCs w:val="24"/>
        </w:rPr>
        <w:t xml:space="preserve"> </w:t>
      </w:r>
      <w:r w:rsidR="00D037B7" w:rsidRPr="00A2358C">
        <w:rPr>
          <w:rFonts w:asciiTheme="majorHAnsi" w:hAnsiTheme="majorHAnsi" w:cstheme="majorHAnsi"/>
          <w:sz w:val="24"/>
          <w:szCs w:val="24"/>
        </w:rPr>
        <w:t>and because co-owner Talen Energy finds the plant uneconomic to own and operate</w:t>
      </w:r>
      <w:r w:rsidR="00FC6996" w:rsidRPr="00A2358C">
        <w:rPr>
          <w:rFonts w:asciiTheme="majorHAnsi" w:hAnsiTheme="majorHAnsi" w:cstheme="majorHAnsi"/>
          <w:sz w:val="24"/>
          <w:szCs w:val="24"/>
        </w:rPr>
        <w:t xml:space="preserve"> and is likely continuing to lose millions of dollars per year</w:t>
      </w:r>
      <w:r w:rsidR="00D037B7" w:rsidRPr="00A2358C">
        <w:rPr>
          <w:rFonts w:asciiTheme="majorHAnsi" w:hAnsiTheme="majorHAnsi" w:cstheme="majorHAnsi"/>
          <w:sz w:val="24"/>
          <w:szCs w:val="24"/>
        </w:rPr>
        <w:t xml:space="preserve">, </w:t>
      </w:r>
      <w:r w:rsidRPr="00A2358C">
        <w:rPr>
          <w:rFonts w:asciiTheme="majorHAnsi" w:hAnsiTheme="majorHAnsi" w:cstheme="majorHAnsi"/>
          <w:sz w:val="24"/>
          <w:szCs w:val="24"/>
        </w:rPr>
        <w:t>an earlier retirement date of Units 1 and 2 may ultimately occur.</w:t>
      </w:r>
      <w:r w:rsidR="00631E45" w:rsidRPr="00A2358C">
        <w:rPr>
          <w:rFonts w:asciiTheme="majorHAnsi" w:hAnsiTheme="majorHAnsi" w:cstheme="majorHAnsi"/>
          <w:sz w:val="24"/>
          <w:szCs w:val="24"/>
        </w:rPr>
        <w:t xml:space="preserve"> Whether a retirement occurs in 2022 or earlier, given the mismatch in the current depreciation schedule and the </w:t>
      </w:r>
      <w:r w:rsidR="007F734C" w:rsidRPr="00A2358C">
        <w:rPr>
          <w:rFonts w:asciiTheme="majorHAnsi" w:hAnsiTheme="majorHAnsi" w:cstheme="majorHAnsi"/>
          <w:sz w:val="24"/>
          <w:szCs w:val="24"/>
        </w:rPr>
        <w:t xml:space="preserve">actual </w:t>
      </w:r>
      <w:r w:rsidR="00631E45" w:rsidRPr="00A2358C">
        <w:rPr>
          <w:rFonts w:asciiTheme="majorHAnsi" w:hAnsiTheme="majorHAnsi" w:cstheme="majorHAnsi"/>
          <w:sz w:val="24"/>
          <w:szCs w:val="24"/>
        </w:rPr>
        <w:t xml:space="preserve">retirement date, it is important to consider how the Company will treat the undepreciated plant balances once Units 1 and 2 are no longer “used and useful.” </w:t>
      </w:r>
    </w:p>
    <w:p w14:paraId="3DF80613" w14:textId="5869ADF9" w:rsidR="00150938" w:rsidRPr="00A2358C" w:rsidRDefault="00150938"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FD7065" w:rsidRPr="00A2358C">
        <w:rPr>
          <w:rFonts w:asciiTheme="majorHAnsi" w:hAnsiTheme="majorHAnsi" w:cstheme="majorHAnsi"/>
          <w:caps w:val="0"/>
          <w:sz w:val="24"/>
          <w:szCs w:val="24"/>
        </w:rPr>
        <w:t>Why is it important to use a retirement date for ratemaking purposes that is consistent with the expected life of the resource in question, and what are the implications of failing to do so?</w:t>
      </w:r>
    </w:p>
    <w:p w14:paraId="35D7BC67" w14:textId="38D02A9F" w:rsidR="00D65250" w:rsidRPr="00A2358C" w:rsidRDefault="00C3681F"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832DD0" w:rsidRPr="00A2358C">
        <w:rPr>
          <w:rFonts w:asciiTheme="majorHAnsi" w:hAnsiTheme="majorHAnsi" w:cstheme="majorHAnsi"/>
          <w:sz w:val="24"/>
          <w:szCs w:val="24"/>
        </w:rPr>
        <w:t>According to PSE’s response to Public Counsel Data Request No. 413, “Closely matching the cost recovery associated with generation assets with the useful life of the facilities provides intergenerational equity and helps assure that the customers who benefit from an asset placed in service or an expense incurred for the provision of their electric or gas services, bears the cost associated with those same assets or expenses.”</w:t>
      </w:r>
      <w:r w:rsidR="006B397C" w:rsidRPr="00A2358C">
        <w:rPr>
          <w:rStyle w:val="FootnoteReference"/>
          <w:rFonts w:asciiTheme="majorHAnsi" w:hAnsiTheme="majorHAnsi" w:cstheme="majorHAnsi"/>
          <w:sz w:val="24"/>
          <w:szCs w:val="24"/>
        </w:rPr>
        <w:footnoteReference w:id="22"/>
      </w:r>
      <w:r w:rsidR="00832DD0" w:rsidRPr="00A2358C">
        <w:rPr>
          <w:rFonts w:asciiTheme="majorHAnsi" w:hAnsiTheme="majorHAnsi" w:cstheme="majorHAnsi"/>
          <w:sz w:val="24"/>
          <w:szCs w:val="24"/>
        </w:rPr>
        <w:t xml:space="preserve"> </w:t>
      </w:r>
    </w:p>
    <w:p w14:paraId="78DF1D86" w14:textId="5F4F2B4A" w:rsidR="00C3681F" w:rsidRPr="00A2358C" w:rsidRDefault="00630F78" w:rsidP="00FD7065">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lastRenderedPageBreak/>
        <w:t xml:space="preserve">Failure </w:t>
      </w:r>
      <w:r w:rsidR="005E4FE9" w:rsidRPr="00A2358C">
        <w:rPr>
          <w:rFonts w:asciiTheme="majorHAnsi" w:hAnsiTheme="majorHAnsi" w:cstheme="majorHAnsi"/>
          <w:sz w:val="24"/>
          <w:szCs w:val="24"/>
        </w:rPr>
        <w:t>to match cost recovery with the useful life of the facilities deprives ratepayers of these benefits. Since PSE’s 2007 rate case, the company has been recovering the costs of Colstrip Units 1 and 2 at far too low a rate because it was using depreciation rates associated with the unrealistic expectation that the units would continue to be used and useful until 2035 and 2036</w:t>
      </w:r>
      <w:r w:rsidR="0095353E" w:rsidRPr="00A2358C">
        <w:rPr>
          <w:rFonts w:asciiTheme="majorHAnsi" w:hAnsiTheme="majorHAnsi" w:cstheme="majorHAnsi"/>
          <w:sz w:val="24"/>
          <w:szCs w:val="24"/>
        </w:rPr>
        <w:t>, respectively</w:t>
      </w:r>
      <w:r w:rsidR="005E4FE9" w:rsidRPr="00A2358C">
        <w:rPr>
          <w:rFonts w:asciiTheme="majorHAnsi" w:hAnsiTheme="majorHAnsi" w:cstheme="majorHAnsi"/>
          <w:sz w:val="24"/>
          <w:szCs w:val="24"/>
        </w:rPr>
        <w:t>.</w:t>
      </w:r>
      <w:r w:rsidR="00D65250" w:rsidRPr="00A2358C">
        <w:rPr>
          <w:rFonts w:asciiTheme="majorHAnsi" w:hAnsiTheme="majorHAnsi" w:cstheme="majorHAnsi"/>
          <w:sz w:val="24"/>
          <w:szCs w:val="24"/>
        </w:rPr>
        <w:t xml:space="preserve"> As the Company notes, </w:t>
      </w:r>
      <w:r w:rsidR="00E644E8" w:rsidRPr="00A2358C">
        <w:rPr>
          <w:rFonts w:asciiTheme="majorHAnsi" w:hAnsiTheme="majorHAnsi" w:cstheme="majorHAnsi"/>
          <w:sz w:val="24"/>
          <w:szCs w:val="24"/>
        </w:rPr>
        <w:t>this failure</w:t>
      </w:r>
      <w:r w:rsidR="00D65250" w:rsidRPr="00A2358C">
        <w:rPr>
          <w:rFonts w:asciiTheme="majorHAnsi" w:hAnsiTheme="majorHAnsi" w:cstheme="majorHAnsi"/>
          <w:sz w:val="24"/>
          <w:szCs w:val="24"/>
        </w:rPr>
        <w:t xml:space="preserve"> required an accounting adjustment that “</w:t>
      </w:r>
      <w:r w:rsidR="00D65250" w:rsidRPr="00A2358C">
        <w:rPr>
          <w:rFonts w:asciiTheme="majorHAnsi" w:hAnsiTheme="majorHAnsi" w:cstheme="majorHAnsi"/>
          <w:sz w:val="24"/>
          <w:szCs w:val="24"/>
          <w:lang w:eastAsia="en-US"/>
        </w:rPr>
        <w:t>reclassifies the expected net book value of Colstrip Units 1 and 2 at shut down from plant in service to a deferred balance sheet account in recognition that, from a GAAP perspective, Colstrip Units 1 and 2 have an agreed upon shut down date that does not correspond to the level of depreciation expense currently being recognized for Colstrip Units 1 and 2.”</w:t>
      </w:r>
      <w:r w:rsidR="00E644E8" w:rsidRPr="00A2358C">
        <w:rPr>
          <w:rStyle w:val="FootnoteReference"/>
          <w:rFonts w:asciiTheme="majorHAnsi" w:hAnsiTheme="majorHAnsi" w:cstheme="majorHAnsi"/>
          <w:sz w:val="24"/>
          <w:szCs w:val="24"/>
          <w:lang w:eastAsia="en-US"/>
        </w:rPr>
        <w:footnoteReference w:id="23"/>
      </w:r>
      <w:r w:rsidR="00D65250" w:rsidRPr="00A2358C">
        <w:rPr>
          <w:rFonts w:asciiTheme="majorHAnsi" w:hAnsiTheme="majorHAnsi" w:cstheme="majorHAnsi"/>
          <w:sz w:val="24"/>
          <w:szCs w:val="24"/>
          <w:lang w:eastAsia="en-US"/>
        </w:rPr>
        <w:t xml:space="preserve"> </w:t>
      </w:r>
      <w:r w:rsidR="005E4FE9" w:rsidRPr="00A2358C">
        <w:rPr>
          <w:rFonts w:asciiTheme="majorHAnsi" w:hAnsiTheme="majorHAnsi" w:cstheme="majorHAnsi"/>
          <w:sz w:val="24"/>
          <w:szCs w:val="24"/>
        </w:rPr>
        <w:t xml:space="preserve">Once the 2022 retirement date was established, PSE </w:t>
      </w:r>
      <w:r w:rsidR="00D65250" w:rsidRPr="00A2358C">
        <w:rPr>
          <w:rFonts w:asciiTheme="majorHAnsi" w:hAnsiTheme="majorHAnsi" w:cstheme="majorHAnsi"/>
          <w:sz w:val="24"/>
          <w:szCs w:val="24"/>
        </w:rPr>
        <w:t xml:space="preserve">was saddled with </w:t>
      </w:r>
      <w:r w:rsidR="005E4FE9" w:rsidRPr="00A2358C">
        <w:rPr>
          <w:rFonts w:asciiTheme="majorHAnsi" w:hAnsiTheme="majorHAnsi" w:cstheme="majorHAnsi"/>
          <w:sz w:val="24"/>
          <w:szCs w:val="24"/>
        </w:rPr>
        <w:t xml:space="preserve">a $176.8 million regulatory asset </w:t>
      </w:r>
      <w:r w:rsidR="00D65250" w:rsidRPr="00A2358C">
        <w:rPr>
          <w:rFonts w:asciiTheme="majorHAnsi" w:hAnsiTheme="majorHAnsi" w:cstheme="majorHAnsi"/>
          <w:sz w:val="24"/>
          <w:szCs w:val="24"/>
        </w:rPr>
        <w:t>(as of the projected retirement date)</w:t>
      </w:r>
      <w:r w:rsidR="005E4FE9" w:rsidRPr="00A2358C">
        <w:rPr>
          <w:rFonts w:asciiTheme="majorHAnsi" w:hAnsiTheme="majorHAnsi" w:cstheme="majorHAnsi"/>
          <w:sz w:val="24"/>
          <w:szCs w:val="24"/>
        </w:rPr>
        <w:t xml:space="preserve"> to be recovered in future years from customers who will not be benefiting from the units’ useful lives.</w:t>
      </w:r>
      <w:r w:rsidR="005E4FE9" w:rsidRPr="00A2358C">
        <w:rPr>
          <w:rStyle w:val="FootnoteReference"/>
          <w:rFonts w:asciiTheme="majorHAnsi" w:hAnsiTheme="majorHAnsi" w:cstheme="majorHAnsi"/>
          <w:sz w:val="24"/>
          <w:szCs w:val="24"/>
        </w:rPr>
        <w:footnoteReference w:id="24"/>
      </w:r>
    </w:p>
    <w:p w14:paraId="067E82B8" w14:textId="334E49FF" w:rsidR="00C3681F" w:rsidRPr="00A2358C" w:rsidRDefault="00D65250" w:rsidP="00FD7065">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This regulatory asset will be neither used nor useful to PSE’s customers once Units 1 and 2 have retired. </w:t>
      </w:r>
      <w:r w:rsidR="005F5836" w:rsidRPr="00A2358C">
        <w:rPr>
          <w:rFonts w:asciiTheme="majorHAnsi" w:hAnsiTheme="majorHAnsi" w:cstheme="majorHAnsi"/>
          <w:sz w:val="24"/>
          <w:szCs w:val="24"/>
        </w:rPr>
        <w:t>Nonetheless, PSE “believes all costs associated with the anticipated retirement of Colstrip 1 and 2, including the NBV of the plant, will be recovered through rates along with a return on the regulatory asset based on prior precedent</w:t>
      </w:r>
      <w:r w:rsidR="005F5836" w:rsidRPr="00A2358C">
        <w:rPr>
          <w:rFonts w:asciiTheme="majorHAnsi" w:hAnsiTheme="majorHAnsi" w:cstheme="majorHAnsi"/>
          <w:color w:val="000000"/>
          <w:sz w:val="24"/>
          <w:szCs w:val="24"/>
        </w:rPr>
        <w:t>.</w:t>
      </w:r>
      <w:r w:rsidR="005F5836" w:rsidRPr="00A2358C">
        <w:rPr>
          <w:rFonts w:asciiTheme="majorHAnsi" w:hAnsiTheme="majorHAnsi" w:cstheme="majorHAnsi"/>
          <w:sz w:val="24"/>
          <w:szCs w:val="24"/>
        </w:rPr>
        <w:t>”</w:t>
      </w:r>
      <w:r w:rsidR="005F5836" w:rsidRPr="00A2358C">
        <w:rPr>
          <w:rStyle w:val="FootnoteReference"/>
          <w:rFonts w:asciiTheme="majorHAnsi" w:hAnsiTheme="majorHAnsi" w:cstheme="majorHAnsi"/>
          <w:sz w:val="24"/>
          <w:szCs w:val="24"/>
        </w:rPr>
        <w:footnoteReference w:id="25"/>
      </w:r>
      <w:r w:rsidR="005F5836" w:rsidRPr="00A2358C">
        <w:rPr>
          <w:rFonts w:asciiTheme="majorHAnsi" w:hAnsiTheme="majorHAnsi" w:cstheme="majorHAnsi"/>
          <w:sz w:val="24"/>
          <w:szCs w:val="24"/>
        </w:rPr>
        <w:t xml:space="preserve"> </w:t>
      </w:r>
      <w:r w:rsidR="00682AE3" w:rsidRPr="00A2358C">
        <w:rPr>
          <w:rFonts w:asciiTheme="majorHAnsi" w:hAnsiTheme="majorHAnsi" w:cstheme="majorHAnsi"/>
          <w:sz w:val="24"/>
          <w:szCs w:val="24"/>
        </w:rPr>
        <w:t xml:space="preserve">Ratepayers have already been funding PSE’s </w:t>
      </w:r>
      <w:r w:rsidR="00FB465D" w:rsidRPr="00A2358C">
        <w:rPr>
          <w:rFonts w:asciiTheme="majorHAnsi" w:hAnsiTheme="majorHAnsi" w:cstheme="majorHAnsi"/>
          <w:sz w:val="24"/>
          <w:szCs w:val="24"/>
        </w:rPr>
        <w:t xml:space="preserve">debt obligations and </w:t>
      </w:r>
      <w:r w:rsidR="00D8770C" w:rsidRPr="00A2358C">
        <w:rPr>
          <w:rFonts w:asciiTheme="majorHAnsi" w:hAnsiTheme="majorHAnsi" w:cstheme="majorHAnsi"/>
          <w:sz w:val="24"/>
          <w:szCs w:val="24"/>
        </w:rPr>
        <w:t xml:space="preserve">a </w:t>
      </w:r>
      <w:r w:rsidR="00682AE3" w:rsidRPr="00A2358C">
        <w:rPr>
          <w:rFonts w:asciiTheme="majorHAnsi" w:hAnsiTheme="majorHAnsi" w:cstheme="majorHAnsi"/>
          <w:sz w:val="24"/>
          <w:szCs w:val="24"/>
        </w:rPr>
        <w:t xml:space="preserve">return on equity for a plant with </w:t>
      </w:r>
      <w:r w:rsidR="00682AE3" w:rsidRPr="00A2358C">
        <w:rPr>
          <w:rFonts w:asciiTheme="majorHAnsi" w:hAnsiTheme="majorHAnsi" w:cstheme="majorHAnsi"/>
          <w:sz w:val="24"/>
          <w:szCs w:val="24"/>
        </w:rPr>
        <w:lastRenderedPageBreak/>
        <w:t xml:space="preserve">an elevated book value due to an unrealistically low depreciation rate. They should not have to continue to fund </w:t>
      </w:r>
      <w:r w:rsidR="00FB465D" w:rsidRPr="00A2358C">
        <w:rPr>
          <w:rFonts w:asciiTheme="majorHAnsi" w:hAnsiTheme="majorHAnsi" w:cstheme="majorHAnsi"/>
          <w:sz w:val="24"/>
          <w:szCs w:val="24"/>
        </w:rPr>
        <w:t>the cost of capital</w:t>
      </w:r>
      <w:r w:rsidR="00682AE3" w:rsidRPr="00A2358C">
        <w:rPr>
          <w:rFonts w:asciiTheme="majorHAnsi" w:hAnsiTheme="majorHAnsi" w:cstheme="majorHAnsi"/>
          <w:sz w:val="24"/>
          <w:szCs w:val="24"/>
        </w:rPr>
        <w:t xml:space="preserve"> for the same undepreciated plant once it is no longer providing electric service.</w:t>
      </w:r>
    </w:p>
    <w:p w14:paraId="46FA0B7C" w14:textId="3A376DCC" w:rsidR="00150938" w:rsidRPr="00A2358C" w:rsidRDefault="00150938"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t>W</w:t>
      </w:r>
      <w:r w:rsidR="00FD7065" w:rsidRPr="00A2358C">
        <w:rPr>
          <w:rFonts w:asciiTheme="majorHAnsi" w:hAnsiTheme="majorHAnsi" w:cstheme="majorHAnsi"/>
          <w:caps w:val="0"/>
          <w:sz w:val="24"/>
          <w:szCs w:val="24"/>
        </w:rPr>
        <w:t>hat</w:t>
      </w:r>
      <w:r w:rsidR="00FD7065">
        <w:rPr>
          <w:rFonts w:asciiTheme="majorHAnsi" w:hAnsiTheme="majorHAnsi" w:cstheme="majorHAnsi"/>
          <w:caps w:val="0"/>
          <w:sz w:val="24"/>
          <w:szCs w:val="24"/>
        </w:rPr>
        <w:t xml:space="preserve"> is the source of funds that PSE</w:t>
      </w:r>
      <w:r w:rsidR="00FD7065" w:rsidRPr="00A2358C">
        <w:rPr>
          <w:rFonts w:asciiTheme="majorHAnsi" w:hAnsiTheme="majorHAnsi" w:cstheme="majorHAnsi"/>
          <w:caps w:val="0"/>
          <w:sz w:val="24"/>
          <w:szCs w:val="24"/>
        </w:rPr>
        <w:t xml:space="preserve"> pla</w:t>
      </w:r>
      <w:r w:rsidR="00FD7065">
        <w:rPr>
          <w:rFonts w:asciiTheme="majorHAnsi" w:hAnsiTheme="majorHAnsi" w:cstheme="majorHAnsi"/>
          <w:caps w:val="0"/>
          <w:sz w:val="24"/>
          <w:szCs w:val="24"/>
        </w:rPr>
        <w:t xml:space="preserve">ns to use to offset the cost of </w:t>
      </w:r>
      <w:r w:rsidR="00FD7065" w:rsidRPr="00A2358C">
        <w:rPr>
          <w:rFonts w:asciiTheme="majorHAnsi" w:hAnsiTheme="majorHAnsi" w:cstheme="majorHAnsi"/>
          <w:caps w:val="0"/>
          <w:sz w:val="24"/>
          <w:szCs w:val="24"/>
        </w:rPr>
        <w:t>decom</w:t>
      </w:r>
      <w:r w:rsidR="00FD7065">
        <w:rPr>
          <w:rFonts w:asciiTheme="majorHAnsi" w:hAnsiTheme="majorHAnsi" w:cstheme="majorHAnsi"/>
          <w:caps w:val="0"/>
          <w:sz w:val="24"/>
          <w:szCs w:val="24"/>
        </w:rPr>
        <w:t>missioning and remediation for C</w:t>
      </w:r>
      <w:r w:rsidR="00FD7B0F">
        <w:rPr>
          <w:rFonts w:asciiTheme="majorHAnsi" w:hAnsiTheme="majorHAnsi" w:cstheme="majorHAnsi"/>
          <w:caps w:val="0"/>
          <w:sz w:val="24"/>
          <w:szCs w:val="24"/>
        </w:rPr>
        <w:t>olstrip U</w:t>
      </w:r>
      <w:r w:rsidR="00FD7065" w:rsidRPr="00A2358C">
        <w:rPr>
          <w:rFonts w:asciiTheme="majorHAnsi" w:hAnsiTheme="majorHAnsi" w:cstheme="majorHAnsi"/>
          <w:caps w:val="0"/>
          <w:sz w:val="24"/>
          <w:szCs w:val="24"/>
        </w:rPr>
        <w:t>nits 1 and 2?</w:t>
      </w:r>
    </w:p>
    <w:p w14:paraId="0197693F" w14:textId="1D4C8DA0" w:rsidR="00150938" w:rsidRPr="00A2358C" w:rsidRDefault="008C7A77" w:rsidP="00FD7065">
      <w:pPr>
        <w:pStyle w:val="A"/>
        <w:spacing w:after="240"/>
        <w:rPr>
          <w:rFonts w:asciiTheme="majorHAnsi" w:eastAsiaTheme="minorEastAsia"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According to PSE witness </w:t>
      </w:r>
      <w:r w:rsidR="00150938" w:rsidRPr="00A2358C">
        <w:rPr>
          <w:rFonts w:asciiTheme="majorHAnsi" w:hAnsiTheme="majorHAnsi" w:cstheme="majorHAnsi"/>
          <w:sz w:val="24"/>
          <w:szCs w:val="24"/>
        </w:rPr>
        <w:t>Katherine Barnard, “</w:t>
      </w:r>
      <w:r w:rsidR="00150938" w:rsidRPr="00A2358C">
        <w:rPr>
          <w:rFonts w:asciiTheme="majorHAnsi" w:eastAsiaTheme="minorEastAsia" w:hAnsiTheme="majorHAnsi" w:cstheme="majorHAnsi"/>
          <w:sz w:val="24"/>
          <w:szCs w:val="24"/>
        </w:rPr>
        <w:t>PSE is proposing to utilize</w:t>
      </w:r>
      <w:r w:rsidR="00150938" w:rsidRPr="00A2358C">
        <w:rPr>
          <w:rFonts w:asciiTheme="majorHAnsi" w:hAnsiTheme="majorHAnsi" w:cstheme="majorHAnsi"/>
          <w:sz w:val="24"/>
          <w:szCs w:val="24"/>
        </w:rPr>
        <w:t xml:space="preserve"> </w:t>
      </w:r>
      <w:r w:rsidR="00150938" w:rsidRPr="00A2358C">
        <w:rPr>
          <w:rFonts w:asciiTheme="majorHAnsi" w:eastAsiaTheme="minorEastAsia" w:hAnsiTheme="majorHAnsi" w:cstheme="majorHAnsi"/>
          <w:sz w:val="24"/>
          <w:szCs w:val="24"/>
        </w:rPr>
        <w:t>the regulatory liability accounts associated with the Lower Baker and Snoqualmie</w:t>
      </w:r>
      <w:r w:rsidR="00150938" w:rsidRPr="00A2358C">
        <w:rPr>
          <w:rFonts w:asciiTheme="majorHAnsi" w:hAnsiTheme="majorHAnsi" w:cstheme="majorHAnsi"/>
          <w:sz w:val="24"/>
          <w:szCs w:val="24"/>
        </w:rPr>
        <w:t xml:space="preserve"> </w:t>
      </w:r>
      <w:r w:rsidR="00150938" w:rsidRPr="00A2358C">
        <w:rPr>
          <w:rFonts w:asciiTheme="majorHAnsi" w:eastAsiaTheme="minorEastAsia" w:hAnsiTheme="majorHAnsi" w:cstheme="majorHAnsi"/>
          <w:sz w:val="24"/>
          <w:szCs w:val="24"/>
        </w:rPr>
        <w:t>Treasury Grants and the existing Production Tax Credits, to address the</w:t>
      </w:r>
      <w:r w:rsidR="00150938" w:rsidRPr="00A2358C">
        <w:rPr>
          <w:rFonts w:asciiTheme="majorHAnsi" w:hAnsiTheme="majorHAnsi" w:cstheme="majorHAnsi"/>
          <w:sz w:val="24"/>
          <w:szCs w:val="24"/>
        </w:rPr>
        <w:t xml:space="preserve"> </w:t>
      </w:r>
      <w:r w:rsidR="00150938" w:rsidRPr="00A2358C">
        <w:rPr>
          <w:rFonts w:asciiTheme="majorHAnsi" w:eastAsiaTheme="minorEastAsia" w:hAnsiTheme="majorHAnsi" w:cstheme="majorHAnsi"/>
          <w:sz w:val="24"/>
          <w:szCs w:val="24"/>
        </w:rPr>
        <w:t>decommissioning and remediation costs associated with Colstrip Units 1 and 2.”</w:t>
      </w:r>
      <w:r w:rsidRPr="00A2358C">
        <w:rPr>
          <w:rStyle w:val="FootnoteReference"/>
          <w:rFonts w:asciiTheme="majorHAnsi" w:eastAsiaTheme="minorEastAsia" w:hAnsiTheme="majorHAnsi" w:cstheme="majorHAnsi"/>
          <w:sz w:val="24"/>
          <w:szCs w:val="24"/>
        </w:rPr>
        <w:footnoteReference w:id="26"/>
      </w:r>
      <w:r w:rsidR="00BC79D3" w:rsidRPr="00A2358C">
        <w:rPr>
          <w:rFonts w:asciiTheme="majorHAnsi" w:eastAsiaTheme="minorEastAsia" w:hAnsiTheme="majorHAnsi" w:cstheme="majorHAnsi"/>
          <w:sz w:val="24"/>
          <w:szCs w:val="24"/>
        </w:rPr>
        <w:t xml:space="preserve"> This was authorized by the Washington Legislature </w:t>
      </w:r>
      <w:r w:rsidR="005A215D" w:rsidRPr="00A2358C">
        <w:rPr>
          <w:rFonts w:asciiTheme="majorHAnsi" w:eastAsiaTheme="minorEastAsia" w:hAnsiTheme="majorHAnsi" w:cstheme="majorHAnsi"/>
          <w:sz w:val="24"/>
          <w:szCs w:val="24"/>
        </w:rPr>
        <w:t>as Chapter 80.84 RCW</w:t>
      </w:r>
      <w:r w:rsidR="00BC79D3" w:rsidRPr="00A2358C">
        <w:rPr>
          <w:rFonts w:asciiTheme="majorHAnsi" w:eastAsiaTheme="minorEastAsia" w:hAnsiTheme="majorHAnsi" w:cstheme="majorHAnsi"/>
          <w:sz w:val="24"/>
          <w:szCs w:val="24"/>
        </w:rPr>
        <w:t>;</w:t>
      </w:r>
      <w:r w:rsidR="005A215D" w:rsidRPr="00A2358C">
        <w:rPr>
          <w:rStyle w:val="FootnoteReference"/>
          <w:rFonts w:asciiTheme="majorHAnsi" w:eastAsiaTheme="minorEastAsia" w:hAnsiTheme="majorHAnsi" w:cstheme="majorHAnsi"/>
          <w:sz w:val="24"/>
          <w:szCs w:val="24"/>
        </w:rPr>
        <w:footnoteReference w:id="27"/>
      </w:r>
      <w:r w:rsidR="00BC79D3" w:rsidRPr="00A2358C">
        <w:rPr>
          <w:rFonts w:asciiTheme="majorHAnsi" w:eastAsiaTheme="minorEastAsia" w:hAnsiTheme="majorHAnsi" w:cstheme="majorHAnsi"/>
          <w:sz w:val="24"/>
          <w:szCs w:val="24"/>
        </w:rPr>
        <w:t xml:space="preserve"> however, </w:t>
      </w:r>
      <w:r w:rsidR="00A72758" w:rsidRPr="00A2358C">
        <w:rPr>
          <w:rFonts w:asciiTheme="majorHAnsi" w:eastAsiaTheme="minorEastAsia" w:hAnsiTheme="majorHAnsi" w:cstheme="majorHAnsi"/>
          <w:sz w:val="24"/>
          <w:szCs w:val="24"/>
        </w:rPr>
        <w:t>PSE still requires Commission approval to make this reclassification.</w:t>
      </w:r>
    </w:p>
    <w:p w14:paraId="34526539" w14:textId="514ADBB1" w:rsidR="001640AC" w:rsidRPr="00A2358C" w:rsidRDefault="001640AC"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FD7065" w:rsidRPr="00A2358C">
        <w:rPr>
          <w:rFonts w:asciiTheme="majorHAnsi" w:hAnsiTheme="majorHAnsi" w:cstheme="majorHAnsi"/>
          <w:caps w:val="0"/>
          <w:sz w:val="24"/>
          <w:szCs w:val="24"/>
        </w:rPr>
        <w:t>Please describe the source of the production tax credits</w:t>
      </w:r>
      <w:r w:rsidR="00FD7065">
        <w:rPr>
          <w:rFonts w:asciiTheme="majorHAnsi" w:hAnsiTheme="majorHAnsi" w:cstheme="majorHAnsi"/>
          <w:caps w:val="0"/>
          <w:sz w:val="24"/>
          <w:szCs w:val="24"/>
        </w:rPr>
        <w:t>.</w:t>
      </w:r>
      <w:r w:rsidR="00C834E6" w:rsidRPr="00A2358C">
        <w:rPr>
          <w:rFonts w:asciiTheme="majorHAnsi" w:hAnsiTheme="majorHAnsi" w:cstheme="majorHAnsi"/>
          <w:sz w:val="24"/>
          <w:szCs w:val="24"/>
        </w:rPr>
        <w:t xml:space="preserve"> </w:t>
      </w:r>
    </w:p>
    <w:p w14:paraId="5801FD1E" w14:textId="26697BC5" w:rsidR="001640AC" w:rsidRPr="00A2358C" w:rsidRDefault="001640AC"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C834E6" w:rsidRPr="00A2358C">
        <w:rPr>
          <w:rFonts w:asciiTheme="majorHAnsi" w:hAnsiTheme="majorHAnsi" w:cstheme="majorHAnsi"/>
          <w:sz w:val="24"/>
          <w:szCs w:val="24"/>
        </w:rPr>
        <w:t xml:space="preserve">The federal production tax credits (PTCs) are tax credits earned by PSE in direct proportion to the quantity of energy produced at its Hopkins Ridge and Wild Horse wind energy facilities during the first ten years of operation for each facility. </w:t>
      </w:r>
      <w:r w:rsidR="00E06B4E" w:rsidRPr="00A2358C">
        <w:rPr>
          <w:rFonts w:asciiTheme="majorHAnsi" w:hAnsiTheme="majorHAnsi" w:cstheme="majorHAnsi"/>
          <w:sz w:val="24"/>
          <w:szCs w:val="24"/>
        </w:rPr>
        <w:t>According to PSE witness Doyle, PSE has accumulated approximately $200 Million in PTCs</w:t>
      </w:r>
      <w:r w:rsidR="00E06B4E" w:rsidRPr="00A2358C">
        <w:rPr>
          <w:rStyle w:val="FootnoteReference"/>
          <w:rFonts w:asciiTheme="majorHAnsi" w:hAnsiTheme="majorHAnsi" w:cstheme="majorHAnsi"/>
          <w:sz w:val="24"/>
          <w:szCs w:val="24"/>
        </w:rPr>
        <w:footnoteReference w:id="28"/>
      </w:r>
      <w:r w:rsidR="00E06B4E" w:rsidRPr="00A2358C">
        <w:rPr>
          <w:rFonts w:asciiTheme="majorHAnsi" w:hAnsiTheme="majorHAnsi" w:cstheme="majorHAnsi"/>
          <w:sz w:val="24"/>
          <w:szCs w:val="24"/>
        </w:rPr>
        <w:t xml:space="preserve"> but, a</w:t>
      </w:r>
      <w:r w:rsidR="00C834E6" w:rsidRPr="00A2358C">
        <w:rPr>
          <w:rFonts w:asciiTheme="majorHAnsi" w:hAnsiTheme="majorHAnsi" w:cstheme="majorHAnsi"/>
          <w:sz w:val="24"/>
          <w:szCs w:val="24"/>
        </w:rPr>
        <w:t xml:space="preserve">s tax credits, they can only be monetized when the company has an operating profit against which to credit them. Because PSE has used bonus depreciation to generate net operating losses (NOL) and eliminate its federal tax liability for several years, these PTCs have </w:t>
      </w:r>
      <w:r w:rsidR="00C834E6" w:rsidRPr="00A2358C">
        <w:rPr>
          <w:rFonts w:asciiTheme="majorHAnsi" w:hAnsiTheme="majorHAnsi" w:cstheme="majorHAnsi"/>
          <w:sz w:val="24"/>
          <w:szCs w:val="24"/>
        </w:rPr>
        <w:lastRenderedPageBreak/>
        <w:t>been accumulating.</w:t>
      </w:r>
      <w:r w:rsidR="00C834E6" w:rsidRPr="00A2358C">
        <w:rPr>
          <w:rStyle w:val="FootnoteReference"/>
          <w:rFonts w:asciiTheme="majorHAnsi" w:hAnsiTheme="majorHAnsi" w:cstheme="majorHAnsi"/>
          <w:sz w:val="24"/>
          <w:szCs w:val="24"/>
        </w:rPr>
        <w:footnoteReference w:id="29"/>
      </w:r>
      <w:r w:rsidR="00D40985" w:rsidRPr="00A2358C">
        <w:rPr>
          <w:rFonts w:asciiTheme="majorHAnsi" w:hAnsiTheme="majorHAnsi" w:cstheme="majorHAnsi"/>
          <w:sz w:val="24"/>
          <w:szCs w:val="24"/>
        </w:rPr>
        <w:t xml:space="preserve"> If and when the company shows an operating profit, its currently approved procedure would be to monetize the PTCs and record the proceeds in a </w:t>
      </w:r>
      <w:r w:rsidR="00E644E8" w:rsidRPr="00A2358C">
        <w:rPr>
          <w:rFonts w:asciiTheme="majorHAnsi" w:hAnsiTheme="majorHAnsi" w:cstheme="majorHAnsi"/>
          <w:sz w:val="24"/>
          <w:szCs w:val="24"/>
        </w:rPr>
        <w:t xml:space="preserve">Tariff </w:t>
      </w:r>
      <w:r w:rsidR="00D40985" w:rsidRPr="00A2358C">
        <w:rPr>
          <w:rFonts w:asciiTheme="majorHAnsi" w:hAnsiTheme="majorHAnsi" w:cstheme="majorHAnsi"/>
          <w:sz w:val="24"/>
          <w:szCs w:val="24"/>
        </w:rPr>
        <w:t>Schedule 95A account to be repaid to customers.</w:t>
      </w:r>
      <w:r w:rsidR="00D40985" w:rsidRPr="00A2358C">
        <w:rPr>
          <w:rStyle w:val="FootnoteReference"/>
          <w:rFonts w:asciiTheme="majorHAnsi" w:hAnsiTheme="majorHAnsi" w:cstheme="majorHAnsi"/>
          <w:sz w:val="24"/>
          <w:szCs w:val="24"/>
        </w:rPr>
        <w:footnoteReference w:id="30"/>
      </w:r>
      <w:r w:rsidR="009B181E" w:rsidRPr="00A2358C">
        <w:rPr>
          <w:rFonts w:asciiTheme="majorHAnsi" w:hAnsiTheme="majorHAnsi" w:cstheme="majorHAnsi"/>
          <w:sz w:val="24"/>
          <w:szCs w:val="24"/>
        </w:rPr>
        <w:t xml:space="preserve"> However,</w:t>
      </w:r>
      <w:r w:rsidR="00E644E8" w:rsidRPr="00A2358C">
        <w:rPr>
          <w:rFonts w:asciiTheme="majorHAnsi" w:hAnsiTheme="majorHAnsi" w:cstheme="majorHAnsi"/>
          <w:sz w:val="24"/>
          <w:szCs w:val="24"/>
        </w:rPr>
        <w:t xml:space="preserve"> the extent and timing of PSE’s ability to monetize the PTCs is unknown.</w:t>
      </w:r>
      <w:r w:rsidR="009B181E" w:rsidRPr="00A2358C">
        <w:rPr>
          <w:rFonts w:asciiTheme="majorHAnsi" w:hAnsiTheme="majorHAnsi" w:cstheme="majorHAnsi"/>
          <w:sz w:val="24"/>
          <w:szCs w:val="24"/>
        </w:rPr>
        <w:t xml:space="preserve"> </w:t>
      </w:r>
      <w:r w:rsidR="00E644E8" w:rsidRPr="00A2358C">
        <w:rPr>
          <w:rFonts w:asciiTheme="majorHAnsi" w:hAnsiTheme="majorHAnsi" w:cstheme="majorHAnsi"/>
          <w:sz w:val="24"/>
          <w:szCs w:val="24"/>
        </w:rPr>
        <w:t>I</w:t>
      </w:r>
      <w:r w:rsidR="00FC6996" w:rsidRPr="00A2358C">
        <w:rPr>
          <w:rFonts w:asciiTheme="majorHAnsi" w:hAnsiTheme="majorHAnsi" w:cstheme="majorHAnsi"/>
          <w:sz w:val="24"/>
          <w:szCs w:val="24"/>
        </w:rPr>
        <w:t>n response to</w:t>
      </w:r>
      <w:r w:rsidR="009B181E" w:rsidRPr="00A2358C">
        <w:rPr>
          <w:rFonts w:asciiTheme="majorHAnsi" w:hAnsiTheme="majorHAnsi" w:cstheme="majorHAnsi"/>
          <w:sz w:val="24"/>
          <w:szCs w:val="24"/>
        </w:rPr>
        <w:t xml:space="preserve"> Public Counsel Data Request 285, </w:t>
      </w:r>
      <w:r w:rsidR="00FC6996" w:rsidRPr="00A2358C">
        <w:rPr>
          <w:rFonts w:asciiTheme="majorHAnsi" w:hAnsiTheme="majorHAnsi" w:cstheme="majorHAnsi"/>
          <w:sz w:val="24"/>
          <w:szCs w:val="24"/>
        </w:rPr>
        <w:t xml:space="preserve">which asked PSE for projections of the company’s PTC utilization by year, the company objected </w:t>
      </w:r>
      <w:r w:rsidR="00D7511E" w:rsidRPr="00A2358C">
        <w:rPr>
          <w:rFonts w:asciiTheme="majorHAnsi" w:hAnsiTheme="majorHAnsi" w:cstheme="majorHAnsi"/>
          <w:sz w:val="24"/>
          <w:szCs w:val="24"/>
        </w:rPr>
        <w:t xml:space="preserve">that </w:t>
      </w:r>
      <w:r w:rsidR="00FC6996" w:rsidRPr="00A2358C">
        <w:rPr>
          <w:rFonts w:asciiTheme="majorHAnsi" w:hAnsiTheme="majorHAnsi" w:cstheme="majorHAnsi"/>
          <w:sz w:val="24"/>
          <w:szCs w:val="24"/>
        </w:rPr>
        <w:t xml:space="preserve">such a forecast </w:t>
      </w:r>
      <w:r w:rsidR="00D7511E" w:rsidRPr="00A2358C">
        <w:rPr>
          <w:rFonts w:asciiTheme="majorHAnsi" w:hAnsiTheme="majorHAnsi" w:cstheme="majorHAnsi"/>
          <w:sz w:val="24"/>
          <w:szCs w:val="24"/>
        </w:rPr>
        <w:t>“</w:t>
      </w:r>
      <w:r w:rsidR="00FC6996" w:rsidRPr="00A2358C">
        <w:rPr>
          <w:rFonts w:asciiTheme="majorHAnsi" w:hAnsiTheme="majorHAnsi" w:cstheme="majorHAnsi"/>
          <w:sz w:val="24"/>
          <w:szCs w:val="24"/>
        </w:rPr>
        <w:t>requires assumptions and speculations about future events. For example, tax reform may have a significant impact on taxable income and Net Operating Loss (“NOL”) and Production Tax Credit (“PTC”) usage.”</w:t>
      </w:r>
      <w:r w:rsidR="00FC6996" w:rsidRPr="00A2358C">
        <w:rPr>
          <w:rStyle w:val="FootnoteReference"/>
          <w:rFonts w:asciiTheme="majorHAnsi" w:hAnsiTheme="majorHAnsi" w:cstheme="majorHAnsi"/>
          <w:sz w:val="24"/>
          <w:szCs w:val="24"/>
        </w:rPr>
        <w:footnoteReference w:id="31"/>
      </w:r>
    </w:p>
    <w:p w14:paraId="508AF007" w14:textId="795AA623" w:rsidR="00D40985" w:rsidRPr="00A2358C" w:rsidRDefault="00D40985" w:rsidP="00FD7065">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PTCs were originally intended by Congress to reduce the </w:t>
      </w:r>
      <w:proofErr w:type="spellStart"/>
      <w:r w:rsidRPr="00A2358C">
        <w:rPr>
          <w:rFonts w:asciiTheme="majorHAnsi" w:hAnsiTheme="majorHAnsi" w:cstheme="majorHAnsi"/>
          <w:sz w:val="24"/>
          <w:szCs w:val="24"/>
        </w:rPr>
        <w:t>levelized</w:t>
      </w:r>
      <w:proofErr w:type="spellEnd"/>
      <w:r w:rsidRPr="00A2358C">
        <w:rPr>
          <w:rFonts w:asciiTheme="majorHAnsi" w:hAnsiTheme="majorHAnsi" w:cstheme="majorHAnsi"/>
          <w:sz w:val="24"/>
          <w:szCs w:val="24"/>
        </w:rPr>
        <w:t xml:space="preserve"> cost of wind power, in recognition of the environmental and economic benefits of this resource</w:t>
      </w:r>
      <w:r w:rsidR="00660E4A" w:rsidRPr="00A2358C">
        <w:rPr>
          <w:rFonts w:asciiTheme="majorHAnsi" w:hAnsiTheme="majorHAnsi" w:cstheme="majorHAnsi"/>
          <w:sz w:val="24"/>
          <w:szCs w:val="24"/>
        </w:rPr>
        <w:t>.</w:t>
      </w:r>
      <w:r w:rsidRPr="00A2358C">
        <w:rPr>
          <w:rFonts w:asciiTheme="majorHAnsi" w:hAnsiTheme="majorHAnsi" w:cstheme="majorHAnsi"/>
          <w:sz w:val="24"/>
          <w:szCs w:val="24"/>
        </w:rPr>
        <w:t xml:space="preserve"> </w:t>
      </w:r>
      <w:r w:rsidR="00660E4A" w:rsidRPr="00A2358C">
        <w:rPr>
          <w:rFonts w:asciiTheme="majorHAnsi" w:hAnsiTheme="majorHAnsi" w:cstheme="majorHAnsi"/>
          <w:sz w:val="24"/>
          <w:szCs w:val="24"/>
        </w:rPr>
        <w:t xml:space="preserve">They also provided federal </w:t>
      </w:r>
      <w:r w:rsidRPr="00A2358C">
        <w:rPr>
          <w:rFonts w:asciiTheme="majorHAnsi" w:hAnsiTheme="majorHAnsi" w:cstheme="majorHAnsi"/>
          <w:sz w:val="24"/>
          <w:szCs w:val="24"/>
        </w:rPr>
        <w:t xml:space="preserve">support </w:t>
      </w:r>
      <w:r w:rsidR="00660E4A" w:rsidRPr="00A2358C">
        <w:rPr>
          <w:rFonts w:asciiTheme="majorHAnsi" w:hAnsiTheme="majorHAnsi" w:cstheme="majorHAnsi"/>
          <w:sz w:val="24"/>
          <w:szCs w:val="24"/>
        </w:rPr>
        <w:t xml:space="preserve">to </w:t>
      </w:r>
      <w:r w:rsidRPr="00A2358C">
        <w:rPr>
          <w:rFonts w:asciiTheme="majorHAnsi" w:hAnsiTheme="majorHAnsi" w:cstheme="majorHAnsi"/>
          <w:sz w:val="24"/>
          <w:szCs w:val="24"/>
        </w:rPr>
        <w:t xml:space="preserve">this nascent industry </w:t>
      </w:r>
      <w:r w:rsidR="00BC79D3" w:rsidRPr="00A2358C">
        <w:rPr>
          <w:rFonts w:asciiTheme="majorHAnsi" w:hAnsiTheme="majorHAnsi" w:cstheme="majorHAnsi"/>
          <w:sz w:val="24"/>
          <w:szCs w:val="24"/>
        </w:rPr>
        <w:t xml:space="preserve">by reducing the cost </w:t>
      </w:r>
      <w:r w:rsidR="00660E4A" w:rsidRPr="00A2358C">
        <w:rPr>
          <w:rFonts w:asciiTheme="majorHAnsi" w:hAnsiTheme="majorHAnsi" w:cstheme="majorHAnsi"/>
          <w:sz w:val="24"/>
          <w:szCs w:val="24"/>
        </w:rPr>
        <w:t xml:space="preserve">of wind power </w:t>
      </w:r>
      <w:r w:rsidR="00BC79D3" w:rsidRPr="00A2358C">
        <w:rPr>
          <w:rFonts w:asciiTheme="majorHAnsi" w:hAnsiTheme="majorHAnsi" w:cstheme="majorHAnsi"/>
          <w:sz w:val="24"/>
          <w:szCs w:val="24"/>
        </w:rPr>
        <w:t xml:space="preserve">to utilities and ratepayers to </w:t>
      </w:r>
      <w:r w:rsidR="00660E4A" w:rsidRPr="00A2358C">
        <w:rPr>
          <w:rFonts w:asciiTheme="majorHAnsi" w:hAnsiTheme="majorHAnsi" w:cstheme="majorHAnsi"/>
          <w:sz w:val="24"/>
          <w:szCs w:val="24"/>
        </w:rPr>
        <w:t xml:space="preserve">a level that was </w:t>
      </w:r>
      <w:r w:rsidR="00BC79D3" w:rsidRPr="00A2358C">
        <w:rPr>
          <w:rFonts w:asciiTheme="majorHAnsi" w:hAnsiTheme="majorHAnsi" w:cstheme="majorHAnsi"/>
          <w:sz w:val="24"/>
          <w:szCs w:val="24"/>
        </w:rPr>
        <w:t xml:space="preserve">comparable with alternative generation sources, at a time when </w:t>
      </w:r>
      <w:r w:rsidR="00660E4A" w:rsidRPr="00A2358C">
        <w:rPr>
          <w:rFonts w:asciiTheme="majorHAnsi" w:hAnsiTheme="majorHAnsi" w:cstheme="majorHAnsi"/>
          <w:sz w:val="24"/>
          <w:szCs w:val="24"/>
        </w:rPr>
        <w:t xml:space="preserve">it </w:t>
      </w:r>
      <w:r w:rsidR="00BC79D3" w:rsidRPr="00A2358C">
        <w:rPr>
          <w:rFonts w:asciiTheme="majorHAnsi" w:hAnsiTheme="majorHAnsi" w:cstheme="majorHAnsi"/>
          <w:sz w:val="24"/>
          <w:szCs w:val="24"/>
        </w:rPr>
        <w:t>was not cost</w:t>
      </w:r>
      <w:r w:rsidR="00660E4A" w:rsidRPr="00A2358C">
        <w:rPr>
          <w:rFonts w:asciiTheme="majorHAnsi" w:hAnsiTheme="majorHAnsi" w:cstheme="majorHAnsi"/>
          <w:sz w:val="24"/>
          <w:szCs w:val="24"/>
        </w:rPr>
        <w:t>-</w:t>
      </w:r>
      <w:r w:rsidR="00BC79D3" w:rsidRPr="00A2358C">
        <w:rPr>
          <w:rFonts w:asciiTheme="majorHAnsi" w:hAnsiTheme="majorHAnsi" w:cstheme="majorHAnsi"/>
          <w:sz w:val="24"/>
          <w:szCs w:val="24"/>
        </w:rPr>
        <w:t>competitive without these instruments. Certainly</w:t>
      </w:r>
      <w:r w:rsidR="00D037B7" w:rsidRPr="00A2358C">
        <w:rPr>
          <w:rFonts w:asciiTheme="majorHAnsi" w:hAnsiTheme="majorHAnsi" w:cstheme="majorHAnsi"/>
          <w:sz w:val="24"/>
          <w:szCs w:val="24"/>
        </w:rPr>
        <w:t>,</w:t>
      </w:r>
      <w:r w:rsidR="00BC79D3" w:rsidRPr="00A2358C">
        <w:rPr>
          <w:rFonts w:asciiTheme="majorHAnsi" w:hAnsiTheme="majorHAnsi" w:cstheme="majorHAnsi"/>
          <w:sz w:val="24"/>
          <w:szCs w:val="24"/>
        </w:rPr>
        <w:t xml:space="preserve"> part of the justification for </w:t>
      </w:r>
      <w:r w:rsidR="00660E4A" w:rsidRPr="00A2358C">
        <w:rPr>
          <w:rFonts w:asciiTheme="majorHAnsi" w:hAnsiTheme="majorHAnsi" w:cstheme="majorHAnsi"/>
          <w:sz w:val="24"/>
          <w:szCs w:val="24"/>
        </w:rPr>
        <w:t xml:space="preserve">PSE’s </w:t>
      </w:r>
      <w:r w:rsidR="00BC79D3" w:rsidRPr="00A2358C">
        <w:rPr>
          <w:rFonts w:asciiTheme="majorHAnsi" w:hAnsiTheme="majorHAnsi" w:cstheme="majorHAnsi"/>
          <w:sz w:val="24"/>
          <w:szCs w:val="24"/>
        </w:rPr>
        <w:t xml:space="preserve">investing in </w:t>
      </w:r>
      <w:r w:rsidR="00660E4A" w:rsidRPr="00A2358C">
        <w:rPr>
          <w:rFonts w:asciiTheme="majorHAnsi" w:hAnsiTheme="majorHAnsi" w:cstheme="majorHAnsi"/>
          <w:sz w:val="24"/>
          <w:szCs w:val="24"/>
        </w:rPr>
        <w:t xml:space="preserve">the Hopkins Ridge and Wild Horse </w:t>
      </w:r>
      <w:r w:rsidR="008D4457" w:rsidRPr="00A2358C">
        <w:rPr>
          <w:rFonts w:asciiTheme="majorHAnsi" w:hAnsiTheme="majorHAnsi" w:cstheme="majorHAnsi"/>
          <w:sz w:val="24"/>
          <w:szCs w:val="24"/>
        </w:rPr>
        <w:t xml:space="preserve">wind </w:t>
      </w:r>
      <w:r w:rsidR="00BC79D3" w:rsidRPr="00A2358C">
        <w:rPr>
          <w:rFonts w:asciiTheme="majorHAnsi" w:hAnsiTheme="majorHAnsi" w:cstheme="majorHAnsi"/>
          <w:sz w:val="24"/>
          <w:szCs w:val="24"/>
        </w:rPr>
        <w:t>projects was that they would generate the</w:t>
      </w:r>
      <w:r w:rsidR="00E644E8" w:rsidRPr="00A2358C">
        <w:rPr>
          <w:rFonts w:asciiTheme="majorHAnsi" w:hAnsiTheme="majorHAnsi" w:cstheme="majorHAnsi"/>
          <w:sz w:val="24"/>
          <w:szCs w:val="24"/>
        </w:rPr>
        <w:t>se</w:t>
      </w:r>
      <w:r w:rsidR="00BC79D3" w:rsidRPr="00A2358C">
        <w:rPr>
          <w:rFonts w:asciiTheme="majorHAnsi" w:hAnsiTheme="majorHAnsi" w:cstheme="majorHAnsi"/>
          <w:sz w:val="24"/>
          <w:szCs w:val="24"/>
        </w:rPr>
        <w:t xml:space="preserve"> tax credits, which would offset any increased costs for ratepayers. However, due to the unexpected availability of bonus depreciation</w:t>
      </w:r>
      <w:r w:rsidR="008D4457" w:rsidRPr="00A2358C">
        <w:rPr>
          <w:rFonts w:asciiTheme="majorHAnsi" w:hAnsiTheme="majorHAnsi" w:cstheme="majorHAnsi"/>
          <w:sz w:val="24"/>
          <w:szCs w:val="24"/>
        </w:rPr>
        <w:t xml:space="preserve"> for PSE</w:t>
      </w:r>
      <w:r w:rsidR="00BC79D3" w:rsidRPr="00A2358C">
        <w:rPr>
          <w:rFonts w:asciiTheme="majorHAnsi" w:hAnsiTheme="majorHAnsi" w:cstheme="majorHAnsi"/>
          <w:sz w:val="24"/>
          <w:szCs w:val="24"/>
        </w:rPr>
        <w:t>,</w:t>
      </w:r>
      <w:r w:rsidR="00BC79D3" w:rsidRPr="00A2358C">
        <w:rPr>
          <w:rStyle w:val="FootnoteReference"/>
          <w:rFonts w:asciiTheme="majorHAnsi" w:hAnsiTheme="majorHAnsi" w:cstheme="majorHAnsi"/>
          <w:sz w:val="24"/>
          <w:szCs w:val="24"/>
        </w:rPr>
        <w:footnoteReference w:id="32"/>
      </w:r>
      <w:r w:rsidR="00BC79D3" w:rsidRPr="00A2358C">
        <w:rPr>
          <w:rFonts w:asciiTheme="majorHAnsi" w:hAnsiTheme="majorHAnsi" w:cstheme="majorHAnsi"/>
          <w:sz w:val="24"/>
          <w:szCs w:val="24"/>
        </w:rPr>
        <w:t xml:space="preserve"> Customers have had to wait over a decade to get the benefit of these instruments</w:t>
      </w:r>
      <w:r w:rsidR="008D4457" w:rsidRPr="00A2358C">
        <w:rPr>
          <w:rFonts w:asciiTheme="majorHAnsi" w:hAnsiTheme="majorHAnsi" w:cstheme="majorHAnsi"/>
          <w:sz w:val="24"/>
          <w:szCs w:val="24"/>
        </w:rPr>
        <w:t>, and they are still waiting today</w:t>
      </w:r>
      <w:r w:rsidR="00BC79D3" w:rsidRPr="00A2358C">
        <w:rPr>
          <w:rFonts w:asciiTheme="majorHAnsi" w:hAnsiTheme="majorHAnsi" w:cstheme="majorHAnsi"/>
          <w:sz w:val="24"/>
          <w:szCs w:val="24"/>
        </w:rPr>
        <w:t>.</w:t>
      </w:r>
    </w:p>
    <w:p w14:paraId="69B02C79" w14:textId="504749DC" w:rsidR="002057D2" w:rsidRPr="00A2358C" w:rsidRDefault="0057037A" w:rsidP="001809FB">
      <w:pPr>
        <w:pStyle w:val="Q"/>
        <w:rPr>
          <w:rFonts w:asciiTheme="majorHAnsi" w:eastAsiaTheme="minorEastAsia" w:hAnsiTheme="majorHAnsi" w:cstheme="majorHAnsi"/>
          <w:sz w:val="24"/>
          <w:szCs w:val="24"/>
        </w:rPr>
      </w:pPr>
      <w:r w:rsidRPr="00A2358C">
        <w:rPr>
          <w:rFonts w:asciiTheme="majorHAnsi" w:hAnsiTheme="majorHAnsi" w:cstheme="majorHAnsi"/>
          <w:sz w:val="24"/>
          <w:szCs w:val="24"/>
        </w:rPr>
        <w:lastRenderedPageBreak/>
        <w:t>Q.</w:t>
      </w:r>
      <w:r w:rsidRPr="00A2358C">
        <w:rPr>
          <w:rFonts w:asciiTheme="majorHAnsi" w:hAnsiTheme="majorHAnsi" w:cstheme="majorHAnsi"/>
          <w:sz w:val="24"/>
          <w:szCs w:val="24"/>
        </w:rPr>
        <w:tab/>
      </w:r>
      <w:r w:rsidR="00FD7065" w:rsidRPr="00A2358C">
        <w:rPr>
          <w:rFonts w:asciiTheme="majorHAnsi" w:hAnsiTheme="majorHAnsi" w:cstheme="majorHAnsi"/>
          <w:caps w:val="0"/>
          <w:sz w:val="24"/>
          <w:szCs w:val="24"/>
        </w:rPr>
        <w:t xml:space="preserve">Please describe the source of the </w:t>
      </w:r>
      <w:r w:rsidR="00FD7065">
        <w:rPr>
          <w:rFonts w:asciiTheme="majorHAnsi" w:eastAsiaTheme="minorEastAsia" w:hAnsiTheme="majorHAnsi" w:cstheme="majorHAnsi"/>
          <w:caps w:val="0"/>
          <w:sz w:val="24"/>
          <w:szCs w:val="24"/>
        </w:rPr>
        <w:t>Lower Baker and S</w:t>
      </w:r>
      <w:r w:rsidR="00FD7065" w:rsidRPr="00A2358C">
        <w:rPr>
          <w:rFonts w:asciiTheme="majorHAnsi" w:eastAsiaTheme="minorEastAsia" w:hAnsiTheme="majorHAnsi" w:cstheme="majorHAnsi"/>
          <w:caps w:val="0"/>
          <w:sz w:val="24"/>
          <w:szCs w:val="24"/>
        </w:rPr>
        <w:t>noqualmie</w:t>
      </w:r>
      <w:r w:rsidR="00FD7065" w:rsidRPr="00A2358C">
        <w:rPr>
          <w:rFonts w:asciiTheme="majorHAnsi" w:hAnsiTheme="majorHAnsi" w:cstheme="majorHAnsi"/>
          <w:caps w:val="0"/>
          <w:sz w:val="24"/>
          <w:szCs w:val="24"/>
        </w:rPr>
        <w:t xml:space="preserve"> </w:t>
      </w:r>
      <w:r w:rsidR="00FD7065" w:rsidRPr="00A2358C">
        <w:rPr>
          <w:rFonts w:asciiTheme="majorHAnsi" w:eastAsiaTheme="minorEastAsia" w:hAnsiTheme="majorHAnsi" w:cstheme="majorHAnsi"/>
          <w:caps w:val="0"/>
          <w:sz w:val="24"/>
          <w:szCs w:val="24"/>
        </w:rPr>
        <w:t>treasury grants.</w:t>
      </w:r>
    </w:p>
    <w:p w14:paraId="2E62D3DA" w14:textId="57955399" w:rsidR="0057037A" w:rsidRPr="00A2358C" w:rsidRDefault="0057037A"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832986" w:rsidRPr="00A2358C">
        <w:rPr>
          <w:rFonts w:asciiTheme="majorHAnsi" w:hAnsiTheme="majorHAnsi" w:cstheme="majorHAnsi"/>
          <w:sz w:val="24"/>
          <w:szCs w:val="24"/>
        </w:rPr>
        <w:t xml:space="preserve">These treasury grants </w:t>
      </w:r>
      <w:r w:rsidR="00E644E8" w:rsidRPr="00A2358C">
        <w:rPr>
          <w:rFonts w:asciiTheme="majorHAnsi" w:hAnsiTheme="majorHAnsi" w:cstheme="majorHAnsi"/>
          <w:sz w:val="24"/>
          <w:szCs w:val="24"/>
        </w:rPr>
        <w:t>derive from</w:t>
      </w:r>
      <w:r w:rsidR="00832986" w:rsidRPr="00A2358C">
        <w:rPr>
          <w:rFonts w:asciiTheme="majorHAnsi" w:hAnsiTheme="majorHAnsi" w:cstheme="majorHAnsi"/>
          <w:sz w:val="24"/>
          <w:szCs w:val="24"/>
        </w:rPr>
        <w:t xml:space="preserve"> federal incentives </w:t>
      </w:r>
      <w:r w:rsidR="00E644E8" w:rsidRPr="00A2358C">
        <w:rPr>
          <w:rFonts w:asciiTheme="majorHAnsi" w:hAnsiTheme="majorHAnsi" w:cstheme="majorHAnsi"/>
          <w:sz w:val="24"/>
          <w:szCs w:val="24"/>
        </w:rPr>
        <w:t xml:space="preserve">that were made available </w:t>
      </w:r>
      <w:r w:rsidR="00832986" w:rsidRPr="00A2358C">
        <w:rPr>
          <w:rFonts w:asciiTheme="majorHAnsi" w:hAnsiTheme="majorHAnsi" w:cstheme="majorHAnsi"/>
          <w:sz w:val="24"/>
          <w:szCs w:val="24"/>
        </w:rPr>
        <w:t>pursuant to the American Recovery and Reinvestment Act (ARRA) of 2009 as an alternative to Production Tax Credits</w:t>
      </w:r>
      <w:r w:rsidR="00D860DB" w:rsidRPr="00A2358C">
        <w:rPr>
          <w:rFonts w:asciiTheme="majorHAnsi" w:hAnsiTheme="majorHAnsi" w:cstheme="majorHAnsi"/>
          <w:sz w:val="24"/>
          <w:szCs w:val="24"/>
        </w:rPr>
        <w:t>, in part at least because companies like PSE were having trouble monetizing the</w:t>
      </w:r>
      <w:r w:rsidR="00E644E8" w:rsidRPr="00A2358C">
        <w:rPr>
          <w:rFonts w:asciiTheme="majorHAnsi" w:hAnsiTheme="majorHAnsi" w:cstheme="majorHAnsi"/>
          <w:sz w:val="24"/>
          <w:szCs w:val="24"/>
        </w:rPr>
        <w:t>ir</w:t>
      </w:r>
      <w:r w:rsidR="00D860DB" w:rsidRPr="00A2358C">
        <w:rPr>
          <w:rFonts w:asciiTheme="majorHAnsi" w:hAnsiTheme="majorHAnsi" w:cstheme="majorHAnsi"/>
          <w:sz w:val="24"/>
          <w:szCs w:val="24"/>
        </w:rPr>
        <w:t xml:space="preserve"> PTCs</w:t>
      </w:r>
      <w:r w:rsidR="00832986" w:rsidRPr="00A2358C">
        <w:rPr>
          <w:rFonts w:asciiTheme="majorHAnsi" w:hAnsiTheme="majorHAnsi" w:cstheme="majorHAnsi"/>
          <w:sz w:val="24"/>
          <w:szCs w:val="24"/>
        </w:rPr>
        <w:t xml:space="preserve">. PSE </w:t>
      </w:r>
      <w:r w:rsidR="00D860DB" w:rsidRPr="00A2358C">
        <w:rPr>
          <w:rFonts w:asciiTheme="majorHAnsi" w:hAnsiTheme="majorHAnsi" w:cstheme="majorHAnsi"/>
          <w:sz w:val="24"/>
          <w:szCs w:val="24"/>
        </w:rPr>
        <w:t>was qualified to receive</w:t>
      </w:r>
      <w:r w:rsidR="00832986" w:rsidRPr="00A2358C">
        <w:rPr>
          <w:rFonts w:asciiTheme="majorHAnsi" w:hAnsiTheme="majorHAnsi" w:cstheme="majorHAnsi"/>
          <w:sz w:val="24"/>
          <w:szCs w:val="24"/>
        </w:rPr>
        <w:t xml:space="preserve"> </w:t>
      </w:r>
      <w:r w:rsidR="00D860DB" w:rsidRPr="00A2358C">
        <w:rPr>
          <w:rFonts w:asciiTheme="majorHAnsi" w:hAnsiTheme="majorHAnsi" w:cstheme="majorHAnsi"/>
          <w:sz w:val="24"/>
          <w:szCs w:val="24"/>
        </w:rPr>
        <w:t xml:space="preserve">the </w:t>
      </w:r>
      <w:r w:rsidR="00832986" w:rsidRPr="00A2358C">
        <w:rPr>
          <w:rFonts w:asciiTheme="majorHAnsi" w:hAnsiTheme="majorHAnsi" w:cstheme="majorHAnsi"/>
          <w:sz w:val="24"/>
          <w:szCs w:val="24"/>
        </w:rPr>
        <w:t xml:space="preserve">treasury grants </w:t>
      </w:r>
      <w:r w:rsidR="00E644E8" w:rsidRPr="00A2358C">
        <w:rPr>
          <w:rFonts w:asciiTheme="majorHAnsi" w:hAnsiTheme="majorHAnsi" w:cstheme="majorHAnsi"/>
          <w:sz w:val="24"/>
          <w:szCs w:val="24"/>
        </w:rPr>
        <w:t xml:space="preserve">to help fund </w:t>
      </w:r>
      <w:r w:rsidR="00832986" w:rsidRPr="00A2358C">
        <w:rPr>
          <w:rFonts w:asciiTheme="majorHAnsi" w:hAnsiTheme="majorHAnsi" w:cstheme="majorHAnsi"/>
          <w:sz w:val="24"/>
          <w:szCs w:val="24"/>
        </w:rPr>
        <w:t>upgrades to the Snoqualmie Project</w:t>
      </w:r>
      <w:r w:rsidR="001640AC" w:rsidRPr="00A2358C">
        <w:rPr>
          <w:rFonts w:asciiTheme="majorHAnsi" w:hAnsiTheme="majorHAnsi" w:cstheme="majorHAnsi"/>
          <w:sz w:val="24"/>
          <w:szCs w:val="24"/>
        </w:rPr>
        <w:t xml:space="preserve"> and the Lower Baker Powerhouse</w:t>
      </w:r>
      <w:r w:rsidR="00832986" w:rsidRPr="00A2358C">
        <w:rPr>
          <w:rFonts w:asciiTheme="majorHAnsi" w:hAnsiTheme="majorHAnsi" w:cstheme="majorHAnsi"/>
          <w:sz w:val="24"/>
          <w:szCs w:val="24"/>
        </w:rPr>
        <w:t xml:space="preserve"> </w:t>
      </w:r>
      <w:r w:rsidR="00D860DB" w:rsidRPr="00A2358C">
        <w:rPr>
          <w:rFonts w:asciiTheme="majorHAnsi" w:hAnsiTheme="majorHAnsi" w:cstheme="majorHAnsi"/>
          <w:sz w:val="24"/>
          <w:szCs w:val="24"/>
        </w:rPr>
        <w:t xml:space="preserve">because these projects </w:t>
      </w:r>
      <w:r w:rsidR="001640AC" w:rsidRPr="00A2358C">
        <w:rPr>
          <w:rFonts w:asciiTheme="majorHAnsi" w:hAnsiTheme="majorHAnsi" w:cstheme="majorHAnsi"/>
          <w:sz w:val="24"/>
          <w:szCs w:val="24"/>
        </w:rPr>
        <w:t>resul</w:t>
      </w:r>
      <w:r w:rsidR="00D860DB" w:rsidRPr="00A2358C">
        <w:rPr>
          <w:rFonts w:asciiTheme="majorHAnsi" w:hAnsiTheme="majorHAnsi" w:cstheme="majorHAnsi"/>
          <w:sz w:val="24"/>
          <w:szCs w:val="24"/>
        </w:rPr>
        <w:t xml:space="preserve">ted in incremental </w:t>
      </w:r>
      <w:r w:rsidR="00D7511E" w:rsidRPr="00A2358C">
        <w:rPr>
          <w:rFonts w:asciiTheme="majorHAnsi" w:hAnsiTheme="majorHAnsi" w:cstheme="majorHAnsi"/>
          <w:sz w:val="24"/>
          <w:szCs w:val="24"/>
        </w:rPr>
        <w:t xml:space="preserve">carbon-free hydropower </w:t>
      </w:r>
      <w:r w:rsidR="00D860DB" w:rsidRPr="00A2358C">
        <w:rPr>
          <w:rFonts w:asciiTheme="majorHAnsi" w:hAnsiTheme="majorHAnsi" w:cstheme="majorHAnsi"/>
          <w:sz w:val="24"/>
          <w:szCs w:val="24"/>
        </w:rPr>
        <w:t xml:space="preserve">generation. </w:t>
      </w:r>
      <w:r w:rsidR="001640AC" w:rsidRPr="00A2358C">
        <w:rPr>
          <w:rFonts w:asciiTheme="majorHAnsi" w:hAnsiTheme="majorHAnsi" w:cstheme="majorHAnsi"/>
          <w:sz w:val="24"/>
          <w:szCs w:val="24"/>
        </w:rPr>
        <w:t xml:space="preserve">The Company’s expectations regarding the treasury grants were included in the testimony of PSE witnesses Douglas S. Loreen and Katherina J. Barnard in the company’s 2013 PCORC filing, Docket No. </w:t>
      </w:r>
      <w:proofErr w:type="gramStart"/>
      <w:r w:rsidR="001640AC" w:rsidRPr="00A2358C">
        <w:rPr>
          <w:rFonts w:asciiTheme="majorHAnsi" w:hAnsiTheme="majorHAnsi" w:cstheme="majorHAnsi"/>
          <w:sz w:val="24"/>
          <w:szCs w:val="24"/>
        </w:rPr>
        <w:t>UE-</w:t>
      </w:r>
      <w:r w:rsidR="001717BE" w:rsidRPr="00A2358C">
        <w:rPr>
          <w:rFonts w:asciiTheme="majorHAnsi" w:hAnsiTheme="majorHAnsi" w:cstheme="majorHAnsi"/>
          <w:sz w:val="24"/>
          <w:szCs w:val="24"/>
        </w:rPr>
        <w:t>130617.</w:t>
      </w:r>
      <w:proofErr w:type="gramEnd"/>
    </w:p>
    <w:p w14:paraId="67CA2E1E" w14:textId="19C940FB" w:rsidR="001717BE" w:rsidRPr="00A2358C" w:rsidRDefault="001717BE" w:rsidP="0092584C">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PSE </w:t>
      </w:r>
      <w:r w:rsidR="00D7511E" w:rsidRPr="00A2358C">
        <w:rPr>
          <w:rFonts w:asciiTheme="majorHAnsi" w:hAnsiTheme="majorHAnsi" w:cstheme="majorHAnsi"/>
          <w:sz w:val="24"/>
          <w:szCs w:val="24"/>
        </w:rPr>
        <w:t>did</w:t>
      </w:r>
      <w:r w:rsidR="00C834E6" w:rsidRPr="00A2358C">
        <w:rPr>
          <w:rFonts w:asciiTheme="majorHAnsi" w:hAnsiTheme="majorHAnsi" w:cstheme="majorHAnsi"/>
          <w:sz w:val="24"/>
          <w:szCs w:val="24"/>
        </w:rPr>
        <w:t xml:space="preserve"> </w:t>
      </w:r>
      <w:r w:rsidRPr="00A2358C">
        <w:rPr>
          <w:rFonts w:asciiTheme="majorHAnsi" w:hAnsiTheme="majorHAnsi" w:cstheme="majorHAnsi"/>
          <w:sz w:val="24"/>
          <w:szCs w:val="24"/>
        </w:rPr>
        <w:t xml:space="preserve">not use treasury grants </w:t>
      </w:r>
      <w:r w:rsidR="00C834E6" w:rsidRPr="00A2358C">
        <w:rPr>
          <w:rFonts w:asciiTheme="majorHAnsi" w:hAnsiTheme="majorHAnsi" w:cstheme="majorHAnsi"/>
          <w:sz w:val="24"/>
          <w:szCs w:val="24"/>
        </w:rPr>
        <w:t xml:space="preserve">as an adjustment to the cost of the underlying project (the upgrades at </w:t>
      </w:r>
      <w:proofErr w:type="spellStart"/>
      <w:r w:rsidR="00C834E6" w:rsidRPr="00A2358C">
        <w:rPr>
          <w:rFonts w:asciiTheme="majorHAnsi" w:hAnsiTheme="majorHAnsi" w:cstheme="majorHAnsi"/>
          <w:sz w:val="24"/>
          <w:szCs w:val="24"/>
        </w:rPr>
        <w:t>Snoqualine</w:t>
      </w:r>
      <w:proofErr w:type="spellEnd"/>
      <w:r w:rsidR="00C834E6" w:rsidRPr="00A2358C">
        <w:rPr>
          <w:rFonts w:asciiTheme="majorHAnsi" w:hAnsiTheme="majorHAnsi" w:cstheme="majorHAnsi"/>
          <w:sz w:val="24"/>
          <w:szCs w:val="24"/>
        </w:rPr>
        <w:t xml:space="preserve"> and the Lower Baker Powerhouse) but instead keeps them in a regulatory liability account under Tariff Schedule 95A to be “passed back to customers outside of general rates and the general rate case process.”</w:t>
      </w:r>
      <w:r w:rsidR="00C834E6" w:rsidRPr="00A2358C">
        <w:rPr>
          <w:rStyle w:val="FootnoteReference"/>
          <w:rFonts w:asciiTheme="majorHAnsi" w:hAnsiTheme="majorHAnsi" w:cstheme="majorHAnsi"/>
          <w:sz w:val="24"/>
          <w:szCs w:val="24"/>
        </w:rPr>
        <w:footnoteReference w:id="33"/>
      </w:r>
      <w:r w:rsidR="00C834E6" w:rsidRPr="00A2358C">
        <w:rPr>
          <w:rFonts w:asciiTheme="majorHAnsi" w:hAnsiTheme="majorHAnsi" w:cstheme="majorHAnsi"/>
          <w:sz w:val="24"/>
          <w:szCs w:val="24"/>
        </w:rPr>
        <w:t xml:space="preserve"> Nonetheless they are a benefit to ratepayers</w:t>
      </w:r>
      <w:r w:rsidR="00D037B7" w:rsidRPr="00A2358C">
        <w:rPr>
          <w:rFonts w:asciiTheme="majorHAnsi" w:hAnsiTheme="majorHAnsi" w:cstheme="majorHAnsi"/>
          <w:sz w:val="24"/>
          <w:szCs w:val="24"/>
        </w:rPr>
        <w:t xml:space="preserve"> resulting from investments in these resources</w:t>
      </w:r>
      <w:r w:rsidR="00D860DB" w:rsidRPr="00A2358C">
        <w:rPr>
          <w:rFonts w:asciiTheme="majorHAnsi" w:hAnsiTheme="majorHAnsi" w:cstheme="majorHAnsi"/>
          <w:sz w:val="24"/>
          <w:szCs w:val="24"/>
        </w:rPr>
        <w:t xml:space="preserve">, </w:t>
      </w:r>
      <w:r w:rsidR="00D037B7" w:rsidRPr="00A2358C">
        <w:rPr>
          <w:rFonts w:asciiTheme="majorHAnsi" w:hAnsiTheme="majorHAnsi" w:cstheme="majorHAnsi"/>
          <w:sz w:val="24"/>
          <w:szCs w:val="24"/>
        </w:rPr>
        <w:t xml:space="preserve">and they were made available for the purpose </w:t>
      </w:r>
      <w:r w:rsidR="00D860DB" w:rsidRPr="00A2358C">
        <w:rPr>
          <w:rFonts w:asciiTheme="majorHAnsi" w:hAnsiTheme="majorHAnsi" w:cstheme="majorHAnsi"/>
          <w:sz w:val="24"/>
          <w:szCs w:val="24"/>
        </w:rPr>
        <w:t xml:space="preserve">of </w:t>
      </w:r>
      <w:r w:rsidR="00D037B7" w:rsidRPr="00A2358C">
        <w:rPr>
          <w:rFonts w:asciiTheme="majorHAnsi" w:hAnsiTheme="majorHAnsi" w:cstheme="majorHAnsi"/>
          <w:sz w:val="24"/>
          <w:szCs w:val="24"/>
        </w:rPr>
        <w:t xml:space="preserve">encouraging </w:t>
      </w:r>
      <w:r w:rsidR="00E644E8" w:rsidRPr="00A2358C">
        <w:rPr>
          <w:rFonts w:asciiTheme="majorHAnsi" w:hAnsiTheme="majorHAnsi" w:cstheme="majorHAnsi"/>
          <w:sz w:val="24"/>
          <w:szCs w:val="24"/>
        </w:rPr>
        <w:t xml:space="preserve">the hydropower </w:t>
      </w:r>
      <w:r w:rsidR="00D037B7" w:rsidRPr="00A2358C">
        <w:rPr>
          <w:rFonts w:asciiTheme="majorHAnsi" w:hAnsiTheme="majorHAnsi" w:cstheme="majorHAnsi"/>
          <w:sz w:val="24"/>
          <w:szCs w:val="24"/>
        </w:rPr>
        <w:t>investment</w:t>
      </w:r>
      <w:r w:rsidR="00E644E8" w:rsidRPr="00A2358C">
        <w:rPr>
          <w:rFonts w:asciiTheme="majorHAnsi" w:hAnsiTheme="majorHAnsi" w:cstheme="majorHAnsi"/>
          <w:sz w:val="24"/>
          <w:szCs w:val="24"/>
        </w:rPr>
        <w:t>s</w:t>
      </w:r>
      <w:r w:rsidR="00D037B7" w:rsidRPr="00A2358C">
        <w:rPr>
          <w:rFonts w:asciiTheme="majorHAnsi" w:hAnsiTheme="majorHAnsi" w:cstheme="majorHAnsi"/>
          <w:sz w:val="24"/>
          <w:szCs w:val="24"/>
        </w:rPr>
        <w:t xml:space="preserve"> by </w:t>
      </w:r>
      <w:r w:rsidR="00D860DB" w:rsidRPr="00A2358C">
        <w:rPr>
          <w:rFonts w:asciiTheme="majorHAnsi" w:hAnsiTheme="majorHAnsi" w:cstheme="majorHAnsi"/>
          <w:sz w:val="24"/>
          <w:szCs w:val="24"/>
        </w:rPr>
        <w:t>offsetting</w:t>
      </w:r>
      <w:r w:rsidR="00C834E6" w:rsidRPr="00A2358C">
        <w:rPr>
          <w:rFonts w:asciiTheme="majorHAnsi" w:hAnsiTheme="majorHAnsi" w:cstheme="majorHAnsi"/>
          <w:sz w:val="24"/>
          <w:szCs w:val="24"/>
        </w:rPr>
        <w:t xml:space="preserve"> </w:t>
      </w:r>
      <w:r w:rsidR="00E644E8" w:rsidRPr="00A2358C">
        <w:rPr>
          <w:rFonts w:asciiTheme="majorHAnsi" w:hAnsiTheme="majorHAnsi" w:cstheme="majorHAnsi"/>
          <w:sz w:val="24"/>
          <w:szCs w:val="24"/>
        </w:rPr>
        <w:t xml:space="preserve">some of </w:t>
      </w:r>
      <w:r w:rsidR="00C834E6" w:rsidRPr="00A2358C">
        <w:rPr>
          <w:rFonts w:asciiTheme="majorHAnsi" w:hAnsiTheme="majorHAnsi" w:cstheme="majorHAnsi"/>
          <w:sz w:val="24"/>
          <w:szCs w:val="24"/>
        </w:rPr>
        <w:t>the cost of the projects.</w:t>
      </w:r>
    </w:p>
    <w:p w14:paraId="52B7A5EF" w14:textId="16F858D5" w:rsidR="00C3681F" w:rsidRPr="00A2358C" w:rsidRDefault="00C3681F" w:rsidP="001809FB">
      <w:pPr>
        <w:pStyle w:val="Q"/>
        <w:rPr>
          <w:rFonts w:asciiTheme="majorHAnsi" w:hAnsiTheme="majorHAnsi" w:cstheme="majorHAnsi"/>
          <w:sz w:val="24"/>
          <w:szCs w:val="24"/>
        </w:rPr>
      </w:pPr>
      <w:r w:rsidRPr="00A2358C">
        <w:rPr>
          <w:rFonts w:asciiTheme="majorHAnsi" w:hAnsiTheme="majorHAnsi" w:cstheme="majorHAnsi"/>
          <w:sz w:val="24"/>
          <w:szCs w:val="24"/>
        </w:rPr>
        <w:lastRenderedPageBreak/>
        <w:t>Q.</w:t>
      </w:r>
      <w:r w:rsidRPr="00A2358C">
        <w:rPr>
          <w:rFonts w:asciiTheme="majorHAnsi" w:hAnsiTheme="majorHAnsi" w:cstheme="majorHAnsi"/>
          <w:sz w:val="24"/>
          <w:szCs w:val="24"/>
        </w:rPr>
        <w:tab/>
      </w:r>
      <w:r w:rsidR="00FD7065">
        <w:rPr>
          <w:rFonts w:asciiTheme="majorHAnsi" w:hAnsiTheme="majorHAnsi" w:cstheme="majorHAnsi"/>
          <w:caps w:val="0"/>
          <w:sz w:val="24"/>
          <w:szCs w:val="24"/>
        </w:rPr>
        <w:t>Is it reasonable for PSE</w:t>
      </w:r>
      <w:r w:rsidR="00FD7065" w:rsidRPr="00A2358C">
        <w:rPr>
          <w:rFonts w:asciiTheme="majorHAnsi" w:hAnsiTheme="majorHAnsi" w:cstheme="majorHAnsi"/>
          <w:caps w:val="0"/>
          <w:sz w:val="24"/>
          <w:szCs w:val="24"/>
        </w:rPr>
        <w:t xml:space="preserve"> to net the funds associated with the treasury grants and production tax credits against the cost of deco</w:t>
      </w:r>
      <w:r w:rsidR="00FD7065">
        <w:rPr>
          <w:rFonts w:asciiTheme="majorHAnsi" w:hAnsiTheme="majorHAnsi" w:cstheme="majorHAnsi"/>
          <w:caps w:val="0"/>
          <w:sz w:val="24"/>
          <w:szCs w:val="24"/>
        </w:rPr>
        <w:t>mmissioning and remediation of C</w:t>
      </w:r>
      <w:r w:rsidR="00FD7B0F">
        <w:rPr>
          <w:rFonts w:asciiTheme="majorHAnsi" w:hAnsiTheme="majorHAnsi" w:cstheme="majorHAnsi"/>
          <w:caps w:val="0"/>
          <w:sz w:val="24"/>
          <w:szCs w:val="24"/>
        </w:rPr>
        <w:t>olstrip U</w:t>
      </w:r>
      <w:r w:rsidR="00FD7065" w:rsidRPr="00A2358C">
        <w:rPr>
          <w:rFonts w:asciiTheme="majorHAnsi" w:hAnsiTheme="majorHAnsi" w:cstheme="majorHAnsi"/>
          <w:caps w:val="0"/>
          <w:sz w:val="24"/>
          <w:szCs w:val="24"/>
        </w:rPr>
        <w:t>nits 1 and 2 for accounting purposes? Why or why not?</w:t>
      </w:r>
    </w:p>
    <w:p w14:paraId="2807D59A" w14:textId="6E342EC3" w:rsidR="00E06B4E" w:rsidRPr="00A2358C" w:rsidRDefault="000E0987"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F50F59" w:rsidRPr="00A2358C">
        <w:rPr>
          <w:rFonts w:asciiTheme="majorHAnsi" w:hAnsiTheme="majorHAnsi" w:cstheme="majorHAnsi"/>
          <w:sz w:val="24"/>
          <w:szCs w:val="24"/>
        </w:rPr>
        <w:t>It is a reasonable approach under the circumstances as a path forward out of a bad situation</w:t>
      </w:r>
      <w:r w:rsidR="00E06B4E" w:rsidRPr="00A2358C">
        <w:rPr>
          <w:rFonts w:asciiTheme="majorHAnsi" w:hAnsiTheme="majorHAnsi" w:cstheme="majorHAnsi"/>
          <w:sz w:val="24"/>
          <w:szCs w:val="24"/>
        </w:rPr>
        <w:t xml:space="preserve">. </w:t>
      </w:r>
      <w:r w:rsidR="00F50F59" w:rsidRPr="00A2358C">
        <w:rPr>
          <w:rFonts w:asciiTheme="majorHAnsi" w:hAnsiTheme="majorHAnsi" w:cstheme="majorHAnsi"/>
          <w:sz w:val="24"/>
          <w:szCs w:val="24"/>
        </w:rPr>
        <w:t>However</w:t>
      </w:r>
      <w:r w:rsidR="00E06B4E" w:rsidRPr="00A2358C">
        <w:rPr>
          <w:rFonts w:asciiTheme="majorHAnsi" w:hAnsiTheme="majorHAnsi" w:cstheme="majorHAnsi"/>
          <w:sz w:val="24"/>
          <w:szCs w:val="24"/>
        </w:rPr>
        <w:t>, with regard to the PTCs, there remains significant u</w:t>
      </w:r>
      <w:r w:rsidR="003B5F90" w:rsidRPr="00A2358C">
        <w:rPr>
          <w:rFonts w:asciiTheme="majorHAnsi" w:hAnsiTheme="majorHAnsi" w:cstheme="majorHAnsi"/>
          <w:sz w:val="24"/>
          <w:szCs w:val="24"/>
        </w:rPr>
        <w:t xml:space="preserve">ncertainty regarding if and when </w:t>
      </w:r>
      <w:r w:rsidR="00E06B4E" w:rsidRPr="00A2358C">
        <w:rPr>
          <w:rFonts w:asciiTheme="majorHAnsi" w:hAnsiTheme="majorHAnsi" w:cstheme="majorHAnsi"/>
          <w:sz w:val="24"/>
          <w:szCs w:val="24"/>
        </w:rPr>
        <w:t>PSE will be able to monetize these instruments. PSE expects to begin utilizing them in 2019, and, under current law, the Company believes it will be able to fully utilize them by 2020.</w:t>
      </w:r>
      <w:r w:rsidR="007068A8" w:rsidRPr="00A2358C">
        <w:rPr>
          <w:rFonts w:asciiTheme="majorHAnsi" w:hAnsiTheme="majorHAnsi" w:cstheme="majorHAnsi"/>
          <w:sz w:val="24"/>
          <w:szCs w:val="24"/>
        </w:rPr>
        <w:t xml:space="preserve"> </w:t>
      </w:r>
      <w:r w:rsidR="00B013A3" w:rsidRPr="00A2358C">
        <w:rPr>
          <w:rFonts w:asciiTheme="majorHAnsi" w:hAnsiTheme="majorHAnsi" w:cstheme="majorHAnsi"/>
          <w:sz w:val="24"/>
          <w:szCs w:val="24"/>
        </w:rPr>
        <w:t>O</w:t>
      </w:r>
      <w:r w:rsidR="00E06B4E" w:rsidRPr="00A2358C">
        <w:rPr>
          <w:rFonts w:asciiTheme="majorHAnsi" w:hAnsiTheme="majorHAnsi" w:cstheme="majorHAnsi"/>
          <w:sz w:val="24"/>
          <w:szCs w:val="24"/>
        </w:rPr>
        <w:t>ngoing efforts at federal tax reform could alter this picture.</w:t>
      </w:r>
      <w:r w:rsidR="00E06B4E" w:rsidRPr="00A2358C">
        <w:rPr>
          <w:rStyle w:val="FootnoteReference"/>
          <w:rFonts w:asciiTheme="majorHAnsi" w:hAnsiTheme="majorHAnsi" w:cstheme="majorHAnsi"/>
          <w:sz w:val="24"/>
          <w:szCs w:val="24"/>
        </w:rPr>
        <w:footnoteReference w:id="34"/>
      </w:r>
    </w:p>
    <w:p w14:paraId="5C39F646" w14:textId="2BA4C083" w:rsidR="00B013A3" w:rsidRPr="00A2358C" w:rsidRDefault="00F50F59" w:rsidP="00FD7065">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In addition</w:t>
      </w:r>
      <w:r w:rsidR="0075597A" w:rsidRPr="00A2358C">
        <w:rPr>
          <w:rFonts w:asciiTheme="majorHAnsi" w:hAnsiTheme="majorHAnsi" w:cstheme="majorHAnsi"/>
          <w:sz w:val="24"/>
          <w:szCs w:val="24"/>
        </w:rPr>
        <w:t>, t</w:t>
      </w:r>
      <w:r w:rsidR="00553E24" w:rsidRPr="00A2358C">
        <w:rPr>
          <w:rFonts w:asciiTheme="majorHAnsi" w:hAnsiTheme="majorHAnsi" w:cstheme="majorHAnsi"/>
          <w:sz w:val="24"/>
          <w:szCs w:val="24"/>
        </w:rPr>
        <w:t xml:space="preserve">he proposed transfer masks the fact that these instruments – the treasury grants and the PTCs – were already used to </w:t>
      </w:r>
      <w:r w:rsidR="0075597A" w:rsidRPr="00A2358C">
        <w:rPr>
          <w:rFonts w:asciiTheme="majorHAnsi" w:hAnsiTheme="majorHAnsi" w:cstheme="majorHAnsi"/>
          <w:sz w:val="24"/>
          <w:szCs w:val="24"/>
        </w:rPr>
        <w:t>justify earlier generation investments, and their proceeds already belong to the ratepayers who funded those investments in the first place. To now use those same instruments to “offset” the cost of decommissioning and remediation for Colstrip Units 1 and 2</w:t>
      </w:r>
      <w:r w:rsidRPr="00A2358C">
        <w:rPr>
          <w:rFonts w:asciiTheme="majorHAnsi" w:hAnsiTheme="majorHAnsi" w:cstheme="majorHAnsi"/>
          <w:sz w:val="24"/>
          <w:szCs w:val="24"/>
        </w:rPr>
        <w:t xml:space="preserve"> deprives ratepayers of a benefit they had been promised related to the earlier investments.</w:t>
      </w:r>
      <w:r w:rsidR="0075597A" w:rsidRPr="00A2358C">
        <w:rPr>
          <w:rFonts w:asciiTheme="majorHAnsi" w:hAnsiTheme="majorHAnsi" w:cstheme="majorHAnsi"/>
          <w:sz w:val="24"/>
          <w:szCs w:val="24"/>
        </w:rPr>
        <w:t xml:space="preserve"> </w:t>
      </w:r>
    </w:p>
    <w:p w14:paraId="77939CF9" w14:textId="0DC3364C" w:rsidR="00B013A3" w:rsidRPr="00A2358C" w:rsidRDefault="00F50F59" w:rsidP="00FD7065">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In general,</w:t>
      </w:r>
      <w:r w:rsidR="008636BB" w:rsidRPr="00A2358C">
        <w:rPr>
          <w:rFonts w:asciiTheme="majorHAnsi" w:hAnsiTheme="majorHAnsi" w:cstheme="majorHAnsi"/>
          <w:sz w:val="24"/>
          <w:szCs w:val="24"/>
        </w:rPr>
        <w:t xml:space="preserve"> </w:t>
      </w:r>
      <w:r w:rsidRPr="00A2358C">
        <w:rPr>
          <w:rFonts w:asciiTheme="majorHAnsi" w:hAnsiTheme="majorHAnsi" w:cstheme="majorHAnsi"/>
          <w:sz w:val="24"/>
          <w:szCs w:val="24"/>
        </w:rPr>
        <w:t xml:space="preserve">unrelated </w:t>
      </w:r>
      <w:r w:rsidR="008636BB" w:rsidRPr="00A2358C">
        <w:rPr>
          <w:rFonts w:asciiTheme="majorHAnsi" w:hAnsiTheme="majorHAnsi" w:cstheme="majorHAnsi"/>
          <w:sz w:val="24"/>
          <w:szCs w:val="24"/>
        </w:rPr>
        <w:t xml:space="preserve">revenues and costs should be clearly separated into their appropriate accounts so they can be judged on their own merits. </w:t>
      </w:r>
      <w:r w:rsidR="0075597A" w:rsidRPr="00A2358C">
        <w:rPr>
          <w:rFonts w:asciiTheme="majorHAnsi" w:hAnsiTheme="majorHAnsi" w:cstheme="majorHAnsi"/>
          <w:sz w:val="24"/>
          <w:szCs w:val="24"/>
        </w:rPr>
        <w:t>Regulatory accounting is designed specifically for this purpose, and t</w:t>
      </w:r>
      <w:r w:rsidR="008636BB" w:rsidRPr="00A2358C">
        <w:rPr>
          <w:rFonts w:asciiTheme="majorHAnsi" w:hAnsiTheme="majorHAnsi" w:cstheme="majorHAnsi"/>
          <w:sz w:val="24"/>
          <w:szCs w:val="24"/>
        </w:rPr>
        <w:t xml:space="preserve">his is </w:t>
      </w:r>
      <w:r w:rsidR="0075597A" w:rsidRPr="00A2358C">
        <w:rPr>
          <w:rFonts w:asciiTheme="majorHAnsi" w:hAnsiTheme="majorHAnsi" w:cstheme="majorHAnsi"/>
          <w:sz w:val="24"/>
          <w:szCs w:val="24"/>
        </w:rPr>
        <w:t xml:space="preserve">almost a textbook example </w:t>
      </w:r>
      <w:r w:rsidR="008636BB" w:rsidRPr="00A2358C">
        <w:rPr>
          <w:rFonts w:asciiTheme="majorHAnsi" w:hAnsiTheme="majorHAnsi" w:cstheme="majorHAnsi"/>
          <w:sz w:val="24"/>
          <w:szCs w:val="24"/>
        </w:rPr>
        <w:t>of why</w:t>
      </w:r>
      <w:r w:rsidR="0075597A" w:rsidRPr="00A2358C">
        <w:rPr>
          <w:rFonts w:asciiTheme="majorHAnsi" w:hAnsiTheme="majorHAnsi" w:cstheme="majorHAnsi"/>
          <w:sz w:val="24"/>
          <w:szCs w:val="24"/>
        </w:rPr>
        <w:t xml:space="preserve">. </w:t>
      </w:r>
      <w:r w:rsidR="00B013A3" w:rsidRPr="00A2358C">
        <w:rPr>
          <w:rFonts w:asciiTheme="majorHAnsi" w:hAnsiTheme="majorHAnsi" w:cstheme="majorHAnsi"/>
          <w:sz w:val="24"/>
          <w:szCs w:val="24"/>
        </w:rPr>
        <w:t xml:space="preserve">Nevertheless, there is a benefit to this approach as a one-time solution to resolve a funding shortfall for the decommissioning and remediation of Colstrip. As noted above, past ratepayers should </w:t>
      </w:r>
      <w:r w:rsidR="00B013A3" w:rsidRPr="00A2358C">
        <w:rPr>
          <w:rFonts w:asciiTheme="majorHAnsi" w:hAnsiTheme="majorHAnsi" w:cstheme="majorHAnsi"/>
          <w:sz w:val="24"/>
          <w:szCs w:val="24"/>
        </w:rPr>
        <w:lastRenderedPageBreak/>
        <w:t xml:space="preserve">have been the ones to receive the benefits of the tax credits. Similarly, past ratepayers also should have been funding the decommissioning and remediation liabilities </w:t>
      </w:r>
      <w:r w:rsidR="00FD0AE2" w:rsidRPr="00A2358C">
        <w:rPr>
          <w:rFonts w:asciiTheme="majorHAnsi" w:hAnsiTheme="majorHAnsi" w:cstheme="majorHAnsi"/>
          <w:sz w:val="24"/>
          <w:szCs w:val="24"/>
        </w:rPr>
        <w:t>for</w:t>
      </w:r>
      <w:r w:rsidR="00B013A3" w:rsidRPr="00A2358C">
        <w:rPr>
          <w:rFonts w:asciiTheme="majorHAnsi" w:hAnsiTheme="majorHAnsi" w:cstheme="majorHAnsi"/>
          <w:sz w:val="24"/>
          <w:szCs w:val="24"/>
        </w:rPr>
        <w:t xml:space="preserve"> Colstrip. Matching those past accrued benefits with those past accrued liabilities roughly neutralize</w:t>
      </w:r>
      <w:r w:rsidR="008115B4" w:rsidRPr="00A2358C">
        <w:rPr>
          <w:rFonts w:asciiTheme="majorHAnsi" w:hAnsiTheme="majorHAnsi" w:cstheme="majorHAnsi"/>
          <w:sz w:val="24"/>
          <w:szCs w:val="24"/>
        </w:rPr>
        <w:t>s</w:t>
      </w:r>
      <w:r w:rsidR="00B013A3" w:rsidRPr="00A2358C">
        <w:rPr>
          <w:rFonts w:asciiTheme="majorHAnsi" w:hAnsiTheme="majorHAnsi" w:cstheme="majorHAnsi"/>
          <w:sz w:val="24"/>
          <w:szCs w:val="24"/>
        </w:rPr>
        <w:t xml:space="preserve"> the two problems of intergenerational </w:t>
      </w:r>
      <w:r w:rsidR="007068A8" w:rsidRPr="00A2358C">
        <w:rPr>
          <w:rFonts w:asciiTheme="majorHAnsi" w:hAnsiTheme="majorHAnsi" w:cstheme="majorHAnsi"/>
          <w:sz w:val="24"/>
          <w:szCs w:val="24"/>
        </w:rPr>
        <w:t>inequity</w:t>
      </w:r>
      <w:r w:rsidR="00B013A3" w:rsidRPr="00A2358C">
        <w:rPr>
          <w:rFonts w:asciiTheme="majorHAnsi" w:hAnsiTheme="majorHAnsi" w:cstheme="majorHAnsi"/>
          <w:sz w:val="24"/>
          <w:szCs w:val="24"/>
        </w:rPr>
        <w:t xml:space="preserve">. </w:t>
      </w:r>
    </w:p>
    <w:p w14:paraId="6B63C9A0" w14:textId="7F2AC5B6" w:rsidR="008636BB" w:rsidRPr="00A2358C" w:rsidRDefault="00C64E8B" w:rsidP="00FD7065">
      <w:pPr>
        <w:pStyle w:val="A2"/>
        <w:spacing w:before="240" w:after="240"/>
        <w:ind w:firstLine="0"/>
        <w:rPr>
          <w:rFonts w:asciiTheme="majorHAnsi" w:hAnsiTheme="majorHAnsi" w:cstheme="majorHAnsi"/>
          <w:b/>
          <w:sz w:val="24"/>
          <w:szCs w:val="24"/>
        </w:rPr>
      </w:pPr>
      <w:r w:rsidRPr="00A2358C">
        <w:rPr>
          <w:rFonts w:asciiTheme="majorHAnsi" w:hAnsiTheme="majorHAnsi" w:cstheme="majorHAnsi"/>
          <w:sz w:val="24"/>
          <w:szCs w:val="24"/>
        </w:rPr>
        <w:t xml:space="preserve">The Commission should clarify, however, that the tax credits </w:t>
      </w:r>
      <w:r w:rsidR="00C90F35" w:rsidRPr="00A2358C">
        <w:rPr>
          <w:rFonts w:asciiTheme="majorHAnsi" w:hAnsiTheme="majorHAnsi" w:cstheme="majorHAnsi"/>
          <w:sz w:val="24"/>
          <w:szCs w:val="24"/>
        </w:rPr>
        <w:t xml:space="preserve">and treasury grants </w:t>
      </w:r>
      <w:r w:rsidRPr="00A2358C">
        <w:rPr>
          <w:rFonts w:asciiTheme="majorHAnsi" w:hAnsiTheme="majorHAnsi" w:cstheme="majorHAnsi"/>
          <w:sz w:val="24"/>
          <w:szCs w:val="24"/>
        </w:rPr>
        <w:t xml:space="preserve">be applied only to decommissioning and remediation expense. </w:t>
      </w:r>
      <w:r w:rsidR="00C90F35" w:rsidRPr="00A2358C">
        <w:rPr>
          <w:rFonts w:asciiTheme="majorHAnsi" w:hAnsiTheme="majorHAnsi" w:cstheme="majorHAnsi"/>
          <w:sz w:val="24"/>
          <w:szCs w:val="24"/>
        </w:rPr>
        <w:t>They</w:t>
      </w:r>
      <w:r w:rsidRPr="00A2358C">
        <w:rPr>
          <w:rFonts w:asciiTheme="majorHAnsi" w:hAnsiTheme="majorHAnsi" w:cstheme="majorHAnsi"/>
          <w:sz w:val="24"/>
          <w:szCs w:val="24"/>
        </w:rPr>
        <w:t xml:space="preserve"> should not be used to pay-down the undepreciated capital balances at Colstrip. </w:t>
      </w:r>
      <w:r w:rsidR="008636BB" w:rsidRPr="00A2358C">
        <w:rPr>
          <w:rFonts w:asciiTheme="majorHAnsi" w:hAnsiTheme="majorHAnsi" w:cstheme="majorHAnsi"/>
          <w:sz w:val="24"/>
          <w:szCs w:val="24"/>
        </w:rPr>
        <w:t xml:space="preserve">PSE should be held accountable for </w:t>
      </w:r>
      <w:r w:rsidR="0088583F" w:rsidRPr="00A2358C">
        <w:rPr>
          <w:rFonts w:asciiTheme="majorHAnsi" w:hAnsiTheme="majorHAnsi" w:cstheme="majorHAnsi"/>
          <w:sz w:val="24"/>
          <w:szCs w:val="24"/>
        </w:rPr>
        <w:t>first agreeing to</w:t>
      </w:r>
      <w:r w:rsidR="00C45A59" w:rsidRPr="00A2358C">
        <w:rPr>
          <w:rFonts w:asciiTheme="majorHAnsi" w:hAnsiTheme="majorHAnsi" w:cstheme="majorHAnsi"/>
          <w:sz w:val="24"/>
          <w:szCs w:val="24"/>
        </w:rPr>
        <w:t>,</w:t>
      </w:r>
      <w:r w:rsidR="0088583F" w:rsidRPr="00A2358C">
        <w:rPr>
          <w:rFonts w:asciiTheme="majorHAnsi" w:hAnsiTheme="majorHAnsi" w:cstheme="majorHAnsi"/>
          <w:sz w:val="24"/>
          <w:szCs w:val="24"/>
        </w:rPr>
        <w:t xml:space="preserve"> and later failing to correct</w:t>
      </w:r>
      <w:r w:rsidR="00C45A59" w:rsidRPr="00A2358C">
        <w:rPr>
          <w:rFonts w:asciiTheme="majorHAnsi" w:hAnsiTheme="majorHAnsi" w:cstheme="majorHAnsi"/>
          <w:sz w:val="24"/>
          <w:szCs w:val="24"/>
        </w:rPr>
        <w:t>,</w:t>
      </w:r>
      <w:r w:rsidR="0088583F" w:rsidRPr="00A2358C">
        <w:rPr>
          <w:rFonts w:asciiTheme="majorHAnsi" w:hAnsiTheme="majorHAnsi" w:cstheme="majorHAnsi"/>
          <w:sz w:val="24"/>
          <w:szCs w:val="24"/>
        </w:rPr>
        <w:t xml:space="preserve"> </w:t>
      </w:r>
      <w:r w:rsidR="008636BB" w:rsidRPr="00A2358C">
        <w:rPr>
          <w:rFonts w:asciiTheme="majorHAnsi" w:hAnsiTheme="majorHAnsi" w:cstheme="majorHAnsi"/>
          <w:sz w:val="24"/>
          <w:szCs w:val="24"/>
        </w:rPr>
        <w:t>an unrealistic depreciation schedule for its assets</w:t>
      </w:r>
      <w:r w:rsidR="0088583F" w:rsidRPr="00A2358C">
        <w:rPr>
          <w:rFonts w:asciiTheme="majorHAnsi" w:hAnsiTheme="majorHAnsi" w:cstheme="majorHAnsi"/>
          <w:sz w:val="24"/>
          <w:szCs w:val="24"/>
        </w:rPr>
        <w:t xml:space="preserve">. </w:t>
      </w:r>
      <w:r w:rsidR="007068A8" w:rsidRPr="00A2358C">
        <w:rPr>
          <w:rFonts w:asciiTheme="majorHAnsi" w:hAnsiTheme="majorHAnsi" w:cstheme="majorHAnsi"/>
          <w:sz w:val="24"/>
          <w:szCs w:val="24"/>
        </w:rPr>
        <w:t xml:space="preserve">Finally, the </w:t>
      </w:r>
      <w:r w:rsidR="00F50F59" w:rsidRPr="00A2358C">
        <w:rPr>
          <w:rFonts w:asciiTheme="majorHAnsi" w:hAnsiTheme="majorHAnsi" w:cstheme="majorHAnsi"/>
          <w:sz w:val="24"/>
          <w:szCs w:val="24"/>
        </w:rPr>
        <w:t xml:space="preserve">proposed treatment is an acceptable </w:t>
      </w:r>
      <w:r w:rsidR="00B013A3" w:rsidRPr="00A2358C">
        <w:rPr>
          <w:rFonts w:asciiTheme="majorHAnsi" w:hAnsiTheme="majorHAnsi" w:cstheme="majorHAnsi"/>
          <w:sz w:val="24"/>
          <w:szCs w:val="24"/>
        </w:rPr>
        <w:t>solution</w:t>
      </w:r>
      <w:r w:rsidR="00F50F59" w:rsidRPr="00A2358C">
        <w:rPr>
          <w:rFonts w:asciiTheme="majorHAnsi" w:hAnsiTheme="majorHAnsi" w:cstheme="majorHAnsi"/>
          <w:sz w:val="24"/>
          <w:szCs w:val="24"/>
        </w:rPr>
        <w:t xml:space="preserve"> to the current funding shortfall</w:t>
      </w:r>
      <w:r w:rsidRPr="00A2358C">
        <w:rPr>
          <w:rFonts w:asciiTheme="majorHAnsi" w:hAnsiTheme="majorHAnsi" w:cstheme="majorHAnsi"/>
          <w:sz w:val="24"/>
          <w:szCs w:val="24"/>
        </w:rPr>
        <w:t xml:space="preserve"> for depreciation and remediation expense</w:t>
      </w:r>
      <w:r w:rsidR="00F50F59" w:rsidRPr="00A2358C">
        <w:rPr>
          <w:rFonts w:asciiTheme="majorHAnsi" w:hAnsiTheme="majorHAnsi" w:cstheme="majorHAnsi"/>
          <w:sz w:val="24"/>
          <w:szCs w:val="24"/>
        </w:rPr>
        <w:t xml:space="preserve">, but it should not be seen as permission for </w:t>
      </w:r>
      <w:r w:rsidR="0088583F" w:rsidRPr="00A2358C">
        <w:rPr>
          <w:rFonts w:asciiTheme="majorHAnsi" w:hAnsiTheme="majorHAnsi" w:cstheme="majorHAnsi"/>
          <w:sz w:val="24"/>
          <w:szCs w:val="24"/>
        </w:rPr>
        <w:t xml:space="preserve">PSE </w:t>
      </w:r>
      <w:r w:rsidR="0075597A" w:rsidRPr="00A2358C">
        <w:rPr>
          <w:rFonts w:asciiTheme="majorHAnsi" w:hAnsiTheme="majorHAnsi" w:cstheme="majorHAnsi"/>
          <w:sz w:val="24"/>
          <w:szCs w:val="24"/>
        </w:rPr>
        <w:t xml:space="preserve">to </w:t>
      </w:r>
      <w:r w:rsidR="00F50F59" w:rsidRPr="00A2358C">
        <w:rPr>
          <w:rFonts w:asciiTheme="majorHAnsi" w:hAnsiTheme="majorHAnsi" w:cstheme="majorHAnsi"/>
          <w:sz w:val="24"/>
          <w:szCs w:val="24"/>
        </w:rPr>
        <w:t xml:space="preserve">make </w:t>
      </w:r>
      <w:r w:rsidR="0075597A" w:rsidRPr="00A2358C">
        <w:rPr>
          <w:rFonts w:asciiTheme="majorHAnsi" w:hAnsiTheme="majorHAnsi" w:cstheme="majorHAnsi"/>
          <w:sz w:val="24"/>
          <w:szCs w:val="24"/>
        </w:rPr>
        <w:t>such errors in the future.</w:t>
      </w:r>
      <w:r w:rsidR="008636BB" w:rsidRPr="00A2358C">
        <w:rPr>
          <w:rFonts w:asciiTheme="majorHAnsi" w:hAnsiTheme="majorHAnsi" w:cstheme="majorHAnsi"/>
          <w:sz w:val="24"/>
          <w:szCs w:val="24"/>
        </w:rPr>
        <w:t xml:space="preserve"> </w:t>
      </w:r>
    </w:p>
    <w:p w14:paraId="0203C652" w14:textId="0C0E4C71" w:rsidR="00E64A9C" w:rsidRPr="00A2358C" w:rsidRDefault="001D70F2"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FD7065" w:rsidRPr="00A2358C">
        <w:rPr>
          <w:rFonts w:asciiTheme="majorHAnsi" w:hAnsiTheme="majorHAnsi" w:cstheme="majorHAnsi"/>
          <w:caps w:val="0"/>
          <w:sz w:val="24"/>
          <w:szCs w:val="24"/>
        </w:rPr>
        <w:t>What treatment do you propose for</w:t>
      </w:r>
      <w:r w:rsidR="00FD7065">
        <w:rPr>
          <w:rFonts w:asciiTheme="majorHAnsi" w:hAnsiTheme="majorHAnsi" w:cstheme="majorHAnsi"/>
          <w:caps w:val="0"/>
          <w:sz w:val="24"/>
          <w:szCs w:val="24"/>
        </w:rPr>
        <w:t xml:space="preserve"> the undepreciated balance for C</w:t>
      </w:r>
      <w:r w:rsidR="00FD7065" w:rsidRPr="00A2358C">
        <w:rPr>
          <w:rFonts w:asciiTheme="majorHAnsi" w:hAnsiTheme="majorHAnsi" w:cstheme="majorHAnsi"/>
          <w:caps w:val="0"/>
          <w:sz w:val="24"/>
          <w:szCs w:val="24"/>
        </w:rPr>
        <w:t>o</w:t>
      </w:r>
      <w:r w:rsidR="00FD7B0F">
        <w:rPr>
          <w:rFonts w:asciiTheme="majorHAnsi" w:hAnsiTheme="majorHAnsi" w:cstheme="majorHAnsi"/>
          <w:caps w:val="0"/>
          <w:sz w:val="24"/>
          <w:szCs w:val="24"/>
        </w:rPr>
        <w:t>lstrip U</w:t>
      </w:r>
      <w:r w:rsidR="00FD7065" w:rsidRPr="00A2358C">
        <w:rPr>
          <w:rFonts w:asciiTheme="majorHAnsi" w:hAnsiTheme="majorHAnsi" w:cstheme="majorHAnsi"/>
          <w:caps w:val="0"/>
          <w:sz w:val="24"/>
          <w:szCs w:val="24"/>
        </w:rPr>
        <w:t>nits 1 and 2 upon their retirement?</w:t>
      </w:r>
    </w:p>
    <w:p w14:paraId="2732C775" w14:textId="40C0E2ED" w:rsidR="002716F5" w:rsidRPr="00A2358C" w:rsidRDefault="001D70F2" w:rsidP="00FD7065">
      <w:pPr>
        <w:pStyle w:val="A2"/>
        <w:ind w:hanging="72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As noted above, PSE is </w:t>
      </w:r>
      <w:r w:rsidR="00D7511E" w:rsidRPr="00A2358C">
        <w:rPr>
          <w:rFonts w:asciiTheme="majorHAnsi" w:hAnsiTheme="majorHAnsi" w:cstheme="majorHAnsi"/>
          <w:sz w:val="24"/>
          <w:szCs w:val="24"/>
        </w:rPr>
        <w:t>facing an</w:t>
      </w:r>
      <w:r w:rsidRPr="00A2358C">
        <w:rPr>
          <w:rFonts w:asciiTheme="majorHAnsi" w:hAnsiTheme="majorHAnsi" w:cstheme="majorHAnsi"/>
          <w:sz w:val="24"/>
          <w:szCs w:val="24"/>
        </w:rPr>
        <w:t xml:space="preserve"> approximately $176.8 million undepreciated balance at Colstrip Units 1 and 2 based on a 2022 retirement date. </w:t>
      </w:r>
      <w:r w:rsidR="000D6B19" w:rsidRPr="00A2358C">
        <w:rPr>
          <w:rFonts w:asciiTheme="majorHAnsi" w:hAnsiTheme="majorHAnsi" w:cstheme="majorHAnsi"/>
          <w:sz w:val="24"/>
          <w:szCs w:val="24"/>
        </w:rPr>
        <w:t xml:space="preserve">This undepreciated balance raises the same intergenerational equity concerns as the underfunded liabilities for decommissioning and remediation </w:t>
      </w:r>
      <w:r w:rsidR="00513130" w:rsidRPr="00A2358C">
        <w:rPr>
          <w:rFonts w:asciiTheme="majorHAnsi" w:hAnsiTheme="majorHAnsi" w:cstheme="majorHAnsi"/>
          <w:sz w:val="24"/>
          <w:szCs w:val="24"/>
        </w:rPr>
        <w:t xml:space="preserve">that </w:t>
      </w:r>
      <w:r w:rsidR="000D6B19" w:rsidRPr="00A2358C">
        <w:rPr>
          <w:rFonts w:asciiTheme="majorHAnsi" w:hAnsiTheme="majorHAnsi" w:cstheme="majorHAnsi"/>
          <w:sz w:val="24"/>
          <w:szCs w:val="24"/>
        </w:rPr>
        <w:t>the Company seeks to address through the repurposing of treasury grants and PTCs. PSE should be held accountable for mitigating the rate impact on future customers from having to fund both retired units and replacement power at the same time.</w:t>
      </w:r>
      <w:r w:rsidR="00513130" w:rsidRPr="00A2358C">
        <w:rPr>
          <w:rFonts w:asciiTheme="majorHAnsi" w:hAnsiTheme="majorHAnsi" w:cstheme="majorHAnsi"/>
          <w:sz w:val="24"/>
          <w:szCs w:val="24"/>
        </w:rPr>
        <w:t xml:space="preserve"> </w:t>
      </w:r>
      <w:r w:rsidR="000D6B19" w:rsidRPr="00A2358C">
        <w:rPr>
          <w:rFonts w:asciiTheme="majorHAnsi" w:hAnsiTheme="majorHAnsi" w:cstheme="majorHAnsi"/>
          <w:sz w:val="24"/>
          <w:szCs w:val="24"/>
        </w:rPr>
        <w:t xml:space="preserve">The </w:t>
      </w:r>
      <w:r w:rsidR="00E40E03" w:rsidRPr="00A2358C">
        <w:rPr>
          <w:rFonts w:asciiTheme="majorHAnsi" w:hAnsiTheme="majorHAnsi" w:cstheme="majorHAnsi"/>
          <w:sz w:val="24"/>
          <w:szCs w:val="24"/>
        </w:rPr>
        <w:t xml:space="preserve">Commission should require that when Colstrip Units 1 and 2 stop providing service to PSE customers, whether that occurs in 2022 or </w:t>
      </w:r>
      <w:r w:rsidR="00E40E03" w:rsidRPr="00A2358C">
        <w:rPr>
          <w:rFonts w:asciiTheme="majorHAnsi" w:hAnsiTheme="majorHAnsi" w:cstheme="majorHAnsi"/>
          <w:sz w:val="24"/>
          <w:szCs w:val="24"/>
        </w:rPr>
        <w:lastRenderedPageBreak/>
        <w:t xml:space="preserve">sooner, PSE </w:t>
      </w:r>
      <w:r w:rsidR="002716F5" w:rsidRPr="00A2358C">
        <w:rPr>
          <w:rFonts w:asciiTheme="majorHAnsi" w:hAnsiTheme="majorHAnsi" w:cstheme="majorHAnsi"/>
          <w:sz w:val="24"/>
          <w:szCs w:val="24"/>
        </w:rPr>
        <w:t>should be allowed to recover</w:t>
      </w:r>
      <w:r w:rsidR="00E40E03" w:rsidRPr="00A2358C">
        <w:rPr>
          <w:rFonts w:asciiTheme="majorHAnsi" w:hAnsiTheme="majorHAnsi" w:cstheme="majorHAnsi"/>
          <w:sz w:val="24"/>
          <w:szCs w:val="24"/>
        </w:rPr>
        <w:t xml:space="preserve"> the undepreciated plant balances, but at a rate </w:t>
      </w:r>
      <w:r w:rsidR="00876C38" w:rsidRPr="00A2358C">
        <w:rPr>
          <w:rFonts w:asciiTheme="majorHAnsi" w:hAnsiTheme="majorHAnsi" w:cstheme="majorHAnsi"/>
          <w:sz w:val="24"/>
          <w:szCs w:val="24"/>
        </w:rPr>
        <w:t>less than the Company’s full authorized rate of return</w:t>
      </w:r>
      <w:r w:rsidR="00E40E03" w:rsidRPr="00A2358C">
        <w:rPr>
          <w:rFonts w:asciiTheme="majorHAnsi" w:hAnsiTheme="majorHAnsi" w:cstheme="majorHAnsi"/>
          <w:sz w:val="24"/>
          <w:szCs w:val="24"/>
        </w:rPr>
        <w:t>.</w:t>
      </w:r>
      <w:r w:rsidR="00876C38" w:rsidRPr="00A2358C">
        <w:rPr>
          <w:rFonts w:asciiTheme="majorHAnsi" w:hAnsiTheme="majorHAnsi" w:cstheme="majorHAnsi"/>
          <w:sz w:val="24"/>
          <w:szCs w:val="24"/>
        </w:rPr>
        <w:t xml:space="preserve"> </w:t>
      </w:r>
      <w:r w:rsidR="008B3568" w:rsidRPr="00A2358C">
        <w:rPr>
          <w:rFonts w:asciiTheme="majorHAnsi" w:hAnsiTheme="majorHAnsi" w:cstheme="majorHAnsi"/>
          <w:sz w:val="24"/>
          <w:szCs w:val="24"/>
        </w:rPr>
        <w:t>I recommend that</w:t>
      </w:r>
      <w:r w:rsidR="00876C38" w:rsidRPr="00A2358C">
        <w:rPr>
          <w:rFonts w:asciiTheme="majorHAnsi" w:hAnsiTheme="majorHAnsi" w:cstheme="majorHAnsi"/>
          <w:sz w:val="24"/>
          <w:szCs w:val="24"/>
        </w:rPr>
        <w:t xml:space="preserve"> the Commission authorize recovery of the </w:t>
      </w:r>
      <w:r w:rsidR="00DE7A7F" w:rsidRPr="00A2358C">
        <w:rPr>
          <w:rFonts w:asciiTheme="majorHAnsi" w:hAnsiTheme="majorHAnsi" w:cstheme="majorHAnsi"/>
          <w:sz w:val="24"/>
          <w:szCs w:val="24"/>
        </w:rPr>
        <w:t xml:space="preserve">amortization of this </w:t>
      </w:r>
      <w:r w:rsidR="00876C38" w:rsidRPr="00A2358C">
        <w:rPr>
          <w:rFonts w:asciiTheme="majorHAnsi" w:hAnsiTheme="majorHAnsi" w:cstheme="majorHAnsi"/>
          <w:sz w:val="24"/>
          <w:szCs w:val="24"/>
        </w:rPr>
        <w:t>remaining plant balance</w:t>
      </w:r>
      <w:r w:rsidR="008B3568" w:rsidRPr="00A2358C">
        <w:rPr>
          <w:rFonts w:asciiTheme="majorHAnsi" w:hAnsiTheme="majorHAnsi" w:cstheme="majorHAnsi"/>
          <w:sz w:val="24"/>
          <w:szCs w:val="24"/>
        </w:rPr>
        <w:t xml:space="preserve"> only,</w:t>
      </w:r>
      <w:r w:rsidR="00876C38" w:rsidRPr="00A2358C">
        <w:rPr>
          <w:rFonts w:asciiTheme="majorHAnsi" w:hAnsiTheme="majorHAnsi" w:cstheme="majorHAnsi"/>
          <w:sz w:val="24"/>
          <w:szCs w:val="24"/>
        </w:rPr>
        <w:t xml:space="preserve"> </w:t>
      </w:r>
      <w:r w:rsidR="008B3568" w:rsidRPr="00A2358C">
        <w:rPr>
          <w:rFonts w:asciiTheme="majorHAnsi" w:hAnsiTheme="majorHAnsi" w:cstheme="majorHAnsi"/>
          <w:sz w:val="24"/>
          <w:szCs w:val="24"/>
        </w:rPr>
        <w:t xml:space="preserve">but without allowing </w:t>
      </w:r>
      <w:r w:rsidR="00DE7A7F" w:rsidRPr="00A2358C">
        <w:rPr>
          <w:rFonts w:asciiTheme="majorHAnsi" w:hAnsiTheme="majorHAnsi" w:cstheme="majorHAnsi"/>
          <w:sz w:val="24"/>
          <w:szCs w:val="24"/>
        </w:rPr>
        <w:t>carrying costs</w:t>
      </w:r>
      <w:r w:rsidR="00876C38" w:rsidRPr="00A2358C">
        <w:rPr>
          <w:rFonts w:asciiTheme="majorHAnsi" w:hAnsiTheme="majorHAnsi" w:cstheme="majorHAnsi"/>
          <w:sz w:val="24"/>
          <w:szCs w:val="24"/>
        </w:rPr>
        <w:t xml:space="preserve"> </w:t>
      </w:r>
      <w:r w:rsidR="008B3568" w:rsidRPr="00A2358C">
        <w:rPr>
          <w:rFonts w:asciiTheme="majorHAnsi" w:hAnsiTheme="majorHAnsi" w:cstheme="majorHAnsi"/>
          <w:sz w:val="24"/>
          <w:szCs w:val="24"/>
        </w:rPr>
        <w:t xml:space="preserve">on </w:t>
      </w:r>
      <w:r w:rsidR="001519D7" w:rsidRPr="00A2358C">
        <w:rPr>
          <w:rFonts w:asciiTheme="majorHAnsi" w:hAnsiTheme="majorHAnsi" w:cstheme="majorHAnsi"/>
          <w:sz w:val="24"/>
          <w:szCs w:val="24"/>
        </w:rPr>
        <w:t>that balance.</w:t>
      </w:r>
    </w:p>
    <w:p w14:paraId="15C56162" w14:textId="2031BF5D" w:rsidR="005E1569" w:rsidRPr="00A2358C" w:rsidRDefault="00E40E03" w:rsidP="00FD7065">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 xml:space="preserve">Other jurisdictions have adopted similar treatment for assets that are retired before </w:t>
      </w:r>
      <w:r w:rsidR="002716F5" w:rsidRPr="00A2358C">
        <w:rPr>
          <w:rFonts w:asciiTheme="majorHAnsi" w:hAnsiTheme="majorHAnsi" w:cstheme="majorHAnsi"/>
          <w:sz w:val="24"/>
          <w:szCs w:val="24"/>
        </w:rPr>
        <w:t xml:space="preserve">the end of </w:t>
      </w:r>
      <w:r w:rsidRPr="00A2358C">
        <w:rPr>
          <w:rFonts w:asciiTheme="majorHAnsi" w:hAnsiTheme="majorHAnsi" w:cstheme="majorHAnsi"/>
          <w:sz w:val="24"/>
          <w:szCs w:val="24"/>
        </w:rPr>
        <w:t>their expected depreciable lives.</w:t>
      </w:r>
      <w:r w:rsidR="005E1569" w:rsidRPr="00A2358C">
        <w:rPr>
          <w:rFonts w:asciiTheme="majorHAnsi" w:hAnsiTheme="majorHAnsi" w:cstheme="majorHAnsi"/>
          <w:sz w:val="24"/>
          <w:szCs w:val="24"/>
        </w:rPr>
        <w:t xml:space="preserve"> The California Public Utilities Commission directly addressed the issue of a retirement before the expected depreciation level of a plant</w:t>
      </w:r>
      <w:r w:rsidR="00513130" w:rsidRPr="00A2358C">
        <w:rPr>
          <w:rFonts w:asciiTheme="majorHAnsi" w:hAnsiTheme="majorHAnsi" w:cstheme="majorHAnsi"/>
          <w:sz w:val="24"/>
          <w:szCs w:val="24"/>
        </w:rPr>
        <w:t xml:space="preserve"> in its decision on the early retirement of Humboldt Bay</w:t>
      </w:r>
      <w:r w:rsidR="005E1569" w:rsidRPr="00A2358C">
        <w:rPr>
          <w:rFonts w:asciiTheme="majorHAnsi" w:hAnsiTheme="majorHAnsi" w:cstheme="majorHAnsi"/>
          <w:sz w:val="24"/>
          <w:szCs w:val="24"/>
        </w:rPr>
        <w:t>:</w:t>
      </w:r>
    </w:p>
    <w:p w14:paraId="2A9BDB69" w14:textId="2F477624" w:rsidR="00706785" w:rsidRPr="00A2358C" w:rsidRDefault="005E1569" w:rsidP="001809FB">
      <w:pPr>
        <w:spacing w:after="240" w:line="480" w:lineRule="auto"/>
        <w:ind w:left="1440" w:right="720" w:firstLine="0"/>
        <w:rPr>
          <w:rFonts w:asciiTheme="majorHAnsi" w:hAnsiTheme="majorHAnsi" w:cstheme="majorHAnsi"/>
          <w:color w:val="212121"/>
          <w:sz w:val="24"/>
          <w:szCs w:val="24"/>
          <w:shd w:val="clear" w:color="auto" w:fill="FFFFFF"/>
          <w:lang w:eastAsia="en-US"/>
        </w:rPr>
      </w:pPr>
      <w:r w:rsidRPr="00A2358C">
        <w:rPr>
          <w:rFonts w:asciiTheme="majorHAnsi" w:eastAsia="Times New Roman" w:hAnsiTheme="majorHAnsi" w:cstheme="majorHAnsi"/>
          <w:color w:val="212121"/>
          <w:sz w:val="24"/>
          <w:szCs w:val="24"/>
          <w:shd w:val="clear" w:color="auto" w:fill="FFFFFF"/>
          <w:lang w:eastAsia="en-US"/>
        </w:rPr>
        <w:t xml:space="preserve">We agree with staff that </w:t>
      </w:r>
      <w:r w:rsidR="00C64E8B" w:rsidRPr="00A2358C">
        <w:rPr>
          <w:rFonts w:asciiTheme="majorHAnsi" w:eastAsia="Times New Roman" w:hAnsiTheme="majorHAnsi" w:cstheme="majorHAnsi"/>
          <w:color w:val="212121"/>
          <w:sz w:val="24"/>
          <w:szCs w:val="24"/>
          <w:shd w:val="clear" w:color="auto" w:fill="FFFFFF"/>
          <w:lang w:eastAsia="en-US"/>
        </w:rPr>
        <w:t xml:space="preserve">[Humboldt Bay] </w:t>
      </w:r>
      <w:r w:rsidRPr="00A2358C">
        <w:rPr>
          <w:rFonts w:asciiTheme="majorHAnsi" w:eastAsia="Times New Roman" w:hAnsiTheme="majorHAnsi" w:cstheme="majorHAnsi"/>
          <w:color w:val="212121"/>
          <w:sz w:val="24"/>
          <w:szCs w:val="24"/>
          <w:shd w:val="clear" w:color="auto" w:fill="FFFFFF"/>
          <w:lang w:eastAsia="en-US"/>
        </w:rPr>
        <w:t xml:space="preserve">Unit 3 is no longer “used and useful” and should be excluded from rate base. While Unit 3 did operate for 13 years, it will never operate again and can no longer be considered “useful” utility plant. Unit 3 was entered into rate base under the assumption that it would serve customers for 30 years. Shareholders were entitled to a return and ratepayers were liable for the full ownership cost as long as Unit 3 operated as expected. Once the plant was closed in 1976, Unit 3 no longer qualified for inclusion in rate base and was eventually and properly removed from rate base in 1979. We will not deviate from the Commission's well-established principle that only “used and useful” utility plant shall be concluded </w:t>
      </w:r>
      <w:r w:rsidR="00F166CA" w:rsidRPr="00A2358C">
        <w:rPr>
          <w:rFonts w:asciiTheme="majorHAnsi" w:eastAsia="Times New Roman" w:hAnsiTheme="majorHAnsi" w:cstheme="majorHAnsi"/>
          <w:color w:val="212121"/>
          <w:sz w:val="24"/>
          <w:szCs w:val="24"/>
          <w:shd w:val="clear" w:color="auto" w:fill="FFFFFF"/>
          <w:lang w:eastAsia="en-US"/>
        </w:rPr>
        <w:t xml:space="preserve">[sic] </w:t>
      </w:r>
      <w:r w:rsidRPr="00A2358C">
        <w:rPr>
          <w:rFonts w:asciiTheme="majorHAnsi" w:eastAsia="Times New Roman" w:hAnsiTheme="majorHAnsi" w:cstheme="majorHAnsi"/>
          <w:color w:val="212121"/>
          <w:sz w:val="24"/>
          <w:szCs w:val="24"/>
          <w:shd w:val="clear" w:color="auto" w:fill="FFFFFF"/>
          <w:lang w:eastAsia="en-US"/>
        </w:rPr>
        <w:t>in rate base.</w:t>
      </w:r>
      <w:r w:rsidR="00E40E03" w:rsidRPr="00A2358C">
        <w:rPr>
          <w:rStyle w:val="FootnoteReference"/>
          <w:rFonts w:asciiTheme="majorHAnsi" w:hAnsiTheme="majorHAnsi" w:cstheme="majorHAnsi"/>
          <w:sz w:val="24"/>
          <w:szCs w:val="24"/>
        </w:rPr>
        <w:footnoteReference w:id="35"/>
      </w:r>
    </w:p>
    <w:p w14:paraId="64E75110" w14:textId="5A8C8CCF" w:rsidR="005E1569" w:rsidRPr="00A2358C" w:rsidRDefault="00513130" w:rsidP="00FD7065">
      <w:pPr>
        <w:pStyle w:val="A2"/>
        <w:spacing w:after="240"/>
        <w:ind w:firstLine="0"/>
        <w:rPr>
          <w:rFonts w:asciiTheme="majorHAnsi" w:hAnsiTheme="majorHAnsi" w:cstheme="majorHAnsi"/>
          <w:sz w:val="24"/>
          <w:szCs w:val="24"/>
        </w:rPr>
      </w:pPr>
      <w:proofErr w:type="gramStart"/>
      <w:r w:rsidRPr="00A2358C">
        <w:rPr>
          <w:rFonts w:asciiTheme="majorHAnsi" w:hAnsiTheme="majorHAnsi" w:cstheme="majorHAnsi"/>
          <w:sz w:val="24"/>
          <w:szCs w:val="24"/>
        </w:rPr>
        <w:t>A</w:t>
      </w:r>
      <w:r w:rsidR="00F166CA" w:rsidRPr="00A2358C">
        <w:rPr>
          <w:rFonts w:asciiTheme="majorHAnsi" w:hAnsiTheme="majorHAnsi" w:cstheme="majorHAnsi"/>
          <w:sz w:val="24"/>
          <w:szCs w:val="24"/>
        </w:rPr>
        <w:t xml:space="preserve">llowing PSE to only recover the undepreciated balance of Colstrip 1 and 2 when it stops </w:t>
      </w:r>
      <w:r w:rsidR="00F166CA" w:rsidRPr="00A2358C">
        <w:rPr>
          <w:rFonts w:asciiTheme="majorHAnsi" w:hAnsiTheme="majorHAnsi" w:cstheme="majorHAnsi"/>
          <w:sz w:val="24"/>
          <w:szCs w:val="24"/>
        </w:rPr>
        <w:lastRenderedPageBreak/>
        <w:t>providing service</w:t>
      </w:r>
      <w:r w:rsidR="008A22C4" w:rsidRPr="00A2358C">
        <w:rPr>
          <w:rFonts w:asciiTheme="majorHAnsi" w:hAnsiTheme="majorHAnsi" w:cstheme="majorHAnsi"/>
          <w:sz w:val="24"/>
          <w:szCs w:val="24"/>
        </w:rPr>
        <w:t xml:space="preserve">, but without </w:t>
      </w:r>
      <w:r w:rsidRPr="00A2358C">
        <w:rPr>
          <w:rFonts w:asciiTheme="majorHAnsi" w:hAnsiTheme="majorHAnsi" w:cstheme="majorHAnsi"/>
          <w:sz w:val="24"/>
          <w:szCs w:val="24"/>
        </w:rPr>
        <w:t>recovering its cost of capital</w:t>
      </w:r>
      <w:r w:rsidR="008A22C4" w:rsidRPr="00A2358C">
        <w:rPr>
          <w:rFonts w:asciiTheme="majorHAnsi" w:hAnsiTheme="majorHAnsi" w:cstheme="majorHAnsi"/>
          <w:sz w:val="24"/>
          <w:szCs w:val="24"/>
        </w:rPr>
        <w:t>,</w:t>
      </w:r>
      <w:r w:rsidR="00F166CA" w:rsidRPr="00A2358C">
        <w:rPr>
          <w:rFonts w:asciiTheme="majorHAnsi" w:hAnsiTheme="majorHAnsi" w:cstheme="majorHAnsi"/>
          <w:sz w:val="24"/>
          <w:szCs w:val="24"/>
        </w:rPr>
        <w:t xml:space="preserve"> appropriately balances shareholder and ratepayer interests.</w:t>
      </w:r>
      <w:proofErr w:type="gramEnd"/>
      <w:r w:rsidR="00F166CA" w:rsidRPr="00A2358C">
        <w:rPr>
          <w:rFonts w:asciiTheme="majorHAnsi" w:hAnsiTheme="majorHAnsi" w:cstheme="majorHAnsi"/>
          <w:sz w:val="24"/>
          <w:szCs w:val="24"/>
        </w:rPr>
        <w:t xml:space="preserve"> </w:t>
      </w:r>
    </w:p>
    <w:p w14:paraId="205A5FE3" w14:textId="37C1C8C5" w:rsidR="008636BB" w:rsidRPr="00A2358C" w:rsidRDefault="008636BB" w:rsidP="00FD7B0F">
      <w:pPr>
        <w:pStyle w:val="Heading1"/>
      </w:pPr>
      <w:bookmarkStart w:id="6" w:name="_Toc486496058"/>
      <w:r w:rsidRPr="00A2358C">
        <w:t>Depreciation Schedule for Colstrip Units 3 and 4</w:t>
      </w:r>
      <w:bookmarkEnd w:id="6"/>
    </w:p>
    <w:p w14:paraId="72D69472" w14:textId="0D3EF7EB" w:rsidR="008636BB" w:rsidRPr="00A2358C" w:rsidRDefault="008636BB"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FD7065">
        <w:rPr>
          <w:rFonts w:asciiTheme="majorHAnsi" w:hAnsiTheme="majorHAnsi" w:cstheme="majorHAnsi"/>
          <w:caps w:val="0"/>
          <w:sz w:val="24"/>
          <w:szCs w:val="24"/>
        </w:rPr>
        <w:t>What is PSE</w:t>
      </w:r>
      <w:r w:rsidR="00FD7065" w:rsidRPr="00A2358C">
        <w:rPr>
          <w:rFonts w:asciiTheme="majorHAnsi" w:hAnsiTheme="majorHAnsi" w:cstheme="majorHAnsi"/>
          <w:caps w:val="0"/>
          <w:sz w:val="24"/>
          <w:szCs w:val="24"/>
        </w:rPr>
        <w:t xml:space="preserve"> currently proposin</w:t>
      </w:r>
      <w:r w:rsidR="00FD7065">
        <w:rPr>
          <w:rFonts w:asciiTheme="majorHAnsi" w:hAnsiTheme="majorHAnsi" w:cstheme="majorHAnsi"/>
          <w:caps w:val="0"/>
          <w:sz w:val="24"/>
          <w:szCs w:val="24"/>
        </w:rPr>
        <w:t>g for the depreciable lives of C</w:t>
      </w:r>
      <w:r w:rsidR="00FD7B0F">
        <w:rPr>
          <w:rFonts w:asciiTheme="majorHAnsi" w:hAnsiTheme="majorHAnsi" w:cstheme="majorHAnsi"/>
          <w:caps w:val="0"/>
          <w:sz w:val="24"/>
          <w:szCs w:val="24"/>
        </w:rPr>
        <w:t>olstrip U</w:t>
      </w:r>
      <w:r w:rsidR="00FD7065" w:rsidRPr="00A2358C">
        <w:rPr>
          <w:rFonts w:asciiTheme="majorHAnsi" w:hAnsiTheme="majorHAnsi" w:cstheme="majorHAnsi"/>
          <w:caps w:val="0"/>
          <w:sz w:val="24"/>
          <w:szCs w:val="24"/>
        </w:rPr>
        <w:t>nits 3 and 4?</w:t>
      </w:r>
    </w:p>
    <w:p w14:paraId="6CBF465D" w14:textId="4BF459FD" w:rsidR="008636BB" w:rsidRPr="00A2358C" w:rsidRDefault="008636BB" w:rsidP="00FD7065">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75597A" w:rsidRPr="00A2358C">
        <w:rPr>
          <w:rFonts w:asciiTheme="majorHAnsi" w:hAnsiTheme="majorHAnsi" w:cstheme="majorHAnsi"/>
          <w:sz w:val="24"/>
          <w:szCs w:val="24"/>
        </w:rPr>
        <w:t xml:space="preserve">PSE proposes to reduce the end-of-life assumption for </w:t>
      </w:r>
      <w:r w:rsidR="00404C9A" w:rsidRPr="00A2358C">
        <w:rPr>
          <w:rFonts w:asciiTheme="majorHAnsi" w:hAnsiTheme="majorHAnsi" w:cstheme="majorHAnsi"/>
          <w:sz w:val="24"/>
          <w:szCs w:val="24"/>
        </w:rPr>
        <w:t xml:space="preserve">both </w:t>
      </w:r>
      <w:r w:rsidR="0075597A" w:rsidRPr="00A2358C">
        <w:rPr>
          <w:rFonts w:asciiTheme="majorHAnsi" w:hAnsiTheme="majorHAnsi" w:cstheme="majorHAnsi"/>
          <w:sz w:val="24"/>
          <w:szCs w:val="24"/>
        </w:rPr>
        <w:t xml:space="preserve">Colstrip Unit 3 </w:t>
      </w:r>
      <w:r w:rsidR="00404C9A" w:rsidRPr="00A2358C">
        <w:rPr>
          <w:rFonts w:asciiTheme="majorHAnsi" w:hAnsiTheme="majorHAnsi" w:cstheme="majorHAnsi"/>
          <w:sz w:val="24"/>
          <w:szCs w:val="24"/>
        </w:rPr>
        <w:t xml:space="preserve">and Unit 4 to 2035. </w:t>
      </w:r>
      <w:r w:rsidR="00F166CA" w:rsidRPr="00A2358C">
        <w:rPr>
          <w:rFonts w:asciiTheme="majorHAnsi" w:hAnsiTheme="majorHAnsi" w:cstheme="majorHAnsi"/>
          <w:sz w:val="24"/>
          <w:szCs w:val="24"/>
        </w:rPr>
        <w:t>The currently applicable depreciable lives for those units were set</w:t>
      </w:r>
      <w:r w:rsidR="00404C9A" w:rsidRPr="00A2358C">
        <w:rPr>
          <w:rFonts w:asciiTheme="majorHAnsi" w:hAnsiTheme="majorHAnsi" w:cstheme="majorHAnsi"/>
          <w:sz w:val="24"/>
          <w:szCs w:val="24"/>
        </w:rPr>
        <w:t xml:space="preserve"> pursuant to the </w:t>
      </w:r>
      <w:r w:rsidR="008B3568" w:rsidRPr="00A2358C">
        <w:rPr>
          <w:rFonts w:asciiTheme="majorHAnsi" w:hAnsiTheme="majorHAnsi" w:cstheme="majorHAnsi"/>
          <w:sz w:val="24"/>
          <w:szCs w:val="24"/>
        </w:rPr>
        <w:t xml:space="preserve">settlement of the </w:t>
      </w:r>
      <w:r w:rsidR="00404C9A" w:rsidRPr="00A2358C">
        <w:rPr>
          <w:rFonts w:asciiTheme="majorHAnsi" w:hAnsiTheme="majorHAnsi" w:cstheme="majorHAnsi"/>
          <w:sz w:val="24"/>
          <w:szCs w:val="24"/>
        </w:rPr>
        <w:t>2007 rate case</w:t>
      </w:r>
      <w:r w:rsidR="008B3568" w:rsidRPr="00A2358C">
        <w:rPr>
          <w:rFonts w:asciiTheme="majorHAnsi" w:hAnsiTheme="majorHAnsi" w:cstheme="majorHAnsi"/>
          <w:sz w:val="24"/>
          <w:szCs w:val="24"/>
        </w:rPr>
        <w:t xml:space="preserve"> (Docket No. </w:t>
      </w:r>
      <w:proofErr w:type="gramStart"/>
      <w:r w:rsidR="008B3568" w:rsidRPr="00A2358C">
        <w:rPr>
          <w:rFonts w:asciiTheme="majorHAnsi" w:hAnsiTheme="majorHAnsi" w:cstheme="majorHAnsi"/>
          <w:sz w:val="24"/>
          <w:szCs w:val="24"/>
        </w:rPr>
        <w:t>UE-072300)</w:t>
      </w:r>
      <w:r w:rsidR="00404C9A" w:rsidRPr="00A2358C">
        <w:rPr>
          <w:rFonts w:asciiTheme="majorHAnsi" w:hAnsiTheme="majorHAnsi" w:cstheme="majorHAnsi"/>
          <w:sz w:val="24"/>
          <w:szCs w:val="24"/>
        </w:rPr>
        <w:t xml:space="preserve"> at </w:t>
      </w:r>
      <w:r w:rsidR="0075597A" w:rsidRPr="00A2358C">
        <w:rPr>
          <w:rFonts w:asciiTheme="majorHAnsi" w:hAnsiTheme="majorHAnsi" w:cstheme="majorHAnsi"/>
          <w:sz w:val="24"/>
          <w:szCs w:val="24"/>
        </w:rPr>
        <w:t xml:space="preserve">2044 </w:t>
      </w:r>
      <w:r w:rsidR="00404C9A" w:rsidRPr="00A2358C">
        <w:rPr>
          <w:rFonts w:asciiTheme="majorHAnsi" w:hAnsiTheme="majorHAnsi" w:cstheme="majorHAnsi"/>
          <w:sz w:val="24"/>
          <w:szCs w:val="24"/>
        </w:rPr>
        <w:t>and 2045, respectively.</w:t>
      </w:r>
      <w:proofErr w:type="gramEnd"/>
    </w:p>
    <w:p w14:paraId="5218593F" w14:textId="2CA6CB51" w:rsidR="008636BB" w:rsidRPr="00A2358C" w:rsidRDefault="008636BB"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975A0A">
        <w:rPr>
          <w:rFonts w:asciiTheme="majorHAnsi" w:hAnsiTheme="majorHAnsi" w:cstheme="majorHAnsi"/>
          <w:caps w:val="0"/>
          <w:sz w:val="24"/>
          <w:szCs w:val="24"/>
        </w:rPr>
        <w:t>What end-of-life date did PSE</w:t>
      </w:r>
      <w:r w:rsidR="00975A0A" w:rsidRPr="00A2358C">
        <w:rPr>
          <w:rFonts w:asciiTheme="majorHAnsi" w:hAnsiTheme="majorHAnsi" w:cstheme="majorHAnsi"/>
          <w:caps w:val="0"/>
          <w:sz w:val="24"/>
          <w:szCs w:val="24"/>
        </w:rPr>
        <w:t xml:space="preserve"> propose</w:t>
      </w:r>
      <w:r w:rsidR="00065798" w:rsidRPr="00A2358C">
        <w:rPr>
          <w:rFonts w:asciiTheme="majorHAnsi" w:hAnsiTheme="majorHAnsi" w:cstheme="majorHAnsi"/>
          <w:sz w:val="24"/>
          <w:szCs w:val="24"/>
        </w:rPr>
        <w:t xml:space="preserve"> </w:t>
      </w:r>
      <w:r w:rsidR="00975A0A" w:rsidRPr="00A2358C">
        <w:rPr>
          <w:rFonts w:asciiTheme="majorHAnsi" w:hAnsiTheme="majorHAnsi" w:cstheme="majorHAnsi"/>
          <w:caps w:val="0"/>
          <w:sz w:val="24"/>
          <w:szCs w:val="24"/>
        </w:rPr>
        <w:t>in its 2007 rate case?</w:t>
      </w:r>
    </w:p>
    <w:p w14:paraId="767E2350" w14:textId="13CF483E" w:rsidR="008636BB" w:rsidRPr="00A2358C" w:rsidRDefault="008636BB" w:rsidP="00975A0A">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F166CA" w:rsidRPr="00A2358C">
        <w:rPr>
          <w:rFonts w:asciiTheme="majorHAnsi" w:hAnsiTheme="majorHAnsi" w:cstheme="majorHAnsi"/>
          <w:sz w:val="24"/>
          <w:szCs w:val="24"/>
        </w:rPr>
        <w:t xml:space="preserve">In its </w:t>
      </w:r>
      <w:r w:rsidR="004C752B" w:rsidRPr="00A2358C">
        <w:rPr>
          <w:rFonts w:asciiTheme="majorHAnsi" w:hAnsiTheme="majorHAnsi" w:cstheme="majorHAnsi"/>
          <w:sz w:val="24"/>
          <w:szCs w:val="24"/>
        </w:rPr>
        <w:t xml:space="preserve">2007 </w:t>
      </w:r>
      <w:r w:rsidR="00F166CA" w:rsidRPr="00A2358C">
        <w:rPr>
          <w:rFonts w:asciiTheme="majorHAnsi" w:hAnsiTheme="majorHAnsi" w:cstheme="majorHAnsi"/>
          <w:sz w:val="24"/>
          <w:szCs w:val="24"/>
        </w:rPr>
        <w:t>application in UE-072300, t</w:t>
      </w:r>
      <w:r w:rsidR="00AB4346" w:rsidRPr="00A2358C">
        <w:rPr>
          <w:rFonts w:asciiTheme="majorHAnsi" w:hAnsiTheme="majorHAnsi" w:cstheme="majorHAnsi"/>
          <w:sz w:val="24"/>
          <w:szCs w:val="24"/>
        </w:rPr>
        <w:t>he Company proposed a retirement date of 2024 for Unit 3 and 202</w:t>
      </w:r>
      <w:r w:rsidR="004C752B" w:rsidRPr="00A2358C">
        <w:rPr>
          <w:rFonts w:asciiTheme="majorHAnsi" w:hAnsiTheme="majorHAnsi" w:cstheme="majorHAnsi"/>
          <w:sz w:val="24"/>
          <w:szCs w:val="24"/>
        </w:rPr>
        <w:t>6</w:t>
      </w:r>
      <w:r w:rsidR="00AB4346" w:rsidRPr="00A2358C">
        <w:rPr>
          <w:rFonts w:asciiTheme="majorHAnsi" w:hAnsiTheme="majorHAnsi" w:cstheme="majorHAnsi"/>
          <w:sz w:val="24"/>
          <w:szCs w:val="24"/>
        </w:rPr>
        <w:t xml:space="preserve"> for Unit 4</w:t>
      </w:r>
      <w:r w:rsidR="00065798" w:rsidRPr="00A2358C">
        <w:rPr>
          <w:rFonts w:asciiTheme="majorHAnsi" w:hAnsiTheme="majorHAnsi" w:cstheme="majorHAnsi"/>
          <w:sz w:val="24"/>
          <w:szCs w:val="24"/>
        </w:rPr>
        <w:t xml:space="preserve"> in </w:t>
      </w:r>
      <w:r w:rsidR="00FC6996" w:rsidRPr="00A2358C">
        <w:rPr>
          <w:rFonts w:asciiTheme="majorHAnsi" w:hAnsiTheme="majorHAnsi" w:cstheme="majorHAnsi"/>
          <w:sz w:val="24"/>
          <w:szCs w:val="24"/>
        </w:rPr>
        <w:t>its 2007 Rate Case</w:t>
      </w:r>
      <w:r w:rsidR="00AB4346" w:rsidRPr="00A2358C">
        <w:rPr>
          <w:rFonts w:asciiTheme="majorHAnsi" w:hAnsiTheme="majorHAnsi" w:cstheme="majorHAnsi"/>
          <w:sz w:val="24"/>
          <w:szCs w:val="24"/>
        </w:rPr>
        <w:t>.</w:t>
      </w:r>
    </w:p>
    <w:p w14:paraId="609CDB8C" w14:textId="7D7E4E24" w:rsidR="00103ADE" w:rsidRPr="00A2358C" w:rsidRDefault="00103ADE"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975A0A">
        <w:rPr>
          <w:rFonts w:asciiTheme="majorHAnsi" w:hAnsiTheme="majorHAnsi" w:cstheme="majorHAnsi"/>
          <w:caps w:val="0"/>
          <w:sz w:val="24"/>
          <w:szCs w:val="24"/>
        </w:rPr>
        <w:t xml:space="preserve">Do you support the </w:t>
      </w:r>
      <w:r w:rsidR="00AD2DF2">
        <w:rPr>
          <w:rFonts w:asciiTheme="majorHAnsi" w:hAnsiTheme="majorHAnsi" w:cstheme="majorHAnsi"/>
          <w:caps w:val="0"/>
          <w:sz w:val="24"/>
          <w:szCs w:val="24"/>
        </w:rPr>
        <w:t>C</w:t>
      </w:r>
      <w:r w:rsidR="00975A0A" w:rsidRPr="00A2358C">
        <w:rPr>
          <w:rFonts w:asciiTheme="majorHAnsi" w:hAnsiTheme="majorHAnsi" w:cstheme="majorHAnsi"/>
          <w:caps w:val="0"/>
          <w:sz w:val="24"/>
          <w:szCs w:val="24"/>
        </w:rPr>
        <w:t xml:space="preserve">ompany’s proposal in its current filing to reduce </w:t>
      </w:r>
      <w:r w:rsidR="00FD7B0F">
        <w:rPr>
          <w:rFonts w:asciiTheme="majorHAnsi" w:hAnsiTheme="majorHAnsi" w:cstheme="majorHAnsi"/>
          <w:caps w:val="0"/>
          <w:sz w:val="24"/>
          <w:szCs w:val="24"/>
        </w:rPr>
        <w:t>the end-of-life assumption for U</w:t>
      </w:r>
      <w:r w:rsidR="00975A0A" w:rsidRPr="00A2358C">
        <w:rPr>
          <w:rFonts w:asciiTheme="majorHAnsi" w:hAnsiTheme="majorHAnsi" w:cstheme="majorHAnsi"/>
          <w:caps w:val="0"/>
          <w:sz w:val="24"/>
          <w:szCs w:val="24"/>
        </w:rPr>
        <w:t xml:space="preserve">nits 3 and </w:t>
      </w:r>
      <w:r w:rsidR="00947D5B">
        <w:rPr>
          <w:rFonts w:asciiTheme="majorHAnsi" w:hAnsiTheme="majorHAnsi" w:cstheme="majorHAnsi"/>
          <w:caps w:val="0"/>
          <w:sz w:val="24"/>
          <w:szCs w:val="24"/>
        </w:rPr>
        <w:t>4 for depreciation purposes to 2035</w:t>
      </w:r>
      <w:r w:rsidR="00975A0A" w:rsidRPr="00A2358C">
        <w:rPr>
          <w:rFonts w:asciiTheme="majorHAnsi" w:hAnsiTheme="majorHAnsi" w:cstheme="majorHAnsi"/>
          <w:caps w:val="0"/>
          <w:sz w:val="24"/>
          <w:szCs w:val="24"/>
        </w:rPr>
        <w:t>?</w:t>
      </w:r>
    </w:p>
    <w:p w14:paraId="6C828AF5" w14:textId="79B3897E" w:rsidR="00103ADE" w:rsidRPr="00A2358C" w:rsidRDefault="00103ADE" w:rsidP="00342013">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I agree that the company should shorten the depreciable lives of these units, but I find that the company’s proposal </w:t>
      </w:r>
      <w:r w:rsidR="000F0F33" w:rsidRPr="00A2358C">
        <w:rPr>
          <w:rFonts w:asciiTheme="majorHAnsi" w:hAnsiTheme="majorHAnsi" w:cstheme="majorHAnsi"/>
          <w:sz w:val="24"/>
          <w:szCs w:val="24"/>
        </w:rPr>
        <w:t>falls short</w:t>
      </w:r>
      <w:r w:rsidRPr="00A2358C">
        <w:rPr>
          <w:rFonts w:asciiTheme="majorHAnsi" w:hAnsiTheme="majorHAnsi" w:cstheme="majorHAnsi"/>
          <w:sz w:val="24"/>
          <w:szCs w:val="24"/>
        </w:rPr>
        <w:t xml:space="preserve">. </w:t>
      </w:r>
      <w:r w:rsidR="00C00DB7" w:rsidRPr="00A2358C">
        <w:rPr>
          <w:rFonts w:asciiTheme="majorHAnsi" w:hAnsiTheme="majorHAnsi" w:cstheme="majorHAnsi"/>
          <w:sz w:val="24"/>
          <w:szCs w:val="24"/>
        </w:rPr>
        <w:t xml:space="preserve">The depreciation schedules for these units should be set with an end-of-life assumption no later than that originally proposed by the company </w:t>
      </w:r>
      <w:r w:rsidR="00757276" w:rsidRPr="00A2358C">
        <w:rPr>
          <w:rFonts w:asciiTheme="majorHAnsi" w:hAnsiTheme="majorHAnsi" w:cstheme="majorHAnsi"/>
          <w:sz w:val="24"/>
          <w:szCs w:val="24"/>
        </w:rPr>
        <w:t xml:space="preserve">for Unit </w:t>
      </w:r>
      <w:r w:rsidR="00FC6996" w:rsidRPr="00A2358C">
        <w:rPr>
          <w:rFonts w:asciiTheme="majorHAnsi" w:hAnsiTheme="majorHAnsi" w:cstheme="majorHAnsi"/>
          <w:sz w:val="24"/>
          <w:szCs w:val="24"/>
        </w:rPr>
        <w:t>3</w:t>
      </w:r>
      <w:r w:rsidR="00757276" w:rsidRPr="00A2358C">
        <w:rPr>
          <w:rFonts w:asciiTheme="majorHAnsi" w:hAnsiTheme="majorHAnsi" w:cstheme="majorHAnsi"/>
          <w:sz w:val="24"/>
          <w:szCs w:val="24"/>
        </w:rPr>
        <w:t xml:space="preserve"> </w:t>
      </w:r>
      <w:r w:rsidR="00C00DB7" w:rsidRPr="00A2358C">
        <w:rPr>
          <w:rFonts w:asciiTheme="majorHAnsi" w:hAnsiTheme="majorHAnsi" w:cstheme="majorHAnsi"/>
          <w:sz w:val="24"/>
          <w:szCs w:val="24"/>
        </w:rPr>
        <w:t xml:space="preserve">in 2007; i.e., </w:t>
      </w:r>
      <w:r w:rsidR="00757276" w:rsidRPr="00A2358C">
        <w:rPr>
          <w:rFonts w:asciiTheme="majorHAnsi" w:hAnsiTheme="majorHAnsi" w:cstheme="majorHAnsi"/>
          <w:sz w:val="24"/>
          <w:szCs w:val="24"/>
        </w:rPr>
        <w:t xml:space="preserve">no later than December 31, </w:t>
      </w:r>
      <w:r w:rsidR="00C00DB7" w:rsidRPr="00A2358C">
        <w:rPr>
          <w:rFonts w:asciiTheme="majorHAnsi" w:hAnsiTheme="majorHAnsi" w:cstheme="majorHAnsi"/>
          <w:sz w:val="24"/>
          <w:szCs w:val="24"/>
        </w:rPr>
        <w:t>2024.</w:t>
      </w:r>
    </w:p>
    <w:p w14:paraId="33E0B989" w14:textId="1E1ED8F5" w:rsidR="00103ADE" w:rsidRPr="00A2358C" w:rsidRDefault="00103ADE"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342013" w:rsidRPr="00A2358C">
        <w:rPr>
          <w:rFonts w:asciiTheme="majorHAnsi" w:hAnsiTheme="majorHAnsi" w:cstheme="majorHAnsi"/>
          <w:caps w:val="0"/>
          <w:sz w:val="24"/>
          <w:szCs w:val="24"/>
        </w:rPr>
        <w:t>Have you performed an indepe</w:t>
      </w:r>
      <w:r w:rsidR="00342013">
        <w:rPr>
          <w:rFonts w:asciiTheme="majorHAnsi" w:hAnsiTheme="majorHAnsi" w:cstheme="majorHAnsi"/>
          <w:caps w:val="0"/>
          <w:sz w:val="24"/>
          <w:szCs w:val="24"/>
        </w:rPr>
        <w:t>ndent end-of-life analysis for C</w:t>
      </w:r>
      <w:r w:rsidR="00FD7B0F">
        <w:rPr>
          <w:rFonts w:asciiTheme="majorHAnsi" w:hAnsiTheme="majorHAnsi" w:cstheme="majorHAnsi"/>
          <w:caps w:val="0"/>
          <w:sz w:val="24"/>
          <w:szCs w:val="24"/>
        </w:rPr>
        <w:t>olstrip U</w:t>
      </w:r>
      <w:r w:rsidR="00342013" w:rsidRPr="00A2358C">
        <w:rPr>
          <w:rFonts w:asciiTheme="majorHAnsi" w:hAnsiTheme="majorHAnsi" w:cstheme="majorHAnsi"/>
          <w:caps w:val="0"/>
          <w:sz w:val="24"/>
          <w:szCs w:val="24"/>
        </w:rPr>
        <w:t>nits 3 and 4?</w:t>
      </w:r>
    </w:p>
    <w:p w14:paraId="31D4C1AC" w14:textId="559D1E66" w:rsidR="00AE1FB2" w:rsidRPr="00A2358C" w:rsidRDefault="00103ADE"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No. H</w:t>
      </w:r>
      <w:r w:rsidR="00C00DB7" w:rsidRPr="00A2358C">
        <w:rPr>
          <w:rFonts w:asciiTheme="majorHAnsi" w:hAnsiTheme="majorHAnsi" w:cstheme="majorHAnsi"/>
          <w:sz w:val="24"/>
          <w:szCs w:val="24"/>
        </w:rPr>
        <w:t>o</w:t>
      </w:r>
      <w:r w:rsidRPr="00A2358C">
        <w:rPr>
          <w:rFonts w:asciiTheme="majorHAnsi" w:hAnsiTheme="majorHAnsi" w:cstheme="majorHAnsi"/>
          <w:sz w:val="24"/>
          <w:szCs w:val="24"/>
        </w:rPr>
        <w:t xml:space="preserve">wever, I have reviewed the testimony and depreciation studies provided in both the current case and in the 2007 case in which the current depreciation schedules were set. I have </w:t>
      </w:r>
      <w:r w:rsidR="00C00DB7" w:rsidRPr="00A2358C">
        <w:rPr>
          <w:rFonts w:asciiTheme="majorHAnsi" w:hAnsiTheme="majorHAnsi" w:cstheme="majorHAnsi"/>
          <w:sz w:val="24"/>
          <w:szCs w:val="24"/>
        </w:rPr>
        <w:t xml:space="preserve">reviewed the considerations and projections raised and disputed in the 2007 study, </w:t>
      </w:r>
      <w:r w:rsidR="00C00DB7" w:rsidRPr="00A2358C">
        <w:rPr>
          <w:rFonts w:asciiTheme="majorHAnsi" w:hAnsiTheme="majorHAnsi" w:cstheme="majorHAnsi"/>
          <w:sz w:val="24"/>
          <w:szCs w:val="24"/>
        </w:rPr>
        <w:lastRenderedPageBreak/>
        <w:t>and I have examined, with the benefit of hindsight, how th</w:t>
      </w:r>
      <w:r w:rsidR="001519D7" w:rsidRPr="00A2358C">
        <w:rPr>
          <w:rFonts w:asciiTheme="majorHAnsi" w:hAnsiTheme="majorHAnsi" w:cstheme="majorHAnsi"/>
          <w:sz w:val="24"/>
          <w:szCs w:val="24"/>
        </w:rPr>
        <w:t>e</w:t>
      </w:r>
      <w:r w:rsidR="00C00DB7" w:rsidRPr="00A2358C">
        <w:rPr>
          <w:rFonts w:asciiTheme="majorHAnsi" w:hAnsiTheme="majorHAnsi" w:cstheme="majorHAnsi"/>
          <w:sz w:val="24"/>
          <w:szCs w:val="24"/>
        </w:rPr>
        <w:t xml:space="preserve">se </w:t>
      </w:r>
      <w:r w:rsidR="001519D7" w:rsidRPr="00A2358C">
        <w:rPr>
          <w:rFonts w:asciiTheme="majorHAnsi" w:hAnsiTheme="majorHAnsi" w:cstheme="majorHAnsi"/>
          <w:sz w:val="24"/>
          <w:szCs w:val="24"/>
        </w:rPr>
        <w:t xml:space="preserve">and other </w:t>
      </w:r>
      <w:r w:rsidR="00C00DB7" w:rsidRPr="00A2358C">
        <w:rPr>
          <w:rFonts w:asciiTheme="majorHAnsi" w:hAnsiTheme="majorHAnsi" w:cstheme="majorHAnsi"/>
          <w:sz w:val="24"/>
          <w:szCs w:val="24"/>
        </w:rPr>
        <w:t>factors have evolved in the intervening years.</w:t>
      </w:r>
    </w:p>
    <w:p w14:paraId="54595B34" w14:textId="65437BA2" w:rsidR="00757276" w:rsidRPr="00A2358C" w:rsidRDefault="00757276" w:rsidP="00342013">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I find that </w:t>
      </w:r>
      <w:r w:rsidR="00AE1FB2" w:rsidRPr="00A2358C">
        <w:rPr>
          <w:rFonts w:asciiTheme="majorHAnsi" w:hAnsiTheme="majorHAnsi" w:cstheme="majorHAnsi"/>
          <w:sz w:val="24"/>
          <w:szCs w:val="24"/>
        </w:rPr>
        <w:t xml:space="preserve">Colstrip Units 3 and 4 </w:t>
      </w:r>
      <w:r w:rsidRPr="00A2358C">
        <w:rPr>
          <w:rFonts w:asciiTheme="majorHAnsi" w:hAnsiTheme="majorHAnsi" w:cstheme="majorHAnsi"/>
          <w:sz w:val="24"/>
          <w:szCs w:val="24"/>
        </w:rPr>
        <w:t xml:space="preserve">are not immune to the trends that are affecting the rest of the industry throughout the United States, including Colstrip Units 1 and 2. Units 3 and 4 are also exposed to these factors, </w:t>
      </w:r>
      <w:r w:rsidR="00AE1FB2" w:rsidRPr="00A2358C">
        <w:rPr>
          <w:rFonts w:asciiTheme="majorHAnsi" w:hAnsiTheme="majorHAnsi" w:cstheme="majorHAnsi"/>
          <w:sz w:val="24"/>
          <w:szCs w:val="24"/>
        </w:rPr>
        <w:t xml:space="preserve">and are unlikely to be able to continue operating economically beyond the retirement date I have proposed for depreciation purposes. These units </w:t>
      </w:r>
      <w:r w:rsidRPr="00A2358C">
        <w:rPr>
          <w:rFonts w:asciiTheme="majorHAnsi" w:hAnsiTheme="majorHAnsi" w:cstheme="majorHAnsi"/>
          <w:sz w:val="24"/>
          <w:szCs w:val="24"/>
        </w:rPr>
        <w:t>will not escape the realities of today’s energy market economics just because PSE assigns them an unrealistically long depreciable life.</w:t>
      </w:r>
    </w:p>
    <w:p w14:paraId="0A102760" w14:textId="22481665" w:rsidR="000629B7" w:rsidRPr="00A2358C" w:rsidRDefault="000629B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342013" w:rsidRPr="00A2358C">
        <w:rPr>
          <w:rFonts w:asciiTheme="majorHAnsi" w:hAnsiTheme="majorHAnsi" w:cstheme="majorHAnsi"/>
          <w:caps w:val="0"/>
          <w:sz w:val="24"/>
          <w:szCs w:val="24"/>
        </w:rPr>
        <w:t>Can you describe some of the factors that have changed the economic o</w:t>
      </w:r>
      <w:r w:rsidR="00342013">
        <w:rPr>
          <w:rFonts w:asciiTheme="majorHAnsi" w:hAnsiTheme="majorHAnsi" w:cstheme="majorHAnsi"/>
          <w:caps w:val="0"/>
          <w:sz w:val="24"/>
          <w:szCs w:val="24"/>
        </w:rPr>
        <w:t>utlook for coal plants since PSE</w:t>
      </w:r>
      <w:r w:rsidR="00342013" w:rsidRPr="00A2358C">
        <w:rPr>
          <w:rFonts w:asciiTheme="majorHAnsi" w:hAnsiTheme="majorHAnsi" w:cstheme="majorHAnsi"/>
          <w:caps w:val="0"/>
          <w:sz w:val="24"/>
          <w:szCs w:val="24"/>
        </w:rPr>
        <w:t>’s 2007 rate case?</w:t>
      </w:r>
    </w:p>
    <w:p w14:paraId="77BCBCEE" w14:textId="683EBAC1" w:rsidR="002E18EB" w:rsidRPr="005B534C" w:rsidRDefault="000629B7" w:rsidP="005B534C">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A primary factor negatively affecting coal plants is the sea change in the price and availability of natural gas in the United States. </w:t>
      </w:r>
      <w:r w:rsidR="00006C83">
        <w:rPr>
          <w:rFonts w:asciiTheme="majorHAnsi" w:hAnsiTheme="majorHAnsi" w:cstheme="majorHAnsi"/>
          <w:sz w:val="24"/>
          <w:szCs w:val="24"/>
        </w:rPr>
        <w:t xml:space="preserve">Figure 1 </w:t>
      </w:r>
      <w:r w:rsidRPr="00A2358C">
        <w:rPr>
          <w:rFonts w:asciiTheme="majorHAnsi" w:hAnsiTheme="majorHAnsi" w:cstheme="majorHAnsi"/>
          <w:sz w:val="24"/>
          <w:szCs w:val="24"/>
        </w:rPr>
        <w:t>compares the long-range natural gas price outlook as projected by the US Department of Energy, Energy Information Administration’s (EIA) Annual Energy Outlook (AEO) from 2007 (the year of PSE’s last general rate case) and the most recent EIA forecast, from AEO 2017.</w:t>
      </w:r>
      <w:r w:rsidRPr="00A2358C">
        <w:rPr>
          <w:rStyle w:val="FootnoteReference"/>
          <w:rFonts w:asciiTheme="majorHAnsi" w:hAnsiTheme="majorHAnsi" w:cstheme="majorHAnsi"/>
          <w:sz w:val="24"/>
          <w:szCs w:val="24"/>
        </w:rPr>
        <w:footnoteReference w:id="36"/>
      </w:r>
      <w:r w:rsidRPr="00A2358C">
        <w:rPr>
          <w:rFonts w:asciiTheme="majorHAnsi" w:hAnsiTheme="majorHAnsi" w:cstheme="majorHAnsi"/>
          <w:sz w:val="24"/>
          <w:szCs w:val="24"/>
        </w:rPr>
        <w:t xml:space="preserve"> It is difficult to overstate the impact of this revolution in long-term gas price expectations on electricity markets in general, and specifically on the economic viability of coal plants. Mr. Jones was projecting economic challenges for the Colstrip units with a gas price outlook that was significantly more salutary for coal than the picture we see today.</w:t>
      </w:r>
      <w:r w:rsidR="005B534C">
        <w:rPr>
          <w:rFonts w:asciiTheme="majorHAnsi" w:hAnsiTheme="majorHAnsi" w:cstheme="majorHAnsi"/>
          <w:sz w:val="24"/>
          <w:szCs w:val="24"/>
        </w:rPr>
        <w:t xml:space="preserve"> </w:t>
      </w:r>
    </w:p>
    <w:p w14:paraId="1AFBCCB2" w14:textId="48CC0EB3" w:rsidR="002E18EB" w:rsidRPr="002E18EB" w:rsidRDefault="002E18EB" w:rsidP="008848CB">
      <w:pPr>
        <w:pStyle w:val="Caption"/>
        <w:spacing w:after="0"/>
        <w:ind w:left="720"/>
        <w:jc w:val="left"/>
        <w:rPr>
          <w:rFonts w:asciiTheme="majorHAnsi" w:hAnsiTheme="majorHAnsi" w:cstheme="majorHAnsi"/>
          <w:b/>
          <w:i w:val="0"/>
          <w:noProof/>
          <w:sz w:val="32"/>
          <w:szCs w:val="24"/>
          <w:lang w:eastAsia="en-US"/>
        </w:rPr>
      </w:pPr>
      <w:bookmarkStart w:id="7" w:name="_Toc486501930"/>
      <w:proofErr w:type="gramStart"/>
      <w:r w:rsidRPr="002E18EB">
        <w:rPr>
          <w:b/>
          <w:i w:val="0"/>
          <w:sz w:val="22"/>
        </w:rPr>
        <w:lastRenderedPageBreak/>
        <w:t xml:space="preserve">Figure </w:t>
      </w:r>
      <w:r w:rsidRPr="002E18EB">
        <w:rPr>
          <w:b/>
          <w:i w:val="0"/>
          <w:sz w:val="22"/>
        </w:rPr>
        <w:fldChar w:fldCharType="begin"/>
      </w:r>
      <w:r w:rsidRPr="002E18EB">
        <w:rPr>
          <w:b/>
          <w:i w:val="0"/>
          <w:sz w:val="22"/>
        </w:rPr>
        <w:instrText xml:space="preserve"> SEQ Figure \* ARABIC </w:instrText>
      </w:r>
      <w:r w:rsidRPr="002E18EB">
        <w:rPr>
          <w:b/>
          <w:i w:val="0"/>
          <w:sz w:val="22"/>
        </w:rPr>
        <w:fldChar w:fldCharType="separate"/>
      </w:r>
      <w:r w:rsidR="001B4925">
        <w:rPr>
          <w:b/>
          <w:i w:val="0"/>
          <w:noProof/>
          <w:sz w:val="22"/>
        </w:rPr>
        <w:t>1</w:t>
      </w:r>
      <w:r w:rsidRPr="002E18EB">
        <w:rPr>
          <w:b/>
          <w:i w:val="0"/>
          <w:sz w:val="22"/>
        </w:rPr>
        <w:fldChar w:fldCharType="end"/>
      </w:r>
      <w:r>
        <w:rPr>
          <w:b/>
          <w:i w:val="0"/>
          <w:sz w:val="22"/>
        </w:rPr>
        <w:t>.</w:t>
      </w:r>
      <w:proofErr w:type="gramEnd"/>
      <w:r>
        <w:rPr>
          <w:b/>
          <w:i w:val="0"/>
          <w:sz w:val="22"/>
        </w:rPr>
        <w:t xml:space="preserve"> </w:t>
      </w:r>
      <w:r w:rsidRPr="002E18EB">
        <w:rPr>
          <w:b/>
          <w:i w:val="0"/>
          <w:sz w:val="22"/>
        </w:rPr>
        <w:t>Comparison of US Department of Energy natural gas price forecasts from 2007 and 2017.</w:t>
      </w:r>
      <w:bookmarkEnd w:id="7"/>
    </w:p>
    <w:p w14:paraId="673189F9" w14:textId="77777777" w:rsidR="000629B7" w:rsidRPr="00A2358C" w:rsidRDefault="000629B7" w:rsidP="00D05D3A">
      <w:pPr>
        <w:pStyle w:val="Caption"/>
        <w:keepNext/>
        <w:spacing w:after="0"/>
        <w:rPr>
          <w:rFonts w:asciiTheme="majorHAnsi" w:hAnsiTheme="majorHAnsi" w:cstheme="majorHAnsi"/>
          <w:sz w:val="24"/>
          <w:szCs w:val="24"/>
        </w:rPr>
      </w:pPr>
      <w:r w:rsidRPr="00A2358C">
        <w:rPr>
          <w:rFonts w:asciiTheme="majorHAnsi" w:hAnsiTheme="majorHAnsi" w:cstheme="majorHAnsi"/>
          <w:noProof/>
          <w:sz w:val="24"/>
          <w:szCs w:val="24"/>
          <w:lang w:eastAsia="en-US"/>
        </w:rPr>
        <w:drawing>
          <wp:inline distT="0" distB="0" distL="0" distR="0" wp14:anchorId="368B3E43" wp14:editId="2805844A">
            <wp:extent cx="2990850" cy="228493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2878" cy="2286484"/>
                    </a:xfrm>
                    <a:prstGeom prst="rect">
                      <a:avLst/>
                    </a:prstGeom>
                    <a:noFill/>
                    <a:ln>
                      <a:noFill/>
                    </a:ln>
                  </pic:spPr>
                </pic:pic>
              </a:graphicData>
            </a:graphic>
          </wp:inline>
        </w:drawing>
      </w:r>
    </w:p>
    <w:p w14:paraId="3AC7965F" w14:textId="640DBCFD" w:rsidR="000629B7" w:rsidRPr="00A2358C" w:rsidRDefault="000629B7" w:rsidP="002E18EB">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Other factors, such as the rapidly falling price </w:t>
      </w:r>
      <w:r w:rsidR="00D7511E" w:rsidRPr="00A2358C">
        <w:rPr>
          <w:rFonts w:asciiTheme="majorHAnsi" w:hAnsiTheme="majorHAnsi" w:cstheme="majorHAnsi"/>
          <w:sz w:val="24"/>
          <w:szCs w:val="24"/>
        </w:rPr>
        <w:t xml:space="preserve">and greater availability </w:t>
      </w:r>
      <w:r w:rsidRPr="00A2358C">
        <w:rPr>
          <w:rFonts w:asciiTheme="majorHAnsi" w:hAnsiTheme="majorHAnsi" w:cstheme="majorHAnsi"/>
          <w:sz w:val="24"/>
          <w:szCs w:val="24"/>
        </w:rPr>
        <w:t xml:space="preserve">of renewable energy, the increasing state mandates for renewables and restrictions on coal, and the dramatic decrease in the rate of electricity demand growth, also could not have been </w:t>
      </w:r>
      <w:r w:rsidR="00D7511E" w:rsidRPr="00A2358C">
        <w:rPr>
          <w:rFonts w:asciiTheme="majorHAnsi" w:hAnsiTheme="majorHAnsi" w:cstheme="majorHAnsi"/>
          <w:sz w:val="24"/>
          <w:szCs w:val="24"/>
        </w:rPr>
        <w:t xml:space="preserve">predicted </w:t>
      </w:r>
      <w:r w:rsidRPr="00A2358C">
        <w:rPr>
          <w:rFonts w:asciiTheme="majorHAnsi" w:hAnsiTheme="majorHAnsi" w:cstheme="majorHAnsi"/>
          <w:sz w:val="24"/>
          <w:szCs w:val="24"/>
        </w:rPr>
        <w:t>by Mr. Jones</w:t>
      </w:r>
      <w:r w:rsidR="00D7511E" w:rsidRPr="00A2358C">
        <w:rPr>
          <w:rFonts w:asciiTheme="majorHAnsi" w:hAnsiTheme="majorHAnsi" w:cstheme="majorHAnsi"/>
          <w:sz w:val="24"/>
          <w:szCs w:val="24"/>
        </w:rPr>
        <w:t xml:space="preserve"> in 2007</w:t>
      </w:r>
      <w:r w:rsidRPr="00A2358C">
        <w:rPr>
          <w:rFonts w:asciiTheme="majorHAnsi" w:hAnsiTheme="majorHAnsi" w:cstheme="majorHAnsi"/>
          <w:sz w:val="24"/>
          <w:szCs w:val="24"/>
        </w:rPr>
        <w:t xml:space="preserve">. In sum, the long-term outlook for coal-fired generators such as the Colstrip units has only gotten worse since Mr. Jones first projected the retirements of the Colstrip Units 1 and 2 in 2019 and Units 3 and 4 in </w:t>
      </w:r>
      <w:r w:rsidR="00F166CA" w:rsidRPr="00A2358C">
        <w:rPr>
          <w:rFonts w:asciiTheme="majorHAnsi" w:hAnsiTheme="majorHAnsi" w:cstheme="majorHAnsi"/>
          <w:sz w:val="24"/>
          <w:szCs w:val="24"/>
        </w:rPr>
        <w:t>2024 and 2026</w:t>
      </w:r>
      <w:r w:rsidR="004C752B" w:rsidRPr="00A2358C">
        <w:rPr>
          <w:rFonts w:asciiTheme="majorHAnsi" w:hAnsiTheme="majorHAnsi" w:cstheme="majorHAnsi"/>
          <w:sz w:val="24"/>
          <w:szCs w:val="24"/>
        </w:rPr>
        <w:t>, respectively</w:t>
      </w:r>
      <w:r w:rsidRPr="00A2358C">
        <w:rPr>
          <w:rFonts w:asciiTheme="majorHAnsi" w:hAnsiTheme="majorHAnsi" w:cstheme="majorHAnsi"/>
          <w:sz w:val="24"/>
          <w:szCs w:val="24"/>
        </w:rPr>
        <w:t xml:space="preserve">. </w:t>
      </w:r>
    </w:p>
    <w:p w14:paraId="15E07F4C" w14:textId="021D69AD" w:rsidR="000629B7" w:rsidRPr="00A2358C" w:rsidRDefault="000629B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342013">
        <w:rPr>
          <w:rFonts w:asciiTheme="majorHAnsi" w:hAnsiTheme="majorHAnsi" w:cstheme="majorHAnsi"/>
          <w:caps w:val="0"/>
          <w:sz w:val="24"/>
          <w:szCs w:val="24"/>
        </w:rPr>
        <w:t>Does PSE witness Ronald J</w:t>
      </w:r>
      <w:r w:rsidR="00342013" w:rsidRPr="00A2358C">
        <w:rPr>
          <w:rFonts w:asciiTheme="majorHAnsi" w:hAnsiTheme="majorHAnsi" w:cstheme="majorHAnsi"/>
          <w:caps w:val="0"/>
          <w:sz w:val="24"/>
          <w:szCs w:val="24"/>
        </w:rPr>
        <w:t>. Roberts agree that the persistent drop in the price of gas has made it difficult for coal plants to compete?</w:t>
      </w:r>
    </w:p>
    <w:p w14:paraId="608056B5" w14:textId="562A489D" w:rsidR="000629B7" w:rsidRPr="00A2358C" w:rsidRDefault="000629B7" w:rsidP="00FE12A8">
      <w:pPr>
        <w:pStyle w:val="A"/>
        <w:spacing w:after="240"/>
        <w:rPr>
          <w:rFonts w:asciiTheme="majorHAnsi" w:hAnsiTheme="majorHAnsi" w:cstheme="majorHAnsi"/>
          <w:sz w:val="24"/>
          <w:szCs w:val="24"/>
        </w:rPr>
      </w:pPr>
      <w:r w:rsidRPr="00A2358C">
        <w:rPr>
          <w:rFonts w:asciiTheme="majorHAnsi" w:hAnsiTheme="majorHAnsi" w:cstheme="majorHAnsi"/>
          <w:sz w:val="24"/>
          <w:szCs w:val="24"/>
        </w:rPr>
        <w:t xml:space="preserve">A. </w:t>
      </w:r>
      <w:r w:rsidRPr="00A2358C">
        <w:rPr>
          <w:rFonts w:asciiTheme="majorHAnsi" w:hAnsiTheme="majorHAnsi" w:cstheme="majorHAnsi"/>
          <w:sz w:val="24"/>
          <w:szCs w:val="24"/>
        </w:rPr>
        <w:tab/>
        <w:t xml:space="preserve">Yes. Mr. Roberts states that “natural gas is now generally cheaper to extract and transport than coal. The development of a cheaper and more readily available energy source has sharply driven down the price of energy. In fact, the price has fallen below the profit </w:t>
      </w:r>
      <w:r w:rsidRPr="00A2358C">
        <w:rPr>
          <w:rFonts w:asciiTheme="majorHAnsi" w:hAnsiTheme="majorHAnsi" w:cstheme="majorHAnsi"/>
          <w:sz w:val="24"/>
          <w:szCs w:val="24"/>
        </w:rPr>
        <w:lastRenderedPageBreak/>
        <w:t>margin of producing coal at many older plants.”</w:t>
      </w:r>
      <w:r w:rsidRPr="00A2358C">
        <w:rPr>
          <w:rStyle w:val="FootnoteReference"/>
          <w:rFonts w:asciiTheme="majorHAnsi" w:hAnsiTheme="majorHAnsi" w:cstheme="majorHAnsi"/>
          <w:sz w:val="24"/>
          <w:szCs w:val="24"/>
        </w:rPr>
        <w:footnoteReference w:id="37"/>
      </w:r>
    </w:p>
    <w:p w14:paraId="2E53EACF" w14:textId="3A20607D" w:rsidR="00D7511E" w:rsidRPr="00A2358C" w:rsidRDefault="00D7511E"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FE12A8" w:rsidRPr="00A2358C">
        <w:rPr>
          <w:rFonts w:asciiTheme="majorHAnsi" w:hAnsiTheme="majorHAnsi" w:cstheme="majorHAnsi"/>
          <w:caps w:val="0"/>
          <w:sz w:val="24"/>
          <w:szCs w:val="24"/>
        </w:rPr>
        <w:t xml:space="preserve">In defending end-of-life dates of 2024 </w:t>
      </w:r>
      <w:r w:rsidR="00FE12A8">
        <w:rPr>
          <w:rFonts w:asciiTheme="majorHAnsi" w:hAnsiTheme="majorHAnsi" w:cstheme="majorHAnsi"/>
          <w:caps w:val="0"/>
          <w:sz w:val="24"/>
          <w:szCs w:val="24"/>
        </w:rPr>
        <w:t>and 2026 for C</w:t>
      </w:r>
      <w:r w:rsidR="00FD7B0F">
        <w:rPr>
          <w:rFonts w:asciiTheme="majorHAnsi" w:hAnsiTheme="majorHAnsi" w:cstheme="majorHAnsi"/>
          <w:caps w:val="0"/>
          <w:sz w:val="24"/>
          <w:szCs w:val="24"/>
        </w:rPr>
        <w:t>olstrip U</w:t>
      </w:r>
      <w:r w:rsidR="00FE12A8" w:rsidRPr="00A2358C">
        <w:rPr>
          <w:rFonts w:asciiTheme="majorHAnsi" w:hAnsiTheme="majorHAnsi" w:cstheme="majorHAnsi"/>
          <w:caps w:val="0"/>
          <w:sz w:val="24"/>
          <w:szCs w:val="24"/>
        </w:rPr>
        <w:t xml:space="preserve">nits 3 and </w:t>
      </w:r>
      <w:r w:rsidR="00FE12A8">
        <w:rPr>
          <w:rFonts w:asciiTheme="majorHAnsi" w:hAnsiTheme="majorHAnsi" w:cstheme="majorHAnsi"/>
          <w:caps w:val="0"/>
          <w:sz w:val="24"/>
          <w:szCs w:val="24"/>
        </w:rPr>
        <w:t>4 in his rebuttal testimony in Docket No. UE-072300, did PSE witness Michael J</w:t>
      </w:r>
      <w:r w:rsidR="00FE12A8" w:rsidRPr="00A2358C">
        <w:rPr>
          <w:rFonts w:asciiTheme="majorHAnsi" w:hAnsiTheme="majorHAnsi" w:cstheme="majorHAnsi"/>
          <w:caps w:val="0"/>
          <w:sz w:val="24"/>
          <w:szCs w:val="24"/>
        </w:rPr>
        <w:t>ones discuss the competition from low-cost natural gas as a factor in setting his recomme</w:t>
      </w:r>
      <w:r w:rsidR="00FE12A8">
        <w:rPr>
          <w:rFonts w:asciiTheme="majorHAnsi" w:hAnsiTheme="majorHAnsi" w:cstheme="majorHAnsi"/>
          <w:caps w:val="0"/>
          <w:sz w:val="24"/>
          <w:szCs w:val="24"/>
        </w:rPr>
        <w:t>nded end-of-life dates for the C</w:t>
      </w:r>
      <w:r w:rsidR="00FE12A8" w:rsidRPr="00A2358C">
        <w:rPr>
          <w:rFonts w:asciiTheme="majorHAnsi" w:hAnsiTheme="majorHAnsi" w:cstheme="majorHAnsi"/>
          <w:caps w:val="0"/>
          <w:sz w:val="24"/>
          <w:szCs w:val="24"/>
        </w:rPr>
        <w:t>olstrip units?</w:t>
      </w:r>
    </w:p>
    <w:p w14:paraId="6463C0AB" w14:textId="4EA0DA13" w:rsidR="00D7511E" w:rsidRPr="00A2358C" w:rsidRDefault="00D7511E" w:rsidP="0043134B">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No. The widespread use of hydraulic fracturing for petrochemicals like natural gas in the United States was just getting started at the time of PSE’s 2007 rate case</w:t>
      </w:r>
      <w:r w:rsidR="00F166CA" w:rsidRPr="00A2358C">
        <w:rPr>
          <w:rFonts w:asciiTheme="majorHAnsi" w:hAnsiTheme="majorHAnsi" w:cstheme="majorHAnsi"/>
          <w:sz w:val="24"/>
          <w:szCs w:val="24"/>
        </w:rPr>
        <w:t>,</w:t>
      </w:r>
      <w:r w:rsidRPr="00A2358C">
        <w:rPr>
          <w:rFonts w:asciiTheme="majorHAnsi" w:hAnsiTheme="majorHAnsi" w:cstheme="majorHAnsi"/>
          <w:sz w:val="24"/>
          <w:szCs w:val="24"/>
        </w:rPr>
        <w:t xml:space="preserve"> and the long-term impact</w:t>
      </w:r>
      <w:r w:rsidR="00F166CA" w:rsidRPr="00A2358C">
        <w:rPr>
          <w:rFonts w:asciiTheme="majorHAnsi" w:hAnsiTheme="majorHAnsi" w:cstheme="majorHAnsi"/>
          <w:sz w:val="24"/>
          <w:szCs w:val="24"/>
        </w:rPr>
        <w:t>s</w:t>
      </w:r>
      <w:r w:rsidRPr="00A2358C">
        <w:rPr>
          <w:rFonts w:asciiTheme="majorHAnsi" w:hAnsiTheme="majorHAnsi" w:cstheme="majorHAnsi"/>
          <w:sz w:val="24"/>
          <w:szCs w:val="24"/>
        </w:rPr>
        <w:t xml:space="preserve"> of this process on the price and availability of natural gas were not widely anticipated at that time.</w:t>
      </w:r>
      <w:r w:rsidR="00CE358F">
        <w:rPr>
          <w:rFonts w:asciiTheme="majorHAnsi" w:hAnsiTheme="majorHAnsi" w:cstheme="majorHAnsi"/>
          <w:sz w:val="24"/>
          <w:szCs w:val="24"/>
        </w:rPr>
        <w:t xml:space="preserve"> </w:t>
      </w:r>
      <w:r w:rsidR="00CE358F" w:rsidRPr="003A213F">
        <w:rPr>
          <w:sz w:val="24"/>
        </w:rPr>
        <w:t>Figure</w:t>
      </w:r>
      <w:r w:rsidR="003A213F" w:rsidRPr="003A213F">
        <w:rPr>
          <w:sz w:val="24"/>
        </w:rPr>
        <w:t xml:space="preserve"> 1</w:t>
      </w:r>
      <w:r w:rsidR="00CE358F" w:rsidRPr="003A213F">
        <w:rPr>
          <w:sz w:val="24"/>
        </w:rPr>
        <w:t>,</w:t>
      </w:r>
      <w:r w:rsidRPr="003A213F">
        <w:rPr>
          <w:rFonts w:asciiTheme="majorHAnsi" w:hAnsiTheme="majorHAnsi" w:cstheme="majorHAnsi"/>
          <w:sz w:val="28"/>
          <w:szCs w:val="24"/>
        </w:rPr>
        <w:t xml:space="preserve"> </w:t>
      </w:r>
      <w:r w:rsidRPr="003A213F">
        <w:rPr>
          <w:rFonts w:asciiTheme="majorHAnsi" w:hAnsiTheme="majorHAnsi" w:cstheme="majorHAnsi"/>
          <w:sz w:val="24"/>
          <w:szCs w:val="24"/>
        </w:rPr>
        <w:t>above</w:t>
      </w:r>
      <w:r w:rsidRPr="00A2358C">
        <w:rPr>
          <w:rFonts w:asciiTheme="majorHAnsi" w:hAnsiTheme="majorHAnsi" w:cstheme="majorHAnsi"/>
          <w:sz w:val="24"/>
          <w:szCs w:val="24"/>
        </w:rPr>
        <w:t>, illustrates the dramatic change in outlook between 2007 and the present. Mr. Jones was projecting 2024 and 2026 retirement dates under the assumption of far higher costs for replacement energy, and thus much stronger economics, for the Colstrip units.</w:t>
      </w:r>
    </w:p>
    <w:p w14:paraId="68EAD588" w14:textId="20A3C768" w:rsidR="00AE1FB2" w:rsidRPr="00A2358C" w:rsidRDefault="00AE1FB2"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3134B">
        <w:rPr>
          <w:rFonts w:asciiTheme="majorHAnsi" w:hAnsiTheme="majorHAnsi" w:cstheme="majorHAnsi"/>
          <w:caps w:val="0"/>
          <w:sz w:val="24"/>
          <w:szCs w:val="24"/>
        </w:rPr>
        <w:t>Did M</w:t>
      </w:r>
      <w:r w:rsidR="0043134B" w:rsidRPr="00A2358C">
        <w:rPr>
          <w:rFonts w:asciiTheme="majorHAnsi" w:hAnsiTheme="majorHAnsi" w:cstheme="majorHAnsi"/>
          <w:caps w:val="0"/>
          <w:sz w:val="24"/>
          <w:szCs w:val="24"/>
        </w:rPr>
        <w:t>r. Jones discuss chall</w:t>
      </w:r>
      <w:r w:rsidR="0043134B">
        <w:rPr>
          <w:rFonts w:asciiTheme="majorHAnsi" w:hAnsiTheme="majorHAnsi" w:cstheme="majorHAnsi"/>
          <w:caps w:val="0"/>
          <w:sz w:val="24"/>
          <w:szCs w:val="24"/>
        </w:rPr>
        <w:t>enges with the coal supply for C</w:t>
      </w:r>
      <w:r w:rsidR="00FD7B0F">
        <w:rPr>
          <w:rFonts w:asciiTheme="majorHAnsi" w:hAnsiTheme="majorHAnsi" w:cstheme="majorHAnsi"/>
          <w:caps w:val="0"/>
          <w:sz w:val="24"/>
          <w:szCs w:val="24"/>
        </w:rPr>
        <w:t>olstrip U</w:t>
      </w:r>
      <w:r w:rsidR="0043134B" w:rsidRPr="00A2358C">
        <w:rPr>
          <w:rFonts w:asciiTheme="majorHAnsi" w:hAnsiTheme="majorHAnsi" w:cstheme="majorHAnsi"/>
          <w:caps w:val="0"/>
          <w:sz w:val="24"/>
          <w:szCs w:val="24"/>
        </w:rPr>
        <w:t>nits 3 and 4</w:t>
      </w:r>
      <w:r w:rsidRPr="00A2358C">
        <w:rPr>
          <w:rFonts w:asciiTheme="majorHAnsi" w:hAnsiTheme="majorHAnsi" w:cstheme="majorHAnsi"/>
          <w:sz w:val="24"/>
          <w:szCs w:val="24"/>
        </w:rPr>
        <w:t>?</w:t>
      </w:r>
    </w:p>
    <w:p w14:paraId="4A4D867A" w14:textId="0E009359" w:rsidR="00AE1FB2" w:rsidRPr="00A2358C" w:rsidRDefault="00AE1FB2" w:rsidP="0043134B">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Mr. Jones </w:t>
      </w:r>
      <w:r w:rsidR="00372AEF" w:rsidRPr="00A2358C">
        <w:rPr>
          <w:rFonts w:asciiTheme="majorHAnsi" w:hAnsiTheme="majorHAnsi" w:cstheme="majorHAnsi"/>
          <w:sz w:val="24"/>
          <w:szCs w:val="24"/>
        </w:rPr>
        <w:t xml:space="preserve">only addressed coal supply issues for Units 1 and 2. The owners of these units had </w:t>
      </w:r>
      <w:r w:rsidR="00D7511E" w:rsidRPr="00A2358C">
        <w:rPr>
          <w:rFonts w:asciiTheme="majorHAnsi" w:hAnsiTheme="majorHAnsi" w:cstheme="majorHAnsi"/>
          <w:sz w:val="24"/>
          <w:szCs w:val="24"/>
        </w:rPr>
        <w:t xml:space="preserve">only </w:t>
      </w:r>
      <w:r w:rsidR="00372AEF" w:rsidRPr="00A2358C">
        <w:rPr>
          <w:rFonts w:asciiTheme="majorHAnsi" w:hAnsiTheme="majorHAnsi" w:cstheme="majorHAnsi"/>
          <w:sz w:val="24"/>
          <w:szCs w:val="24"/>
        </w:rPr>
        <w:t>just negotiated a coal supply agreement with the Rosebud mine,</w:t>
      </w:r>
      <w:r w:rsidR="00372AEF" w:rsidRPr="00A2358C">
        <w:rPr>
          <w:rStyle w:val="FootnoteReference"/>
          <w:rFonts w:asciiTheme="majorHAnsi" w:hAnsiTheme="majorHAnsi" w:cstheme="majorHAnsi"/>
          <w:sz w:val="24"/>
          <w:szCs w:val="24"/>
        </w:rPr>
        <w:footnoteReference w:id="38"/>
      </w:r>
      <w:r w:rsidR="00372AEF" w:rsidRPr="00A2358C">
        <w:rPr>
          <w:rFonts w:asciiTheme="majorHAnsi" w:hAnsiTheme="majorHAnsi" w:cstheme="majorHAnsi"/>
          <w:sz w:val="24"/>
          <w:szCs w:val="24"/>
        </w:rPr>
        <w:t xml:space="preserve"> giving Mr. Jones the confidence that these units could run until his projected retirement date. As Mr. Jones, testified, “Only after the owners of Colstrip Units 1 and 2 obtained a commitment for a new coal supply agreement with the Rosebud mine did I recommend extending the terminal dates used in the depreciation study to 2019 for Colstrip Units 1 </w:t>
      </w:r>
      <w:r w:rsidR="00372AEF" w:rsidRPr="00A2358C">
        <w:rPr>
          <w:rFonts w:asciiTheme="majorHAnsi" w:hAnsiTheme="majorHAnsi" w:cstheme="majorHAnsi"/>
          <w:sz w:val="24"/>
          <w:szCs w:val="24"/>
        </w:rPr>
        <w:lastRenderedPageBreak/>
        <w:t>and 2.”</w:t>
      </w:r>
      <w:r w:rsidR="00372AEF" w:rsidRPr="00A2358C">
        <w:rPr>
          <w:rStyle w:val="FootnoteReference"/>
          <w:rFonts w:asciiTheme="majorHAnsi" w:hAnsiTheme="majorHAnsi" w:cstheme="majorHAnsi"/>
          <w:sz w:val="24"/>
          <w:szCs w:val="24"/>
        </w:rPr>
        <w:footnoteReference w:id="39"/>
      </w:r>
    </w:p>
    <w:p w14:paraId="4A3AF28F" w14:textId="1F391F05" w:rsidR="00FC6996" w:rsidRPr="00A2358C" w:rsidRDefault="00FC6996"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43134B" w:rsidRPr="00A2358C">
        <w:rPr>
          <w:rFonts w:asciiTheme="majorHAnsi" w:hAnsiTheme="majorHAnsi" w:cstheme="majorHAnsi"/>
          <w:caps w:val="0"/>
          <w:sz w:val="24"/>
          <w:szCs w:val="24"/>
        </w:rPr>
        <w:t>What is the curren</w:t>
      </w:r>
      <w:r w:rsidR="0043134B">
        <w:rPr>
          <w:rFonts w:asciiTheme="majorHAnsi" w:hAnsiTheme="majorHAnsi" w:cstheme="majorHAnsi"/>
          <w:caps w:val="0"/>
          <w:sz w:val="24"/>
          <w:szCs w:val="24"/>
        </w:rPr>
        <w:t>t status of the agreement with Western E</w:t>
      </w:r>
      <w:r w:rsidR="0043134B" w:rsidRPr="00A2358C">
        <w:rPr>
          <w:rFonts w:asciiTheme="majorHAnsi" w:hAnsiTheme="majorHAnsi" w:cstheme="majorHAnsi"/>
          <w:caps w:val="0"/>
          <w:sz w:val="24"/>
          <w:szCs w:val="24"/>
        </w:rPr>
        <w:t>ne</w:t>
      </w:r>
      <w:r w:rsidR="0043134B">
        <w:rPr>
          <w:rFonts w:asciiTheme="majorHAnsi" w:hAnsiTheme="majorHAnsi" w:cstheme="majorHAnsi"/>
          <w:caps w:val="0"/>
          <w:sz w:val="24"/>
          <w:szCs w:val="24"/>
        </w:rPr>
        <w:t>rgy Company to supply coal for C</w:t>
      </w:r>
      <w:r w:rsidR="00FD7B0F">
        <w:rPr>
          <w:rFonts w:asciiTheme="majorHAnsi" w:hAnsiTheme="majorHAnsi" w:cstheme="majorHAnsi"/>
          <w:caps w:val="0"/>
          <w:sz w:val="24"/>
          <w:szCs w:val="24"/>
        </w:rPr>
        <w:t>olstrip U</w:t>
      </w:r>
      <w:r w:rsidR="0043134B" w:rsidRPr="00A2358C">
        <w:rPr>
          <w:rFonts w:asciiTheme="majorHAnsi" w:hAnsiTheme="majorHAnsi" w:cstheme="majorHAnsi"/>
          <w:caps w:val="0"/>
          <w:sz w:val="24"/>
          <w:szCs w:val="24"/>
        </w:rPr>
        <w:t>nits 3 and 4?</w:t>
      </w:r>
    </w:p>
    <w:p w14:paraId="4FC025AF" w14:textId="673B457B" w:rsidR="002066E8" w:rsidRPr="00A2358C" w:rsidRDefault="00FC6996"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According to PSE’s response to Sierra Club Data Request </w:t>
      </w:r>
      <w:r w:rsidR="001519D7" w:rsidRPr="00A2358C">
        <w:rPr>
          <w:rFonts w:asciiTheme="majorHAnsi" w:hAnsiTheme="majorHAnsi" w:cstheme="majorHAnsi"/>
          <w:sz w:val="24"/>
          <w:szCs w:val="24"/>
        </w:rPr>
        <w:t xml:space="preserve">No. </w:t>
      </w:r>
      <w:r w:rsidR="00363818">
        <w:rPr>
          <w:rFonts w:asciiTheme="majorHAnsi" w:hAnsiTheme="majorHAnsi" w:cstheme="majorHAnsi"/>
          <w:sz w:val="24"/>
          <w:szCs w:val="24"/>
        </w:rPr>
        <w:t>0</w:t>
      </w:r>
      <w:r w:rsidRPr="00A2358C">
        <w:rPr>
          <w:rFonts w:asciiTheme="majorHAnsi" w:hAnsiTheme="majorHAnsi" w:cstheme="majorHAnsi"/>
          <w:sz w:val="24"/>
          <w:szCs w:val="24"/>
        </w:rPr>
        <w:t xml:space="preserve">11, </w:t>
      </w:r>
      <w:r w:rsidR="00F36907" w:rsidRPr="00A2358C">
        <w:rPr>
          <w:rFonts w:asciiTheme="majorHAnsi" w:hAnsiTheme="majorHAnsi" w:cstheme="majorHAnsi"/>
          <w:sz w:val="24"/>
          <w:szCs w:val="24"/>
        </w:rPr>
        <w:t>t</w:t>
      </w:r>
      <w:r w:rsidRPr="00A2358C">
        <w:rPr>
          <w:rFonts w:asciiTheme="majorHAnsi" w:hAnsiTheme="majorHAnsi" w:cstheme="majorHAnsi"/>
          <w:sz w:val="24"/>
          <w:szCs w:val="24"/>
        </w:rPr>
        <w:t>his contract</w:t>
      </w:r>
      <w:r w:rsidR="00F36907" w:rsidRPr="00A2358C">
        <w:rPr>
          <w:rFonts w:asciiTheme="majorHAnsi" w:hAnsiTheme="majorHAnsi" w:cstheme="majorHAnsi"/>
          <w:sz w:val="24"/>
          <w:szCs w:val="24"/>
        </w:rPr>
        <w:t xml:space="preserve">, like the Colstrip 1 and 2 coal supply contract, </w:t>
      </w:r>
      <w:r w:rsidRPr="00A2358C">
        <w:rPr>
          <w:rFonts w:asciiTheme="majorHAnsi" w:hAnsiTheme="majorHAnsi" w:cstheme="majorHAnsi"/>
          <w:sz w:val="24"/>
          <w:szCs w:val="24"/>
        </w:rPr>
        <w:t>expires on December 31, 2019.</w:t>
      </w:r>
      <w:r w:rsidR="00B4040E" w:rsidRPr="00A2358C">
        <w:rPr>
          <w:rStyle w:val="FootnoteReference"/>
          <w:rFonts w:asciiTheme="majorHAnsi" w:hAnsiTheme="majorHAnsi" w:cstheme="majorHAnsi"/>
          <w:sz w:val="24"/>
          <w:szCs w:val="24"/>
        </w:rPr>
        <w:footnoteReference w:id="40"/>
      </w:r>
      <w:r w:rsidRPr="00A2358C">
        <w:rPr>
          <w:rFonts w:asciiTheme="majorHAnsi" w:hAnsiTheme="majorHAnsi" w:cstheme="majorHAnsi"/>
          <w:sz w:val="24"/>
          <w:szCs w:val="24"/>
        </w:rPr>
        <w:t xml:space="preserve"> </w:t>
      </w:r>
      <w:r w:rsidR="001905DC" w:rsidRPr="00A2358C">
        <w:rPr>
          <w:rFonts w:asciiTheme="majorHAnsi" w:hAnsiTheme="majorHAnsi" w:cstheme="majorHAnsi"/>
          <w:sz w:val="24"/>
          <w:szCs w:val="24"/>
        </w:rPr>
        <w:t xml:space="preserve">In responding to </w:t>
      </w:r>
      <w:r w:rsidR="00D7511E" w:rsidRPr="00A2358C">
        <w:rPr>
          <w:rFonts w:asciiTheme="majorHAnsi" w:hAnsiTheme="majorHAnsi" w:cstheme="majorHAnsi"/>
          <w:sz w:val="24"/>
          <w:szCs w:val="24"/>
        </w:rPr>
        <w:t xml:space="preserve">this </w:t>
      </w:r>
      <w:r w:rsidR="001905DC" w:rsidRPr="00A2358C">
        <w:rPr>
          <w:rFonts w:asciiTheme="majorHAnsi" w:hAnsiTheme="majorHAnsi" w:cstheme="majorHAnsi"/>
          <w:sz w:val="24"/>
          <w:szCs w:val="24"/>
        </w:rPr>
        <w:t>data request</w:t>
      </w:r>
      <w:r w:rsidR="001519D7" w:rsidRPr="00A2358C">
        <w:rPr>
          <w:rFonts w:asciiTheme="majorHAnsi" w:hAnsiTheme="majorHAnsi" w:cstheme="majorHAnsi"/>
          <w:sz w:val="24"/>
          <w:szCs w:val="24"/>
        </w:rPr>
        <w:t xml:space="preserve"> </w:t>
      </w:r>
      <w:r w:rsidRPr="00A2358C">
        <w:rPr>
          <w:rFonts w:asciiTheme="majorHAnsi" w:hAnsiTheme="majorHAnsi" w:cstheme="majorHAnsi"/>
          <w:sz w:val="24"/>
          <w:szCs w:val="24"/>
        </w:rPr>
        <w:t xml:space="preserve">PSE objected to Sierra Club’s inquiry about the likely future cost of coal for these units as “speculative”, as the company </w:t>
      </w:r>
      <w:r w:rsidR="00B4040E" w:rsidRPr="00A2358C">
        <w:rPr>
          <w:rFonts w:asciiTheme="majorHAnsi" w:hAnsiTheme="majorHAnsi" w:cstheme="majorHAnsi"/>
          <w:sz w:val="24"/>
          <w:szCs w:val="24"/>
        </w:rPr>
        <w:t xml:space="preserve">was </w:t>
      </w:r>
      <w:r w:rsidRPr="00A2358C">
        <w:rPr>
          <w:rFonts w:asciiTheme="majorHAnsi" w:hAnsiTheme="majorHAnsi" w:cstheme="majorHAnsi"/>
          <w:sz w:val="24"/>
          <w:szCs w:val="24"/>
        </w:rPr>
        <w:t>still in negotiations to renew this contract.</w:t>
      </w:r>
      <w:r w:rsidR="00B81050" w:rsidRPr="00A2358C">
        <w:rPr>
          <w:rFonts w:asciiTheme="majorHAnsi" w:hAnsiTheme="majorHAnsi" w:cstheme="majorHAnsi"/>
          <w:sz w:val="24"/>
          <w:szCs w:val="24"/>
        </w:rPr>
        <w:t xml:space="preserve"> In other words, PSE and Talen Energy do not know at this time whether or at what price they will be able to negotiate a long-term coal supply contract </w:t>
      </w:r>
      <w:r w:rsidR="001519D7" w:rsidRPr="00A2358C">
        <w:rPr>
          <w:rFonts w:asciiTheme="majorHAnsi" w:hAnsiTheme="majorHAnsi" w:cstheme="majorHAnsi"/>
          <w:sz w:val="24"/>
          <w:szCs w:val="24"/>
        </w:rPr>
        <w:t xml:space="preserve">from the Rosebud Mine </w:t>
      </w:r>
      <w:r w:rsidR="00B81050" w:rsidRPr="00A2358C">
        <w:rPr>
          <w:rFonts w:asciiTheme="majorHAnsi" w:hAnsiTheme="majorHAnsi" w:cstheme="majorHAnsi"/>
          <w:sz w:val="24"/>
          <w:szCs w:val="24"/>
        </w:rPr>
        <w:t>for Units 3 and 4.</w:t>
      </w:r>
      <w:r w:rsidR="0096338D" w:rsidRPr="00A2358C">
        <w:rPr>
          <w:rFonts w:asciiTheme="majorHAnsi" w:hAnsiTheme="majorHAnsi" w:cstheme="majorHAnsi"/>
          <w:sz w:val="24"/>
          <w:szCs w:val="24"/>
        </w:rPr>
        <w:t xml:space="preserve"> </w:t>
      </w:r>
    </w:p>
    <w:p w14:paraId="1FD8461E" w14:textId="75359862" w:rsidR="004C752B" w:rsidRPr="00A2358C" w:rsidRDefault="001519D7" w:rsidP="0092584C">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I</w:t>
      </w:r>
      <w:r w:rsidR="00455066" w:rsidRPr="00A2358C">
        <w:rPr>
          <w:rFonts w:asciiTheme="majorHAnsi" w:hAnsiTheme="majorHAnsi" w:cstheme="majorHAnsi"/>
          <w:sz w:val="24"/>
          <w:szCs w:val="24"/>
        </w:rPr>
        <w:t>t is likely that the same resource depletion and elevated strip ratio considerations that triggered termination of the Unit 1 and 2 supply contract also affect the viability and cost of supply for Units 3 and 4.</w:t>
      </w:r>
      <w:r w:rsidR="00B4040E" w:rsidRPr="00A2358C">
        <w:rPr>
          <w:rStyle w:val="FootnoteReference"/>
          <w:rFonts w:asciiTheme="majorHAnsi" w:hAnsiTheme="majorHAnsi" w:cstheme="majorHAnsi"/>
          <w:sz w:val="24"/>
          <w:szCs w:val="24"/>
        </w:rPr>
        <w:footnoteReference w:id="41"/>
      </w:r>
      <w:r w:rsidR="002066E8" w:rsidRPr="00A2358C">
        <w:rPr>
          <w:rFonts w:asciiTheme="majorHAnsi" w:hAnsiTheme="majorHAnsi" w:cstheme="majorHAnsi"/>
          <w:sz w:val="24"/>
          <w:szCs w:val="24"/>
        </w:rPr>
        <w:t xml:space="preserve"> </w:t>
      </w:r>
      <w:r w:rsidR="004306EB" w:rsidRPr="00A2358C">
        <w:rPr>
          <w:rFonts w:asciiTheme="majorHAnsi" w:hAnsiTheme="majorHAnsi" w:cstheme="majorHAnsi"/>
          <w:sz w:val="24"/>
          <w:szCs w:val="24"/>
        </w:rPr>
        <w:t xml:space="preserve">Westmoreland Coal’s </w:t>
      </w:r>
      <w:r w:rsidR="00C90F35" w:rsidRPr="00A2358C">
        <w:rPr>
          <w:rFonts w:asciiTheme="majorHAnsi" w:hAnsiTheme="majorHAnsi" w:cstheme="majorHAnsi"/>
          <w:sz w:val="24"/>
          <w:szCs w:val="24"/>
        </w:rPr>
        <w:t>2016</w:t>
      </w:r>
      <w:r w:rsidR="004306EB" w:rsidRPr="00A2358C">
        <w:rPr>
          <w:rFonts w:asciiTheme="majorHAnsi" w:hAnsiTheme="majorHAnsi" w:cstheme="majorHAnsi"/>
          <w:b/>
          <w:sz w:val="24"/>
          <w:szCs w:val="24"/>
        </w:rPr>
        <w:t xml:space="preserve"> </w:t>
      </w:r>
      <w:r w:rsidR="004306EB" w:rsidRPr="00A2358C">
        <w:rPr>
          <w:rFonts w:asciiTheme="majorHAnsi" w:hAnsiTheme="majorHAnsi" w:cstheme="majorHAnsi"/>
          <w:sz w:val="24"/>
          <w:szCs w:val="24"/>
        </w:rPr>
        <w:t>10-k</w:t>
      </w:r>
      <w:r w:rsidR="004306EB" w:rsidRPr="00A2358C">
        <w:rPr>
          <w:rStyle w:val="FootnoteReference"/>
          <w:rFonts w:asciiTheme="majorHAnsi" w:hAnsiTheme="majorHAnsi" w:cstheme="majorHAnsi"/>
          <w:sz w:val="24"/>
          <w:szCs w:val="24"/>
        </w:rPr>
        <w:footnoteReference w:id="42"/>
      </w:r>
      <w:r w:rsidR="004306EB" w:rsidRPr="00A2358C">
        <w:rPr>
          <w:rFonts w:asciiTheme="majorHAnsi" w:hAnsiTheme="majorHAnsi" w:cstheme="majorHAnsi"/>
          <w:sz w:val="24"/>
          <w:szCs w:val="24"/>
        </w:rPr>
        <w:t xml:space="preserve"> suggests that the currently permitted resources of the Rosebud Mine will be exhausted by 2024 – an estimate acknowledged by PSE in response to Sierra Club Data Request No. </w:t>
      </w:r>
      <w:r w:rsidR="00F55179">
        <w:rPr>
          <w:rFonts w:asciiTheme="majorHAnsi" w:hAnsiTheme="majorHAnsi" w:cstheme="majorHAnsi"/>
          <w:sz w:val="24"/>
          <w:szCs w:val="24"/>
        </w:rPr>
        <w:t>0</w:t>
      </w:r>
      <w:r w:rsidR="004306EB" w:rsidRPr="00A2358C">
        <w:rPr>
          <w:rFonts w:asciiTheme="majorHAnsi" w:hAnsiTheme="majorHAnsi" w:cstheme="majorHAnsi"/>
          <w:sz w:val="24"/>
          <w:szCs w:val="24"/>
        </w:rPr>
        <w:t>13.</w:t>
      </w:r>
      <w:r w:rsidR="004306EB" w:rsidRPr="00A2358C">
        <w:rPr>
          <w:rStyle w:val="FootnoteReference"/>
          <w:rFonts w:asciiTheme="majorHAnsi" w:hAnsiTheme="majorHAnsi" w:cstheme="majorHAnsi"/>
          <w:sz w:val="24"/>
          <w:szCs w:val="24"/>
        </w:rPr>
        <w:footnoteReference w:id="43"/>
      </w:r>
      <w:r w:rsidR="004306EB" w:rsidRPr="00A2358C">
        <w:rPr>
          <w:rFonts w:asciiTheme="majorHAnsi" w:hAnsiTheme="majorHAnsi" w:cstheme="majorHAnsi"/>
          <w:sz w:val="24"/>
          <w:szCs w:val="24"/>
        </w:rPr>
        <w:t xml:space="preserve"> This adds even greater uncertainty to the availability of a viable fuel supply for Units 3 and 4 beyond that year.</w:t>
      </w:r>
    </w:p>
    <w:p w14:paraId="2F163BBB" w14:textId="151F5F75" w:rsidR="00FC6996" w:rsidRPr="00A2358C" w:rsidRDefault="008A1EB1" w:rsidP="001809FB">
      <w:pPr>
        <w:pStyle w:val="Q"/>
        <w:rPr>
          <w:rFonts w:asciiTheme="majorHAnsi" w:hAnsiTheme="majorHAnsi" w:cstheme="majorHAnsi"/>
          <w:sz w:val="24"/>
          <w:szCs w:val="24"/>
        </w:rPr>
      </w:pPr>
      <w:r w:rsidRPr="00A2358C">
        <w:rPr>
          <w:rFonts w:asciiTheme="majorHAnsi" w:hAnsiTheme="majorHAnsi" w:cstheme="majorHAnsi"/>
          <w:sz w:val="24"/>
          <w:szCs w:val="24"/>
        </w:rPr>
        <w:lastRenderedPageBreak/>
        <w:t>Q.</w:t>
      </w:r>
      <w:r w:rsidRPr="00A2358C">
        <w:rPr>
          <w:rFonts w:asciiTheme="majorHAnsi" w:hAnsiTheme="majorHAnsi" w:cstheme="majorHAnsi"/>
          <w:sz w:val="24"/>
          <w:szCs w:val="24"/>
        </w:rPr>
        <w:tab/>
      </w:r>
      <w:r w:rsidR="00D331CB" w:rsidRPr="00A2358C">
        <w:rPr>
          <w:rFonts w:asciiTheme="majorHAnsi" w:hAnsiTheme="majorHAnsi" w:cstheme="majorHAnsi"/>
          <w:caps w:val="0"/>
          <w:sz w:val="24"/>
          <w:szCs w:val="24"/>
        </w:rPr>
        <w:t>Can you provide any evidence of the general industry expectation for the gro</w:t>
      </w:r>
      <w:r w:rsidR="00D331CB">
        <w:rPr>
          <w:rFonts w:asciiTheme="majorHAnsi" w:hAnsiTheme="majorHAnsi" w:cstheme="majorHAnsi"/>
          <w:caps w:val="0"/>
          <w:sz w:val="24"/>
          <w:szCs w:val="24"/>
        </w:rPr>
        <w:t>wth in renewable energy in the United S</w:t>
      </w:r>
      <w:r w:rsidR="00D331CB" w:rsidRPr="00A2358C">
        <w:rPr>
          <w:rFonts w:asciiTheme="majorHAnsi" w:hAnsiTheme="majorHAnsi" w:cstheme="majorHAnsi"/>
          <w:caps w:val="0"/>
          <w:sz w:val="24"/>
          <w:szCs w:val="24"/>
        </w:rPr>
        <w:t>tates as of 2007, compared to the expectation today?</w:t>
      </w:r>
    </w:p>
    <w:p w14:paraId="5CF8C901" w14:textId="0862B441" w:rsidR="008A1EB1" w:rsidRDefault="008A1EB1"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Yes. The EIA’s Annual Energy Outlook </w:t>
      </w:r>
      <w:r w:rsidR="00B4040E" w:rsidRPr="00A2358C">
        <w:rPr>
          <w:rFonts w:asciiTheme="majorHAnsi" w:hAnsiTheme="majorHAnsi" w:cstheme="majorHAnsi"/>
          <w:sz w:val="24"/>
          <w:szCs w:val="24"/>
        </w:rPr>
        <w:t xml:space="preserve">(AEO) </w:t>
      </w:r>
      <w:r w:rsidRPr="00A2358C">
        <w:rPr>
          <w:rFonts w:asciiTheme="majorHAnsi" w:hAnsiTheme="majorHAnsi" w:cstheme="majorHAnsi"/>
          <w:sz w:val="24"/>
          <w:szCs w:val="24"/>
        </w:rPr>
        <w:t xml:space="preserve">provides multi-decadal forecasts of electricity generation sources that are widely considered to be the industry standard. </w:t>
      </w:r>
      <w:r w:rsidR="00FE59B6">
        <w:rPr>
          <w:rFonts w:asciiTheme="majorHAnsi" w:hAnsiTheme="majorHAnsi" w:cstheme="majorHAnsi"/>
          <w:sz w:val="24"/>
          <w:szCs w:val="24"/>
        </w:rPr>
        <w:t xml:space="preserve">Figure 2 </w:t>
      </w:r>
      <w:r w:rsidRPr="00A2358C">
        <w:rPr>
          <w:rFonts w:asciiTheme="majorHAnsi" w:hAnsiTheme="majorHAnsi" w:cstheme="majorHAnsi"/>
          <w:sz w:val="24"/>
          <w:szCs w:val="24"/>
        </w:rPr>
        <w:t>compares the predictions made in 2007 with expectations from the most recent edition</w:t>
      </w:r>
      <w:r w:rsidR="001519D7" w:rsidRPr="00A2358C">
        <w:rPr>
          <w:rFonts w:asciiTheme="majorHAnsi" w:hAnsiTheme="majorHAnsi" w:cstheme="majorHAnsi"/>
          <w:sz w:val="24"/>
          <w:szCs w:val="24"/>
        </w:rPr>
        <w:t xml:space="preserve"> of the AEO</w:t>
      </w:r>
      <w:r w:rsidRPr="00A2358C">
        <w:rPr>
          <w:rFonts w:asciiTheme="majorHAnsi" w:hAnsiTheme="majorHAnsi" w:cstheme="majorHAnsi"/>
          <w:sz w:val="24"/>
          <w:szCs w:val="24"/>
        </w:rPr>
        <w:t xml:space="preserve">. </w:t>
      </w:r>
      <w:r w:rsidR="00B4040E" w:rsidRPr="00A2358C">
        <w:rPr>
          <w:rFonts w:asciiTheme="majorHAnsi" w:hAnsiTheme="majorHAnsi" w:cstheme="majorHAnsi"/>
          <w:sz w:val="24"/>
          <w:szCs w:val="24"/>
        </w:rPr>
        <w:t>In the 2007 AEO forecast, EIA predicted</w:t>
      </w:r>
      <w:r w:rsidR="004306EB" w:rsidRPr="00A2358C">
        <w:rPr>
          <w:rFonts w:asciiTheme="majorHAnsi" w:hAnsiTheme="majorHAnsi" w:cstheme="majorHAnsi"/>
          <w:sz w:val="24"/>
          <w:szCs w:val="24"/>
        </w:rPr>
        <w:t xml:space="preserve"> modest </w:t>
      </w:r>
      <w:r w:rsidR="00D05D3A" w:rsidRPr="00A2358C">
        <w:rPr>
          <w:rFonts w:asciiTheme="majorHAnsi" w:hAnsiTheme="majorHAnsi" w:cstheme="majorHAnsi"/>
          <w:sz w:val="24"/>
          <w:szCs w:val="24"/>
        </w:rPr>
        <w:t xml:space="preserve">long-term </w:t>
      </w:r>
      <w:r w:rsidR="004306EB" w:rsidRPr="00A2358C">
        <w:rPr>
          <w:rFonts w:asciiTheme="majorHAnsi" w:hAnsiTheme="majorHAnsi" w:cstheme="majorHAnsi"/>
          <w:sz w:val="24"/>
          <w:szCs w:val="24"/>
        </w:rPr>
        <w:t>growth of renewable energy in the Unites States,</w:t>
      </w:r>
      <w:r w:rsidR="00D05D3A" w:rsidRPr="00A2358C">
        <w:rPr>
          <w:rFonts w:asciiTheme="majorHAnsi" w:hAnsiTheme="majorHAnsi" w:cstheme="majorHAnsi"/>
          <w:sz w:val="24"/>
          <w:szCs w:val="24"/>
        </w:rPr>
        <w:t xml:space="preserve"> with about 16% increase in output by 2017 and 19% by 2024.</w:t>
      </w:r>
      <w:r w:rsidR="00B4040E" w:rsidRPr="00A2358C">
        <w:rPr>
          <w:rFonts w:asciiTheme="majorHAnsi" w:hAnsiTheme="majorHAnsi" w:cstheme="majorHAnsi"/>
          <w:sz w:val="24"/>
          <w:szCs w:val="24"/>
        </w:rPr>
        <w:t xml:space="preserve"> </w:t>
      </w:r>
      <w:r w:rsidR="00D05D3A" w:rsidRPr="00A2358C">
        <w:rPr>
          <w:rFonts w:asciiTheme="majorHAnsi" w:hAnsiTheme="majorHAnsi" w:cstheme="majorHAnsi"/>
          <w:sz w:val="24"/>
          <w:szCs w:val="24"/>
        </w:rPr>
        <w:t xml:space="preserve">The plummeting cost and technological improvements of the intervening years have changed this outlook considerably, </w:t>
      </w:r>
      <w:r w:rsidR="00B4040E" w:rsidRPr="00A2358C">
        <w:rPr>
          <w:rFonts w:asciiTheme="majorHAnsi" w:hAnsiTheme="majorHAnsi" w:cstheme="majorHAnsi"/>
          <w:sz w:val="24"/>
          <w:szCs w:val="24"/>
        </w:rPr>
        <w:t xml:space="preserve">as shown in Figure 3. </w:t>
      </w:r>
      <w:r w:rsidRPr="00A2358C">
        <w:rPr>
          <w:rFonts w:asciiTheme="majorHAnsi" w:hAnsiTheme="majorHAnsi" w:cstheme="majorHAnsi"/>
          <w:sz w:val="24"/>
          <w:szCs w:val="24"/>
        </w:rPr>
        <w:t xml:space="preserve">Given the availability of updated information, AEO </w:t>
      </w:r>
      <w:r w:rsidR="00D05D3A" w:rsidRPr="00A2358C">
        <w:rPr>
          <w:rFonts w:asciiTheme="majorHAnsi" w:hAnsiTheme="majorHAnsi" w:cstheme="majorHAnsi"/>
          <w:sz w:val="24"/>
          <w:szCs w:val="24"/>
        </w:rPr>
        <w:t xml:space="preserve">now </w:t>
      </w:r>
      <w:r w:rsidRPr="00A2358C">
        <w:rPr>
          <w:rFonts w:asciiTheme="majorHAnsi" w:hAnsiTheme="majorHAnsi" w:cstheme="majorHAnsi"/>
          <w:sz w:val="24"/>
          <w:szCs w:val="24"/>
        </w:rPr>
        <w:t xml:space="preserve">projects total renewable energy output for 2017 that is about </w:t>
      </w:r>
      <w:r w:rsidR="00D05D3A" w:rsidRPr="00A2358C">
        <w:rPr>
          <w:rFonts w:asciiTheme="majorHAnsi" w:hAnsiTheme="majorHAnsi" w:cstheme="majorHAnsi"/>
          <w:sz w:val="24"/>
          <w:szCs w:val="24"/>
        </w:rPr>
        <w:t>35</w:t>
      </w:r>
      <w:r w:rsidRPr="00A2358C">
        <w:rPr>
          <w:rFonts w:asciiTheme="majorHAnsi" w:hAnsiTheme="majorHAnsi" w:cstheme="majorHAnsi"/>
          <w:sz w:val="24"/>
          <w:szCs w:val="24"/>
        </w:rPr>
        <w:t xml:space="preserve">% greater than was </w:t>
      </w:r>
      <w:r w:rsidR="00D05D3A" w:rsidRPr="00A2358C">
        <w:rPr>
          <w:rFonts w:asciiTheme="majorHAnsi" w:hAnsiTheme="majorHAnsi" w:cstheme="majorHAnsi"/>
          <w:sz w:val="24"/>
          <w:szCs w:val="24"/>
        </w:rPr>
        <w:t xml:space="preserve">available </w:t>
      </w:r>
      <w:r w:rsidRPr="00A2358C">
        <w:rPr>
          <w:rFonts w:asciiTheme="majorHAnsi" w:hAnsiTheme="majorHAnsi" w:cstheme="majorHAnsi"/>
          <w:sz w:val="24"/>
          <w:szCs w:val="24"/>
        </w:rPr>
        <w:t>10 years ago</w:t>
      </w:r>
      <w:r w:rsidR="00D05D3A" w:rsidRPr="00A2358C">
        <w:rPr>
          <w:rFonts w:asciiTheme="majorHAnsi" w:hAnsiTheme="majorHAnsi" w:cstheme="majorHAnsi"/>
          <w:sz w:val="24"/>
          <w:szCs w:val="24"/>
        </w:rPr>
        <w:t xml:space="preserve">, and an increase of 112% over 2007 levels by 2024 – </w:t>
      </w:r>
      <w:r w:rsidRPr="00A2358C">
        <w:rPr>
          <w:rFonts w:asciiTheme="majorHAnsi" w:hAnsiTheme="majorHAnsi" w:cstheme="majorHAnsi"/>
          <w:sz w:val="24"/>
          <w:szCs w:val="24"/>
        </w:rPr>
        <w:t>78%</w:t>
      </w:r>
      <w:r w:rsidR="00D05D3A" w:rsidRPr="00A2358C">
        <w:rPr>
          <w:rFonts w:asciiTheme="majorHAnsi" w:hAnsiTheme="majorHAnsi" w:cstheme="majorHAnsi"/>
          <w:sz w:val="24"/>
          <w:szCs w:val="24"/>
        </w:rPr>
        <w:t xml:space="preserve"> more than was being forecast for that</w:t>
      </w:r>
      <w:r w:rsidRPr="00A2358C">
        <w:rPr>
          <w:rFonts w:asciiTheme="majorHAnsi" w:hAnsiTheme="majorHAnsi" w:cstheme="majorHAnsi"/>
          <w:sz w:val="24"/>
          <w:szCs w:val="24"/>
        </w:rPr>
        <w:t xml:space="preserve"> same year in the 2007 edition.</w:t>
      </w:r>
    </w:p>
    <w:p w14:paraId="7791B60A" w14:textId="343D46DC" w:rsidR="00507B4F" w:rsidRPr="00507B4F" w:rsidRDefault="00507B4F" w:rsidP="00370496">
      <w:pPr>
        <w:pStyle w:val="Caption"/>
        <w:keepNext/>
        <w:spacing w:after="0"/>
        <w:ind w:left="720"/>
        <w:jc w:val="left"/>
        <w:rPr>
          <w:b/>
          <w:i w:val="0"/>
          <w:sz w:val="22"/>
        </w:rPr>
      </w:pPr>
      <w:bookmarkStart w:id="8" w:name="_Toc486501931"/>
      <w:proofErr w:type="gramStart"/>
      <w:r w:rsidRPr="00507B4F">
        <w:rPr>
          <w:b/>
          <w:i w:val="0"/>
          <w:sz w:val="22"/>
        </w:rPr>
        <w:lastRenderedPageBreak/>
        <w:t xml:space="preserve">Figure </w:t>
      </w:r>
      <w:r w:rsidRPr="00507B4F">
        <w:rPr>
          <w:b/>
          <w:i w:val="0"/>
          <w:sz w:val="22"/>
        </w:rPr>
        <w:fldChar w:fldCharType="begin"/>
      </w:r>
      <w:r w:rsidRPr="00507B4F">
        <w:rPr>
          <w:b/>
          <w:i w:val="0"/>
          <w:sz w:val="22"/>
        </w:rPr>
        <w:instrText xml:space="preserve"> SEQ Figure \* ARABIC </w:instrText>
      </w:r>
      <w:r w:rsidRPr="00507B4F">
        <w:rPr>
          <w:b/>
          <w:i w:val="0"/>
          <w:sz w:val="22"/>
        </w:rPr>
        <w:fldChar w:fldCharType="separate"/>
      </w:r>
      <w:r w:rsidR="001B4925">
        <w:rPr>
          <w:b/>
          <w:i w:val="0"/>
          <w:noProof/>
          <w:sz w:val="22"/>
        </w:rPr>
        <w:t>2</w:t>
      </w:r>
      <w:r w:rsidRPr="00507B4F">
        <w:rPr>
          <w:b/>
          <w:i w:val="0"/>
          <w:sz w:val="22"/>
        </w:rPr>
        <w:fldChar w:fldCharType="end"/>
      </w:r>
      <w:r w:rsidRPr="00507B4F">
        <w:rPr>
          <w:b/>
          <w:i w:val="0"/>
          <w:sz w:val="22"/>
        </w:rPr>
        <w:t>.</w:t>
      </w:r>
      <w:proofErr w:type="gramEnd"/>
      <w:r w:rsidRPr="00507B4F">
        <w:rPr>
          <w:b/>
          <w:i w:val="0"/>
          <w:sz w:val="22"/>
        </w:rPr>
        <w:t xml:space="preserve"> Comparison of Forecasts of US Renewable Energy Output from AEO 2007 and AEO 2017.</w:t>
      </w:r>
      <w:bookmarkEnd w:id="8"/>
    </w:p>
    <w:p w14:paraId="6986D6FB" w14:textId="38ABE071" w:rsidR="008A1EB1" w:rsidRPr="00A2358C" w:rsidRDefault="004306EB" w:rsidP="00507B4F">
      <w:pPr>
        <w:pStyle w:val="Q"/>
        <w:spacing w:after="240" w:line="240" w:lineRule="auto"/>
        <w:jc w:val="center"/>
        <w:rPr>
          <w:rFonts w:asciiTheme="majorHAnsi" w:hAnsiTheme="majorHAnsi" w:cstheme="majorHAnsi"/>
          <w:sz w:val="24"/>
          <w:szCs w:val="24"/>
        </w:rPr>
      </w:pPr>
      <w:r w:rsidRPr="00A2358C">
        <w:rPr>
          <w:rFonts w:asciiTheme="majorHAnsi" w:hAnsiTheme="majorHAnsi" w:cstheme="majorHAnsi"/>
          <w:noProof/>
          <w:sz w:val="24"/>
          <w:szCs w:val="24"/>
          <w:lang w:eastAsia="en-US"/>
        </w:rPr>
        <w:drawing>
          <wp:inline distT="0" distB="0" distL="0" distR="0" wp14:anchorId="790F3D36" wp14:editId="5A367861">
            <wp:extent cx="4509240" cy="3444949"/>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6628" cy="3450593"/>
                    </a:xfrm>
                    <a:prstGeom prst="rect">
                      <a:avLst/>
                    </a:prstGeom>
                    <a:noFill/>
                    <a:ln>
                      <a:noFill/>
                    </a:ln>
                  </pic:spPr>
                </pic:pic>
              </a:graphicData>
            </a:graphic>
          </wp:inline>
        </w:drawing>
      </w:r>
    </w:p>
    <w:p w14:paraId="7CAF3169" w14:textId="22E2C1ED" w:rsidR="00806DAC" w:rsidRPr="00A2358C" w:rsidRDefault="00806DAC"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D331CB" w:rsidRPr="00A2358C">
        <w:rPr>
          <w:rFonts w:asciiTheme="majorHAnsi" w:hAnsiTheme="majorHAnsi" w:cstheme="majorHAnsi"/>
          <w:caps w:val="0"/>
          <w:sz w:val="24"/>
          <w:szCs w:val="24"/>
        </w:rPr>
        <w:t>Can you provide any evidence of the general industry expectation for the growth in ove</w:t>
      </w:r>
      <w:r w:rsidR="00D331CB">
        <w:rPr>
          <w:rFonts w:asciiTheme="majorHAnsi" w:hAnsiTheme="majorHAnsi" w:cstheme="majorHAnsi"/>
          <w:caps w:val="0"/>
          <w:sz w:val="24"/>
          <w:szCs w:val="24"/>
        </w:rPr>
        <w:t>rall energy consumption in the United S</w:t>
      </w:r>
      <w:r w:rsidR="00D331CB" w:rsidRPr="00A2358C">
        <w:rPr>
          <w:rFonts w:asciiTheme="majorHAnsi" w:hAnsiTheme="majorHAnsi" w:cstheme="majorHAnsi"/>
          <w:caps w:val="0"/>
          <w:sz w:val="24"/>
          <w:szCs w:val="24"/>
        </w:rPr>
        <w:t>tates as of 2007, compared to the expectation today?</w:t>
      </w:r>
    </w:p>
    <w:p w14:paraId="4E20AED8" w14:textId="28285374" w:rsidR="00806DAC" w:rsidRDefault="00806DAC"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Yes. The EIA’s Annual Energy Outlook </w:t>
      </w:r>
      <w:r w:rsidR="00FC7BD4" w:rsidRPr="00A2358C">
        <w:rPr>
          <w:rFonts w:asciiTheme="majorHAnsi" w:hAnsiTheme="majorHAnsi" w:cstheme="majorHAnsi"/>
          <w:sz w:val="24"/>
          <w:szCs w:val="24"/>
        </w:rPr>
        <w:t xml:space="preserve">also </w:t>
      </w:r>
      <w:r w:rsidRPr="00A2358C">
        <w:rPr>
          <w:rFonts w:asciiTheme="majorHAnsi" w:hAnsiTheme="majorHAnsi" w:cstheme="majorHAnsi"/>
          <w:sz w:val="24"/>
          <w:szCs w:val="24"/>
        </w:rPr>
        <w:t xml:space="preserve">provides multi-decadal forecasts of electricity </w:t>
      </w:r>
      <w:r w:rsidR="00FC7BD4" w:rsidRPr="00A2358C">
        <w:rPr>
          <w:rFonts w:asciiTheme="majorHAnsi" w:hAnsiTheme="majorHAnsi" w:cstheme="majorHAnsi"/>
          <w:sz w:val="24"/>
          <w:szCs w:val="24"/>
        </w:rPr>
        <w:t>consumption</w:t>
      </w:r>
      <w:r w:rsidR="00872E0D" w:rsidRPr="00A2358C">
        <w:rPr>
          <w:rFonts w:asciiTheme="majorHAnsi" w:hAnsiTheme="majorHAnsi" w:cstheme="majorHAnsi"/>
          <w:sz w:val="24"/>
          <w:szCs w:val="24"/>
        </w:rPr>
        <w:t>,</w:t>
      </w:r>
      <w:r w:rsidR="00FC7BD4" w:rsidRPr="00A2358C">
        <w:rPr>
          <w:rFonts w:asciiTheme="majorHAnsi" w:hAnsiTheme="majorHAnsi" w:cstheme="majorHAnsi"/>
          <w:sz w:val="24"/>
          <w:szCs w:val="24"/>
        </w:rPr>
        <w:t xml:space="preserve"> </w:t>
      </w:r>
      <w:r w:rsidR="001519D7" w:rsidRPr="00A2358C">
        <w:rPr>
          <w:rFonts w:asciiTheme="majorHAnsi" w:hAnsiTheme="majorHAnsi" w:cstheme="majorHAnsi"/>
          <w:sz w:val="24"/>
          <w:szCs w:val="24"/>
        </w:rPr>
        <w:t>also widely</w:t>
      </w:r>
      <w:r w:rsidRPr="00A2358C">
        <w:rPr>
          <w:rFonts w:asciiTheme="majorHAnsi" w:hAnsiTheme="majorHAnsi" w:cstheme="majorHAnsi"/>
          <w:sz w:val="24"/>
          <w:szCs w:val="24"/>
        </w:rPr>
        <w:t xml:space="preserve"> considered to be the industry standard. </w:t>
      </w:r>
      <w:r w:rsidR="00F636BE">
        <w:rPr>
          <w:rFonts w:asciiTheme="majorHAnsi" w:hAnsiTheme="majorHAnsi" w:cstheme="majorHAnsi"/>
          <w:sz w:val="24"/>
          <w:szCs w:val="24"/>
        </w:rPr>
        <w:t xml:space="preserve">Figure 3 </w:t>
      </w:r>
      <w:r w:rsidRPr="00A2358C">
        <w:rPr>
          <w:rFonts w:asciiTheme="majorHAnsi" w:hAnsiTheme="majorHAnsi" w:cstheme="majorHAnsi"/>
          <w:sz w:val="24"/>
          <w:szCs w:val="24"/>
        </w:rPr>
        <w:t xml:space="preserve">compares the </w:t>
      </w:r>
      <w:r w:rsidR="00FC7BD4" w:rsidRPr="00A2358C">
        <w:rPr>
          <w:rFonts w:asciiTheme="majorHAnsi" w:hAnsiTheme="majorHAnsi" w:cstheme="majorHAnsi"/>
          <w:sz w:val="24"/>
          <w:szCs w:val="24"/>
        </w:rPr>
        <w:t xml:space="preserve">electricity use </w:t>
      </w:r>
      <w:r w:rsidRPr="00A2358C">
        <w:rPr>
          <w:rFonts w:asciiTheme="majorHAnsi" w:hAnsiTheme="majorHAnsi" w:cstheme="majorHAnsi"/>
          <w:sz w:val="24"/>
          <w:szCs w:val="24"/>
        </w:rPr>
        <w:t xml:space="preserve">predictions made in 2007 with expectations from the most recent </w:t>
      </w:r>
      <w:r w:rsidR="001519D7" w:rsidRPr="00A2358C">
        <w:rPr>
          <w:rFonts w:asciiTheme="majorHAnsi" w:hAnsiTheme="majorHAnsi" w:cstheme="majorHAnsi"/>
          <w:sz w:val="24"/>
          <w:szCs w:val="24"/>
        </w:rPr>
        <w:t>AEO</w:t>
      </w:r>
      <w:r w:rsidRPr="00A2358C">
        <w:rPr>
          <w:rFonts w:asciiTheme="majorHAnsi" w:hAnsiTheme="majorHAnsi" w:cstheme="majorHAnsi"/>
          <w:sz w:val="24"/>
          <w:szCs w:val="24"/>
        </w:rPr>
        <w:t xml:space="preserve">. </w:t>
      </w:r>
      <w:r w:rsidR="00FC7BD4" w:rsidRPr="00A2358C">
        <w:rPr>
          <w:rFonts w:asciiTheme="majorHAnsi" w:hAnsiTheme="majorHAnsi" w:cstheme="majorHAnsi"/>
          <w:sz w:val="24"/>
          <w:szCs w:val="24"/>
        </w:rPr>
        <w:t xml:space="preserve">In 2007, AEO was projecting that energy </w:t>
      </w:r>
      <w:r w:rsidR="001519D7" w:rsidRPr="00A2358C">
        <w:rPr>
          <w:rFonts w:asciiTheme="majorHAnsi" w:hAnsiTheme="majorHAnsi" w:cstheme="majorHAnsi"/>
          <w:sz w:val="24"/>
          <w:szCs w:val="24"/>
        </w:rPr>
        <w:t xml:space="preserve">use </w:t>
      </w:r>
      <w:r w:rsidR="00FC7BD4" w:rsidRPr="00A2358C">
        <w:rPr>
          <w:rFonts w:asciiTheme="majorHAnsi" w:hAnsiTheme="majorHAnsi" w:cstheme="majorHAnsi"/>
          <w:sz w:val="24"/>
          <w:szCs w:val="24"/>
        </w:rPr>
        <w:t xml:space="preserve">would increase by about 16% </w:t>
      </w:r>
      <w:r w:rsidR="001519D7" w:rsidRPr="00A2358C">
        <w:rPr>
          <w:rFonts w:asciiTheme="majorHAnsi" w:hAnsiTheme="majorHAnsi" w:cstheme="majorHAnsi"/>
          <w:sz w:val="24"/>
          <w:szCs w:val="24"/>
        </w:rPr>
        <w:t>by 2017</w:t>
      </w:r>
      <w:r w:rsidR="00FC7BD4" w:rsidRPr="00A2358C">
        <w:rPr>
          <w:rFonts w:asciiTheme="majorHAnsi" w:hAnsiTheme="majorHAnsi" w:cstheme="majorHAnsi"/>
          <w:sz w:val="24"/>
          <w:szCs w:val="24"/>
        </w:rPr>
        <w:t xml:space="preserve">, and by about 27% by 2024. In fact, AEO’s latest prediction for the current year </w:t>
      </w:r>
      <w:r w:rsidR="001519D7" w:rsidRPr="00A2358C">
        <w:rPr>
          <w:rFonts w:asciiTheme="majorHAnsi" w:hAnsiTheme="majorHAnsi" w:cstheme="majorHAnsi"/>
          <w:sz w:val="24"/>
          <w:szCs w:val="24"/>
        </w:rPr>
        <w:t xml:space="preserve">2017 </w:t>
      </w:r>
      <w:r w:rsidR="00FC7BD4" w:rsidRPr="00A2358C">
        <w:rPr>
          <w:rFonts w:asciiTheme="majorHAnsi" w:hAnsiTheme="majorHAnsi" w:cstheme="majorHAnsi"/>
          <w:sz w:val="24"/>
          <w:szCs w:val="24"/>
        </w:rPr>
        <w:t xml:space="preserve">is that energy use will be about 1% lower than it was in 2007, and use in 2024 will be about 3% higher than in 2007. </w:t>
      </w:r>
    </w:p>
    <w:p w14:paraId="2944FD9D" w14:textId="56D6A89D" w:rsidR="00D07EF8" w:rsidRPr="007D31CC" w:rsidRDefault="007D31CC" w:rsidP="007D31CC">
      <w:pPr>
        <w:pStyle w:val="Caption"/>
        <w:keepNext/>
        <w:spacing w:after="0"/>
        <w:ind w:left="720"/>
        <w:jc w:val="left"/>
        <w:rPr>
          <w:b/>
          <w:i w:val="0"/>
          <w:sz w:val="22"/>
          <w:szCs w:val="22"/>
        </w:rPr>
      </w:pPr>
      <w:bookmarkStart w:id="9" w:name="_Toc486501932"/>
      <w:proofErr w:type="gramStart"/>
      <w:r w:rsidRPr="007D31CC">
        <w:rPr>
          <w:b/>
          <w:i w:val="0"/>
          <w:sz w:val="22"/>
          <w:szCs w:val="22"/>
        </w:rPr>
        <w:lastRenderedPageBreak/>
        <w:t xml:space="preserve">Figure </w:t>
      </w:r>
      <w:r w:rsidRPr="007D31CC">
        <w:rPr>
          <w:b/>
          <w:i w:val="0"/>
          <w:sz w:val="22"/>
          <w:szCs w:val="22"/>
        </w:rPr>
        <w:fldChar w:fldCharType="begin"/>
      </w:r>
      <w:r w:rsidRPr="007D31CC">
        <w:rPr>
          <w:b/>
          <w:i w:val="0"/>
          <w:sz w:val="22"/>
          <w:szCs w:val="22"/>
        </w:rPr>
        <w:instrText xml:space="preserve"> SEQ Figure \* ARABIC </w:instrText>
      </w:r>
      <w:r w:rsidRPr="007D31CC">
        <w:rPr>
          <w:b/>
          <w:i w:val="0"/>
          <w:sz w:val="22"/>
          <w:szCs w:val="22"/>
        </w:rPr>
        <w:fldChar w:fldCharType="separate"/>
      </w:r>
      <w:r w:rsidR="001B4925">
        <w:rPr>
          <w:b/>
          <w:i w:val="0"/>
          <w:noProof/>
          <w:sz w:val="22"/>
          <w:szCs w:val="22"/>
        </w:rPr>
        <w:t>3</w:t>
      </w:r>
      <w:r w:rsidRPr="007D31CC">
        <w:rPr>
          <w:b/>
          <w:i w:val="0"/>
          <w:sz w:val="22"/>
          <w:szCs w:val="22"/>
        </w:rPr>
        <w:fldChar w:fldCharType="end"/>
      </w:r>
      <w:r w:rsidR="00D07EF8" w:rsidRPr="007D31CC">
        <w:rPr>
          <w:b/>
          <w:i w:val="0"/>
          <w:sz w:val="22"/>
          <w:szCs w:val="22"/>
        </w:rPr>
        <w:t>.</w:t>
      </w:r>
      <w:proofErr w:type="gramEnd"/>
      <w:r w:rsidR="00D07EF8" w:rsidRPr="007D31CC">
        <w:rPr>
          <w:b/>
          <w:i w:val="0"/>
          <w:sz w:val="22"/>
          <w:szCs w:val="22"/>
        </w:rPr>
        <w:t xml:space="preserve"> </w:t>
      </w:r>
      <w:proofErr w:type="gramStart"/>
      <w:r w:rsidR="00D07EF8" w:rsidRPr="007D31CC">
        <w:rPr>
          <w:b/>
          <w:i w:val="0"/>
          <w:sz w:val="22"/>
          <w:szCs w:val="22"/>
        </w:rPr>
        <w:t>Comparison of Forecasts of Total US Electricity Consumption from AEO 2007 and AEO 2017.</w:t>
      </w:r>
      <w:bookmarkEnd w:id="9"/>
      <w:proofErr w:type="gramEnd"/>
    </w:p>
    <w:p w14:paraId="12BB7F60" w14:textId="70D2FB82" w:rsidR="00FC7BD4" w:rsidRPr="00A2358C" w:rsidRDefault="00D05D3A" w:rsidP="00D07EF8">
      <w:pPr>
        <w:pStyle w:val="Q"/>
        <w:spacing w:after="240" w:line="240" w:lineRule="auto"/>
        <w:jc w:val="center"/>
        <w:rPr>
          <w:rFonts w:asciiTheme="majorHAnsi" w:hAnsiTheme="majorHAnsi" w:cstheme="majorHAnsi"/>
          <w:sz w:val="24"/>
          <w:szCs w:val="24"/>
        </w:rPr>
      </w:pPr>
      <w:r w:rsidRPr="00A2358C">
        <w:rPr>
          <w:rFonts w:asciiTheme="majorHAnsi" w:hAnsiTheme="majorHAnsi" w:cstheme="majorHAnsi"/>
          <w:noProof/>
          <w:sz w:val="24"/>
          <w:szCs w:val="24"/>
          <w:lang w:eastAsia="en-US"/>
        </w:rPr>
        <w:drawing>
          <wp:inline distT="0" distB="0" distL="0" distR="0" wp14:anchorId="3F9F773E" wp14:editId="0E385ACE">
            <wp:extent cx="4401879" cy="3318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4019" cy="3327703"/>
                    </a:xfrm>
                    <a:prstGeom prst="rect">
                      <a:avLst/>
                    </a:prstGeom>
                    <a:noFill/>
                    <a:ln>
                      <a:noFill/>
                    </a:ln>
                  </pic:spPr>
                </pic:pic>
              </a:graphicData>
            </a:graphic>
          </wp:inline>
        </w:drawing>
      </w:r>
    </w:p>
    <w:p w14:paraId="3DDDDCA5" w14:textId="6D8C69A3" w:rsidR="001519D7" w:rsidRPr="00A2358C" w:rsidRDefault="001519D7" w:rsidP="00D331CB">
      <w:pPr>
        <w:pStyle w:val="Q"/>
        <w:spacing w:before="240"/>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D331CB" w:rsidRPr="00A2358C">
        <w:rPr>
          <w:rFonts w:asciiTheme="majorHAnsi" w:hAnsiTheme="majorHAnsi" w:cstheme="majorHAnsi"/>
          <w:caps w:val="0"/>
          <w:sz w:val="24"/>
          <w:szCs w:val="24"/>
        </w:rPr>
        <w:t>Have there been any</w:t>
      </w:r>
      <w:r w:rsidR="00D331CB">
        <w:rPr>
          <w:rFonts w:asciiTheme="majorHAnsi" w:hAnsiTheme="majorHAnsi" w:cstheme="majorHAnsi"/>
          <w:caps w:val="0"/>
          <w:sz w:val="24"/>
          <w:szCs w:val="24"/>
        </w:rPr>
        <w:t xml:space="preserve"> significant policy changes in W</w:t>
      </w:r>
      <w:r w:rsidR="00D331CB" w:rsidRPr="00A2358C">
        <w:rPr>
          <w:rFonts w:asciiTheme="majorHAnsi" w:hAnsiTheme="majorHAnsi" w:cstheme="majorHAnsi"/>
          <w:caps w:val="0"/>
          <w:sz w:val="24"/>
          <w:szCs w:val="24"/>
        </w:rPr>
        <w:t>ashington and the surrounding states since the 2007 study that might affect the long-term</w:t>
      </w:r>
      <w:r w:rsidR="00D331CB">
        <w:rPr>
          <w:rFonts w:asciiTheme="majorHAnsi" w:hAnsiTheme="majorHAnsi" w:cstheme="majorHAnsi"/>
          <w:caps w:val="0"/>
          <w:sz w:val="24"/>
          <w:szCs w:val="24"/>
        </w:rPr>
        <w:t xml:space="preserve"> viability of C</w:t>
      </w:r>
      <w:r w:rsidR="00FD7B0F">
        <w:rPr>
          <w:rFonts w:asciiTheme="majorHAnsi" w:hAnsiTheme="majorHAnsi" w:cstheme="majorHAnsi"/>
          <w:caps w:val="0"/>
          <w:sz w:val="24"/>
          <w:szCs w:val="24"/>
        </w:rPr>
        <w:t>olstrip U</w:t>
      </w:r>
      <w:r w:rsidR="00D331CB" w:rsidRPr="00A2358C">
        <w:rPr>
          <w:rFonts w:asciiTheme="majorHAnsi" w:hAnsiTheme="majorHAnsi" w:cstheme="majorHAnsi"/>
          <w:caps w:val="0"/>
          <w:sz w:val="24"/>
          <w:szCs w:val="24"/>
        </w:rPr>
        <w:t>nits 3 and 4 as a source of electric energy in the west?</w:t>
      </w:r>
    </w:p>
    <w:p w14:paraId="034DBDD7" w14:textId="32D8B8A8" w:rsidR="001519D7" w:rsidRPr="00A2358C" w:rsidRDefault="001519D7"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8D0E36" w:rsidRPr="00A2358C">
        <w:rPr>
          <w:rFonts w:asciiTheme="majorHAnsi" w:hAnsiTheme="majorHAnsi" w:cstheme="majorHAnsi"/>
          <w:sz w:val="24"/>
          <w:szCs w:val="24"/>
        </w:rPr>
        <w:t>Yes</w:t>
      </w:r>
      <w:r w:rsidRPr="00A2358C">
        <w:rPr>
          <w:rFonts w:asciiTheme="majorHAnsi" w:hAnsiTheme="majorHAnsi" w:cstheme="majorHAnsi"/>
          <w:sz w:val="24"/>
          <w:szCs w:val="24"/>
        </w:rPr>
        <w:t xml:space="preserve">. Although the Washington Renewable Portfolio Standard (RPS) requiring that 15% of </w:t>
      </w:r>
      <w:r w:rsidR="008D0E36" w:rsidRPr="00A2358C">
        <w:rPr>
          <w:rFonts w:asciiTheme="majorHAnsi" w:hAnsiTheme="majorHAnsi" w:cstheme="majorHAnsi"/>
          <w:sz w:val="24"/>
          <w:szCs w:val="24"/>
        </w:rPr>
        <w:t>energy sold by the state’s utilities come from renewables by 2020</w:t>
      </w:r>
      <w:r w:rsidR="008D0E36" w:rsidRPr="00A2358C">
        <w:rPr>
          <w:rStyle w:val="FootnoteReference"/>
          <w:rFonts w:asciiTheme="majorHAnsi" w:hAnsiTheme="majorHAnsi" w:cstheme="majorHAnsi"/>
          <w:sz w:val="24"/>
          <w:szCs w:val="24"/>
        </w:rPr>
        <w:footnoteReference w:id="44"/>
      </w:r>
      <w:r w:rsidR="008D0E36" w:rsidRPr="00A2358C">
        <w:rPr>
          <w:rFonts w:asciiTheme="majorHAnsi" w:hAnsiTheme="majorHAnsi" w:cstheme="majorHAnsi"/>
          <w:sz w:val="24"/>
          <w:szCs w:val="24"/>
        </w:rPr>
        <w:t xml:space="preserve"> </w:t>
      </w:r>
      <w:r w:rsidRPr="00A2358C">
        <w:rPr>
          <w:rFonts w:asciiTheme="majorHAnsi" w:hAnsiTheme="majorHAnsi" w:cstheme="majorHAnsi"/>
          <w:sz w:val="24"/>
          <w:szCs w:val="24"/>
        </w:rPr>
        <w:t xml:space="preserve">was already in place as of 2006, </w:t>
      </w:r>
      <w:r w:rsidR="008D0E36" w:rsidRPr="00A2358C">
        <w:rPr>
          <w:rFonts w:asciiTheme="majorHAnsi" w:hAnsiTheme="majorHAnsi" w:cstheme="majorHAnsi"/>
          <w:sz w:val="24"/>
          <w:szCs w:val="24"/>
        </w:rPr>
        <w:t>the renewable energy requirements in the region have continued to increase</w:t>
      </w:r>
      <w:r w:rsidR="00C12838" w:rsidRPr="00A2358C">
        <w:rPr>
          <w:rFonts w:asciiTheme="majorHAnsi" w:hAnsiTheme="majorHAnsi" w:cstheme="majorHAnsi"/>
          <w:sz w:val="24"/>
          <w:szCs w:val="24"/>
        </w:rPr>
        <w:t xml:space="preserve">. For example, </w:t>
      </w:r>
      <w:r w:rsidR="00872E0D" w:rsidRPr="00A2358C">
        <w:rPr>
          <w:rFonts w:asciiTheme="majorHAnsi" w:hAnsiTheme="majorHAnsi" w:cstheme="majorHAnsi"/>
          <w:sz w:val="24"/>
          <w:szCs w:val="24"/>
        </w:rPr>
        <w:t xml:space="preserve">in 2015 </w:t>
      </w:r>
      <w:r w:rsidR="00C12838" w:rsidRPr="00A2358C">
        <w:rPr>
          <w:rFonts w:asciiTheme="majorHAnsi" w:hAnsiTheme="majorHAnsi" w:cstheme="majorHAnsi"/>
          <w:sz w:val="24"/>
          <w:szCs w:val="24"/>
        </w:rPr>
        <w:t>California</w:t>
      </w:r>
      <w:r w:rsidR="008D0E36" w:rsidRPr="00A2358C">
        <w:rPr>
          <w:rFonts w:asciiTheme="majorHAnsi" w:hAnsiTheme="majorHAnsi" w:cstheme="majorHAnsi"/>
          <w:sz w:val="24"/>
          <w:szCs w:val="24"/>
        </w:rPr>
        <w:t xml:space="preserve"> </w:t>
      </w:r>
      <w:r w:rsidR="00872E0D" w:rsidRPr="00A2358C">
        <w:rPr>
          <w:rFonts w:asciiTheme="majorHAnsi" w:hAnsiTheme="majorHAnsi" w:cstheme="majorHAnsi"/>
          <w:sz w:val="24"/>
          <w:szCs w:val="24"/>
        </w:rPr>
        <w:t xml:space="preserve">set </w:t>
      </w:r>
      <w:r w:rsidR="00C12838" w:rsidRPr="00A2358C">
        <w:rPr>
          <w:rFonts w:asciiTheme="majorHAnsi" w:hAnsiTheme="majorHAnsi" w:cstheme="majorHAnsi"/>
          <w:sz w:val="24"/>
          <w:szCs w:val="24"/>
        </w:rPr>
        <w:t xml:space="preserve">a requirement of </w:t>
      </w:r>
      <w:r w:rsidR="008D0E36" w:rsidRPr="00A2358C">
        <w:rPr>
          <w:rFonts w:asciiTheme="majorHAnsi" w:hAnsiTheme="majorHAnsi" w:cstheme="majorHAnsi"/>
          <w:sz w:val="24"/>
          <w:szCs w:val="24"/>
        </w:rPr>
        <w:t>50% renewable energy by 2050 along with interim goals along the way</w:t>
      </w:r>
      <w:r w:rsidR="00C12838" w:rsidRPr="00A2358C">
        <w:rPr>
          <w:rFonts w:asciiTheme="majorHAnsi" w:hAnsiTheme="majorHAnsi" w:cstheme="majorHAnsi"/>
          <w:sz w:val="24"/>
          <w:szCs w:val="24"/>
        </w:rPr>
        <w:t>, an Oregon has a goal of 25% renewable by 2025 and 50% renewable by 2040 for its larger utilities</w:t>
      </w:r>
      <w:r w:rsidR="008D0E36" w:rsidRPr="00A2358C">
        <w:rPr>
          <w:rFonts w:asciiTheme="majorHAnsi" w:hAnsiTheme="majorHAnsi" w:cstheme="majorHAnsi"/>
          <w:sz w:val="24"/>
          <w:szCs w:val="24"/>
        </w:rPr>
        <w:t xml:space="preserve">. California also places strict limits on the import of coal-based energy, and imposes its statewide carbon tax on </w:t>
      </w:r>
      <w:r w:rsidR="008D0E36" w:rsidRPr="00A2358C">
        <w:rPr>
          <w:rFonts w:asciiTheme="majorHAnsi" w:hAnsiTheme="majorHAnsi" w:cstheme="majorHAnsi"/>
          <w:sz w:val="24"/>
          <w:szCs w:val="24"/>
        </w:rPr>
        <w:lastRenderedPageBreak/>
        <w:t>imports.</w:t>
      </w:r>
    </w:p>
    <w:p w14:paraId="63CCB02B" w14:textId="7D79F6F7" w:rsidR="008D0E36" w:rsidRPr="00A2358C" w:rsidRDefault="008D0E36" w:rsidP="00D331CB">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In 2014, Washington Governor Jay Inslee issued Executive Order 14-04</w:t>
      </w:r>
      <w:r w:rsidRPr="00A2358C">
        <w:rPr>
          <w:rStyle w:val="FootnoteReference"/>
          <w:rFonts w:asciiTheme="majorHAnsi" w:hAnsiTheme="majorHAnsi" w:cstheme="majorHAnsi"/>
          <w:sz w:val="24"/>
          <w:szCs w:val="24"/>
        </w:rPr>
        <w:footnoteReference w:id="45"/>
      </w:r>
      <w:r w:rsidRPr="00A2358C">
        <w:rPr>
          <w:rFonts w:asciiTheme="majorHAnsi" w:hAnsiTheme="majorHAnsi" w:cstheme="majorHAnsi"/>
          <w:sz w:val="24"/>
          <w:szCs w:val="24"/>
        </w:rPr>
        <w:t xml:space="preserve"> establishing a Governor’s Carbon Emissions Reduction Taskforce tasked to “establish a cap on carbon pollution emissions, with binding requirements to meet our statutory emission limits, and it must include the market mechanisms needed to meet the limits in the most effective and efficient manner possible.”</w:t>
      </w:r>
      <w:r w:rsidRPr="00A2358C">
        <w:rPr>
          <w:rStyle w:val="FootnoteReference"/>
          <w:rFonts w:asciiTheme="majorHAnsi" w:hAnsiTheme="majorHAnsi" w:cstheme="majorHAnsi"/>
          <w:sz w:val="24"/>
          <w:szCs w:val="24"/>
        </w:rPr>
        <w:footnoteReference w:id="46"/>
      </w:r>
      <w:r w:rsidR="003A617C">
        <w:rPr>
          <w:rFonts w:asciiTheme="majorHAnsi" w:hAnsiTheme="majorHAnsi" w:cstheme="majorHAnsi"/>
          <w:sz w:val="24"/>
          <w:szCs w:val="24"/>
        </w:rPr>
        <w:t xml:space="preserve"> Executive Order 14-04 a</w:t>
      </w:r>
      <w:r w:rsidRPr="00A2358C">
        <w:rPr>
          <w:rFonts w:asciiTheme="majorHAnsi" w:hAnsiTheme="majorHAnsi" w:cstheme="majorHAnsi"/>
          <w:sz w:val="24"/>
          <w:szCs w:val="24"/>
        </w:rPr>
        <w:t>lso directed the Governor</w:t>
      </w:r>
      <w:r w:rsidR="00B372EE">
        <w:rPr>
          <w:rFonts w:asciiTheme="majorHAnsi" w:hAnsiTheme="majorHAnsi" w:cstheme="majorHAnsi"/>
          <w:sz w:val="24"/>
          <w:szCs w:val="24"/>
        </w:rPr>
        <w:t>’</w:t>
      </w:r>
      <w:r w:rsidRPr="00A2358C">
        <w:rPr>
          <w:rFonts w:asciiTheme="majorHAnsi" w:hAnsiTheme="majorHAnsi" w:cstheme="majorHAnsi"/>
          <w:sz w:val="24"/>
          <w:szCs w:val="24"/>
        </w:rPr>
        <w:t>s Legislative Affairs and Policy Office to “seek negotiated agreements with key utilities and others to reduce and eliminate over time the use of electrical power produced from coal.”</w:t>
      </w:r>
      <w:r w:rsidRPr="00A2358C">
        <w:rPr>
          <w:rFonts w:asciiTheme="majorHAnsi" w:hAnsiTheme="majorHAnsi" w:cstheme="majorHAnsi"/>
          <w:color w:val="000000"/>
          <w:sz w:val="24"/>
          <w:szCs w:val="24"/>
        </w:rPr>
        <w:t xml:space="preserve"> </w:t>
      </w:r>
      <w:r w:rsidRPr="00A2358C">
        <w:rPr>
          <w:rFonts w:asciiTheme="majorHAnsi" w:hAnsiTheme="majorHAnsi" w:cstheme="majorHAnsi"/>
          <w:sz w:val="24"/>
          <w:szCs w:val="24"/>
        </w:rPr>
        <w:t>And to “engage key electrical utilities that generate electricity through coal-fired facilities located outside the state and that rely on this electricity to meet their Washington electrical loads, with the objective of reducing overall greenhouse gas emissions from the generation of electricity.”</w:t>
      </w:r>
      <w:r w:rsidRPr="00A2358C">
        <w:rPr>
          <w:rStyle w:val="FootnoteReference"/>
          <w:rFonts w:asciiTheme="majorHAnsi" w:hAnsiTheme="majorHAnsi" w:cstheme="majorHAnsi"/>
          <w:color w:val="000000"/>
          <w:sz w:val="24"/>
          <w:szCs w:val="24"/>
        </w:rPr>
        <w:footnoteReference w:id="47"/>
      </w:r>
    </w:p>
    <w:p w14:paraId="4E6BF821" w14:textId="23F5CA5F" w:rsidR="00FD4A46" w:rsidRPr="00A2358C" w:rsidRDefault="00877784" w:rsidP="00D331CB">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Even closer to home for PSE, </w:t>
      </w:r>
      <w:r w:rsidR="00FD4A46" w:rsidRPr="00A2358C">
        <w:rPr>
          <w:rFonts w:asciiTheme="majorHAnsi" w:hAnsiTheme="majorHAnsi" w:cstheme="majorHAnsi"/>
          <w:sz w:val="24"/>
          <w:szCs w:val="24"/>
        </w:rPr>
        <w:t>King County issued its “Strategic Climate Action Plan</w:t>
      </w:r>
      <w:r w:rsidRPr="00A2358C">
        <w:rPr>
          <w:rFonts w:asciiTheme="majorHAnsi" w:hAnsiTheme="majorHAnsi" w:cstheme="majorHAnsi"/>
          <w:sz w:val="24"/>
          <w:szCs w:val="24"/>
        </w:rPr>
        <w:t>” in November 2015.</w:t>
      </w:r>
      <w:r w:rsidR="00FD4A46" w:rsidRPr="00A2358C">
        <w:rPr>
          <w:rStyle w:val="FootnoteReference"/>
          <w:rFonts w:asciiTheme="majorHAnsi" w:hAnsiTheme="majorHAnsi" w:cstheme="majorHAnsi"/>
          <w:sz w:val="24"/>
          <w:szCs w:val="24"/>
        </w:rPr>
        <w:footnoteReference w:id="48"/>
      </w:r>
      <w:r w:rsidR="00FD4A46" w:rsidRPr="00A2358C">
        <w:rPr>
          <w:rFonts w:asciiTheme="majorHAnsi" w:hAnsiTheme="majorHAnsi" w:cstheme="majorHAnsi"/>
          <w:sz w:val="24"/>
          <w:szCs w:val="24"/>
        </w:rPr>
        <w:t xml:space="preserve"> Among other things, the plan set a goal to reduce countywide greenhouse gas emissions by phasing out coal-fired electricity by 2025.</w:t>
      </w:r>
      <w:r w:rsidR="00FD4A46" w:rsidRPr="00A2358C">
        <w:rPr>
          <w:rStyle w:val="FootnoteReference"/>
          <w:rFonts w:asciiTheme="majorHAnsi" w:hAnsiTheme="majorHAnsi" w:cstheme="majorHAnsi"/>
          <w:sz w:val="24"/>
          <w:szCs w:val="24"/>
        </w:rPr>
        <w:footnoteReference w:id="49"/>
      </w:r>
      <w:r w:rsidR="00FD4A46" w:rsidRPr="00A2358C">
        <w:rPr>
          <w:rFonts w:asciiTheme="majorHAnsi" w:hAnsiTheme="majorHAnsi" w:cstheme="majorHAnsi"/>
          <w:sz w:val="24"/>
          <w:szCs w:val="24"/>
        </w:rPr>
        <w:t xml:space="preserve"> </w:t>
      </w:r>
      <w:r w:rsidRPr="00A2358C">
        <w:rPr>
          <w:rFonts w:asciiTheme="majorHAnsi" w:hAnsiTheme="majorHAnsi" w:cstheme="majorHAnsi"/>
          <w:sz w:val="24"/>
          <w:szCs w:val="24"/>
        </w:rPr>
        <w:t xml:space="preserve">King </w:t>
      </w:r>
      <w:r w:rsidR="00FD4A46" w:rsidRPr="00A2358C">
        <w:rPr>
          <w:rFonts w:asciiTheme="majorHAnsi" w:hAnsiTheme="majorHAnsi" w:cstheme="majorHAnsi"/>
          <w:sz w:val="24"/>
          <w:szCs w:val="24"/>
        </w:rPr>
        <w:t xml:space="preserve">County </w:t>
      </w:r>
      <w:r w:rsidRPr="00A2358C">
        <w:rPr>
          <w:rFonts w:asciiTheme="majorHAnsi" w:hAnsiTheme="majorHAnsi" w:cstheme="majorHAnsi"/>
          <w:sz w:val="24"/>
          <w:szCs w:val="24"/>
        </w:rPr>
        <w:t xml:space="preserve">residents and businesses </w:t>
      </w:r>
      <w:r w:rsidR="00FD4A46" w:rsidRPr="00A2358C">
        <w:rPr>
          <w:rFonts w:asciiTheme="majorHAnsi" w:hAnsiTheme="majorHAnsi" w:cstheme="majorHAnsi"/>
          <w:sz w:val="24"/>
          <w:szCs w:val="24"/>
        </w:rPr>
        <w:t>make up</w:t>
      </w:r>
      <w:r w:rsidR="002066E8" w:rsidRPr="00A2358C">
        <w:rPr>
          <w:rFonts w:asciiTheme="majorHAnsi" w:hAnsiTheme="majorHAnsi" w:cstheme="majorHAnsi"/>
          <w:sz w:val="24"/>
          <w:szCs w:val="24"/>
        </w:rPr>
        <w:t xml:space="preserve"> roughly half</w:t>
      </w:r>
      <w:r w:rsidR="00FD4A46" w:rsidRPr="00A2358C">
        <w:rPr>
          <w:rFonts w:asciiTheme="majorHAnsi" w:hAnsiTheme="majorHAnsi" w:cstheme="majorHAnsi"/>
          <w:sz w:val="24"/>
          <w:szCs w:val="24"/>
        </w:rPr>
        <w:t xml:space="preserve"> of PSE’s customer base.</w:t>
      </w:r>
      <w:r w:rsidR="002066E8" w:rsidRPr="00A2358C">
        <w:rPr>
          <w:rStyle w:val="FootnoteReference"/>
          <w:rFonts w:asciiTheme="majorHAnsi" w:hAnsiTheme="majorHAnsi" w:cstheme="majorHAnsi"/>
          <w:sz w:val="24"/>
          <w:szCs w:val="24"/>
        </w:rPr>
        <w:footnoteReference w:id="50"/>
      </w:r>
      <w:r w:rsidR="00FD4A46" w:rsidRPr="00A2358C">
        <w:rPr>
          <w:rFonts w:asciiTheme="majorHAnsi" w:hAnsiTheme="majorHAnsi" w:cstheme="majorHAnsi"/>
          <w:sz w:val="24"/>
          <w:szCs w:val="24"/>
        </w:rPr>
        <w:t xml:space="preserve"> </w:t>
      </w:r>
    </w:p>
    <w:p w14:paraId="5E8EC203" w14:textId="220A6113" w:rsidR="00757276" w:rsidRPr="00A2358C" w:rsidRDefault="008A1EB1" w:rsidP="001809FB">
      <w:pPr>
        <w:pStyle w:val="Q"/>
        <w:rPr>
          <w:rFonts w:asciiTheme="majorHAnsi" w:hAnsiTheme="majorHAnsi" w:cstheme="majorHAnsi"/>
          <w:sz w:val="24"/>
          <w:szCs w:val="24"/>
        </w:rPr>
      </w:pPr>
      <w:r w:rsidRPr="00A2358C">
        <w:rPr>
          <w:rFonts w:asciiTheme="majorHAnsi" w:hAnsiTheme="majorHAnsi" w:cstheme="majorHAnsi"/>
          <w:sz w:val="24"/>
          <w:szCs w:val="24"/>
        </w:rPr>
        <w:lastRenderedPageBreak/>
        <w:t>Q.</w:t>
      </w:r>
      <w:r w:rsidRPr="00A2358C">
        <w:rPr>
          <w:rFonts w:asciiTheme="majorHAnsi" w:hAnsiTheme="majorHAnsi" w:cstheme="majorHAnsi"/>
          <w:sz w:val="24"/>
          <w:szCs w:val="24"/>
        </w:rPr>
        <w:tab/>
      </w:r>
      <w:r w:rsidR="00D331CB" w:rsidRPr="00A2358C">
        <w:rPr>
          <w:rFonts w:asciiTheme="majorHAnsi" w:hAnsiTheme="majorHAnsi" w:cstheme="majorHAnsi"/>
          <w:caps w:val="0"/>
          <w:sz w:val="24"/>
          <w:szCs w:val="24"/>
        </w:rPr>
        <w:t>How would you expect the lower price of gas, the higher output of renewables, the near absence of demand growth, and the various state and local policies in favor of cleaner generating sources to affect the projected output from coal units, from today’s perspective compared to the perspective of 2007?</w:t>
      </w:r>
    </w:p>
    <w:p w14:paraId="69E1245B" w14:textId="3F3F721B" w:rsidR="00806DAC" w:rsidRPr="00A2358C" w:rsidRDefault="00806DAC"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I, or any knowledgeable analyst looking at these significant industry changes</w:t>
      </w:r>
      <w:r w:rsidR="00FC7BD4" w:rsidRPr="00A2358C">
        <w:rPr>
          <w:rFonts w:asciiTheme="majorHAnsi" w:hAnsiTheme="majorHAnsi" w:cstheme="majorHAnsi"/>
          <w:sz w:val="24"/>
          <w:szCs w:val="24"/>
        </w:rPr>
        <w:t>, would expect that the demand for output from coal plants today and into the future would be much lower than general industry expectations from 2007.</w:t>
      </w:r>
    </w:p>
    <w:p w14:paraId="00094A7B" w14:textId="2CDA3506" w:rsidR="00FC7BD4" w:rsidRPr="00A2358C" w:rsidRDefault="00FC7BD4" w:rsidP="00D331CB">
      <w:pPr>
        <w:pStyle w:val="Q"/>
        <w:spacing w:before="240"/>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D331CB" w:rsidRPr="00A2358C">
        <w:rPr>
          <w:rFonts w:asciiTheme="majorHAnsi" w:hAnsiTheme="majorHAnsi" w:cstheme="majorHAnsi"/>
          <w:caps w:val="0"/>
          <w:sz w:val="24"/>
          <w:szCs w:val="24"/>
        </w:rPr>
        <w:t>Is this expectation consi</w:t>
      </w:r>
      <w:r w:rsidR="00D331CB">
        <w:rPr>
          <w:rFonts w:asciiTheme="majorHAnsi" w:hAnsiTheme="majorHAnsi" w:cstheme="majorHAnsi"/>
          <w:caps w:val="0"/>
          <w:sz w:val="24"/>
          <w:szCs w:val="24"/>
        </w:rPr>
        <w:t>stent with the change in the EIA</w:t>
      </w:r>
      <w:r w:rsidR="00D331CB" w:rsidRPr="00A2358C">
        <w:rPr>
          <w:rFonts w:asciiTheme="majorHAnsi" w:hAnsiTheme="majorHAnsi" w:cstheme="majorHAnsi"/>
          <w:caps w:val="0"/>
          <w:sz w:val="24"/>
          <w:szCs w:val="24"/>
        </w:rPr>
        <w:t>’s 2017 vs. 2007 predications of electricity generation from coal?</w:t>
      </w:r>
    </w:p>
    <w:p w14:paraId="6FE03038" w14:textId="5D65929A" w:rsidR="00724EF8" w:rsidRDefault="003A299E" w:rsidP="001809FB">
      <w:pPr>
        <w:pStyle w:val="A"/>
        <w:rPr>
          <w:rFonts w:asciiTheme="majorHAnsi" w:hAnsiTheme="majorHAnsi" w:cstheme="majorHAnsi"/>
          <w:sz w:val="24"/>
          <w:szCs w:val="24"/>
        </w:rPr>
      </w:pPr>
      <w:r>
        <w:rPr>
          <w:rFonts w:asciiTheme="majorHAnsi" w:hAnsiTheme="majorHAnsi" w:cstheme="majorHAnsi"/>
          <w:sz w:val="24"/>
          <w:szCs w:val="24"/>
        </w:rPr>
        <w:t>A.</w:t>
      </w:r>
      <w:r>
        <w:rPr>
          <w:rFonts w:asciiTheme="majorHAnsi" w:hAnsiTheme="majorHAnsi" w:cstheme="majorHAnsi"/>
          <w:sz w:val="24"/>
          <w:szCs w:val="24"/>
        </w:rPr>
        <w:tab/>
        <w:t xml:space="preserve">Yes. Figure 4 </w:t>
      </w:r>
      <w:r w:rsidR="00CD6A07" w:rsidRPr="00A2358C">
        <w:rPr>
          <w:rFonts w:asciiTheme="majorHAnsi" w:hAnsiTheme="majorHAnsi" w:cstheme="majorHAnsi"/>
          <w:sz w:val="24"/>
          <w:szCs w:val="24"/>
        </w:rPr>
        <w:t xml:space="preserve">compares the AEO forecasts for coal-fired generation output as of 2007 with those from the most recent edition. In 2007, the AEO was projecting an increase in output from coal plants of 13.6% by the current year 2017, and 29.3% by 2024. Today AEO projects </w:t>
      </w:r>
      <w:r w:rsidR="00724EF8" w:rsidRPr="00A2358C">
        <w:rPr>
          <w:rFonts w:asciiTheme="majorHAnsi" w:hAnsiTheme="majorHAnsi" w:cstheme="majorHAnsi"/>
          <w:sz w:val="24"/>
          <w:szCs w:val="24"/>
        </w:rPr>
        <w:t xml:space="preserve">a </w:t>
      </w:r>
      <w:r w:rsidR="00724EF8" w:rsidRPr="00A2358C">
        <w:rPr>
          <w:rFonts w:asciiTheme="majorHAnsi" w:hAnsiTheme="majorHAnsi" w:cstheme="majorHAnsi"/>
          <w:i/>
          <w:sz w:val="24"/>
          <w:szCs w:val="24"/>
        </w:rPr>
        <w:t>decrease</w:t>
      </w:r>
      <w:r w:rsidR="00724EF8" w:rsidRPr="00A2358C">
        <w:rPr>
          <w:rFonts w:asciiTheme="majorHAnsi" w:hAnsiTheme="majorHAnsi" w:cstheme="majorHAnsi"/>
          <w:sz w:val="24"/>
          <w:szCs w:val="24"/>
        </w:rPr>
        <w:t xml:space="preserve"> of 39.3% this year compared to 2007, and </w:t>
      </w:r>
      <w:r w:rsidR="00872E0D" w:rsidRPr="00A2358C">
        <w:rPr>
          <w:rFonts w:asciiTheme="majorHAnsi" w:hAnsiTheme="majorHAnsi" w:cstheme="majorHAnsi"/>
          <w:sz w:val="24"/>
          <w:szCs w:val="24"/>
        </w:rPr>
        <w:t xml:space="preserve">a decrease of </w:t>
      </w:r>
      <w:r w:rsidR="00724EF8" w:rsidRPr="00A2358C">
        <w:rPr>
          <w:rFonts w:asciiTheme="majorHAnsi" w:hAnsiTheme="majorHAnsi" w:cstheme="majorHAnsi"/>
          <w:sz w:val="24"/>
          <w:szCs w:val="24"/>
        </w:rPr>
        <w:t>40.3% in 2024</w:t>
      </w:r>
      <w:r w:rsidR="00872E0D" w:rsidRPr="00A2358C">
        <w:rPr>
          <w:rFonts w:asciiTheme="majorHAnsi" w:hAnsiTheme="majorHAnsi" w:cstheme="majorHAnsi"/>
          <w:sz w:val="24"/>
          <w:szCs w:val="24"/>
        </w:rPr>
        <w:t xml:space="preserve"> relative to 2007</w:t>
      </w:r>
      <w:r w:rsidR="00724EF8" w:rsidRPr="00A2358C">
        <w:rPr>
          <w:rFonts w:asciiTheme="majorHAnsi" w:hAnsiTheme="majorHAnsi" w:cstheme="majorHAnsi"/>
          <w:sz w:val="24"/>
          <w:szCs w:val="24"/>
        </w:rPr>
        <w:t>. Looking just at projections for 2024, the year Mr. Jones predicted Colstrip Unit 3 would retire, today’s expectation for US generation from coal in that year is 53.9% lower than the expectation for the same year back when Mr. Jones performed his study.</w:t>
      </w:r>
    </w:p>
    <w:p w14:paraId="10116A46" w14:textId="77777777" w:rsidR="0012175D" w:rsidRDefault="0012175D" w:rsidP="0012175D">
      <w:pPr>
        <w:pStyle w:val="Q"/>
        <w:suppressLineNumbers/>
      </w:pPr>
    </w:p>
    <w:p w14:paraId="6C634299" w14:textId="77777777" w:rsidR="0012175D" w:rsidRDefault="0012175D" w:rsidP="0012175D">
      <w:pPr>
        <w:pStyle w:val="A"/>
        <w:suppressLineNumbers/>
      </w:pPr>
    </w:p>
    <w:p w14:paraId="2C416E94" w14:textId="77777777" w:rsidR="0012175D" w:rsidRDefault="0012175D" w:rsidP="0012175D">
      <w:pPr>
        <w:pStyle w:val="Q"/>
        <w:suppressLineNumbers/>
      </w:pPr>
    </w:p>
    <w:p w14:paraId="60296B07" w14:textId="77777777" w:rsidR="0012175D" w:rsidRDefault="0012175D" w:rsidP="0012175D">
      <w:pPr>
        <w:pStyle w:val="A"/>
        <w:suppressLineNumbers/>
      </w:pPr>
    </w:p>
    <w:p w14:paraId="7B1C30FC" w14:textId="77777777" w:rsidR="0012175D" w:rsidRDefault="0012175D" w:rsidP="0012175D">
      <w:pPr>
        <w:pStyle w:val="A"/>
        <w:suppressLineNumbers/>
      </w:pPr>
    </w:p>
    <w:p w14:paraId="103BA8A1" w14:textId="3DEBCEC1" w:rsidR="007D31CC" w:rsidRPr="007D31CC" w:rsidRDefault="007D31CC" w:rsidP="007D31CC">
      <w:pPr>
        <w:pStyle w:val="Caption"/>
        <w:ind w:left="720"/>
        <w:jc w:val="left"/>
        <w:rPr>
          <w:b/>
          <w:i w:val="0"/>
          <w:sz w:val="22"/>
          <w:szCs w:val="22"/>
        </w:rPr>
      </w:pPr>
      <w:bookmarkStart w:id="10" w:name="_Toc486501933"/>
      <w:proofErr w:type="gramStart"/>
      <w:r w:rsidRPr="007D31CC">
        <w:rPr>
          <w:b/>
          <w:i w:val="0"/>
          <w:sz w:val="22"/>
          <w:szCs w:val="22"/>
        </w:rPr>
        <w:lastRenderedPageBreak/>
        <w:t xml:space="preserve">Figure </w:t>
      </w:r>
      <w:r w:rsidRPr="007D31CC">
        <w:rPr>
          <w:b/>
          <w:i w:val="0"/>
          <w:sz w:val="22"/>
          <w:szCs w:val="22"/>
        </w:rPr>
        <w:fldChar w:fldCharType="begin"/>
      </w:r>
      <w:r w:rsidRPr="007D31CC">
        <w:rPr>
          <w:b/>
          <w:i w:val="0"/>
          <w:sz w:val="22"/>
          <w:szCs w:val="22"/>
        </w:rPr>
        <w:instrText xml:space="preserve"> SEQ Figure \* ARABIC </w:instrText>
      </w:r>
      <w:r w:rsidRPr="007D31CC">
        <w:rPr>
          <w:b/>
          <w:i w:val="0"/>
          <w:sz w:val="22"/>
          <w:szCs w:val="22"/>
        </w:rPr>
        <w:fldChar w:fldCharType="separate"/>
      </w:r>
      <w:r w:rsidR="001B4925">
        <w:rPr>
          <w:b/>
          <w:i w:val="0"/>
          <w:noProof/>
          <w:sz w:val="22"/>
          <w:szCs w:val="22"/>
        </w:rPr>
        <w:t>4</w:t>
      </w:r>
      <w:r w:rsidRPr="007D31CC">
        <w:rPr>
          <w:b/>
          <w:i w:val="0"/>
          <w:sz w:val="22"/>
          <w:szCs w:val="22"/>
        </w:rPr>
        <w:fldChar w:fldCharType="end"/>
      </w:r>
      <w:r w:rsidRPr="007D31CC">
        <w:rPr>
          <w:b/>
          <w:i w:val="0"/>
          <w:sz w:val="22"/>
          <w:szCs w:val="22"/>
        </w:rPr>
        <w:t>.</w:t>
      </w:r>
      <w:proofErr w:type="gramEnd"/>
      <w:r w:rsidRPr="007D31CC">
        <w:rPr>
          <w:b/>
          <w:i w:val="0"/>
          <w:sz w:val="22"/>
          <w:szCs w:val="22"/>
        </w:rPr>
        <w:t xml:space="preserve"> </w:t>
      </w:r>
      <w:proofErr w:type="gramStart"/>
      <w:r w:rsidRPr="007D31CC">
        <w:rPr>
          <w:rFonts w:asciiTheme="majorHAnsi" w:hAnsiTheme="majorHAnsi" w:cstheme="majorHAnsi"/>
          <w:b/>
          <w:i w:val="0"/>
          <w:sz w:val="22"/>
          <w:szCs w:val="22"/>
        </w:rPr>
        <w:t>Comparison of Forecasts of Total US Electricity Generation from Coal from AEO 2007 and AEO 2017.</w:t>
      </w:r>
      <w:bookmarkEnd w:id="10"/>
      <w:proofErr w:type="gramEnd"/>
    </w:p>
    <w:p w14:paraId="6368F884" w14:textId="121A6DB3" w:rsidR="00FC7BD4" w:rsidRPr="00A2358C" w:rsidRDefault="004306EB" w:rsidP="00AB4B36">
      <w:pPr>
        <w:pStyle w:val="Q"/>
        <w:spacing w:line="240" w:lineRule="auto"/>
        <w:jc w:val="center"/>
        <w:rPr>
          <w:rFonts w:asciiTheme="majorHAnsi" w:hAnsiTheme="majorHAnsi" w:cstheme="majorHAnsi"/>
          <w:sz w:val="24"/>
          <w:szCs w:val="24"/>
        </w:rPr>
      </w:pPr>
      <w:r w:rsidRPr="00A2358C">
        <w:rPr>
          <w:rFonts w:asciiTheme="majorHAnsi" w:hAnsiTheme="majorHAnsi" w:cstheme="majorHAnsi"/>
          <w:noProof/>
          <w:sz w:val="24"/>
          <w:szCs w:val="24"/>
          <w:lang w:eastAsia="en-US"/>
        </w:rPr>
        <w:drawing>
          <wp:inline distT="0" distB="0" distL="0" distR="0" wp14:anchorId="39286597" wp14:editId="0CAFACA2">
            <wp:extent cx="4540102" cy="34173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2735" cy="3419289"/>
                    </a:xfrm>
                    <a:prstGeom prst="rect">
                      <a:avLst/>
                    </a:prstGeom>
                    <a:noFill/>
                    <a:ln>
                      <a:noFill/>
                    </a:ln>
                  </pic:spPr>
                </pic:pic>
              </a:graphicData>
            </a:graphic>
          </wp:inline>
        </w:drawing>
      </w:r>
    </w:p>
    <w:p w14:paraId="4856741F" w14:textId="3D16770E" w:rsidR="00B415A3" w:rsidRPr="00A2358C" w:rsidRDefault="00B415A3" w:rsidP="00D331CB">
      <w:pPr>
        <w:pStyle w:val="Q"/>
        <w:spacing w:before="240"/>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D331CB">
        <w:rPr>
          <w:rFonts w:asciiTheme="majorHAnsi" w:hAnsiTheme="majorHAnsi" w:cstheme="majorHAnsi"/>
          <w:caps w:val="0"/>
          <w:sz w:val="24"/>
          <w:szCs w:val="24"/>
        </w:rPr>
        <w:t>Did M</w:t>
      </w:r>
      <w:r w:rsidR="00D331CB" w:rsidRPr="00A2358C">
        <w:rPr>
          <w:rFonts w:asciiTheme="majorHAnsi" w:hAnsiTheme="majorHAnsi" w:cstheme="majorHAnsi"/>
          <w:caps w:val="0"/>
          <w:sz w:val="24"/>
          <w:szCs w:val="24"/>
        </w:rPr>
        <w:t>r. Jones’ 2007 analysis take into account the requirements of the</w:t>
      </w:r>
      <w:r w:rsidR="00826E27" w:rsidRPr="00A2358C">
        <w:rPr>
          <w:rFonts w:asciiTheme="majorHAnsi" w:hAnsiTheme="majorHAnsi" w:cstheme="majorHAnsi"/>
          <w:sz w:val="24"/>
          <w:szCs w:val="24"/>
        </w:rPr>
        <w:t xml:space="preserve"> </w:t>
      </w:r>
      <w:r w:rsidR="00D331CB">
        <w:rPr>
          <w:rFonts w:asciiTheme="majorHAnsi" w:hAnsiTheme="majorHAnsi" w:cstheme="majorHAnsi"/>
          <w:caps w:val="0"/>
          <w:sz w:val="24"/>
          <w:szCs w:val="24"/>
        </w:rPr>
        <w:t>EPA’s R</w:t>
      </w:r>
      <w:r w:rsidR="00D331CB" w:rsidRPr="00A2358C">
        <w:rPr>
          <w:rFonts w:asciiTheme="majorHAnsi" w:hAnsiTheme="majorHAnsi" w:cstheme="majorHAnsi"/>
          <w:caps w:val="0"/>
          <w:sz w:val="24"/>
          <w:szCs w:val="24"/>
        </w:rPr>
        <w:t xml:space="preserve">egional </w:t>
      </w:r>
      <w:r w:rsidR="00D331CB">
        <w:rPr>
          <w:rFonts w:asciiTheme="majorHAnsi" w:hAnsiTheme="majorHAnsi" w:cstheme="majorHAnsi"/>
          <w:caps w:val="0"/>
          <w:sz w:val="24"/>
          <w:szCs w:val="24"/>
        </w:rPr>
        <w:t>Haze R</w:t>
      </w:r>
      <w:r w:rsidR="00D331CB" w:rsidRPr="00A2358C">
        <w:rPr>
          <w:rFonts w:asciiTheme="majorHAnsi" w:hAnsiTheme="majorHAnsi" w:cstheme="majorHAnsi"/>
          <w:caps w:val="0"/>
          <w:sz w:val="24"/>
          <w:szCs w:val="24"/>
        </w:rPr>
        <w:t>ule?</w:t>
      </w:r>
    </w:p>
    <w:p w14:paraId="567697D6" w14:textId="20FB1759" w:rsidR="00331AC7" w:rsidRPr="00A2358C" w:rsidRDefault="002F542B"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Only to a very limited extent, again because the requirements that would affect the plant were not known at that time. The EPA published its Federal Implementation Plan (FIP) for Montana in 2012</w:t>
      </w:r>
      <w:r w:rsidR="009101C6" w:rsidRPr="00A2358C">
        <w:rPr>
          <w:rFonts w:asciiTheme="majorHAnsi" w:hAnsiTheme="majorHAnsi" w:cstheme="majorHAnsi"/>
          <w:sz w:val="24"/>
          <w:szCs w:val="24"/>
        </w:rPr>
        <w:t xml:space="preserve"> that determined Best </w:t>
      </w:r>
      <w:r w:rsidR="00AE4219">
        <w:rPr>
          <w:rFonts w:asciiTheme="majorHAnsi" w:hAnsiTheme="majorHAnsi" w:cstheme="majorHAnsi"/>
          <w:sz w:val="24"/>
          <w:szCs w:val="24"/>
        </w:rPr>
        <w:t>Available Retrofit Technology (BART</w:t>
      </w:r>
      <w:r w:rsidR="009101C6" w:rsidRPr="00A2358C">
        <w:rPr>
          <w:rFonts w:asciiTheme="majorHAnsi" w:hAnsiTheme="majorHAnsi" w:cstheme="majorHAnsi"/>
          <w:sz w:val="24"/>
          <w:szCs w:val="24"/>
        </w:rPr>
        <w:t xml:space="preserve">) </w:t>
      </w:r>
      <w:r w:rsidR="008D6F75" w:rsidRPr="00A2358C">
        <w:rPr>
          <w:rFonts w:asciiTheme="majorHAnsi" w:hAnsiTheme="majorHAnsi" w:cstheme="majorHAnsi"/>
          <w:sz w:val="24"/>
          <w:szCs w:val="24"/>
        </w:rPr>
        <w:t xml:space="preserve">requirements </w:t>
      </w:r>
      <w:r w:rsidR="009101C6" w:rsidRPr="00A2358C">
        <w:rPr>
          <w:rFonts w:asciiTheme="majorHAnsi" w:hAnsiTheme="majorHAnsi" w:cstheme="majorHAnsi"/>
          <w:sz w:val="24"/>
          <w:szCs w:val="24"/>
        </w:rPr>
        <w:t>for Units 1 and 2</w:t>
      </w:r>
      <w:r w:rsidR="00073ABE" w:rsidRPr="00A2358C">
        <w:rPr>
          <w:rFonts w:asciiTheme="majorHAnsi" w:hAnsiTheme="majorHAnsi" w:cstheme="majorHAnsi"/>
          <w:sz w:val="24"/>
          <w:szCs w:val="24"/>
        </w:rPr>
        <w:t>.</w:t>
      </w:r>
      <w:r w:rsidR="00204EA4" w:rsidRPr="00A2358C">
        <w:rPr>
          <w:rStyle w:val="FootnoteReference"/>
          <w:rFonts w:asciiTheme="majorHAnsi" w:hAnsiTheme="majorHAnsi" w:cstheme="majorHAnsi"/>
          <w:sz w:val="24"/>
          <w:szCs w:val="24"/>
        </w:rPr>
        <w:footnoteReference w:id="51"/>
      </w:r>
      <w:r w:rsidRPr="00A2358C">
        <w:rPr>
          <w:rFonts w:asciiTheme="majorHAnsi" w:hAnsiTheme="majorHAnsi" w:cstheme="majorHAnsi"/>
          <w:sz w:val="24"/>
          <w:szCs w:val="24"/>
        </w:rPr>
        <w:t xml:space="preserve"> </w:t>
      </w:r>
      <w:r w:rsidR="00073ABE" w:rsidRPr="00A2358C">
        <w:rPr>
          <w:rFonts w:asciiTheme="majorHAnsi" w:hAnsiTheme="majorHAnsi" w:cstheme="majorHAnsi"/>
          <w:sz w:val="24"/>
          <w:szCs w:val="24"/>
        </w:rPr>
        <w:t>P</w:t>
      </w:r>
      <w:r w:rsidRPr="00A2358C">
        <w:rPr>
          <w:rFonts w:asciiTheme="majorHAnsi" w:hAnsiTheme="majorHAnsi" w:cstheme="majorHAnsi"/>
          <w:sz w:val="24"/>
          <w:szCs w:val="24"/>
        </w:rPr>
        <w:t xml:space="preserve">ortions of </w:t>
      </w:r>
      <w:r w:rsidR="009101C6" w:rsidRPr="00A2358C">
        <w:rPr>
          <w:rFonts w:asciiTheme="majorHAnsi" w:hAnsiTheme="majorHAnsi" w:cstheme="majorHAnsi"/>
          <w:sz w:val="24"/>
          <w:szCs w:val="24"/>
        </w:rPr>
        <w:t xml:space="preserve">that </w:t>
      </w:r>
      <w:r w:rsidRPr="00A2358C">
        <w:rPr>
          <w:rFonts w:asciiTheme="majorHAnsi" w:hAnsiTheme="majorHAnsi" w:cstheme="majorHAnsi"/>
          <w:sz w:val="24"/>
          <w:szCs w:val="24"/>
        </w:rPr>
        <w:t xml:space="preserve">rule affecting Colstrip were </w:t>
      </w:r>
      <w:r w:rsidR="00073ABE" w:rsidRPr="00A2358C">
        <w:rPr>
          <w:rFonts w:asciiTheme="majorHAnsi" w:hAnsiTheme="majorHAnsi" w:cstheme="majorHAnsi"/>
          <w:sz w:val="24"/>
          <w:szCs w:val="24"/>
        </w:rPr>
        <w:t xml:space="preserve">remanded </w:t>
      </w:r>
      <w:r w:rsidRPr="00A2358C">
        <w:rPr>
          <w:rFonts w:asciiTheme="majorHAnsi" w:hAnsiTheme="majorHAnsi" w:cstheme="majorHAnsi"/>
          <w:sz w:val="24"/>
          <w:szCs w:val="24"/>
        </w:rPr>
        <w:t xml:space="preserve">in a 2015 ruling by the </w:t>
      </w:r>
      <w:r w:rsidR="00204EA4" w:rsidRPr="00A2358C">
        <w:rPr>
          <w:rFonts w:asciiTheme="majorHAnsi" w:hAnsiTheme="majorHAnsi" w:cstheme="majorHAnsi"/>
          <w:sz w:val="24"/>
          <w:szCs w:val="24"/>
        </w:rPr>
        <w:t>Ninth Circuit Court of Appeals</w:t>
      </w:r>
      <w:r w:rsidR="00073ABE" w:rsidRPr="00A2358C">
        <w:rPr>
          <w:rFonts w:asciiTheme="majorHAnsi" w:hAnsiTheme="majorHAnsi" w:cstheme="majorHAnsi"/>
          <w:sz w:val="24"/>
          <w:szCs w:val="24"/>
        </w:rPr>
        <w:t xml:space="preserve">, but the reasonable progress requirements of the rule </w:t>
      </w:r>
      <w:r w:rsidR="009101C6" w:rsidRPr="00A2358C">
        <w:rPr>
          <w:rFonts w:asciiTheme="majorHAnsi" w:hAnsiTheme="majorHAnsi" w:cstheme="majorHAnsi"/>
          <w:sz w:val="24"/>
          <w:szCs w:val="24"/>
        </w:rPr>
        <w:t xml:space="preserve">– which will </w:t>
      </w:r>
      <w:r w:rsidR="008D6F75" w:rsidRPr="00A2358C">
        <w:rPr>
          <w:rFonts w:asciiTheme="majorHAnsi" w:hAnsiTheme="majorHAnsi" w:cstheme="majorHAnsi"/>
          <w:sz w:val="24"/>
          <w:szCs w:val="24"/>
        </w:rPr>
        <w:t>affect</w:t>
      </w:r>
      <w:r w:rsidR="009101C6" w:rsidRPr="00A2358C">
        <w:rPr>
          <w:rFonts w:asciiTheme="majorHAnsi" w:hAnsiTheme="majorHAnsi" w:cstheme="majorHAnsi"/>
          <w:sz w:val="24"/>
          <w:szCs w:val="24"/>
        </w:rPr>
        <w:t xml:space="preserve"> Units 3 and 4 – </w:t>
      </w:r>
      <w:r w:rsidR="00073ABE" w:rsidRPr="00A2358C">
        <w:rPr>
          <w:rFonts w:asciiTheme="majorHAnsi" w:hAnsiTheme="majorHAnsi" w:cstheme="majorHAnsi"/>
          <w:sz w:val="24"/>
          <w:szCs w:val="24"/>
        </w:rPr>
        <w:t>remain in place</w:t>
      </w:r>
      <w:r w:rsidR="00204EA4" w:rsidRPr="00A2358C">
        <w:rPr>
          <w:rFonts w:asciiTheme="majorHAnsi" w:hAnsiTheme="majorHAnsi" w:cstheme="majorHAnsi"/>
          <w:sz w:val="24"/>
          <w:szCs w:val="24"/>
        </w:rPr>
        <w:t>.</w:t>
      </w:r>
      <w:r w:rsidR="009101C6" w:rsidRPr="00A2358C">
        <w:rPr>
          <w:rFonts w:asciiTheme="majorHAnsi" w:hAnsiTheme="majorHAnsi" w:cstheme="majorHAnsi"/>
          <w:sz w:val="24"/>
          <w:szCs w:val="24"/>
        </w:rPr>
        <w:t xml:space="preserve"> </w:t>
      </w:r>
      <w:r w:rsidR="00073ABE" w:rsidRPr="00A2358C">
        <w:rPr>
          <w:rFonts w:asciiTheme="majorHAnsi" w:hAnsiTheme="majorHAnsi" w:cstheme="majorHAnsi"/>
          <w:sz w:val="24"/>
          <w:szCs w:val="24"/>
        </w:rPr>
        <w:t>A</w:t>
      </w:r>
      <w:r w:rsidR="00204EA4" w:rsidRPr="00A2358C">
        <w:rPr>
          <w:rFonts w:asciiTheme="majorHAnsi" w:hAnsiTheme="majorHAnsi" w:cstheme="majorHAnsi"/>
          <w:sz w:val="24"/>
          <w:szCs w:val="24"/>
        </w:rPr>
        <w:t xml:space="preserve">ccording to PSE’s 2015 Integrated Resource Plan (IRP), “The current EPA assessment is that the state of Montana will require significant emission reductions to meet the natural visibility </w:t>
      </w:r>
      <w:r w:rsidR="00204EA4" w:rsidRPr="00A2358C">
        <w:rPr>
          <w:rFonts w:asciiTheme="majorHAnsi" w:hAnsiTheme="majorHAnsi" w:cstheme="majorHAnsi"/>
          <w:sz w:val="24"/>
          <w:szCs w:val="24"/>
        </w:rPr>
        <w:lastRenderedPageBreak/>
        <w:t xml:space="preserve">goal by 2064 which means that additional emission reductions will be necessary in future 10-year planning periods, beginning in the 2018-2028 </w:t>
      </w:r>
      <w:proofErr w:type="gramStart"/>
      <w:r w:rsidR="00204EA4" w:rsidRPr="00A2358C">
        <w:rPr>
          <w:rFonts w:asciiTheme="majorHAnsi" w:hAnsiTheme="majorHAnsi" w:cstheme="majorHAnsi"/>
          <w:sz w:val="24"/>
          <w:szCs w:val="24"/>
        </w:rPr>
        <w:t>period</w:t>
      </w:r>
      <w:proofErr w:type="gramEnd"/>
      <w:r w:rsidR="00204EA4" w:rsidRPr="00A2358C">
        <w:rPr>
          <w:rFonts w:asciiTheme="majorHAnsi" w:hAnsiTheme="majorHAnsi" w:cstheme="majorHAnsi"/>
          <w:sz w:val="24"/>
          <w:szCs w:val="24"/>
        </w:rPr>
        <w:t>, and there is risk and uncertainty regarding potential costs.”</w:t>
      </w:r>
      <w:r w:rsidR="00204EA4" w:rsidRPr="00A2358C">
        <w:rPr>
          <w:rStyle w:val="FootnoteReference"/>
          <w:rFonts w:asciiTheme="majorHAnsi" w:hAnsiTheme="majorHAnsi" w:cstheme="majorHAnsi"/>
          <w:sz w:val="24"/>
          <w:szCs w:val="24"/>
        </w:rPr>
        <w:footnoteReference w:id="52"/>
      </w:r>
    </w:p>
    <w:p w14:paraId="39FA1831" w14:textId="04590D63" w:rsidR="00AB4B36" w:rsidRPr="00A2358C" w:rsidRDefault="009101C6" w:rsidP="00D331CB">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 xml:space="preserve">A recent </w:t>
      </w:r>
      <w:r w:rsidR="007F734C" w:rsidRPr="00A2358C">
        <w:rPr>
          <w:rFonts w:asciiTheme="majorHAnsi" w:hAnsiTheme="majorHAnsi" w:cstheme="majorHAnsi"/>
          <w:sz w:val="24"/>
          <w:szCs w:val="24"/>
        </w:rPr>
        <w:t xml:space="preserve">Regional Haze Rule </w:t>
      </w:r>
      <w:r w:rsidRPr="00A2358C">
        <w:rPr>
          <w:rFonts w:asciiTheme="majorHAnsi" w:hAnsiTheme="majorHAnsi" w:cstheme="majorHAnsi"/>
          <w:sz w:val="24"/>
          <w:szCs w:val="24"/>
        </w:rPr>
        <w:t>change extended the next planning period from 2018 to 2021,</w:t>
      </w:r>
      <w:r w:rsidRPr="00A2358C">
        <w:rPr>
          <w:rStyle w:val="FootnoteReference"/>
          <w:rFonts w:asciiTheme="majorHAnsi" w:hAnsiTheme="majorHAnsi" w:cstheme="majorHAnsi"/>
          <w:sz w:val="24"/>
          <w:szCs w:val="24"/>
        </w:rPr>
        <w:footnoteReference w:id="53"/>
      </w:r>
      <w:r w:rsidRPr="00A2358C">
        <w:rPr>
          <w:rFonts w:asciiTheme="majorHAnsi" w:hAnsiTheme="majorHAnsi" w:cstheme="majorHAnsi"/>
          <w:sz w:val="24"/>
          <w:szCs w:val="24"/>
        </w:rPr>
        <w:t xml:space="preserve"> but otherwise the </w:t>
      </w:r>
      <w:r w:rsidR="007F734C" w:rsidRPr="00A2358C">
        <w:rPr>
          <w:rFonts w:asciiTheme="majorHAnsi" w:hAnsiTheme="majorHAnsi" w:cstheme="majorHAnsi"/>
          <w:sz w:val="24"/>
          <w:szCs w:val="24"/>
        </w:rPr>
        <w:t>“</w:t>
      </w:r>
      <w:r w:rsidRPr="00A2358C">
        <w:rPr>
          <w:rFonts w:asciiTheme="majorHAnsi" w:hAnsiTheme="majorHAnsi" w:cstheme="majorHAnsi"/>
          <w:sz w:val="24"/>
          <w:szCs w:val="24"/>
        </w:rPr>
        <w:t>reasonable progress</w:t>
      </w:r>
      <w:r w:rsidR="007F734C" w:rsidRPr="00A2358C">
        <w:rPr>
          <w:rFonts w:asciiTheme="majorHAnsi" w:hAnsiTheme="majorHAnsi" w:cstheme="majorHAnsi"/>
          <w:sz w:val="24"/>
          <w:szCs w:val="24"/>
        </w:rPr>
        <w:t>”</w:t>
      </w:r>
      <w:r w:rsidRPr="00A2358C">
        <w:rPr>
          <w:rFonts w:asciiTheme="majorHAnsi" w:hAnsiTheme="majorHAnsi" w:cstheme="majorHAnsi"/>
          <w:sz w:val="24"/>
          <w:szCs w:val="24"/>
        </w:rPr>
        <w:t xml:space="preserve"> requirements remain in effect. While litigation challenges or future rule </w:t>
      </w:r>
      <w:r w:rsidR="00701357" w:rsidRPr="00A2358C">
        <w:rPr>
          <w:rFonts w:asciiTheme="majorHAnsi" w:hAnsiTheme="majorHAnsi" w:cstheme="majorHAnsi"/>
          <w:sz w:val="24"/>
          <w:szCs w:val="24"/>
        </w:rPr>
        <w:t>revisions</w:t>
      </w:r>
      <w:r w:rsidRPr="00A2358C">
        <w:rPr>
          <w:rFonts w:asciiTheme="majorHAnsi" w:hAnsiTheme="majorHAnsi" w:cstheme="majorHAnsi"/>
          <w:sz w:val="24"/>
          <w:szCs w:val="24"/>
        </w:rPr>
        <w:t xml:space="preserve"> could conceivable change these rules, for now the reasonable progress component of the Regional Haze Rule is in place. Based</w:t>
      </w:r>
      <w:r w:rsidR="00CD56FE" w:rsidRPr="00A2358C">
        <w:rPr>
          <w:rFonts w:asciiTheme="majorHAnsi" w:hAnsiTheme="majorHAnsi" w:cstheme="majorHAnsi"/>
          <w:sz w:val="24"/>
          <w:szCs w:val="24"/>
        </w:rPr>
        <w:t xml:space="preserve"> on the best estimates of several Colstrip owners, it appears most likely that SCR would be required in the mid-2020 timeframe. </w:t>
      </w:r>
      <w:r w:rsidR="00AB4B36" w:rsidRPr="00A2358C">
        <w:rPr>
          <w:rFonts w:asciiTheme="majorHAnsi" w:hAnsiTheme="majorHAnsi" w:cstheme="majorHAnsi"/>
          <w:sz w:val="24"/>
          <w:szCs w:val="24"/>
        </w:rPr>
        <w:t>For example, PacifiCorp’s 2015 IRP included an assumption that it will incur costs to install SCR at Colstrip 3 and 4 in 2023 and 2022, respectively.</w:t>
      </w:r>
      <w:r w:rsidR="00AB4B36" w:rsidRPr="00A2358C">
        <w:rPr>
          <w:rStyle w:val="FootnoteReference"/>
          <w:rFonts w:asciiTheme="majorHAnsi" w:hAnsiTheme="majorHAnsi" w:cstheme="majorHAnsi"/>
          <w:sz w:val="24"/>
          <w:szCs w:val="24"/>
        </w:rPr>
        <w:footnoteReference w:id="54"/>
      </w:r>
      <w:r w:rsidR="00AB4B36" w:rsidRPr="00A2358C">
        <w:rPr>
          <w:rFonts w:asciiTheme="majorHAnsi" w:hAnsiTheme="majorHAnsi" w:cstheme="majorHAnsi"/>
          <w:sz w:val="24"/>
          <w:szCs w:val="24"/>
        </w:rPr>
        <w:t xml:space="preserve"> Portland General Electric’s 2016 IRP assumed that SCR would be required by 2027 in order to meet the “reasonable progress” requirements.</w:t>
      </w:r>
      <w:r w:rsidR="00073ABE" w:rsidRPr="00A2358C">
        <w:rPr>
          <w:rFonts w:asciiTheme="majorHAnsi" w:hAnsiTheme="majorHAnsi" w:cstheme="majorHAnsi"/>
          <w:sz w:val="24"/>
          <w:szCs w:val="24"/>
        </w:rPr>
        <w:t xml:space="preserve"> </w:t>
      </w:r>
    </w:p>
    <w:p w14:paraId="591D6BEC" w14:textId="41029DE6" w:rsidR="00331AC7" w:rsidRPr="00A2358C" w:rsidRDefault="00CD56FE" w:rsidP="00A54773">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Those costs would be substantial. In exhibit RJR-15, PSE witness Ronald</w:t>
      </w:r>
      <w:r w:rsidR="00392C17" w:rsidRPr="00A2358C">
        <w:rPr>
          <w:rFonts w:asciiTheme="majorHAnsi" w:hAnsiTheme="majorHAnsi" w:cstheme="majorHAnsi"/>
          <w:sz w:val="24"/>
          <w:szCs w:val="24"/>
        </w:rPr>
        <w:t xml:space="preserve"> Roberts provided a study by the engineering firm Burns and McDonnell with a total cost estimate of $739 </w:t>
      </w:r>
      <w:r w:rsidR="00701357" w:rsidRPr="00A2358C">
        <w:rPr>
          <w:rFonts w:asciiTheme="majorHAnsi" w:hAnsiTheme="majorHAnsi" w:cstheme="majorHAnsi"/>
          <w:sz w:val="24"/>
          <w:szCs w:val="24"/>
        </w:rPr>
        <w:t>m</w:t>
      </w:r>
      <w:r w:rsidR="00392C17" w:rsidRPr="00A2358C">
        <w:rPr>
          <w:rFonts w:asciiTheme="majorHAnsi" w:hAnsiTheme="majorHAnsi" w:cstheme="majorHAnsi"/>
          <w:sz w:val="24"/>
          <w:szCs w:val="24"/>
        </w:rPr>
        <w:t xml:space="preserve">illion to install SCRs and related equipment on Units </w:t>
      </w:r>
      <w:r w:rsidRPr="00A2358C">
        <w:rPr>
          <w:rFonts w:asciiTheme="majorHAnsi" w:hAnsiTheme="majorHAnsi" w:cstheme="majorHAnsi"/>
          <w:sz w:val="24"/>
          <w:szCs w:val="24"/>
        </w:rPr>
        <w:t>3</w:t>
      </w:r>
      <w:r w:rsidR="00392C17" w:rsidRPr="00A2358C">
        <w:rPr>
          <w:rFonts w:asciiTheme="majorHAnsi" w:hAnsiTheme="majorHAnsi" w:cstheme="majorHAnsi"/>
          <w:sz w:val="24"/>
          <w:szCs w:val="24"/>
        </w:rPr>
        <w:t xml:space="preserve"> and </w:t>
      </w:r>
      <w:r w:rsidRPr="00A2358C">
        <w:rPr>
          <w:rFonts w:asciiTheme="majorHAnsi" w:hAnsiTheme="majorHAnsi" w:cstheme="majorHAnsi"/>
          <w:sz w:val="24"/>
          <w:szCs w:val="24"/>
        </w:rPr>
        <w:t>4</w:t>
      </w:r>
      <w:r w:rsidR="00392C17" w:rsidRPr="00A2358C">
        <w:rPr>
          <w:rFonts w:asciiTheme="majorHAnsi" w:hAnsiTheme="majorHAnsi" w:cstheme="majorHAnsi"/>
          <w:sz w:val="24"/>
          <w:szCs w:val="24"/>
        </w:rPr>
        <w:t>.</w:t>
      </w:r>
      <w:r w:rsidR="00474AB1" w:rsidRPr="00A2358C">
        <w:rPr>
          <w:rStyle w:val="FootnoteReference"/>
          <w:rFonts w:asciiTheme="majorHAnsi" w:hAnsiTheme="majorHAnsi" w:cstheme="majorHAnsi"/>
          <w:sz w:val="24"/>
          <w:szCs w:val="24"/>
        </w:rPr>
        <w:footnoteReference w:id="55"/>
      </w:r>
      <w:r w:rsidR="00392C17" w:rsidRPr="00A2358C">
        <w:rPr>
          <w:rFonts w:asciiTheme="majorHAnsi" w:hAnsiTheme="majorHAnsi" w:cstheme="majorHAnsi"/>
          <w:sz w:val="24"/>
          <w:szCs w:val="24"/>
        </w:rPr>
        <w:t xml:space="preserve"> As 25% owner, PSE would be responsible for $184,750,000 of this cost.</w:t>
      </w:r>
      <w:r w:rsidR="00474AB1" w:rsidRPr="00A2358C">
        <w:rPr>
          <w:rFonts w:asciiTheme="majorHAnsi" w:hAnsiTheme="majorHAnsi" w:cstheme="majorHAnsi"/>
          <w:sz w:val="24"/>
          <w:szCs w:val="24"/>
        </w:rPr>
        <w:t xml:space="preserve"> Given the precarious economic position of Colstrip 3 and 4 today, it is highly unlikely that PSE and the other co-owners of Colstrip would agree to spend nearly three-quarters of a billion dollars on capital </w:t>
      </w:r>
      <w:r w:rsidR="00474AB1" w:rsidRPr="00A2358C">
        <w:rPr>
          <w:rFonts w:asciiTheme="majorHAnsi" w:hAnsiTheme="majorHAnsi" w:cstheme="majorHAnsi"/>
          <w:sz w:val="24"/>
          <w:szCs w:val="24"/>
        </w:rPr>
        <w:lastRenderedPageBreak/>
        <w:t>expenditures in the 2022-2027 timeframe. It is therefore likely that a</w:t>
      </w:r>
      <w:r w:rsidR="00AB4B36" w:rsidRPr="00A2358C">
        <w:rPr>
          <w:rFonts w:asciiTheme="majorHAnsi" w:hAnsiTheme="majorHAnsi" w:cstheme="majorHAnsi"/>
          <w:sz w:val="24"/>
          <w:szCs w:val="24"/>
        </w:rPr>
        <w:t>ny</w:t>
      </w:r>
      <w:r w:rsidR="00474AB1" w:rsidRPr="00A2358C">
        <w:rPr>
          <w:rFonts w:asciiTheme="majorHAnsi" w:hAnsiTheme="majorHAnsi" w:cstheme="majorHAnsi"/>
          <w:sz w:val="24"/>
          <w:szCs w:val="24"/>
        </w:rPr>
        <w:t xml:space="preserve"> requirement to install SCR would instead trigger a decision to retire those units. </w:t>
      </w:r>
    </w:p>
    <w:p w14:paraId="57A847CE" w14:textId="2E2ABE46" w:rsidR="00392C17" w:rsidRPr="00A2358C" w:rsidRDefault="00392C1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54773" w:rsidRPr="00A2358C">
        <w:rPr>
          <w:rFonts w:asciiTheme="majorHAnsi" w:hAnsiTheme="majorHAnsi" w:cstheme="majorHAnsi"/>
          <w:caps w:val="0"/>
          <w:sz w:val="24"/>
          <w:szCs w:val="24"/>
        </w:rPr>
        <w:t>Given the updated information you have provided regarding the general outlook for coal-fired ge</w:t>
      </w:r>
      <w:r w:rsidR="00A54773">
        <w:rPr>
          <w:rFonts w:asciiTheme="majorHAnsi" w:hAnsiTheme="majorHAnsi" w:cstheme="majorHAnsi"/>
          <w:caps w:val="0"/>
          <w:sz w:val="24"/>
          <w:szCs w:val="24"/>
        </w:rPr>
        <w:t>neration and risks specific to C</w:t>
      </w:r>
      <w:r w:rsidR="00FD7B0F">
        <w:rPr>
          <w:rFonts w:asciiTheme="majorHAnsi" w:hAnsiTheme="majorHAnsi" w:cstheme="majorHAnsi"/>
          <w:caps w:val="0"/>
          <w:sz w:val="24"/>
          <w:szCs w:val="24"/>
        </w:rPr>
        <w:t>olstrip U</w:t>
      </w:r>
      <w:r w:rsidR="00A54773" w:rsidRPr="00A2358C">
        <w:rPr>
          <w:rFonts w:asciiTheme="majorHAnsi" w:hAnsiTheme="majorHAnsi" w:cstheme="majorHAnsi"/>
          <w:caps w:val="0"/>
          <w:sz w:val="24"/>
          <w:szCs w:val="24"/>
        </w:rPr>
        <w:t>nits 3 and 4, what is your conclusion and recommendation regarding the depreciation end-of-life assumption for these units</w:t>
      </w:r>
      <w:r w:rsidR="0007751C" w:rsidRPr="00A2358C">
        <w:rPr>
          <w:rFonts w:asciiTheme="majorHAnsi" w:hAnsiTheme="majorHAnsi" w:cstheme="majorHAnsi"/>
          <w:sz w:val="24"/>
          <w:szCs w:val="24"/>
        </w:rPr>
        <w:t>?</w:t>
      </w:r>
    </w:p>
    <w:p w14:paraId="1F8A97C2" w14:textId="42676011" w:rsidR="0007751C" w:rsidRPr="00A2358C" w:rsidRDefault="0007751C" w:rsidP="00A54773">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I find that Mr. Jones’ proposed end-of-life assumption was reasonable as of 2007, but that given updated information such as the issues I have discussed, the long-term prospects for Colstrip Units 3 and 4 have deteriorated. Thus I recommend a depreciation schedule with an end-of-life set no later than December 31, 2024.</w:t>
      </w:r>
    </w:p>
    <w:p w14:paraId="376266BD" w14:textId="73C48F7A" w:rsidR="00C00DB7" w:rsidRPr="00A2358C" w:rsidRDefault="00C00DB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54773" w:rsidRPr="00A2358C">
        <w:rPr>
          <w:rFonts w:asciiTheme="majorHAnsi" w:hAnsiTheme="majorHAnsi" w:cstheme="majorHAnsi"/>
          <w:caps w:val="0"/>
          <w:sz w:val="24"/>
          <w:szCs w:val="24"/>
        </w:rPr>
        <w:t>What effect will using a shor</w:t>
      </w:r>
      <w:r w:rsidR="00A54773">
        <w:rPr>
          <w:rFonts w:asciiTheme="majorHAnsi" w:hAnsiTheme="majorHAnsi" w:cstheme="majorHAnsi"/>
          <w:caps w:val="0"/>
          <w:sz w:val="24"/>
          <w:szCs w:val="24"/>
        </w:rPr>
        <w:t>ter depreciable life have on PSE</w:t>
      </w:r>
      <w:r w:rsidR="00A54773" w:rsidRPr="00A2358C">
        <w:rPr>
          <w:rFonts w:asciiTheme="majorHAnsi" w:hAnsiTheme="majorHAnsi" w:cstheme="majorHAnsi"/>
          <w:caps w:val="0"/>
          <w:sz w:val="24"/>
          <w:szCs w:val="24"/>
        </w:rPr>
        <w:t>’s revenue requirements in this case</w:t>
      </w:r>
      <w:r w:rsidRPr="00A2358C">
        <w:rPr>
          <w:rFonts w:asciiTheme="majorHAnsi" w:hAnsiTheme="majorHAnsi" w:cstheme="majorHAnsi"/>
          <w:sz w:val="24"/>
          <w:szCs w:val="24"/>
        </w:rPr>
        <w:t>?</w:t>
      </w:r>
    </w:p>
    <w:p w14:paraId="796B015D" w14:textId="48DE172B" w:rsidR="00C00DB7" w:rsidRPr="00A2358C" w:rsidRDefault="00C00DB7" w:rsidP="00A54773">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On balance, a shorter depreciation schedule leads to </w:t>
      </w:r>
      <w:r w:rsidR="00474AB1" w:rsidRPr="00A2358C">
        <w:rPr>
          <w:rFonts w:asciiTheme="majorHAnsi" w:hAnsiTheme="majorHAnsi" w:cstheme="majorHAnsi"/>
          <w:sz w:val="24"/>
          <w:szCs w:val="24"/>
        </w:rPr>
        <w:t xml:space="preserve">increased revenue requirement in the test year and – all things equal – a greater rate </w:t>
      </w:r>
      <w:r w:rsidRPr="00A2358C">
        <w:rPr>
          <w:rFonts w:asciiTheme="majorHAnsi" w:hAnsiTheme="majorHAnsi" w:cstheme="majorHAnsi"/>
          <w:sz w:val="24"/>
          <w:szCs w:val="24"/>
        </w:rPr>
        <w:t>increas</w:t>
      </w:r>
      <w:r w:rsidR="00474AB1" w:rsidRPr="00A2358C">
        <w:rPr>
          <w:rFonts w:asciiTheme="majorHAnsi" w:hAnsiTheme="majorHAnsi" w:cstheme="majorHAnsi"/>
          <w:sz w:val="24"/>
          <w:szCs w:val="24"/>
        </w:rPr>
        <w:t>e</w:t>
      </w:r>
      <w:r w:rsidRPr="00A2358C">
        <w:rPr>
          <w:rFonts w:asciiTheme="majorHAnsi" w:hAnsiTheme="majorHAnsi" w:cstheme="majorHAnsi"/>
          <w:sz w:val="24"/>
          <w:szCs w:val="24"/>
        </w:rPr>
        <w:t xml:space="preserve">. </w:t>
      </w:r>
      <w:r w:rsidR="00757276" w:rsidRPr="00A2358C">
        <w:rPr>
          <w:rFonts w:asciiTheme="majorHAnsi" w:hAnsiTheme="majorHAnsi" w:cstheme="majorHAnsi"/>
          <w:sz w:val="24"/>
          <w:szCs w:val="24"/>
        </w:rPr>
        <w:t>In this case, I estimate that changing the retirement date to 2024 will result in an increase in annual revenue requirements of approximately $16 million.</w:t>
      </w:r>
      <w:r w:rsidR="0007751C" w:rsidRPr="00A2358C">
        <w:rPr>
          <w:rStyle w:val="FootnoteReference"/>
          <w:rFonts w:asciiTheme="majorHAnsi" w:hAnsiTheme="majorHAnsi" w:cstheme="majorHAnsi"/>
          <w:sz w:val="24"/>
          <w:szCs w:val="24"/>
        </w:rPr>
        <w:footnoteReference w:id="56"/>
      </w:r>
      <w:r w:rsidR="00757276" w:rsidRPr="00A2358C">
        <w:rPr>
          <w:rFonts w:asciiTheme="majorHAnsi" w:hAnsiTheme="majorHAnsi" w:cstheme="majorHAnsi"/>
          <w:sz w:val="24"/>
          <w:szCs w:val="24"/>
        </w:rPr>
        <w:t xml:space="preserve"> </w:t>
      </w:r>
      <w:r w:rsidRPr="00A2358C">
        <w:rPr>
          <w:rFonts w:asciiTheme="majorHAnsi" w:hAnsiTheme="majorHAnsi" w:cstheme="majorHAnsi"/>
          <w:sz w:val="24"/>
          <w:szCs w:val="24"/>
        </w:rPr>
        <w:t>However,</w:t>
      </w:r>
      <w:r w:rsidR="00065798" w:rsidRPr="00A2358C">
        <w:rPr>
          <w:rFonts w:asciiTheme="majorHAnsi" w:hAnsiTheme="majorHAnsi" w:cstheme="majorHAnsi"/>
          <w:sz w:val="24"/>
          <w:szCs w:val="24"/>
        </w:rPr>
        <w:t xml:space="preserve"> in the long run an accelerated depreciation schedule will save ratepayers money by paying down the assets faster and </w:t>
      </w:r>
      <w:r w:rsidR="00332D67" w:rsidRPr="00A2358C">
        <w:rPr>
          <w:rFonts w:asciiTheme="majorHAnsi" w:hAnsiTheme="majorHAnsi" w:cstheme="majorHAnsi"/>
          <w:sz w:val="24"/>
          <w:szCs w:val="24"/>
        </w:rPr>
        <w:t>reducing carrying costs</w:t>
      </w:r>
      <w:r w:rsidR="00872E0D" w:rsidRPr="00A2358C">
        <w:rPr>
          <w:rFonts w:asciiTheme="majorHAnsi" w:hAnsiTheme="majorHAnsi" w:cstheme="majorHAnsi"/>
          <w:sz w:val="24"/>
          <w:szCs w:val="24"/>
        </w:rPr>
        <w:t>, as well as enabling more deliberative planning for alternative sources of supply</w:t>
      </w:r>
      <w:r w:rsidR="00332D67" w:rsidRPr="00A2358C">
        <w:rPr>
          <w:rFonts w:asciiTheme="majorHAnsi" w:hAnsiTheme="majorHAnsi" w:cstheme="majorHAnsi"/>
          <w:sz w:val="24"/>
          <w:szCs w:val="24"/>
        </w:rPr>
        <w:t>. More</w:t>
      </w:r>
      <w:r w:rsidR="00837778" w:rsidRPr="00A2358C">
        <w:rPr>
          <w:rFonts w:asciiTheme="majorHAnsi" w:hAnsiTheme="majorHAnsi" w:cstheme="majorHAnsi"/>
          <w:sz w:val="24"/>
          <w:szCs w:val="24"/>
        </w:rPr>
        <w:t>o</w:t>
      </w:r>
      <w:r w:rsidR="00332D67" w:rsidRPr="00A2358C">
        <w:rPr>
          <w:rFonts w:asciiTheme="majorHAnsi" w:hAnsiTheme="majorHAnsi" w:cstheme="majorHAnsi"/>
          <w:sz w:val="24"/>
          <w:szCs w:val="24"/>
        </w:rPr>
        <w:t xml:space="preserve">ver, if the Commission does not accelerate the depreciation rate </w:t>
      </w:r>
      <w:r w:rsidR="00332D67" w:rsidRPr="00A2358C">
        <w:rPr>
          <w:rFonts w:asciiTheme="majorHAnsi" w:hAnsiTheme="majorHAnsi" w:cstheme="majorHAnsi"/>
          <w:sz w:val="24"/>
          <w:szCs w:val="24"/>
        </w:rPr>
        <w:lastRenderedPageBreak/>
        <w:t>and it becomes evident at a later date that Colstrip 3 and 4 will in fact retire early,</w:t>
      </w:r>
      <w:r w:rsidR="00AB4B36" w:rsidRPr="00A2358C">
        <w:rPr>
          <w:rFonts w:asciiTheme="majorHAnsi" w:hAnsiTheme="majorHAnsi" w:cstheme="majorHAnsi"/>
          <w:sz w:val="24"/>
          <w:szCs w:val="24"/>
        </w:rPr>
        <w:t xml:space="preserve"> as I deem likely,</w:t>
      </w:r>
      <w:r w:rsidR="00332D67" w:rsidRPr="00A2358C">
        <w:rPr>
          <w:rFonts w:asciiTheme="majorHAnsi" w:hAnsiTheme="majorHAnsi" w:cstheme="majorHAnsi"/>
          <w:sz w:val="24"/>
          <w:szCs w:val="24"/>
        </w:rPr>
        <w:t xml:space="preserve"> then the </w:t>
      </w:r>
      <w:r w:rsidR="00837778" w:rsidRPr="00A2358C">
        <w:rPr>
          <w:rFonts w:asciiTheme="majorHAnsi" w:hAnsiTheme="majorHAnsi" w:cstheme="majorHAnsi"/>
          <w:sz w:val="24"/>
          <w:szCs w:val="24"/>
        </w:rPr>
        <w:t xml:space="preserve">revenue requirement </w:t>
      </w:r>
      <w:r w:rsidR="00332D67" w:rsidRPr="00A2358C">
        <w:rPr>
          <w:rFonts w:asciiTheme="majorHAnsi" w:hAnsiTheme="majorHAnsi" w:cstheme="majorHAnsi"/>
          <w:sz w:val="24"/>
          <w:szCs w:val="24"/>
        </w:rPr>
        <w:t xml:space="preserve">impact </w:t>
      </w:r>
      <w:r w:rsidR="00837778" w:rsidRPr="00A2358C">
        <w:rPr>
          <w:rFonts w:asciiTheme="majorHAnsi" w:hAnsiTheme="majorHAnsi" w:cstheme="majorHAnsi"/>
          <w:sz w:val="24"/>
          <w:szCs w:val="24"/>
        </w:rPr>
        <w:t>of accelerating</w:t>
      </w:r>
      <w:r w:rsidR="00332D67" w:rsidRPr="00A2358C">
        <w:rPr>
          <w:rFonts w:asciiTheme="majorHAnsi" w:hAnsiTheme="majorHAnsi" w:cstheme="majorHAnsi"/>
          <w:sz w:val="24"/>
          <w:szCs w:val="24"/>
        </w:rPr>
        <w:t xml:space="preserve"> depreciation will be even greater</w:t>
      </w:r>
      <w:r w:rsidR="00065798" w:rsidRPr="00A2358C">
        <w:rPr>
          <w:rFonts w:asciiTheme="majorHAnsi" w:hAnsiTheme="majorHAnsi" w:cstheme="majorHAnsi"/>
          <w:sz w:val="24"/>
          <w:szCs w:val="24"/>
        </w:rPr>
        <w:t xml:space="preserve">. </w:t>
      </w:r>
      <w:r w:rsidR="00474AB1" w:rsidRPr="00A2358C">
        <w:rPr>
          <w:rFonts w:asciiTheme="majorHAnsi" w:hAnsiTheme="majorHAnsi" w:cstheme="majorHAnsi"/>
          <w:sz w:val="24"/>
          <w:szCs w:val="24"/>
        </w:rPr>
        <w:t xml:space="preserve">In other words, increasing the revenue requirement today will avoid an even greater rate shock in the future. </w:t>
      </w:r>
      <w:r w:rsidRPr="00A2358C">
        <w:rPr>
          <w:rFonts w:asciiTheme="majorHAnsi" w:hAnsiTheme="majorHAnsi" w:cstheme="majorHAnsi"/>
          <w:sz w:val="24"/>
          <w:szCs w:val="24"/>
        </w:rPr>
        <w:t xml:space="preserve"> </w:t>
      </w:r>
    </w:p>
    <w:p w14:paraId="59ED0BE4" w14:textId="4C7D3AFC" w:rsidR="00332D67" w:rsidRPr="00A2358C" w:rsidRDefault="00332D6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54773" w:rsidRPr="00A2358C">
        <w:rPr>
          <w:rFonts w:asciiTheme="majorHAnsi" w:hAnsiTheme="majorHAnsi" w:cstheme="majorHAnsi"/>
          <w:caps w:val="0"/>
          <w:sz w:val="24"/>
          <w:szCs w:val="24"/>
        </w:rPr>
        <w:t xml:space="preserve">Why is it important to align the depreciation schedule with a more realistic retirement date? </w:t>
      </w:r>
    </w:p>
    <w:p w14:paraId="75EE0C95" w14:textId="22449C79" w:rsidR="00332D67" w:rsidRPr="00A2358C" w:rsidRDefault="00332D67"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Aligning the depreciation schedule with </w:t>
      </w:r>
      <w:r w:rsidR="005106A3" w:rsidRPr="00A2358C">
        <w:rPr>
          <w:rFonts w:asciiTheme="majorHAnsi" w:hAnsiTheme="majorHAnsi" w:cstheme="majorHAnsi"/>
          <w:sz w:val="24"/>
          <w:szCs w:val="24"/>
        </w:rPr>
        <w:t xml:space="preserve">a realistic estimate of the </w:t>
      </w:r>
      <w:r w:rsidRPr="00A2358C">
        <w:rPr>
          <w:rFonts w:asciiTheme="majorHAnsi" w:hAnsiTheme="majorHAnsi" w:cstheme="majorHAnsi"/>
          <w:sz w:val="24"/>
          <w:szCs w:val="24"/>
        </w:rPr>
        <w:t>retirement dates appropriately balances ratepayer and shareholder interests. Given the likelihood that Colstrip Units 3 and 4 will retire sooner than</w:t>
      </w:r>
      <w:r w:rsidR="005106A3" w:rsidRPr="00A2358C">
        <w:rPr>
          <w:rFonts w:asciiTheme="majorHAnsi" w:hAnsiTheme="majorHAnsi" w:cstheme="majorHAnsi"/>
          <w:sz w:val="24"/>
          <w:szCs w:val="24"/>
        </w:rPr>
        <w:t xml:space="preserve"> the end of </w:t>
      </w:r>
      <w:r w:rsidRPr="00A2358C">
        <w:rPr>
          <w:rFonts w:asciiTheme="majorHAnsi" w:hAnsiTheme="majorHAnsi" w:cstheme="majorHAnsi"/>
          <w:sz w:val="24"/>
          <w:szCs w:val="24"/>
        </w:rPr>
        <w:t>the currently proposed depreciation schedule, accelerat</w:t>
      </w:r>
      <w:r w:rsidR="005106A3" w:rsidRPr="00A2358C">
        <w:rPr>
          <w:rFonts w:asciiTheme="majorHAnsi" w:hAnsiTheme="majorHAnsi" w:cstheme="majorHAnsi"/>
          <w:sz w:val="24"/>
          <w:szCs w:val="24"/>
        </w:rPr>
        <w:t>ing their</w:t>
      </w:r>
      <w:r w:rsidRPr="00A2358C">
        <w:rPr>
          <w:rFonts w:asciiTheme="majorHAnsi" w:hAnsiTheme="majorHAnsi" w:cstheme="majorHAnsi"/>
          <w:sz w:val="24"/>
          <w:szCs w:val="24"/>
        </w:rPr>
        <w:t xml:space="preserve"> depreciation protects the interests of utility shareholders by allowing recovery of plant assets during the life of the plant. </w:t>
      </w:r>
    </w:p>
    <w:p w14:paraId="48659967" w14:textId="315F0CF8" w:rsidR="00332D67" w:rsidRPr="00A2358C" w:rsidRDefault="005106A3" w:rsidP="00A54773">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Accelerating</w:t>
      </w:r>
      <w:r w:rsidR="00332D67" w:rsidRPr="00A2358C">
        <w:rPr>
          <w:rFonts w:asciiTheme="majorHAnsi" w:hAnsiTheme="majorHAnsi" w:cstheme="majorHAnsi"/>
          <w:sz w:val="24"/>
          <w:szCs w:val="24"/>
        </w:rPr>
        <w:t xml:space="preserve"> depreciation</w:t>
      </w:r>
      <w:r w:rsidR="00872E0D" w:rsidRPr="00A2358C">
        <w:rPr>
          <w:rFonts w:asciiTheme="majorHAnsi" w:hAnsiTheme="majorHAnsi" w:cstheme="majorHAnsi"/>
          <w:sz w:val="24"/>
          <w:szCs w:val="24"/>
        </w:rPr>
        <w:t xml:space="preserve"> also</w:t>
      </w:r>
      <w:r w:rsidR="00332D67" w:rsidRPr="00A2358C">
        <w:rPr>
          <w:rFonts w:asciiTheme="majorHAnsi" w:hAnsiTheme="majorHAnsi" w:cstheme="majorHAnsi"/>
          <w:sz w:val="24"/>
          <w:szCs w:val="24"/>
        </w:rPr>
        <w:t xml:space="preserve"> protects ratepayers by minimizing the risk of </w:t>
      </w:r>
      <w:r w:rsidRPr="00A2358C">
        <w:rPr>
          <w:rFonts w:asciiTheme="majorHAnsi" w:hAnsiTheme="majorHAnsi" w:cstheme="majorHAnsi"/>
          <w:sz w:val="24"/>
          <w:szCs w:val="24"/>
        </w:rPr>
        <w:t>intergenerational</w:t>
      </w:r>
      <w:r w:rsidR="00332D67" w:rsidRPr="00A2358C">
        <w:rPr>
          <w:rFonts w:asciiTheme="majorHAnsi" w:hAnsiTheme="majorHAnsi" w:cstheme="majorHAnsi"/>
          <w:sz w:val="24"/>
          <w:szCs w:val="24"/>
        </w:rPr>
        <w:t xml:space="preserve"> cost shifting between current ratepayers who are continuing to receive power from the plant, and future ratepayers who </w:t>
      </w:r>
      <w:r w:rsidRPr="00A2358C">
        <w:rPr>
          <w:rFonts w:asciiTheme="majorHAnsi" w:hAnsiTheme="majorHAnsi" w:cstheme="majorHAnsi"/>
          <w:sz w:val="24"/>
          <w:szCs w:val="24"/>
        </w:rPr>
        <w:t>would</w:t>
      </w:r>
      <w:r w:rsidR="00332D67" w:rsidRPr="00A2358C">
        <w:rPr>
          <w:rFonts w:asciiTheme="majorHAnsi" w:hAnsiTheme="majorHAnsi" w:cstheme="majorHAnsi"/>
          <w:sz w:val="24"/>
          <w:szCs w:val="24"/>
        </w:rPr>
        <w:t xml:space="preserve"> otherwise be required to pay off undepreciated assets after the plant has stopped providing power. This risk of </w:t>
      </w:r>
      <w:r w:rsidRPr="00A2358C">
        <w:rPr>
          <w:rFonts w:asciiTheme="majorHAnsi" w:hAnsiTheme="majorHAnsi" w:cstheme="majorHAnsi"/>
          <w:sz w:val="24"/>
          <w:szCs w:val="24"/>
        </w:rPr>
        <w:t xml:space="preserve">intergenerational </w:t>
      </w:r>
      <w:r w:rsidR="00332D67" w:rsidRPr="00A2358C">
        <w:rPr>
          <w:rFonts w:asciiTheme="majorHAnsi" w:hAnsiTheme="majorHAnsi" w:cstheme="majorHAnsi"/>
          <w:sz w:val="24"/>
          <w:szCs w:val="24"/>
        </w:rPr>
        <w:t>inequities is highlighted by the situation currently facing PSE and its ratepayers with respect to Colstrip Units 1 and 2.</w:t>
      </w:r>
    </w:p>
    <w:p w14:paraId="73642925" w14:textId="20497A49" w:rsidR="00332D67" w:rsidRPr="00A2358C" w:rsidRDefault="00332D67" w:rsidP="00A54773">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 xml:space="preserve">In the case of Colstrip Units 1 and 2, there is not enough time to adjust the depreciation schedule to fully depreciate the plant before its expected retirement in 2022 </w:t>
      </w:r>
      <w:r w:rsidR="003C51DD" w:rsidRPr="00A2358C">
        <w:rPr>
          <w:rFonts w:asciiTheme="majorHAnsi" w:hAnsiTheme="majorHAnsi" w:cstheme="majorHAnsi"/>
          <w:sz w:val="24"/>
          <w:szCs w:val="24"/>
        </w:rPr>
        <w:t xml:space="preserve">(or earlier) </w:t>
      </w:r>
      <w:r w:rsidRPr="00A2358C">
        <w:rPr>
          <w:rFonts w:asciiTheme="majorHAnsi" w:hAnsiTheme="majorHAnsi" w:cstheme="majorHAnsi"/>
          <w:sz w:val="24"/>
          <w:szCs w:val="24"/>
        </w:rPr>
        <w:t xml:space="preserve">without causing </w:t>
      </w:r>
      <w:r w:rsidR="005106A3" w:rsidRPr="00A2358C">
        <w:rPr>
          <w:rFonts w:asciiTheme="majorHAnsi" w:hAnsiTheme="majorHAnsi" w:cstheme="majorHAnsi"/>
          <w:sz w:val="24"/>
          <w:szCs w:val="24"/>
        </w:rPr>
        <w:t xml:space="preserve">unacceptable </w:t>
      </w:r>
      <w:r w:rsidRPr="00A2358C">
        <w:rPr>
          <w:rFonts w:asciiTheme="majorHAnsi" w:hAnsiTheme="majorHAnsi" w:cstheme="majorHAnsi"/>
          <w:sz w:val="24"/>
          <w:szCs w:val="24"/>
        </w:rPr>
        <w:t xml:space="preserve">rate shock. </w:t>
      </w:r>
      <w:r w:rsidR="005106A3" w:rsidRPr="00A2358C">
        <w:rPr>
          <w:rFonts w:asciiTheme="majorHAnsi" w:hAnsiTheme="majorHAnsi" w:cstheme="majorHAnsi"/>
          <w:sz w:val="24"/>
          <w:szCs w:val="24"/>
        </w:rPr>
        <w:t>T</w:t>
      </w:r>
      <w:r w:rsidRPr="00A2358C">
        <w:rPr>
          <w:rFonts w:asciiTheme="majorHAnsi" w:hAnsiTheme="majorHAnsi" w:cstheme="majorHAnsi"/>
          <w:sz w:val="24"/>
          <w:szCs w:val="24"/>
        </w:rPr>
        <w:t xml:space="preserve">he Commission is therefore left to choose between either (1) forcing future customers to pay for a plant that is not providing any </w:t>
      </w:r>
      <w:r w:rsidRPr="00A2358C">
        <w:rPr>
          <w:rFonts w:asciiTheme="majorHAnsi" w:hAnsiTheme="majorHAnsi" w:cstheme="majorHAnsi"/>
          <w:sz w:val="24"/>
          <w:szCs w:val="24"/>
        </w:rPr>
        <w:lastRenderedPageBreak/>
        <w:t xml:space="preserve">benefit to them, or (2) forcing PSE shareholders to absorb the stranded assets at the end of the Colstrip Unit 1 and 2’s useful lives, or some combination of the two. </w:t>
      </w:r>
      <w:r w:rsidR="005106A3" w:rsidRPr="00A2358C">
        <w:rPr>
          <w:rFonts w:asciiTheme="majorHAnsi" w:hAnsiTheme="majorHAnsi" w:cstheme="majorHAnsi"/>
          <w:sz w:val="24"/>
          <w:szCs w:val="24"/>
        </w:rPr>
        <w:t xml:space="preserve">In the </w:t>
      </w:r>
      <w:r w:rsidR="003C51DD" w:rsidRPr="00A2358C">
        <w:rPr>
          <w:rFonts w:asciiTheme="majorHAnsi" w:hAnsiTheme="majorHAnsi" w:cstheme="majorHAnsi"/>
          <w:sz w:val="24"/>
          <w:szCs w:val="24"/>
        </w:rPr>
        <w:t xml:space="preserve">current rate </w:t>
      </w:r>
      <w:r w:rsidR="005106A3" w:rsidRPr="00A2358C">
        <w:rPr>
          <w:rFonts w:asciiTheme="majorHAnsi" w:hAnsiTheme="majorHAnsi" w:cstheme="majorHAnsi"/>
          <w:sz w:val="24"/>
          <w:szCs w:val="24"/>
        </w:rPr>
        <w:t xml:space="preserve">case, PSE </w:t>
      </w:r>
      <w:r w:rsidR="003C51DD" w:rsidRPr="00A2358C">
        <w:rPr>
          <w:rFonts w:asciiTheme="majorHAnsi" w:hAnsiTheme="majorHAnsi" w:cstheme="majorHAnsi"/>
          <w:sz w:val="24"/>
          <w:szCs w:val="24"/>
        </w:rPr>
        <w:t xml:space="preserve">may be </w:t>
      </w:r>
      <w:r w:rsidR="005106A3" w:rsidRPr="00A2358C">
        <w:rPr>
          <w:rFonts w:asciiTheme="majorHAnsi" w:hAnsiTheme="majorHAnsi" w:cstheme="majorHAnsi"/>
          <w:sz w:val="24"/>
          <w:szCs w:val="24"/>
        </w:rPr>
        <w:t xml:space="preserve">able to </w:t>
      </w:r>
      <w:r w:rsidR="003C51DD" w:rsidRPr="00A2358C">
        <w:rPr>
          <w:rFonts w:asciiTheme="majorHAnsi" w:hAnsiTheme="majorHAnsi" w:cstheme="majorHAnsi"/>
          <w:sz w:val="24"/>
          <w:szCs w:val="24"/>
        </w:rPr>
        <w:t xml:space="preserve">offset </w:t>
      </w:r>
      <w:r w:rsidR="005106A3" w:rsidRPr="00A2358C">
        <w:rPr>
          <w:rFonts w:asciiTheme="majorHAnsi" w:hAnsiTheme="majorHAnsi" w:cstheme="majorHAnsi"/>
          <w:sz w:val="24"/>
          <w:szCs w:val="24"/>
        </w:rPr>
        <w:t xml:space="preserve">the anticipated rate </w:t>
      </w:r>
      <w:r w:rsidR="003C51DD" w:rsidRPr="00A2358C">
        <w:rPr>
          <w:rFonts w:asciiTheme="majorHAnsi" w:hAnsiTheme="majorHAnsi" w:cstheme="majorHAnsi"/>
          <w:sz w:val="24"/>
          <w:szCs w:val="24"/>
        </w:rPr>
        <w:t xml:space="preserve">by “repurposing” </w:t>
      </w:r>
      <w:r w:rsidR="005106A3" w:rsidRPr="00A2358C">
        <w:rPr>
          <w:rFonts w:asciiTheme="majorHAnsi" w:hAnsiTheme="majorHAnsi" w:cstheme="majorHAnsi"/>
          <w:sz w:val="24"/>
          <w:szCs w:val="24"/>
        </w:rPr>
        <w:t xml:space="preserve">funds that were due to ratepayers anyway from regulatory liabilities. That will not be possible in the case of Units 3 and 4. </w:t>
      </w:r>
      <w:r w:rsidRPr="00A2358C">
        <w:rPr>
          <w:rFonts w:asciiTheme="majorHAnsi" w:hAnsiTheme="majorHAnsi" w:cstheme="majorHAnsi"/>
          <w:sz w:val="24"/>
          <w:szCs w:val="24"/>
        </w:rPr>
        <w:t xml:space="preserve">Accelerating the depreciation schedule </w:t>
      </w:r>
      <w:r w:rsidR="005106A3" w:rsidRPr="00A2358C">
        <w:rPr>
          <w:rFonts w:asciiTheme="majorHAnsi" w:hAnsiTheme="majorHAnsi" w:cstheme="majorHAnsi"/>
          <w:sz w:val="24"/>
          <w:szCs w:val="24"/>
        </w:rPr>
        <w:t xml:space="preserve">for these units </w:t>
      </w:r>
      <w:r w:rsidRPr="00A2358C">
        <w:rPr>
          <w:rFonts w:asciiTheme="majorHAnsi" w:hAnsiTheme="majorHAnsi" w:cstheme="majorHAnsi"/>
          <w:sz w:val="24"/>
          <w:szCs w:val="24"/>
        </w:rPr>
        <w:t xml:space="preserve">in the current rate case will help to avoid </w:t>
      </w:r>
      <w:r w:rsidR="005106A3" w:rsidRPr="00A2358C">
        <w:rPr>
          <w:rFonts w:asciiTheme="majorHAnsi" w:hAnsiTheme="majorHAnsi" w:cstheme="majorHAnsi"/>
          <w:sz w:val="24"/>
          <w:szCs w:val="24"/>
        </w:rPr>
        <w:t>serious rate shock and intergenerational inequity in the future</w:t>
      </w:r>
      <w:r w:rsidRPr="00A2358C">
        <w:rPr>
          <w:rFonts w:asciiTheme="majorHAnsi" w:hAnsiTheme="majorHAnsi" w:cstheme="majorHAnsi"/>
          <w:sz w:val="24"/>
          <w:szCs w:val="24"/>
        </w:rPr>
        <w:t xml:space="preserve">. </w:t>
      </w:r>
    </w:p>
    <w:p w14:paraId="70719844" w14:textId="7A5BDA71" w:rsidR="009611C3" w:rsidRPr="00A2358C" w:rsidRDefault="009611C3"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A54773">
        <w:rPr>
          <w:rFonts w:asciiTheme="majorHAnsi" w:hAnsiTheme="majorHAnsi" w:cstheme="majorHAnsi"/>
          <w:caps w:val="0"/>
          <w:sz w:val="24"/>
          <w:szCs w:val="24"/>
        </w:rPr>
        <w:t>Are you recommending that the C</w:t>
      </w:r>
      <w:r w:rsidR="00A54773" w:rsidRPr="00A2358C">
        <w:rPr>
          <w:rFonts w:asciiTheme="majorHAnsi" w:hAnsiTheme="majorHAnsi" w:cstheme="majorHAnsi"/>
          <w:caps w:val="0"/>
          <w:sz w:val="24"/>
          <w:szCs w:val="24"/>
        </w:rPr>
        <w:t>ommissi</w:t>
      </w:r>
      <w:r w:rsidR="00A54773">
        <w:rPr>
          <w:rFonts w:asciiTheme="majorHAnsi" w:hAnsiTheme="majorHAnsi" w:cstheme="majorHAnsi"/>
          <w:caps w:val="0"/>
          <w:sz w:val="24"/>
          <w:szCs w:val="24"/>
        </w:rPr>
        <w:t>on pre-judge the retirement of C</w:t>
      </w:r>
      <w:r w:rsidR="00D617BA">
        <w:rPr>
          <w:rFonts w:asciiTheme="majorHAnsi" w:hAnsiTheme="majorHAnsi" w:cstheme="majorHAnsi"/>
          <w:caps w:val="0"/>
          <w:sz w:val="24"/>
          <w:szCs w:val="24"/>
        </w:rPr>
        <w:t>olstrip U</w:t>
      </w:r>
      <w:r w:rsidR="00A54773" w:rsidRPr="00A2358C">
        <w:rPr>
          <w:rFonts w:asciiTheme="majorHAnsi" w:hAnsiTheme="majorHAnsi" w:cstheme="majorHAnsi"/>
          <w:caps w:val="0"/>
          <w:sz w:val="24"/>
          <w:szCs w:val="24"/>
        </w:rPr>
        <w:t>nits 3 and 4?</w:t>
      </w:r>
    </w:p>
    <w:p w14:paraId="50EB6A67" w14:textId="527CADB2" w:rsidR="009611C3" w:rsidRPr="00A2358C" w:rsidRDefault="009611C3" w:rsidP="00D617BA">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 xml:space="preserve">No. I am recommending that the Commission set depreciation expense for Colstrip Units 3 and 4 at a rate that best approximates the </w:t>
      </w:r>
      <w:r w:rsidRPr="00A2358C">
        <w:rPr>
          <w:rFonts w:asciiTheme="majorHAnsi" w:hAnsiTheme="majorHAnsi" w:cstheme="majorHAnsi"/>
          <w:i/>
          <w:sz w:val="24"/>
          <w:szCs w:val="24"/>
        </w:rPr>
        <w:t>likely</w:t>
      </w:r>
      <w:r w:rsidRPr="00A2358C">
        <w:rPr>
          <w:rFonts w:asciiTheme="majorHAnsi" w:hAnsiTheme="majorHAnsi" w:cstheme="majorHAnsi"/>
          <w:sz w:val="24"/>
          <w:szCs w:val="24"/>
        </w:rPr>
        <w:t xml:space="preserve"> retirement date of those units. As the retirement date approaches, a future Commission would be free to reevaluate the expected life of Colstrip and make changes to the depreciation schedule that reflected that updated information. If in the coming years it appears more likely that Colstrip will run longer, then the Commission can extend the depreciation schedule</w:t>
      </w:r>
      <w:r w:rsidR="00AB4B36" w:rsidRPr="00A2358C">
        <w:rPr>
          <w:rFonts w:asciiTheme="majorHAnsi" w:hAnsiTheme="majorHAnsi" w:cstheme="majorHAnsi"/>
          <w:sz w:val="24"/>
          <w:szCs w:val="24"/>
        </w:rPr>
        <w:t>,</w:t>
      </w:r>
      <w:r w:rsidRPr="00A2358C">
        <w:rPr>
          <w:rFonts w:asciiTheme="majorHAnsi" w:hAnsiTheme="majorHAnsi" w:cstheme="majorHAnsi"/>
          <w:sz w:val="24"/>
          <w:szCs w:val="24"/>
        </w:rPr>
        <w:t xml:space="preserve"> as it did in 2007. It is also “easier” to extend a depreciation schedule because doing so does not create the potential for rate shock. The Commission should set accurate depreciation schedules</w:t>
      </w:r>
      <w:r w:rsidR="00AB4B36" w:rsidRPr="00A2358C">
        <w:rPr>
          <w:rFonts w:asciiTheme="majorHAnsi" w:hAnsiTheme="majorHAnsi" w:cstheme="majorHAnsi"/>
          <w:sz w:val="24"/>
          <w:szCs w:val="24"/>
        </w:rPr>
        <w:t xml:space="preserve"> based on the best available information at the time</w:t>
      </w:r>
      <w:r w:rsidRPr="00A2358C">
        <w:rPr>
          <w:rFonts w:asciiTheme="majorHAnsi" w:hAnsiTheme="majorHAnsi" w:cstheme="majorHAnsi"/>
          <w:sz w:val="24"/>
          <w:szCs w:val="24"/>
        </w:rPr>
        <w:t xml:space="preserve">, which in this case is a date of December 31, 2024, but </w:t>
      </w:r>
      <w:r w:rsidR="00D775DD" w:rsidRPr="00A2358C">
        <w:rPr>
          <w:rFonts w:asciiTheme="majorHAnsi" w:hAnsiTheme="majorHAnsi" w:cstheme="majorHAnsi"/>
          <w:sz w:val="24"/>
          <w:szCs w:val="24"/>
        </w:rPr>
        <w:t xml:space="preserve">on balance </w:t>
      </w:r>
      <w:r w:rsidRPr="00A2358C">
        <w:rPr>
          <w:rFonts w:asciiTheme="majorHAnsi" w:hAnsiTheme="majorHAnsi" w:cstheme="majorHAnsi"/>
          <w:sz w:val="24"/>
          <w:szCs w:val="24"/>
        </w:rPr>
        <w:t xml:space="preserve">it is </w:t>
      </w:r>
      <w:r w:rsidR="00D775DD" w:rsidRPr="00A2358C">
        <w:rPr>
          <w:rFonts w:asciiTheme="majorHAnsi" w:hAnsiTheme="majorHAnsi" w:cstheme="majorHAnsi"/>
          <w:sz w:val="24"/>
          <w:szCs w:val="24"/>
        </w:rPr>
        <w:t xml:space="preserve">preferable </w:t>
      </w:r>
      <w:r w:rsidRPr="00A2358C">
        <w:rPr>
          <w:rFonts w:asciiTheme="majorHAnsi" w:hAnsiTheme="majorHAnsi" w:cstheme="majorHAnsi"/>
          <w:sz w:val="24"/>
          <w:szCs w:val="24"/>
        </w:rPr>
        <w:t xml:space="preserve">to err on the side of faster depreciation. </w:t>
      </w:r>
    </w:p>
    <w:p w14:paraId="32C317E9" w14:textId="7DC0BB76" w:rsidR="009611C3" w:rsidRPr="00A2358C" w:rsidRDefault="009611C3"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D617BA">
        <w:rPr>
          <w:rFonts w:asciiTheme="majorHAnsi" w:hAnsiTheme="majorHAnsi" w:cstheme="majorHAnsi"/>
          <w:caps w:val="0"/>
          <w:sz w:val="24"/>
          <w:szCs w:val="24"/>
        </w:rPr>
        <w:t>How often should the C</w:t>
      </w:r>
      <w:r w:rsidR="00D617BA" w:rsidRPr="00A2358C">
        <w:rPr>
          <w:rFonts w:asciiTheme="majorHAnsi" w:hAnsiTheme="majorHAnsi" w:cstheme="majorHAnsi"/>
          <w:caps w:val="0"/>
          <w:sz w:val="24"/>
          <w:szCs w:val="24"/>
        </w:rPr>
        <w:t>ommission reevaluate the depreciation sch</w:t>
      </w:r>
      <w:r w:rsidR="00D617BA">
        <w:rPr>
          <w:rFonts w:asciiTheme="majorHAnsi" w:hAnsiTheme="majorHAnsi" w:cstheme="majorHAnsi"/>
          <w:caps w:val="0"/>
          <w:sz w:val="24"/>
          <w:szCs w:val="24"/>
        </w:rPr>
        <w:t>edule at C</w:t>
      </w:r>
      <w:r w:rsidR="00D617BA" w:rsidRPr="00A2358C">
        <w:rPr>
          <w:rFonts w:asciiTheme="majorHAnsi" w:hAnsiTheme="majorHAnsi" w:cstheme="majorHAnsi"/>
          <w:caps w:val="0"/>
          <w:sz w:val="24"/>
          <w:szCs w:val="24"/>
        </w:rPr>
        <w:t>olstrip?</w:t>
      </w:r>
    </w:p>
    <w:p w14:paraId="15C19694" w14:textId="496C37A0" w:rsidR="009611C3" w:rsidRPr="00A2358C" w:rsidRDefault="009611C3" w:rsidP="00D617BA">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t>In the past, the Commission</w:t>
      </w:r>
      <w:r w:rsidR="00D775DD" w:rsidRPr="00A2358C">
        <w:rPr>
          <w:rFonts w:asciiTheme="majorHAnsi" w:hAnsiTheme="majorHAnsi" w:cstheme="majorHAnsi"/>
          <w:sz w:val="24"/>
          <w:szCs w:val="24"/>
        </w:rPr>
        <w:t>’s</w:t>
      </w:r>
      <w:r w:rsidRPr="00A2358C">
        <w:rPr>
          <w:rFonts w:asciiTheme="majorHAnsi" w:hAnsiTheme="majorHAnsi" w:cstheme="majorHAnsi"/>
          <w:sz w:val="24"/>
          <w:szCs w:val="24"/>
        </w:rPr>
        <w:t xml:space="preserve"> practice has been to evaluate depreciation every five years. PSE provided depreciation studies in its 2007, 2012 and this 2017 rate cases. Regardless </w:t>
      </w:r>
      <w:r w:rsidRPr="00A2358C">
        <w:rPr>
          <w:rFonts w:asciiTheme="majorHAnsi" w:hAnsiTheme="majorHAnsi" w:cstheme="majorHAnsi"/>
          <w:sz w:val="24"/>
          <w:szCs w:val="24"/>
        </w:rPr>
        <w:lastRenderedPageBreak/>
        <w:t xml:space="preserve">of whether the Commission adopts my recommendation to set the depreciation schedule at 2024, or PSE’s proposal to set it at 2035, or to keep the existing schedule </w:t>
      </w:r>
      <w:r w:rsidR="00EB7353" w:rsidRPr="00A2358C">
        <w:rPr>
          <w:rFonts w:asciiTheme="majorHAnsi" w:hAnsiTheme="majorHAnsi" w:cstheme="majorHAnsi"/>
          <w:sz w:val="24"/>
          <w:szCs w:val="24"/>
        </w:rPr>
        <w:t xml:space="preserve">of 2044/2045, I recommend that the Commission require the Company to file an updated depreciation study for Colstrip more frequently. This more frequent update will allow PSE and the Commission to more accurately revise the depreciation schedule at Colstrip as more current information becomes known. </w:t>
      </w:r>
    </w:p>
    <w:p w14:paraId="0FF88506" w14:textId="3015CF9F" w:rsidR="00C00DB7" w:rsidRPr="00A2358C" w:rsidRDefault="00C00DB7" w:rsidP="00FD7B0F">
      <w:pPr>
        <w:pStyle w:val="Heading1"/>
      </w:pPr>
      <w:bookmarkStart w:id="11" w:name="_Toc486496059"/>
      <w:r w:rsidRPr="00A2358C">
        <w:t>Recommendations</w:t>
      </w:r>
      <w:bookmarkEnd w:id="11"/>
    </w:p>
    <w:p w14:paraId="68FD1D3D" w14:textId="51ADE6F1" w:rsidR="00C00DB7" w:rsidRPr="00A2358C" w:rsidRDefault="00735557"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00D617BA">
        <w:rPr>
          <w:rFonts w:asciiTheme="majorHAnsi" w:hAnsiTheme="majorHAnsi" w:cstheme="majorHAnsi"/>
          <w:caps w:val="0"/>
          <w:sz w:val="24"/>
          <w:szCs w:val="24"/>
        </w:rPr>
        <w:tab/>
        <w:t>W</w:t>
      </w:r>
      <w:r w:rsidR="00D617BA" w:rsidRPr="00A2358C">
        <w:rPr>
          <w:rFonts w:asciiTheme="majorHAnsi" w:hAnsiTheme="majorHAnsi" w:cstheme="majorHAnsi"/>
          <w:caps w:val="0"/>
          <w:sz w:val="24"/>
          <w:szCs w:val="24"/>
        </w:rPr>
        <w:t>hat are</w:t>
      </w:r>
      <w:r w:rsidR="00D617BA">
        <w:rPr>
          <w:rFonts w:asciiTheme="majorHAnsi" w:hAnsiTheme="majorHAnsi" w:cstheme="majorHAnsi"/>
          <w:caps w:val="0"/>
          <w:sz w:val="24"/>
          <w:szCs w:val="24"/>
        </w:rPr>
        <w:t xml:space="preserve"> your recommendations for this C</w:t>
      </w:r>
      <w:r w:rsidR="00D617BA" w:rsidRPr="00A2358C">
        <w:rPr>
          <w:rFonts w:asciiTheme="majorHAnsi" w:hAnsiTheme="majorHAnsi" w:cstheme="majorHAnsi"/>
          <w:caps w:val="0"/>
          <w:sz w:val="24"/>
          <w:szCs w:val="24"/>
        </w:rPr>
        <w:t xml:space="preserve">ommission regarding </w:t>
      </w:r>
      <w:r w:rsidR="00D617BA">
        <w:rPr>
          <w:rFonts w:asciiTheme="majorHAnsi" w:hAnsiTheme="majorHAnsi" w:cstheme="majorHAnsi"/>
          <w:caps w:val="0"/>
          <w:sz w:val="24"/>
          <w:szCs w:val="24"/>
        </w:rPr>
        <w:t>decommissioning costs for C</w:t>
      </w:r>
      <w:r w:rsidR="00FD7B0F">
        <w:rPr>
          <w:rFonts w:asciiTheme="majorHAnsi" w:hAnsiTheme="majorHAnsi" w:cstheme="majorHAnsi"/>
          <w:caps w:val="0"/>
          <w:sz w:val="24"/>
          <w:szCs w:val="24"/>
        </w:rPr>
        <w:t>olstrip U</w:t>
      </w:r>
      <w:r w:rsidR="00D617BA" w:rsidRPr="00A2358C">
        <w:rPr>
          <w:rFonts w:asciiTheme="majorHAnsi" w:hAnsiTheme="majorHAnsi" w:cstheme="majorHAnsi"/>
          <w:caps w:val="0"/>
          <w:sz w:val="24"/>
          <w:szCs w:val="24"/>
        </w:rPr>
        <w:t>nits 1 and 2</w:t>
      </w:r>
      <w:r w:rsidRPr="00A2358C">
        <w:rPr>
          <w:rFonts w:asciiTheme="majorHAnsi" w:hAnsiTheme="majorHAnsi" w:cstheme="majorHAnsi"/>
          <w:sz w:val="24"/>
          <w:szCs w:val="24"/>
        </w:rPr>
        <w:t>?</w:t>
      </w:r>
    </w:p>
    <w:p w14:paraId="046CA490" w14:textId="01AD63C9" w:rsidR="00D775DD" w:rsidRPr="00A2358C" w:rsidRDefault="00735557" w:rsidP="00D617BA">
      <w:pPr>
        <w:pStyle w:val="A"/>
        <w:spacing w:after="240"/>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D775DD" w:rsidRPr="00A2358C">
        <w:rPr>
          <w:rFonts w:asciiTheme="majorHAnsi" w:hAnsiTheme="majorHAnsi" w:cstheme="majorHAnsi"/>
          <w:sz w:val="24"/>
          <w:szCs w:val="24"/>
        </w:rPr>
        <w:t xml:space="preserve">The Commission should accept PSE’s proposal to “fund” the decommissioning and remediation of Colstrip Units 1 and 2 by reassigning its outstanding treasury grants and tax credits from a regulatory liability account to a FERC 108 account. </w:t>
      </w:r>
      <w:r w:rsidR="00701357" w:rsidRPr="00A2358C">
        <w:rPr>
          <w:rFonts w:asciiTheme="majorHAnsi" w:hAnsiTheme="majorHAnsi" w:cstheme="majorHAnsi"/>
          <w:sz w:val="24"/>
          <w:szCs w:val="24"/>
        </w:rPr>
        <w:t xml:space="preserve">However, the treasury grants and tax credits should not be applied to pay down any undepreciated plant balance. </w:t>
      </w:r>
      <w:r w:rsidR="00D775DD" w:rsidRPr="00A2358C">
        <w:rPr>
          <w:rFonts w:asciiTheme="majorHAnsi" w:hAnsiTheme="majorHAnsi" w:cstheme="majorHAnsi"/>
          <w:sz w:val="24"/>
          <w:szCs w:val="24"/>
        </w:rPr>
        <w:t xml:space="preserve">PSE should bear some of the costs associated with its poor planning for the shutdown of Colstrip Units 1 and 2. Once Units 1 and 2 stop providing service to PSE customers, whether that occurs in 2022 or sooner, the commission should require PSE to remove any undepreciated plant balance for Colstrip Units 1 and 2 from rate base and to create a separate regulatory asset for those amounts. Given that those assets will no longer be “used and useful,” and to encourage better planning with future depreciation schedules, the Commission should not allow the Company to recover its full authorized rate of return on that regulatory asset. I recommend that the Commission authorize </w:t>
      </w:r>
      <w:r w:rsidR="00D775DD" w:rsidRPr="00A2358C">
        <w:rPr>
          <w:rFonts w:asciiTheme="majorHAnsi" w:hAnsiTheme="majorHAnsi" w:cstheme="majorHAnsi"/>
          <w:sz w:val="24"/>
          <w:szCs w:val="24"/>
        </w:rPr>
        <w:lastRenderedPageBreak/>
        <w:t>recovery of the remaining plant balance only, without allowing a recovery of its cost of capital on that balance.</w:t>
      </w:r>
      <w:r w:rsidR="00D775DD" w:rsidRPr="00A2358C" w:rsidDel="00876C38">
        <w:rPr>
          <w:rFonts w:asciiTheme="majorHAnsi" w:hAnsiTheme="majorHAnsi" w:cstheme="majorHAnsi"/>
          <w:sz w:val="24"/>
          <w:szCs w:val="24"/>
        </w:rPr>
        <w:t xml:space="preserve"> </w:t>
      </w:r>
    </w:p>
    <w:p w14:paraId="6FC88FD3" w14:textId="0A0AE88D" w:rsidR="008B663B" w:rsidRPr="00A2358C" w:rsidRDefault="008B663B"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D617BA" w:rsidRPr="00A2358C">
        <w:rPr>
          <w:rFonts w:asciiTheme="majorHAnsi" w:hAnsiTheme="majorHAnsi" w:cstheme="majorHAnsi"/>
          <w:caps w:val="0"/>
          <w:sz w:val="24"/>
          <w:szCs w:val="24"/>
        </w:rPr>
        <w:t>What are</w:t>
      </w:r>
      <w:r w:rsidR="00D617BA">
        <w:rPr>
          <w:rFonts w:asciiTheme="majorHAnsi" w:hAnsiTheme="majorHAnsi" w:cstheme="majorHAnsi"/>
          <w:caps w:val="0"/>
          <w:sz w:val="24"/>
          <w:szCs w:val="24"/>
        </w:rPr>
        <w:t xml:space="preserve"> your recommendations for this C</w:t>
      </w:r>
      <w:r w:rsidR="00D617BA" w:rsidRPr="00A2358C">
        <w:rPr>
          <w:rFonts w:asciiTheme="majorHAnsi" w:hAnsiTheme="majorHAnsi" w:cstheme="majorHAnsi"/>
          <w:caps w:val="0"/>
          <w:sz w:val="24"/>
          <w:szCs w:val="24"/>
        </w:rPr>
        <w:t>ommission regarding the depreciation schedu</w:t>
      </w:r>
      <w:r w:rsidR="00D617BA">
        <w:rPr>
          <w:rFonts w:asciiTheme="majorHAnsi" w:hAnsiTheme="majorHAnsi" w:cstheme="majorHAnsi"/>
          <w:caps w:val="0"/>
          <w:sz w:val="24"/>
          <w:szCs w:val="24"/>
        </w:rPr>
        <w:t>le for C</w:t>
      </w:r>
      <w:r w:rsidR="00FD7B0F">
        <w:rPr>
          <w:rFonts w:asciiTheme="majorHAnsi" w:hAnsiTheme="majorHAnsi" w:cstheme="majorHAnsi"/>
          <w:caps w:val="0"/>
          <w:sz w:val="24"/>
          <w:szCs w:val="24"/>
        </w:rPr>
        <w:t>olstrip U</w:t>
      </w:r>
      <w:r w:rsidR="00D617BA" w:rsidRPr="00A2358C">
        <w:rPr>
          <w:rFonts w:asciiTheme="majorHAnsi" w:hAnsiTheme="majorHAnsi" w:cstheme="majorHAnsi"/>
          <w:caps w:val="0"/>
          <w:sz w:val="24"/>
          <w:szCs w:val="24"/>
        </w:rPr>
        <w:t>nits 3 and 4?</w:t>
      </w:r>
    </w:p>
    <w:p w14:paraId="12E97355" w14:textId="1FEEAAF5" w:rsidR="00735557" w:rsidRPr="00A2358C" w:rsidRDefault="008B663B" w:rsidP="001809FB">
      <w:pPr>
        <w:pStyle w:val="A"/>
        <w:rPr>
          <w:rFonts w:asciiTheme="majorHAnsi" w:hAnsiTheme="majorHAnsi" w:cstheme="majorHAnsi"/>
          <w:b/>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735557" w:rsidRPr="00A2358C">
        <w:rPr>
          <w:rFonts w:asciiTheme="majorHAnsi" w:hAnsiTheme="majorHAnsi" w:cstheme="majorHAnsi"/>
          <w:sz w:val="24"/>
          <w:szCs w:val="24"/>
        </w:rPr>
        <w:t xml:space="preserve">The Commission should reject PSE’s proposed depreciation timeline for Colstrip Units 3 and 4, and instead base the depreciation schedule for </w:t>
      </w:r>
      <w:r w:rsidRPr="00A2358C">
        <w:rPr>
          <w:rFonts w:asciiTheme="majorHAnsi" w:hAnsiTheme="majorHAnsi" w:cstheme="majorHAnsi"/>
          <w:sz w:val="24"/>
          <w:szCs w:val="24"/>
        </w:rPr>
        <w:t>these</w:t>
      </w:r>
      <w:r w:rsidR="00735557" w:rsidRPr="00A2358C">
        <w:rPr>
          <w:rFonts w:asciiTheme="majorHAnsi" w:hAnsiTheme="majorHAnsi" w:cstheme="majorHAnsi"/>
          <w:sz w:val="24"/>
          <w:szCs w:val="24"/>
        </w:rPr>
        <w:t xml:space="preserve"> </w:t>
      </w:r>
      <w:r w:rsidRPr="00A2358C">
        <w:rPr>
          <w:rFonts w:asciiTheme="majorHAnsi" w:hAnsiTheme="majorHAnsi" w:cstheme="majorHAnsi"/>
          <w:sz w:val="24"/>
          <w:szCs w:val="24"/>
        </w:rPr>
        <w:t>u</w:t>
      </w:r>
      <w:r w:rsidR="00735557" w:rsidRPr="00A2358C">
        <w:rPr>
          <w:rFonts w:asciiTheme="majorHAnsi" w:hAnsiTheme="majorHAnsi" w:cstheme="majorHAnsi"/>
          <w:sz w:val="24"/>
          <w:szCs w:val="24"/>
        </w:rPr>
        <w:t xml:space="preserve">nits on an estimated retirement date no later than December 31, 2024. This date is more consistent with the Company’s proposal from 2007, </w:t>
      </w:r>
      <w:r w:rsidRPr="00A2358C">
        <w:rPr>
          <w:rFonts w:asciiTheme="majorHAnsi" w:hAnsiTheme="majorHAnsi" w:cstheme="majorHAnsi"/>
          <w:sz w:val="24"/>
          <w:szCs w:val="24"/>
        </w:rPr>
        <w:t xml:space="preserve">adjusted by </w:t>
      </w:r>
      <w:r w:rsidR="00735557" w:rsidRPr="00A2358C">
        <w:rPr>
          <w:rFonts w:asciiTheme="majorHAnsi" w:hAnsiTheme="majorHAnsi" w:cstheme="majorHAnsi"/>
          <w:sz w:val="24"/>
          <w:szCs w:val="24"/>
        </w:rPr>
        <w:t xml:space="preserve">the updated realities of the electricity marketplace. By my estimation, this will result in a short-term increase in annual revenue requirements of approximately $16 million; however, </w:t>
      </w:r>
      <w:r w:rsidR="003C51DD" w:rsidRPr="00A2358C">
        <w:rPr>
          <w:rFonts w:asciiTheme="majorHAnsi" w:hAnsiTheme="majorHAnsi" w:cstheme="majorHAnsi"/>
          <w:sz w:val="24"/>
          <w:szCs w:val="24"/>
        </w:rPr>
        <w:t xml:space="preserve">rectifying the </w:t>
      </w:r>
      <w:r w:rsidR="00735557" w:rsidRPr="00A2358C">
        <w:rPr>
          <w:rFonts w:asciiTheme="majorHAnsi" w:hAnsiTheme="majorHAnsi" w:cstheme="majorHAnsi"/>
          <w:sz w:val="24"/>
          <w:szCs w:val="24"/>
        </w:rPr>
        <w:t xml:space="preserve">depreciation </w:t>
      </w:r>
      <w:r w:rsidR="003C51DD" w:rsidRPr="00A2358C">
        <w:rPr>
          <w:rFonts w:asciiTheme="majorHAnsi" w:hAnsiTheme="majorHAnsi" w:cstheme="majorHAnsi"/>
          <w:sz w:val="24"/>
          <w:szCs w:val="24"/>
        </w:rPr>
        <w:t xml:space="preserve">schedule </w:t>
      </w:r>
      <w:r w:rsidR="00735557" w:rsidRPr="00A2358C">
        <w:rPr>
          <w:rFonts w:asciiTheme="majorHAnsi" w:hAnsiTheme="majorHAnsi" w:cstheme="majorHAnsi"/>
          <w:sz w:val="24"/>
          <w:szCs w:val="24"/>
        </w:rPr>
        <w:t>now will significantly reduce ratepayers’ exposure to Colstrip’s liabilities. Otherwise, there is a high likelihood that PSE will find itself with a large undepreciated balance and inadequate funds for decommissioning and remediation when Units 3 and 4 ultimately retire.</w:t>
      </w:r>
    </w:p>
    <w:p w14:paraId="20FA46CB" w14:textId="7D9C7951" w:rsidR="00735557" w:rsidRPr="00A2358C" w:rsidRDefault="00D775DD" w:rsidP="00D617BA">
      <w:pPr>
        <w:pStyle w:val="A2"/>
        <w:spacing w:before="240"/>
        <w:ind w:firstLine="0"/>
        <w:rPr>
          <w:rFonts w:asciiTheme="majorHAnsi" w:hAnsiTheme="majorHAnsi" w:cstheme="majorHAnsi"/>
          <w:sz w:val="24"/>
          <w:szCs w:val="24"/>
        </w:rPr>
      </w:pPr>
      <w:r w:rsidRPr="00A2358C">
        <w:rPr>
          <w:rFonts w:asciiTheme="majorHAnsi" w:hAnsiTheme="majorHAnsi" w:cstheme="majorHAnsi"/>
          <w:sz w:val="24"/>
          <w:szCs w:val="24"/>
        </w:rPr>
        <w:t>I further recommend that t</w:t>
      </w:r>
      <w:r w:rsidR="00735557" w:rsidRPr="00A2358C">
        <w:rPr>
          <w:rFonts w:asciiTheme="majorHAnsi" w:hAnsiTheme="majorHAnsi" w:cstheme="majorHAnsi"/>
          <w:sz w:val="24"/>
          <w:szCs w:val="24"/>
        </w:rPr>
        <w:t xml:space="preserve">he Commission direct PSE to limit its expenditures on Colstrip units 3 and 4 to routine maintenance and operations expenditures consistent with an end of life date no later than December 31, 2024. </w:t>
      </w:r>
    </w:p>
    <w:p w14:paraId="3C7A9517" w14:textId="2E4F7B9B" w:rsidR="00735557" w:rsidRPr="00A2358C" w:rsidRDefault="00D775DD" w:rsidP="00D617BA">
      <w:pPr>
        <w:pStyle w:val="A2"/>
        <w:spacing w:before="240" w:after="240"/>
        <w:ind w:firstLine="0"/>
        <w:rPr>
          <w:rFonts w:asciiTheme="majorHAnsi" w:hAnsiTheme="majorHAnsi" w:cstheme="majorHAnsi"/>
          <w:sz w:val="24"/>
          <w:szCs w:val="24"/>
        </w:rPr>
      </w:pPr>
      <w:r w:rsidRPr="00A2358C">
        <w:rPr>
          <w:rFonts w:asciiTheme="majorHAnsi" w:hAnsiTheme="majorHAnsi" w:cstheme="majorHAnsi"/>
          <w:sz w:val="24"/>
          <w:szCs w:val="24"/>
        </w:rPr>
        <w:t>Finally, I recommend that r</w:t>
      </w:r>
      <w:r w:rsidR="00735557" w:rsidRPr="00A2358C">
        <w:rPr>
          <w:rFonts w:asciiTheme="majorHAnsi" w:hAnsiTheme="majorHAnsi" w:cstheme="majorHAnsi"/>
          <w:sz w:val="24"/>
          <w:szCs w:val="24"/>
        </w:rPr>
        <w:t xml:space="preserve">egardless of the depreciation schedule adopted by the Commission in this docket, the Commission should require more frequent updates and adjustments to depreciation rates as Colstrip Units 3 </w:t>
      </w:r>
      <w:r w:rsidR="00701357" w:rsidRPr="00A2358C">
        <w:rPr>
          <w:rFonts w:asciiTheme="majorHAnsi" w:hAnsiTheme="majorHAnsi" w:cstheme="majorHAnsi"/>
          <w:sz w:val="24"/>
          <w:szCs w:val="24"/>
        </w:rPr>
        <w:t>and</w:t>
      </w:r>
      <w:r w:rsidR="00735557" w:rsidRPr="00A2358C">
        <w:rPr>
          <w:rFonts w:asciiTheme="majorHAnsi" w:hAnsiTheme="majorHAnsi" w:cstheme="majorHAnsi"/>
          <w:sz w:val="24"/>
          <w:szCs w:val="24"/>
        </w:rPr>
        <w:t xml:space="preserve"> 4 near their expected end of life date. In addition to the current practice of evaluating the depreciation schedule every five </w:t>
      </w:r>
      <w:r w:rsidR="00735557" w:rsidRPr="00A2358C">
        <w:rPr>
          <w:rFonts w:asciiTheme="majorHAnsi" w:hAnsiTheme="majorHAnsi" w:cstheme="majorHAnsi"/>
          <w:sz w:val="24"/>
          <w:szCs w:val="24"/>
        </w:rPr>
        <w:lastRenderedPageBreak/>
        <w:t>years, the Commission should direct the Company to conduct a routine end of life assessment between those depreciation filings, or at intervals of no more than three years. These more frequent updates will allow the Company and the Commission to make adjustments to depreciation rates at Colstrip 3 and 4 based on updated end-of-life assumptions, and will prevent the depreciation schedule from straying too far from the units’ actual useful lives.</w:t>
      </w:r>
    </w:p>
    <w:p w14:paraId="62D930BD" w14:textId="78F395AC" w:rsidR="00A64D02" w:rsidRPr="00D617BA" w:rsidRDefault="006C4F8E" w:rsidP="001809FB">
      <w:pPr>
        <w:pStyle w:val="Q"/>
        <w:rPr>
          <w:rFonts w:asciiTheme="majorHAnsi" w:hAnsiTheme="majorHAnsi" w:cstheme="majorHAnsi"/>
          <w:sz w:val="24"/>
          <w:szCs w:val="24"/>
        </w:rPr>
      </w:pPr>
      <w:r w:rsidRPr="00A2358C">
        <w:rPr>
          <w:rFonts w:asciiTheme="majorHAnsi" w:hAnsiTheme="majorHAnsi" w:cstheme="majorHAnsi"/>
          <w:sz w:val="24"/>
          <w:szCs w:val="24"/>
        </w:rPr>
        <w:t>Q.</w:t>
      </w:r>
      <w:r w:rsidRPr="00A2358C">
        <w:rPr>
          <w:rFonts w:asciiTheme="majorHAnsi" w:hAnsiTheme="majorHAnsi" w:cstheme="majorHAnsi"/>
          <w:sz w:val="24"/>
          <w:szCs w:val="24"/>
        </w:rPr>
        <w:tab/>
      </w:r>
      <w:r w:rsidR="00D617BA" w:rsidRPr="00D617BA">
        <w:rPr>
          <w:rFonts w:asciiTheme="majorHAnsi" w:hAnsiTheme="majorHAnsi" w:cstheme="majorHAnsi"/>
          <w:caps w:val="0"/>
          <w:sz w:val="24"/>
          <w:szCs w:val="24"/>
        </w:rPr>
        <w:t>Does this conclude your testimony?</w:t>
      </w:r>
    </w:p>
    <w:p w14:paraId="412FAE8F" w14:textId="3C16E42D" w:rsidR="006C4F8E" w:rsidRPr="00A2358C" w:rsidRDefault="006C4F8E" w:rsidP="001809FB">
      <w:pPr>
        <w:pStyle w:val="A"/>
        <w:rPr>
          <w:rFonts w:asciiTheme="majorHAnsi" w:hAnsiTheme="majorHAnsi" w:cstheme="majorHAnsi"/>
          <w:sz w:val="24"/>
          <w:szCs w:val="24"/>
        </w:rPr>
      </w:pPr>
      <w:r w:rsidRPr="00A2358C">
        <w:rPr>
          <w:rFonts w:asciiTheme="majorHAnsi" w:hAnsiTheme="majorHAnsi" w:cstheme="majorHAnsi"/>
          <w:sz w:val="24"/>
          <w:szCs w:val="24"/>
        </w:rPr>
        <w:t>A.</w:t>
      </w:r>
      <w:r w:rsidRPr="00A2358C">
        <w:rPr>
          <w:rFonts w:asciiTheme="majorHAnsi" w:hAnsiTheme="majorHAnsi" w:cstheme="majorHAnsi"/>
          <w:sz w:val="24"/>
          <w:szCs w:val="24"/>
        </w:rPr>
        <w:tab/>
      </w:r>
      <w:r w:rsidR="00355F2F" w:rsidRPr="00A2358C">
        <w:rPr>
          <w:rFonts w:asciiTheme="majorHAnsi" w:hAnsiTheme="majorHAnsi" w:cstheme="majorHAnsi"/>
          <w:sz w:val="24"/>
          <w:szCs w:val="24"/>
        </w:rPr>
        <w:t>Yes.</w:t>
      </w:r>
    </w:p>
    <w:sectPr w:rsidR="006C4F8E" w:rsidRPr="00A2358C" w:rsidSect="007C3944">
      <w:footerReference w:type="default" r:id="rId19"/>
      <w:headerReference w:type="first" r:id="rId20"/>
      <w:footerReference w:type="first" r:id="rId21"/>
      <w:pgSz w:w="12240" w:h="15840" w:code="1"/>
      <w:pgMar w:top="1440" w:right="1440" w:bottom="1440" w:left="1440"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ABDF6" w14:textId="77777777" w:rsidR="004F7D0D" w:rsidRDefault="004F7D0D">
      <w:r>
        <w:separator/>
      </w:r>
    </w:p>
    <w:p w14:paraId="295653B2" w14:textId="77777777" w:rsidR="004F7D0D" w:rsidRDefault="004F7D0D"/>
  </w:endnote>
  <w:endnote w:type="continuationSeparator" w:id="0">
    <w:p w14:paraId="704923BE" w14:textId="77777777" w:rsidR="004F7D0D" w:rsidRDefault="004F7D0D">
      <w:r>
        <w:continuationSeparator/>
      </w:r>
    </w:p>
    <w:p w14:paraId="40ED32EC" w14:textId="77777777" w:rsidR="004F7D0D" w:rsidRDefault="004F7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D8AF0" w14:textId="77777777" w:rsidR="001B408F" w:rsidRDefault="001B4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4431" w14:textId="77777777" w:rsidR="001B408F" w:rsidRDefault="001B40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BFF0" w14:textId="77777777" w:rsidR="001B408F" w:rsidRDefault="001B40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5370E" w14:textId="7B7028B6" w:rsidR="004F7D0D" w:rsidRPr="00C2456A" w:rsidRDefault="004F7D0D" w:rsidP="00C245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A0910" w14:textId="71822EDB" w:rsidR="004F7D0D" w:rsidRPr="00C2456A" w:rsidRDefault="004F7D0D" w:rsidP="00C24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FD442" w14:textId="77777777" w:rsidR="004F7D0D" w:rsidRDefault="004F7D0D" w:rsidP="00F83BA3">
      <w:pPr>
        <w:spacing w:line="240" w:lineRule="auto"/>
        <w:ind w:firstLine="0"/>
      </w:pPr>
    </w:p>
    <w:p w14:paraId="54555407" w14:textId="07A03437" w:rsidR="004F7D0D" w:rsidRDefault="004F7D0D" w:rsidP="00F83BA3">
      <w:pPr>
        <w:spacing w:line="240" w:lineRule="auto"/>
        <w:ind w:firstLine="0"/>
      </w:pPr>
      <w:r>
        <w:separator/>
      </w:r>
    </w:p>
  </w:footnote>
  <w:footnote w:type="continuationSeparator" w:id="0">
    <w:p w14:paraId="2744863F" w14:textId="77777777" w:rsidR="004F7D0D" w:rsidRDefault="004F7D0D">
      <w:r>
        <w:continuationSeparator/>
      </w:r>
    </w:p>
    <w:p w14:paraId="0ADED9DC" w14:textId="77777777" w:rsidR="004F7D0D" w:rsidRDefault="004F7D0D"/>
  </w:footnote>
  <w:footnote w:id="1">
    <w:p w14:paraId="56E42E54" w14:textId="3370D9B7" w:rsidR="004F7D0D" w:rsidRDefault="004F7D0D" w:rsidP="00F83BA3">
      <w:pPr>
        <w:pStyle w:val="FootnoteText"/>
        <w:ind w:left="0"/>
      </w:pPr>
      <w:r>
        <w:rPr>
          <w:rStyle w:val="FootnoteReference"/>
        </w:rPr>
        <w:footnoteRef/>
      </w:r>
      <w:r>
        <w:t xml:space="preserve"> Direct Testimony of John J. </w:t>
      </w:r>
      <w:proofErr w:type="spellStart"/>
      <w:r>
        <w:t>Spanos</w:t>
      </w:r>
      <w:proofErr w:type="spellEnd"/>
      <w:r>
        <w:t xml:space="preserve">, Exhibit No. </w:t>
      </w:r>
      <w:proofErr w:type="gramStart"/>
      <w:r>
        <w:t>__ (JJS-1T) at p.8.</w:t>
      </w:r>
      <w:proofErr w:type="gramEnd"/>
    </w:p>
  </w:footnote>
  <w:footnote w:id="2">
    <w:p w14:paraId="33A6ED9F" w14:textId="0E3D2E35" w:rsidR="004F7D0D" w:rsidRDefault="004F7D0D" w:rsidP="00F83BA3">
      <w:pPr>
        <w:pStyle w:val="FootnoteText"/>
        <w:ind w:left="0"/>
      </w:pPr>
      <w:r>
        <w:rPr>
          <w:rStyle w:val="FootnoteReference"/>
        </w:rPr>
        <w:footnoteRef/>
      </w:r>
      <w:r>
        <w:t xml:space="preserve"> </w:t>
      </w:r>
      <w:proofErr w:type="gramStart"/>
      <w:r>
        <w:t>WUTC Docket No.</w:t>
      </w:r>
      <w:proofErr w:type="gramEnd"/>
      <w:r>
        <w:t xml:space="preserve"> </w:t>
      </w:r>
      <w:proofErr w:type="gramStart"/>
      <w:r w:rsidRPr="00C720E2">
        <w:t>UE-072300</w:t>
      </w:r>
      <w:r>
        <w:t xml:space="preserve">, Second Exhibit to the </w:t>
      </w:r>
      <w:proofErr w:type="spellStart"/>
      <w:r>
        <w:t>Prefiled</w:t>
      </w:r>
      <w:proofErr w:type="spellEnd"/>
      <w:r>
        <w:t xml:space="preserve"> Direct Testimony of C. Richard Clarke, p. II-28.</w:t>
      </w:r>
      <w:proofErr w:type="gramEnd"/>
      <w:r>
        <w:t xml:space="preserve"> </w:t>
      </w:r>
      <w:proofErr w:type="gramStart"/>
      <w:r>
        <w:t>(</w:t>
      </w:r>
      <w:proofErr w:type="spellStart"/>
      <w:r>
        <w:t>Exh</w:t>
      </w:r>
      <w:proofErr w:type="spellEnd"/>
      <w:r>
        <w:t>.</w:t>
      </w:r>
      <w:proofErr w:type="gramEnd"/>
      <w:r>
        <w:t xml:space="preserve"> </w:t>
      </w:r>
      <w:proofErr w:type="gramStart"/>
      <w:r>
        <w:t>EDH-3).</w:t>
      </w:r>
      <w:proofErr w:type="gramEnd"/>
      <w:r>
        <w:t xml:space="preserve">   </w:t>
      </w:r>
    </w:p>
  </w:footnote>
  <w:footnote w:id="3">
    <w:p w14:paraId="0F2ED75C" w14:textId="287641EB" w:rsidR="004F7D0D" w:rsidRDefault="004F7D0D" w:rsidP="00992E25">
      <w:pPr>
        <w:pStyle w:val="FootnoteText"/>
        <w:ind w:left="0"/>
      </w:pPr>
      <w:r>
        <w:rPr>
          <w:rStyle w:val="FootnoteReference"/>
        </w:rPr>
        <w:footnoteRef/>
      </w:r>
      <w:r>
        <w:t xml:space="preserve"> </w:t>
      </w:r>
      <w:proofErr w:type="gramStart"/>
      <w:r>
        <w:t>WUTC Docket No.</w:t>
      </w:r>
      <w:proofErr w:type="gramEnd"/>
      <w:r>
        <w:t xml:space="preserve"> </w:t>
      </w:r>
      <w:proofErr w:type="gramStart"/>
      <w:r w:rsidRPr="00C720E2">
        <w:t>UE-072300</w:t>
      </w:r>
      <w:r>
        <w:t xml:space="preserve">, Testimony of William H. </w:t>
      </w:r>
      <w:proofErr w:type="spellStart"/>
      <w:r>
        <w:t>Weinman</w:t>
      </w:r>
      <w:proofErr w:type="spellEnd"/>
      <w:r>
        <w:t>, p. 8 at 7.</w:t>
      </w:r>
      <w:proofErr w:type="gramEnd"/>
      <w:r>
        <w:t xml:space="preserve"> </w:t>
      </w:r>
      <w:proofErr w:type="gramStart"/>
      <w:r>
        <w:t>(</w:t>
      </w:r>
      <w:proofErr w:type="spellStart"/>
      <w:r>
        <w:t>Exh</w:t>
      </w:r>
      <w:proofErr w:type="spellEnd"/>
      <w:r>
        <w:t>.</w:t>
      </w:r>
      <w:proofErr w:type="gramEnd"/>
      <w:r>
        <w:t xml:space="preserve"> </w:t>
      </w:r>
      <w:proofErr w:type="gramStart"/>
      <w:r>
        <w:t>EDH-4).</w:t>
      </w:r>
      <w:proofErr w:type="gramEnd"/>
      <w:r>
        <w:t xml:space="preserve">   </w:t>
      </w:r>
    </w:p>
  </w:footnote>
  <w:footnote w:id="4">
    <w:p w14:paraId="28CE9E7B" w14:textId="0A5EFECA" w:rsidR="004F7D0D" w:rsidRPr="0028115D" w:rsidRDefault="004F7D0D" w:rsidP="00992E25">
      <w:pPr>
        <w:pStyle w:val="FootnoteText"/>
        <w:ind w:left="0"/>
      </w:pPr>
      <w:r>
        <w:rPr>
          <w:rStyle w:val="FootnoteReference"/>
        </w:rPr>
        <w:footnoteRef/>
      </w:r>
      <w:r>
        <w:t xml:space="preserve"> Direct Testimony of Charles W. King,</w:t>
      </w:r>
      <w:r w:rsidRPr="001519D7">
        <w:t xml:space="preserve"> </w:t>
      </w:r>
      <w:r>
        <w:t xml:space="preserve">WUTC Docket No. </w:t>
      </w:r>
      <w:r w:rsidRPr="0028115D">
        <w:t xml:space="preserve">UE-072300, pp. 11-12. </w:t>
      </w:r>
      <w:proofErr w:type="gramStart"/>
      <w:r>
        <w:t>(</w:t>
      </w:r>
      <w:proofErr w:type="spellStart"/>
      <w:r>
        <w:t>Exh</w:t>
      </w:r>
      <w:proofErr w:type="spellEnd"/>
      <w:r>
        <w:t>.</w:t>
      </w:r>
      <w:proofErr w:type="gramEnd"/>
      <w:r>
        <w:t xml:space="preserve"> </w:t>
      </w:r>
      <w:proofErr w:type="gramStart"/>
      <w:r>
        <w:t>EDH-5).</w:t>
      </w:r>
      <w:proofErr w:type="gramEnd"/>
      <w:r>
        <w:t xml:space="preserve">   </w:t>
      </w:r>
    </w:p>
  </w:footnote>
  <w:footnote w:id="5">
    <w:p w14:paraId="6CFACF11" w14:textId="248E0283" w:rsidR="004F7D0D" w:rsidRDefault="004F7D0D" w:rsidP="00992E25">
      <w:pPr>
        <w:pStyle w:val="FootnoteText"/>
        <w:ind w:left="0"/>
      </w:pPr>
      <w:r>
        <w:rPr>
          <w:rStyle w:val="FootnoteReference"/>
        </w:rPr>
        <w:footnoteRef/>
      </w:r>
      <w:r>
        <w:t xml:space="preserve"> Direct Testimony of Ro</w:t>
      </w:r>
      <w:r w:rsidR="00F24B96">
        <w:t>nald J. Roberts, Ex. No._</w:t>
      </w:r>
      <w:proofErr w:type="gramStart"/>
      <w:r w:rsidR="00F24B96">
        <w:t>_(</w:t>
      </w:r>
      <w:proofErr w:type="gramEnd"/>
      <w:r w:rsidR="00F24B96">
        <w:t>RJR-</w:t>
      </w:r>
      <w:r>
        <w:t>1</w:t>
      </w:r>
      <w:r w:rsidR="00F24B96">
        <w:t>C</w:t>
      </w:r>
      <w:r>
        <w:t>T), pp. 39-41.</w:t>
      </w:r>
    </w:p>
  </w:footnote>
  <w:footnote w:id="6">
    <w:p w14:paraId="0699B63A" w14:textId="661B8635" w:rsidR="004F7D0D" w:rsidRPr="007F734C" w:rsidRDefault="004F7D0D" w:rsidP="00992E25">
      <w:pPr>
        <w:pStyle w:val="FootnoteText"/>
        <w:ind w:left="0"/>
      </w:pPr>
      <w:r>
        <w:rPr>
          <w:rStyle w:val="FootnoteReference"/>
        </w:rPr>
        <w:footnoteRef/>
      </w:r>
      <w:r w:rsidRPr="007F734C">
        <w:t xml:space="preserve"> https://pse.com/savingsandenergycenter/Pages/default.aspx. </w:t>
      </w:r>
    </w:p>
  </w:footnote>
  <w:footnote w:id="7">
    <w:p w14:paraId="37CBC804" w14:textId="7CB261C0" w:rsidR="004F7D0D" w:rsidRDefault="004F7D0D" w:rsidP="00992E25">
      <w:pPr>
        <w:pStyle w:val="FootnoteText"/>
        <w:ind w:left="0"/>
      </w:pPr>
      <w:r>
        <w:rPr>
          <w:rStyle w:val="FootnoteReference"/>
        </w:rPr>
        <w:footnoteRef/>
      </w:r>
      <w:r>
        <w:t xml:space="preserve"> </w:t>
      </w:r>
      <w:proofErr w:type="gramStart"/>
      <w:r>
        <w:t>US Department of Energy, Energy Information Administration, Annual Energy Outlook for 2017.</w:t>
      </w:r>
      <w:proofErr w:type="gramEnd"/>
      <w:r>
        <w:t xml:space="preserve"> </w:t>
      </w:r>
      <w:proofErr w:type="gramStart"/>
      <w:r>
        <w:t xml:space="preserve">Available at </w:t>
      </w:r>
      <w:r w:rsidRPr="00992E25">
        <w:t>https://www.eia.gov/outlooks/aeo/</w:t>
      </w:r>
      <w:r>
        <w:t>.</w:t>
      </w:r>
      <w:proofErr w:type="gramEnd"/>
      <w:r>
        <w:t xml:space="preserve"> </w:t>
      </w:r>
    </w:p>
  </w:footnote>
  <w:footnote w:id="8">
    <w:p w14:paraId="5808BABC" w14:textId="35E9BA37" w:rsidR="004F7D0D" w:rsidRDefault="004F7D0D" w:rsidP="00992E25">
      <w:pPr>
        <w:pStyle w:val="FootnoteText"/>
        <w:ind w:left="0"/>
      </w:pPr>
      <w:r>
        <w:rPr>
          <w:rStyle w:val="FootnoteReference"/>
        </w:rPr>
        <w:footnoteRef/>
      </w:r>
      <w:r>
        <w:t xml:space="preserve"> </w:t>
      </w:r>
      <w:r w:rsidRPr="00992E25">
        <w:t>http://content.sierraclub.org/coal/</w:t>
      </w:r>
      <w:r>
        <w:t xml:space="preserve">. </w:t>
      </w:r>
    </w:p>
  </w:footnote>
  <w:footnote w:id="9">
    <w:p w14:paraId="1D9D0537" w14:textId="6E4BC313" w:rsidR="004F7D0D" w:rsidRDefault="004F7D0D" w:rsidP="00992E25">
      <w:pPr>
        <w:pStyle w:val="FootnoteText"/>
        <w:ind w:left="0"/>
      </w:pPr>
      <w:r>
        <w:rPr>
          <w:rStyle w:val="FootnoteReference"/>
        </w:rPr>
        <w:footnoteRef/>
      </w:r>
      <w:r>
        <w:t xml:space="preserve"> See, for example, E&amp;E News, April 27, 2017: “Big Young Power Plants are </w:t>
      </w:r>
      <w:proofErr w:type="gramStart"/>
      <w:r>
        <w:t>Closing</w:t>
      </w:r>
      <w:proofErr w:type="gramEnd"/>
      <w:r>
        <w:t xml:space="preserve">. Is it a new trend?” </w:t>
      </w:r>
      <w:proofErr w:type="gramStart"/>
      <w:r>
        <w:t xml:space="preserve">Available at </w:t>
      </w:r>
      <w:r w:rsidRPr="00992E25">
        <w:t>https://www.eenews.net/stories/1060053677</w:t>
      </w:r>
      <w:r>
        <w:t>.</w:t>
      </w:r>
      <w:proofErr w:type="gramEnd"/>
      <w:r>
        <w:t xml:space="preserve"> </w:t>
      </w:r>
    </w:p>
  </w:footnote>
  <w:footnote w:id="10">
    <w:p w14:paraId="294E10A6" w14:textId="2E12058A" w:rsidR="004F7D0D" w:rsidRDefault="004F7D0D" w:rsidP="00992E25">
      <w:pPr>
        <w:pStyle w:val="FootnoteText"/>
        <w:ind w:left="0"/>
      </w:pPr>
      <w:r>
        <w:rPr>
          <w:rStyle w:val="FootnoteReference"/>
        </w:rPr>
        <w:footnoteRef/>
      </w:r>
      <w:r>
        <w:t xml:space="preserve"> </w:t>
      </w:r>
      <w:proofErr w:type="spellStart"/>
      <w:r>
        <w:t>Prefiled</w:t>
      </w:r>
      <w:proofErr w:type="spellEnd"/>
      <w:r>
        <w:t xml:space="preserve"> Rebuttal Testimony of PSE Witness Michael J. Jones in Docket No. </w:t>
      </w:r>
      <w:r w:rsidRPr="00C720E2">
        <w:t>UE-072300</w:t>
      </w:r>
      <w:r>
        <w:t xml:space="preserve">, pp. 5-15. </w:t>
      </w:r>
      <w:proofErr w:type="gramStart"/>
      <w:r>
        <w:t>(</w:t>
      </w:r>
      <w:proofErr w:type="spellStart"/>
      <w:r>
        <w:t>Exh</w:t>
      </w:r>
      <w:proofErr w:type="spellEnd"/>
      <w:r>
        <w:t>.</w:t>
      </w:r>
      <w:proofErr w:type="gramEnd"/>
      <w:r>
        <w:t xml:space="preserve"> </w:t>
      </w:r>
      <w:proofErr w:type="gramStart"/>
      <w:r>
        <w:t>EDH-6).</w:t>
      </w:r>
      <w:proofErr w:type="gramEnd"/>
      <w:r>
        <w:t xml:space="preserve"> </w:t>
      </w:r>
    </w:p>
  </w:footnote>
  <w:footnote w:id="11">
    <w:p w14:paraId="72A62FC7" w14:textId="6C1DA631" w:rsidR="004F7D0D" w:rsidRDefault="004F7D0D" w:rsidP="00992E25">
      <w:pPr>
        <w:pStyle w:val="FootnoteText"/>
        <w:ind w:left="0"/>
      </w:pPr>
      <w:r>
        <w:rPr>
          <w:rStyle w:val="FootnoteReference"/>
        </w:rPr>
        <w:footnoteRef/>
      </w:r>
      <w:r>
        <w:t xml:space="preserve"> </w:t>
      </w:r>
      <w:proofErr w:type="gramStart"/>
      <w:r>
        <w:t>Ibid.,</w:t>
      </w:r>
      <w:proofErr w:type="gramEnd"/>
      <w:r>
        <w:t xml:space="preserve"> p. 7.</w:t>
      </w:r>
    </w:p>
  </w:footnote>
  <w:footnote w:id="12">
    <w:p w14:paraId="43DFA664" w14:textId="0845052F" w:rsidR="004F7D0D" w:rsidRDefault="004F7D0D" w:rsidP="00992E25">
      <w:pPr>
        <w:pStyle w:val="FootnoteText"/>
        <w:ind w:left="0"/>
      </w:pPr>
      <w:r>
        <w:rPr>
          <w:rStyle w:val="FootnoteReference"/>
        </w:rPr>
        <w:footnoteRef/>
      </w:r>
      <w:r>
        <w:t xml:space="preserve"> Direct Testimony of Ron</w:t>
      </w:r>
      <w:r w:rsidR="00E957E6">
        <w:t>ald J. Roberts, Ex. No._</w:t>
      </w:r>
      <w:proofErr w:type="gramStart"/>
      <w:r w:rsidR="00E957E6">
        <w:t>_(</w:t>
      </w:r>
      <w:proofErr w:type="gramEnd"/>
      <w:r w:rsidR="00E957E6">
        <w:t>RJR-1C</w:t>
      </w:r>
      <w:r>
        <w:t>T), pp. 39-41.</w:t>
      </w:r>
    </w:p>
  </w:footnote>
  <w:footnote w:id="13">
    <w:p w14:paraId="6CEF7603" w14:textId="6DEFF038" w:rsidR="004F7D0D" w:rsidRPr="003077DE" w:rsidRDefault="004F7D0D" w:rsidP="00992E25">
      <w:pPr>
        <w:pStyle w:val="FootnoteText"/>
        <w:ind w:left="0"/>
      </w:pPr>
      <w:r>
        <w:rPr>
          <w:rStyle w:val="FootnoteReference"/>
        </w:rPr>
        <w:footnoteRef/>
      </w:r>
      <w:r>
        <w:t xml:space="preserve"> “</w:t>
      </w:r>
      <w:r w:rsidRPr="003077DE">
        <w:t>Colstrip operator wants out in 2 years or less</w:t>
      </w:r>
      <w:r>
        <w:t xml:space="preserve">”, The </w:t>
      </w:r>
      <w:proofErr w:type="spellStart"/>
      <w:r>
        <w:t>Missoulian</w:t>
      </w:r>
      <w:proofErr w:type="spellEnd"/>
      <w:r>
        <w:t xml:space="preserve">, May 25, 2016. Available at: </w:t>
      </w:r>
      <w:r w:rsidRPr="00992E25">
        <w:t>http://missoulian.com/news/state-and-regional/colstrip-operator-wants-out-in-years-or-less/article_d0aae700-4348-5007-9bf3-1ed9758de6f8.html</w:t>
      </w:r>
      <w:r>
        <w:t>; “</w:t>
      </w:r>
      <w:r w:rsidRPr="003077DE">
        <w:t>Colstrip operators contemplate early shutdown</w:t>
      </w:r>
      <w:r>
        <w:t xml:space="preserve">”, E&amp;E News – </w:t>
      </w:r>
      <w:proofErr w:type="spellStart"/>
      <w:r>
        <w:t>Climatewire</w:t>
      </w:r>
      <w:proofErr w:type="spellEnd"/>
      <w:r>
        <w:t xml:space="preserve">, Jan. 20, 2017. Available at: </w:t>
      </w:r>
      <w:r w:rsidRPr="003077DE">
        <w:t>https://www.eenews.net/climatewire/2017/01/20/stories/1060048701</w:t>
      </w:r>
      <w:r>
        <w:t>.</w:t>
      </w:r>
    </w:p>
  </w:footnote>
  <w:footnote w:id="14">
    <w:p w14:paraId="1FBE2A5E" w14:textId="10258FDE" w:rsidR="004F7D0D" w:rsidRPr="00A00734" w:rsidRDefault="004F7D0D" w:rsidP="00992E25">
      <w:pPr>
        <w:pStyle w:val="FootnoteText"/>
        <w:ind w:left="0"/>
      </w:pPr>
      <w:r>
        <w:rPr>
          <w:rStyle w:val="FootnoteReference"/>
        </w:rPr>
        <w:footnoteRef/>
      </w:r>
      <w:r>
        <w:t xml:space="preserve"> PSE Response to Sierra Club Data Request No. 004. </w:t>
      </w:r>
      <w:proofErr w:type="gramStart"/>
      <w:r>
        <w:t>(</w:t>
      </w:r>
      <w:proofErr w:type="spellStart"/>
      <w:r>
        <w:t>Exh</w:t>
      </w:r>
      <w:proofErr w:type="spellEnd"/>
      <w:r>
        <w:t>.</w:t>
      </w:r>
      <w:proofErr w:type="gramEnd"/>
      <w:r>
        <w:t xml:space="preserve"> </w:t>
      </w:r>
      <w:proofErr w:type="gramStart"/>
      <w:r w:rsidRPr="00387EB4">
        <w:t>EDH-</w:t>
      </w:r>
      <w:r>
        <w:t>7</w:t>
      </w:r>
      <w:r w:rsidR="00B77C8D">
        <w:t>, pp. 1-2</w:t>
      </w:r>
      <w:r>
        <w:t>).</w:t>
      </w:r>
      <w:proofErr w:type="gramEnd"/>
      <w:r>
        <w:t xml:space="preserve"> PSE supplemented this response on June 27, 2017 – three days prior to the testimony deadline – with a letter stating that Talen had withdrawn its notice to resign as operator of Colstrip. </w:t>
      </w:r>
    </w:p>
  </w:footnote>
  <w:footnote w:id="15">
    <w:p w14:paraId="1E35A0E1" w14:textId="2122D0AC" w:rsidR="004F7D0D" w:rsidRDefault="004F7D0D" w:rsidP="00711105">
      <w:pPr>
        <w:pStyle w:val="FootnoteText"/>
        <w:ind w:left="0"/>
      </w:pPr>
      <w:r>
        <w:rPr>
          <w:rStyle w:val="FootnoteReference"/>
        </w:rPr>
        <w:footnoteRef/>
      </w:r>
      <w:r>
        <w:t xml:space="preserve"> Electric Light and Power, February 22, 2017: “Colstrip power plant owner pushes for tax break to keep plant units open.” </w:t>
      </w:r>
      <w:proofErr w:type="gramStart"/>
      <w:r>
        <w:t xml:space="preserve">Available at </w:t>
      </w:r>
      <w:r w:rsidRPr="00711105">
        <w:t>http://www.elp.com/articles/2017/02/colstrip-power-plant-owner-pushes-for-tax-break-to-keep-plant-units-open.html</w:t>
      </w:r>
      <w:r>
        <w:t>.</w:t>
      </w:r>
      <w:proofErr w:type="gramEnd"/>
      <w:r>
        <w:t xml:space="preserve"> </w:t>
      </w:r>
    </w:p>
  </w:footnote>
  <w:footnote w:id="16">
    <w:p w14:paraId="1ED3D044" w14:textId="7C07270B" w:rsidR="004F7D0D" w:rsidRDefault="004F7D0D" w:rsidP="00711105">
      <w:pPr>
        <w:pStyle w:val="FootnoteText"/>
        <w:ind w:left="0"/>
      </w:pPr>
      <w:r>
        <w:rPr>
          <w:rStyle w:val="FootnoteReference"/>
        </w:rPr>
        <w:footnoteRef/>
      </w:r>
      <w:r>
        <w:t xml:space="preserve">  Direct Testimony of Ronald J. Roberts, </w:t>
      </w:r>
      <w:r w:rsidR="00276988">
        <w:t>Exhibit No.__</w:t>
      </w:r>
      <w:r w:rsidR="00DB3B27">
        <w:t>(RJR-1CT</w:t>
      </w:r>
      <w:r w:rsidRPr="001E341B">
        <w:t>)</w:t>
      </w:r>
    </w:p>
  </w:footnote>
  <w:footnote w:id="17">
    <w:p w14:paraId="3241E3CC" w14:textId="23A4CD80" w:rsidR="004F7D0D" w:rsidRDefault="004F7D0D" w:rsidP="00711105">
      <w:pPr>
        <w:pStyle w:val="FootnoteText"/>
        <w:ind w:left="0"/>
      </w:pPr>
      <w:r>
        <w:rPr>
          <w:rStyle w:val="FootnoteReference"/>
        </w:rPr>
        <w:footnoteRef/>
      </w:r>
      <w:r>
        <w:t xml:space="preserve"> IEEFA, 2016, “A Bleak Future for Colstrip Units 1 and 2 Has Become Much Bleaker.” </w:t>
      </w:r>
      <w:proofErr w:type="gramStart"/>
      <w:r w:rsidR="00932461">
        <w:t>Ex.</w:t>
      </w:r>
      <w:r w:rsidR="007B63DF">
        <w:t xml:space="preserve"> No.</w:t>
      </w:r>
      <w:proofErr w:type="gramEnd"/>
      <w:r w:rsidR="007B63DF">
        <w:t xml:space="preserve"> </w:t>
      </w:r>
      <w:proofErr w:type="gramStart"/>
      <w:r w:rsidR="007B63DF">
        <w:t>__</w:t>
      </w:r>
      <w:r w:rsidR="00932461">
        <w:t xml:space="preserve"> </w:t>
      </w:r>
      <w:r w:rsidR="007B63DF">
        <w:t>(</w:t>
      </w:r>
      <w:r w:rsidR="00932461">
        <w:t>RJR-12).</w:t>
      </w:r>
      <w:proofErr w:type="gramEnd"/>
    </w:p>
  </w:footnote>
  <w:footnote w:id="18">
    <w:p w14:paraId="797DFE76" w14:textId="00F331FA" w:rsidR="004F7D0D" w:rsidRDefault="004F7D0D" w:rsidP="00711105">
      <w:pPr>
        <w:pStyle w:val="FootnoteText"/>
        <w:ind w:left="0"/>
      </w:pPr>
      <w:r>
        <w:rPr>
          <w:rStyle w:val="FootnoteReference"/>
        </w:rPr>
        <w:footnoteRef/>
      </w:r>
      <w:r>
        <w:t xml:space="preserve"> </w:t>
      </w:r>
      <w:proofErr w:type="gramStart"/>
      <w:r>
        <w:t>Ibid, p. 4.</w:t>
      </w:r>
      <w:proofErr w:type="gramEnd"/>
    </w:p>
  </w:footnote>
  <w:footnote w:id="19">
    <w:p w14:paraId="4B01423E" w14:textId="77777777" w:rsidR="004F7D0D" w:rsidRDefault="004F7D0D" w:rsidP="00711105">
      <w:pPr>
        <w:pStyle w:val="FootnoteText"/>
        <w:ind w:left="0"/>
      </w:pPr>
      <w:r>
        <w:rPr>
          <w:rStyle w:val="FootnoteReference"/>
        </w:rPr>
        <w:footnoteRef/>
      </w:r>
      <w:r>
        <w:t xml:space="preserve"> “Stripping ratio” refers to the volume of worthless or waste rock that must be removed to get at a unit volume of ore.</w:t>
      </w:r>
    </w:p>
  </w:footnote>
  <w:footnote w:id="20">
    <w:p w14:paraId="0A571753" w14:textId="3C09ED68" w:rsidR="004F7D0D" w:rsidRPr="00387EB4" w:rsidRDefault="004F7D0D" w:rsidP="00711105">
      <w:pPr>
        <w:pStyle w:val="FootnoteText"/>
        <w:ind w:left="0"/>
      </w:pPr>
      <w:r>
        <w:rPr>
          <w:rStyle w:val="FootnoteReference"/>
        </w:rPr>
        <w:footnoteRef/>
      </w:r>
      <w:r>
        <w:t xml:space="preserve"> </w:t>
      </w:r>
      <w:proofErr w:type="gramStart"/>
      <w:r>
        <w:t>PSE’s response to Sierra Club Data Request No. 008 with attachment.</w:t>
      </w:r>
      <w:proofErr w:type="gramEnd"/>
      <w:r>
        <w:t xml:space="preserve"> </w:t>
      </w:r>
      <w:proofErr w:type="gramStart"/>
      <w:r>
        <w:t>(</w:t>
      </w:r>
      <w:proofErr w:type="spellStart"/>
      <w:r w:rsidRPr="00387EB4">
        <w:t>Exh</w:t>
      </w:r>
      <w:proofErr w:type="spellEnd"/>
      <w:r w:rsidRPr="00387EB4">
        <w:t>.</w:t>
      </w:r>
      <w:proofErr w:type="gramEnd"/>
      <w:r w:rsidRPr="00387EB4">
        <w:t xml:space="preserve"> </w:t>
      </w:r>
      <w:proofErr w:type="gramStart"/>
      <w:r w:rsidRPr="00387EB4">
        <w:t>EDH-</w:t>
      </w:r>
      <w:r w:rsidR="003C3E70">
        <w:t>7, pp. 3-6</w:t>
      </w:r>
      <w:r w:rsidRPr="00387EB4">
        <w:t>)</w:t>
      </w:r>
      <w:r>
        <w:t>.</w:t>
      </w:r>
      <w:proofErr w:type="gramEnd"/>
    </w:p>
  </w:footnote>
  <w:footnote w:id="21">
    <w:p w14:paraId="21C54707" w14:textId="40E51F0C" w:rsidR="004F7D0D" w:rsidRDefault="004F7D0D" w:rsidP="00711105">
      <w:pPr>
        <w:pStyle w:val="FootnoteText"/>
        <w:ind w:left="0"/>
      </w:pPr>
      <w:r w:rsidRPr="00387EB4">
        <w:rPr>
          <w:rStyle w:val="FootnoteReference"/>
        </w:rPr>
        <w:footnoteRef/>
      </w:r>
      <w:r>
        <w:t xml:space="preserve"> </w:t>
      </w:r>
      <w:proofErr w:type="spellStart"/>
      <w:proofErr w:type="gramStart"/>
      <w:r>
        <w:t>Exh</w:t>
      </w:r>
      <w:proofErr w:type="spellEnd"/>
      <w:r>
        <w:t>.</w:t>
      </w:r>
      <w:proofErr w:type="gramEnd"/>
      <w:r>
        <w:t xml:space="preserve"> </w:t>
      </w:r>
      <w:r w:rsidRPr="00387EB4">
        <w:t>EDH-</w:t>
      </w:r>
      <w:r w:rsidR="00945C75">
        <w:t>7, pp. 7-8</w:t>
      </w:r>
      <w:r w:rsidRPr="00387EB4">
        <w:t>.</w:t>
      </w:r>
    </w:p>
  </w:footnote>
  <w:footnote w:id="22">
    <w:p w14:paraId="24FFEE2E" w14:textId="629A1DA1" w:rsidR="004F7D0D" w:rsidRPr="00A41564" w:rsidRDefault="004F7D0D" w:rsidP="00711105">
      <w:pPr>
        <w:pStyle w:val="FootnoteText"/>
        <w:ind w:left="0"/>
      </w:pPr>
      <w:r>
        <w:rPr>
          <w:rStyle w:val="FootnoteReference"/>
        </w:rPr>
        <w:footnoteRef/>
      </w:r>
      <w:r>
        <w:t xml:space="preserve"> </w:t>
      </w:r>
      <w:proofErr w:type="gramStart"/>
      <w:r w:rsidRPr="00C65052">
        <w:t>PSE’s response to Public Counsel Data Request No. 413</w:t>
      </w:r>
      <w:r>
        <w:t>.</w:t>
      </w:r>
      <w:proofErr w:type="gramEnd"/>
      <w:r>
        <w:t xml:space="preserve"> </w:t>
      </w:r>
      <w:proofErr w:type="gramStart"/>
      <w:r>
        <w:t>(</w:t>
      </w:r>
      <w:proofErr w:type="spellStart"/>
      <w:r>
        <w:t>Exh</w:t>
      </w:r>
      <w:proofErr w:type="spellEnd"/>
      <w:r>
        <w:t>.</w:t>
      </w:r>
      <w:proofErr w:type="gramEnd"/>
      <w:r>
        <w:t xml:space="preserve"> </w:t>
      </w:r>
      <w:r w:rsidRPr="00A41564">
        <w:t>EDH-</w:t>
      </w:r>
      <w:r w:rsidR="00945C75">
        <w:t>7, pp.</w:t>
      </w:r>
      <w:r w:rsidR="00D63496">
        <w:t xml:space="preserve"> 42-43</w:t>
      </w:r>
      <w:r w:rsidRPr="00A41564">
        <w:t>)</w:t>
      </w:r>
      <w:r>
        <w:t>.</w:t>
      </w:r>
    </w:p>
  </w:footnote>
  <w:footnote w:id="23">
    <w:p w14:paraId="1654C561" w14:textId="7E0DF0CD" w:rsidR="004F7D0D" w:rsidRDefault="004F7D0D" w:rsidP="00711105">
      <w:pPr>
        <w:pStyle w:val="FootnoteText"/>
        <w:ind w:left="0"/>
      </w:pPr>
      <w:r w:rsidRPr="00A41564">
        <w:rPr>
          <w:rStyle w:val="FootnoteReference"/>
        </w:rPr>
        <w:footnoteRef/>
      </w:r>
      <w:r w:rsidRPr="00A41564">
        <w:t xml:space="preserve"> </w:t>
      </w:r>
      <w:proofErr w:type="gramStart"/>
      <w:r w:rsidRPr="00A41564">
        <w:t>PSE</w:t>
      </w:r>
      <w:r>
        <w:t>’s</w:t>
      </w:r>
      <w:r w:rsidRPr="00A41564">
        <w:t xml:space="preserve"> response to Public Counsel Data Request No. 418.</w:t>
      </w:r>
      <w:proofErr w:type="gramEnd"/>
      <w:r w:rsidRPr="00A41564">
        <w:t xml:space="preserve"> </w:t>
      </w:r>
      <w:proofErr w:type="gramStart"/>
      <w:r>
        <w:t>(</w:t>
      </w:r>
      <w:proofErr w:type="spellStart"/>
      <w:r>
        <w:t>Exh</w:t>
      </w:r>
      <w:proofErr w:type="spellEnd"/>
      <w:r w:rsidRPr="00A41564">
        <w:t>.</w:t>
      </w:r>
      <w:proofErr w:type="gramEnd"/>
      <w:r w:rsidRPr="00A41564">
        <w:t xml:space="preserve"> EDH-</w:t>
      </w:r>
      <w:r w:rsidR="00EC0426">
        <w:t>7, p</w:t>
      </w:r>
      <w:r w:rsidR="00D63496">
        <w:t>. 44</w:t>
      </w:r>
      <w:r>
        <w:t>).</w:t>
      </w:r>
    </w:p>
  </w:footnote>
  <w:footnote w:id="24">
    <w:p w14:paraId="7C74DE64" w14:textId="0A932046" w:rsidR="004F7D0D" w:rsidRDefault="004F7D0D" w:rsidP="00711105">
      <w:pPr>
        <w:pStyle w:val="FootnoteText"/>
        <w:ind w:left="0"/>
      </w:pPr>
      <w:r>
        <w:rPr>
          <w:rStyle w:val="FootnoteReference"/>
        </w:rPr>
        <w:footnoteRef/>
      </w:r>
      <w:r>
        <w:t xml:space="preserve"> See PSE’s response to WUTC Data Request 459</w:t>
      </w:r>
      <w:r w:rsidR="00554DA8">
        <w:t xml:space="preserve"> (</w:t>
      </w:r>
      <w:proofErr w:type="spellStart"/>
      <w:r w:rsidR="00554DA8">
        <w:t>Exh</w:t>
      </w:r>
      <w:proofErr w:type="spellEnd"/>
      <w:r w:rsidR="00554DA8">
        <w:t xml:space="preserve">. </w:t>
      </w:r>
      <w:proofErr w:type="gramStart"/>
      <w:r w:rsidR="00554DA8">
        <w:t>EDH-</w:t>
      </w:r>
      <w:r w:rsidR="00D63496">
        <w:t>7, pp. 45-46</w:t>
      </w:r>
      <w:r w:rsidR="00554DA8">
        <w:t>), Attachment A (</w:t>
      </w:r>
      <w:proofErr w:type="spellStart"/>
      <w:r w:rsidR="00554DA8">
        <w:t>Exh</w:t>
      </w:r>
      <w:proofErr w:type="spellEnd"/>
      <w:r w:rsidR="00554DA8">
        <w:t>.</w:t>
      </w:r>
      <w:proofErr w:type="gramEnd"/>
      <w:r w:rsidR="00554DA8">
        <w:t xml:space="preserve"> </w:t>
      </w:r>
      <w:proofErr w:type="gramStart"/>
      <w:r w:rsidRPr="003758E9">
        <w:t>EDH-</w:t>
      </w:r>
      <w:r w:rsidR="00554DA8">
        <w:t>8</w:t>
      </w:r>
      <w:r>
        <w:t>) for the calculation of this regulatory asset.</w:t>
      </w:r>
      <w:proofErr w:type="gramEnd"/>
      <w:r>
        <w:t xml:space="preserve"> The transaction is also described in PSE’s February 22, 2017 Report to the Audit Committees of the Board of Directors, provided as Attachment B to PSE’s response to Public Counsel’s Data Request No. 177. </w:t>
      </w:r>
      <w:proofErr w:type="gramStart"/>
      <w:r>
        <w:t>(</w:t>
      </w:r>
      <w:proofErr w:type="spellStart"/>
      <w:r>
        <w:t>Exh</w:t>
      </w:r>
      <w:proofErr w:type="spellEnd"/>
      <w:r>
        <w:t>.</w:t>
      </w:r>
      <w:proofErr w:type="gramEnd"/>
      <w:r>
        <w:t xml:space="preserve"> </w:t>
      </w:r>
      <w:r w:rsidRPr="00EA1A0C">
        <w:t>EDH-</w:t>
      </w:r>
      <w:r w:rsidR="003D224A">
        <w:t>7, pp. 13-36</w:t>
      </w:r>
      <w:r w:rsidRPr="00EA1A0C">
        <w:t>)</w:t>
      </w:r>
      <w:r>
        <w:t>.</w:t>
      </w:r>
    </w:p>
  </w:footnote>
  <w:footnote w:id="25">
    <w:p w14:paraId="2E63D741" w14:textId="70A608B9" w:rsidR="004F7D0D" w:rsidRPr="007068A8" w:rsidRDefault="004F7D0D" w:rsidP="00711105">
      <w:pPr>
        <w:pStyle w:val="FootnoteText"/>
        <w:ind w:left="0"/>
        <w:rPr>
          <w:b/>
        </w:rPr>
      </w:pPr>
      <w:r>
        <w:rPr>
          <w:rStyle w:val="FootnoteReference"/>
        </w:rPr>
        <w:footnoteRef/>
      </w:r>
      <w:r>
        <w:t xml:space="preserve"> </w:t>
      </w:r>
      <w:proofErr w:type="gramStart"/>
      <w:r>
        <w:t>Attachment B to PSE’s response to Public Counsel’s Data Request No. 177, p. 5-6, 16.</w:t>
      </w:r>
      <w:proofErr w:type="gramEnd"/>
      <w:r>
        <w:t xml:space="preserve"> </w:t>
      </w:r>
      <w:proofErr w:type="gramStart"/>
      <w:r>
        <w:t>(</w:t>
      </w:r>
      <w:proofErr w:type="spellStart"/>
      <w:r w:rsidRPr="00EA1A0C">
        <w:t>Exh</w:t>
      </w:r>
      <w:proofErr w:type="spellEnd"/>
      <w:r w:rsidRPr="00EA1A0C">
        <w:t>.</w:t>
      </w:r>
      <w:proofErr w:type="gramEnd"/>
      <w:r w:rsidRPr="00EA1A0C">
        <w:t xml:space="preserve"> EDH-</w:t>
      </w:r>
      <w:r w:rsidR="003D224A">
        <w:t>7, pp. 13-36</w:t>
      </w:r>
      <w:r w:rsidRPr="00EA1A0C">
        <w:t>).</w:t>
      </w:r>
      <w:r>
        <w:t xml:space="preserve">  (Attachments excluded.) </w:t>
      </w:r>
    </w:p>
  </w:footnote>
  <w:footnote w:id="26">
    <w:p w14:paraId="132C7952" w14:textId="1648BBF0" w:rsidR="004F7D0D" w:rsidRDefault="004F7D0D" w:rsidP="00711105">
      <w:pPr>
        <w:pStyle w:val="FootnoteText"/>
        <w:ind w:left="0"/>
      </w:pPr>
      <w:r>
        <w:rPr>
          <w:rStyle w:val="FootnoteReference"/>
        </w:rPr>
        <w:footnoteRef/>
      </w:r>
      <w:r w:rsidR="007228D2">
        <w:t xml:space="preserve"> Direct T</w:t>
      </w:r>
      <w:r>
        <w:t>estimony of PSE witness Katherine Barnard,</w:t>
      </w:r>
      <w:r w:rsidR="00C3258D">
        <w:t xml:space="preserve"> Ex. No._</w:t>
      </w:r>
      <w:proofErr w:type="gramStart"/>
      <w:r w:rsidR="00C3258D">
        <w:t>_(</w:t>
      </w:r>
      <w:proofErr w:type="gramEnd"/>
      <w:r w:rsidR="00C3258D" w:rsidRPr="00C3258D">
        <w:t>KJB-1T)</w:t>
      </w:r>
      <w:r w:rsidR="00C3258D">
        <w:t xml:space="preserve">, </w:t>
      </w:r>
      <w:r>
        <w:t>p. 83.</w:t>
      </w:r>
    </w:p>
  </w:footnote>
  <w:footnote w:id="27">
    <w:p w14:paraId="0E068B9A" w14:textId="346D6D58" w:rsidR="004F7D0D" w:rsidRDefault="004F7D0D" w:rsidP="00711105">
      <w:pPr>
        <w:pStyle w:val="FootnoteText"/>
        <w:ind w:left="0"/>
      </w:pPr>
      <w:r>
        <w:rPr>
          <w:rStyle w:val="FootnoteReference"/>
        </w:rPr>
        <w:footnoteRef/>
      </w:r>
      <w:r>
        <w:t xml:space="preserve"> </w:t>
      </w:r>
      <w:r w:rsidRPr="00711105">
        <w:t>http://app.leg.wa.gov/RCW/default.aspx?cite=80.84&amp;full=true</w:t>
      </w:r>
      <w:r>
        <w:t xml:space="preserve">.  </w:t>
      </w:r>
    </w:p>
  </w:footnote>
  <w:footnote w:id="28">
    <w:p w14:paraId="63F41A5B" w14:textId="3DB2DA8C" w:rsidR="004F7D0D" w:rsidRDefault="004F7D0D" w:rsidP="00711105">
      <w:pPr>
        <w:pStyle w:val="FootnoteText"/>
        <w:ind w:left="0"/>
      </w:pPr>
      <w:r>
        <w:rPr>
          <w:rStyle w:val="FootnoteReference"/>
        </w:rPr>
        <w:footnoteRef/>
      </w:r>
      <w:r w:rsidR="007228D2">
        <w:t xml:space="preserve"> Direct T</w:t>
      </w:r>
      <w:r>
        <w:t>estimony of Daniel A. Doyle,</w:t>
      </w:r>
      <w:r w:rsidR="001E19A3">
        <w:t xml:space="preserve"> Ex. No._</w:t>
      </w:r>
      <w:proofErr w:type="gramStart"/>
      <w:r w:rsidR="001E19A3">
        <w:t>_(</w:t>
      </w:r>
      <w:proofErr w:type="gramEnd"/>
      <w:r w:rsidR="001E19A3">
        <w:t>DAD</w:t>
      </w:r>
      <w:r w:rsidR="001E19A3" w:rsidRPr="00C3258D">
        <w:t>-1T)</w:t>
      </w:r>
      <w:r w:rsidR="001E19A3">
        <w:t xml:space="preserve">, </w:t>
      </w:r>
      <w:r>
        <w:t>p. 47.</w:t>
      </w:r>
    </w:p>
  </w:footnote>
  <w:footnote w:id="29">
    <w:p w14:paraId="39D38C93" w14:textId="0892F1EC" w:rsidR="004F7D0D" w:rsidRDefault="004F7D0D" w:rsidP="00711105">
      <w:pPr>
        <w:pStyle w:val="FootnoteText"/>
        <w:ind w:left="0"/>
      </w:pPr>
      <w:r>
        <w:rPr>
          <w:rStyle w:val="FootnoteReference"/>
        </w:rPr>
        <w:footnoteRef/>
      </w:r>
      <w:r>
        <w:t xml:space="preserve"> See PSE’s response (</w:t>
      </w:r>
      <w:proofErr w:type="spellStart"/>
      <w:r>
        <w:t>Exh</w:t>
      </w:r>
      <w:proofErr w:type="spellEnd"/>
      <w:r>
        <w:t xml:space="preserve">. </w:t>
      </w:r>
      <w:proofErr w:type="gramStart"/>
      <w:r w:rsidR="00210140">
        <w:t xml:space="preserve">EDH-7, pp. </w:t>
      </w:r>
      <w:r w:rsidR="00D63496">
        <w:t>40-41</w:t>
      </w:r>
      <w:r>
        <w:t>) and attachment A (</w:t>
      </w:r>
      <w:proofErr w:type="spellStart"/>
      <w:r>
        <w:t>Exh</w:t>
      </w:r>
      <w:proofErr w:type="spellEnd"/>
      <w:r>
        <w:t>.</w:t>
      </w:r>
      <w:proofErr w:type="gramEnd"/>
      <w:r>
        <w:t xml:space="preserve"> </w:t>
      </w:r>
      <w:proofErr w:type="gramStart"/>
      <w:r w:rsidR="00210140">
        <w:t>EDH-9</w:t>
      </w:r>
      <w:r>
        <w:t>) to Public Counsel Data Request 286 for an accounting of the production, use, and accumulation of PTCs for each of the wind projects.</w:t>
      </w:r>
      <w:proofErr w:type="gramEnd"/>
      <w:r>
        <w:t xml:space="preserve"> </w:t>
      </w:r>
    </w:p>
  </w:footnote>
  <w:footnote w:id="30">
    <w:p w14:paraId="17074E65" w14:textId="2316CB30" w:rsidR="004F7D0D" w:rsidRDefault="004F7D0D" w:rsidP="00711105">
      <w:pPr>
        <w:pStyle w:val="FootnoteText"/>
        <w:ind w:left="0"/>
      </w:pPr>
      <w:r>
        <w:rPr>
          <w:rStyle w:val="FootnoteReference"/>
        </w:rPr>
        <w:footnoteRef/>
      </w:r>
      <w:r w:rsidR="007228D2">
        <w:t xml:space="preserve"> Direct T</w:t>
      </w:r>
      <w:r>
        <w:t>estimony of Katherine J. Barnard,</w:t>
      </w:r>
      <w:r w:rsidR="00D67478">
        <w:t xml:space="preserve"> Ex. No._</w:t>
      </w:r>
      <w:proofErr w:type="gramStart"/>
      <w:r w:rsidR="00D67478">
        <w:t>_(</w:t>
      </w:r>
      <w:proofErr w:type="gramEnd"/>
      <w:r w:rsidR="00D67478" w:rsidRPr="00C3258D">
        <w:t>KJB-1T)</w:t>
      </w:r>
      <w:r w:rsidR="00D67478">
        <w:t xml:space="preserve">, </w:t>
      </w:r>
      <w:r>
        <w:t>p. 84.</w:t>
      </w:r>
    </w:p>
  </w:footnote>
  <w:footnote w:id="31">
    <w:p w14:paraId="4CA43083" w14:textId="676A8EC6" w:rsidR="004F7D0D" w:rsidRDefault="004F7D0D" w:rsidP="00711105">
      <w:pPr>
        <w:pStyle w:val="FootnoteText"/>
        <w:ind w:left="0"/>
      </w:pPr>
      <w:r>
        <w:rPr>
          <w:rStyle w:val="FootnoteReference"/>
        </w:rPr>
        <w:footnoteRef/>
      </w:r>
      <w:r>
        <w:t xml:space="preserve"> PSE Response to Public Counsel Data Request 285, p.2.</w:t>
      </w:r>
      <w:r w:rsidR="00C9430F">
        <w:t xml:space="preserve"> </w:t>
      </w:r>
      <w:proofErr w:type="gramStart"/>
      <w:r w:rsidR="00C9430F">
        <w:t>(</w:t>
      </w:r>
      <w:proofErr w:type="spellStart"/>
      <w:r w:rsidR="00C9430F">
        <w:t>Exh</w:t>
      </w:r>
      <w:proofErr w:type="spellEnd"/>
      <w:r w:rsidR="00C9430F">
        <w:t>.</w:t>
      </w:r>
      <w:proofErr w:type="gramEnd"/>
      <w:r w:rsidR="00C9430F">
        <w:t xml:space="preserve"> EDH-7, pp. 37-39). </w:t>
      </w:r>
    </w:p>
  </w:footnote>
  <w:footnote w:id="32">
    <w:p w14:paraId="044447A0" w14:textId="3636BBE2" w:rsidR="004F7D0D" w:rsidRDefault="004F7D0D" w:rsidP="00711105">
      <w:pPr>
        <w:pStyle w:val="FootnoteText"/>
        <w:ind w:left="0"/>
      </w:pPr>
      <w:r>
        <w:rPr>
          <w:rStyle w:val="FootnoteReference"/>
        </w:rPr>
        <w:footnoteRef/>
      </w:r>
      <w:r>
        <w:t xml:space="preserve"> </w:t>
      </w:r>
      <w:proofErr w:type="gramStart"/>
      <w:r>
        <w:t>PSE response to Public Counsel Data Request 286(b), (</w:t>
      </w:r>
      <w:proofErr w:type="spellStart"/>
      <w:r>
        <w:t>Exh</w:t>
      </w:r>
      <w:proofErr w:type="spellEnd"/>
      <w:r>
        <w:t>.</w:t>
      </w:r>
      <w:proofErr w:type="gramEnd"/>
      <w:r>
        <w:t xml:space="preserve"> </w:t>
      </w:r>
      <w:r w:rsidR="00210140">
        <w:t>EDH-7, pp</w:t>
      </w:r>
      <w:r w:rsidR="00C9430F">
        <w:t>. 40-41</w:t>
      </w:r>
      <w:r w:rsidR="00210140">
        <w:t>)</w:t>
      </w:r>
      <w:r>
        <w:t>: “In 2005 and 2006, bonus depreciation was not contemplated as the law enabling bonus depreciation had expired in 2004. PSE’s general expectation was that the PTCs would be used when generated. Bonus depreciation was enacted in 2008 and has been reenacted continually since that time.”</w:t>
      </w:r>
    </w:p>
  </w:footnote>
  <w:footnote w:id="33">
    <w:p w14:paraId="58504BC1" w14:textId="5042761C" w:rsidR="004F7D0D" w:rsidRDefault="004F7D0D" w:rsidP="00711105">
      <w:pPr>
        <w:pStyle w:val="FootnoteText"/>
        <w:ind w:left="0"/>
      </w:pPr>
      <w:r>
        <w:rPr>
          <w:rStyle w:val="FootnoteReference"/>
        </w:rPr>
        <w:footnoteRef/>
      </w:r>
      <w:r>
        <w:t xml:space="preserve"> </w:t>
      </w:r>
      <w:proofErr w:type="spellStart"/>
      <w:r>
        <w:t>Prefiled</w:t>
      </w:r>
      <w:proofErr w:type="spellEnd"/>
      <w:r>
        <w:t xml:space="preserve"> Direct Testimony of Katherine J. Barnard, Docket No. UE-130617, </w:t>
      </w:r>
      <w:r w:rsidR="00C12DD3">
        <w:t>Ex. No._</w:t>
      </w:r>
      <w:proofErr w:type="gramStart"/>
      <w:r w:rsidR="00C12DD3">
        <w:t>_(</w:t>
      </w:r>
      <w:proofErr w:type="gramEnd"/>
      <w:r w:rsidR="00C12DD3">
        <w:t>KJB</w:t>
      </w:r>
      <w:r w:rsidR="00C12DD3" w:rsidRPr="00C3258D">
        <w:t>-1</w:t>
      </w:r>
      <w:r w:rsidR="00C12DD3">
        <w:t>C</w:t>
      </w:r>
      <w:r w:rsidR="00C12DD3" w:rsidRPr="00C3258D">
        <w:t>T)</w:t>
      </w:r>
      <w:r w:rsidR="00C12DD3">
        <w:t xml:space="preserve">, </w:t>
      </w:r>
      <w:r>
        <w:t xml:space="preserve">p. 13. </w:t>
      </w:r>
    </w:p>
  </w:footnote>
  <w:footnote w:id="34">
    <w:p w14:paraId="2D5252A5" w14:textId="210AF002" w:rsidR="004F7D0D" w:rsidRDefault="004F7D0D" w:rsidP="00711105">
      <w:pPr>
        <w:pStyle w:val="FootnoteText"/>
        <w:ind w:left="0"/>
      </w:pPr>
      <w:r>
        <w:rPr>
          <w:rStyle w:val="FootnoteReference"/>
        </w:rPr>
        <w:footnoteRef/>
      </w:r>
      <w:r w:rsidR="007228D2">
        <w:t xml:space="preserve"> Doyle T</w:t>
      </w:r>
      <w:r>
        <w:t xml:space="preserve">estimony, </w:t>
      </w:r>
      <w:r w:rsidR="00C65EC6">
        <w:t>Ex. No._</w:t>
      </w:r>
      <w:proofErr w:type="gramStart"/>
      <w:r w:rsidR="00C65EC6">
        <w:t>_(</w:t>
      </w:r>
      <w:proofErr w:type="gramEnd"/>
      <w:r w:rsidR="00C65EC6">
        <w:t>DAD</w:t>
      </w:r>
      <w:r w:rsidR="00C65EC6" w:rsidRPr="00C3258D">
        <w:t>-1T)</w:t>
      </w:r>
      <w:r w:rsidR="004111F2">
        <w:t xml:space="preserve">, </w:t>
      </w:r>
      <w:r>
        <w:t>p. 49.</w:t>
      </w:r>
    </w:p>
  </w:footnote>
  <w:footnote w:id="35">
    <w:p w14:paraId="36CCF490" w14:textId="0E0BCB4E" w:rsidR="004F7D0D" w:rsidRPr="004C752B" w:rsidRDefault="004F7D0D" w:rsidP="004C752B">
      <w:pPr>
        <w:shd w:val="clear" w:color="auto" w:fill="FFFFFF"/>
        <w:spacing w:line="240" w:lineRule="auto"/>
        <w:ind w:firstLine="0"/>
        <w:rPr>
          <w:rFonts w:eastAsia="Times New Roman" w:cstheme="minorHAnsi"/>
          <w:color w:val="212121"/>
          <w:shd w:val="clear" w:color="auto" w:fill="FFFFFF"/>
          <w:lang w:eastAsia="en-US"/>
        </w:rPr>
      </w:pPr>
      <w:r>
        <w:rPr>
          <w:rStyle w:val="FootnoteReference"/>
        </w:rPr>
        <w:footnoteRef/>
      </w:r>
      <w:r>
        <w:t xml:space="preserve"> </w:t>
      </w:r>
      <w:proofErr w:type="gramStart"/>
      <w:r w:rsidRPr="00513130">
        <w:rPr>
          <w:rFonts w:asciiTheme="majorHAnsi" w:eastAsia="Times New Roman" w:hAnsiTheme="majorHAnsi" w:cstheme="majorHAnsi"/>
          <w:i/>
          <w:color w:val="212121"/>
          <w:u w:val="single"/>
          <w:lang w:eastAsia="en-US"/>
        </w:rPr>
        <w:t>Re Pac. Gas &amp; Elec. Co.</w:t>
      </w:r>
      <w:r>
        <w:rPr>
          <w:rFonts w:asciiTheme="majorHAnsi" w:eastAsia="Times New Roman" w:hAnsiTheme="majorHAnsi" w:cstheme="majorHAnsi"/>
          <w:i/>
          <w:color w:val="212121"/>
          <w:u w:val="single"/>
          <w:lang w:eastAsia="en-US"/>
        </w:rPr>
        <w:t xml:space="preserve"> </w:t>
      </w:r>
      <w:r w:rsidRPr="00513130">
        <w:rPr>
          <w:rFonts w:asciiTheme="majorHAnsi" w:eastAsia="Times New Roman" w:hAnsiTheme="majorHAnsi" w:cstheme="majorHAnsi"/>
          <w:color w:val="212121"/>
          <w:lang w:eastAsia="en-US"/>
        </w:rPr>
        <w:t>Application 83-09-49, Decision 85-08-046, 18 CPUC 2d 592 (Aug. 21, 1985</w:t>
      </w:r>
      <w:r>
        <w:rPr>
          <w:rFonts w:asciiTheme="majorHAnsi" w:eastAsia="Times New Roman" w:hAnsiTheme="majorHAnsi" w:cstheme="majorHAnsi"/>
          <w:color w:val="212121"/>
          <w:lang w:eastAsia="en-US"/>
        </w:rPr>
        <w:t>)</w:t>
      </w:r>
      <w:r w:rsidRPr="009B1C86">
        <w:rPr>
          <w:rFonts w:eastAsia="Times New Roman" w:cstheme="minorHAnsi"/>
          <w:color w:val="212121"/>
          <w:shd w:val="clear" w:color="auto" w:fill="FFFFFF"/>
          <w:lang w:eastAsia="en-US"/>
        </w:rPr>
        <w:t xml:space="preserve"> 1</w:t>
      </w:r>
      <w:r>
        <w:rPr>
          <w:rFonts w:eastAsia="Times New Roman" w:cstheme="minorHAnsi"/>
          <w:color w:val="212121"/>
          <w:shd w:val="clear" w:color="auto" w:fill="FFFFFF"/>
          <w:lang w:eastAsia="en-US"/>
        </w:rPr>
        <w:t>5.</w:t>
      </w:r>
      <w:proofErr w:type="gramEnd"/>
    </w:p>
  </w:footnote>
  <w:footnote w:id="36">
    <w:p w14:paraId="3A113B7D" w14:textId="3329E75B" w:rsidR="004F7D0D" w:rsidRDefault="004F7D0D" w:rsidP="00711105">
      <w:pPr>
        <w:pStyle w:val="FootnoteText"/>
        <w:spacing w:before="0" w:beforeAutospacing="0"/>
        <w:ind w:left="0"/>
      </w:pPr>
      <w:r>
        <w:rPr>
          <w:rStyle w:val="FootnoteReference"/>
        </w:rPr>
        <w:footnoteRef/>
      </w:r>
      <w:r>
        <w:t xml:space="preserve"> Both current and previous editions may be found at </w:t>
      </w:r>
      <w:r w:rsidRPr="002E18EB">
        <w:t>https://www.eia.gov/outlooks/aeo/</w:t>
      </w:r>
      <w:r>
        <w:t xml:space="preserve">. </w:t>
      </w:r>
    </w:p>
  </w:footnote>
  <w:footnote w:id="37">
    <w:p w14:paraId="4223F39E" w14:textId="1C1B7459" w:rsidR="004F7D0D" w:rsidRDefault="004F7D0D" w:rsidP="00711105">
      <w:pPr>
        <w:pStyle w:val="FootnoteText"/>
        <w:ind w:left="0"/>
      </w:pPr>
      <w:r>
        <w:rPr>
          <w:rStyle w:val="FootnoteReference"/>
        </w:rPr>
        <w:footnoteRef/>
      </w:r>
      <w:r w:rsidR="007228D2">
        <w:t xml:space="preserve"> Roberts Direct T</w:t>
      </w:r>
      <w:r>
        <w:t xml:space="preserve">estimony, </w:t>
      </w:r>
      <w:r w:rsidR="00D1667E">
        <w:t>Ex. No._</w:t>
      </w:r>
      <w:proofErr w:type="gramStart"/>
      <w:r w:rsidR="00D1667E">
        <w:t>_(</w:t>
      </w:r>
      <w:proofErr w:type="gramEnd"/>
      <w:r w:rsidR="00D1667E">
        <w:t>RJR</w:t>
      </w:r>
      <w:r w:rsidR="00D1667E" w:rsidRPr="00C3258D">
        <w:t>-1</w:t>
      </w:r>
      <w:r w:rsidR="00D1667E">
        <w:t>C</w:t>
      </w:r>
      <w:r w:rsidR="00D1667E" w:rsidRPr="00C3258D">
        <w:t>T)</w:t>
      </w:r>
      <w:r w:rsidR="00D1667E">
        <w:t xml:space="preserve">, </w:t>
      </w:r>
      <w:r>
        <w:t>p. 22 at 5-8.</w:t>
      </w:r>
    </w:p>
  </w:footnote>
  <w:footnote w:id="38">
    <w:p w14:paraId="69A3A785" w14:textId="43E13471" w:rsidR="004F7D0D" w:rsidRPr="004C752B" w:rsidRDefault="004F7D0D" w:rsidP="00711105">
      <w:pPr>
        <w:pStyle w:val="FootnoteText"/>
        <w:ind w:left="0"/>
        <w:rPr>
          <w:lang w:val="es-US"/>
        </w:rPr>
      </w:pPr>
      <w:r>
        <w:rPr>
          <w:rStyle w:val="FootnoteReference"/>
        </w:rPr>
        <w:footnoteRef/>
      </w:r>
      <w:r w:rsidR="007228D2">
        <w:t xml:space="preserve"> </w:t>
      </w:r>
      <w:proofErr w:type="gramStart"/>
      <w:r w:rsidR="007228D2">
        <w:t>Rebuttal T</w:t>
      </w:r>
      <w:r>
        <w:t>estimony of Michael Jones in Docket No.</w:t>
      </w:r>
      <w:proofErr w:type="gramEnd"/>
      <w:r>
        <w:t xml:space="preserve"> </w:t>
      </w:r>
      <w:r w:rsidRPr="004C752B">
        <w:rPr>
          <w:lang w:val="es-US"/>
        </w:rPr>
        <w:t>UE-072300, p. 7.</w:t>
      </w:r>
      <w:r>
        <w:rPr>
          <w:lang w:val="es-US"/>
        </w:rPr>
        <w:t xml:space="preserve"> (</w:t>
      </w:r>
      <w:proofErr w:type="spellStart"/>
      <w:r>
        <w:rPr>
          <w:lang w:val="es-US"/>
        </w:rPr>
        <w:t>Exh</w:t>
      </w:r>
      <w:proofErr w:type="spellEnd"/>
      <w:r>
        <w:rPr>
          <w:lang w:val="es-US"/>
        </w:rPr>
        <w:t>. EDH-6).</w:t>
      </w:r>
    </w:p>
  </w:footnote>
  <w:footnote w:id="39">
    <w:p w14:paraId="5B3D7E3C" w14:textId="6FE7C4D0" w:rsidR="004F7D0D" w:rsidRPr="004C752B" w:rsidRDefault="004F7D0D" w:rsidP="00711105">
      <w:pPr>
        <w:pStyle w:val="FootnoteText"/>
        <w:ind w:left="0"/>
        <w:rPr>
          <w:lang w:val="es-US"/>
        </w:rPr>
      </w:pPr>
      <w:r>
        <w:rPr>
          <w:rStyle w:val="FootnoteReference"/>
        </w:rPr>
        <w:footnoteRef/>
      </w:r>
      <w:r w:rsidRPr="004C752B">
        <w:rPr>
          <w:lang w:val="es-US"/>
        </w:rPr>
        <w:t xml:space="preserve"> </w:t>
      </w:r>
      <w:proofErr w:type="spellStart"/>
      <w:r w:rsidRPr="004C752B">
        <w:rPr>
          <w:lang w:val="es-US"/>
        </w:rPr>
        <w:t>Ibid</w:t>
      </w:r>
      <w:proofErr w:type="spellEnd"/>
      <w:r w:rsidRPr="004C752B">
        <w:rPr>
          <w:lang w:val="es-US"/>
        </w:rPr>
        <w:t>.</w:t>
      </w:r>
    </w:p>
  </w:footnote>
  <w:footnote w:id="40">
    <w:p w14:paraId="06F9C301" w14:textId="2FF65D2D" w:rsidR="004F7D0D" w:rsidRPr="004C752B" w:rsidRDefault="004F7D0D" w:rsidP="00711105">
      <w:pPr>
        <w:pStyle w:val="FootnoteText"/>
        <w:ind w:left="0"/>
        <w:rPr>
          <w:lang w:val="es-US"/>
        </w:rPr>
      </w:pPr>
      <w:r>
        <w:rPr>
          <w:rStyle w:val="FootnoteReference"/>
        </w:rPr>
        <w:footnoteRef/>
      </w:r>
      <w:r>
        <w:rPr>
          <w:lang w:val="es-US"/>
        </w:rPr>
        <w:t xml:space="preserve"> </w:t>
      </w:r>
      <w:proofErr w:type="spellStart"/>
      <w:r>
        <w:rPr>
          <w:lang w:val="es-US"/>
        </w:rPr>
        <w:t>Exh</w:t>
      </w:r>
      <w:proofErr w:type="spellEnd"/>
      <w:r>
        <w:rPr>
          <w:lang w:val="es-US"/>
        </w:rPr>
        <w:t xml:space="preserve">. </w:t>
      </w:r>
      <w:r w:rsidRPr="00D76A9A">
        <w:rPr>
          <w:lang w:val="es-US"/>
        </w:rPr>
        <w:t>EDH-</w:t>
      </w:r>
      <w:r w:rsidR="00AE1E32">
        <w:rPr>
          <w:lang w:val="es-US"/>
        </w:rPr>
        <w:t>7, pp. 9-10</w:t>
      </w:r>
      <w:r w:rsidRPr="00D76A9A">
        <w:rPr>
          <w:lang w:val="es-US"/>
        </w:rPr>
        <w:t>.</w:t>
      </w:r>
    </w:p>
  </w:footnote>
  <w:footnote w:id="41">
    <w:p w14:paraId="58702E7B" w14:textId="391EF34F" w:rsidR="004F7D0D" w:rsidRPr="004306EB" w:rsidRDefault="004F7D0D" w:rsidP="00711105">
      <w:pPr>
        <w:pStyle w:val="FootnoteText"/>
        <w:ind w:left="0"/>
      </w:pPr>
      <w:r>
        <w:rPr>
          <w:rStyle w:val="FootnoteReference"/>
        </w:rPr>
        <w:footnoteRef/>
      </w:r>
      <w:r w:rsidRPr="007F734C">
        <w:t xml:space="preserve"> </w:t>
      </w:r>
      <w:r w:rsidRPr="007F734C">
        <w:rPr>
          <w:i/>
        </w:rPr>
        <w:t>See</w:t>
      </w:r>
      <w:r w:rsidRPr="007F734C">
        <w:t xml:space="preserve">, PSE’s response to Sierra Club Data Request No. </w:t>
      </w:r>
      <w:r w:rsidRPr="00384B0F">
        <w:t>008 (</w:t>
      </w:r>
      <w:proofErr w:type="spellStart"/>
      <w:r w:rsidRPr="00384B0F">
        <w:t>Exh</w:t>
      </w:r>
      <w:proofErr w:type="spellEnd"/>
      <w:r w:rsidRPr="00384B0F">
        <w:t>. EDH-</w:t>
      </w:r>
      <w:r w:rsidR="00AE1E32">
        <w:t>7, pp. 3-6</w:t>
      </w:r>
      <w:r w:rsidRPr="00384B0F">
        <w:t>)</w:t>
      </w:r>
    </w:p>
  </w:footnote>
  <w:footnote w:id="42">
    <w:p w14:paraId="0A4A37A8" w14:textId="2C5F079E" w:rsidR="004F7D0D" w:rsidRPr="00D05D3A" w:rsidRDefault="004F7D0D" w:rsidP="00711105">
      <w:pPr>
        <w:pStyle w:val="FootnoteText"/>
        <w:ind w:left="0"/>
        <w:rPr>
          <w:b/>
        </w:rPr>
      </w:pPr>
      <w:r w:rsidRPr="00B516AE">
        <w:rPr>
          <w:rStyle w:val="FootnoteReference"/>
          <w:b/>
        </w:rPr>
        <w:footnoteRef/>
      </w:r>
      <w:r w:rsidRPr="00B516AE">
        <w:rPr>
          <w:b/>
        </w:rPr>
        <w:t xml:space="preserve"> </w:t>
      </w:r>
      <w:r w:rsidRPr="00B516AE">
        <w:t>A</w:t>
      </w:r>
      <w:r w:rsidRPr="00F56A0F">
        <w:t>vailable at: https://www.sec.gov/Archives/edgar/data/106455/000010645517000012/wlb-123116_10k.htm</w:t>
      </w:r>
    </w:p>
  </w:footnote>
  <w:footnote w:id="43">
    <w:p w14:paraId="46E2D20E" w14:textId="71FC5B82" w:rsidR="004F7D0D" w:rsidRDefault="004F7D0D" w:rsidP="00DE6358">
      <w:pPr>
        <w:pStyle w:val="FootnoteText"/>
        <w:ind w:left="0"/>
      </w:pPr>
      <w:r w:rsidRPr="00DE6358">
        <w:rPr>
          <w:rStyle w:val="FootnoteReference"/>
        </w:rPr>
        <w:footnoteRef/>
      </w:r>
      <w:r w:rsidRPr="00DE6358">
        <w:t xml:space="preserve"> PSE Response to Sierra Club Data Request No. 013. </w:t>
      </w:r>
      <w:proofErr w:type="gramStart"/>
      <w:r w:rsidRPr="00DE6358">
        <w:t>(</w:t>
      </w:r>
      <w:proofErr w:type="spellStart"/>
      <w:r w:rsidRPr="00DE6358">
        <w:t>Exh</w:t>
      </w:r>
      <w:proofErr w:type="spellEnd"/>
      <w:r w:rsidRPr="00DE6358">
        <w:t>.</w:t>
      </w:r>
      <w:proofErr w:type="gramEnd"/>
      <w:r w:rsidRPr="00DE6358">
        <w:t xml:space="preserve"> EDH-</w:t>
      </w:r>
      <w:r w:rsidR="00AE1E32">
        <w:t>7, pp. 11-12</w:t>
      </w:r>
      <w:r w:rsidRPr="00DE6358">
        <w:t>).</w:t>
      </w:r>
      <w:r>
        <w:t xml:space="preserve"> </w:t>
      </w:r>
    </w:p>
  </w:footnote>
  <w:footnote w:id="44">
    <w:p w14:paraId="125CE48E" w14:textId="3AA8500B" w:rsidR="004F7D0D" w:rsidRDefault="004F7D0D" w:rsidP="00711105">
      <w:pPr>
        <w:pStyle w:val="FootnoteText"/>
        <w:ind w:left="0"/>
      </w:pPr>
      <w:r>
        <w:rPr>
          <w:rStyle w:val="FootnoteReference"/>
        </w:rPr>
        <w:footnoteRef/>
      </w:r>
      <w:r>
        <w:t xml:space="preserve"> See </w:t>
      </w:r>
      <w:r w:rsidRPr="00711105">
        <w:t>http://www.commerce.wa.gov/growing-the-economy/energy/energy-independence-act/</w:t>
      </w:r>
      <w:r w:rsidR="00B71F07">
        <w:t xml:space="preserve"> </w:t>
      </w:r>
      <w:r>
        <w:t>for an overview.</w:t>
      </w:r>
    </w:p>
  </w:footnote>
  <w:footnote w:id="45">
    <w:p w14:paraId="5757AAB2" w14:textId="065787E3" w:rsidR="004F7D0D" w:rsidRDefault="004F7D0D" w:rsidP="00711105">
      <w:pPr>
        <w:pStyle w:val="FootnoteText"/>
        <w:ind w:left="0"/>
      </w:pPr>
      <w:r>
        <w:rPr>
          <w:rStyle w:val="FootnoteReference"/>
        </w:rPr>
        <w:footnoteRef/>
      </w:r>
      <w:r>
        <w:t xml:space="preserve"> </w:t>
      </w:r>
      <w:proofErr w:type="gramStart"/>
      <w:r>
        <w:t xml:space="preserve">Available at </w:t>
      </w:r>
      <w:r w:rsidRPr="00711105">
        <w:t>http://www.governor.wa.gov/sites/default/files/exe_order/eo_14-04.pdf</w:t>
      </w:r>
      <w:r>
        <w:t>.</w:t>
      </w:r>
      <w:proofErr w:type="gramEnd"/>
      <w:r>
        <w:t xml:space="preserve"> </w:t>
      </w:r>
    </w:p>
  </w:footnote>
  <w:footnote w:id="46">
    <w:p w14:paraId="2906FFDD" w14:textId="779035AC" w:rsidR="004F7D0D" w:rsidRDefault="004F7D0D" w:rsidP="00711105">
      <w:pPr>
        <w:pStyle w:val="FootnoteText"/>
        <w:ind w:left="0"/>
      </w:pPr>
      <w:r>
        <w:rPr>
          <w:rStyle w:val="FootnoteReference"/>
        </w:rPr>
        <w:footnoteRef/>
      </w:r>
      <w:r>
        <w:t xml:space="preserve"> Ibid, pp. 2-3.</w:t>
      </w:r>
    </w:p>
  </w:footnote>
  <w:footnote w:id="47">
    <w:p w14:paraId="355AFADA" w14:textId="791DEC71" w:rsidR="004F7D0D" w:rsidRDefault="004F7D0D" w:rsidP="00711105">
      <w:pPr>
        <w:pStyle w:val="FootnoteText"/>
        <w:ind w:left="0"/>
      </w:pPr>
      <w:r>
        <w:rPr>
          <w:rStyle w:val="FootnoteReference"/>
        </w:rPr>
        <w:footnoteRef/>
      </w:r>
      <w:r>
        <w:t xml:space="preserve"> </w:t>
      </w:r>
      <w:proofErr w:type="gramStart"/>
      <w:r>
        <w:t>Ibid, p. 4.</w:t>
      </w:r>
      <w:proofErr w:type="gramEnd"/>
    </w:p>
  </w:footnote>
  <w:footnote w:id="48">
    <w:p w14:paraId="13D15632" w14:textId="3E2478CC" w:rsidR="004F7D0D" w:rsidRDefault="004F7D0D" w:rsidP="00711105">
      <w:pPr>
        <w:pStyle w:val="FootnoteText"/>
        <w:ind w:left="0"/>
      </w:pPr>
      <w:r>
        <w:rPr>
          <w:rStyle w:val="FootnoteReference"/>
        </w:rPr>
        <w:footnoteRef/>
      </w:r>
      <w:r>
        <w:t xml:space="preserve"> Available at: </w:t>
      </w:r>
      <w:r w:rsidRPr="00711105">
        <w:t>http://your.kingcounty.gov/dnrp/climate/documents/2015_King_County_SCAP-ActionPlan-Section1.pdf</w:t>
      </w:r>
      <w:r>
        <w:t xml:space="preserve"> </w:t>
      </w:r>
    </w:p>
  </w:footnote>
  <w:footnote w:id="49">
    <w:p w14:paraId="3EF6E71F" w14:textId="4003003B" w:rsidR="004F7D0D" w:rsidRDefault="004F7D0D" w:rsidP="00711105">
      <w:pPr>
        <w:pStyle w:val="FootnoteText"/>
        <w:ind w:left="0"/>
      </w:pPr>
      <w:r>
        <w:rPr>
          <w:rStyle w:val="FootnoteReference"/>
        </w:rPr>
        <w:footnoteRef/>
      </w:r>
      <w:r>
        <w:t xml:space="preserve"> Ibid., p.27</w:t>
      </w:r>
    </w:p>
  </w:footnote>
  <w:footnote w:id="50">
    <w:p w14:paraId="67A4684C" w14:textId="7F4A6BE0" w:rsidR="004F7D0D" w:rsidRDefault="004F7D0D" w:rsidP="00711105">
      <w:pPr>
        <w:pStyle w:val="FootnoteText"/>
        <w:ind w:left="0"/>
      </w:pPr>
      <w:r>
        <w:rPr>
          <w:rStyle w:val="FootnoteReference"/>
        </w:rPr>
        <w:footnoteRef/>
      </w:r>
      <w:r>
        <w:t xml:space="preserve"> </w:t>
      </w:r>
      <w:proofErr w:type="gramStart"/>
      <w:r>
        <w:t>PSE 2015 IRP, Chapter 1, p.1-8.</w:t>
      </w:r>
      <w:proofErr w:type="gramEnd"/>
    </w:p>
  </w:footnote>
  <w:footnote w:id="51">
    <w:p w14:paraId="57D50400" w14:textId="4BC13D8C" w:rsidR="004F7D0D" w:rsidRDefault="004F7D0D" w:rsidP="00711105">
      <w:pPr>
        <w:pStyle w:val="FootnoteText"/>
        <w:ind w:left="0"/>
      </w:pPr>
      <w:r>
        <w:rPr>
          <w:rStyle w:val="FootnoteReference"/>
        </w:rPr>
        <w:footnoteRef/>
      </w:r>
      <w:r>
        <w:t xml:space="preserve"> </w:t>
      </w:r>
      <w:proofErr w:type="gramStart"/>
      <w:r>
        <w:t>77 Fed.</w:t>
      </w:r>
      <w:proofErr w:type="gramEnd"/>
      <w:r>
        <w:t xml:space="preserve"> Reg. 57864 (Sep. 18, 2012).</w:t>
      </w:r>
    </w:p>
  </w:footnote>
  <w:footnote w:id="52">
    <w:p w14:paraId="5E8E7027" w14:textId="11B8473E" w:rsidR="004F7D0D" w:rsidRDefault="004F7D0D" w:rsidP="00711105">
      <w:pPr>
        <w:pStyle w:val="FootnoteText"/>
        <w:ind w:left="0"/>
      </w:pPr>
      <w:r>
        <w:rPr>
          <w:rStyle w:val="FootnoteReference"/>
        </w:rPr>
        <w:footnoteRef/>
      </w:r>
      <w:r>
        <w:t xml:space="preserve"> PSE 2015 IRP, Appendix K, page K-14.</w:t>
      </w:r>
    </w:p>
  </w:footnote>
  <w:footnote w:id="53">
    <w:p w14:paraId="24231F15" w14:textId="108323FC" w:rsidR="004F7D0D" w:rsidRDefault="004F7D0D" w:rsidP="00711105">
      <w:pPr>
        <w:pStyle w:val="FootnoteText"/>
        <w:ind w:left="0"/>
      </w:pPr>
      <w:r>
        <w:rPr>
          <w:rStyle w:val="FootnoteReference"/>
        </w:rPr>
        <w:footnoteRef/>
      </w:r>
      <w:r>
        <w:t xml:space="preserve"> </w:t>
      </w:r>
      <w:proofErr w:type="gramStart"/>
      <w:r w:rsidRPr="00C90F35">
        <w:t>82 F</w:t>
      </w:r>
      <w:r>
        <w:t>ed</w:t>
      </w:r>
      <w:r w:rsidRPr="00C90F35">
        <w:t>.</w:t>
      </w:r>
      <w:proofErr w:type="gramEnd"/>
      <w:r>
        <w:t xml:space="preserve"> </w:t>
      </w:r>
      <w:r w:rsidRPr="00C90F35">
        <w:t>R</w:t>
      </w:r>
      <w:r>
        <w:t>eg</w:t>
      </w:r>
      <w:r w:rsidRPr="00C90F35">
        <w:t>. 3078 at 3080 (Jan. 10, 2017).</w:t>
      </w:r>
    </w:p>
  </w:footnote>
  <w:footnote w:id="54">
    <w:p w14:paraId="7EF022AF" w14:textId="77777777" w:rsidR="004F7D0D" w:rsidRDefault="004F7D0D" w:rsidP="00711105">
      <w:pPr>
        <w:pStyle w:val="FootnoteText"/>
        <w:ind w:left="0"/>
      </w:pPr>
      <w:r>
        <w:rPr>
          <w:rStyle w:val="FootnoteReference"/>
        </w:rPr>
        <w:footnoteRef/>
      </w:r>
      <w:r>
        <w:t xml:space="preserve"> PacifiCorp 2015 IRP, Vol. 1, Table 7.2 at p. 148. Available at: </w:t>
      </w:r>
      <w:r w:rsidRPr="0066562C">
        <w:t>https://www.pacificorp.com/content/dam/pacificorp/doc/Energy_Sources/Integrated_Resource_Plan/2015IRP/PacifiCorp_2015IRP-Vol1-MainDocument.pdf</w:t>
      </w:r>
      <w:r>
        <w:t>.</w:t>
      </w:r>
    </w:p>
  </w:footnote>
  <w:footnote w:id="55">
    <w:p w14:paraId="691065BA" w14:textId="310A9058" w:rsidR="004F7D0D" w:rsidRDefault="004F7D0D" w:rsidP="00711105">
      <w:pPr>
        <w:pStyle w:val="FootnoteText"/>
        <w:ind w:left="0"/>
      </w:pPr>
      <w:r>
        <w:rPr>
          <w:rStyle w:val="FootnoteReference"/>
        </w:rPr>
        <w:footnoteRef/>
      </w:r>
      <w:r>
        <w:t xml:space="preserve"> Ex. No.</w:t>
      </w:r>
      <w:r w:rsidR="007B63DF">
        <w:t>__(</w:t>
      </w:r>
      <w:r>
        <w:t xml:space="preserve"> RJR-15</w:t>
      </w:r>
      <w:r w:rsidR="007B63DF">
        <w:t>)</w:t>
      </w:r>
      <w:r>
        <w:t>, Table 1 on p. 3.</w:t>
      </w:r>
    </w:p>
  </w:footnote>
  <w:footnote w:id="56">
    <w:p w14:paraId="188A6C5F" w14:textId="0FEEDF9E" w:rsidR="004F7D0D" w:rsidRDefault="004F7D0D" w:rsidP="00EC28A0">
      <w:pPr>
        <w:pStyle w:val="FootnoteText"/>
        <w:ind w:left="0"/>
      </w:pPr>
      <w:r>
        <w:rPr>
          <w:rStyle w:val="FootnoteReference"/>
        </w:rPr>
        <w:footnoteRef/>
      </w:r>
      <w:r>
        <w:t xml:space="preserve"> This estimate is based on data provided in attachment B to WUTC Data Request 12. </w:t>
      </w:r>
      <w:proofErr w:type="gramStart"/>
      <w:r>
        <w:t>Depreciating the same book value over 7.6 years instead of 17.2 years (Unit 3) or 17.3 years (Unit 4) results in a total increase in annual depreciation of $16.47 Million.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EED9" w14:textId="77777777" w:rsidR="001B408F" w:rsidRDefault="001B4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B6039" w14:textId="77777777" w:rsidR="001B408F" w:rsidRDefault="001B40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BE222" w14:textId="77777777" w:rsidR="004F7D0D" w:rsidRDefault="004F7D0D" w:rsidP="00C2456A">
    <w:pPr>
      <w:pStyle w:val="Footer"/>
      <w:ind w:left="1440"/>
      <w:rPr>
        <w:caps w:val="0"/>
        <w:sz w:val="22"/>
      </w:rPr>
    </w:pPr>
    <w:r>
      <w:rPr>
        <w:caps w:val="0"/>
        <w:sz w:val="22"/>
      </w:rPr>
      <w:t>Docket UE-130033/UG-130034</w:t>
    </w:r>
    <w:r>
      <w:rPr>
        <w:caps w:val="0"/>
        <w:sz w:val="22"/>
      </w:rPr>
      <w:tab/>
    </w:r>
  </w:p>
  <w:p w14:paraId="7D27111F" w14:textId="77777777" w:rsidR="004F7D0D" w:rsidRDefault="004F7D0D" w:rsidP="00C2456A">
    <w:pPr>
      <w:pStyle w:val="Footer"/>
      <w:ind w:left="1440"/>
      <w:rPr>
        <w:caps w:val="0"/>
        <w:sz w:val="22"/>
      </w:rPr>
    </w:pPr>
    <w:r w:rsidRPr="00D178C8">
      <w:rPr>
        <w:caps w:val="0"/>
        <w:sz w:val="22"/>
      </w:rPr>
      <w:t>Response Testimony of Ezra D. Hausman</w:t>
    </w:r>
    <w:r>
      <w:rPr>
        <w:caps w:val="0"/>
        <w:sz w:val="22"/>
      </w:rPr>
      <w:tab/>
    </w:r>
    <w:r>
      <w:rPr>
        <w:caps w:val="0"/>
        <w:sz w:val="22"/>
      </w:rPr>
      <w:tab/>
    </w:r>
    <w:r>
      <w:rPr>
        <w:caps w:val="0"/>
        <w:sz w:val="22"/>
      </w:rPr>
      <w:tab/>
    </w:r>
    <w:r>
      <w:rPr>
        <w:caps w:val="0"/>
        <w:sz w:val="22"/>
      </w:rPr>
      <w:tab/>
    </w:r>
    <w:r>
      <w:rPr>
        <w:caps w:val="0"/>
        <w:sz w:val="22"/>
      </w:rPr>
      <w:tab/>
    </w:r>
  </w:p>
  <w:p w14:paraId="0AC26A0B" w14:textId="5EC8CAF8" w:rsidR="004F7D0D" w:rsidRDefault="004F7D0D" w:rsidP="00C2456A">
    <w:pPr>
      <w:pStyle w:val="Footer"/>
      <w:ind w:left="1440"/>
      <w:rPr>
        <w:caps w:val="0"/>
        <w:sz w:val="22"/>
      </w:rPr>
    </w:pPr>
    <w:r>
      <w:rPr>
        <w:caps w:val="0"/>
        <w:sz w:val="22"/>
      </w:rPr>
      <w:t>Exhibit EDH-1T</w:t>
    </w:r>
  </w:p>
  <w:p w14:paraId="5F6AD6C0" w14:textId="1A5E0B7C" w:rsidR="004F7D0D" w:rsidRPr="007C3944" w:rsidRDefault="004F7D0D" w:rsidP="00C2456A">
    <w:pPr>
      <w:pStyle w:val="Footer"/>
      <w:ind w:left="1440"/>
      <w:rPr>
        <w:caps w:val="0"/>
        <w:sz w:val="22"/>
      </w:rPr>
    </w:pPr>
    <w:r w:rsidRPr="00D178C8">
      <w:rPr>
        <w:caps w:val="0"/>
        <w:sz w:val="22"/>
      </w:rPr>
      <w:t xml:space="preserve">Page </w:t>
    </w:r>
    <w:r w:rsidRPr="00D178C8">
      <w:rPr>
        <w:caps w:val="0"/>
        <w:sz w:val="22"/>
      </w:rPr>
      <w:fldChar w:fldCharType="begin"/>
    </w:r>
    <w:r w:rsidRPr="00D178C8">
      <w:rPr>
        <w:caps w:val="0"/>
        <w:sz w:val="22"/>
      </w:rPr>
      <w:instrText xml:space="preserve"> PAGE  \* Arabic  \* MERGEFORMAT </w:instrText>
    </w:r>
    <w:r w:rsidRPr="00D178C8">
      <w:rPr>
        <w:caps w:val="0"/>
        <w:sz w:val="22"/>
      </w:rPr>
      <w:fldChar w:fldCharType="separate"/>
    </w:r>
    <w:r>
      <w:rPr>
        <w:caps w:val="0"/>
        <w:noProof/>
        <w:sz w:val="22"/>
      </w:rPr>
      <w:t>1</w:t>
    </w:r>
    <w:r w:rsidRPr="00D178C8">
      <w:rPr>
        <w:caps w:val="0"/>
        <w:sz w:val="22"/>
      </w:rPr>
      <w:fldChar w:fldCharType="end"/>
    </w:r>
    <w:r w:rsidRPr="00D178C8">
      <w:rPr>
        <w:caps w:val="0"/>
        <w:sz w:val="22"/>
      </w:rPr>
      <w:t xml:space="preserve"> of </w:t>
    </w:r>
    <w:r w:rsidRPr="00D178C8">
      <w:rPr>
        <w:caps w:val="0"/>
        <w:sz w:val="22"/>
      </w:rPr>
      <w:fldChar w:fldCharType="begin"/>
    </w:r>
    <w:r w:rsidRPr="00D178C8">
      <w:rPr>
        <w:caps w:val="0"/>
        <w:sz w:val="22"/>
      </w:rPr>
      <w:instrText xml:space="preserve"> NUMPAGES   \* MERGEFORMAT </w:instrText>
    </w:r>
    <w:r w:rsidRPr="00D178C8">
      <w:rPr>
        <w:caps w:val="0"/>
        <w:sz w:val="22"/>
      </w:rPr>
      <w:fldChar w:fldCharType="separate"/>
    </w:r>
    <w:r w:rsidR="001B4925">
      <w:rPr>
        <w:caps w:val="0"/>
        <w:noProof/>
        <w:sz w:val="22"/>
      </w:rPr>
      <w:t>45</w:t>
    </w:r>
    <w:r w:rsidRPr="00D178C8">
      <w:rPr>
        <w:caps w:val="0"/>
        <w:sz w:val="22"/>
      </w:rPr>
      <w:fldChar w:fldCharType="end"/>
    </w:r>
  </w:p>
  <w:p w14:paraId="6865A546" w14:textId="77777777" w:rsidR="004F7D0D" w:rsidRDefault="004F7D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3846" w14:textId="335325DD" w:rsidR="004F7D0D" w:rsidRDefault="004F7D0D" w:rsidP="00C2456A">
    <w:pPr>
      <w:pStyle w:val="Footer"/>
      <w:ind w:left="5760"/>
      <w:jc w:val="right"/>
      <w:rPr>
        <w:caps w:val="0"/>
        <w:sz w:val="22"/>
      </w:rPr>
    </w:pPr>
    <w:r>
      <w:rPr>
        <w:caps w:val="0"/>
        <w:sz w:val="22"/>
      </w:rPr>
      <w:t>Docket UE-170033/UG-170034</w:t>
    </w:r>
  </w:p>
  <w:p w14:paraId="2120933F" w14:textId="77777777" w:rsidR="004F7D0D" w:rsidRDefault="004F7D0D" w:rsidP="00C2456A">
    <w:pPr>
      <w:pStyle w:val="Footer"/>
      <w:ind w:left="5040"/>
      <w:jc w:val="right"/>
      <w:rPr>
        <w:caps w:val="0"/>
        <w:sz w:val="22"/>
      </w:rPr>
    </w:pPr>
    <w:r>
      <w:rPr>
        <w:caps w:val="0"/>
        <w:sz w:val="22"/>
      </w:rPr>
      <w:t>Response Testimony of Ezra D. Hausman</w:t>
    </w:r>
  </w:p>
  <w:p w14:paraId="79BDAC1A" w14:textId="77777777" w:rsidR="004F7D0D" w:rsidRDefault="004F7D0D" w:rsidP="00C2456A">
    <w:pPr>
      <w:pStyle w:val="Footer"/>
      <w:ind w:left="7200"/>
      <w:jc w:val="right"/>
      <w:rPr>
        <w:caps w:val="0"/>
        <w:sz w:val="22"/>
      </w:rPr>
    </w:pPr>
    <w:r>
      <w:rPr>
        <w:caps w:val="0"/>
        <w:sz w:val="22"/>
      </w:rPr>
      <w:t>Exhibit EDH-1T</w:t>
    </w:r>
  </w:p>
  <w:p w14:paraId="7C8067F0" w14:textId="4D497716" w:rsidR="004F7D0D" w:rsidRDefault="004F7D0D" w:rsidP="00C2456A">
    <w:pPr>
      <w:pStyle w:val="Footer"/>
      <w:ind w:left="7200" w:firstLine="720"/>
      <w:jc w:val="right"/>
      <w:rPr>
        <w:caps w:val="0"/>
        <w:noProof/>
        <w:sz w:val="22"/>
      </w:rPr>
    </w:pPr>
    <w:r>
      <w:rPr>
        <w:caps w:val="0"/>
        <w:sz w:val="22"/>
      </w:rPr>
      <w:t xml:space="preserve">Page </w:t>
    </w:r>
    <w:r w:rsidRPr="00C2456A">
      <w:rPr>
        <w:caps w:val="0"/>
        <w:sz w:val="22"/>
      </w:rPr>
      <w:fldChar w:fldCharType="begin"/>
    </w:r>
    <w:r w:rsidRPr="00C2456A">
      <w:rPr>
        <w:caps w:val="0"/>
        <w:sz w:val="22"/>
      </w:rPr>
      <w:instrText xml:space="preserve"> PAGE   \* MERGEFORMAT </w:instrText>
    </w:r>
    <w:r w:rsidRPr="00C2456A">
      <w:rPr>
        <w:caps w:val="0"/>
        <w:sz w:val="22"/>
      </w:rPr>
      <w:fldChar w:fldCharType="separate"/>
    </w:r>
    <w:r w:rsidR="001B4925">
      <w:rPr>
        <w:caps w:val="0"/>
        <w:noProof/>
        <w:sz w:val="22"/>
      </w:rPr>
      <w:t>41</w:t>
    </w:r>
    <w:r w:rsidRPr="00C2456A">
      <w:rPr>
        <w:caps w:val="0"/>
        <w:noProof/>
        <w:sz w:val="22"/>
      </w:rPr>
      <w:fldChar w:fldCharType="end"/>
    </w:r>
  </w:p>
  <w:p w14:paraId="79E9B5C8" w14:textId="77777777" w:rsidR="00835F40" w:rsidRPr="007C3944" w:rsidRDefault="00835F40" w:rsidP="00C2456A">
    <w:pPr>
      <w:pStyle w:val="Footer"/>
      <w:ind w:left="7200" w:firstLine="720"/>
      <w:jc w:val="right"/>
      <w:rPr>
        <w:caps w:val="0"/>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AE3BF" w14:textId="5BDEE64F" w:rsidR="004F7D0D" w:rsidRDefault="004F7D0D" w:rsidP="00C2456A">
    <w:pPr>
      <w:pStyle w:val="Footer"/>
      <w:ind w:left="5760"/>
      <w:jc w:val="right"/>
      <w:rPr>
        <w:caps w:val="0"/>
        <w:sz w:val="22"/>
      </w:rPr>
    </w:pPr>
    <w:r>
      <w:rPr>
        <w:caps w:val="0"/>
        <w:sz w:val="22"/>
      </w:rPr>
      <w:t>Docket UE-170033/UG-170034</w:t>
    </w:r>
  </w:p>
  <w:p w14:paraId="5CD1534A" w14:textId="2AC34776" w:rsidR="004F7D0D" w:rsidRDefault="004F7D0D" w:rsidP="00C2456A">
    <w:pPr>
      <w:pStyle w:val="Footer"/>
      <w:ind w:left="5040"/>
      <w:jc w:val="right"/>
      <w:rPr>
        <w:caps w:val="0"/>
        <w:sz w:val="22"/>
      </w:rPr>
    </w:pPr>
    <w:r>
      <w:rPr>
        <w:caps w:val="0"/>
        <w:sz w:val="22"/>
      </w:rPr>
      <w:t>Response Testimony of Ezra D. Hausman</w:t>
    </w:r>
  </w:p>
  <w:p w14:paraId="03012EFE" w14:textId="1AD38656" w:rsidR="004F7D0D" w:rsidRDefault="004F7D0D" w:rsidP="00C2456A">
    <w:pPr>
      <w:pStyle w:val="Footer"/>
      <w:ind w:left="7200"/>
      <w:jc w:val="right"/>
      <w:rPr>
        <w:caps w:val="0"/>
        <w:sz w:val="22"/>
      </w:rPr>
    </w:pPr>
    <w:r>
      <w:rPr>
        <w:caps w:val="0"/>
        <w:sz w:val="22"/>
      </w:rPr>
      <w:t>Exhibit EDH-1T</w:t>
    </w:r>
  </w:p>
  <w:p w14:paraId="5F746691" w14:textId="33F68695" w:rsidR="004F7D0D" w:rsidRPr="007C3944" w:rsidRDefault="004F7D0D" w:rsidP="00C2456A">
    <w:pPr>
      <w:pStyle w:val="Footer"/>
      <w:ind w:left="7200" w:firstLine="720"/>
      <w:jc w:val="right"/>
      <w:rPr>
        <w:caps w:val="0"/>
        <w:sz w:val="22"/>
      </w:rPr>
    </w:pPr>
    <w:r w:rsidRPr="00D178C8">
      <w:rPr>
        <w:caps w:val="0"/>
        <w:sz w:val="22"/>
      </w:rPr>
      <w:t xml:space="preserve">Page </w:t>
    </w:r>
    <w:r w:rsidRPr="00D178C8">
      <w:rPr>
        <w:caps w:val="0"/>
        <w:sz w:val="22"/>
      </w:rPr>
      <w:fldChar w:fldCharType="begin"/>
    </w:r>
    <w:r w:rsidRPr="00D178C8">
      <w:rPr>
        <w:caps w:val="0"/>
        <w:sz w:val="22"/>
      </w:rPr>
      <w:instrText xml:space="preserve"> PAGE  \* Arabic  \* MERGEFORMAT </w:instrText>
    </w:r>
    <w:r w:rsidRPr="00D178C8">
      <w:rPr>
        <w:caps w:val="0"/>
        <w:sz w:val="22"/>
      </w:rPr>
      <w:fldChar w:fldCharType="separate"/>
    </w:r>
    <w:r w:rsidR="001B4925">
      <w:rPr>
        <w:caps w:val="0"/>
        <w:noProof/>
        <w:sz w:val="22"/>
      </w:rPr>
      <w:t>1</w:t>
    </w:r>
    <w:r w:rsidRPr="00D178C8">
      <w:rPr>
        <w:caps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CE8FDC"/>
    <w:lvl w:ilvl="0">
      <w:start w:val="1"/>
      <w:numFmt w:val="decimal"/>
      <w:lvlText w:val="%1."/>
      <w:lvlJc w:val="left"/>
      <w:pPr>
        <w:tabs>
          <w:tab w:val="num" w:pos="1800"/>
        </w:tabs>
        <w:ind w:left="1800" w:hanging="360"/>
      </w:pPr>
    </w:lvl>
  </w:abstractNum>
  <w:abstractNum w:abstractNumId="1">
    <w:nsid w:val="FFFFFF7D"/>
    <w:multiLevelType w:val="singleLevel"/>
    <w:tmpl w:val="189ED2C0"/>
    <w:lvl w:ilvl="0">
      <w:start w:val="1"/>
      <w:numFmt w:val="decimal"/>
      <w:lvlText w:val="%1."/>
      <w:lvlJc w:val="left"/>
      <w:pPr>
        <w:tabs>
          <w:tab w:val="num" w:pos="1440"/>
        </w:tabs>
        <w:ind w:left="1440" w:hanging="360"/>
      </w:pPr>
    </w:lvl>
  </w:abstractNum>
  <w:abstractNum w:abstractNumId="2">
    <w:nsid w:val="FFFFFF7E"/>
    <w:multiLevelType w:val="singleLevel"/>
    <w:tmpl w:val="851015A0"/>
    <w:lvl w:ilvl="0">
      <w:start w:val="1"/>
      <w:numFmt w:val="decimal"/>
      <w:lvlText w:val="%1."/>
      <w:lvlJc w:val="left"/>
      <w:pPr>
        <w:tabs>
          <w:tab w:val="num" w:pos="1080"/>
        </w:tabs>
        <w:ind w:left="1080" w:hanging="360"/>
      </w:pPr>
    </w:lvl>
  </w:abstractNum>
  <w:abstractNum w:abstractNumId="3">
    <w:nsid w:val="FFFFFF7F"/>
    <w:multiLevelType w:val="singleLevel"/>
    <w:tmpl w:val="49D83408"/>
    <w:lvl w:ilvl="0">
      <w:start w:val="1"/>
      <w:numFmt w:val="decimal"/>
      <w:lvlText w:val="%1."/>
      <w:lvlJc w:val="left"/>
      <w:pPr>
        <w:tabs>
          <w:tab w:val="num" w:pos="720"/>
        </w:tabs>
        <w:ind w:left="720" w:hanging="360"/>
      </w:pPr>
    </w:lvl>
  </w:abstractNum>
  <w:abstractNum w:abstractNumId="4">
    <w:nsid w:val="FFFFFF80"/>
    <w:multiLevelType w:val="singleLevel"/>
    <w:tmpl w:val="E258EE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3448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707C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BE5A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A70B1B6"/>
    <w:lvl w:ilvl="0">
      <w:start w:val="1"/>
      <w:numFmt w:val="decimal"/>
      <w:lvlText w:val="%1."/>
      <w:lvlJc w:val="left"/>
      <w:pPr>
        <w:tabs>
          <w:tab w:val="num" w:pos="360"/>
        </w:tabs>
        <w:ind w:left="360" w:hanging="360"/>
      </w:pPr>
    </w:lvl>
  </w:abstractNum>
  <w:abstractNum w:abstractNumId="9">
    <w:nsid w:val="FFFFFF89"/>
    <w:multiLevelType w:val="singleLevel"/>
    <w:tmpl w:val="F1389B2A"/>
    <w:lvl w:ilvl="0">
      <w:start w:val="1"/>
      <w:numFmt w:val="bullet"/>
      <w:lvlText w:val=""/>
      <w:lvlJc w:val="left"/>
      <w:pPr>
        <w:tabs>
          <w:tab w:val="num" w:pos="360"/>
        </w:tabs>
        <w:ind w:left="360" w:hanging="360"/>
      </w:pPr>
      <w:rPr>
        <w:rFonts w:ascii="Symbol" w:hAnsi="Symbol" w:hint="default"/>
      </w:rPr>
    </w:lvl>
  </w:abstractNum>
  <w:abstractNum w:abstractNumId="10">
    <w:nsid w:val="0B846583"/>
    <w:multiLevelType w:val="hybridMultilevel"/>
    <w:tmpl w:val="63FC1E3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3701A1"/>
    <w:multiLevelType w:val="hybridMultilevel"/>
    <w:tmpl w:val="7708001A"/>
    <w:lvl w:ilvl="0" w:tplc="AD2ACE98">
      <w:start w:val="1"/>
      <w:numFmt w:val="bullet"/>
      <w:pStyle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E686F04"/>
    <w:multiLevelType w:val="hybridMultilevel"/>
    <w:tmpl w:val="810E8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778F4"/>
    <w:multiLevelType w:val="hybridMultilevel"/>
    <w:tmpl w:val="190E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B0236"/>
    <w:multiLevelType w:val="hybridMultilevel"/>
    <w:tmpl w:val="A1B07AFC"/>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8B54726"/>
    <w:multiLevelType w:val="hybridMultilevel"/>
    <w:tmpl w:val="6812ED22"/>
    <w:lvl w:ilvl="0" w:tplc="D304DB28">
      <w:start w:val="1"/>
      <w:numFmt w:val="upperRoman"/>
      <w:pStyle w:val="Heading1"/>
      <w:lvlText w:val="%1."/>
      <w:lvlJc w:val="righ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62685"/>
    <w:multiLevelType w:val="hybridMultilevel"/>
    <w:tmpl w:val="03F40076"/>
    <w:lvl w:ilvl="0" w:tplc="D38636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43008"/>
    <w:multiLevelType w:val="hybridMultilevel"/>
    <w:tmpl w:val="C5D6183A"/>
    <w:lvl w:ilvl="0" w:tplc="A9128856">
      <w:start w:val="1"/>
      <w:numFmt w:val="decimal"/>
      <w:lvlText w:val="%1."/>
      <w:lvlJc w:val="left"/>
      <w:pPr>
        <w:ind w:left="2160" w:hanging="360"/>
      </w:pPr>
      <w:rPr>
        <w:rFonts w:hint="default"/>
        <w:b w:val="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9412A8B"/>
    <w:multiLevelType w:val="hybridMultilevel"/>
    <w:tmpl w:val="C5D6183A"/>
    <w:lvl w:ilvl="0" w:tplc="A9128856">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6"/>
  </w:num>
  <w:num w:numId="15">
    <w:abstractNumId w:val="15"/>
    <w:lvlOverride w:ilvl="0">
      <w:startOverride w:val="1"/>
    </w:lvlOverride>
  </w:num>
  <w:num w:numId="16">
    <w:abstractNumId w:val="15"/>
  </w:num>
  <w:num w:numId="17">
    <w:abstractNumId w:val="11"/>
  </w:num>
  <w:num w:numId="18">
    <w:abstractNumId w:val="17"/>
  </w:num>
  <w:num w:numId="19">
    <w:abstractNumId w:val="12"/>
  </w:num>
  <w:num w:numId="20">
    <w:abstractNumId w:val="10"/>
  </w:num>
  <w:num w:numId="21">
    <w:abstractNumId w:val="15"/>
  </w:num>
  <w:num w:numId="22">
    <w:abstractNumId w:val="14"/>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8C"/>
    <w:rsid w:val="000035CA"/>
    <w:rsid w:val="00006C83"/>
    <w:rsid w:val="00011936"/>
    <w:rsid w:val="00021893"/>
    <w:rsid w:val="000359F1"/>
    <w:rsid w:val="00035B10"/>
    <w:rsid w:val="0004120E"/>
    <w:rsid w:val="00047E88"/>
    <w:rsid w:val="000551A6"/>
    <w:rsid w:val="00060D33"/>
    <w:rsid w:val="00061C9B"/>
    <w:rsid w:val="00062464"/>
    <w:rsid w:val="000629B7"/>
    <w:rsid w:val="00065798"/>
    <w:rsid w:val="00073292"/>
    <w:rsid w:val="00073ABE"/>
    <w:rsid w:val="00073B71"/>
    <w:rsid w:val="0007751C"/>
    <w:rsid w:val="00085EF6"/>
    <w:rsid w:val="00096A54"/>
    <w:rsid w:val="000A1751"/>
    <w:rsid w:val="000A502D"/>
    <w:rsid w:val="000B4358"/>
    <w:rsid w:val="000B649E"/>
    <w:rsid w:val="000D6B19"/>
    <w:rsid w:val="000E0987"/>
    <w:rsid w:val="000E3247"/>
    <w:rsid w:val="000E7D9B"/>
    <w:rsid w:val="000F0F33"/>
    <w:rsid w:val="000F4C4C"/>
    <w:rsid w:val="00103ADE"/>
    <w:rsid w:val="001061F0"/>
    <w:rsid w:val="00116930"/>
    <w:rsid w:val="0012175D"/>
    <w:rsid w:val="001229AC"/>
    <w:rsid w:val="00125E4D"/>
    <w:rsid w:val="001273E4"/>
    <w:rsid w:val="00142E33"/>
    <w:rsid w:val="00144B91"/>
    <w:rsid w:val="00144F26"/>
    <w:rsid w:val="00150128"/>
    <w:rsid w:val="00150938"/>
    <w:rsid w:val="001519D7"/>
    <w:rsid w:val="00157A86"/>
    <w:rsid w:val="001640AC"/>
    <w:rsid w:val="001641D7"/>
    <w:rsid w:val="001715A7"/>
    <w:rsid w:val="001717BE"/>
    <w:rsid w:val="00174A74"/>
    <w:rsid w:val="00177DFA"/>
    <w:rsid w:val="001809FB"/>
    <w:rsid w:val="001905DC"/>
    <w:rsid w:val="001B408F"/>
    <w:rsid w:val="001B4925"/>
    <w:rsid w:val="001C4199"/>
    <w:rsid w:val="001D0412"/>
    <w:rsid w:val="001D1AB6"/>
    <w:rsid w:val="001D70F2"/>
    <w:rsid w:val="001D7BB8"/>
    <w:rsid w:val="001D7D2A"/>
    <w:rsid w:val="001E19A3"/>
    <w:rsid w:val="001E341B"/>
    <w:rsid w:val="001F3FA3"/>
    <w:rsid w:val="001F5A17"/>
    <w:rsid w:val="00200AD9"/>
    <w:rsid w:val="00204EA4"/>
    <w:rsid w:val="002057D2"/>
    <w:rsid w:val="002066E8"/>
    <w:rsid w:val="00210140"/>
    <w:rsid w:val="00223BF5"/>
    <w:rsid w:val="00223D1E"/>
    <w:rsid w:val="0022574C"/>
    <w:rsid w:val="00255D58"/>
    <w:rsid w:val="00264ABE"/>
    <w:rsid w:val="00267092"/>
    <w:rsid w:val="002716F5"/>
    <w:rsid w:val="00276988"/>
    <w:rsid w:val="00280D0F"/>
    <w:rsid w:val="0028115D"/>
    <w:rsid w:val="00281A22"/>
    <w:rsid w:val="002957DD"/>
    <w:rsid w:val="002C6D0A"/>
    <w:rsid w:val="002E18EB"/>
    <w:rsid w:val="002F36AB"/>
    <w:rsid w:val="002F4D63"/>
    <w:rsid w:val="002F542B"/>
    <w:rsid w:val="003077DE"/>
    <w:rsid w:val="00307EC7"/>
    <w:rsid w:val="00315031"/>
    <w:rsid w:val="00316B4B"/>
    <w:rsid w:val="003210D2"/>
    <w:rsid w:val="00331AC7"/>
    <w:rsid w:val="00332D67"/>
    <w:rsid w:val="003416D0"/>
    <w:rsid w:val="00342013"/>
    <w:rsid w:val="00355F2F"/>
    <w:rsid w:val="00363818"/>
    <w:rsid w:val="003657DC"/>
    <w:rsid w:val="00367190"/>
    <w:rsid w:val="00370496"/>
    <w:rsid w:val="00372AEF"/>
    <w:rsid w:val="003758E9"/>
    <w:rsid w:val="00384B0F"/>
    <w:rsid w:val="00387EB4"/>
    <w:rsid w:val="00392898"/>
    <w:rsid w:val="00392C17"/>
    <w:rsid w:val="00394EFC"/>
    <w:rsid w:val="003963E6"/>
    <w:rsid w:val="003A213F"/>
    <w:rsid w:val="003A24F2"/>
    <w:rsid w:val="003A299E"/>
    <w:rsid w:val="003A3443"/>
    <w:rsid w:val="003A45C0"/>
    <w:rsid w:val="003A617C"/>
    <w:rsid w:val="003B5F90"/>
    <w:rsid w:val="003C3E70"/>
    <w:rsid w:val="003C51DD"/>
    <w:rsid w:val="003D224A"/>
    <w:rsid w:val="0040180A"/>
    <w:rsid w:val="00404C9A"/>
    <w:rsid w:val="004111F2"/>
    <w:rsid w:val="004136AE"/>
    <w:rsid w:val="004306EB"/>
    <w:rsid w:val="00430D13"/>
    <w:rsid w:val="0043134B"/>
    <w:rsid w:val="00431D5C"/>
    <w:rsid w:val="00441A8D"/>
    <w:rsid w:val="00447B1A"/>
    <w:rsid w:val="00453ADD"/>
    <w:rsid w:val="00455066"/>
    <w:rsid w:val="004553CA"/>
    <w:rsid w:val="00457388"/>
    <w:rsid w:val="00457D8C"/>
    <w:rsid w:val="00474AB1"/>
    <w:rsid w:val="004844CC"/>
    <w:rsid w:val="004A2F13"/>
    <w:rsid w:val="004A4492"/>
    <w:rsid w:val="004C752B"/>
    <w:rsid w:val="004D6011"/>
    <w:rsid w:val="004E10D0"/>
    <w:rsid w:val="004F7D0D"/>
    <w:rsid w:val="00500995"/>
    <w:rsid w:val="00507B4F"/>
    <w:rsid w:val="005106A3"/>
    <w:rsid w:val="00513130"/>
    <w:rsid w:val="00536251"/>
    <w:rsid w:val="00553E24"/>
    <w:rsid w:val="00554DA8"/>
    <w:rsid w:val="00560E14"/>
    <w:rsid w:val="0057037A"/>
    <w:rsid w:val="00575246"/>
    <w:rsid w:val="00581FFB"/>
    <w:rsid w:val="00592C31"/>
    <w:rsid w:val="0059382A"/>
    <w:rsid w:val="00595A8C"/>
    <w:rsid w:val="005A215D"/>
    <w:rsid w:val="005B534C"/>
    <w:rsid w:val="005C12CE"/>
    <w:rsid w:val="005C7076"/>
    <w:rsid w:val="005D4635"/>
    <w:rsid w:val="005D4A61"/>
    <w:rsid w:val="005E13D5"/>
    <w:rsid w:val="005E1569"/>
    <w:rsid w:val="005E208B"/>
    <w:rsid w:val="005E4FE9"/>
    <w:rsid w:val="005F5836"/>
    <w:rsid w:val="005F662C"/>
    <w:rsid w:val="00607A56"/>
    <w:rsid w:val="0061160E"/>
    <w:rsid w:val="006221D1"/>
    <w:rsid w:val="006237B8"/>
    <w:rsid w:val="0062787C"/>
    <w:rsid w:val="00630F78"/>
    <w:rsid w:val="00631E45"/>
    <w:rsid w:val="006376A6"/>
    <w:rsid w:val="00642BA5"/>
    <w:rsid w:val="006431D6"/>
    <w:rsid w:val="006442A5"/>
    <w:rsid w:val="00655377"/>
    <w:rsid w:val="0065687A"/>
    <w:rsid w:val="00660E4A"/>
    <w:rsid w:val="0066562C"/>
    <w:rsid w:val="0068204E"/>
    <w:rsid w:val="0068247A"/>
    <w:rsid w:val="00682AE3"/>
    <w:rsid w:val="00696119"/>
    <w:rsid w:val="006A0240"/>
    <w:rsid w:val="006B397C"/>
    <w:rsid w:val="006C1EA6"/>
    <w:rsid w:val="006C4F8E"/>
    <w:rsid w:val="006D7E54"/>
    <w:rsid w:val="006E1008"/>
    <w:rsid w:val="006E3088"/>
    <w:rsid w:val="006F25C6"/>
    <w:rsid w:val="00701357"/>
    <w:rsid w:val="00706785"/>
    <w:rsid w:val="007068A8"/>
    <w:rsid w:val="00711105"/>
    <w:rsid w:val="00712576"/>
    <w:rsid w:val="00720036"/>
    <w:rsid w:val="007228D2"/>
    <w:rsid w:val="00724EF8"/>
    <w:rsid w:val="00730E00"/>
    <w:rsid w:val="00735557"/>
    <w:rsid w:val="00741D80"/>
    <w:rsid w:val="00751103"/>
    <w:rsid w:val="00753071"/>
    <w:rsid w:val="0075597A"/>
    <w:rsid w:val="00757276"/>
    <w:rsid w:val="0076027B"/>
    <w:rsid w:val="00765DF3"/>
    <w:rsid w:val="0077184B"/>
    <w:rsid w:val="0078063D"/>
    <w:rsid w:val="00793E47"/>
    <w:rsid w:val="0079557C"/>
    <w:rsid w:val="007B0950"/>
    <w:rsid w:val="007B63DF"/>
    <w:rsid w:val="007B6B4A"/>
    <w:rsid w:val="007C06BB"/>
    <w:rsid w:val="007C142A"/>
    <w:rsid w:val="007C3944"/>
    <w:rsid w:val="007D31CC"/>
    <w:rsid w:val="007D4E2D"/>
    <w:rsid w:val="007E4687"/>
    <w:rsid w:val="007E64F0"/>
    <w:rsid w:val="007F25D0"/>
    <w:rsid w:val="007F510A"/>
    <w:rsid w:val="007F60B2"/>
    <w:rsid w:val="007F734C"/>
    <w:rsid w:val="00806DAC"/>
    <w:rsid w:val="0081056D"/>
    <w:rsid w:val="008115B4"/>
    <w:rsid w:val="008139C8"/>
    <w:rsid w:val="00820DF6"/>
    <w:rsid w:val="008263BF"/>
    <w:rsid w:val="008265D7"/>
    <w:rsid w:val="00826E27"/>
    <w:rsid w:val="00832986"/>
    <w:rsid w:val="00832DD0"/>
    <w:rsid w:val="008353CD"/>
    <w:rsid w:val="00835F40"/>
    <w:rsid w:val="00837778"/>
    <w:rsid w:val="0084274F"/>
    <w:rsid w:val="0084724C"/>
    <w:rsid w:val="0085237A"/>
    <w:rsid w:val="00852696"/>
    <w:rsid w:val="00853577"/>
    <w:rsid w:val="008636BB"/>
    <w:rsid w:val="00872E0D"/>
    <w:rsid w:val="0087523E"/>
    <w:rsid w:val="00876C38"/>
    <w:rsid w:val="00877784"/>
    <w:rsid w:val="00882621"/>
    <w:rsid w:val="008848CB"/>
    <w:rsid w:val="0088583F"/>
    <w:rsid w:val="0088746E"/>
    <w:rsid w:val="0089371D"/>
    <w:rsid w:val="008A1EB1"/>
    <w:rsid w:val="008A22C4"/>
    <w:rsid w:val="008A63C5"/>
    <w:rsid w:val="008B201D"/>
    <w:rsid w:val="008B3568"/>
    <w:rsid w:val="008B3C7C"/>
    <w:rsid w:val="008B4E2D"/>
    <w:rsid w:val="008B663B"/>
    <w:rsid w:val="008C7A77"/>
    <w:rsid w:val="008D0E36"/>
    <w:rsid w:val="008D4457"/>
    <w:rsid w:val="008D6F75"/>
    <w:rsid w:val="008E525A"/>
    <w:rsid w:val="008F6C4F"/>
    <w:rsid w:val="008F6DE9"/>
    <w:rsid w:val="008F756A"/>
    <w:rsid w:val="00901501"/>
    <w:rsid w:val="009101C6"/>
    <w:rsid w:val="009253F0"/>
    <w:rsid w:val="0092584C"/>
    <w:rsid w:val="00930300"/>
    <w:rsid w:val="00930877"/>
    <w:rsid w:val="00932461"/>
    <w:rsid w:val="00936E83"/>
    <w:rsid w:val="00945C75"/>
    <w:rsid w:val="00946A70"/>
    <w:rsid w:val="00947D5B"/>
    <w:rsid w:val="0095353E"/>
    <w:rsid w:val="009543F5"/>
    <w:rsid w:val="0095545D"/>
    <w:rsid w:val="00957738"/>
    <w:rsid w:val="009611C3"/>
    <w:rsid w:val="0096156D"/>
    <w:rsid w:val="00961EEB"/>
    <w:rsid w:val="0096338D"/>
    <w:rsid w:val="00974E5F"/>
    <w:rsid w:val="00975A0A"/>
    <w:rsid w:val="00976073"/>
    <w:rsid w:val="00976316"/>
    <w:rsid w:val="00992E25"/>
    <w:rsid w:val="009A0EB2"/>
    <w:rsid w:val="009A1D6A"/>
    <w:rsid w:val="009A42F6"/>
    <w:rsid w:val="009A48D7"/>
    <w:rsid w:val="009B111A"/>
    <w:rsid w:val="009B181E"/>
    <w:rsid w:val="009B1C86"/>
    <w:rsid w:val="009B5B3D"/>
    <w:rsid w:val="009C51EB"/>
    <w:rsid w:val="009D3A25"/>
    <w:rsid w:val="009D51F4"/>
    <w:rsid w:val="009F0E6B"/>
    <w:rsid w:val="00A00734"/>
    <w:rsid w:val="00A018B5"/>
    <w:rsid w:val="00A02228"/>
    <w:rsid w:val="00A064AC"/>
    <w:rsid w:val="00A1256E"/>
    <w:rsid w:val="00A1795B"/>
    <w:rsid w:val="00A21129"/>
    <w:rsid w:val="00A22DAD"/>
    <w:rsid w:val="00A2358C"/>
    <w:rsid w:val="00A3056D"/>
    <w:rsid w:val="00A31713"/>
    <w:rsid w:val="00A32E31"/>
    <w:rsid w:val="00A35730"/>
    <w:rsid w:val="00A37D12"/>
    <w:rsid w:val="00A41564"/>
    <w:rsid w:val="00A45497"/>
    <w:rsid w:val="00A53F70"/>
    <w:rsid w:val="00A54773"/>
    <w:rsid w:val="00A64D02"/>
    <w:rsid w:val="00A7146E"/>
    <w:rsid w:val="00A72758"/>
    <w:rsid w:val="00A76DA0"/>
    <w:rsid w:val="00A801A7"/>
    <w:rsid w:val="00A828D7"/>
    <w:rsid w:val="00A91CEE"/>
    <w:rsid w:val="00AA0359"/>
    <w:rsid w:val="00AA4766"/>
    <w:rsid w:val="00AA4E2F"/>
    <w:rsid w:val="00AB09BD"/>
    <w:rsid w:val="00AB4346"/>
    <w:rsid w:val="00AB4B36"/>
    <w:rsid w:val="00AC4ED9"/>
    <w:rsid w:val="00AC7865"/>
    <w:rsid w:val="00AD2DF2"/>
    <w:rsid w:val="00AE0115"/>
    <w:rsid w:val="00AE1E32"/>
    <w:rsid w:val="00AE1FB2"/>
    <w:rsid w:val="00AE354F"/>
    <w:rsid w:val="00AE4219"/>
    <w:rsid w:val="00AE4B1E"/>
    <w:rsid w:val="00AE640A"/>
    <w:rsid w:val="00AF2FBD"/>
    <w:rsid w:val="00B013A3"/>
    <w:rsid w:val="00B33996"/>
    <w:rsid w:val="00B347A6"/>
    <w:rsid w:val="00B372EE"/>
    <w:rsid w:val="00B4040E"/>
    <w:rsid w:val="00B415A3"/>
    <w:rsid w:val="00B516AE"/>
    <w:rsid w:val="00B54941"/>
    <w:rsid w:val="00B57408"/>
    <w:rsid w:val="00B714AB"/>
    <w:rsid w:val="00B71F07"/>
    <w:rsid w:val="00B73985"/>
    <w:rsid w:val="00B77C8D"/>
    <w:rsid w:val="00B81050"/>
    <w:rsid w:val="00B8638A"/>
    <w:rsid w:val="00B8703D"/>
    <w:rsid w:val="00B87713"/>
    <w:rsid w:val="00B90334"/>
    <w:rsid w:val="00B91BD1"/>
    <w:rsid w:val="00B942D4"/>
    <w:rsid w:val="00BB58D1"/>
    <w:rsid w:val="00BC79D3"/>
    <w:rsid w:val="00BD051A"/>
    <w:rsid w:val="00BE3B87"/>
    <w:rsid w:val="00BE48B0"/>
    <w:rsid w:val="00BF161D"/>
    <w:rsid w:val="00BF5536"/>
    <w:rsid w:val="00C00DB7"/>
    <w:rsid w:val="00C030ED"/>
    <w:rsid w:val="00C12838"/>
    <w:rsid w:val="00C12DD3"/>
    <w:rsid w:val="00C12F33"/>
    <w:rsid w:val="00C13059"/>
    <w:rsid w:val="00C204EB"/>
    <w:rsid w:val="00C2456A"/>
    <w:rsid w:val="00C26684"/>
    <w:rsid w:val="00C3258D"/>
    <w:rsid w:val="00C35B21"/>
    <w:rsid w:val="00C3681F"/>
    <w:rsid w:val="00C45A59"/>
    <w:rsid w:val="00C52F21"/>
    <w:rsid w:val="00C54D8E"/>
    <w:rsid w:val="00C57B77"/>
    <w:rsid w:val="00C62878"/>
    <w:rsid w:val="00C64E8B"/>
    <w:rsid w:val="00C65052"/>
    <w:rsid w:val="00C65EC6"/>
    <w:rsid w:val="00C713F7"/>
    <w:rsid w:val="00C720E2"/>
    <w:rsid w:val="00C834E6"/>
    <w:rsid w:val="00C85E94"/>
    <w:rsid w:val="00C90F35"/>
    <w:rsid w:val="00C9430F"/>
    <w:rsid w:val="00C968BE"/>
    <w:rsid w:val="00CA47CA"/>
    <w:rsid w:val="00CD2A7F"/>
    <w:rsid w:val="00CD56FE"/>
    <w:rsid w:val="00CD5DDB"/>
    <w:rsid w:val="00CD6A07"/>
    <w:rsid w:val="00CE358F"/>
    <w:rsid w:val="00CE6A0F"/>
    <w:rsid w:val="00CF7CB4"/>
    <w:rsid w:val="00D01D74"/>
    <w:rsid w:val="00D024A8"/>
    <w:rsid w:val="00D037B7"/>
    <w:rsid w:val="00D05D3A"/>
    <w:rsid w:val="00D07EF8"/>
    <w:rsid w:val="00D1667E"/>
    <w:rsid w:val="00D178C8"/>
    <w:rsid w:val="00D22577"/>
    <w:rsid w:val="00D331CB"/>
    <w:rsid w:val="00D3531E"/>
    <w:rsid w:val="00D40985"/>
    <w:rsid w:val="00D40B82"/>
    <w:rsid w:val="00D53F57"/>
    <w:rsid w:val="00D54FD1"/>
    <w:rsid w:val="00D617BA"/>
    <w:rsid w:val="00D63329"/>
    <w:rsid w:val="00D63496"/>
    <w:rsid w:val="00D65250"/>
    <w:rsid w:val="00D67478"/>
    <w:rsid w:val="00D7511E"/>
    <w:rsid w:val="00D76A9A"/>
    <w:rsid w:val="00D775DD"/>
    <w:rsid w:val="00D860DB"/>
    <w:rsid w:val="00D87317"/>
    <w:rsid w:val="00D8770C"/>
    <w:rsid w:val="00DB3B27"/>
    <w:rsid w:val="00DB587C"/>
    <w:rsid w:val="00DB61D2"/>
    <w:rsid w:val="00DC0233"/>
    <w:rsid w:val="00DC4A6C"/>
    <w:rsid w:val="00DC75D8"/>
    <w:rsid w:val="00DD38EF"/>
    <w:rsid w:val="00DD5EF7"/>
    <w:rsid w:val="00DE6358"/>
    <w:rsid w:val="00DE7A7F"/>
    <w:rsid w:val="00E01CF8"/>
    <w:rsid w:val="00E04F68"/>
    <w:rsid w:val="00E05592"/>
    <w:rsid w:val="00E06B4E"/>
    <w:rsid w:val="00E15827"/>
    <w:rsid w:val="00E17423"/>
    <w:rsid w:val="00E23924"/>
    <w:rsid w:val="00E40924"/>
    <w:rsid w:val="00E40E03"/>
    <w:rsid w:val="00E644E8"/>
    <w:rsid w:val="00E64A9C"/>
    <w:rsid w:val="00E65897"/>
    <w:rsid w:val="00E9171F"/>
    <w:rsid w:val="00E9416D"/>
    <w:rsid w:val="00E957E6"/>
    <w:rsid w:val="00EA1A0C"/>
    <w:rsid w:val="00EA303B"/>
    <w:rsid w:val="00EA3F1B"/>
    <w:rsid w:val="00EB3B29"/>
    <w:rsid w:val="00EB7353"/>
    <w:rsid w:val="00EC0426"/>
    <w:rsid w:val="00EC28A0"/>
    <w:rsid w:val="00EF6CC1"/>
    <w:rsid w:val="00F00A91"/>
    <w:rsid w:val="00F164B2"/>
    <w:rsid w:val="00F166CA"/>
    <w:rsid w:val="00F24B96"/>
    <w:rsid w:val="00F27AD8"/>
    <w:rsid w:val="00F35D42"/>
    <w:rsid w:val="00F36907"/>
    <w:rsid w:val="00F40C39"/>
    <w:rsid w:val="00F50F59"/>
    <w:rsid w:val="00F52DF6"/>
    <w:rsid w:val="00F55179"/>
    <w:rsid w:val="00F56A0F"/>
    <w:rsid w:val="00F636BE"/>
    <w:rsid w:val="00F6424F"/>
    <w:rsid w:val="00F70B35"/>
    <w:rsid w:val="00F70F8C"/>
    <w:rsid w:val="00F83BA3"/>
    <w:rsid w:val="00F8438A"/>
    <w:rsid w:val="00F8495B"/>
    <w:rsid w:val="00F8708F"/>
    <w:rsid w:val="00FB465D"/>
    <w:rsid w:val="00FB496C"/>
    <w:rsid w:val="00FC0FB2"/>
    <w:rsid w:val="00FC57C2"/>
    <w:rsid w:val="00FC6996"/>
    <w:rsid w:val="00FC7BD4"/>
    <w:rsid w:val="00FD065E"/>
    <w:rsid w:val="00FD0AE2"/>
    <w:rsid w:val="00FD30C1"/>
    <w:rsid w:val="00FD4A46"/>
    <w:rsid w:val="00FD7065"/>
    <w:rsid w:val="00FD7B0F"/>
    <w:rsid w:val="00FE12A8"/>
    <w:rsid w:val="00FE298D"/>
    <w:rsid w:val="00FE59B6"/>
    <w:rsid w:val="00FF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595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line="533"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rsid w:val="00FD7B0F"/>
    <w:pPr>
      <w:keepNext/>
      <w:keepLines/>
      <w:numPr>
        <w:numId w:val="12"/>
      </w:numPr>
      <w:spacing w:after="240" w:line="480" w:lineRule="auto"/>
      <w:ind w:hanging="450"/>
      <w:outlineLvl w:val="0"/>
    </w:pPr>
    <w:rPr>
      <w:rFonts w:asciiTheme="majorHAnsi" w:eastAsiaTheme="majorEastAsia" w:hAnsiTheme="majorHAnsi" w:cstheme="majorHAnsi"/>
      <w:b/>
      <w:sz w:val="24"/>
      <w:szCs w:val="24"/>
      <w:u w:val="single"/>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64" w:lineRule="auto"/>
      <w:ind w:firstLine="0"/>
    </w:pPr>
    <w:rPr>
      <w:caps/>
    </w:rPr>
  </w:style>
  <w:style w:type="character" w:customStyle="1" w:styleId="FooterChar">
    <w:name w:val="Footer Char"/>
    <w:basedOn w:val="DefaultParagraphFont"/>
    <w:link w:val="Footer"/>
    <w:uiPriority w:val="99"/>
    <w:rPr>
      <w:rFonts w:eastAsia="Times New Roman" w:cs="Times New Roman"/>
      <w:caps/>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54" w:line="264"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64" w:lineRule="auto"/>
      <w:ind w:firstLine="0"/>
    </w:pPr>
    <w:rPr>
      <w:caps/>
    </w:rPr>
  </w:style>
  <w:style w:type="character" w:customStyle="1" w:styleId="PleadingtitleChar">
    <w:name w:val="Pleading title Char"/>
    <w:basedOn w:val="DefaultParagraphFont"/>
    <w:link w:val="Pleadingtitle"/>
    <w:uiPriority w:val="1"/>
    <w:rPr>
      <w:rFonts w:eastAsia="Times New Roman" w:cs="Times New Roman"/>
      <w:caps/>
      <w:sz w:val="20"/>
      <w:szCs w:val="20"/>
    </w:rPr>
  </w:style>
  <w:style w:type="character" w:customStyle="1" w:styleId="PartiesChar">
    <w:name w:val="Parties Char"/>
    <w:basedOn w:val="DefaultParagraphFont"/>
    <w:link w:val="Parties"/>
    <w:uiPriority w:val="1"/>
    <w:rPr>
      <w:rFonts w:asciiTheme="majorHAnsi" w:eastAsiaTheme="majorEastAsia" w:hAnsiTheme="majorHAnsi" w:cstheme="majorBidi"/>
      <w:caps/>
      <w:sz w:val="20"/>
      <w:szCs w:val="20"/>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54" w:line="528" w:lineRule="auto"/>
      <w:ind w:firstLine="0"/>
      <w:contextualSpacing/>
      <w:jc w:val="center"/>
    </w:pPr>
    <w:rPr>
      <w:caps/>
    </w:rPr>
  </w:style>
  <w:style w:type="character" w:customStyle="1" w:styleId="Heading1Char">
    <w:name w:val="Heading 1 Char"/>
    <w:basedOn w:val="DefaultParagraphFont"/>
    <w:link w:val="Heading1"/>
    <w:uiPriority w:val="9"/>
    <w:rsid w:val="00FD7B0F"/>
    <w:rPr>
      <w:rFonts w:asciiTheme="majorHAnsi" w:eastAsiaTheme="majorEastAsia" w:hAnsiTheme="majorHAnsi" w:cstheme="majorHAnsi"/>
      <w:b/>
      <w:sz w:val="24"/>
      <w:szCs w:val="24"/>
      <w:u w:val="single"/>
    </w:rPr>
  </w:style>
  <w:style w:type="paragraph" w:customStyle="1" w:styleId="AttorneyName">
    <w:name w:val="Attorney Name"/>
    <w:basedOn w:val="Normal"/>
    <w:link w:val="AttorneyNameChar"/>
    <w:uiPriority w:val="1"/>
    <w:qFormat/>
    <w:pPr>
      <w:spacing w:line="264"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760" w:line="264"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Pr>
      <w:rFonts w:eastAsia="Times New Roman" w:cs="Times New Roman"/>
      <w:sz w:val="20"/>
      <w:szCs w:val="20"/>
    </w:rPr>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64" w:lineRule="auto"/>
      <w:ind w:firstLine="0"/>
    </w:pPr>
    <w:rPr>
      <w:rFonts w:eastAsia="Times New Roman" w:cs="Times New Roman"/>
    </w:rPr>
  </w:style>
  <w:style w:type="paragraph" w:styleId="Date">
    <w:name w:val="Date"/>
    <w:basedOn w:val="Normal"/>
    <w:next w:val="Normal"/>
    <w:link w:val="DateChar"/>
    <w:uiPriority w:val="1"/>
    <w:unhideWhenUsed/>
    <w:qFormat/>
    <w:pPr>
      <w:spacing w:after="380"/>
    </w:pPr>
  </w:style>
  <w:style w:type="character" w:customStyle="1" w:styleId="DateChar">
    <w:name w:val="Date Char"/>
    <w:basedOn w:val="DefaultParagraphFont"/>
    <w:link w:val="Date"/>
    <w:uiPriority w:val="1"/>
  </w:style>
  <w:style w:type="paragraph" w:customStyle="1" w:styleId="Q">
    <w:name w:val="Q"/>
    <w:basedOn w:val="NoSpacing"/>
    <w:next w:val="A"/>
    <w:qFormat/>
    <w:rsid w:val="001F3FA3"/>
    <w:pPr>
      <w:keepNext/>
      <w:keepLines/>
      <w:spacing w:line="480" w:lineRule="auto"/>
      <w:ind w:left="720" w:hanging="720"/>
    </w:pPr>
    <w:rPr>
      <w:b/>
      <w:caps/>
      <w:sz w:val="22"/>
    </w:rPr>
  </w:style>
  <w:style w:type="paragraph" w:customStyle="1" w:styleId="A">
    <w:name w:val="A"/>
    <w:basedOn w:val="Q"/>
    <w:next w:val="Q"/>
    <w:qFormat/>
    <w:rsid w:val="001F3FA3"/>
    <w:pPr>
      <w:keepNext w:val="0"/>
      <w:keepLines w:val="0"/>
    </w:pPr>
    <w:rPr>
      <w:b w:val="0"/>
      <w:caps w:val="0"/>
    </w:rPr>
  </w:style>
  <w:style w:type="paragraph" w:customStyle="1" w:styleId="A2">
    <w:name w:val="A2"/>
    <w:basedOn w:val="A"/>
    <w:next w:val="Q"/>
    <w:qFormat/>
    <w:rsid w:val="00EA3F1B"/>
    <w:pPr>
      <w:ind w:firstLine="720"/>
    </w:pPr>
  </w:style>
  <w:style w:type="paragraph" w:customStyle="1" w:styleId="single">
    <w:name w:val="single"/>
    <w:basedOn w:val="Normal"/>
    <w:rsid w:val="00EA3F1B"/>
    <w:pPr>
      <w:spacing w:before="240" w:line="240" w:lineRule="atLeast"/>
      <w:ind w:firstLine="720"/>
    </w:pPr>
    <w:rPr>
      <w:rFonts w:ascii="Times New Roman" w:eastAsia="Times New Roman" w:hAnsi="Times New Roman" w:cs="Times New Roman"/>
      <w:sz w:val="24"/>
      <w:lang w:eastAsia="zh-CN"/>
    </w:rPr>
  </w:style>
  <w:style w:type="paragraph" w:customStyle="1" w:styleId="center">
    <w:name w:val="center"/>
    <w:basedOn w:val="Normal"/>
    <w:rsid w:val="00EA3F1B"/>
    <w:pPr>
      <w:keepLines/>
      <w:spacing w:before="240" w:line="240" w:lineRule="atLeast"/>
      <w:ind w:firstLine="0"/>
      <w:jc w:val="center"/>
    </w:pPr>
    <w:rPr>
      <w:rFonts w:ascii="Times New Roman" w:eastAsia="Times New Roman" w:hAnsi="Times New Roman" w:cs="Times New Roman"/>
      <w:sz w:val="24"/>
      <w:lang w:eastAsia="zh-CN"/>
    </w:rPr>
  </w:style>
  <w:style w:type="character" w:styleId="Strong">
    <w:name w:val="Strong"/>
    <w:basedOn w:val="DefaultParagraphFont"/>
    <w:qFormat/>
    <w:rsid w:val="00EA3F1B"/>
    <w:rPr>
      <w:b/>
    </w:rPr>
  </w:style>
  <w:style w:type="paragraph" w:customStyle="1" w:styleId="Bullet">
    <w:name w:val="Bullet"/>
    <w:basedOn w:val="A2"/>
    <w:qFormat/>
    <w:rsid w:val="00394EFC"/>
    <w:pPr>
      <w:widowControl/>
      <w:numPr>
        <w:numId w:val="11"/>
      </w:numPr>
      <w:spacing w:before="120" w:line="240" w:lineRule="auto"/>
    </w:pPr>
  </w:style>
  <w:style w:type="table" w:customStyle="1" w:styleId="PlainTable31">
    <w:name w:val="Plain Table 31"/>
    <w:basedOn w:val="TableNormal"/>
    <w:uiPriority w:val="43"/>
    <w:rsid w:val="00394EFC"/>
    <w:pPr>
      <w:spacing w:line="240" w:lineRule="auto"/>
    </w:pPr>
    <w:rPr>
      <w:sz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44F26"/>
    <w:rPr>
      <w:sz w:val="16"/>
      <w:szCs w:val="16"/>
    </w:rPr>
  </w:style>
  <w:style w:type="paragraph" w:styleId="CommentText">
    <w:name w:val="annotation text"/>
    <w:basedOn w:val="Normal"/>
    <w:link w:val="CommentTextChar"/>
    <w:uiPriority w:val="99"/>
    <w:semiHidden/>
    <w:unhideWhenUsed/>
    <w:rsid w:val="00144F26"/>
    <w:pPr>
      <w:spacing w:line="240" w:lineRule="auto"/>
    </w:pPr>
  </w:style>
  <w:style w:type="character" w:customStyle="1" w:styleId="CommentTextChar">
    <w:name w:val="Comment Text Char"/>
    <w:basedOn w:val="DefaultParagraphFont"/>
    <w:link w:val="CommentText"/>
    <w:uiPriority w:val="99"/>
    <w:semiHidden/>
    <w:rsid w:val="00144F26"/>
  </w:style>
  <w:style w:type="paragraph" w:styleId="CommentSubject">
    <w:name w:val="annotation subject"/>
    <w:basedOn w:val="CommentText"/>
    <w:next w:val="CommentText"/>
    <w:link w:val="CommentSubjectChar"/>
    <w:uiPriority w:val="99"/>
    <w:semiHidden/>
    <w:unhideWhenUsed/>
    <w:rsid w:val="00144F26"/>
    <w:rPr>
      <w:b/>
      <w:bCs/>
    </w:rPr>
  </w:style>
  <w:style w:type="character" w:customStyle="1" w:styleId="CommentSubjectChar">
    <w:name w:val="Comment Subject Char"/>
    <w:basedOn w:val="CommentTextChar"/>
    <w:link w:val="CommentSubject"/>
    <w:uiPriority w:val="99"/>
    <w:semiHidden/>
    <w:rsid w:val="00144F26"/>
    <w:rPr>
      <w:b/>
      <w:bCs/>
    </w:rPr>
  </w:style>
  <w:style w:type="character" w:styleId="LineNumber">
    <w:name w:val="line number"/>
    <w:basedOn w:val="DefaultParagraphFont"/>
    <w:uiPriority w:val="99"/>
    <w:semiHidden/>
    <w:unhideWhenUsed/>
    <w:rsid w:val="00957738"/>
  </w:style>
  <w:style w:type="paragraph" w:styleId="FootnoteText">
    <w:name w:val="footnote text"/>
    <w:aliases w:val="response"/>
    <w:basedOn w:val="Normal"/>
    <w:uiPriority w:val="99"/>
    <w:unhideWhenUsed/>
    <w:rsid w:val="00F83BA3"/>
    <w:pPr>
      <w:spacing w:before="100" w:beforeAutospacing="1" w:after="100" w:afterAutospacing="1" w:line="240" w:lineRule="auto"/>
      <w:ind w:left="720" w:firstLine="0"/>
      <w:contextualSpacing/>
    </w:pPr>
  </w:style>
  <w:style w:type="character" w:customStyle="1" w:styleId="FootnoteTextChar">
    <w:name w:val="Footnote Text Char"/>
    <w:aliases w:val="response Char"/>
    <w:basedOn w:val="DefaultParagraphFont"/>
    <w:uiPriority w:val="99"/>
    <w:rsid w:val="00C720E2"/>
  </w:style>
  <w:style w:type="character" w:styleId="FootnoteReference">
    <w:name w:val="footnote reference"/>
    <w:basedOn w:val="DefaultParagraphFont"/>
    <w:uiPriority w:val="99"/>
    <w:unhideWhenUsed/>
    <w:rsid w:val="00C720E2"/>
    <w:rPr>
      <w:vertAlign w:val="superscript"/>
    </w:rPr>
  </w:style>
  <w:style w:type="character" w:styleId="Hyperlink">
    <w:name w:val="Hyperlink"/>
    <w:basedOn w:val="DefaultParagraphFont"/>
    <w:uiPriority w:val="99"/>
    <w:unhideWhenUsed/>
    <w:rsid w:val="00060D33"/>
    <w:rPr>
      <w:color w:val="56C7AA" w:themeColor="hyperlink"/>
      <w:u w:val="single"/>
    </w:rPr>
  </w:style>
  <w:style w:type="character" w:customStyle="1" w:styleId="UnresolvedMention1">
    <w:name w:val="Unresolved Mention1"/>
    <w:basedOn w:val="DefaultParagraphFont"/>
    <w:uiPriority w:val="99"/>
    <w:semiHidden/>
    <w:unhideWhenUsed/>
    <w:rsid w:val="00060D33"/>
    <w:rPr>
      <w:color w:val="808080"/>
      <w:shd w:val="clear" w:color="auto" w:fill="E6E6E6"/>
    </w:rPr>
  </w:style>
  <w:style w:type="paragraph" w:styleId="Revision">
    <w:name w:val="Revision"/>
    <w:hidden/>
    <w:uiPriority w:val="99"/>
    <w:semiHidden/>
    <w:rsid w:val="00936E83"/>
    <w:pPr>
      <w:spacing w:line="240" w:lineRule="auto"/>
      <w:ind w:firstLine="0"/>
    </w:pPr>
  </w:style>
  <w:style w:type="character" w:customStyle="1" w:styleId="UnresolvedMention2">
    <w:name w:val="Unresolved Mention2"/>
    <w:basedOn w:val="DefaultParagraphFont"/>
    <w:uiPriority w:val="99"/>
    <w:semiHidden/>
    <w:unhideWhenUsed/>
    <w:rsid w:val="009A1D6A"/>
    <w:rPr>
      <w:color w:val="808080"/>
      <w:shd w:val="clear" w:color="auto" w:fill="E6E6E6"/>
    </w:rPr>
  </w:style>
  <w:style w:type="paragraph" w:styleId="Caption">
    <w:name w:val="caption"/>
    <w:basedOn w:val="Normal"/>
    <w:next w:val="Normal"/>
    <w:uiPriority w:val="35"/>
    <w:unhideWhenUsed/>
    <w:qFormat/>
    <w:rsid w:val="00B415A3"/>
    <w:pPr>
      <w:spacing w:after="200" w:line="240" w:lineRule="auto"/>
      <w:ind w:firstLine="0"/>
      <w:jc w:val="center"/>
    </w:pPr>
    <w:rPr>
      <w:i/>
      <w:iCs/>
      <w:color w:val="212745" w:themeColor="text2"/>
      <w:sz w:val="18"/>
      <w:szCs w:val="18"/>
    </w:rPr>
  </w:style>
  <w:style w:type="character" w:styleId="FollowedHyperlink">
    <w:name w:val="FollowedHyperlink"/>
    <w:basedOn w:val="DefaultParagraphFont"/>
    <w:uiPriority w:val="99"/>
    <w:semiHidden/>
    <w:unhideWhenUsed/>
    <w:rsid w:val="00A00734"/>
    <w:rPr>
      <w:color w:val="59A8D1" w:themeColor="followedHyperlink"/>
      <w:u w:val="single"/>
    </w:rPr>
  </w:style>
  <w:style w:type="character" w:customStyle="1" w:styleId="UnresolvedMention3">
    <w:name w:val="Unresolved Mention3"/>
    <w:basedOn w:val="DefaultParagraphFont"/>
    <w:uiPriority w:val="99"/>
    <w:semiHidden/>
    <w:unhideWhenUsed/>
    <w:rsid w:val="00877784"/>
    <w:rPr>
      <w:color w:val="808080"/>
      <w:shd w:val="clear" w:color="auto" w:fill="E6E6E6"/>
    </w:rPr>
  </w:style>
  <w:style w:type="paragraph" w:styleId="TOCHeading">
    <w:name w:val="TOC Heading"/>
    <w:basedOn w:val="Heading1"/>
    <w:next w:val="Normal"/>
    <w:uiPriority w:val="39"/>
    <w:semiHidden/>
    <w:unhideWhenUsed/>
    <w:qFormat/>
    <w:rsid w:val="00392898"/>
    <w:pPr>
      <w:numPr>
        <w:numId w:val="0"/>
      </w:numPr>
      <w:spacing w:before="480" w:after="0" w:line="276" w:lineRule="auto"/>
      <w:outlineLvl w:val="9"/>
    </w:pPr>
    <w:rPr>
      <w:rFonts w:cstheme="majorBidi"/>
      <w:bCs/>
      <w:color w:val="31479E" w:themeColor="accent1" w:themeShade="BF"/>
      <w:sz w:val="28"/>
      <w:szCs w:val="28"/>
      <w:u w:val="none"/>
    </w:rPr>
  </w:style>
  <w:style w:type="paragraph" w:styleId="TOC1">
    <w:name w:val="toc 1"/>
    <w:basedOn w:val="Normal"/>
    <w:next w:val="Normal"/>
    <w:autoRedefine/>
    <w:uiPriority w:val="39"/>
    <w:unhideWhenUsed/>
    <w:rsid w:val="00DC75D8"/>
    <w:pPr>
      <w:tabs>
        <w:tab w:val="left" w:pos="720"/>
        <w:tab w:val="right" w:leader="dot" w:pos="9360"/>
      </w:tabs>
      <w:spacing w:line="480" w:lineRule="auto"/>
      <w:ind w:firstLine="0"/>
    </w:pPr>
  </w:style>
  <w:style w:type="paragraph" w:styleId="TableofFigures">
    <w:name w:val="table of figures"/>
    <w:basedOn w:val="Normal"/>
    <w:next w:val="Normal"/>
    <w:uiPriority w:val="99"/>
    <w:unhideWhenUsed/>
    <w:rsid w:val="002E1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line="533"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rsid w:val="00FD7B0F"/>
    <w:pPr>
      <w:keepNext/>
      <w:keepLines/>
      <w:numPr>
        <w:numId w:val="12"/>
      </w:numPr>
      <w:spacing w:after="240" w:line="480" w:lineRule="auto"/>
      <w:ind w:hanging="450"/>
      <w:outlineLvl w:val="0"/>
    </w:pPr>
    <w:rPr>
      <w:rFonts w:asciiTheme="majorHAnsi" w:eastAsiaTheme="majorEastAsia" w:hAnsiTheme="majorHAnsi" w:cstheme="majorHAnsi"/>
      <w:b/>
      <w:sz w:val="24"/>
      <w:szCs w:val="24"/>
      <w:u w:val="single"/>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64" w:lineRule="auto"/>
      <w:ind w:firstLine="0"/>
    </w:pPr>
    <w:rPr>
      <w:caps/>
    </w:rPr>
  </w:style>
  <w:style w:type="character" w:customStyle="1" w:styleId="FooterChar">
    <w:name w:val="Footer Char"/>
    <w:basedOn w:val="DefaultParagraphFont"/>
    <w:link w:val="Footer"/>
    <w:uiPriority w:val="99"/>
    <w:rPr>
      <w:rFonts w:eastAsia="Times New Roman" w:cs="Times New Roman"/>
      <w:caps/>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54" w:line="264"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64" w:lineRule="auto"/>
      <w:ind w:firstLine="0"/>
    </w:pPr>
    <w:rPr>
      <w:caps/>
    </w:rPr>
  </w:style>
  <w:style w:type="character" w:customStyle="1" w:styleId="PleadingtitleChar">
    <w:name w:val="Pleading title Char"/>
    <w:basedOn w:val="DefaultParagraphFont"/>
    <w:link w:val="Pleadingtitle"/>
    <w:uiPriority w:val="1"/>
    <w:rPr>
      <w:rFonts w:eastAsia="Times New Roman" w:cs="Times New Roman"/>
      <w:caps/>
      <w:sz w:val="20"/>
      <w:szCs w:val="20"/>
    </w:rPr>
  </w:style>
  <w:style w:type="character" w:customStyle="1" w:styleId="PartiesChar">
    <w:name w:val="Parties Char"/>
    <w:basedOn w:val="DefaultParagraphFont"/>
    <w:link w:val="Parties"/>
    <w:uiPriority w:val="1"/>
    <w:rPr>
      <w:rFonts w:asciiTheme="majorHAnsi" w:eastAsiaTheme="majorEastAsia" w:hAnsiTheme="majorHAnsi" w:cstheme="majorBidi"/>
      <w:caps/>
      <w:sz w:val="20"/>
      <w:szCs w:val="20"/>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54" w:line="528" w:lineRule="auto"/>
      <w:ind w:firstLine="0"/>
      <w:contextualSpacing/>
      <w:jc w:val="center"/>
    </w:pPr>
    <w:rPr>
      <w:caps/>
    </w:rPr>
  </w:style>
  <w:style w:type="character" w:customStyle="1" w:styleId="Heading1Char">
    <w:name w:val="Heading 1 Char"/>
    <w:basedOn w:val="DefaultParagraphFont"/>
    <w:link w:val="Heading1"/>
    <w:uiPriority w:val="9"/>
    <w:rsid w:val="00FD7B0F"/>
    <w:rPr>
      <w:rFonts w:asciiTheme="majorHAnsi" w:eastAsiaTheme="majorEastAsia" w:hAnsiTheme="majorHAnsi" w:cstheme="majorHAnsi"/>
      <w:b/>
      <w:sz w:val="24"/>
      <w:szCs w:val="24"/>
      <w:u w:val="single"/>
    </w:rPr>
  </w:style>
  <w:style w:type="paragraph" w:customStyle="1" w:styleId="AttorneyName">
    <w:name w:val="Attorney Name"/>
    <w:basedOn w:val="Normal"/>
    <w:link w:val="AttorneyNameChar"/>
    <w:uiPriority w:val="1"/>
    <w:qFormat/>
    <w:pPr>
      <w:spacing w:line="264"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760" w:line="264"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Pr>
      <w:rFonts w:eastAsia="Times New Roman" w:cs="Times New Roman"/>
      <w:sz w:val="20"/>
      <w:szCs w:val="20"/>
    </w:rPr>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64" w:lineRule="auto"/>
      <w:ind w:firstLine="0"/>
    </w:pPr>
    <w:rPr>
      <w:rFonts w:eastAsia="Times New Roman" w:cs="Times New Roman"/>
    </w:rPr>
  </w:style>
  <w:style w:type="paragraph" w:styleId="Date">
    <w:name w:val="Date"/>
    <w:basedOn w:val="Normal"/>
    <w:next w:val="Normal"/>
    <w:link w:val="DateChar"/>
    <w:uiPriority w:val="1"/>
    <w:unhideWhenUsed/>
    <w:qFormat/>
    <w:pPr>
      <w:spacing w:after="380"/>
    </w:pPr>
  </w:style>
  <w:style w:type="character" w:customStyle="1" w:styleId="DateChar">
    <w:name w:val="Date Char"/>
    <w:basedOn w:val="DefaultParagraphFont"/>
    <w:link w:val="Date"/>
    <w:uiPriority w:val="1"/>
  </w:style>
  <w:style w:type="paragraph" w:customStyle="1" w:styleId="Q">
    <w:name w:val="Q"/>
    <w:basedOn w:val="NoSpacing"/>
    <w:next w:val="A"/>
    <w:qFormat/>
    <w:rsid w:val="001F3FA3"/>
    <w:pPr>
      <w:keepNext/>
      <w:keepLines/>
      <w:spacing w:line="480" w:lineRule="auto"/>
      <w:ind w:left="720" w:hanging="720"/>
    </w:pPr>
    <w:rPr>
      <w:b/>
      <w:caps/>
      <w:sz w:val="22"/>
    </w:rPr>
  </w:style>
  <w:style w:type="paragraph" w:customStyle="1" w:styleId="A">
    <w:name w:val="A"/>
    <w:basedOn w:val="Q"/>
    <w:next w:val="Q"/>
    <w:qFormat/>
    <w:rsid w:val="001F3FA3"/>
    <w:pPr>
      <w:keepNext w:val="0"/>
      <w:keepLines w:val="0"/>
    </w:pPr>
    <w:rPr>
      <w:b w:val="0"/>
      <w:caps w:val="0"/>
    </w:rPr>
  </w:style>
  <w:style w:type="paragraph" w:customStyle="1" w:styleId="A2">
    <w:name w:val="A2"/>
    <w:basedOn w:val="A"/>
    <w:next w:val="Q"/>
    <w:qFormat/>
    <w:rsid w:val="00EA3F1B"/>
    <w:pPr>
      <w:ind w:firstLine="720"/>
    </w:pPr>
  </w:style>
  <w:style w:type="paragraph" w:customStyle="1" w:styleId="single">
    <w:name w:val="single"/>
    <w:basedOn w:val="Normal"/>
    <w:rsid w:val="00EA3F1B"/>
    <w:pPr>
      <w:spacing w:before="240" w:line="240" w:lineRule="atLeast"/>
      <w:ind w:firstLine="720"/>
    </w:pPr>
    <w:rPr>
      <w:rFonts w:ascii="Times New Roman" w:eastAsia="Times New Roman" w:hAnsi="Times New Roman" w:cs="Times New Roman"/>
      <w:sz w:val="24"/>
      <w:lang w:eastAsia="zh-CN"/>
    </w:rPr>
  </w:style>
  <w:style w:type="paragraph" w:customStyle="1" w:styleId="center">
    <w:name w:val="center"/>
    <w:basedOn w:val="Normal"/>
    <w:rsid w:val="00EA3F1B"/>
    <w:pPr>
      <w:keepLines/>
      <w:spacing w:before="240" w:line="240" w:lineRule="atLeast"/>
      <w:ind w:firstLine="0"/>
      <w:jc w:val="center"/>
    </w:pPr>
    <w:rPr>
      <w:rFonts w:ascii="Times New Roman" w:eastAsia="Times New Roman" w:hAnsi="Times New Roman" w:cs="Times New Roman"/>
      <w:sz w:val="24"/>
      <w:lang w:eastAsia="zh-CN"/>
    </w:rPr>
  </w:style>
  <w:style w:type="character" w:styleId="Strong">
    <w:name w:val="Strong"/>
    <w:basedOn w:val="DefaultParagraphFont"/>
    <w:qFormat/>
    <w:rsid w:val="00EA3F1B"/>
    <w:rPr>
      <w:b/>
    </w:rPr>
  </w:style>
  <w:style w:type="paragraph" w:customStyle="1" w:styleId="Bullet">
    <w:name w:val="Bullet"/>
    <w:basedOn w:val="A2"/>
    <w:qFormat/>
    <w:rsid w:val="00394EFC"/>
    <w:pPr>
      <w:widowControl/>
      <w:numPr>
        <w:numId w:val="11"/>
      </w:numPr>
      <w:spacing w:before="120" w:line="240" w:lineRule="auto"/>
    </w:pPr>
  </w:style>
  <w:style w:type="table" w:customStyle="1" w:styleId="PlainTable31">
    <w:name w:val="Plain Table 31"/>
    <w:basedOn w:val="TableNormal"/>
    <w:uiPriority w:val="43"/>
    <w:rsid w:val="00394EFC"/>
    <w:pPr>
      <w:spacing w:line="240" w:lineRule="auto"/>
    </w:pPr>
    <w:rPr>
      <w:sz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44F26"/>
    <w:rPr>
      <w:sz w:val="16"/>
      <w:szCs w:val="16"/>
    </w:rPr>
  </w:style>
  <w:style w:type="paragraph" w:styleId="CommentText">
    <w:name w:val="annotation text"/>
    <w:basedOn w:val="Normal"/>
    <w:link w:val="CommentTextChar"/>
    <w:uiPriority w:val="99"/>
    <w:semiHidden/>
    <w:unhideWhenUsed/>
    <w:rsid w:val="00144F26"/>
    <w:pPr>
      <w:spacing w:line="240" w:lineRule="auto"/>
    </w:pPr>
  </w:style>
  <w:style w:type="character" w:customStyle="1" w:styleId="CommentTextChar">
    <w:name w:val="Comment Text Char"/>
    <w:basedOn w:val="DefaultParagraphFont"/>
    <w:link w:val="CommentText"/>
    <w:uiPriority w:val="99"/>
    <w:semiHidden/>
    <w:rsid w:val="00144F26"/>
  </w:style>
  <w:style w:type="paragraph" w:styleId="CommentSubject">
    <w:name w:val="annotation subject"/>
    <w:basedOn w:val="CommentText"/>
    <w:next w:val="CommentText"/>
    <w:link w:val="CommentSubjectChar"/>
    <w:uiPriority w:val="99"/>
    <w:semiHidden/>
    <w:unhideWhenUsed/>
    <w:rsid w:val="00144F26"/>
    <w:rPr>
      <w:b/>
      <w:bCs/>
    </w:rPr>
  </w:style>
  <w:style w:type="character" w:customStyle="1" w:styleId="CommentSubjectChar">
    <w:name w:val="Comment Subject Char"/>
    <w:basedOn w:val="CommentTextChar"/>
    <w:link w:val="CommentSubject"/>
    <w:uiPriority w:val="99"/>
    <w:semiHidden/>
    <w:rsid w:val="00144F26"/>
    <w:rPr>
      <w:b/>
      <w:bCs/>
    </w:rPr>
  </w:style>
  <w:style w:type="character" w:styleId="LineNumber">
    <w:name w:val="line number"/>
    <w:basedOn w:val="DefaultParagraphFont"/>
    <w:uiPriority w:val="99"/>
    <w:semiHidden/>
    <w:unhideWhenUsed/>
    <w:rsid w:val="00957738"/>
  </w:style>
  <w:style w:type="paragraph" w:styleId="FootnoteText">
    <w:name w:val="footnote text"/>
    <w:aliases w:val="response"/>
    <w:basedOn w:val="Normal"/>
    <w:uiPriority w:val="99"/>
    <w:unhideWhenUsed/>
    <w:rsid w:val="00F83BA3"/>
    <w:pPr>
      <w:spacing w:before="100" w:beforeAutospacing="1" w:after="100" w:afterAutospacing="1" w:line="240" w:lineRule="auto"/>
      <w:ind w:left="720" w:firstLine="0"/>
      <w:contextualSpacing/>
    </w:pPr>
  </w:style>
  <w:style w:type="character" w:customStyle="1" w:styleId="FootnoteTextChar">
    <w:name w:val="Footnote Text Char"/>
    <w:aliases w:val="response Char"/>
    <w:basedOn w:val="DefaultParagraphFont"/>
    <w:uiPriority w:val="99"/>
    <w:rsid w:val="00C720E2"/>
  </w:style>
  <w:style w:type="character" w:styleId="FootnoteReference">
    <w:name w:val="footnote reference"/>
    <w:basedOn w:val="DefaultParagraphFont"/>
    <w:uiPriority w:val="99"/>
    <w:unhideWhenUsed/>
    <w:rsid w:val="00C720E2"/>
    <w:rPr>
      <w:vertAlign w:val="superscript"/>
    </w:rPr>
  </w:style>
  <w:style w:type="character" w:styleId="Hyperlink">
    <w:name w:val="Hyperlink"/>
    <w:basedOn w:val="DefaultParagraphFont"/>
    <w:uiPriority w:val="99"/>
    <w:unhideWhenUsed/>
    <w:rsid w:val="00060D33"/>
    <w:rPr>
      <w:color w:val="56C7AA" w:themeColor="hyperlink"/>
      <w:u w:val="single"/>
    </w:rPr>
  </w:style>
  <w:style w:type="character" w:customStyle="1" w:styleId="UnresolvedMention1">
    <w:name w:val="Unresolved Mention1"/>
    <w:basedOn w:val="DefaultParagraphFont"/>
    <w:uiPriority w:val="99"/>
    <w:semiHidden/>
    <w:unhideWhenUsed/>
    <w:rsid w:val="00060D33"/>
    <w:rPr>
      <w:color w:val="808080"/>
      <w:shd w:val="clear" w:color="auto" w:fill="E6E6E6"/>
    </w:rPr>
  </w:style>
  <w:style w:type="paragraph" w:styleId="Revision">
    <w:name w:val="Revision"/>
    <w:hidden/>
    <w:uiPriority w:val="99"/>
    <w:semiHidden/>
    <w:rsid w:val="00936E83"/>
    <w:pPr>
      <w:spacing w:line="240" w:lineRule="auto"/>
      <w:ind w:firstLine="0"/>
    </w:pPr>
  </w:style>
  <w:style w:type="character" w:customStyle="1" w:styleId="UnresolvedMention2">
    <w:name w:val="Unresolved Mention2"/>
    <w:basedOn w:val="DefaultParagraphFont"/>
    <w:uiPriority w:val="99"/>
    <w:semiHidden/>
    <w:unhideWhenUsed/>
    <w:rsid w:val="009A1D6A"/>
    <w:rPr>
      <w:color w:val="808080"/>
      <w:shd w:val="clear" w:color="auto" w:fill="E6E6E6"/>
    </w:rPr>
  </w:style>
  <w:style w:type="paragraph" w:styleId="Caption">
    <w:name w:val="caption"/>
    <w:basedOn w:val="Normal"/>
    <w:next w:val="Normal"/>
    <w:uiPriority w:val="35"/>
    <w:unhideWhenUsed/>
    <w:qFormat/>
    <w:rsid w:val="00B415A3"/>
    <w:pPr>
      <w:spacing w:after="200" w:line="240" w:lineRule="auto"/>
      <w:ind w:firstLine="0"/>
      <w:jc w:val="center"/>
    </w:pPr>
    <w:rPr>
      <w:i/>
      <w:iCs/>
      <w:color w:val="212745" w:themeColor="text2"/>
      <w:sz w:val="18"/>
      <w:szCs w:val="18"/>
    </w:rPr>
  </w:style>
  <w:style w:type="character" w:styleId="FollowedHyperlink">
    <w:name w:val="FollowedHyperlink"/>
    <w:basedOn w:val="DefaultParagraphFont"/>
    <w:uiPriority w:val="99"/>
    <w:semiHidden/>
    <w:unhideWhenUsed/>
    <w:rsid w:val="00A00734"/>
    <w:rPr>
      <w:color w:val="59A8D1" w:themeColor="followedHyperlink"/>
      <w:u w:val="single"/>
    </w:rPr>
  </w:style>
  <w:style w:type="character" w:customStyle="1" w:styleId="UnresolvedMention3">
    <w:name w:val="Unresolved Mention3"/>
    <w:basedOn w:val="DefaultParagraphFont"/>
    <w:uiPriority w:val="99"/>
    <w:semiHidden/>
    <w:unhideWhenUsed/>
    <w:rsid w:val="00877784"/>
    <w:rPr>
      <w:color w:val="808080"/>
      <w:shd w:val="clear" w:color="auto" w:fill="E6E6E6"/>
    </w:rPr>
  </w:style>
  <w:style w:type="paragraph" w:styleId="TOCHeading">
    <w:name w:val="TOC Heading"/>
    <w:basedOn w:val="Heading1"/>
    <w:next w:val="Normal"/>
    <w:uiPriority w:val="39"/>
    <w:semiHidden/>
    <w:unhideWhenUsed/>
    <w:qFormat/>
    <w:rsid w:val="00392898"/>
    <w:pPr>
      <w:numPr>
        <w:numId w:val="0"/>
      </w:numPr>
      <w:spacing w:before="480" w:after="0" w:line="276" w:lineRule="auto"/>
      <w:outlineLvl w:val="9"/>
    </w:pPr>
    <w:rPr>
      <w:rFonts w:cstheme="majorBidi"/>
      <w:bCs/>
      <w:color w:val="31479E" w:themeColor="accent1" w:themeShade="BF"/>
      <w:sz w:val="28"/>
      <w:szCs w:val="28"/>
      <w:u w:val="none"/>
    </w:rPr>
  </w:style>
  <w:style w:type="paragraph" w:styleId="TOC1">
    <w:name w:val="toc 1"/>
    <w:basedOn w:val="Normal"/>
    <w:next w:val="Normal"/>
    <w:autoRedefine/>
    <w:uiPriority w:val="39"/>
    <w:unhideWhenUsed/>
    <w:rsid w:val="00DC75D8"/>
    <w:pPr>
      <w:tabs>
        <w:tab w:val="left" w:pos="720"/>
        <w:tab w:val="right" w:leader="dot" w:pos="9360"/>
      </w:tabs>
      <w:spacing w:line="480" w:lineRule="auto"/>
      <w:ind w:firstLine="0"/>
    </w:pPr>
  </w:style>
  <w:style w:type="paragraph" w:styleId="TableofFigures">
    <w:name w:val="table of figures"/>
    <w:basedOn w:val="Normal"/>
    <w:next w:val="Normal"/>
    <w:uiPriority w:val="99"/>
    <w:unhideWhenUsed/>
    <w:rsid w:val="002E1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916">
      <w:bodyDiv w:val="1"/>
      <w:marLeft w:val="0"/>
      <w:marRight w:val="0"/>
      <w:marTop w:val="0"/>
      <w:marBottom w:val="0"/>
      <w:divBdr>
        <w:top w:val="none" w:sz="0" w:space="0" w:color="auto"/>
        <w:left w:val="none" w:sz="0" w:space="0" w:color="auto"/>
        <w:bottom w:val="none" w:sz="0" w:space="0" w:color="auto"/>
        <w:right w:val="none" w:sz="0" w:space="0" w:color="auto"/>
      </w:divBdr>
      <w:divsChild>
        <w:div w:id="29497268">
          <w:marLeft w:val="0"/>
          <w:marRight w:val="0"/>
          <w:marTop w:val="0"/>
          <w:marBottom w:val="0"/>
          <w:divBdr>
            <w:top w:val="none" w:sz="0" w:space="0" w:color="auto"/>
            <w:left w:val="none" w:sz="0" w:space="0" w:color="auto"/>
            <w:bottom w:val="none" w:sz="0" w:space="0" w:color="auto"/>
            <w:right w:val="none" w:sz="0" w:space="0" w:color="auto"/>
          </w:divBdr>
        </w:div>
        <w:div w:id="1937202837">
          <w:marLeft w:val="0"/>
          <w:marRight w:val="0"/>
          <w:marTop w:val="0"/>
          <w:marBottom w:val="0"/>
          <w:divBdr>
            <w:top w:val="none" w:sz="0" w:space="0" w:color="auto"/>
            <w:left w:val="none" w:sz="0" w:space="0" w:color="auto"/>
            <w:bottom w:val="none" w:sz="0" w:space="0" w:color="auto"/>
            <w:right w:val="none" w:sz="0" w:space="0" w:color="auto"/>
          </w:divBdr>
        </w:div>
        <w:div w:id="779645564">
          <w:marLeft w:val="0"/>
          <w:marRight w:val="0"/>
          <w:marTop w:val="0"/>
          <w:marBottom w:val="0"/>
          <w:divBdr>
            <w:top w:val="none" w:sz="0" w:space="0" w:color="auto"/>
            <w:left w:val="none" w:sz="0" w:space="0" w:color="auto"/>
            <w:bottom w:val="none" w:sz="0" w:space="0" w:color="auto"/>
            <w:right w:val="none" w:sz="0" w:space="0" w:color="auto"/>
          </w:divBdr>
        </w:div>
        <w:div w:id="480775488">
          <w:marLeft w:val="0"/>
          <w:marRight w:val="0"/>
          <w:marTop w:val="0"/>
          <w:marBottom w:val="0"/>
          <w:divBdr>
            <w:top w:val="none" w:sz="0" w:space="0" w:color="auto"/>
            <w:left w:val="none" w:sz="0" w:space="0" w:color="auto"/>
            <w:bottom w:val="none" w:sz="0" w:space="0" w:color="auto"/>
            <w:right w:val="none" w:sz="0" w:space="0" w:color="auto"/>
          </w:divBdr>
        </w:div>
        <w:div w:id="1770469543">
          <w:marLeft w:val="0"/>
          <w:marRight w:val="0"/>
          <w:marTop w:val="0"/>
          <w:marBottom w:val="0"/>
          <w:divBdr>
            <w:top w:val="none" w:sz="0" w:space="0" w:color="auto"/>
            <w:left w:val="none" w:sz="0" w:space="0" w:color="auto"/>
            <w:bottom w:val="none" w:sz="0" w:space="0" w:color="auto"/>
            <w:right w:val="none" w:sz="0" w:space="0" w:color="auto"/>
          </w:divBdr>
        </w:div>
        <w:div w:id="1765421109">
          <w:marLeft w:val="0"/>
          <w:marRight w:val="0"/>
          <w:marTop w:val="0"/>
          <w:marBottom w:val="0"/>
          <w:divBdr>
            <w:top w:val="none" w:sz="0" w:space="0" w:color="auto"/>
            <w:left w:val="none" w:sz="0" w:space="0" w:color="auto"/>
            <w:bottom w:val="none" w:sz="0" w:space="0" w:color="auto"/>
            <w:right w:val="none" w:sz="0" w:space="0" w:color="auto"/>
          </w:divBdr>
        </w:div>
        <w:div w:id="1957903731">
          <w:marLeft w:val="0"/>
          <w:marRight w:val="0"/>
          <w:marTop w:val="0"/>
          <w:marBottom w:val="0"/>
          <w:divBdr>
            <w:top w:val="none" w:sz="0" w:space="0" w:color="auto"/>
            <w:left w:val="none" w:sz="0" w:space="0" w:color="auto"/>
            <w:bottom w:val="none" w:sz="0" w:space="0" w:color="auto"/>
            <w:right w:val="none" w:sz="0" w:space="0" w:color="auto"/>
          </w:divBdr>
        </w:div>
        <w:div w:id="2015523103">
          <w:marLeft w:val="0"/>
          <w:marRight w:val="0"/>
          <w:marTop w:val="0"/>
          <w:marBottom w:val="0"/>
          <w:divBdr>
            <w:top w:val="none" w:sz="0" w:space="0" w:color="auto"/>
            <w:left w:val="none" w:sz="0" w:space="0" w:color="auto"/>
            <w:bottom w:val="none" w:sz="0" w:space="0" w:color="auto"/>
            <w:right w:val="none" w:sz="0" w:space="0" w:color="auto"/>
          </w:divBdr>
        </w:div>
        <w:div w:id="1539396758">
          <w:marLeft w:val="0"/>
          <w:marRight w:val="0"/>
          <w:marTop w:val="0"/>
          <w:marBottom w:val="0"/>
          <w:divBdr>
            <w:top w:val="none" w:sz="0" w:space="0" w:color="auto"/>
            <w:left w:val="none" w:sz="0" w:space="0" w:color="auto"/>
            <w:bottom w:val="none" w:sz="0" w:space="0" w:color="auto"/>
            <w:right w:val="none" w:sz="0" w:space="0" w:color="auto"/>
          </w:divBdr>
        </w:div>
        <w:div w:id="299850611">
          <w:marLeft w:val="0"/>
          <w:marRight w:val="0"/>
          <w:marTop w:val="0"/>
          <w:marBottom w:val="0"/>
          <w:divBdr>
            <w:top w:val="none" w:sz="0" w:space="0" w:color="auto"/>
            <w:left w:val="none" w:sz="0" w:space="0" w:color="auto"/>
            <w:bottom w:val="none" w:sz="0" w:space="0" w:color="auto"/>
            <w:right w:val="none" w:sz="0" w:space="0" w:color="auto"/>
          </w:divBdr>
        </w:div>
        <w:div w:id="1563981269">
          <w:marLeft w:val="0"/>
          <w:marRight w:val="0"/>
          <w:marTop w:val="0"/>
          <w:marBottom w:val="0"/>
          <w:divBdr>
            <w:top w:val="none" w:sz="0" w:space="0" w:color="auto"/>
            <w:left w:val="none" w:sz="0" w:space="0" w:color="auto"/>
            <w:bottom w:val="none" w:sz="0" w:space="0" w:color="auto"/>
            <w:right w:val="none" w:sz="0" w:space="0" w:color="auto"/>
          </w:divBdr>
        </w:div>
        <w:div w:id="470369065">
          <w:marLeft w:val="0"/>
          <w:marRight w:val="0"/>
          <w:marTop w:val="0"/>
          <w:marBottom w:val="0"/>
          <w:divBdr>
            <w:top w:val="none" w:sz="0" w:space="0" w:color="auto"/>
            <w:left w:val="none" w:sz="0" w:space="0" w:color="auto"/>
            <w:bottom w:val="none" w:sz="0" w:space="0" w:color="auto"/>
            <w:right w:val="none" w:sz="0" w:space="0" w:color="auto"/>
          </w:divBdr>
        </w:div>
        <w:div w:id="414327179">
          <w:marLeft w:val="0"/>
          <w:marRight w:val="0"/>
          <w:marTop w:val="0"/>
          <w:marBottom w:val="0"/>
          <w:divBdr>
            <w:top w:val="none" w:sz="0" w:space="0" w:color="auto"/>
            <w:left w:val="none" w:sz="0" w:space="0" w:color="auto"/>
            <w:bottom w:val="none" w:sz="0" w:space="0" w:color="auto"/>
            <w:right w:val="none" w:sz="0" w:space="0" w:color="auto"/>
          </w:divBdr>
        </w:div>
        <w:div w:id="1801730879">
          <w:marLeft w:val="0"/>
          <w:marRight w:val="0"/>
          <w:marTop w:val="0"/>
          <w:marBottom w:val="0"/>
          <w:divBdr>
            <w:top w:val="none" w:sz="0" w:space="0" w:color="auto"/>
            <w:left w:val="none" w:sz="0" w:space="0" w:color="auto"/>
            <w:bottom w:val="none" w:sz="0" w:space="0" w:color="auto"/>
            <w:right w:val="none" w:sz="0" w:space="0" w:color="auto"/>
          </w:divBdr>
        </w:div>
        <w:div w:id="97875736">
          <w:marLeft w:val="0"/>
          <w:marRight w:val="0"/>
          <w:marTop w:val="0"/>
          <w:marBottom w:val="0"/>
          <w:divBdr>
            <w:top w:val="none" w:sz="0" w:space="0" w:color="auto"/>
            <w:left w:val="none" w:sz="0" w:space="0" w:color="auto"/>
            <w:bottom w:val="none" w:sz="0" w:space="0" w:color="auto"/>
            <w:right w:val="none" w:sz="0" w:space="0" w:color="auto"/>
          </w:divBdr>
        </w:div>
        <w:div w:id="281957621">
          <w:marLeft w:val="0"/>
          <w:marRight w:val="0"/>
          <w:marTop w:val="0"/>
          <w:marBottom w:val="0"/>
          <w:divBdr>
            <w:top w:val="none" w:sz="0" w:space="0" w:color="auto"/>
            <w:left w:val="none" w:sz="0" w:space="0" w:color="auto"/>
            <w:bottom w:val="none" w:sz="0" w:space="0" w:color="auto"/>
            <w:right w:val="none" w:sz="0" w:space="0" w:color="auto"/>
          </w:divBdr>
        </w:div>
        <w:div w:id="1294366578">
          <w:marLeft w:val="0"/>
          <w:marRight w:val="0"/>
          <w:marTop w:val="0"/>
          <w:marBottom w:val="0"/>
          <w:divBdr>
            <w:top w:val="none" w:sz="0" w:space="0" w:color="auto"/>
            <w:left w:val="none" w:sz="0" w:space="0" w:color="auto"/>
            <w:bottom w:val="none" w:sz="0" w:space="0" w:color="auto"/>
            <w:right w:val="none" w:sz="0" w:space="0" w:color="auto"/>
          </w:divBdr>
        </w:div>
        <w:div w:id="1819689385">
          <w:marLeft w:val="0"/>
          <w:marRight w:val="0"/>
          <w:marTop w:val="0"/>
          <w:marBottom w:val="0"/>
          <w:divBdr>
            <w:top w:val="none" w:sz="0" w:space="0" w:color="auto"/>
            <w:left w:val="none" w:sz="0" w:space="0" w:color="auto"/>
            <w:bottom w:val="none" w:sz="0" w:space="0" w:color="auto"/>
            <w:right w:val="none" w:sz="0" w:space="0" w:color="auto"/>
          </w:divBdr>
        </w:div>
        <w:div w:id="141698785">
          <w:marLeft w:val="0"/>
          <w:marRight w:val="0"/>
          <w:marTop w:val="0"/>
          <w:marBottom w:val="0"/>
          <w:divBdr>
            <w:top w:val="none" w:sz="0" w:space="0" w:color="auto"/>
            <w:left w:val="none" w:sz="0" w:space="0" w:color="auto"/>
            <w:bottom w:val="none" w:sz="0" w:space="0" w:color="auto"/>
            <w:right w:val="none" w:sz="0" w:space="0" w:color="auto"/>
          </w:divBdr>
        </w:div>
        <w:div w:id="568614975">
          <w:marLeft w:val="0"/>
          <w:marRight w:val="0"/>
          <w:marTop w:val="0"/>
          <w:marBottom w:val="0"/>
          <w:divBdr>
            <w:top w:val="none" w:sz="0" w:space="0" w:color="auto"/>
            <w:left w:val="none" w:sz="0" w:space="0" w:color="auto"/>
            <w:bottom w:val="none" w:sz="0" w:space="0" w:color="auto"/>
            <w:right w:val="none" w:sz="0" w:space="0" w:color="auto"/>
          </w:divBdr>
        </w:div>
        <w:div w:id="1689142937">
          <w:marLeft w:val="0"/>
          <w:marRight w:val="0"/>
          <w:marTop w:val="0"/>
          <w:marBottom w:val="0"/>
          <w:divBdr>
            <w:top w:val="none" w:sz="0" w:space="0" w:color="auto"/>
            <w:left w:val="none" w:sz="0" w:space="0" w:color="auto"/>
            <w:bottom w:val="none" w:sz="0" w:space="0" w:color="auto"/>
            <w:right w:val="none" w:sz="0" w:space="0" w:color="auto"/>
          </w:divBdr>
        </w:div>
      </w:divsChild>
    </w:div>
    <w:div w:id="430472395">
      <w:bodyDiv w:val="1"/>
      <w:marLeft w:val="0"/>
      <w:marRight w:val="0"/>
      <w:marTop w:val="0"/>
      <w:marBottom w:val="0"/>
      <w:divBdr>
        <w:top w:val="none" w:sz="0" w:space="0" w:color="auto"/>
        <w:left w:val="none" w:sz="0" w:space="0" w:color="auto"/>
        <w:bottom w:val="none" w:sz="0" w:space="0" w:color="auto"/>
        <w:right w:val="none" w:sz="0" w:space="0" w:color="auto"/>
      </w:divBdr>
    </w:div>
    <w:div w:id="772750509">
      <w:bodyDiv w:val="1"/>
      <w:marLeft w:val="0"/>
      <w:marRight w:val="0"/>
      <w:marTop w:val="0"/>
      <w:marBottom w:val="0"/>
      <w:divBdr>
        <w:top w:val="none" w:sz="0" w:space="0" w:color="auto"/>
        <w:left w:val="none" w:sz="0" w:space="0" w:color="auto"/>
        <w:bottom w:val="none" w:sz="0" w:space="0" w:color="auto"/>
        <w:right w:val="none" w:sz="0" w:space="0" w:color="auto"/>
      </w:divBdr>
    </w:div>
    <w:div w:id="1003624651">
      <w:bodyDiv w:val="1"/>
      <w:marLeft w:val="0"/>
      <w:marRight w:val="0"/>
      <w:marTop w:val="0"/>
      <w:marBottom w:val="0"/>
      <w:divBdr>
        <w:top w:val="none" w:sz="0" w:space="0" w:color="auto"/>
        <w:left w:val="none" w:sz="0" w:space="0" w:color="auto"/>
        <w:bottom w:val="none" w:sz="0" w:space="0" w:color="auto"/>
        <w:right w:val="none" w:sz="0" w:space="0" w:color="auto"/>
      </w:divBdr>
    </w:div>
    <w:div w:id="1036387277">
      <w:bodyDiv w:val="1"/>
      <w:marLeft w:val="0"/>
      <w:marRight w:val="0"/>
      <w:marTop w:val="0"/>
      <w:marBottom w:val="0"/>
      <w:divBdr>
        <w:top w:val="none" w:sz="0" w:space="0" w:color="auto"/>
        <w:left w:val="none" w:sz="0" w:space="0" w:color="auto"/>
        <w:bottom w:val="none" w:sz="0" w:space="0" w:color="auto"/>
        <w:right w:val="none" w:sz="0" w:space="0" w:color="auto"/>
      </w:divBdr>
    </w:div>
    <w:div w:id="1087657274">
      <w:bodyDiv w:val="1"/>
      <w:marLeft w:val="0"/>
      <w:marRight w:val="0"/>
      <w:marTop w:val="0"/>
      <w:marBottom w:val="0"/>
      <w:divBdr>
        <w:top w:val="none" w:sz="0" w:space="0" w:color="auto"/>
        <w:left w:val="none" w:sz="0" w:space="0" w:color="auto"/>
        <w:bottom w:val="none" w:sz="0" w:space="0" w:color="auto"/>
        <w:right w:val="none" w:sz="0" w:space="0" w:color="auto"/>
      </w:divBdr>
    </w:div>
    <w:div w:id="1102535843">
      <w:bodyDiv w:val="1"/>
      <w:marLeft w:val="0"/>
      <w:marRight w:val="0"/>
      <w:marTop w:val="0"/>
      <w:marBottom w:val="0"/>
      <w:divBdr>
        <w:top w:val="none" w:sz="0" w:space="0" w:color="auto"/>
        <w:left w:val="none" w:sz="0" w:space="0" w:color="auto"/>
        <w:bottom w:val="none" w:sz="0" w:space="0" w:color="auto"/>
        <w:right w:val="none" w:sz="0" w:space="0" w:color="auto"/>
      </w:divBdr>
    </w:div>
    <w:div w:id="1569194891">
      <w:bodyDiv w:val="1"/>
      <w:marLeft w:val="0"/>
      <w:marRight w:val="0"/>
      <w:marTop w:val="0"/>
      <w:marBottom w:val="0"/>
      <w:divBdr>
        <w:top w:val="none" w:sz="0" w:space="0" w:color="auto"/>
        <w:left w:val="none" w:sz="0" w:space="0" w:color="auto"/>
        <w:bottom w:val="none" w:sz="0" w:space="0" w:color="auto"/>
        <w:right w:val="none" w:sz="0" w:space="0" w:color="auto"/>
      </w:divBdr>
    </w:div>
    <w:div w:id="1577857286">
      <w:bodyDiv w:val="1"/>
      <w:marLeft w:val="0"/>
      <w:marRight w:val="0"/>
      <w:marTop w:val="0"/>
      <w:marBottom w:val="0"/>
      <w:divBdr>
        <w:top w:val="none" w:sz="0" w:space="0" w:color="auto"/>
        <w:left w:val="none" w:sz="0" w:space="0" w:color="auto"/>
        <w:bottom w:val="none" w:sz="0" w:space="0" w:color="auto"/>
        <w:right w:val="none" w:sz="0" w:space="0" w:color="auto"/>
      </w:divBdr>
    </w:div>
    <w:div w:id="1702632829">
      <w:bodyDiv w:val="1"/>
      <w:marLeft w:val="0"/>
      <w:marRight w:val="0"/>
      <w:marTop w:val="0"/>
      <w:marBottom w:val="0"/>
      <w:divBdr>
        <w:top w:val="none" w:sz="0" w:space="0" w:color="auto"/>
        <w:left w:val="none" w:sz="0" w:space="0" w:color="auto"/>
        <w:bottom w:val="none" w:sz="0" w:space="0" w:color="auto"/>
        <w:right w:val="none" w:sz="0" w:space="0" w:color="auto"/>
      </w:divBdr>
    </w:div>
    <w:div w:id="1752854082">
      <w:bodyDiv w:val="1"/>
      <w:marLeft w:val="0"/>
      <w:marRight w:val="0"/>
      <w:marTop w:val="0"/>
      <w:marBottom w:val="0"/>
      <w:divBdr>
        <w:top w:val="none" w:sz="0" w:space="0" w:color="auto"/>
        <w:left w:val="none" w:sz="0" w:space="0" w:color="auto"/>
        <w:bottom w:val="none" w:sz="0" w:space="0" w:color="auto"/>
        <w:right w:val="none" w:sz="0" w:space="0" w:color="auto"/>
      </w:divBdr>
    </w:div>
    <w:div w:id="20622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9B61926-5510-473A-8217-ACA35C015290}"/>
</file>

<file path=customXml/itemProps2.xml><?xml version="1.0" encoding="utf-8"?>
<ds:datastoreItem xmlns:ds="http://schemas.openxmlformats.org/officeDocument/2006/customXml" ds:itemID="{98D33DB6-D072-46C5-9D67-6B4D2879006C}"/>
</file>

<file path=customXml/itemProps3.xml><?xml version="1.0" encoding="utf-8"?>
<ds:datastoreItem xmlns:ds="http://schemas.openxmlformats.org/officeDocument/2006/customXml" ds:itemID="{C2AC7C7F-EA1E-4C77-B8AB-E7AB363F3A32}"/>
</file>

<file path=customXml/itemProps4.xml><?xml version="1.0" encoding="utf-8"?>
<ds:datastoreItem xmlns:ds="http://schemas.openxmlformats.org/officeDocument/2006/customXml" ds:itemID="{5B857FC5-1243-4B1B-BEEE-94EF836A22ED}"/>
</file>

<file path=docProps/app.xml><?xml version="1.0" encoding="utf-8"?>
<Properties xmlns="http://schemas.openxmlformats.org/officeDocument/2006/extended-properties" xmlns:vt="http://schemas.openxmlformats.org/officeDocument/2006/docPropsVTypes">
  <Template>948B7CF</Template>
  <TotalTime>0</TotalTime>
  <Pages>45</Pages>
  <Words>9106</Words>
  <Characters>51908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2017-06-29T21:29:00Z</dcterms:created>
  <dcterms:modified xsi:type="dcterms:W3CDTF">2017-06-30T17:38:00Z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