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347087" w:rsidTr="00F45919">
        <w:tc>
          <w:tcPr>
            <w:tcW w:w="4788" w:type="dxa"/>
          </w:tcPr>
          <w:p w:rsidR="00F86C06" w:rsidRPr="00347087" w:rsidRDefault="00F86C06" w:rsidP="00F45919">
            <w:pPr>
              <w:pStyle w:val="Header"/>
              <w:rPr>
                <w:rFonts w:cs="Times New Roman"/>
                <w:b/>
                <w:bCs/>
                <w:szCs w:val="24"/>
              </w:rPr>
            </w:pPr>
            <w:r w:rsidRPr="00347087">
              <w:rPr>
                <w:rFonts w:cs="Times New Roman"/>
                <w:b/>
                <w:bCs/>
                <w:szCs w:val="24"/>
              </w:rPr>
              <w:t>Avista Corp.</w:t>
            </w:r>
          </w:p>
          <w:p w:rsidR="00F86C06" w:rsidRPr="00347087" w:rsidRDefault="00F86C06" w:rsidP="00F45919">
            <w:pPr>
              <w:pStyle w:val="Header"/>
              <w:rPr>
                <w:rFonts w:cs="Times New Roman"/>
                <w:szCs w:val="24"/>
              </w:rPr>
            </w:pPr>
            <w:r w:rsidRPr="00347087">
              <w:rPr>
                <w:rFonts w:cs="Times New Roman"/>
                <w:szCs w:val="24"/>
              </w:rPr>
              <w:t>1411 East Mission   P.O. Box 3727</w:t>
            </w:r>
          </w:p>
          <w:p w:rsidR="00F86C06" w:rsidRPr="00347087" w:rsidRDefault="00344DC2" w:rsidP="00F45919">
            <w:pPr>
              <w:pStyle w:val="Header"/>
              <w:rPr>
                <w:rFonts w:cs="Times New Roman"/>
                <w:szCs w:val="24"/>
              </w:rPr>
            </w:pPr>
            <w:r w:rsidRPr="00347087">
              <w:rPr>
                <w:rFonts w:cs="Times New Roman"/>
                <w:szCs w:val="24"/>
              </w:rPr>
              <w:t>Spokane,</w:t>
            </w:r>
            <w:r w:rsidR="00F86C06" w:rsidRPr="00347087">
              <w:rPr>
                <w:rFonts w:cs="Times New Roman"/>
                <w:szCs w:val="24"/>
              </w:rPr>
              <w:t xml:space="preserve"> Washington  99220-0500</w:t>
            </w:r>
          </w:p>
          <w:p w:rsidR="00F86C06" w:rsidRPr="00347087" w:rsidRDefault="00F86C06" w:rsidP="00F45919">
            <w:pPr>
              <w:pStyle w:val="Header"/>
              <w:rPr>
                <w:rFonts w:cs="Times New Roman"/>
                <w:szCs w:val="24"/>
              </w:rPr>
            </w:pPr>
            <w:r w:rsidRPr="00347087">
              <w:rPr>
                <w:rFonts w:cs="Times New Roman"/>
                <w:szCs w:val="24"/>
              </w:rPr>
              <w:t>Telephone 509-489-0500</w:t>
            </w:r>
          </w:p>
          <w:p w:rsidR="00F86C06" w:rsidRPr="00347087" w:rsidRDefault="00F86C06" w:rsidP="00F45919">
            <w:pPr>
              <w:pStyle w:val="Header"/>
              <w:rPr>
                <w:rFonts w:cs="Times New Roman"/>
                <w:szCs w:val="24"/>
              </w:rPr>
            </w:pPr>
            <w:r w:rsidRPr="00347087">
              <w:rPr>
                <w:rFonts w:cs="Times New Roman"/>
                <w:szCs w:val="24"/>
              </w:rPr>
              <w:t>Toll Free   800-727-9170</w:t>
            </w:r>
          </w:p>
          <w:p w:rsidR="00F86C06" w:rsidRPr="00347087" w:rsidRDefault="00F86C06" w:rsidP="00F45919">
            <w:pPr>
              <w:pStyle w:val="Header"/>
              <w:rPr>
                <w:rFonts w:cs="Times New Roman"/>
                <w:b/>
                <w:bCs/>
                <w:szCs w:val="24"/>
              </w:rPr>
            </w:pPr>
          </w:p>
        </w:tc>
        <w:tc>
          <w:tcPr>
            <w:tcW w:w="4788" w:type="dxa"/>
          </w:tcPr>
          <w:p w:rsidR="00F86C06" w:rsidRPr="00347087" w:rsidRDefault="00F86C06" w:rsidP="00F45919">
            <w:pPr>
              <w:pStyle w:val="Header"/>
              <w:tabs>
                <w:tab w:val="left" w:pos="2232"/>
              </w:tabs>
              <w:rPr>
                <w:rFonts w:cs="Times New Roman"/>
                <w:b/>
                <w:bCs/>
                <w:szCs w:val="24"/>
              </w:rPr>
            </w:pPr>
            <w:r w:rsidRPr="00347087">
              <w:rPr>
                <w:rFonts w:cs="Times New Roman"/>
                <w:b/>
                <w:bCs/>
                <w:szCs w:val="24"/>
              </w:rPr>
              <w:t xml:space="preserve"> </w:t>
            </w:r>
            <w:r w:rsidRPr="00347087">
              <w:rPr>
                <w:rFonts w:cs="Times New Roman"/>
                <w:b/>
                <w:bCs/>
                <w:szCs w:val="24"/>
              </w:rPr>
              <w:tab/>
              <w:t xml:space="preserve"> </w:t>
            </w:r>
          </w:p>
        </w:tc>
      </w:tr>
    </w:tbl>
    <w:p w:rsidR="00F31804" w:rsidRPr="00347087" w:rsidRDefault="00F31804" w:rsidP="00F45919">
      <w:pPr>
        <w:pStyle w:val="NoSpacing"/>
        <w:ind w:right="-270"/>
        <w:jc w:val="both"/>
        <w:rPr>
          <w:rFonts w:cs="Times New Roman"/>
          <w:szCs w:val="24"/>
        </w:rPr>
      </w:pPr>
    </w:p>
    <w:p w:rsidR="00F45919" w:rsidRPr="00347087" w:rsidRDefault="007E0655" w:rsidP="00F45919">
      <w:pPr>
        <w:pStyle w:val="NoSpacing"/>
        <w:ind w:right="-270"/>
        <w:jc w:val="both"/>
        <w:rPr>
          <w:rFonts w:cs="Times New Roman"/>
          <w:szCs w:val="24"/>
        </w:rPr>
      </w:pPr>
      <w:r>
        <w:rPr>
          <w:rFonts w:cs="Times New Roman"/>
          <w:szCs w:val="24"/>
        </w:rPr>
        <w:t>May 1, 2015</w:t>
      </w:r>
    </w:p>
    <w:p w:rsidR="00DB7924" w:rsidRPr="00347087" w:rsidRDefault="00DB7924" w:rsidP="00F45919">
      <w:pPr>
        <w:pStyle w:val="NoSpacing"/>
        <w:ind w:right="-270"/>
        <w:jc w:val="both"/>
        <w:rPr>
          <w:rFonts w:cs="Times New Roman"/>
          <w:szCs w:val="24"/>
        </w:rPr>
      </w:pPr>
    </w:p>
    <w:p w:rsidR="00F45919" w:rsidRPr="00347087" w:rsidRDefault="00F45919" w:rsidP="00F45919">
      <w:pPr>
        <w:pStyle w:val="NoSpacing"/>
        <w:ind w:right="-270"/>
        <w:jc w:val="both"/>
        <w:rPr>
          <w:rFonts w:cs="Times New Roman"/>
          <w:b/>
          <w:i/>
          <w:szCs w:val="24"/>
        </w:rPr>
      </w:pPr>
      <w:r w:rsidRPr="00347087">
        <w:rPr>
          <w:rFonts w:cs="Times New Roman"/>
          <w:b/>
          <w:i/>
          <w:szCs w:val="24"/>
        </w:rPr>
        <w:t>Via Electronic Mail</w:t>
      </w:r>
    </w:p>
    <w:p w:rsidR="00F45919" w:rsidRPr="00347087" w:rsidRDefault="00F45919" w:rsidP="00F45919">
      <w:pPr>
        <w:pStyle w:val="NoSpacing"/>
        <w:ind w:right="-270"/>
        <w:jc w:val="both"/>
        <w:rPr>
          <w:rFonts w:cs="Times New Roman"/>
          <w:b/>
          <w:szCs w:val="24"/>
          <w:u w:val="single"/>
        </w:rPr>
      </w:pPr>
    </w:p>
    <w:p w:rsidR="00F45919" w:rsidRPr="00347087" w:rsidRDefault="00F45919" w:rsidP="00F45919">
      <w:pPr>
        <w:ind w:right="-270"/>
        <w:jc w:val="both"/>
        <w:rPr>
          <w:rFonts w:cs="Times New Roman"/>
          <w:szCs w:val="24"/>
        </w:rPr>
      </w:pPr>
      <w:r w:rsidRPr="00347087">
        <w:rPr>
          <w:rFonts w:cs="Times New Roman"/>
          <w:szCs w:val="24"/>
        </w:rPr>
        <w:t>Steven V. King</w:t>
      </w:r>
    </w:p>
    <w:p w:rsidR="00F45919" w:rsidRPr="00347087" w:rsidRDefault="00F45919" w:rsidP="00F45919">
      <w:pPr>
        <w:ind w:right="-270"/>
        <w:jc w:val="both"/>
        <w:rPr>
          <w:rFonts w:cs="Times New Roman"/>
          <w:szCs w:val="24"/>
        </w:rPr>
      </w:pPr>
      <w:r w:rsidRPr="00347087">
        <w:rPr>
          <w:rFonts w:cs="Times New Roman"/>
          <w:szCs w:val="24"/>
        </w:rPr>
        <w:t>Executive Director and Secretary</w:t>
      </w:r>
    </w:p>
    <w:p w:rsidR="00F45919" w:rsidRPr="00347087" w:rsidRDefault="00F45919" w:rsidP="00F45919">
      <w:pPr>
        <w:ind w:right="-270"/>
        <w:jc w:val="both"/>
        <w:rPr>
          <w:rFonts w:cs="Times New Roman"/>
          <w:szCs w:val="24"/>
        </w:rPr>
      </w:pPr>
      <w:r w:rsidRPr="00347087">
        <w:rPr>
          <w:rFonts w:cs="Times New Roman"/>
          <w:szCs w:val="24"/>
        </w:rPr>
        <w:t>Washington Utilities &amp; Transportation Commission</w:t>
      </w:r>
    </w:p>
    <w:p w:rsidR="00F45919" w:rsidRPr="00347087" w:rsidRDefault="00F45919" w:rsidP="00F45919">
      <w:pPr>
        <w:ind w:right="-270"/>
        <w:jc w:val="both"/>
        <w:rPr>
          <w:rFonts w:cs="Times New Roman"/>
          <w:szCs w:val="24"/>
        </w:rPr>
      </w:pPr>
      <w:r w:rsidRPr="00347087">
        <w:rPr>
          <w:rFonts w:cs="Times New Roman"/>
          <w:szCs w:val="24"/>
        </w:rPr>
        <w:t>1300 S. Evergreen Park Drive S</w:t>
      </w:r>
      <w:r w:rsidR="002823D9" w:rsidRPr="00347087">
        <w:rPr>
          <w:rFonts w:cs="Times New Roman"/>
          <w:szCs w:val="24"/>
        </w:rPr>
        <w:t>.</w:t>
      </w:r>
      <w:r w:rsidRPr="00347087">
        <w:rPr>
          <w:rFonts w:cs="Times New Roman"/>
          <w:szCs w:val="24"/>
        </w:rPr>
        <w:t>W.</w:t>
      </w:r>
    </w:p>
    <w:p w:rsidR="00F45919" w:rsidRPr="00347087" w:rsidRDefault="00F45919" w:rsidP="00F45919">
      <w:pPr>
        <w:ind w:right="-270"/>
        <w:jc w:val="both"/>
        <w:rPr>
          <w:rFonts w:cs="Times New Roman"/>
          <w:szCs w:val="24"/>
        </w:rPr>
      </w:pPr>
      <w:r w:rsidRPr="00347087">
        <w:rPr>
          <w:rFonts w:cs="Times New Roman"/>
          <w:szCs w:val="24"/>
        </w:rPr>
        <w:t>P.O. Box 47250</w:t>
      </w:r>
    </w:p>
    <w:p w:rsidR="00F45919" w:rsidRPr="00347087" w:rsidRDefault="00F45919" w:rsidP="00B1008C">
      <w:pPr>
        <w:tabs>
          <w:tab w:val="left" w:pos="5625"/>
        </w:tabs>
        <w:ind w:right="-270"/>
        <w:jc w:val="both"/>
        <w:rPr>
          <w:rFonts w:cs="Times New Roman"/>
          <w:szCs w:val="24"/>
        </w:rPr>
      </w:pPr>
      <w:r w:rsidRPr="00347087">
        <w:rPr>
          <w:rFonts w:cs="Times New Roman"/>
          <w:szCs w:val="24"/>
        </w:rPr>
        <w:t>Olympia, Washington  98504-7250</w:t>
      </w:r>
      <w:r w:rsidR="00B1008C" w:rsidRPr="00347087">
        <w:rPr>
          <w:rFonts w:cs="Times New Roman"/>
          <w:szCs w:val="24"/>
        </w:rPr>
        <w:tab/>
      </w:r>
    </w:p>
    <w:p w:rsidR="00F45919" w:rsidRPr="00347087" w:rsidRDefault="00F45919" w:rsidP="00F45919">
      <w:pPr>
        <w:pStyle w:val="NoSpacing"/>
        <w:ind w:right="-270"/>
        <w:jc w:val="both"/>
        <w:rPr>
          <w:rFonts w:cs="Times New Roman"/>
          <w:b/>
          <w:szCs w:val="24"/>
          <w:u w:val="single"/>
        </w:rPr>
      </w:pPr>
    </w:p>
    <w:p w:rsidR="00F45919" w:rsidRPr="00347087" w:rsidRDefault="00F45919" w:rsidP="007B73D2">
      <w:pPr>
        <w:pStyle w:val="NoSpacing"/>
        <w:ind w:left="720" w:hanging="720"/>
        <w:jc w:val="both"/>
        <w:rPr>
          <w:rFonts w:cs="Times New Roman"/>
          <w:szCs w:val="24"/>
        </w:rPr>
      </w:pPr>
      <w:r w:rsidRPr="00347087">
        <w:rPr>
          <w:rFonts w:cs="Times New Roman"/>
          <w:szCs w:val="24"/>
        </w:rPr>
        <w:t>Re:</w:t>
      </w:r>
      <w:r w:rsidRPr="00347087">
        <w:rPr>
          <w:rFonts w:cs="Times New Roman"/>
          <w:szCs w:val="24"/>
        </w:rPr>
        <w:tab/>
      </w:r>
      <w:r w:rsidR="00D96E8B" w:rsidRPr="00347087">
        <w:rPr>
          <w:rFonts w:cs="Times New Roman"/>
          <w:szCs w:val="24"/>
        </w:rPr>
        <w:t>Docket No</w:t>
      </w:r>
      <w:r w:rsidR="002823D9" w:rsidRPr="00347087">
        <w:rPr>
          <w:rFonts w:cs="Times New Roman"/>
          <w:szCs w:val="24"/>
        </w:rPr>
        <w:t xml:space="preserve">. </w:t>
      </w:r>
      <w:r w:rsidR="00D96E8B" w:rsidRPr="00347087">
        <w:rPr>
          <w:rFonts w:cs="Times New Roman"/>
          <w:szCs w:val="24"/>
        </w:rPr>
        <w:t>U</w:t>
      </w:r>
      <w:r w:rsidR="00E56E77" w:rsidRPr="00347087">
        <w:rPr>
          <w:rFonts w:cs="Times New Roman"/>
          <w:szCs w:val="24"/>
        </w:rPr>
        <w:t>-140621</w:t>
      </w:r>
      <w:r w:rsidR="00D96E8B" w:rsidRPr="00347087">
        <w:rPr>
          <w:rFonts w:cs="Times New Roman"/>
          <w:szCs w:val="24"/>
        </w:rPr>
        <w:t xml:space="preserve"> </w:t>
      </w:r>
      <w:r w:rsidR="00DB7924" w:rsidRPr="00347087">
        <w:rPr>
          <w:rFonts w:cs="Times New Roman"/>
          <w:szCs w:val="24"/>
        </w:rPr>
        <w:t>–</w:t>
      </w:r>
      <w:r w:rsidR="00D96E8B" w:rsidRPr="00347087">
        <w:rPr>
          <w:rFonts w:cs="Times New Roman"/>
          <w:szCs w:val="24"/>
        </w:rPr>
        <w:t xml:space="preserve"> </w:t>
      </w:r>
      <w:r w:rsidR="00DB7924" w:rsidRPr="00347087">
        <w:rPr>
          <w:rFonts w:cs="Times New Roman"/>
          <w:szCs w:val="24"/>
        </w:rPr>
        <w:t xml:space="preserve">Reply </w:t>
      </w:r>
      <w:r w:rsidR="008A797C" w:rsidRPr="00347087">
        <w:rPr>
          <w:rFonts w:cs="Times New Roman"/>
          <w:szCs w:val="24"/>
        </w:rPr>
        <w:t>Comments of Avista Utilities</w:t>
      </w:r>
    </w:p>
    <w:p w:rsidR="00F45919" w:rsidRPr="00347087" w:rsidRDefault="00F45919" w:rsidP="00F45919">
      <w:pPr>
        <w:pStyle w:val="NoSpacing"/>
        <w:ind w:right="-270"/>
        <w:jc w:val="both"/>
        <w:rPr>
          <w:rFonts w:cs="Times New Roman"/>
          <w:szCs w:val="24"/>
        </w:rPr>
      </w:pPr>
    </w:p>
    <w:p w:rsidR="00AE3FE6" w:rsidRPr="00347087" w:rsidRDefault="00AE3FE6" w:rsidP="009938DD">
      <w:pPr>
        <w:pStyle w:val="NoSpacing"/>
        <w:spacing w:line="360" w:lineRule="auto"/>
        <w:ind w:firstLine="720"/>
        <w:jc w:val="both"/>
        <w:rPr>
          <w:rFonts w:cs="Times New Roman"/>
          <w:szCs w:val="24"/>
        </w:rPr>
      </w:pPr>
      <w:r w:rsidRPr="00347087">
        <w:rPr>
          <w:rFonts w:cs="Times New Roman"/>
          <w:szCs w:val="24"/>
        </w:rPr>
        <w:t>Avista Corporation, dba Avista Utilities (</w:t>
      </w:r>
      <w:r w:rsidR="007317C5" w:rsidRPr="00347087">
        <w:rPr>
          <w:rFonts w:cs="Times New Roman"/>
          <w:szCs w:val="24"/>
        </w:rPr>
        <w:t>“</w:t>
      </w:r>
      <w:r w:rsidRPr="00347087">
        <w:rPr>
          <w:rFonts w:cs="Times New Roman"/>
          <w:szCs w:val="24"/>
        </w:rPr>
        <w:t>Avista</w:t>
      </w:r>
      <w:r w:rsidR="007317C5" w:rsidRPr="00347087">
        <w:rPr>
          <w:rFonts w:cs="Times New Roman"/>
          <w:szCs w:val="24"/>
        </w:rPr>
        <w:t>”</w:t>
      </w:r>
      <w:r w:rsidRPr="00347087">
        <w:rPr>
          <w:rFonts w:cs="Times New Roman"/>
          <w:szCs w:val="24"/>
        </w:rPr>
        <w:t xml:space="preserve"> or </w:t>
      </w:r>
      <w:r w:rsidR="007317C5" w:rsidRPr="00347087">
        <w:rPr>
          <w:rFonts w:cs="Times New Roman"/>
          <w:szCs w:val="24"/>
        </w:rPr>
        <w:t>“</w:t>
      </w:r>
      <w:r w:rsidRPr="00347087">
        <w:rPr>
          <w:rFonts w:cs="Times New Roman"/>
          <w:szCs w:val="24"/>
        </w:rPr>
        <w:t>Company</w:t>
      </w:r>
      <w:r w:rsidR="007317C5" w:rsidRPr="00347087">
        <w:rPr>
          <w:rFonts w:cs="Times New Roman"/>
          <w:szCs w:val="24"/>
        </w:rPr>
        <w:t>”</w:t>
      </w:r>
      <w:r w:rsidRPr="00347087">
        <w:rPr>
          <w:rFonts w:cs="Times New Roman"/>
          <w:szCs w:val="24"/>
        </w:rPr>
        <w:t xml:space="preserve">), submits the following </w:t>
      </w:r>
      <w:r w:rsidR="00B51A03">
        <w:rPr>
          <w:rFonts w:cs="Times New Roman"/>
          <w:szCs w:val="24"/>
        </w:rPr>
        <w:t>R</w:t>
      </w:r>
      <w:r w:rsidR="00A2380F" w:rsidRPr="00347087">
        <w:rPr>
          <w:rFonts w:cs="Times New Roman"/>
          <w:szCs w:val="24"/>
        </w:rPr>
        <w:t xml:space="preserve">eply </w:t>
      </w:r>
      <w:r w:rsidR="00B51A03">
        <w:rPr>
          <w:rFonts w:cs="Times New Roman"/>
          <w:szCs w:val="24"/>
        </w:rPr>
        <w:t>C</w:t>
      </w:r>
      <w:r w:rsidRPr="00347087">
        <w:rPr>
          <w:rFonts w:cs="Times New Roman"/>
          <w:szCs w:val="24"/>
        </w:rPr>
        <w:t>omments in accordance with the Washington Utilities and Transportation Commission’s (</w:t>
      </w:r>
      <w:r w:rsidR="007317C5" w:rsidRPr="00347087">
        <w:rPr>
          <w:rFonts w:cs="Times New Roman"/>
          <w:szCs w:val="24"/>
        </w:rPr>
        <w:t>“</w:t>
      </w:r>
      <w:r w:rsidRPr="00347087">
        <w:rPr>
          <w:rFonts w:cs="Times New Roman"/>
          <w:szCs w:val="24"/>
        </w:rPr>
        <w:t>Commission</w:t>
      </w:r>
      <w:r w:rsidR="00E21B92">
        <w:rPr>
          <w:rFonts w:cs="Times New Roman"/>
          <w:szCs w:val="24"/>
        </w:rPr>
        <w:t>’s</w:t>
      </w:r>
      <w:r w:rsidR="007317C5" w:rsidRPr="00347087">
        <w:rPr>
          <w:rFonts w:cs="Times New Roman"/>
          <w:szCs w:val="24"/>
        </w:rPr>
        <w:t>”</w:t>
      </w:r>
      <w:r w:rsidRPr="00347087">
        <w:rPr>
          <w:rFonts w:cs="Times New Roman"/>
          <w:szCs w:val="24"/>
        </w:rPr>
        <w:t>) Notice of Opportunity to</w:t>
      </w:r>
      <w:r w:rsidR="00903BA6" w:rsidRPr="00347087">
        <w:rPr>
          <w:rFonts w:cs="Times New Roman"/>
          <w:szCs w:val="24"/>
        </w:rPr>
        <w:t xml:space="preserve"> Comment on Third Revised Draft Rules</w:t>
      </w:r>
      <w:r w:rsidRPr="00347087">
        <w:rPr>
          <w:rFonts w:cs="Times New Roman"/>
          <w:szCs w:val="24"/>
        </w:rPr>
        <w:t xml:space="preserve"> (</w:t>
      </w:r>
      <w:r w:rsidR="007317C5" w:rsidRPr="00347087">
        <w:rPr>
          <w:rFonts w:cs="Times New Roman"/>
          <w:szCs w:val="24"/>
        </w:rPr>
        <w:t>“</w:t>
      </w:r>
      <w:r w:rsidRPr="00347087">
        <w:rPr>
          <w:rFonts w:cs="Times New Roman"/>
          <w:szCs w:val="24"/>
        </w:rPr>
        <w:t>Notice</w:t>
      </w:r>
      <w:r w:rsidR="007317C5" w:rsidRPr="00347087">
        <w:rPr>
          <w:rFonts w:cs="Times New Roman"/>
          <w:szCs w:val="24"/>
        </w:rPr>
        <w:t>”</w:t>
      </w:r>
      <w:r w:rsidRPr="00347087">
        <w:rPr>
          <w:rFonts w:cs="Times New Roman"/>
          <w:szCs w:val="24"/>
        </w:rPr>
        <w:t xml:space="preserve">) issued </w:t>
      </w:r>
      <w:r w:rsidR="00903BA6" w:rsidRPr="00347087">
        <w:rPr>
          <w:rFonts w:cs="Times New Roman"/>
          <w:szCs w:val="24"/>
        </w:rPr>
        <w:t>March 24</w:t>
      </w:r>
      <w:r w:rsidR="00B1008C" w:rsidRPr="00347087">
        <w:rPr>
          <w:rFonts w:cs="Times New Roman"/>
          <w:szCs w:val="24"/>
        </w:rPr>
        <w:t>, 2015</w:t>
      </w:r>
      <w:r w:rsidRPr="00347087">
        <w:rPr>
          <w:rFonts w:cs="Times New Roman"/>
          <w:szCs w:val="24"/>
        </w:rPr>
        <w:t xml:space="preserve"> in Docket U-140621.</w:t>
      </w:r>
    </w:p>
    <w:p w:rsidR="00D272E4" w:rsidRDefault="00AE3FE6" w:rsidP="003F19ED">
      <w:pPr>
        <w:pStyle w:val="NoSpacing"/>
        <w:tabs>
          <w:tab w:val="left" w:pos="4500"/>
        </w:tabs>
        <w:spacing w:line="360" w:lineRule="auto"/>
        <w:ind w:firstLine="720"/>
        <w:jc w:val="both"/>
        <w:rPr>
          <w:rFonts w:cs="Times New Roman"/>
          <w:szCs w:val="24"/>
        </w:rPr>
      </w:pPr>
      <w:r w:rsidRPr="00347087">
        <w:rPr>
          <w:rFonts w:cs="Times New Roman"/>
          <w:szCs w:val="24"/>
        </w:rPr>
        <w:t xml:space="preserve">Avista appreciates the opportunity to </w:t>
      </w:r>
      <w:r w:rsidR="00B51A03">
        <w:rPr>
          <w:rFonts w:cs="Times New Roman"/>
          <w:szCs w:val="24"/>
        </w:rPr>
        <w:t>r</w:t>
      </w:r>
      <w:r w:rsidR="00D272E4" w:rsidRPr="00347087">
        <w:rPr>
          <w:rFonts w:cs="Times New Roman"/>
          <w:szCs w:val="24"/>
        </w:rPr>
        <w:t>eply to the proposals submitted by all parties in this docket on April 17, 2015.</w:t>
      </w:r>
    </w:p>
    <w:p w:rsidR="00B57C5B" w:rsidRDefault="00B57C5B" w:rsidP="003F19ED">
      <w:pPr>
        <w:pStyle w:val="NoSpacing"/>
        <w:tabs>
          <w:tab w:val="left" w:pos="4500"/>
        </w:tabs>
        <w:spacing w:line="360" w:lineRule="auto"/>
        <w:ind w:firstLine="720"/>
        <w:jc w:val="both"/>
        <w:rPr>
          <w:rFonts w:cs="Times New Roman"/>
          <w:szCs w:val="24"/>
        </w:rPr>
      </w:pPr>
    </w:p>
    <w:p w:rsidR="00D272E4" w:rsidRPr="00347087" w:rsidRDefault="00D272E4" w:rsidP="00D272E4">
      <w:pPr>
        <w:pStyle w:val="Heading1"/>
        <w:spacing w:after="0" w:line="360" w:lineRule="auto"/>
        <w:jc w:val="center"/>
        <w:rPr>
          <w:rFonts w:cs="Times New Roman"/>
          <w:szCs w:val="24"/>
        </w:rPr>
      </w:pPr>
      <w:r w:rsidRPr="00347087">
        <w:rPr>
          <w:rFonts w:cs="Times New Roman"/>
          <w:szCs w:val="24"/>
        </w:rPr>
        <w:t>480-54-020 DEFINITIONS</w:t>
      </w:r>
    </w:p>
    <w:p w:rsidR="00347087" w:rsidRDefault="00347087" w:rsidP="00347087">
      <w:pPr>
        <w:spacing w:before="100" w:beforeAutospacing="1" w:after="100" w:afterAutospacing="1" w:line="240" w:lineRule="auto"/>
        <w:rPr>
          <w:rFonts w:cs="Times New Roman"/>
          <w:b/>
          <w:szCs w:val="24"/>
        </w:rPr>
      </w:pPr>
      <w:r>
        <w:rPr>
          <w:rFonts w:cs="Times New Roman"/>
          <w:b/>
          <w:szCs w:val="24"/>
        </w:rPr>
        <w:t xml:space="preserve">The Commission Rejected </w:t>
      </w:r>
      <w:r w:rsidR="00B57C5B">
        <w:rPr>
          <w:rFonts w:cs="Times New Roman"/>
          <w:b/>
          <w:szCs w:val="24"/>
        </w:rPr>
        <w:t xml:space="preserve">Proposed Changes </w:t>
      </w:r>
      <w:r>
        <w:rPr>
          <w:rFonts w:cs="Times New Roman"/>
          <w:b/>
          <w:szCs w:val="24"/>
        </w:rPr>
        <w:t>to the Definition</w:t>
      </w:r>
      <w:r w:rsidR="00B61ECD">
        <w:rPr>
          <w:rFonts w:cs="Times New Roman"/>
          <w:b/>
          <w:szCs w:val="24"/>
        </w:rPr>
        <w:t>s</w:t>
      </w:r>
      <w:r>
        <w:rPr>
          <w:rFonts w:cs="Times New Roman"/>
          <w:b/>
          <w:szCs w:val="24"/>
        </w:rPr>
        <w:t xml:space="preserve"> of “Requester</w:t>
      </w:r>
      <w:r w:rsidR="00D0581A">
        <w:rPr>
          <w:rFonts w:cs="Times New Roman"/>
          <w:b/>
          <w:szCs w:val="24"/>
        </w:rPr>
        <w:t>,</w:t>
      </w:r>
      <w:r>
        <w:rPr>
          <w:rFonts w:cs="Times New Roman"/>
          <w:b/>
          <w:szCs w:val="24"/>
        </w:rPr>
        <w:t>”</w:t>
      </w:r>
      <w:r w:rsidR="00D0581A">
        <w:rPr>
          <w:rFonts w:cs="Times New Roman"/>
          <w:b/>
          <w:szCs w:val="24"/>
        </w:rPr>
        <w:t xml:space="preserve"> </w:t>
      </w:r>
      <w:r w:rsidR="00B61ECD">
        <w:rPr>
          <w:rFonts w:cs="Times New Roman"/>
          <w:b/>
          <w:szCs w:val="24"/>
        </w:rPr>
        <w:t>“Usable Space”</w:t>
      </w:r>
      <w:r w:rsidR="00D0581A">
        <w:rPr>
          <w:rFonts w:cs="Times New Roman"/>
          <w:b/>
          <w:szCs w:val="24"/>
        </w:rPr>
        <w:t xml:space="preserve"> and “Attachment”</w:t>
      </w:r>
      <w:r w:rsidR="00B57C5B">
        <w:rPr>
          <w:rFonts w:cs="Times New Roman"/>
          <w:b/>
          <w:szCs w:val="24"/>
        </w:rPr>
        <w:t xml:space="preserve"> for Good Reason</w:t>
      </w:r>
    </w:p>
    <w:p w:rsidR="00842C18" w:rsidRDefault="00B61ECD" w:rsidP="00CF5FF6">
      <w:pPr>
        <w:spacing w:line="360" w:lineRule="auto"/>
        <w:ind w:firstLine="720"/>
        <w:rPr>
          <w:rFonts w:cs="Times New Roman"/>
          <w:szCs w:val="24"/>
        </w:rPr>
      </w:pPr>
      <w:r>
        <w:rPr>
          <w:rFonts w:cs="Times New Roman"/>
          <w:szCs w:val="24"/>
        </w:rPr>
        <w:lastRenderedPageBreak/>
        <w:t>Integra’s April 17, 201</w:t>
      </w:r>
      <w:r w:rsidR="00842C18">
        <w:rPr>
          <w:rFonts w:cs="Times New Roman"/>
          <w:szCs w:val="24"/>
        </w:rPr>
        <w:t>5</w:t>
      </w:r>
      <w:r>
        <w:rPr>
          <w:rFonts w:cs="Times New Roman"/>
          <w:szCs w:val="24"/>
        </w:rPr>
        <w:t xml:space="preserve"> Comments </w:t>
      </w:r>
      <w:r w:rsidR="00842C18">
        <w:rPr>
          <w:rFonts w:cs="Times New Roman"/>
          <w:szCs w:val="24"/>
        </w:rPr>
        <w:t xml:space="preserve">claim that </w:t>
      </w:r>
      <w:r w:rsidR="00842C18" w:rsidRPr="00347087">
        <w:rPr>
          <w:rFonts w:cs="Times New Roman"/>
          <w:szCs w:val="24"/>
        </w:rPr>
        <w:t xml:space="preserve">the definition of “Requester” </w:t>
      </w:r>
      <w:r w:rsidR="00842C18">
        <w:rPr>
          <w:rFonts w:cs="Times New Roman"/>
          <w:szCs w:val="24"/>
        </w:rPr>
        <w:t xml:space="preserve">under 480-54-020(17) </w:t>
      </w:r>
      <w:r w:rsidR="000B3340">
        <w:rPr>
          <w:rFonts w:cs="Times New Roman"/>
          <w:szCs w:val="24"/>
        </w:rPr>
        <w:t>“</w:t>
      </w:r>
      <w:r w:rsidR="00D272E4" w:rsidRPr="00347087">
        <w:rPr>
          <w:rFonts w:cs="Times New Roman"/>
          <w:szCs w:val="24"/>
        </w:rPr>
        <w:t>goes too far in limiting Requesters’ ability to request attachments</w:t>
      </w:r>
      <w:r w:rsidR="000B3340">
        <w:rPr>
          <w:rFonts w:cs="Times New Roman"/>
          <w:szCs w:val="24"/>
        </w:rPr>
        <w:t>”</w:t>
      </w:r>
      <w:r w:rsidR="00D272E4" w:rsidRPr="00347087">
        <w:rPr>
          <w:rFonts w:cs="Times New Roman"/>
          <w:szCs w:val="24"/>
        </w:rPr>
        <w:t xml:space="preserve"> by requiring an attachment agreement </w:t>
      </w:r>
      <w:r w:rsidR="00842C18">
        <w:rPr>
          <w:rFonts w:cs="Times New Roman"/>
          <w:szCs w:val="24"/>
        </w:rPr>
        <w:t xml:space="preserve">to be </w:t>
      </w:r>
      <w:r w:rsidR="00D272E4" w:rsidRPr="00347087">
        <w:rPr>
          <w:rFonts w:cs="Times New Roman"/>
          <w:szCs w:val="24"/>
        </w:rPr>
        <w:t>in place prior to a request</w:t>
      </w:r>
      <w:r w:rsidR="00842C18">
        <w:rPr>
          <w:rFonts w:cs="Times New Roman"/>
          <w:szCs w:val="24"/>
        </w:rPr>
        <w:t xml:space="preserve"> for access</w:t>
      </w:r>
      <w:r w:rsidR="00D272E4" w:rsidRPr="00347087">
        <w:rPr>
          <w:rFonts w:cs="Times New Roman"/>
          <w:szCs w:val="24"/>
        </w:rPr>
        <w:t>.</w:t>
      </w:r>
      <w:r w:rsidR="000B3340">
        <w:rPr>
          <w:rStyle w:val="FootnoteReference"/>
          <w:rFonts w:cs="Times New Roman"/>
          <w:szCs w:val="24"/>
        </w:rPr>
        <w:footnoteReference w:id="1"/>
      </w:r>
      <w:r w:rsidR="00D272E4" w:rsidRPr="00347087">
        <w:rPr>
          <w:rFonts w:cs="Times New Roman"/>
          <w:szCs w:val="24"/>
        </w:rPr>
        <w:t xml:space="preserve">  </w:t>
      </w:r>
    </w:p>
    <w:p w:rsidR="003058B6" w:rsidRDefault="008B7A9A" w:rsidP="003058B6">
      <w:pPr>
        <w:spacing w:line="360" w:lineRule="auto"/>
        <w:ind w:firstLine="720"/>
        <w:rPr>
          <w:rFonts w:cs="Times New Roman"/>
          <w:szCs w:val="24"/>
        </w:rPr>
      </w:pPr>
      <w:r>
        <w:rPr>
          <w:rFonts w:cs="Times New Roman"/>
          <w:szCs w:val="24"/>
        </w:rPr>
        <w:t xml:space="preserve">The Commission’s decision to require an agreement makes sense for the same reason it made sense to reject Google’s proposal to allow entities without </w:t>
      </w:r>
      <w:r w:rsidRPr="008B7A9A">
        <w:rPr>
          <w:rFonts w:cs="Times New Roman"/>
          <w:szCs w:val="24"/>
        </w:rPr>
        <w:t>franchises, licenses or other authorizations to use public rights-of-way</w:t>
      </w:r>
      <w:r w:rsidR="00F74ACA">
        <w:rPr>
          <w:rFonts w:cs="Times New Roman"/>
          <w:szCs w:val="24"/>
        </w:rPr>
        <w:t>.</w:t>
      </w:r>
      <w:r w:rsidR="00F74ACA">
        <w:rPr>
          <w:rStyle w:val="FootnoteReference"/>
          <w:rFonts w:cs="Times New Roman"/>
          <w:szCs w:val="24"/>
        </w:rPr>
        <w:footnoteReference w:id="2"/>
      </w:r>
      <w:r w:rsidR="00F74ACA">
        <w:rPr>
          <w:rFonts w:cs="Times New Roman"/>
          <w:szCs w:val="24"/>
        </w:rPr>
        <w:t xml:space="preserve">  Allowing </w:t>
      </w:r>
      <w:r w:rsidR="0038594B">
        <w:rPr>
          <w:rFonts w:cs="Times New Roman"/>
          <w:szCs w:val="24"/>
        </w:rPr>
        <w:t xml:space="preserve">entities </w:t>
      </w:r>
      <w:r w:rsidR="00F74ACA">
        <w:rPr>
          <w:rFonts w:cs="Times New Roman"/>
          <w:szCs w:val="24"/>
        </w:rPr>
        <w:t xml:space="preserve">without agreements to request access </w:t>
      </w:r>
      <w:r w:rsidRPr="008B7A9A">
        <w:rPr>
          <w:rFonts w:cs="Times New Roman"/>
          <w:szCs w:val="24"/>
        </w:rPr>
        <w:t xml:space="preserve">would require utility pole owners to redirect resources to accommodate attachment requests by any entity that </w:t>
      </w:r>
      <w:r w:rsidR="00F74ACA">
        <w:rPr>
          <w:rFonts w:cs="Times New Roman"/>
          <w:szCs w:val="24"/>
        </w:rPr>
        <w:t xml:space="preserve">has not agreed to comply with any agreement terms.  </w:t>
      </w:r>
      <w:r w:rsidRPr="008B7A9A">
        <w:rPr>
          <w:rFonts w:cs="Times New Roman"/>
          <w:szCs w:val="24"/>
        </w:rPr>
        <w:t xml:space="preserve">Genuine work for other attaching entities </w:t>
      </w:r>
      <w:r w:rsidR="006B1700">
        <w:rPr>
          <w:rFonts w:cs="Times New Roman"/>
          <w:szCs w:val="24"/>
        </w:rPr>
        <w:t xml:space="preserve">with attachment agreements </w:t>
      </w:r>
      <w:r w:rsidRPr="008B7A9A">
        <w:rPr>
          <w:rFonts w:cs="Times New Roman"/>
          <w:szCs w:val="24"/>
        </w:rPr>
        <w:t xml:space="preserve">might be postponed to accommodate </w:t>
      </w:r>
      <w:r w:rsidR="00F74ACA">
        <w:rPr>
          <w:rFonts w:cs="Times New Roman"/>
          <w:szCs w:val="24"/>
        </w:rPr>
        <w:t xml:space="preserve">these </w:t>
      </w:r>
      <w:r w:rsidRPr="008B7A9A">
        <w:rPr>
          <w:rFonts w:cs="Times New Roman"/>
          <w:szCs w:val="24"/>
        </w:rPr>
        <w:t xml:space="preserve">new entities </w:t>
      </w:r>
      <w:r w:rsidR="006B1700">
        <w:rPr>
          <w:rFonts w:cs="Times New Roman"/>
          <w:szCs w:val="24"/>
        </w:rPr>
        <w:t xml:space="preserve">that </w:t>
      </w:r>
      <w:r w:rsidR="00F74ACA">
        <w:rPr>
          <w:rFonts w:cs="Times New Roman"/>
          <w:szCs w:val="24"/>
        </w:rPr>
        <w:t xml:space="preserve">have not yet </w:t>
      </w:r>
      <w:r w:rsidR="00080506">
        <w:rPr>
          <w:rFonts w:cs="Times New Roman"/>
          <w:szCs w:val="24"/>
        </w:rPr>
        <w:t>put adequate effort into negotiating</w:t>
      </w:r>
      <w:r w:rsidR="00F74ACA">
        <w:rPr>
          <w:rFonts w:cs="Times New Roman"/>
          <w:szCs w:val="24"/>
        </w:rPr>
        <w:t xml:space="preserve"> an agreement.  Integra’s proposal </w:t>
      </w:r>
      <w:r w:rsidRPr="008B7A9A">
        <w:rPr>
          <w:rFonts w:cs="Times New Roman"/>
          <w:szCs w:val="24"/>
        </w:rPr>
        <w:t>would unnecessarily burden electric utility and ILEC pole owners</w:t>
      </w:r>
      <w:r w:rsidR="003058B6">
        <w:rPr>
          <w:rFonts w:cs="Times New Roman"/>
          <w:szCs w:val="24"/>
        </w:rPr>
        <w:t xml:space="preserve"> and be unfair </w:t>
      </w:r>
      <w:r w:rsidRPr="008B7A9A">
        <w:rPr>
          <w:rFonts w:cs="Times New Roman"/>
          <w:szCs w:val="24"/>
        </w:rPr>
        <w:t>to the other attachers whose legitimate requests would</w:t>
      </w:r>
      <w:r w:rsidR="00080506">
        <w:rPr>
          <w:rFonts w:cs="Times New Roman"/>
          <w:szCs w:val="24"/>
        </w:rPr>
        <w:t xml:space="preserve"> likely</w:t>
      </w:r>
      <w:r w:rsidRPr="008B7A9A">
        <w:rPr>
          <w:rFonts w:cs="Times New Roman"/>
          <w:szCs w:val="24"/>
        </w:rPr>
        <w:t xml:space="preserve"> be delayed.  </w:t>
      </w:r>
      <w:r w:rsidR="006B1700">
        <w:rPr>
          <w:rFonts w:cs="Times New Roman"/>
          <w:szCs w:val="24"/>
        </w:rPr>
        <w:t xml:space="preserve">In addition, Avista is concerned that </w:t>
      </w:r>
      <w:r w:rsidR="003058B6" w:rsidRPr="009C36BF">
        <w:rPr>
          <w:rFonts w:cs="Times New Roman"/>
          <w:szCs w:val="24"/>
        </w:rPr>
        <w:t xml:space="preserve">parties </w:t>
      </w:r>
      <w:r w:rsidR="006B1700">
        <w:rPr>
          <w:rFonts w:cs="Times New Roman"/>
          <w:szCs w:val="24"/>
        </w:rPr>
        <w:t xml:space="preserve">without agreements may find themselves </w:t>
      </w:r>
      <w:r w:rsidR="003058B6" w:rsidRPr="009C36BF">
        <w:rPr>
          <w:rFonts w:cs="Times New Roman"/>
          <w:szCs w:val="24"/>
        </w:rPr>
        <w:t xml:space="preserve">surveying and measuring </w:t>
      </w:r>
      <w:r w:rsidR="003058B6">
        <w:rPr>
          <w:rFonts w:cs="Times New Roman"/>
          <w:szCs w:val="24"/>
        </w:rPr>
        <w:t xml:space="preserve">utility </w:t>
      </w:r>
      <w:r w:rsidR="003058B6" w:rsidRPr="009C36BF">
        <w:rPr>
          <w:rFonts w:cs="Times New Roman"/>
          <w:szCs w:val="24"/>
        </w:rPr>
        <w:t>poles without</w:t>
      </w:r>
      <w:r w:rsidR="003058B6">
        <w:rPr>
          <w:rFonts w:cs="Times New Roman"/>
          <w:szCs w:val="24"/>
        </w:rPr>
        <w:t xml:space="preserve"> </w:t>
      </w:r>
      <w:r w:rsidR="006B1700">
        <w:rPr>
          <w:rFonts w:cs="Times New Roman"/>
          <w:szCs w:val="24"/>
        </w:rPr>
        <w:t xml:space="preserve">any </w:t>
      </w:r>
      <w:r w:rsidR="003058B6" w:rsidRPr="009C36BF">
        <w:rPr>
          <w:rFonts w:cs="Times New Roman"/>
          <w:szCs w:val="24"/>
        </w:rPr>
        <w:t xml:space="preserve">agreement covering </w:t>
      </w:r>
      <w:r w:rsidR="003058B6">
        <w:rPr>
          <w:rFonts w:cs="Times New Roman"/>
          <w:szCs w:val="24"/>
        </w:rPr>
        <w:t xml:space="preserve">potential </w:t>
      </w:r>
      <w:r w:rsidR="003058B6" w:rsidRPr="009C36BF">
        <w:rPr>
          <w:rFonts w:cs="Times New Roman"/>
          <w:szCs w:val="24"/>
        </w:rPr>
        <w:t>liabi</w:t>
      </w:r>
      <w:r w:rsidR="003429C8">
        <w:rPr>
          <w:rFonts w:cs="Times New Roman"/>
          <w:szCs w:val="24"/>
        </w:rPr>
        <w:t xml:space="preserve">lities. </w:t>
      </w:r>
    </w:p>
    <w:p w:rsidR="00664523" w:rsidRPr="00664523" w:rsidRDefault="00D272E4" w:rsidP="00664523">
      <w:pPr>
        <w:spacing w:line="360" w:lineRule="auto"/>
        <w:ind w:firstLine="720"/>
        <w:rPr>
          <w:rFonts w:cs="Times New Roman"/>
          <w:szCs w:val="24"/>
        </w:rPr>
      </w:pPr>
      <w:r w:rsidRPr="00347087">
        <w:rPr>
          <w:rFonts w:cs="Times New Roman"/>
          <w:szCs w:val="24"/>
        </w:rPr>
        <w:t xml:space="preserve">Integra </w:t>
      </w:r>
      <w:r w:rsidR="003058B6">
        <w:rPr>
          <w:rFonts w:cs="Times New Roman"/>
          <w:szCs w:val="24"/>
        </w:rPr>
        <w:t xml:space="preserve">also proposes to revise the definition of “Usable Space” under 480-54-020(19).  To include </w:t>
      </w:r>
      <w:r w:rsidR="000C013E">
        <w:rPr>
          <w:rFonts w:cs="Times New Roman"/>
          <w:szCs w:val="24"/>
        </w:rPr>
        <w:t>“extension technology”</w:t>
      </w:r>
      <w:r w:rsidR="003058B6">
        <w:rPr>
          <w:rFonts w:cs="Times New Roman"/>
          <w:szCs w:val="24"/>
        </w:rPr>
        <w:t xml:space="preserve"> that covers</w:t>
      </w:r>
      <w:r w:rsidRPr="00347087">
        <w:rPr>
          <w:rFonts w:cs="Times New Roman"/>
          <w:szCs w:val="24"/>
        </w:rPr>
        <w:t xml:space="preserve"> boxing, cross arms, </w:t>
      </w:r>
      <w:r w:rsidR="003058B6">
        <w:rPr>
          <w:rFonts w:cs="Times New Roman"/>
          <w:szCs w:val="24"/>
        </w:rPr>
        <w:t xml:space="preserve">and </w:t>
      </w:r>
      <w:r w:rsidRPr="00347087">
        <w:rPr>
          <w:rFonts w:cs="Times New Roman"/>
          <w:szCs w:val="24"/>
        </w:rPr>
        <w:t>extension arms to the extent</w:t>
      </w:r>
      <w:r w:rsidR="000C013E">
        <w:rPr>
          <w:rFonts w:cs="Times New Roman"/>
          <w:szCs w:val="24"/>
        </w:rPr>
        <w:t xml:space="preserve"> the owner currently employs</w:t>
      </w:r>
      <w:r w:rsidR="003058B6">
        <w:rPr>
          <w:rFonts w:cs="Times New Roman"/>
          <w:szCs w:val="24"/>
        </w:rPr>
        <w:t xml:space="preserve"> those “technologies</w:t>
      </w:r>
      <w:r w:rsidR="000C013E">
        <w:rPr>
          <w:rFonts w:cs="Times New Roman"/>
          <w:szCs w:val="24"/>
        </w:rPr>
        <w:t>.</w:t>
      </w:r>
      <w:r w:rsidR="003058B6">
        <w:rPr>
          <w:rFonts w:cs="Times New Roman"/>
          <w:szCs w:val="24"/>
        </w:rPr>
        <w:t>”</w:t>
      </w:r>
      <w:r w:rsidR="000C013E">
        <w:rPr>
          <w:rStyle w:val="FootnoteReference"/>
          <w:rFonts w:cs="Times New Roman"/>
          <w:szCs w:val="24"/>
        </w:rPr>
        <w:footnoteReference w:id="3"/>
      </w:r>
      <w:r w:rsidR="000C013E">
        <w:rPr>
          <w:rFonts w:cs="Times New Roman"/>
          <w:szCs w:val="24"/>
        </w:rPr>
        <w:t xml:space="preserve">  </w:t>
      </w:r>
      <w:r w:rsidR="00664523">
        <w:rPr>
          <w:rFonts w:cs="Times New Roman"/>
          <w:szCs w:val="24"/>
        </w:rPr>
        <w:t xml:space="preserve">But this change </w:t>
      </w:r>
      <w:r w:rsidRPr="00347087">
        <w:rPr>
          <w:rFonts w:cs="Times New Roman"/>
          <w:szCs w:val="24"/>
        </w:rPr>
        <w:t xml:space="preserve">was </w:t>
      </w:r>
      <w:r w:rsidR="00664523">
        <w:rPr>
          <w:rFonts w:cs="Times New Roman"/>
          <w:szCs w:val="24"/>
        </w:rPr>
        <w:t xml:space="preserve">already </w:t>
      </w:r>
      <w:r w:rsidRPr="00347087">
        <w:rPr>
          <w:rFonts w:cs="Times New Roman"/>
          <w:szCs w:val="24"/>
        </w:rPr>
        <w:t xml:space="preserve">added into the Second Draft and then deleted </w:t>
      </w:r>
      <w:r w:rsidR="00664523">
        <w:rPr>
          <w:rFonts w:cs="Times New Roman"/>
          <w:szCs w:val="24"/>
        </w:rPr>
        <w:t xml:space="preserve">from </w:t>
      </w:r>
      <w:r w:rsidRPr="00347087">
        <w:rPr>
          <w:rFonts w:cs="Times New Roman"/>
          <w:szCs w:val="24"/>
        </w:rPr>
        <w:t xml:space="preserve">the Third Draft </w:t>
      </w:r>
      <w:r w:rsidR="00664523">
        <w:rPr>
          <w:rFonts w:cs="Times New Roman"/>
          <w:szCs w:val="24"/>
        </w:rPr>
        <w:t>for good reason.</w:t>
      </w:r>
      <w:r w:rsidRPr="00347087">
        <w:rPr>
          <w:rFonts w:cs="Times New Roman"/>
          <w:szCs w:val="24"/>
        </w:rPr>
        <w:t xml:space="preserve">  </w:t>
      </w:r>
      <w:r w:rsidR="004248E3">
        <w:rPr>
          <w:rFonts w:cs="Times New Roman"/>
          <w:szCs w:val="24"/>
        </w:rPr>
        <w:t xml:space="preserve">The effect of this </w:t>
      </w:r>
      <w:r w:rsidR="00664523" w:rsidRPr="00664523">
        <w:rPr>
          <w:rFonts w:cs="Times New Roman"/>
          <w:szCs w:val="24"/>
        </w:rPr>
        <w:t xml:space="preserve">change would </w:t>
      </w:r>
      <w:r w:rsidR="00664523">
        <w:rPr>
          <w:rFonts w:cs="Times New Roman"/>
          <w:szCs w:val="24"/>
        </w:rPr>
        <w:t xml:space="preserve">only </w:t>
      </w:r>
      <w:r w:rsidR="00080506">
        <w:rPr>
          <w:rFonts w:cs="Times New Roman"/>
          <w:szCs w:val="24"/>
        </w:rPr>
        <w:t xml:space="preserve">serve </w:t>
      </w:r>
      <w:r w:rsidR="004248E3">
        <w:rPr>
          <w:rFonts w:cs="Times New Roman"/>
          <w:szCs w:val="24"/>
        </w:rPr>
        <w:t xml:space="preserve">to modify </w:t>
      </w:r>
      <w:r w:rsidR="00664523">
        <w:rPr>
          <w:rFonts w:cs="Times New Roman"/>
          <w:szCs w:val="24"/>
        </w:rPr>
        <w:t xml:space="preserve">the rate formula to </w:t>
      </w:r>
      <w:r w:rsidR="00664523" w:rsidRPr="00664523">
        <w:rPr>
          <w:rFonts w:cs="Times New Roman"/>
          <w:szCs w:val="24"/>
        </w:rPr>
        <w:t>require attaching entities to pay far less than even the FCC cable rate would allow</w:t>
      </w:r>
      <w:r w:rsidR="00664523">
        <w:rPr>
          <w:rFonts w:cs="Times New Roman"/>
          <w:szCs w:val="24"/>
        </w:rPr>
        <w:t xml:space="preserve">, </w:t>
      </w:r>
      <w:r w:rsidR="00EB5147" w:rsidRPr="00664523">
        <w:rPr>
          <w:rFonts w:cs="Times New Roman"/>
          <w:szCs w:val="24"/>
        </w:rPr>
        <w:t xml:space="preserve">which appears to be the lowest pole attachment rate in the country.   </w:t>
      </w:r>
      <w:r w:rsidR="00EB5147">
        <w:rPr>
          <w:rFonts w:cs="Times New Roman"/>
          <w:szCs w:val="24"/>
        </w:rPr>
        <w:t xml:space="preserve">This is true because </w:t>
      </w:r>
      <w:r w:rsidR="00664523">
        <w:rPr>
          <w:rFonts w:cs="Times New Roman"/>
          <w:szCs w:val="24"/>
        </w:rPr>
        <w:t>the formula’s “</w:t>
      </w:r>
      <w:r w:rsidR="00664523" w:rsidRPr="00664523">
        <w:rPr>
          <w:rFonts w:cs="Times New Roman"/>
          <w:szCs w:val="24"/>
        </w:rPr>
        <w:t>space factor</w:t>
      </w:r>
      <w:r w:rsidR="00664523">
        <w:rPr>
          <w:rFonts w:cs="Times New Roman"/>
          <w:szCs w:val="24"/>
        </w:rPr>
        <w:t>”</w:t>
      </w:r>
      <w:r w:rsidR="00664523" w:rsidRPr="00664523">
        <w:rPr>
          <w:rFonts w:cs="Times New Roman"/>
          <w:szCs w:val="24"/>
        </w:rPr>
        <w:t xml:space="preserve"> is calculated by dividing the space an attacher occupies on the pole by the total usable space on the pole</w:t>
      </w:r>
      <w:r w:rsidR="00EB5147">
        <w:rPr>
          <w:rFonts w:cs="Times New Roman"/>
          <w:szCs w:val="24"/>
        </w:rPr>
        <w:t xml:space="preserve"> and c</w:t>
      </w:r>
      <w:r w:rsidR="00EB5147" w:rsidRPr="00664523">
        <w:rPr>
          <w:rFonts w:cs="Times New Roman"/>
          <w:szCs w:val="24"/>
        </w:rPr>
        <w:t xml:space="preserve">ross-arms can </w:t>
      </w:r>
      <w:r w:rsidR="000324D5">
        <w:rPr>
          <w:rFonts w:cs="Times New Roman"/>
          <w:szCs w:val="24"/>
        </w:rPr>
        <w:t>add</w:t>
      </w:r>
      <w:r w:rsidR="00EB5147" w:rsidRPr="00664523">
        <w:rPr>
          <w:rFonts w:cs="Times New Roman"/>
          <w:szCs w:val="24"/>
        </w:rPr>
        <w:t xml:space="preserve"> space to which attachers can install facilities</w:t>
      </w:r>
      <w:r w:rsidR="00664523" w:rsidRPr="00664523">
        <w:rPr>
          <w:rFonts w:cs="Times New Roman"/>
          <w:szCs w:val="24"/>
        </w:rPr>
        <w:t xml:space="preserve">.  </w:t>
      </w:r>
      <w:r w:rsidR="00664523">
        <w:rPr>
          <w:rFonts w:cs="Times New Roman"/>
          <w:szCs w:val="24"/>
        </w:rPr>
        <w:t xml:space="preserve">If the usable space is increased as Integra proposes, the Commission’s proposed formula would not mirror the FCC cable rate </w:t>
      </w:r>
      <w:r w:rsidR="00EB5147">
        <w:rPr>
          <w:rFonts w:cs="Times New Roman"/>
          <w:szCs w:val="24"/>
        </w:rPr>
        <w:t>because the FCC formula does</w:t>
      </w:r>
      <w:r w:rsidR="00664523" w:rsidRPr="00664523">
        <w:rPr>
          <w:rFonts w:cs="Times New Roman"/>
          <w:szCs w:val="24"/>
        </w:rPr>
        <w:t xml:space="preserve"> not include cross-arms and extension arms in its definition of usable space.   </w:t>
      </w:r>
    </w:p>
    <w:p w:rsidR="00D0581A" w:rsidRDefault="008D51C0" w:rsidP="00CF5FF6">
      <w:pPr>
        <w:spacing w:line="360" w:lineRule="auto"/>
        <w:ind w:firstLine="720"/>
        <w:rPr>
          <w:rFonts w:cs="Times New Roman"/>
          <w:szCs w:val="24"/>
        </w:rPr>
      </w:pPr>
      <w:r>
        <w:rPr>
          <w:rFonts w:cs="Times New Roman"/>
          <w:szCs w:val="24"/>
        </w:rPr>
        <w:t>The Broadband Communications Association of Washington (“</w:t>
      </w:r>
      <w:r w:rsidR="00D272E4" w:rsidRPr="00347087">
        <w:rPr>
          <w:rFonts w:cs="Times New Roman"/>
          <w:szCs w:val="24"/>
        </w:rPr>
        <w:t>BCAW</w:t>
      </w:r>
      <w:r>
        <w:rPr>
          <w:rFonts w:cs="Times New Roman"/>
          <w:szCs w:val="24"/>
        </w:rPr>
        <w:t>”)</w:t>
      </w:r>
      <w:r w:rsidR="00D272E4" w:rsidRPr="00347087">
        <w:rPr>
          <w:rFonts w:cs="Times New Roman"/>
          <w:szCs w:val="24"/>
        </w:rPr>
        <w:t xml:space="preserve"> continues to be concerned about the exclusion of “</w:t>
      </w:r>
      <w:r w:rsidR="004248E3">
        <w:rPr>
          <w:rFonts w:cs="Times New Roman"/>
          <w:szCs w:val="24"/>
        </w:rPr>
        <w:t>r</w:t>
      </w:r>
      <w:r w:rsidR="00D272E4" w:rsidRPr="00347087">
        <w:rPr>
          <w:rFonts w:cs="Times New Roman"/>
          <w:szCs w:val="24"/>
        </w:rPr>
        <w:t>ights-of-</w:t>
      </w:r>
      <w:r w:rsidR="004248E3">
        <w:rPr>
          <w:rFonts w:cs="Times New Roman"/>
          <w:szCs w:val="24"/>
        </w:rPr>
        <w:t>w</w:t>
      </w:r>
      <w:r w:rsidR="00D272E4" w:rsidRPr="00347087">
        <w:rPr>
          <w:rFonts w:cs="Times New Roman"/>
          <w:szCs w:val="24"/>
        </w:rPr>
        <w:t>ay” from these rules</w:t>
      </w:r>
      <w:r>
        <w:rPr>
          <w:rFonts w:cs="Times New Roman"/>
          <w:szCs w:val="24"/>
        </w:rPr>
        <w:t xml:space="preserve">, </w:t>
      </w:r>
      <w:r w:rsidR="004248E3">
        <w:rPr>
          <w:rFonts w:cs="Times New Roman"/>
          <w:szCs w:val="24"/>
        </w:rPr>
        <w:t>and wants to include “rights-of-way”</w:t>
      </w:r>
      <w:r w:rsidR="00D0581A">
        <w:rPr>
          <w:rFonts w:cs="Times New Roman"/>
          <w:szCs w:val="24"/>
        </w:rPr>
        <w:t xml:space="preserve"> in the definition of “Attachment” under 480-54-020(1)</w:t>
      </w:r>
      <w:r w:rsidR="00D272E4" w:rsidRPr="00347087">
        <w:rPr>
          <w:rFonts w:cs="Times New Roman"/>
          <w:szCs w:val="24"/>
        </w:rPr>
        <w:t xml:space="preserve">.  BCAW </w:t>
      </w:r>
      <w:r w:rsidR="00780702">
        <w:rPr>
          <w:rFonts w:cs="Times New Roman"/>
          <w:szCs w:val="24"/>
        </w:rPr>
        <w:t xml:space="preserve">claims that </w:t>
      </w:r>
      <w:r w:rsidR="00D272E4" w:rsidRPr="00347087">
        <w:rPr>
          <w:rFonts w:cs="Times New Roman"/>
          <w:szCs w:val="24"/>
        </w:rPr>
        <w:t xml:space="preserve">if the </w:t>
      </w:r>
      <w:r w:rsidR="00D272E4" w:rsidRPr="00347087">
        <w:rPr>
          <w:rFonts w:cs="Times New Roman"/>
          <w:szCs w:val="24"/>
        </w:rPr>
        <w:lastRenderedPageBreak/>
        <w:t xml:space="preserve">Commission </w:t>
      </w:r>
      <w:r w:rsidR="00780702">
        <w:rPr>
          <w:rFonts w:cs="Times New Roman"/>
          <w:szCs w:val="24"/>
        </w:rPr>
        <w:t xml:space="preserve">does not mandate </w:t>
      </w:r>
      <w:r w:rsidR="00D0581A">
        <w:rPr>
          <w:rFonts w:cs="Times New Roman"/>
          <w:szCs w:val="24"/>
        </w:rPr>
        <w:t xml:space="preserve">access to rights-of-way </w:t>
      </w:r>
      <w:r w:rsidR="00780702">
        <w:rPr>
          <w:rFonts w:cs="Times New Roman"/>
          <w:szCs w:val="24"/>
        </w:rPr>
        <w:t>then it would violate state law and require</w:t>
      </w:r>
      <w:r w:rsidR="00D0581A">
        <w:rPr>
          <w:rFonts w:cs="Times New Roman"/>
          <w:szCs w:val="24"/>
        </w:rPr>
        <w:t xml:space="preserve"> right-of-way dispute</w:t>
      </w:r>
      <w:r w:rsidR="00780702">
        <w:rPr>
          <w:rFonts w:cs="Times New Roman"/>
          <w:szCs w:val="24"/>
        </w:rPr>
        <w:t>s</w:t>
      </w:r>
      <w:r w:rsidR="00D0581A">
        <w:rPr>
          <w:rFonts w:cs="Times New Roman"/>
          <w:szCs w:val="24"/>
        </w:rPr>
        <w:t xml:space="preserve"> to be adjudicated at the FCC</w:t>
      </w:r>
      <w:r w:rsidR="00D272E4" w:rsidRPr="00347087">
        <w:rPr>
          <w:rFonts w:cs="Times New Roman"/>
          <w:szCs w:val="24"/>
        </w:rPr>
        <w:t>.</w:t>
      </w:r>
      <w:r w:rsidR="00D0581A">
        <w:rPr>
          <w:rStyle w:val="FootnoteReference"/>
          <w:rFonts w:cs="Times New Roman"/>
          <w:szCs w:val="24"/>
        </w:rPr>
        <w:footnoteReference w:id="4"/>
      </w:r>
      <w:r w:rsidR="00D272E4" w:rsidRPr="00347087">
        <w:rPr>
          <w:rFonts w:cs="Times New Roman"/>
          <w:szCs w:val="24"/>
        </w:rPr>
        <w:t xml:space="preserve">  </w:t>
      </w:r>
      <w:r w:rsidR="00780702">
        <w:rPr>
          <w:rFonts w:cs="Times New Roman"/>
          <w:szCs w:val="24"/>
        </w:rPr>
        <w:t xml:space="preserve">The Commission, for its part, already has </w:t>
      </w:r>
      <w:r w:rsidR="00D272E4" w:rsidRPr="00347087">
        <w:rPr>
          <w:rFonts w:cs="Times New Roman"/>
          <w:szCs w:val="24"/>
        </w:rPr>
        <w:t xml:space="preserve">responded </w:t>
      </w:r>
      <w:r w:rsidR="00780702">
        <w:rPr>
          <w:rFonts w:cs="Times New Roman"/>
          <w:szCs w:val="24"/>
        </w:rPr>
        <w:t xml:space="preserve">by explaining that </w:t>
      </w:r>
      <w:r w:rsidR="00D272E4" w:rsidRPr="00347087">
        <w:rPr>
          <w:rFonts w:cs="Times New Roman"/>
          <w:szCs w:val="24"/>
        </w:rPr>
        <w:t>permitting third party access to easements is beyond the scope of the FCC rules and implicates state law.</w:t>
      </w:r>
      <w:r w:rsidR="004100C6">
        <w:rPr>
          <w:rStyle w:val="FootnoteReference"/>
          <w:rFonts w:cs="Times New Roman"/>
          <w:szCs w:val="24"/>
        </w:rPr>
        <w:footnoteReference w:id="5"/>
      </w:r>
      <w:r w:rsidR="00D272E4" w:rsidRPr="00347087">
        <w:rPr>
          <w:rFonts w:cs="Times New Roman"/>
          <w:szCs w:val="24"/>
        </w:rPr>
        <w:t xml:space="preserve">  </w:t>
      </w:r>
    </w:p>
    <w:p w:rsidR="001861EC" w:rsidRPr="001861EC" w:rsidRDefault="00780702" w:rsidP="001861EC">
      <w:pPr>
        <w:spacing w:line="360" w:lineRule="auto"/>
        <w:ind w:firstLine="720"/>
        <w:rPr>
          <w:rFonts w:cs="Times New Roman"/>
          <w:szCs w:val="24"/>
        </w:rPr>
      </w:pPr>
      <w:r>
        <w:rPr>
          <w:rFonts w:cs="Times New Roman"/>
          <w:szCs w:val="24"/>
        </w:rPr>
        <w:t>BCAW</w:t>
      </w:r>
      <w:r w:rsidR="004248E3">
        <w:rPr>
          <w:rFonts w:cs="Times New Roman"/>
          <w:szCs w:val="24"/>
        </w:rPr>
        <w:t xml:space="preserve"> is arguing in effect </w:t>
      </w:r>
      <w:r>
        <w:rPr>
          <w:rFonts w:cs="Times New Roman"/>
          <w:szCs w:val="24"/>
        </w:rPr>
        <w:t xml:space="preserve">that the </w:t>
      </w:r>
      <w:r w:rsidR="00A868CC">
        <w:rPr>
          <w:rFonts w:cs="Times New Roman"/>
          <w:szCs w:val="24"/>
        </w:rPr>
        <w:t xml:space="preserve">pole attachment regulation adopted in the </w:t>
      </w:r>
      <w:r>
        <w:rPr>
          <w:rFonts w:cs="Times New Roman"/>
          <w:szCs w:val="24"/>
        </w:rPr>
        <w:t xml:space="preserve">federal Pole Attachment Act </w:t>
      </w:r>
      <w:r w:rsidR="00A868CC">
        <w:rPr>
          <w:rFonts w:cs="Times New Roman"/>
          <w:szCs w:val="24"/>
        </w:rPr>
        <w:t xml:space="preserve">for the FCC guarantees </w:t>
      </w:r>
      <w:r w:rsidR="004248E3">
        <w:rPr>
          <w:rFonts w:cs="Times New Roman"/>
          <w:szCs w:val="24"/>
        </w:rPr>
        <w:t xml:space="preserve">BCAW members </w:t>
      </w:r>
      <w:r w:rsidR="00A868CC">
        <w:rPr>
          <w:rFonts w:cs="Times New Roman"/>
          <w:szCs w:val="24"/>
        </w:rPr>
        <w:t>whatever rights that Congress allowed the FCC to grant in FCC regulations.  That is not how the Pole Attachment Act works</w:t>
      </w:r>
      <w:r w:rsidR="004248E3">
        <w:rPr>
          <w:rFonts w:cs="Times New Roman"/>
          <w:szCs w:val="24"/>
        </w:rPr>
        <w:t>, however</w:t>
      </w:r>
      <w:r w:rsidR="00A868CC">
        <w:rPr>
          <w:rFonts w:cs="Times New Roman"/>
          <w:szCs w:val="24"/>
        </w:rPr>
        <w:t xml:space="preserve">.  Instead, the Act provides explicitly that any State may preempt FCC jurisdiction by </w:t>
      </w:r>
      <w:r w:rsidR="004248E3">
        <w:rPr>
          <w:rFonts w:cs="Times New Roman"/>
          <w:szCs w:val="24"/>
        </w:rPr>
        <w:t xml:space="preserve">certifying to </w:t>
      </w:r>
      <w:r w:rsidR="00A868CC">
        <w:rPr>
          <w:rFonts w:cs="Times New Roman"/>
          <w:szCs w:val="24"/>
        </w:rPr>
        <w:t xml:space="preserve">the FCC that it has decided to regulate pole attachments.  Washington State already has </w:t>
      </w:r>
      <w:r w:rsidR="004248E3">
        <w:rPr>
          <w:rFonts w:cs="Times New Roman"/>
          <w:szCs w:val="24"/>
        </w:rPr>
        <w:t>provided that certification</w:t>
      </w:r>
      <w:r w:rsidR="00A868CC">
        <w:rPr>
          <w:rFonts w:cs="Times New Roman"/>
          <w:szCs w:val="24"/>
        </w:rPr>
        <w:t xml:space="preserve">.  </w:t>
      </w:r>
      <w:r w:rsidR="001861EC">
        <w:rPr>
          <w:rFonts w:cs="Times New Roman"/>
          <w:szCs w:val="24"/>
        </w:rPr>
        <w:t>As a result, Section 224(c</w:t>
      </w:r>
      <w:proofErr w:type="gramStart"/>
      <w:r w:rsidR="001861EC">
        <w:rPr>
          <w:rFonts w:cs="Times New Roman"/>
          <w:szCs w:val="24"/>
        </w:rPr>
        <w:t>)(</w:t>
      </w:r>
      <w:proofErr w:type="gramEnd"/>
      <w:r w:rsidR="001861EC">
        <w:rPr>
          <w:rFonts w:cs="Times New Roman"/>
          <w:szCs w:val="24"/>
        </w:rPr>
        <w:t xml:space="preserve">1) of the Act plainly states:  </w:t>
      </w:r>
    </w:p>
    <w:p w:rsidR="00780702" w:rsidRDefault="001861EC" w:rsidP="00F02677">
      <w:pPr>
        <w:spacing w:line="240" w:lineRule="auto"/>
        <w:ind w:left="1440" w:right="1440"/>
        <w:rPr>
          <w:rFonts w:cs="Times New Roman"/>
          <w:szCs w:val="24"/>
        </w:rPr>
      </w:pPr>
      <w:r w:rsidRPr="001861EC">
        <w:rPr>
          <w:rFonts w:cs="Times New Roman"/>
          <w:szCs w:val="24"/>
        </w:rPr>
        <w:t>Nothing in this section shall be construed to apply to, or to give the Commission jurisdiction with respect to rates, terms, and conditions, or access to poles, ducts, conduits, and rights-of-way as provided in subsection (f) of this section, for pole attachments in any case where such matters are regulated by a State.</w:t>
      </w:r>
      <w:r>
        <w:rPr>
          <w:rStyle w:val="FootnoteReference"/>
          <w:rFonts w:cs="Times New Roman"/>
          <w:szCs w:val="24"/>
        </w:rPr>
        <w:footnoteReference w:id="6"/>
      </w:r>
      <w:r w:rsidR="00A868CC">
        <w:rPr>
          <w:rFonts w:cs="Times New Roman"/>
          <w:szCs w:val="24"/>
        </w:rPr>
        <w:t xml:space="preserve"> </w:t>
      </w:r>
    </w:p>
    <w:p w:rsidR="00F02677" w:rsidRDefault="00F02677" w:rsidP="00F02677">
      <w:pPr>
        <w:spacing w:line="240" w:lineRule="auto"/>
        <w:ind w:firstLine="720"/>
        <w:rPr>
          <w:rFonts w:cs="Times New Roman"/>
          <w:szCs w:val="24"/>
        </w:rPr>
      </w:pPr>
    </w:p>
    <w:p w:rsidR="00D6734E" w:rsidRDefault="00D6734E" w:rsidP="00D6734E">
      <w:pPr>
        <w:spacing w:line="360" w:lineRule="auto"/>
        <w:rPr>
          <w:rFonts w:cs="Times New Roman"/>
          <w:szCs w:val="24"/>
        </w:rPr>
      </w:pPr>
      <w:r>
        <w:rPr>
          <w:rFonts w:cs="Times New Roman"/>
          <w:szCs w:val="24"/>
        </w:rPr>
        <w:t>BCAW members therefore have no recourse at the FCC for any pole attachment disputes in Washington State.</w:t>
      </w:r>
    </w:p>
    <w:p w:rsidR="00F02677" w:rsidRPr="00F02677" w:rsidRDefault="00D6734E" w:rsidP="00D6734E">
      <w:pPr>
        <w:spacing w:line="360" w:lineRule="auto"/>
        <w:ind w:firstLine="720"/>
        <w:rPr>
          <w:rFonts w:cs="Times New Roman"/>
          <w:szCs w:val="24"/>
        </w:rPr>
      </w:pPr>
      <w:r>
        <w:rPr>
          <w:rFonts w:cs="Times New Roman"/>
          <w:szCs w:val="24"/>
        </w:rPr>
        <w:t xml:space="preserve">It could be that </w:t>
      </w:r>
      <w:r w:rsidR="00F02677">
        <w:rPr>
          <w:rFonts w:cs="Times New Roman"/>
          <w:szCs w:val="24"/>
        </w:rPr>
        <w:t xml:space="preserve">BCAW’s proposal </w:t>
      </w:r>
      <w:r w:rsidR="00F02677" w:rsidRPr="00F02677">
        <w:rPr>
          <w:rFonts w:cs="Times New Roman"/>
          <w:szCs w:val="24"/>
        </w:rPr>
        <w:t xml:space="preserve">is designed to allow attaching entities to “piggy-back” on electric utility easements granted by private property owners, </w:t>
      </w:r>
      <w:r>
        <w:rPr>
          <w:rFonts w:cs="Times New Roman"/>
          <w:szCs w:val="24"/>
        </w:rPr>
        <w:t xml:space="preserve">but </w:t>
      </w:r>
      <w:r w:rsidR="00F02677" w:rsidRPr="00F02677">
        <w:rPr>
          <w:rFonts w:cs="Times New Roman"/>
          <w:szCs w:val="24"/>
        </w:rPr>
        <w:t xml:space="preserve">such an added burden on private property owners may violate express terms of the easement.  Even if express terms of the easement are not violated, the tenuous relationship between landowners and Avista might be changed with the introduction of third party communications attachments, particularly wireless attachments, on landowner property.  </w:t>
      </w:r>
      <w:r w:rsidR="00F02677">
        <w:rPr>
          <w:rFonts w:cs="Times New Roman"/>
          <w:szCs w:val="24"/>
        </w:rPr>
        <w:t>BCAW members</w:t>
      </w:r>
      <w:r w:rsidR="00F02677" w:rsidRPr="00F02677">
        <w:rPr>
          <w:rFonts w:cs="Times New Roman"/>
          <w:szCs w:val="24"/>
        </w:rPr>
        <w:t xml:space="preserve"> are perfectly capable of obtaining their own easements with private property owners.</w:t>
      </w:r>
    </w:p>
    <w:p w:rsidR="00F02677" w:rsidRPr="00F02677" w:rsidRDefault="00F02677" w:rsidP="00F02677">
      <w:pPr>
        <w:spacing w:line="360" w:lineRule="auto"/>
        <w:ind w:firstLine="720"/>
        <w:rPr>
          <w:rFonts w:cs="Times New Roman"/>
          <w:szCs w:val="24"/>
        </w:rPr>
      </w:pPr>
      <w:r w:rsidRPr="00F02677">
        <w:rPr>
          <w:rFonts w:cs="Times New Roman"/>
          <w:szCs w:val="24"/>
        </w:rPr>
        <w:t>As for public rights-of-way granted by municipal, county, and state governments, those rights-of-way are granted as part of a process allowing these government entities to monitor and approve equipment installed in rights-of-way and to require appropriate compensation for the use of public property.  Communications attachers should be subject to the same oversight and approval process and should therefore be required to obtain their own right</w:t>
      </w:r>
      <w:r>
        <w:rPr>
          <w:rFonts w:cs="Times New Roman"/>
          <w:szCs w:val="24"/>
        </w:rPr>
        <w:t>s</w:t>
      </w:r>
      <w:r w:rsidRPr="00F02677">
        <w:rPr>
          <w:rFonts w:cs="Times New Roman"/>
          <w:szCs w:val="24"/>
        </w:rPr>
        <w:t>-of-way.</w:t>
      </w:r>
    </w:p>
    <w:p w:rsidR="00F02677" w:rsidRDefault="00F02677" w:rsidP="00F02677">
      <w:pPr>
        <w:spacing w:line="360" w:lineRule="auto"/>
        <w:ind w:firstLine="720"/>
        <w:rPr>
          <w:rFonts w:cs="Times New Roman"/>
          <w:szCs w:val="24"/>
        </w:rPr>
      </w:pPr>
    </w:p>
    <w:p w:rsidR="00D272E4" w:rsidRPr="00347087" w:rsidRDefault="00D272E4" w:rsidP="00D272E4">
      <w:pPr>
        <w:pStyle w:val="Heading1"/>
        <w:spacing w:after="0" w:line="360" w:lineRule="auto"/>
        <w:jc w:val="center"/>
        <w:rPr>
          <w:rFonts w:cs="Times New Roman"/>
          <w:szCs w:val="24"/>
        </w:rPr>
      </w:pPr>
      <w:r w:rsidRPr="00347087">
        <w:rPr>
          <w:rFonts w:cs="Times New Roman"/>
          <w:szCs w:val="24"/>
        </w:rPr>
        <w:t>480-54-0</w:t>
      </w:r>
      <w:r w:rsidR="004D4873" w:rsidRPr="00347087">
        <w:rPr>
          <w:rFonts w:cs="Times New Roman"/>
          <w:szCs w:val="24"/>
        </w:rPr>
        <w:t>3</w:t>
      </w:r>
      <w:r w:rsidRPr="00347087">
        <w:rPr>
          <w:rFonts w:cs="Times New Roman"/>
          <w:szCs w:val="24"/>
        </w:rPr>
        <w:t>0 DUTY TO PROVIDE ACCESS; MAKE-READY WORK; TIMELINES</w:t>
      </w:r>
    </w:p>
    <w:p w:rsidR="009E77D8" w:rsidRDefault="009E77D8" w:rsidP="0065213E">
      <w:pPr>
        <w:spacing w:before="100" w:beforeAutospacing="1" w:after="100" w:afterAutospacing="1" w:line="360" w:lineRule="auto"/>
        <w:rPr>
          <w:rFonts w:cs="Times New Roman"/>
          <w:b/>
          <w:szCs w:val="24"/>
        </w:rPr>
      </w:pPr>
      <w:r>
        <w:rPr>
          <w:rFonts w:cs="Times New Roman"/>
          <w:b/>
          <w:szCs w:val="24"/>
        </w:rPr>
        <w:t>Application Processing Fees</w:t>
      </w:r>
    </w:p>
    <w:p w:rsidR="0083380C" w:rsidRDefault="009E77D8" w:rsidP="0065213E">
      <w:pPr>
        <w:spacing w:line="360" w:lineRule="auto"/>
        <w:ind w:firstLine="720"/>
        <w:rPr>
          <w:rFonts w:cs="Times New Roman"/>
          <w:szCs w:val="24"/>
        </w:rPr>
      </w:pPr>
      <w:r w:rsidRPr="00347087">
        <w:rPr>
          <w:rFonts w:cs="Times New Roman"/>
          <w:szCs w:val="24"/>
        </w:rPr>
        <w:t xml:space="preserve">BCAW </w:t>
      </w:r>
      <w:r w:rsidR="00063416">
        <w:rPr>
          <w:rFonts w:cs="Times New Roman"/>
          <w:szCs w:val="24"/>
        </w:rPr>
        <w:t xml:space="preserve">takes issue with the language in Draft Rule 480-54-030(3) </w:t>
      </w:r>
      <w:r w:rsidR="004E649F">
        <w:rPr>
          <w:rFonts w:cs="Times New Roman"/>
          <w:szCs w:val="24"/>
        </w:rPr>
        <w:t xml:space="preserve">that </w:t>
      </w:r>
      <w:r w:rsidR="00063416">
        <w:rPr>
          <w:rFonts w:cs="Times New Roman"/>
          <w:szCs w:val="24"/>
        </w:rPr>
        <w:t xml:space="preserve">allows utilities to recover “the reasonable costs the owner actually and reasonably incurs to process applications,” </w:t>
      </w:r>
      <w:r w:rsidR="007E0655">
        <w:rPr>
          <w:rFonts w:cs="Times New Roman"/>
          <w:szCs w:val="24"/>
        </w:rPr>
        <w:t>contend</w:t>
      </w:r>
      <w:r w:rsidR="00063416">
        <w:rPr>
          <w:rFonts w:cs="Times New Roman"/>
          <w:szCs w:val="24"/>
        </w:rPr>
        <w:t>ing that neither Oregon nor the FCC allows such charges.</w:t>
      </w:r>
      <w:r w:rsidR="00063416">
        <w:rPr>
          <w:rStyle w:val="FootnoteReference"/>
          <w:rFonts w:cs="Times New Roman"/>
          <w:szCs w:val="24"/>
        </w:rPr>
        <w:footnoteReference w:id="7"/>
      </w:r>
      <w:r w:rsidR="00063416">
        <w:rPr>
          <w:rFonts w:cs="Times New Roman"/>
          <w:szCs w:val="24"/>
        </w:rPr>
        <w:t xml:space="preserve">  BCAW claims that the </w:t>
      </w:r>
      <w:r w:rsidR="007E0655">
        <w:rPr>
          <w:rFonts w:cs="Times New Roman"/>
          <w:szCs w:val="24"/>
        </w:rPr>
        <w:t>costs associated with processing appli</w:t>
      </w:r>
      <w:r w:rsidR="00063416">
        <w:rPr>
          <w:rFonts w:cs="Times New Roman"/>
          <w:szCs w:val="24"/>
        </w:rPr>
        <w:t xml:space="preserve">cations </w:t>
      </w:r>
      <w:r w:rsidRPr="00347087">
        <w:rPr>
          <w:rFonts w:cs="Times New Roman"/>
          <w:szCs w:val="24"/>
        </w:rPr>
        <w:t xml:space="preserve">are already </w:t>
      </w:r>
      <w:r w:rsidR="0083380C">
        <w:rPr>
          <w:rFonts w:cs="Times New Roman"/>
          <w:szCs w:val="24"/>
        </w:rPr>
        <w:t>“</w:t>
      </w:r>
      <w:r w:rsidRPr="00347087">
        <w:rPr>
          <w:rFonts w:cs="Times New Roman"/>
          <w:szCs w:val="24"/>
        </w:rPr>
        <w:t xml:space="preserve">rolled </w:t>
      </w:r>
      <w:r w:rsidR="0083380C">
        <w:rPr>
          <w:rFonts w:cs="Times New Roman"/>
          <w:szCs w:val="24"/>
        </w:rPr>
        <w:t xml:space="preserve">up </w:t>
      </w:r>
      <w:r w:rsidRPr="00347087">
        <w:rPr>
          <w:rFonts w:cs="Times New Roman"/>
          <w:szCs w:val="24"/>
        </w:rPr>
        <w:t xml:space="preserve">into the </w:t>
      </w:r>
      <w:r w:rsidR="0083380C">
        <w:rPr>
          <w:rFonts w:cs="Times New Roman"/>
          <w:szCs w:val="24"/>
        </w:rPr>
        <w:t>administrative FERC Accounts that factor into the rental rate</w:t>
      </w:r>
      <w:r w:rsidR="004E649F">
        <w:rPr>
          <w:rFonts w:cs="Times New Roman"/>
          <w:szCs w:val="24"/>
        </w:rPr>
        <w:t>”, and that “</w:t>
      </w:r>
      <w:r w:rsidR="0083380C">
        <w:rPr>
          <w:rFonts w:cs="Times New Roman"/>
          <w:szCs w:val="24"/>
        </w:rPr>
        <w:t>double-recovery</w:t>
      </w:r>
      <w:r w:rsidR="004E649F">
        <w:rPr>
          <w:rFonts w:cs="Times New Roman"/>
          <w:szCs w:val="24"/>
        </w:rPr>
        <w:t>”</w:t>
      </w:r>
      <w:r w:rsidR="0083380C">
        <w:rPr>
          <w:rFonts w:cs="Times New Roman"/>
          <w:szCs w:val="24"/>
        </w:rPr>
        <w:t xml:space="preserve"> would occur</w:t>
      </w:r>
      <w:r w:rsidR="004E649F">
        <w:rPr>
          <w:rFonts w:cs="Times New Roman"/>
          <w:szCs w:val="24"/>
        </w:rPr>
        <w:t xml:space="preserve"> if </w:t>
      </w:r>
      <w:r w:rsidR="0083380C">
        <w:rPr>
          <w:rFonts w:cs="Times New Roman"/>
          <w:szCs w:val="24"/>
        </w:rPr>
        <w:t xml:space="preserve">direct recovery of these costs </w:t>
      </w:r>
      <w:r w:rsidR="004E649F">
        <w:rPr>
          <w:rFonts w:cs="Times New Roman"/>
          <w:szCs w:val="24"/>
        </w:rPr>
        <w:t>were allowed</w:t>
      </w:r>
      <w:r w:rsidR="0083380C">
        <w:rPr>
          <w:rFonts w:cs="Times New Roman"/>
          <w:szCs w:val="24"/>
        </w:rPr>
        <w:t>.</w:t>
      </w:r>
      <w:r w:rsidR="0083380C">
        <w:rPr>
          <w:rStyle w:val="FootnoteReference"/>
          <w:rFonts w:cs="Times New Roman"/>
          <w:szCs w:val="24"/>
        </w:rPr>
        <w:footnoteReference w:id="8"/>
      </w:r>
      <w:r w:rsidR="0083380C">
        <w:rPr>
          <w:rFonts w:cs="Times New Roman"/>
          <w:szCs w:val="24"/>
        </w:rPr>
        <w:t xml:space="preserve">  </w:t>
      </w:r>
      <w:r w:rsidR="007E0655" w:rsidRPr="007E0655">
        <w:rPr>
          <w:rFonts w:cs="Times New Roman"/>
          <w:szCs w:val="24"/>
        </w:rPr>
        <w:t xml:space="preserve">Other parties </w:t>
      </w:r>
      <w:r w:rsidR="0083380C">
        <w:rPr>
          <w:rFonts w:cs="Times New Roman"/>
          <w:szCs w:val="24"/>
        </w:rPr>
        <w:t>made similar claims of “double recovery.”</w:t>
      </w:r>
      <w:r w:rsidR="00B51A03">
        <w:rPr>
          <w:rStyle w:val="FootnoteReference"/>
          <w:rFonts w:cs="Times New Roman"/>
          <w:szCs w:val="24"/>
        </w:rPr>
        <w:footnoteReference w:id="9"/>
      </w:r>
      <w:r w:rsidRPr="00347087">
        <w:rPr>
          <w:rFonts w:cs="Times New Roman"/>
          <w:szCs w:val="24"/>
        </w:rPr>
        <w:t xml:space="preserve">  </w:t>
      </w:r>
    </w:p>
    <w:p w:rsidR="00A13A4A" w:rsidRDefault="00187F9A" w:rsidP="0065213E">
      <w:pPr>
        <w:spacing w:line="360" w:lineRule="auto"/>
        <w:ind w:firstLine="720"/>
        <w:rPr>
          <w:rFonts w:cs="Times New Roman"/>
          <w:szCs w:val="24"/>
        </w:rPr>
      </w:pPr>
      <w:r>
        <w:rPr>
          <w:rFonts w:cs="Times New Roman"/>
          <w:szCs w:val="24"/>
        </w:rPr>
        <w:t xml:space="preserve">These </w:t>
      </w:r>
      <w:r w:rsidR="002A5E17">
        <w:rPr>
          <w:rFonts w:cs="Times New Roman"/>
          <w:szCs w:val="24"/>
        </w:rPr>
        <w:t xml:space="preserve">claims of double recovery </w:t>
      </w:r>
      <w:r>
        <w:rPr>
          <w:rFonts w:cs="Times New Roman"/>
          <w:szCs w:val="24"/>
        </w:rPr>
        <w:t xml:space="preserve">are </w:t>
      </w:r>
      <w:r w:rsidR="00723C99">
        <w:rPr>
          <w:rFonts w:cs="Times New Roman"/>
          <w:szCs w:val="24"/>
        </w:rPr>
        <w:t>entirely without merit</w:t>
      </w:r>
      <w:r>
        <w:rPr>
          <w:rFonts w:cs="Times New Roman"/>
          <w:szCs w:val="24"/>
        </w:rPr>
        <w:t xml:space="preserve">.  </w:t>
      </w:r>
      <w:r w:rsidR="006609CB">
        <w:rPr>
          <w:rFonts w:cs="Times New Roman"/>
          <w:szCs w:val="24"/>
        </w:rPr>
        <w:t xml:space="preserve">BCAW </w:t>
      </w:r>
      <w:r w:rsidR="002A5E17">
        <w:rPr>
          <w:rFonts w:cs="Times New Roman"/>
          <w:szCs w:val="24"/>
        </w:rPr>
        <w:t xml:space="preserve">believes </w:t>
      </w:r>
      <w:r>
        <w:rPr>
          <w:rFonts w:cs="Times New Roman"/>
          <w:szCs w:val="24"/>
        </w:rPr>
        <w:t xml:space="preserve">that </w:t>
      </w:r>
      <w:r w:rsidR="004E649F">
        <w:rPr>
          <w:rFonts w:cs="Times New Roman"/>
          <w:szCs w:val="24"/>
        </w:rPr>
        <w:t xml:space="preserve">double recovery would occur because </w:t>
      </w:r>
      <w:r>
        <w:rPr>
          <w:rFonts w:cs="Times New Roman"/>
          <w:szCs w:val="24"/>
        </w:rPr>
        <w:t xml:space="preserve">these costs already are included in the 13 FERC Accounts that </w:t>
      </w:r>
      <w:r w:rsidR="002A5E17">
        <w:rPr>
          <w:rFonts w:cs="Times New Roman"/>
          <w:szCs w:val="24"/>
        </w:rPr>
        <w:t xml:space="preserve">comprise </w:t>
      </w:r>
      <w:r>
        <w:rPr>
          <w:rFonts w:cs="Times New Roman"/>
          <w:szCs w:val="24"/>
        </w:rPr>
        <w:t>the administrative carrying charge, citing specifically FERC Accounts 920, 921, 923, 926, and 928.</w:t>
      </w:r>
      <w:r>
        <w:rPr>
          <w:rStyle w:val="FootnoteReference"/>
          <w:rFonts w:cs="Times New Roman"/>
          <w:szCs w:val="24"/>
        </w:rPr>
        <w:footnoteReference w:id="10"/>
      </w:r>
      <w:r>
        <w:rPr>
          <w:rFonts w:cs="Times New Roman"/>
          <w:szCs w:val="24"/>
        </w:rPr>
        <w:t xml:space="preserve">  But </w:t>
      </w:r>
      <w:r w:rsidR="002A5E17">
        <w:rPr>
          <w:rFonts w:cs="Times New Roman"/>
          <w:szCs w:val="24"/>
        </w:rPr>
        <w:t xml:space="preserve">this </w:t>
      </w:r>
      <w:r w:rsidR="00D6734E">
        <w:rPr>
          <w:rFonts w:cs="Times New Roman"/>
          <w:szCs w:val="24"/>
        </w:rPr>
        <w:t xml:space="preserve">belief is mistaken </w:t>
      </w:r>
      <w:r w:rsidR="002A5E17">
        <w:rPr>
          <w:rFonts w:cs="Times New Roman"/>
          <w:szCs w:val="24"/>
        </w:rPr>
        <w:t xml:space="preserve">because </w:t>
      </w:r>
      <w:r>
        <w:rPr>
          <w:rFonts w:cs="Times New Roman"/>
          <w:szCs w:val="24"/>
        </w:rPr>
        <w:t>the entire budget of Avista’s joint use department is included in Account 588</w:t>
      </w:r>
      <w:r w:rsidR="00A13A4A">
        <w:rPr>
          <w:rFonts w:cs="Times New Roman"/>
          <w:szCs w:val="24"/>
        </w:rPr>
        <w:t xml:space="preserve"> (“Miscellaneous distribution expenses”)</w:t>
      </w:r>
      <w:r w:rsidR="002A5E17">
        <w:rPr>
          <w:rFonts w:cs="Times New Roman"/>
          <w:szCs w:val="24"/>
        </w:rPr>
        <w:t>, not in any of the 13 FERC Accounts that make up the administrative carrying charge</w:t>
      </w:r>
      <w:r w:rsidR="00A13A4A">
        <w:rPr>
          <w:rFonts w:cs="Times New Roman"/>
          <w:szCs w:val="24"/>
        </w:rPr>
        <w:t>.</w:t>
      </w:r>
      <w:r w:rsidR="00A13A4A">
        <w:rPr>
          <w:rStyle w:val="FootnoteReference"/>
          <w:rFonts w:cs="Times New Roman"/>
          <w:szCs w:val="24"/>
        </w:rPr>
        <w:footnoteReference w:id="11"/>
      </w:r>
      <w:r w:rsidR="00A13A4A">
        <w:rPr>
          <w:rFonts w:cs="Times New Roman"/>
          <w:szCs w:val="24"/>
        </w:rPr>
        <w:t xml:space="preserve">  </w:t>
      </w:r>
      <w:r w:rsidR="002A5E17">
        <w:rPr>
          <w:rFonts w:cs="Times New Roman"/>
          <w:szCs w:val="24"/>
        </w:rPr>
        <w:t xml:space="preserve">In fact, </w:t>
      </w:r>
      <w:r w:rsidR="00A13A4A">
        <w:rPr>
          <w:rFonts w:cs="Times New Roman"/>
          <w:szCs w:val="24"/>
        </w:rPr>
        <w:t xml:space="preserve">Account 588 is not included anywhere in the pole attachment rate calculation.  </w:t>
      </w:r>
      <w:r w:rsidR="005E6BE6">
        <w:rPr>
          <w:rFonts w:cs="Times New Roman"/>
          <w:szCs w:val="24"/>
        </w:rPr>
        <w:t>Avista therefore recovers none of its costs of processing applications through the pole attachment rate formula.</w:t>
      </w:r>
    </w:p>
    <w:p w:rsidR="002A5E17" w:rsidRDefault="009709CB" w:rsidP="0065213E">
      <w:pPr>
        <w:spacing w:line="360" w:lineRule="auto"/>
        <w:ind w:firstLine="720"/>
        <w:rPr>
          <w:rFonts w:cs="Times New Roman"/>
          <w:szCs w:val="24"/>
        </w:rPr>
      </w:pPr>
      <w:r>
        <w:rPr>
          <w:rFonts w:cs="Times New Roman"/>
          <w:szCs w:val="24"/>
        </w:rPr>
        <w:t xml:space="preserve">Moreover, dollar for dollar, the reimbursement Avista receives for processing applications are </w:t>
      </w:r>
      <w:r w:rsidRPr="009709CB">
        <w:rPr>
          <w:rFonts w:cs="Times New Roman"/>
          <w:szCs w:val="24"/>
        </w:rPr>
        <w:t xml:space="preserve">applied to </w:t>
      </w:r>
      <w:r>
        <w:rPr>
          <w:rFonts w:cs="Times New Roman"/>
          <w:szCs w:val="24"/>
        </w:rPr>
        <w:t xml:space="preserve">offset </w:t>
      </w:r>
      <w:r w:rsidRPr="009709CB">
        <w:rPr>
          <w:rFonts w:cs="Times New Roman"/>
          <w:szCs w:val="24"/>
        </w:rPr>
        <w:t>the expense incurred</w:t>
      </w:r>
      <w:r>
        <w:rPr>
          <w:rFonts w:cs="Times New Roman"/>
          <w:szCs w:val="24"/>
        </w:rPr>
        <w:t xml:space="preserve">, so that double recovery would not occur </w:t>
      </w:r>
      <w:r>
        <w:rPr>
          <w:rFonts w:cs="Times New Roman"/>
          <w:szCs w:val="24"/>
        </w:rPr>
        <w:lastRenderedPageBreak/>
        <w:t>even if</w:t>
      </w:r>
      <w:r w:rsidRPr="009709CB">
        <w:rPr>
          <w:rFonts w:cs="Times New Roman"/>
          <w:szCs w:val="24"/>
        </w:rPr>
        <w:t xml:space="preserve"> the cost</w:t>
      </w:r>
      <w:r>
        <w:rPr>
          <w:rFonts w:cs="Times New Roman"/>
          <w:szCs w:val="24"/>
        </w:rPr>
        <w:t>s</w:t>
      </w:r>
      <w:r w:rsidRPr="009709CB">
        <w:rPr>
          <w:rFonts w:cs="Times New Roman"/>
          <w:szCs w:val="24"/>
        </w:rPr>
        <w:t xml:space="preserve"> to process applications </w:t>
      </w:r>
      <w:r>
        <w:rPr>
          <w:rFonts w:cs="Times New Roman"/>
          <w:szCs w:val="24"/>
        </w:rPr>
        <w:t xml:space="preserve">were included in </w:t>
      </w:r>
      <w:r w:rsidR="00F2390B">
        <w:rPr>
          <w:rFonts w:cs="Times New Roman"/>
          <w:szCs w:val="24"/>
        </w:rPr>
        <w:t xml:space="preserve">one of the 13 </w:t>
      </w:r>
      <w:r w:rsidRPr="009709CB">
        <w:rPr>
          <w:rFonts w:cs="Times New Roman"/>
          <w:szCs w:val="24"/>
        </w:rPr>
        <w:t xml:space="preserve">FERC </w:t>
      </w:r>
      <w:r w:rsidR="00F2390B">
        <w:rPr>
          <w:rFonts w:cs="Times New Roman"/>
          <w:szCs w:val="24"/>
        </w:rPr>
        <w:t>A</w:t>
      </w:r>
      <w:r w:rsidRPr="009709CB">
        <w:rPr>
          <w:rFonts w:cs="Times New Roman"/>
          <w:szCs w:val="24"/>
        </w:rPr>
        <w:t>ccounts</w:t>
      </w:r>
      <w:r w:rsidR="00F2390B">
        <w:rPr>
          <w:rFonts w:cs="Times New Roman"/>
          <w:szCs w:val="24"/>
        </w:rPr>
        <w:t xml:space="preserve"> in the administrative carrying charge</w:t>
      </w:r>
      <w:r w:rsidRPr="009709CB">
        <w:rPr>
          <w:rFonts w:cs="Times New Roman"/>
          <w:szCs w:val="24"/>
        </w:rPr>
        <w:t>.</w:t>
      </w:r>
      <w:r w:rsidR="000478DB">
        <w:rPr>
          <w:rFonts w:cs="Times New Roman"/>
          <w:szCs w:val="24"/>
        </w:rPr>
        <w:t xml:space="preserve">  Those accounts would simply be reduced by the amount recovered from the attaching entity.</w:t>
      </w:r>
    </w:p>
    <w:p w:rsidR="00727540" w:rsidRDefault="008F1C1C" w:rsidP="0065213E">
      <w:pPr>
        <w:spacing w:line="360" w:lineRule="auto"/>
        <w:ind w:firstLine="720"/>
        <w:rPr>
          <w:rFonts w:cs="Times New Roman"/>
          <w:szCs w:val="24"/>
        </w:rPr>
      </w:pPr>
      <w:r>
        <w:rPr>
          <w:rFonts w:cs="Times New Roman"/>
          <w:szCs w:val="24"/>
        </w:rPr>
        <w:t xml:space="preserve">Leaving aside the facts, even if </w:t>
      </w:r>
      <w:r w:rsidR="005E6BE6">
        <w:rPr>
          <w:rFonts w:cs="Times New Roman"/>
          <w:szCs w:val="24"/>
        </w:rPr>
        <w:t xml:space="preserve">Avista’s </w:t>
      </w:r>
      <w:r w:rsidR="00A13A4A">
        <w:rPr>
          <w:rFonts w:cs="Times New Roman"/>
          <w:szCs w:val="24"/>
        </w:rPr>
        <w:t xml:space="preserve">costs to process applications were included </w:t>
      </w:r>
      <w:r w:rsidR="005E6BE6">
        <w:rPr>
          <w:rFonts w:cs="Times New Roman"/>
          <w:szCs w:val="24"/>
        </w:rPr>
        <w:t xml:space="preserve">as </w:t>
      </w:r>
      <w:r w:rsidR="00A13A4A">
        <w:rPr>
          <w:rFonts w:cs="Times New Roman"/>
          <w:szCs w:val="24"/>
        </w:rPr>
        <w:t xml:space="preserve">one of the 13 FERC Accounts in the administrative carrying charge, </w:t>
      </w:r>
      <w:r w:rsidR="000478DB">
        <w:rPr>
          <w:rFonts w:cs="Times New Roman"/>
          <w:szCs w:val="24"/>
        </w:rPr>
        <w:t xml:space="preserve">and even if those costs were not offset by amounts received from attaching entities, </w:t>
      </w:r>
      <w:r w:rsidR="005E6BE6">
        <w:rPr>
          <w:rFonts w:cs="Times New Roman"/>
          <w:szCs w:val="24"/>
        </w:rPr>
        <w:t xml:space="preserve">there still </w:t>
      </w:r>
      <w:r w:rsidR="000478DB">
        <w:rPr>
          <w:rFonts w:cs="Times New Roman"/>
          <w:szCs w:val="24"/>
        </w:rPr>
        <w:t xml:space="preserve">would </w:t>
      </w:r>
      <w:r w:rsidR="005E6BE6">
        <w:rPr>
          <w:rFonts w:cs="Times New Roman"/>
          <w:szCs w:val="24"/>
        </w:rPr>
        <w:t xml:space="preserve">be no “double recovery” of </w:t>
      </w:r>
      <w:r>
        <w:rPr>
          <w:rFonts w:cs="Times New Roman"/>
          <w:szCs w:val="24"/>
        </w:rPr>
        <w:t>the vast majority (</w:t>
      </w:r>
      <w:r w:rsidR="000478DB">
        <w:rPr>
          <w:rFonts w:cs="Times New Roman"/>
          <w:szCs w:val="24"/>
        </w:rPr>
        <w:t>well over 99%</w:t>
      </w:r>
      <w:r>
        <w:rPr>
          <w:rFonts w:cs="Times New Roman"/>
          <w:szCs w:val="24"/>
        </w:rPr>
        <w:t>)</w:t>
      </w:r>
      <w:r w:rsidR="000478DB">
        <w:rPr>
          <w:rFonts w:cs="Times New Roman"/>
          <w:szCs w:val="24"/>
        </w:rPr>
        <w:t xml:space="preserve"> of those </w:t>
      </w:r>
      <w:r w:rsidR="005E6BE6">
        <w:rPr>
          <w:rFonts w:cs="Times New Roman"/>
          <w:szCs w:val="24"/>
        </w:rPr>
        <w:t xml:space="preserve">costs.  Attached </w:t>
      </w:r>
      <w:r>
        <w:rPr>
          <w:rFonts w:cs="Times New Roman"/>
          <w:szCs w:val="24"/>
        </w:rPr>
        <w:t xml:space="preserve">as Exhibit A </w:t>
      </w:r>
      <w:r w:rsidR="005E6BE6">
        <w:rPr>
          <w:rFonts w:cs="Times New Roman"/>
          <w:szCs w:val="24"/>
        </w:rPr>
        <w:t xml:space="preserve">to these comments are rate calculations performed using the formula proposed by the Draft Rules for “XYZ Utility”, whose administrative costs are about twice as high as Avista’s.  </w:t>
      </w:r>
      <w:r w:rsidR="000563FC">
        <w:rPr>
          <w:rFonts w:cs="Times New Roman"/>
          <w:szCs w:val="24"/>
        </w:rPr>
        <w:t xml:space="preserve">Assume that </w:t>
      </w:r>
      <w:r w:rsidR="000C113A">
        <w:rPr>
          <w:rFonts w:cs="Times New Roman"/>
          <w:szCs w:val="24"/>
        </w:rPr>
        <w:t xml:space="preserve">Avista’s annual costs </w:t>
      </w:r>
      <w:r w:rsidR="007857FE">
        <w:rPr>
          <w:rFonts w:cs="Times New Roman"/>
          <w:szCs w:val="24"/>
        </w:rPr>
        <w:t xml:space="preserve">to administer </w:t>
      </w:r>
      <w:r w:rsidR="000563FC">
        <w:rPr>
          <w:rFonts w:cs="Times New Roman"/>
          <w:szCs w:val="24"/>
        </w:rPr>
        <w:t xml:space="preserve">all </w:t>
      </w:r>
      <w:r w:rsidR="000C113A">
        <w:rPr>
          <w:rFonts w:cs="Times New Roman"/>
          <w:szCs w:val="24"/>
        </w:rPr>
        <w:t xml:space="preserve">pole attachments </w:t>
      </w:r>
      <w:r w:rsidR="00080506">
        <w:rPr>
          <w:rFonts w:cs="Times New Roman"/>
          <w:szCs w:val="24"/>
        </w:rPr>
        <w:t xml:space="preserve">are </w:t>
      </w:r>
      <w:r w:rsidR="007857FE">
        <w:rPr>
          <w:rFonts w:cs="Times New Roman"/>
          <w:szCs w:val="24"/>
        </w:rPr>
        <w:t>about $200,000</w:t>
      </w:r>
      <w:r w:rsidR="000478DB">
        <w:rPr>
          <w:rFonts w:cs="Times New Roman"/>
          <w:szCs w:val="24"/>
        </w:rPr>
        <w:t>.  Applying</w:t>
      </w:r>
      <w:r w:rsidR="007857FE">
        <w:rPr>
          <w:rFonts w:cs="Times New Roman"/>
          <w:szCs w:val="24"/>
        </w:rPr>
        <w:t xml:space="preserve"> twice that </w:t>
      </w:r>
      <w:r w:rsidR="000478DB">
        <w:rPr>
          <w:rFonts w:cs="Times New Roman"/>
          <w:szCs w:val="24"/>
        </w:rPr>
        <w:t xml:space="preserve">amount </w:t>
      </w:r>
      <w:r w:rsidR="007857FE">
        <w:rPr>
          <w:rFonts w:cs="Times New Roman"/>
          <w:szCs w:val="24"/>
        </w:rPr>
        <w:t xml:space="preserve">($400,000) to the total administrative and general </w:t>
      </w:r>
      <w:r w:rsidR="00F2390B">
        <w:rPr>
          <w:rFonts w:cs="Times New Roman"/>
          <w:szCs w:val="24"/>
        </w:rPr>
        <w:t xml:space="preserve">(“A&amp;G”) </w:t>
      </w:r>
      <w:r w:rsidR="00FB26BC">
        <w:rPr>
          <w:rFonts w:cs="Times New Roman"/>
          <w:szCs w:val="24"/>
        </w:rPr>
        <w:t xml:space="preserve">expense in </w:t>
      </w:r>
      <w:r w:rsidR="007857FE">
        <w:rPr>
          <w:rFonts w:cs="Times New Roman"/>
          <w:szCs w:val="24"/>
        </w:rPr>
        <w:t>XYZ Utility’s rate calculation shows that XYZ’s</w:t>
      </w:r>
      <w:r w:rsidR="00FB26BC">
        <w:rPr>
          <w:rFonts w:cs="Times New Roman"/>
          <w:szCs w:val="24"/>
        </w:rPr>
        <w:t xml:space="preserve"> annual pole attachment rate </w:t>
      </w:r>
      <w:r w:rsidR="00F2390B">
        <w:rPr>
          <w:rFonts w:cs="Times New Roman"/>
          <w:szCs w:val="24"/>
        </w:rPr>
        <w:t xml:space="preserve">would </w:t>
      </w:r>
      <w:r w:rsidR="00FB26BC">
        <w:rPr>
          <w:rFonts w:cs="Times New Roman"/>
          <w:szCs w:val="24"/>
        </w:rPr>
        <w:t xml:space="preserve">increase by </w:t>
      </w:r>
      <w:r w:rsidR="00FB26BC" w:rsidRPr="00FB26BC">
        <w:rPr>
          <w:rFonts w:cs="Times New Roman"/>
          <w:szCs w:val="24"/>
          <w:u w:val="single"/>
        </w:rPr>
        <w:t>1/5 of one penny</w:t>
      </w:r>
      <w:r w:rsidR="00FB26BC">
        <w:rPr>
          <w:rFonts w:cs="Times New Roman"/>
          <w:szCs w:val="24"/>
        </w:rPr>
        <w:t xml:space="preserve"> ($8.6444 vs. $8.6424)</w:t>
      </w:r>
      <w:r w:rsidR="00F2390B">
        <w:rPr>
          <w:rFonts w:cs="Times New Roman"/>
          <w:szCs w:val="24"/>
        </w:rPr>
        <w:t xml:space="preserve"> </w:t>
      </w:r>
      <w:r>
        <w:rPr>
          <w:rFonts w:cs="Times New Roman"/>
          <w:szCs w:val="24"/>
        </w:rPr>
        <w:t xml:space="preserve">as a result of this increase in </w:t>
      </w:r>
      <w:r w:rsidR="00F2390B">
        <w:rPr>
          <w:rFonts w:cs="Times New Roman"/>
          <w:szCs w:val="24"/>
        </w:rPr>
        <w:t>total A&amp;G expense</w:t>
      </w:r>
      <w:r w:rsidR="00FB26BC">
        <w:rPr>
          <w:rFonts w:cs="Times New Roman"/>
          <w:szCs w:val="24"/>
        </w:rPr>
        <w:t xml:space="preserve">.  Even if the increase in the annual rate were a full penny, multiplying one </w:t>
      </w:r>
      <w:r w:rsidR="000478DB">
        <w:rPr>
          <w:rFonts w:cs="Times New Roman"/>
          <w:szCs w:val="24"/>
        </w:rPr>
        <w:t>cent</w:t>
      </w:r>
      <w:r w:rsidR="00FB26BC">
        <w:rPr>
          <w:rFonts w:cs="Times New Roman"/>
          <w:szCs w:val="24"/>
        </w:rPr>
        <w:t xml:space="preserve"> times the approximately 150,000 pole attachments </w:t>
      </w:r>
      <w:r w:rsidR="000563FC">
        <w:rPr>
          <w:rFonts w:cs="Times New Roman"/>
          <w:szCs w:val="24"/>
        </w:rPr>
        <w:t xml:space="preserve">for which </w:t>
      </w:r>
      <w:r w:rsidR="00FB26BC">
        <w:rPr>
          <w:rFonts w:cs="Times New Roman"/>
          <w:szCs w:val="24"/>
        </w:rPr>
        <w:t xml:space="preserve">Avista can charge each year would allow Avista to recover only $1500 (150,000 X $0.01 = </w:t>
      </w:r>
      <w:r w:rsidR="00727540">
        <w:rPr>
          <w:rFonts w:cs="Times New Roman"/>
          <w:szCs w:val="24"/>
        </w:rPr>
        <w:t xml:space="preserve">$1500) of Avista’s $200,000 annual expense, which is </w:t>
      </w:r>
      <w:r>
        <w:rPr>
          <w:rFonts w:cs="Times New Roman"/>
          <w:szCs w:val="24"/>
        </w:rPr>
        <w:t xml:space="preserve">less than </w:t>
      </w:r>
      <w:r w:rsidR="00727540">
        <w:rPr>
          <w:rFonts w:cs="Times New Roman"/>
          <w:szCs w:val="24"/>
        </w:rPr>
        <w:t>one percent of that expense.</w:t>
      </w:r>
      <w:r w:rsidR="00F2390B">
        <w:rPr>
          <w:rFonts w:cs="Times New Roman"/>
          <w:szCs w:val="24"/>
        </w:rPr>
        <w:t xml:space="preserve">  Since the increase in the attachment rate is </w:t>
      </w:r>
      <w:r w:rsidR="000478DB">
        <w:rPr>
          <w:rFonts w:cs="Times New Roman"/>
          <w:szCs w:val="24"/>
        </w:rPr>
        <w:t xml:space="preserve">actually </w:t>
      </w:r>
      <w:r w:rsidR="00F2390B">
        <w:rPr>
          <w:rFonts w:cs="Times New Roman"/>
          <w:szCs w:val="24"/>
        </w:rPr>
        <w:t xml:space="preserve">only 1/5 of one cent, Avista </w:t>
      </w:r>
      <w:r w:rsidR="000478DB">
        <w:rPr>
          <w:rFonts w:cs="Times New Roman"/>
          <w:szCs w:val="24"/>
        </w:rPr>
        <w:t xml:space="preserve">would </w:t>
      </w:r>
      <w:r w:rsidR="00F2390B">
        <w:rPr>
          <w:rFonts w:cs="Times New Roman"/>
          <w:szCs w:val="24"/>
        </w:rPr>
        <w:t xml:space="preserve">recover through its attachment rates </w:t>
      </w:r>
      <w:r w:rsidR="00F2390B" w:rsidRPr="000478DB">
        <w:rPr>
          <w:rFonts w:cs="Times New Roman"/>
          <w:szCs w:val="24"/>
          <w:u w:val="single"/>
        </w:rPr>
        <w:t xml:space="preserve">$300 out of </w:t>
      </w:r>
      <w:r>
        <w:rPr>
          <w:rFonts w:cs="Times New Roman"/>
          <w:szCs w:val="24"/>
          <w:u w:val="single"/>
        </w:rPr>
        <w:t xml:space="preserve">the </w:t>
      </w:r>
      <w:r w:rsidR="00F2390B" w:rsidRPr="000478DB">
        <w:rPr>
          <w:rFonts w:cs="Times New Roman"/>
          <w:szCs w:val="24"/>
          <w:u w:val="single"/>
        </w:rPr>
        <w:t>total $200,000 expense</w:t>
      </w:r>
      <w:r w:rsidR="00F2390B">
        <w:rPr>
          <w:rFonts w:cs="Times New Roman"/>
          <w:szCs w:val="24"/>
        </w:rPr>
        <w:t>.</w:t>
      </w:r>
      <w:r>
        <w:rPr>
          <w:rFonts w:cs="Times New Roman"/>
          <w:szCs w:val="24"/>
        </w:rPr>
        <w:t xml:space="preserve">  This tiny reimbursement cannot seriously be considered “double recovery.”</w:t>
      </w:r>
    </w:p>
    <w:p w:rsidR="00550E45" w:rsidRDefault="00727540" w:rsidP="0065213E">
      <w:pPr>
        <w:spacing w:line="360" w:lineRule="auto"/>
        <w:ind w:firstLine="720"/>
        <w:rPr>
          <w:rFonts w:cs="Times New Roman"/>
          <w:szCs w:val="24"/>
        </w:rPr>
      </w:pPr>
      <w:r>
        <w:rPr>
          <w:rFonts w:cs="Times New Roman"/>
          <w:szCs w:val="24"/>
        </w:rPr>
        <w:t xml:space="preserve">BCAW </w:t>
      </w:r>
      <w:r w:rsidR="00701DFB">
        <w:rPr>
          <w:rFonts w:cs="Times New Roman"/>
          <w:szCs w:val="24"/>
        </w:rPr>
        <w:t xml:space="preserve">incorrectly </w:t>
      </w:r>
      <w:r>
        <w:rPr>
          <w:rFonts w:cs="Times New Roman"/>
          <w:szCs w:val="24"/>
        </w:rPr>
        <w:t xml:space="preserve">claims that Oregon’s rules disallow recovery of </w:t>
      </w:r>
      <w:r w:rsidR="000478DB">
        <w:rPr>
          <w:rFonts w:cs="Times New Roman"/>
          <w:szCs w:val="24"/>
        </w:rPr>
        <w:t xml:space="preserve">application processing </w:t>
      </w:r>
      <w:r>
        <w:rPr>
          <w:rFonts w:cs="Times New Roman"/>
          <w:szCs w:val="24"/>
        </w:rPr>
        <w:t>expenses.</w:t>
      </w:r>
      <w:r>
        <w:rPr>
          <w:rStyle w:val="FootnoteReference"/>
          <w:rFonts w:cs="Times New Roman"/>
          <w:szCs w:val="24"/>
        </w:rPr>
        <w:footnoteReference w:id="12"/>
      </w:r>
      <w:r w:rsidR="00270415">
        <w:rPr>
          <w:rFonts w:cs="Times New Roman"/>
          <w:szCs w:val="24"/>
        </w:rPr>
        <w:t xml:space="preserve">  In the 2007 rulemaking order</w:t>
      </w:r>
      <w:r w:rsidR="00701DFB">
        <w:rPr>
          <w:rFonts w:cs="Times New Roman"/>
          <w:szCs w:val="24"/>
        </w:rPr>
        <w:t xml:space="preserve"> cited by BCAW</w:t>
      </w:r>
      <w:r w:rsidR="00270415">
        <w:rPr>
          <w:rFonts w:cs="Times New Roman"/>
          <w:szCs w:val="24"/>
        </w:rPr>
        <w:t xml:space="preserve">, the Oregon PUC reviewed the FCC decisions </w:t>
      </w:r>
      <w:r w:rsidR="006F4438">
        <w:rPr>
          <w:rFonts w:cs="Times New Roman"/>
          <w:szCs w:val="24"/>
        </w:rPr>
        <w:t xml:space="preserve">cited by BCAW </w:t>
      </w:r>
      <w:r w:rsidR="00270415">
        <w:rPr>
          <w:rFonts w:cs="Times New Roman"/>
          <w:szCs w:val="24"/>
        </w:rPr>
        <w:t>and concluded, consistent with Draft Rule 480-54-030(3)</w:t>
      </w:r>
      <w:r w:rsidR="004A5612">
        <w:rPr>
          <w:rFonts w:cs="Times New Roman"/>
          <w:szCs w:val="24"/>
        </w:rPr>
        <w:t>, that “[s]</w:t>
      </w:r>
      <w:proofErr w:type="spellStart"/>
      <w:r w:rsidR="004A5612">
        <w:rPr>
          <w:rFonts w:cs="Times New Roman"/>
          <w:szCs w:val="24"/>
        </w:rPr>
        <w:t>eparate</w:t>
      </w:r>
      <w:proofErr w:type="spellEnd"/>
      <w:r w:rsidR="004A5612">
        <w:rPr>
          <w:rFonts w:cs="Times New Roman"/>
          <w:szCs w:val="24"/>
        </w:rPr>
        <w:t xml:space="preserve"> charges may be made for new attachment activity costs, including preconstruction activity, post-construction inspection, make-ready costs, </w:t>
      </w:r>
      <w:r w:rsidR="004A5612" w:rsidRPr="004A5612">
        <w:rPr>
          <w:rFonts w:cs="Times New Roman"/>
          <w:szCs w:val="24"/>
          <w:u w:val="single"/>
        </w:rPr>
        <w:t>and related administrative charges</w:t>
      </w:r>
      <w:r w:rsidR="004A5612">
        <w:rPr>
          <w:rFonts w:cs="Times New Roman"/>
          <w:szCs w:val="24"/>
        </w:rPr>
        <w:t>.”</w:t>
      </w:r>
      <w:r w:rsidR="004A5612">
        <w:rPr>
          <w:rStyle w:val="FootnoteReference"/>
          <w:rFonts w:cs="Times New Roman"/>
          <w:szCs w:val="24"/>
        </w:rPr>
        <w:footnoteReference w:id="13"/>
      </w:r>
      <w:r w:rsidR="000F6593">
        <w:rPr>
          <w:rFonts w:cs="Times New Roman"/>
          <w:szCs w:val="24"/>
        </w:rPr>
        <w:t xml:space="preserve">  The regulation</w:t>
      </w:r>
      <w:r w:rsidR="006F4438">
        <w:rPr>
          <w:rFonts w:cs="Times New Roman"/>
          <w:szCs w:val="24"/>
        </w:rPr>
        <w:t xml:space="preserve">s promulgated </w:t>
      </w:r>
      <w:r w:rsidR="00DC0887">
        <w:rPr>
          <w:rFonts w:cs="Times New Roman"/>
          <w:szCs w:val="24"/>
        </w:rPr>
        <w:t xml:space="preserve">by </w:t>
      </w:r>
      <w:r w:rsidR="006F4438">
        <w:rPr>
          <w:rFonts w:cs="Times New Roman"/>
          <w:szCs w:val="24"/>
        </w:rPr>
        <w:t>this 2007 rulemaking order are</w:t>
      </w:r>
      <w:r w:rsidR="000F6593">
        <w:rPr>
          <w:rFonts w:cs="Times New Roman"/>
          <w:szCs w:val="24"/>
        </w:rPr>
        <w:t xml:space="preserve"> even more explicit</w:t>
      </w:r>
      <w:r w:rsidR="00DC0887">
        <w:rPr>
          <w:rFonts w:cs="Times New Roman"/>
          <w:szCs w:val="24"/>
        </w:rPr>
        <w:t xml:space="preserve"> in allowing recovery of the costs of application processing</w:t>
      </w:r>
      <w:r w:rsidR="000F6593">
        <w:rPr>
          <w:rFonts w:cs="Times New Roman"/>
          <w:szCs w:val="24"/>
        </w:rPr>
        <w:t xml:space="preserve">.  Oregon Administrative Rule 860-028-0110 explains </w:t>
      </w:r>
      <w:r w:rsidR="006F4438">
        <w:rPr>
          <w:rFonts w:cs="Times New Roman"/>
          <w:szCs w:val="24"/>
        </w:rPr>
        <w:t xml:space="preserve">first how </w:t>
      </w:r>
      <w:r w:rsidR="000F6593">
        <w:rPr>
          <w:rFonts w:cs="Times New Roman"/>
          <w:szCs w:val="24"/>
        </w:rPr>
        <w:t xml:space="preserve">annual </w:t>
      </w:r>
      <w:r w:rsidR="006F4438">
        <w:rPr>
          <w:rFonts w:cs="Times New Roman"/>
          <w:szCs w:val="24"/>
        </w:rPr>
        <w:t xml:space="preserve">pole attachment </w:t>
      </w:r>
      <w:r w:rsidR="000F6593">
        <w:rPr>
          <w:rFonts w:cs="Times New Roman"/>
          <w:szCs w:val="24"/>
        </w:rPr>
        <w:t xml:space="preserve">rental rates are calculated and then states:  </w:t>
      </w:r>
    </w:p>
    <w:p w:rsidR="00C872C3" w:rsidRDefault="000F6593" w:rsidP="00C872C3">
      <w:pPr>
        <w:spacing w:line="240" w:lineRule="auto"/>
        <w:ind w:left="1440" w:right="1440"/>
        <w:rPr>
          <w:rFonts w:cs="Times New Roman"/>
          <w:szCs w:val="24"/>
        </w:rPr>
      </w:pPr>
      <w:r>
        <w:rPr>
          <w:rFonts w:cs="Times New Roman"/>
          <w:szCs w:val="24"/>
        </w:rPr>
        <w:lastRenderedPageBreak/>
        <w:t xml:space="preserve">(3) </w:t>
      </w:r>
      <w:proofErr w:type="gramStart"/>
      <w:r>
        <w:rPr>
          <w:rFonts w:cs="Times New Roman"/>
          <w:szCs w:val="24"/>
        </w:rPr>
        <w:t>the</w:t>
      </w:r>
      <w:proofErr w:type="gramEnd"/>
      <w:r>
        <w:rPr>
          <w:rFonts w:cs="Times New Roman"/>
          <w:szCs w:val="24"/>
        </w:rPr>
        <w:t xml:space="preserve"> rental rates referenced in section (2) of this rule </w:t>
      </w:r>
      <w:r w:rsidRPr="00550E45">
        <w:rPr>
          <w:rFonts w:cs="Times New Roman"/>
          <w:szCs w:val="24"/>
          <w:u w:val="single"/>
        </w:rPr>
        <w:t>do not include the costs of permit application processing</w:t>
      </w:r>
      <w:r>
        <w:rPr>
          <w:rFonts w:cs="Times New Roman"/>
          <w:szCs w:val="24"/>
        </w:rPr>
        <w:t xml:space="preserve">, preconstruction activity, post construction inspection, make ready work, and the costs related to unauthorized attachments.  Charges for activities not included in the rental rates will be based on actual costs, </w:t>
      </w:r>
      <w:r w:rsidRPr="00550E45">
        <w:rPr>
          <w:rFonts w:cs="Times New Roman"/>
          <w:szCs w:val="24"/>
          <w:u w:val="single"/>
        </w:rPr>
        <w:t>including administrative costs</w:t>
      </w:r>
      <w:r>
        <w:rPr>
          <w:rFonts w:cs="Times New Roman"/>
          <w:szCs w:val="24"/>
        </w:rPr>
        <w:t xml:space="preserve">, and </w:t>
      </w:r>
      <w:r w:rsidRPr="00550E45">
        <w:rPr>
          <w:rFonts w:cs="Times New Roman"/>
          <w:szCs w:val="24"/>
          <w:u w:val="single"/>
        </w:rPr>
        <w:t>will be charged in addition to the rental rate</w:t>
      </w:r>
      <w:r>
        <w:rPr>
          <w:rFonts w:cs="Times New Roman"/>
          <w:szCs w:val="24"/>
        </w:rPr>
        <w:t>.</w:t>
      </w:r>
      <w:r w:rsidR="00550E45">
        <w:rPr>
          <w:rStyle w:val="FootnoteReference"/>
          <w:rFonts w:cs="Times New Roman"/>
          <w:szCs w:val="24"/>
        </w:rPr>
        <w:footnoteReference w:id="14"/>
      </w:r>
      <w:r w:rsidR="00C872C3">
        <w:rPr>
          <w:rFonts w:cs="Times New Roman"/>
          <w:szCs w:val="24"/>
        </w:rPr>
        <w:t xml:space="preserve"> </w:t>
      </w:r>
      <w:r>
        <w:rPr>
          <w:rFonts w:cs="Times New Roman"/>
          <w:szCs w:val="24"/>
        </w:rPr>
        <w:t xml:space="preserve"> </w:t>
      </w:r>
    </w:p>
    <w:p w:rsidR="00C872C3" w:rsidRDefault="00C872C3" w:rsidP="00C872C3">
      <w:pPr>
        <w:spacing w:line="240" w:lineRule="auto"/>
        <w:ind w:firstLine="720"/>
        <w:rPr>
          <w:rFonts w:cs="Times New Roman"/>
          <w:szCs w:val="24"/>
        </w:rPr>
      </w:pPr>
    </w:p>
    <w:p w:rsidR="00887391" w:rsidRDefault="006F4438" w:rsidP="00C872C3">
      <w:pPr>
        <w:spacing w:line="360" w:lineRule="auto"/>
        <w:ind w:firstLine="720"/>
        <w:rPr>
          <w:rFonts w:cs="Times New Roman"/>
          <w:szCs w:val="24"/>
        </w:rPr>
      </w:pPr>
      <w:r>
        <w:rPr>
          <w:rFonts w:cs="Times New Roman"/>
          <w:szCs w:val="24"/>
        </w:rPr>
        <w:t xml:space="preserve">The </w:t>
      </w:r>
      <w:r w:rsidR="00DA0FCE">
        <w:rPr>
          <w:rFonts w:cs="Times New Roman"/>
          <w:szCs w:val="24"/>
        </w:rPr>
        <w:t xml:space="preserve">FCC </w:t>
      </w:r>
      <w:r w:rsidR="008E0C4E">
        <w:rPr>
          <w:rFonts w:cs="Times New Roman"/>
          <w:szCs w:val="24"/>
        </w:rPr>
        <w:t xml:space="preserve">rulings </w:t>
      </w:r>
      <w:r w:rsidR="00DA0FCE">
        <w:rPr>
          <w:rFonts w:cs="Times New Roman"/>
          <w:szCs w:val="24"/>
        </w:rPr>
        <w:t>cited by BCAW</w:t>
      </w:r>
      <w:r>
        <w:rPr>
          <w:rFonts w:cs="Times New Roman"/>
          <w:szCs w:val="24"/>
        </w:rPr>
        <w:t xml:space="preserve"> are rulings of Bureaus acting on delegated authority, </w:t>
      </w:r>
      <w:r w:rsidR="009824E7">
        <w:rPr>
          <w:rFonts w:cs="Times New Roman"/>
          <w:szCs w:val="24"/>
        </w:rPr>
        <w:t xml:space="preserve">and </w:t>
      </w:r>
      <w:r>
        <w:rPr>
          <w:rFonts w:cs="Times New Roman"/>
          <w:szCs w:val="24"/>
        </w:rPr>
        <w:t xml:space="preserve">it </w:t>
      </w:r>
      <w:r w:rsidR="00AB7F40">
        <w:rPr>
          <w:rFonts w:cs="Times New Roman"/>
          <w:szCs w:val="24"/>
        </w:rPr>
        <w:t xml:space="preserve">appears </w:t>
      </w:r>
      <w:r>
        <w:rPr>
          <w:rFonts w:cs="Times New Roman"/>
          <w:szCs w:val="24"/>
        </w:rPr>
        <w:t>the</w:t>
      </w:r>
      <w:r w:rsidR="009824E7">
        <w:rPr>
          <w:rFonts w:cs="Times New Roman"/>
          <w:szCs w:val="24"/>
        </w:rPr>
        <w:t xml:space="preserve">y conducted </w:t>
      </w:r>
      <w:r w:rsidR="00AB7F40">
        <w:rPr>
          <w:rFonts w:cs="Times New Roman"/>
          <w:szCs w:val="24"/>
        </w:rPr>
        <w:t xml:space="preserve">no </w:t>
      </w:r>
      <w:r w:rsidR="00DA0FCE">
        <w:rPr>
          <w:rFonts w:cs="Times New Roman"/>
          <w:szCs w:val="24"/>
        </w:rPr>
        <w:t xml:space="preserve">analysis </w:t>
      </w:r>
      <w:r w:rsidR="008E0C4E">
        <w:rPr>
          <w:rFonts w:cs="Times New Roman"/>
          <w:szCs w:val="24"/>
        </w:rPr>
        <w:t xml:space="preserve">to </w:t>
      </w:r>
      <w:r w:rsidR="00AB7F40">
        <w:rPr>
          <w:rFonts w:cs="Times New Roman"/>
          <w:szCs w:val="24"/>
        </w:rPr>
        <w:t xml:space="preserve">determine </w:t>
      </w:r>
      <w:r w:rsidR="009824E7">
        <w:rPr>
          <w:rFonts w:cs="Times New Roman"/>
          <w:szCs w:val="24"/>
        </w:rPr>
        <w:t xml:space="preserve">the extent of </w:t>
      </w:r>
      <w:r w:rsidR="00AB7F40">
        <w:rPr>
          <w:rFonts w:cs="Times New Roman"/>
          <w:szCs w:val="24"/>
        </w:rPr>
        <w:t xml:space="preserve">any double-recovery.  </w:t>
      </w:r>
      <w:r w:rsidR="008E0C4E">
        <w:rPr>
          <w:rFonts w:cs="Times New Roman"/>
          <w:szCs w:val="24"/>
        </w:rPr>
        <w:t xml:space="preserve">Moreover, these rulings </w:t>
      </w:r>
      <w:r w:rsidR="00DC0887">
        <w:rPr>
          <w:rFonts w:cs="Times New Roman"/>
          <w:szCs w:val="24"/>
        </w:rPr>
        <w:t xml:space="preserve">are </w:t>
      </w:r>
      <w:r w:rsidR="009824E7">
        <w:rPr>
          <w:rFonts w:cs="Times New Roman"/>
          <w:szCs w:val="24"/>
        </w:rPr>
        <w:t xml:space="preserve">based on the </w:t>
      </w:r>
      <w:r w:rsidR="008E0C4E">
        <w:rPr>
          <w:rFonts w:cs="Times New Roman"/>
          <w:szCs w:val="24"/>
        </w:rPr>
        <w:t xml:space="preserve">incorrect </w:t>
      </w:r>
      <w:r w:rsidR="009824E7">
        <w:rPr>
          <w:rFonts w:cs="Times New Roman"/>
          <w:szCs w:val="24"/>
        </w:rPr>
        <w:t xml:space="preserve">conclusion that </w:t>
      </w:r>
      <w:r w:rsidR="00D130E7">
        <w:rPr>
          <w:rFonts w:cs="Times New Roman"/>
          <w:szCs w:val="24"/>
        </w:rPr>
        <w:t>application processing is a “recurring</w:t>
      </w:r>
      <w:r w:rsidR="009824E7">
        <w:rPr>
          <w:rFonts w:cs="Times New Roman"/>
          <w:szCs w:val="24"/>
        </w:rPr>
        <w:t>”</w:t>
      </w:r>
      <w:r w:rsidR="00D130E7">
        <w:rPr>
          <w:rFonts w:cs="Times New Roman"/>
          <w:szCs w:val="24"/>
        </w:rPr>
        <w:t xml:space="preserve"> cost for which a separate fee </w:t>
      </w:r>
      <w:r w:rsidR="008E0C4E">
        <w:rPr>
          <w:rFonts w:cs="Times New Roman"/>
          <w:szCs w:val="24"/>
        </w:rPr>
        <w:t xml:space="preserve">is </w:t>
      </w:r>
      <w:r w:rsidR="00D130E7">
        <w:rPr>
          <w:rFonts w:cs="Times New Roman"/>
          <w:szCs w:val="24"/>
        </w:rPr>
        <w:t xml:space="preserve">not justified, </w:t>
      </w:r>
      <w:r w:rsidR="009824E7">
        <w:rPr>
          <w:rFonts w:cs="Times New Roman"/>
          <w:szCs w:val="24"/>
        </w:rPr>
        <w:t xml:space="preserve">while </w:t>
      </w:r>
      <w:r w:rsidR="00D130E7">
        <w:rPr>
          <w:rFonts w:cs="Times New Roman"/>
          <w:szCs w:val="24"/>
        </w:rPr>
        <w:t xml:space="preserve">“pre-construction, survey, engineering, make-ready and change-out costs” are all “non-recurring” </w:t>
      </w:r>
      <w:r w:rsidR="009824E7">
        <w:rPr>
          <w:rFonts w:cs="Times New Roman"/>
          <w:szCs w:val="24"/>
        </w:rPr>
        <w:t xml:space="preserve">costs </w:t>
      </w:r>
      <w:r w:rsidR="008E0C4E">
        <w:rPr>
          <w:rFonts w:cs="Times New Roman"/>
          <w:szCs w:val="24"/>
        </w:rPr>
        <w:t>for which separate fees are justified</w:t>
      </w:r>
      <w:r w:rsidR="00D130E7">
        <w:rPr>
          <w:rFonts w:cs="Times New Roman"/>
          <w:szCs w:val="24"/>
        </w:rPr>
        <w:t>.</w:t>
      </w:r>
      <w:r w:rsidR="00D130E7">
        <w:rPr>
          <w:rStyle w:val="FootnoteReference"/>
          <w:rFonts w:cs="Times New Roman"/>
          <w:szCs w:val="24"/>
        </w:rPr>
        <w:footnoteReference w:id="15"/>
      </w:r>
      <w:r w:rsidR="008E0C4E">
        <w:rPr>
          <w:rFonts w:cs="Times New Roman"/>
          <w:szCs w:val="24"/>
        </w:rPr>
        <w:t xml:space="preserve">  This </w:t>
      </w:r>
      <w:r w:rsidR="009824E7">
        <w:rPr>
          <w:rFonts w:cs="Times New Roman"/>
          <w:szCs w:val="24"/>
        </w:rPr>
        <w:t xml:space="preserve">distinction, however, </w:t>
      </w:r>
      <w:r w:rsidR="008E0C4E">
        <w:rPr>
          <w:rFonts w:cs="Times New Roman"/>
          <w:szCs w:val="24"/>
        </w:rPr>
        <w:t>makes no sense because application processing</w:t>
      </w:r>
      <w:r w:rsidR="009824E7">
        <w:rPr>
          <w:rFonts w:cs="Times New Roman"/>
          <w:szCs w:val="24"/>
        </w:rPr>
        <w:t xml:space="preserve"> costs</w:t>
      </w:r>
      <w:r w:rsidR="008E0C4E">
        <w:rPr>
          <w:rFonts w:cs="Times New Roman"/>
          <w:szCs w:val="24"/>
        </w:rPr>
        <w:t xml:space="preserve">, like </w:t>
      </w:r>
      <w:r w:rsidR="009824E7">
        <w:rPr>
          <w:rFonts w:cs="Times New Roman"/>
          <w:szCs w:val="24"/>
        </w:rPr>
        <w:t xml:space="preserve">the costs for </w:t>
      </w:r>
      <w:r w:rsidR="008E0C4E">
        <w:rPr>
          <w:rFonts w:cs="Times New Roman"/>
          <w:szCs w:val="24"/>
        </w:rPr>
        <w:t>pre-construction, survey, engineering, make-ready and change-out costs</w:t>
      </w:r>
      <w:r w:rsidR="00887391">
        <w:rPr>
          <w:rFonts w:cs="Times New Roman"/>
          <w:szCs w:val="24"/>
        </w:rPr>
        <w:t xml:space="preserve">, </w:t>
      </w:r>
      <w:r w:rsidR="009824E7">
        <w:rPr>
          <w:rFonts w:cs="Times New Roman"/>
          <w:szCs w:val="24"/>
        </w:rPr>
        <w:t>are all costs that pole owner</w:t>
      </w:r>
      <w:r w:rsidR="00DC0887">
        <w:rPr>
          <w:rFonts w:cs="Times New Roman"/>
          <w:szCs w:val="24"/>
        </w:rPr>
        <w:t>s</w:t>
      </w:r>
      <w:r w:rsidR="009824E7">
        <w:rPr>
          <w:rFonts w:cs="Times New Roman"/>
          <w:szCs w:val="24"/>
        </w:rPr>
        <w:t xml:space="preserve"> incur only after new attachment applications are</w:t>
      </w:r>
      <w:r w:rsidR="00887391">
        <w:rPr>
          <w:rFonts w:cs="Times New Roman"/>
          <w:szCs w:val="24"/>
        </w:rPr>
        <w:t xml:space="preserve"> submitted.</w:t>
      </w:r>
      <w:r w:rsidR="00DC0887">
        <w:rPr>
          <w:rFonts w:cs="Times New Roman"/>
          <w:szCs w:val="24"/>
        </w:rPr>
        <w:t xml:space="preserve">  If pre-construction, survey, engineering, make-ready and change-out costs are all “non-recurring,” then so are application processing costs. </w:t>
      </w:r>
    </w:p>
    <w:p w:rsidR="00DD5B50" w:rsidRDefault="00DD5B50" w:rsidP="00C872C3">
      <w:pPr>
        <w:spacing w:line="360" w:lineRule="auto"/>
        <w:ind w:firstLine="720"/>
        <w:rPr>
          <w:rFonts w:cs="Times New Roman"/>
          <w:szCs w:val="24"/>
        </w:rPr>
      </w:pPr>
      <w:r w:rsidRPr="00347087">
        <w:rPr>
          <w:rFonts w:cs="Times New Roman"/>
          <w:szCs w:val="24"/>
        </w:rPr>
        <w:t xml:space="preserve">The </w:t>
      </w:r>
      <w:r>
        <w:rPr>
          <w:rFonts w:cs="Times New Roman"/>
          <w:szCs w:val="24"/>
        </w:rPr>
        <w:t xml:space="preserve">annual </w:t>
      </w:r>
      <w:r w:rsidRPr="00347087">
        <w:rPr>
          <w:rFonts w:cs="Times New Roman"/>
          <w:szCs w:val="24"/>
        </w:rPr>
        <w:t xml:space="preserve">pole </w:t>
      </w:r>
      <w:r>
        <w:rPr>
          <w:rFonts w:cs="Times New Roman"/>
          <w:szCs w:val="24"/>
        </w:rPr>
        <w:t xml:space="preserve">attachment </w:t>
      </w:r>
      <w:r w:rsidRPr="00347087">
        <w:rPr>
          <w:rFonts w:cs="Times New Roman"/>
          <w:szCs w:val="24"/>
        </w:rPr>
        <w:t xml:space="preserve">rate is intended to </w:t>
      </w:r>
      <w:r>
        <w:rPr>
          <w:rFonts w:cs="Times New Roman"/>
          <w:szCs w:val="24"/>
        </w:rPr>
        <w:t>allow the pole owner recover the attacher’s share of the</w:t>
      </w:r>
      <w:r w:rsidR="003D372D">
        <w:rPr>
          <w:rFonts w:cs="Times New Roman"/>
          <w:szCs w:val="24"/>
        </w:rPr>
        <w:t xml:space="preserve"> annual </w:t>
      </w:r>
      <w:r w:rsidR="00DC0887">
        <w:rPr>
          <w:rFonts w:cs="Times New Roman"/>
          <w:szCs w:val="24"/>
        </w:rPr>
        <w:t xml:space="preserve">costs of owning an maintaining a bare pole, which include </w:t>
      </w:r>
      <w:r>
        <w:rPr>
          <w:rFonts w:cs="Times New Roman"/>
          <w:szCs w:val="24"/>
        </w:rPr>
        <w:t xml:space="preserve">administrative, maintenance and other </w:t>
      </w:r>
      <w:r w:rsidR="00DC0887">
        <w:rPr>
          <w:rFonts w:cs="Times New Roman"/>
          <w:szCs w:val="24"/>
        </w:rPr>
        <w:t xml:space="preserve">expenses.  Since the attacher makes use of that pole, the attacher is supposed to pay for its share of these total annual costs of owning a bare pole.  The annual rental rate is not designed to </w:t>
      </w:r>
      <w:r w:rsidR="00B347F6">
        <w:rPr>
          <w:rFonts w:cs="Times New Roman"/>
          <w:szCs w:val="24"/>
        </w:rPr>
        <w:t>recover</w:t>
      </w:r>
      <w:r w:rsidR="00DC0887">
        <w:rPr>
          <w:rFonts w:cs="Times New Roman"/>
          <w:szCs w:val="24"/>
        </w:rPr>
        <w:t xml:space="preserve"> </w:t>
      </w:r>
      <w:r w:rsidR="00B347F6">
        <w:rPr>
          <w:rFonts w:cs="Times New Roman"/>
          <w:szCs w:val="24"/>
        </w:rPr>
        <w:t xml:space="preserve">the other </w:t>
      </w:r>
      <w:r w:rsidR="00B347F6" w:rsidRPr="00347087">
        <w:rPr>
          <w:rFonts w:cs="Times New Roman"/>
          <w:szCs w:val="24"/>
        </w:rPr>
        <w:t xml:space="preserve">exceptional costs that </w:t>
      </w:r>
      <w:r w:rsidR="00B347F6">
        <w:rPr>
          <w:rFonts w:cs="Times New Roman"/>
          <w:szCs w:val="24"/>
        </w:rPr>
        <w:t xml:space="preserve">the owner incurs in order to </w:t>
      </w:r>
      <w:r w:rsidR="00B347F6" w:rsidRPr="00347087">
        <w:rPr>
          <w:rFonts w:cs="Times New Roman"/>
          <w:szCs w:val="24"/>
        </w:rPr>
        <w:t>monitor, evaluate and manage the joint use program</w:t>
      </w:r>
      <w:r w:rsidR="00B347F6">
        <w:rPr>
          <w:rFonts w:cs="Times New Roman"/>
          <w:szCs w:val="24"/>
        </w:rPr>
        <w:t>.  Those costs are not costs associated with owning a bare pole.  Instead, they are out</w:t>
      </w:r>
      <w:r w:rsidR="00701DFB">
        <w:rPr>
          <w:rFonts w:cs="Times New Roman"/>
          <w:szCs w:val="24"/>
        </w:rPr>
        <w:t>-</w:t>
      </w:r>
      <w:r w:rsidR="00B347F6">
        <w:rPr>
          <w:rFonts w:cs="Times New Roman"/>
          <w:szCs w:val="24"/>
        </w:rPr>
        <w:t>of</w:t>
      </w:r>
      <w:r w:rsidR="00701DFB">
        <w:rPr>
          <w:rFonts w:cs="Times New Roman"/>
          <w:szCs w:val="24"/>
        </w:rPr>
        <w:t>-</w:t>
      </w:r>
      <w:r w:rsidR="00B347F6">
        <w:rPr>
          <w:rFonts w:cs="Times New Roman"/>
          <w:szCs w:val="24"/>
        </w:rPr>
        <w:t xml:space="preserve">pocket costs incurred by the pole owner to process applications, get communications attachments on the poles, and then monitor and manage those attachments.  </w:t>
      </w:r>
      <w:r w:rsidR="003D372D">
        <w:rPr>
          <w:rFonts w:cs="Times New Roman"/>
          <w:szCs w:val="24"/>
        </w:rPr>
        <w:t>That is why separate charges are needed for pre-construction, survey, engineering, make-ready and pole change-out costs, and that is why separate charges are needed for application processing.</w:t>
      </w:r>
      <w:r w:rsidR="00701DFB">
        <w:rPr>
          <w:rFonts w:cs="Times New Roman"/>
          <w:szCs w:val="24"/>
        </w:rPr>
        <w:t xml:space="preserve">  Otherwise, pole owners would not be able to recover those costs.</w:t>
      </w:r>
    </w:p>
    <w:p w:rsidR="00DD5B50" w:rsidRDefault="00887391" w:rsidP="00C872C3">
      <w:pPr>
        <w:spacing w:line="360" w:lineRule="auto"/>
        <w:ind w:firstLine="720"/>
        <w:rPr>
          <w:rFonts w:cs="Times New Roman"/>
          <w:szCs w:val="24"/>
        </w:rPr>
      </w:pPr>
      <w:r>
        <w:rPr>
          <w:rFonts w:cs="Times New Roman"/>
          <w:szCs w:val="24"/>
        </w:rPr>
        <w:t xml:space="preserve">For all of these reasons, Avista respectfully proposes that the Commission follow the Oregon PUC approach and retain the language in Draft Rule 480-54-030(3) allowing utilities to recover “the reasonable costs the owner actually and reasonably incurs to process applications.”  </w:t>
      </w:r>
      <w:r>
        <w:rPr>
          <w:rFonts w:cs="Times New Roman"/>
          <w:szCs w:val="24"/>
        </w:rPr>
        <w:lastRenderedPageBreak/>
        <w:t xml:space="preserve">To do otherwise would be to </w:t>
      </w:r>
      <w:r w:rsidR="009E77D8" w:rsidRPr="00347087">
        <w:rPr>
          <w:rFonts w:cs="Times New Roman"/>
          <w:szCs w:val="24"/>
        </w:rPr>
        <w:t>misrepresent the realit</w:t>
      </w:r>
      <w:r>
        <w:rPr>
          <w:rFonts w:cs="Times New Roman"/>
          <w:szCs w:val="24"/>
        </w:rPr>
        <w:t>ies of cost recovery</w:t>
      </w:r>
      <w:r w:rsidR="00D830FC">
        <w:rPr>
          <w:rFonts w:cs="Times New Roman"/>
          <w:szCs w:val="24"/>
        </w:rPr>
        <w:t xml:space="preserve"> and require electric ratepayers to subsidize communications </w:t>
      </w:r>
      <w:r w:rsidR="00B347F6">
        <w:rPr>
          <w:rFonts w:cs="Times New Roman"/>
          <w:szCs w:val="24"/>
        </w:rPr>
        <w:t xml:space="preserve">company </w:t>
      </w:r>
      <w:r w:rsidR="00D830FC">
        <w:rPr>
          <w:rFonts w:cs="Times New Roman"/>
          <w:szCs w:val="24"/>
        </w:rPr>
        <w:t>attachments</w:t>
      </w:r>
      <w:r w:rsidR="00AA3495">
        <w:rPr>
          <w:rFonts w:cs="Times New Roman"/>
          <w:szCs w:val="24"/>
        </w:rPr>
        <w:t>.</w:t>
      </w:r>
      <w:r w:rsidR="00D830FC">
        <w:rPr>
          <w:rStyle w:val="FootnoteReference"/>
          <w:rFonts w:cs="Times New Roman"/>
          <w:szCs w:val="24"/>
        </w:rPr>
        <w:footnoteReference w:id="16"/>
      </w:r>
      <w:r w:rsidR="00AA3495">
        <w:rPr>
          <w:rFonts w:cs="Times New Roman"/>
          <w:szCs w:val="24"/>
        </w:rPr>
        <w:t xml:space="preserve">  </w:t>
      </w:r>
    </w:p>
    <w:p w:rsidR="00142494" w:rsidRDefault="00142494" w:rsidP="0065213E">
      <w:pPr>
        <w:spacing w:line="360" w:lineRule="auto"/>
        <w:rPr>
          <w:rFonts w:cs="Times New Roman"/>
          <w:b/>
          <w:szCs w:val="24"/>
        </w:rPr>
      </w:pPr>
    </w:p>
    <w:p w:rsidR="006609CB" w:rsidRDefault="006609CB" w:rsidP="0065213E">
      <w:pPr>
        <w:spacing w:line="360" w:lineRule="auto"/>
        <w:rPr>
          <w:rFonts w:cs="Times New Roman"/>
          <w:szCs w:val="24"/>
        </w:rPr>
      </w:pPr>
      <w:r>
        <w:rPr>
          <w:rFonts w:cs="Times New Roman"/>
          <w:b/>
          <w:szCs w:val="24"/>
        </w:rPr>
        <w:t>Correcting Pre-Existing Violations</w:t>
      </w:r>
    </w:p>
    <w:p w:rsidR="00DA7BE3" w:rsidRDefault="009E77D8" w:rsidP="00914329">
      <w:pPr>
        <w:spacing w:line="360" w:lineRule="auto"/>
        <w:ind w:firstLine="720"/>
        <w:rPr>
          <w:rFonts w:cs="Times New Roman"/>
          <w:szCs w:val="24"/>
        </w:rPr>
      </w:pPr>
      <w:r w:rsidRPr="00347087">
        <w:rPr>
          <w:rFonts w:cs="Times New Roman"/>
          <w:szCs w:val="24"/>
        </w:rPr>
        <w:t xml:space="preserve">BCAW objects to </w:t>
      </w:r>
      <w:r w:rsidR="00F02677">
        <w:rPr>
          <w:rFonts w:cs="Times New Roman"/>
          <w:szCs w:val="24"/>
        </w:rPr>
        <w:t xml:space="preserve">the requirement that all </w:t>
      </w:r>
      <w:r w:rsidRPr="00347087">
        <w:rPr>
          <w:rFonts w:cs="Times New Roman"/>
          <w:szCs w:val="24"/>
        </w:rPr>
        <w:t xml:space="preserve">pre-existing violations </w:t>
      </w:r>
      <w:r w:rsidR="00F02677">
        <w:rPr>
          <w:rFonts w:cs="Times New Roman"/>
          <w:szCs w:val="24"/>
        </w:rPr>
        <w:t xml:space="preserve">be corrected before overlashing, and instead requests new language </w:t>
      </w:r>
      <w:r w:rsidR="00701DFB">
        <w:rPr>
          <w:rFonts w:cs="Times New Roman"/>
          <w:szCs w:val="24"/>
        </w:rPr>
        <w:t xml:space="preserve">in Draft Rule 480-54-030(11) </w:t>
      </w:r>
      <w:r w:rsidR="00F02677">
        <w:rPr>
          <w:rFonts w:cs="Times New Roman"/>
          <w:szCs w:val="24"/>
        </w:rPr>
        <w:t xml:space="preserve">providing that only </w:t>
      </w:r>
      <w:r w:rsidR="00F02677" w:rsidRPr="00347087">
        <w:rPr>
          <w:rFonts w:cs="Times New Roman"/>
          <w:szCs w:val="24"/>
        </w:rPr>
        <w:t>pre-existing violation</w:t>
      </w:r>
      <w:r w:rsidR="00F02677">
        <w:rPr>
          <w:rFonts w:cs="Times New Roman"/>
          <w:szCs w:val="24"/>
        </w:rPr>
        <w:t xml:space="preserve">s </w:t>
      </w:r>
      <w:r w:rsidR="00F02677" w:rsidRPr="00347087">
        <w:rPr>
          <w:rFonts w:cs="Times New Roman"/>
          <w:i/>
          <w:iCs/>
          <w:szCs w:val="24"/>
        </w:rPr>
        <w:t>caused</w:t>
      </w:r>
      <w:r w:rsidR="00F02677" w:rsidRPr="00347087">
        <w:rPr>
          <w:rFonts w:cs="Times New Roman"/>
          <w:szCs w:val="24"/>
        </w:rPr>
        <w:t xml:space="preserve"> by the attacher seeking to overlash</w:t>
      </w:r>
      <w:r w:rsidR="00F02677">
        <w:rPr>
          <w:rStyle w:val="FootnoteReference"/>
          <w:rFonts w:cs="Times New Roman"/>
          <w:szCs w:val="24"/>
        </w:rPr>
        <w:t xml:space="preserve"> </w:t>
      </w:r>
      <w:r w:rsidR="00F02677">
        <w:rPr>
          <w:rFonts w:cs="Times New Roman"/>
          <w:szCs w:val="24"/>
        </w:rPr>
        <w:t>need to be corrected prior to overlashing.</w:t>
      </w:r>
      <w:r w:rsidR="00DB04D8">
        <w:rPr>
          <w:rStyle w:val="FootnoteReference"/>
          <w:rFonts w:cs="Times New Roman"/>
          <w:szCs w:val="24"/>
        </w:rPr>
        <w:footnoteReference w:id="17"/>
      </w:r>
      <w:r w:rsidRPr="00347087">
        <w:rPr>
          <w:rFonts w:cs="Times New Roman"/>
          <w:szCs w:val="24"/>
        </w:rPr>
        <w:t xml:space="preserve">  </w:t>
      </w:r>
      <w:r w:rsidR="00914329">
        <w:rPr>
          <w:rFonts w:cs="Times New Roman"/>
          <w:szCs w:val="24"/>
        </w:rPr>
        <w:t xml:space="preserve">This change, however, would place occupant contractors in harm’s way and </w:t>
      </w:r>
      <w:r w:rsidR="00914329" w:rsidRPr="00347087">
        <w:rPr>
          <w:rFonts w:cs="Times New Roman"/>
          <w:szCs w:val="24"/>
        </w:rPr>
        <w:t xml:space="preserve">leave </w:t>
      </w:r>
      <w:r w:rsidR="00914329">
        <w:rPr>
          <w:rFonts w:cs="Times New Roman"/>
          <w:szCs w:val="24"/>
        </w:rPr>
        <w:t xml:space="preserve">all other </w:t>
      </w:r>
      <w:r w:rsidR="00914329" w:rsidRPr="00347087">
        <w:rPr>
          <w:rFonts w:cs="Times New Roman"/>
          <w:szCs w:val="24"/>
        </w:rPr>
        <w:t xml:space="preserve">safety violations in place for other workers to encounter in the future.  </w:t>
      </w:r>
      <w:r w:rsidR="003714C8">
        <w:rPr>
          <w:rFonts w:cs="Times New Roman"/>
          <w:szCs w:val="24"/>
        </w:rPr>
        <w:t xml:space="preserve">In fact, </w:t>
      </w:r>
      <w:r w:rsidR="00914329">
        <w:rPr>
          <w:rFonts w:cs="Times New Roman"/>
          <w:szCs w:val="24"/>
        </w:rPr>
        <w:t xml:space="preserve">the only effect </w:t>
      </w:r>
      <w:r w:rsidR="003714C8">
        <w:rPr>
          <w:rFonts w:cs="Times New Roman"/>
          <w:szCs w:val="24"/>
        </w:rPr>
        <w:t xml:space="preserve">of </w:t>
      </w:r>
      <w:r w:rsidR="00914329">
        <w:rPr>
          <w:rFonts w:cs="Times New Roman"/>
          <w:szCs w:val="24"/>
        </w:rPr>
        <w:t>this proposed change w</w:t>
      </w:r>
      <w:r w:rsidR="000563FC">
        <w:rPr>
          <w:rFonts w:cs="Times New Roman"/>
          <w:szCs w:val="24"/>
        </w:rPr>
        <w:t xml:space="preserve">ould be </w:t>
      </w:r>
      <w:r w:rsidR="00914329">
        <w:rPr>
          <w:rFonts w:cs="Times New Roman"/>
          <w:szCs w:val="24"/>
        </w:rPr>
        <w:t>to allow</w:t>
      </w:r>
      <w:r w:rsidR="00914329" w:rsidRPr="00347087">
        <w:rPr>
          <w:rFonts w:cs="Times New Roman"/>
          <w:szCs w:val="24"/>
        </w:rPr>
        <w:t xml:space="preserve"> Occupants </w:t>
      </w:r>
      <w:r w:rsidR="00914329">
        <w:rPr>
          <w:rFonts w:cs="Times New Roman"/>
          <w:szCs w:val="24"/>
        </w:rPr>
        <w:t xml:space="preserve">to </w:t>
      </w:r>
      <w:r w:rsidR="00914329" w:rsidRPr="00347087">
        <w:rPr>
          <w:rFonts w:cs="Times New Roman"/>
          <w:szCs w:val="24"/>
        </w:rPr>
        <w:t xml:space="preserve">argue </w:t>
      </w:r>
      <w:r w:rsidR="00914329">
        <w:rPr>
          <w:rFonts w:cs="Times New Roman"/>
          <w:szCs w:val="24"/>
        </w:rPr>
        <w:t xml:space="preserve">every time that </w:t>
      </w:r>
      <w:r w:rsidR="00914329" w:rsidRPr="00347087">
        <w:rPr>
          <w:rFonts w:cs="Times New Roman"/>
          <w:szCs w:val="24"/>
        </w:rPr>
        <w:t xml:space="preserve">they </w:t>
      </w:r>
      <w:r w:rsidR="00914329">
        <w:rPr>
          <w:rFonts w:cs="Times New Roman"/>
          <w:szCs w:val="24"/>
        </w:rPr>
        <w:t xml:space="preserve">did not cause the violation so </w:t>
      </w:r>
      <w:r w:rsidR="003714C8">
        <w:rPr>
          <w:rFonts w:cs="Times New Roman"/>
          <w:szCs w:val="24"/>
        </w:rPr>
        <w:t xml:space="preserve">that </w:t>
      </w:r>
      <w:r w:rsidR="00914329">
        <w:rPr>
          <w:rFonts w:cs="Times New Roman"/>
          <w:szCs w:val="24"/>
        </w:rPr>
        <w:t xml:space="preserve">their overlashing </w:t>
      </w:r>
      <w:r w:rsidR="000563FC">
        <w:rPr>
          <w:rFonts w:cs="Times New Roman"/>
          <w:szCs w:val="24"/>
        </w:rPr>
        <w:t xml:space="preserve">or new attachment </w:t>
      </w:r>
      <w:r w:rsidR="00914329">
        <w:rPr>
          <w:rFonts w:cs="Times New Roman"/>
          <w:szCs w:val="24"/>
        </w:rPr>
        <w:t xml:space="preserve">project should proceed without delay.  </w:t>
      </w:r>
    </w:p>
    <w:p w:rsidR="00850FDC" w:rsidRPr="00850FDC" w:rsidRDefault="00914329" w:rsidP="00850FDC">
      <w:pPr>
        <w:spacing w:line="360" w:lineRule="auto"/>
        <w:ind w:firstLine="720"/>
        <w:rPr>
          <w:rFonts w:cs="Times New Roman"/>
          <w:szCs w:val="24"/>
        </w:rPr>
      </w:pPr>
      <w:r w:rsidRPr="00347087">
        <w:rPr>
          <w:rFonts w:cs="Times New Roman"/>
          <w:szCs w:val="24"/>
        </w:rPr>
        <w:t xml:space="preserve">Poles cannot be left with safety issues </w:t>
      </w:r>
      <w:r w:rsidR="00DA7BE3">
        <w:rPr>
          <w:rFonts w:cs="Times New Roman"/>
          <w:szCs w:val="24"/>
        </w:rPr>
        <w:t xml:space="preserve">because of arguments over who caused the violation.  </w:t>
      </w:r>
      <w:r w:rsidR="00850FDC" w:rsidRPr="00850FDC">
        <w:rPr>
          <w:rFonts w:cs="Times New Roman"/>
          <w:szCs w:val="24"/>
        </w:rPr>
        <w:t xml:space="preserve">If one communication attachment has violated the safety zone, for example, then each party below it does not have adequate separation from energized facilities because the required safety zone has been breached.  There then needs to be a cooperative effort to make the pole safe by modifying the attachments.  The location of existing attachments at the pole, including those of BCAW members, may already violate </w:t>
      </w:r>
      <w:r w:rsidR="00733956">
        <w:rPr>
          <w:rFonts w:cs="Times New Roman"/>
          <w:szCs w:val="24"/>
        </w:rPr>
        <w:t>National Electrical Safety Code (</w:t>
      </w:r>
      <w:r w:rsidR="00850FDC" w:rsidRPr="00850FDC">
        <w:rPr>
          <w:rFonts w:cs="Times New Roman"/>
          <w:szCs w:val="24"/>
        </w:rPr>
        <w:t>NESC</w:t>
      </w:r>
      <w:r w:rsidR="00733956">
        <w:rPr>
          <w:rFonts w:cs="Times New Roman"/>
          <w:szCs w:val="24"/>
        </w:rPr>
        <w:t>)</w:t>
      </w:r>
      <w:r w:rsidR="00850FDC" w:rsidRPr="00850FDC">
        <w:rPr>
          <w:rFonts w:cs="Times New Roman"/>
          <w:szCs w:val="24"/>
        </w:rPr>
        <w:t xml:space="preserve"> spacing requirements by being located too close other attachments, and of particular concern, too close to the energized conductors of Avista.  Existing cable bundles may not be compliant with existing codes and standards. Even without the additional sag created by the new overlashed cable</w:t>
      </w:r>
      <w:r w:rsidR="00DA7BE3">
        <w:rPr>
          <w:rFonts w:cs="Times New Roman"/>
          <w:szCs w:val="24"/>
        </w:rPr>
        <w:t>,</w:t>
      </w:r>
      <w:r w:rsidR="00850FDC" w:rsidRPr="00850FDC">
        <w:rPr>
          <w:rFonts w:cs="Times New Roman"/>
          <w:szCs w:val="24"/>
        </w:rPr>
        <w:t xml:space="preserve"> they may violate the NESC’s mid-span sag limitations.  </w:t>
      </w:r>
    </w:p>
    <w:p w:rsidR="00850FDC" w:rsidRPr="00850FDC" w:rsidRDefault="00850FDC" w:rsidP="00850FDC">
      <w:pPr>
        <w:spacing w:line="360" w:lineRule="auto"/>
        <w:ind w:firstLine="720"/>
        <w:rPr>
          <w:rFonts w:cs="Times New Roman"/>
          <w:szCs w:val="24"/>
        </w:rPr>
      </w:pPr>
      <w:r w:rsidRPr="00850FDC">
        <w:rPr>
          <w:rFonts w:cs="Times New Roman"/>
          <w:szCs w:val="24"/>
        </w:rPr>
        <w:t xml:space="preserve">As with any attachment request, requests to overlash provide an opportunity for those attached to the pole to assess the attachment conditions on the pole and to make any changes </w:t>
      </w:r>
      <w:r w:rsidRPr="00850FDC">
        <w:rPr>
          <w:rFonts w:cs="Times New Roman"/>
          <w:szCs w:val="24"/>
        </w:rPr>
        <w:lastRenderedPageBreak/>
        <w:t xml:space="preserve">necessary to ensure the pole is safe and reliable for the benefit of all attachers and the general public.  Every pole on which pole owners cannot correct existing safety and reliability problems is a pole that will continue to have safety and reliability problems, which unsupervised overlashing will exacerbate.  </w:t>
      </w:r>
    </w:p>
    <w:p w:rsidR="002B3839" w:rsidRPr="00347087" w:rsidRDefault="00850FDC" w:rsidP="00AC2B68">
      <w:pPr>
        <w:spacing w:line="360" w:lineRule="auto"/>
        <w:ind w:firstLine="720"/>
        <w:rPr>
          <w:rFonts w:cs="Times New Roman"/>
          <w:szCs w:val="24"/>
        </w:rPr>
      </w:pPr>
      <w:r w:rsidRPr="00850FDC">
        <w:rPr>
          <w:rFonts w:cs="Times New Roman"/>
          <w:szCs w:val="24"/>
        </w:rPr>
        <w:t xml:space="preserve">It may be taxing in some cases for all parties on the pole to comply with safety standards, but compliance with safety standards remains the </w:t>
      </w:r>
      <w:r w:rsidR="002969E9">
        <w:rPr>
          <w:rFonts w:cs="Times New Roman"/>
          <w:szCs w:val="24"/>
        </w:rPr>
        <w:t xml:space="preserve">highest </w:t>
      </w:r>
      <w:r w:rsidRPr="00850FDC">
        <w:rPr>
          <w:rFonts w:cs="Times New Roman"/>
          <w:szCs w:val="24"/>
        </w:rPr>
        <w:t xml:space="preserve">responsibility of all attaching entities.  The fully-constructed distribution pole </w:t>
      </w:r>
      <w:proofErr w:type="gramStart"/>
      <w:r w:rsidRPr="00850FDC">
        <w:rPr>
          <w:rFonts w:cs="Times New Roman"/>
          <w:szCs w:val="24"/>
        </w:rPr>
        <w:t>system</w:t>
      </w:r>
      <w:proofErr w:type="gramEnd"/>
      <w:r w:rsidRPr="00850FDC">
        <w:rPr>
          <w:rFonts w:cs="Times New Roman"/>
          <w:szCs w:val="24"/>
        </w:rPr>
        <w:t xml:space="preserve"> to which communications facilities are attached contain potentially hazardous energized facilities and were constructed by Avista to provide safe and reliable electricity.  There is no room for attaching entities to be cavalier about overlashing or any attachment requirements</w:t>
      </w:r>
      <w:r w:rsidR="008D2EE0">
        <w:rPr>
          <w:rFonts w:cs="Times New Roman"/>
          <w:szCs w:val="24"/>
        </w:rPr>
        <w:t xml:space="preserve">, and pole owner hands </w:t>
      </w:r>
      <w:r w:rsidR="008D2EE0" w:rsidRPr="00850FDC">
        <w:rPr>
          <w:rFonts w:cs="Times New Roman"/>
          <w:szCs w:val="24"/>
        </w:rPr>
        <w:t>should not be tied simply to save communications companies a little money and inconvenience.</w:t>
      </w:r>
      <w:r w:rsidRPr="00850FDC">
        <w:rPr>
          <w:rFonts w:cs="Times New Roman"/>
          <w:szCs w:val="24"/>
        </w:rPr>
        <w:t xml:space="preserve">  Communications companies plan their overlashing projects well in advance and </w:t>
      </w:r>
      <w:r w:rsidR="008D2EE0">
        <w:rPr>
          <w:rFonts w:cs="Times New Roman"/>
          <w:szCs w:val="24"/>
        </w:rPr>
        <w:t>should set aside sufficient time and resources to ensure a safe pole plant for all attaching entities.</w:t>
      </w:r>
      <w:r w:rsidR="002969E9">
        <w:rPr>
          <w:rFonts w:cs="Times New Roman"/>
          <w:szCs w:val="24"/>
        </w:rPr>
        <w:t xml:space="preserve">  Avista’s current program has been effective in building a cooperative process to resolve safety violations found </w:t>
      </w:r>
      <w:r w:rsidR="007342D0">
        <w:rPr>
          <w:rFonts w:cs="Times New Roman"/>
          <w:szCs w:val="24"/>
        </w:rPr>
        <w:t>in the course</w:t>
      </w:r>
      <w:r w:rsidR="002969E9">
        <w:rPr>
          <w:rFonts w:cs="Times New Roman"/>
          <w:szCs w:val="24"/>
        </w:rPr>
        <w:t xml:space="preserve"> </w:t>
      </w:r>
      <w:r w:rsidR="007342D0">
        <w:rPr>
          <w:rFonts w:cs="Times New Roman"/>
          <w:szCs w:val="24"/>
        </w:rPr>
        <w:t>of</w:t>
      </w:r>
      <w:r w:rsidR="002969E9">
        <w:rPr>
          <w:rFonts w:cs="Times New Roman"/>
          <w:szCs w:val="24"/>
        </w:rPr>
        <w:t xml:space="preserve"> overlash projects.  </w:t>
      </w:r>
    </w:p>
    <w:p w:rsidR="00DB04D8" w:rsidRPr="00DB04D8" w:rsidRDefault="00DB04D8" w:rsidP="0065213E">
      <w:pPr>
        <w:spacing w:before="100" w:beforeAutospacing="1" w:after="100" w:afterAutospacing="1" w:line="360" w:lineRule="auto"/>
        <w:rPr>
          <w:rFonts w:cs="Times New Roman"/>
          <w:szCs w:val="24"/>
        </w:rPr>
      </w:pPr>
      <w:r>
        <w:rPr>
          <w:rFonts w:cs="Times New Roman"/>
          <w:b/>
          <w:bCs/>
          <w:szCs w:val="24"/>
        </w:rPr>
        <w:t>Make-Ready Time Extensions</w:t>
      </w:r>
    </w:p>
    <w:p w:rsidR="00297720" w:rsidRDefault="005259AF" w:rsidP="00AC2B68">
      <w:pPr>
        <w:spacing w:line="360" w:lineRule="auto"/>
        <w:ind w:firstLine="720"/>
        <w:rPr>
          <w:rFonts w:cs="Times New Roman"/>
          <w:szCs w:val="24"/>
        </w:rPr>
      </w:pPr>
      <w:r>
        <w:rPr>
          <w:rFonts w:cs="Times New Roman"/>
          <w:szCs w:val="24"/>
        </w:rPr>
        <w:t>PCIA argues that some pole replacements can be completed within 60 days and that “pole replacements should not serve as the reason for drastically reducing the pole order limit from 300 poles to 100 poles.”</w:t>
      </w:r>
      <w:r>
        <w:rPr>
          <w:rStyle w:val="FootnoteReference"/>
          <w:rFonts w:cs="Times New Roman"/>
          <w:szCs w:val="24"/>
        </w:rPr>
        <w:footnoteReference w:id="18"/>
      </w:r>
      <w:r>
        <w:rPr>
          <w:rFonts w:cs="Times New Roman"/>
          <w:szCs w:val="24"/>
        </w:rPr>
        <w:t xml:space="preserve">  PCIA argues further that if a pole replacement order is significant, longer time periods can be negotiated.</w:t>
      </w:r>
      <w:r>
        <w:rPr>
          <w:rStyle w:val="FootnoteReference"/>
          <w:rFonts w:cs="Times New Roman"/>
          <w:szCs w:val="24"/>
        </w:rPr>
        <w:footnoteReference w:id="19"/>
      </w:r>
      <w:r>
        <w:rPr>
          <w:rFonts w:cs="Times New Roman"/>
          <w:szCs w:val="24"/>
        </w:rPr>
        <w:t xml:space="preserve">  </w:t>
      </w:r>
    </w:p>
    <w:p w:rsidR="008913CB" w:rsidRPr="008913CB" w:rsidRDefault="005259AF" w:rsidP="008913CB">
      <w:pPr>
        <w:spacing w:line="360" w:lineRule="auto"/>
        <w:ind w:firstLine="720"/>
        <w:rPr>
          <w:rFonts w:cs="Times New Roman"/>
          <w:szCs w:val="24"/>
        </w:rPr>
      </w:pPr>
      <w:r>
        <w:rPr>
          <w:rFonts w:cs="Times New Roman"/>
          <w:szCs w:val="24"/>
        </w:rPr>
        <w:t>PCIA’s argument is flawed</w:t>
      </w:r>
      <w:r w:rsidR="00297720">
        <w:rPr>
          <w:rFonts w:cs="Times New Roman"/>
          <w:szCs w:val="24"/>
        </w:rPr>
        <w:t xml:space="preserve">, </w:t>
      </w:r>
      <w:r w:rsidR="003714C8">
        <w:rPr>
          <w:rFonts w:cs="Times New Roman"/>
          <w:szCs w:val="24"/>
        </w:rPr>
        <w:t xml:space="preserve">because </w:t>
      </w:r>
      <w:r w:rsidR="00297720">
        <w:rPr>
          <w:rFonts w:cs="Times New Roman"/>
          <w:szCs w:val="24"/>
        </w:rPr>
        <w:t>it simply ignores the realities of pole replacements</w:t>
      </w:r>
      <w:r>
        <w:rPr>
          <w:rFonts w:cs="Times New Roman"/>
          <w:szCs w:val="24"/>
        </w:rPr>
        <w:t>.</w:t>
      </w:r>
      <w:r w:rsidR="00297720">
        <w:rPr>
          <w:rFonts w:cs="Times New Roman"/>
          <w:szCs w:val="24"/>
        </w:rPr>
        <w:t xml:space="preserve">  </w:t>
      </w:r>
      <w:r w:rsidR="008913CB">
        <w:rPr>
          <w:rFonts w:cs="Times New Roman"/>
          <w:szCs w:val="24"/>
        </w:rPr>
        <w:t xml:space="preserve">Pole replacements are a </w:t>
      </w:r>
      <w:r w:rsidR="008913CB" w:rsidRPr="008913CB">
        <w:rPr>
          <w:rFonts w:cs="Times New Roman"/>
          <w:szCs w:val="24"/>
        </w:rPr>
        <w:t>forced expansion of capacity that is inconsistent with FCC rules</w:t>
      </w:r>
      <w:r w:rsidR="008913CB">
        <w:rPr>
          <w:rFonts w:cs="Times New Roman"/>
          <w:szCs w:val="24"/>
        </w:rPr>
        <w:t xml:space="preserve"> and is</w:t>
      </w:r>
      <w:r w:rsidR="008913CB" w:rsidRPr="008913CB">
        <w:rPr>
          <w:rFonts w:cs="Times New Roman"/>
          <w:szCs w:val="24"/>
        </w:rPr>
        <w:t xml:space="preserve"> a burden on electric utility personnel and resources</w:t>
      </w:r>
      <w:r w:rsidR="008913CB">
        <w:rPr>
          <w:rFonts w:cs="Times New Roman"/>
          <w:szCs w:val="24"/>
        </w:rPr>
        <w:t xml:space="preserve">.  </w:t>
      </w:r>
      <w:r w:rsidR="00EA7A98">
        <w:rPr>
          <w:rFonts w:cs="Times New Roman"/>
          <w:szCs w:val="24"/>
        </w:rPr>
        <w:t>U</w:t>
      </w:r>
      <w:r w:rsidR="00EA7A98" w:rsidRPr="008913CB">
        <w:rPr>
          <w:rFonts w:cs="Times New Roman"/>
          <w:szCs w:val="24"/>
        </w:rPr>
        <w:t>tilities have historically been willing to allow</w:t>
      </w:r>
      <w:r w:rsidR="00EA7A98">
        <w:rPr>
          <w:rFonts w:cs="Times New Roman"/>
          <w:szCs w:val="24"/>
        </w:rPr>
        <w:t xml:space="preserve"> pole replacements </w:t>
      </w:r>
      <w:r w:rsidR="00EA7A98" w:rsidRPr="008913CB">
        <w:rPr>
          <w:rFonts w:cs="Times New Roman"/>
          <w:szCs w:val="24"/>
        </w:rPr>
        <w:t>as long as electric utility operations and other considerations are not adversely affected</w:t>
      </w:r>
      <w:r w:rsidR="00EA7A98">
        <w:rPr>
          <w:rFonts w:cs="Times New Roman"/>
          <w:szCs w:val="24"/>
        </w:rPr>
        <w:t>, but r</w:t>
      </w:r>
      <w:r w:rsidR="008913CB" w:rsidRPr="008913CB">
        <w:rPr>
          <w:rFonts w:cs="Times New Roman"/>
          <w:szCs w:val="24"/>
        </w:rPr>
        <w:t>eplacing poles with taller poles simply to accommodate communications attachers is a time-consuming process</w:t>
      </w:r>
      <w:r w:rsidR="00EA7A98">
        <w:rPr>
          <w:rFonts w:cs="Times New Roman"/>
          <w:szCs w:val="24"/>
        </w:rPr>
        <w:t xml:space="preserve">.  </w:t>
      </w:r>
      <w:r w:rsidR="008913CB" w:rsidRPr="008913CB">
        <w:rPr>
          <w:rFonts w:cs="Times New Roman"/>
          <w:szCs w:val="24"/>
        </w:rPr>
        <w:t xml:space="preserve">Once pole replacements are at issue, timelines are often impossible to meet consistently.  </w:t>
      </w:r>
    </w:p>
    <w:p w:rsidR="00EA7A98" w:rsidRDefault="008913CB" w:rsidP="008913CB">
      <w:pPr>
        <w:spacing w:line="360" w:lineRule="auto"/>
        <w:ind w:firstLine="720"/>
        <w:rPr>
          <w:rFonts w:cs="Times New Roman"/>
          <w:szCs w:val="24"/>
        </w:rPr>
      </w:pPr>
      <w:r w:rsidRPr="008913CB">
        <w:rPr>
          <w:rFonts w:cs="Times New Roman"/>
          <w:szCs w:val="24"/>
        </w:rPr>
        <w:lastRenderedPageBreak/>
        <w:t xml:space="preserve">As explained in Avista’s </w:t>
      </w:r>
      <w:r w:rsidR="00EA7A98">
        <w:rPr>
          <w:rFonts w:cs="Times New Roman"/>
          <w:szCs w:val="24"/>
        </w:rPr>
        <w:t xml:space="preserve">April 17, 2015 </w:t>
      </w:r>
      <w:r w:rsidRPr="008913CB">
        <w:rPr>
          <w:rFonts w:cs="Times New Roman"/>
          <w:szCs w:val="24"/>
        </w:rPr>
        <w:t xml:space="preserve">response to the second of eight questions posed by the Commission, Avista’s average </w:t>
      </w:r>
      <w:r w:rsidR="00EA7A98">
        <w:rPr>
          <w:rFonts w:cs="Times New Roman"/>
          <w:szCs w:val="24"/>
        </w:rPr>
        <w:t xml:space="preserve">time required to replace </w:t>
      </w:r>
      <w:r w:rsidRPr="008913CB">
        <w:rPr>
          <w:rFonts w:cs="Times New Roman"/>
          <w:szCs w:val="24"/>
        </w:rPr>
        <w:t>poles (including necessary field work) is 46.3 days, but this 46.3 day time period does not include:  (</w:t>
      </w:r>
      <w:proofErr w:type="spellStart"/>
      <w:r w:rsidRPr="008913CB">
        <w:rPr>
          <w:rFonts w:cs="Times New Roman"/>
          <w:szCs w:val="24"/>
        </w:rPr>
        <w:t>i</w:t>
      </w:r>
      <w:proofErr w:type="spellEnd"/>
      <w:r w:rsidRPr="008913CB">
        <w:rPr>
          <w:rFonts w:cs="Times New Roman"/>
          <w:szCs w:val="24"/>
        </w:rPr>
        <w:t xml:space="preserve">) the additional time that may be required to obtain necessary easements or special permitting, such as those required by the Washington Department of Transportation or railroad companies, those required because environmental issues exist, or those required because poles are located near shorelines, historical sites or archeological sites; (ii) the considerable amount of time required for the ordering and delivery of specially engineered steel or laminated poles; (iii) requests for pole replacements that never occurred because the time required for the replacement was longer than the attaching entity wanted to wait and the attaching entity chose an alternate route or chose to install its facilities underground; and (iv) the time to replace transmission poles, since outages associated with transmission pole replacements need to be coordinated with other scheduled outages on the system, and Avista schedules no planned outages to the 115kV and 230kV transmission systems for six months out of the year due to loads and system conditions. </w:t>
      </w:r>
    </w:p>
    <w:p w:rsidR="008913CB" w:rsidRDefault="008913CB" w:rsidP="008913CB">
      <w:pPr>
        <w:spacing w:line="360" w:lineRule="auto"/>
        <w:ind w:firstLine="720"/>
        <w:rPr>
          <w:rFonts w:cs="Times New Roman"/>
          <w:szCs w:val="24"/>
        </w:rPr>
      </w:pPr>
      <w:r w:rsidRPr="008913CB">
        <w:rPr>
          <w:rFonts w:cs="Times New Roman"/>
          <w:szCs w:val="24"/>
        </w:rPr>
        <w:t xml:space="preserve">Avista could live with a modified proposal to apply the timelines to projects of 300 poles, but only if such projects do not involve pole replacements.   </w:t>
      </w:r>
    </w:p>
    <w:p w:rsidR="00EA7A98" w:rsidRPr="008913CB" w:rsidRDefault="00EA7A98" w:rsidP="008913CB">
      <w:pPr>
        <w:spacing w:line="360" w:lineRule="auto"/>
        <w:ind w:firstLine="720"/>
        <w:rPr>
          <w:rFonts w:cs="Times New Roman"/>
          <w:szCs w:val="24"/>
        </w:rPr>
      </w:pPr>
    </w:p>
    <w:p w:rsidR="00D272E4" w:rsidRPr="00347087" w:rsidRDefault="004D4873" w:rsidP="00D272E4">
      <w:pPr>
        <w:pStyle w:val="Heading1"/>
        <w:spacing w:after="0" w:line="360" w:lineRule="auto"/>
        <w:jc w:val="center"/>
        <w:rPr>
          <w:rFonts w:cs="Times New Roman"/>
          <w:szCs w:val="24"/>
        </w:rPr>
      </w:pPr>
      <w:r w:rsidRPr="00347087">
        <w:rPr>
          <w:rFonts w:cs="Times New Roman"/>
          <w:szCs w:val="24"/>
        </w:rPr>
        <w:t>480-54-050 MODIFICATION COSTS; NOTICE; TEMPORARY STAY</w:t>
      </w:r>
    </w:p>
    <w:p w:rsidR="002B3839" w:rsidRDefault="004D4873" w:rsidP="0065213E">
      <w:pPr>
        <w:spacing w:before="100" w:beforeAutospacing="1" w:after="100" w:afterAutospacing="1" w:line="360" w:lineRule="auto"/>
        <w:rPr>
          <w:rFonts w:cs="Times New Roman"/>
          <w:szCs w:val="24"/>
        </w:rPr>
      </w:pPr>
      <w:r w:rsidRPr="002B3839">
        <w:rPr>
          <w:rFonts w:cs="Times New Roman"/>
          <w:b/>
          <w:bCs/>
          <w:szCs w:val="24"/>
        </w:rPr>
        <w:t>Modification Costs</w:t>
      </w:r>
    </w:p>
    <w:p w:rsidR="004D4873" w:rsidRDefault="004D4873" w:rsidP="00A3227B">
      <w:pPr>
        <w:spacing w:line="360" w:lineRule="auto"/>
        <w:ind w:firstLine="720"/>
        <w:rPr>
          <w:rFonts w:cs="Times New Roman"/>
          <w:szCs w:val="24"/>
        </w:rPr>
      </w:pPr>
      <w:r w:rsidRPr="00347087">
        <w:rPr>
          <w:rFonts w:cs="Times New Roman"/>
          <w:szCs w:val="24"/>
        </w:rPr>
        <w:t xml:space="preserve">BCAW </w:t>
      </w:r>
      <w:r w:rsidR="0020757C">
        <w:rPr>
          <w:rFonts w:cs="Times New Roman"/>
          <w:szCs w:val="24"/>
        </w:rPr>
        <w:t>proposes changes to Draft Rule 480-54-050(2) that would introduce the element of causation into the requirement that existing safety violations be fixed.</w:t>
      </w:r>
      <w:r w:rsidR="00A3227B">
        <w:rPr>
          <w:rStyle w:val="FootnoteReference"/>
          <w:rFonts w:cs="Times New Roman"/>
          <w:szCs w:val="24"/>
        </w:rPr>
        <w:footnoteReference w:id="20"/>
      </w:r>
      <w:r w:rsidR="000563FC">
        <w:rPr>
          <w:rFonts w:cs="Times New Roman"/>
          <w:szCs w:val="24"/>
        </w:rPr>
        <w:t xml:space="preserve">  As explained above</w:t>
      </w:r>
      <w:r w:rsidR="00A3227B">
        <w:rPr>
          <w:rFonts w:cs="Times New Roman"/>
          <w:szCs w:val="24"/>
        </w:rPr>
        <w:t xml:space="preserve"> with respect to overlashing</w:t>
      </w:r>
      <w:r w:rsidR="000563FC">
        <w:rPr>
          <w:rFonts w:cs="Times New Roman"/>
          <w:szCs w:val="24"/>
        </w:rPr>
        <w:t>, this change would allow</w:t>
      </w:r>
      <w:r w:rsidR="000563FC" w:rsidRPr="00347087">
        <w:rPr>
          <w:rFonts w:cs="Times New Roman"/>
          <w:szCs w:val="24"/>
        </w:rPr>
        <w:t xml:space="preserve"> Occupants </w:t>
      </w:r>
      <w:r w:rsidR="000563FC">
        <w:rPr>
          <w:rFonts w:cs="Times New Roman"/>
          <w:szCs w:val="24"/>
        </w:rPr>
        <w:t xml:space="preserve">to </w:t>
      </w:r>
      <w:r w:rsidR="000563FC" w:rsidRPr="00347087">
        <w:rPr>
          <w:rFonts w:cs="Times New Roman"/>
          <w:szCs w:val="24"/>
        </w:rPr>
        <w:t xml:space="preserve">argue </w:t>
      </w:r>
      <w:r w:rsidR="000563FC">
        <w:rPr>
          <w:rFonts w:cs="Times New Roman"/>
          <w:szCs w:val="24"/>
        </w:rPr>
        <w:t xml:space="preserve">every time that </w:t>
      </w:r>
      <w:r w:rsidR="000563FC" w:rsidRPr="00347087">
        <w:rPr>
          <w:rFonts w:cs="Times New Roman"/>
          <w:szCs w:val="24"/>
        </w:rPr>
        <w:t xml:space="preserve">they </w:t>
      </w:r>
      <w:r w:rsidR="000563FC">
        <w:rPr>
          <w:rFonts w:cs="Times New Roman"/>
          <w:szCs w:val="24"/>
        </w:rPr>
        <w:t>did not cause the violation, ra</w:t>
      </w:r>
      <w:r w:rsidR="00A3227B">
        <w:rPr>
          <w:rFonts w:cs="Times New Roman"/>
          <w:szCs w:val="24"/>
        </w:rPr>
        <w:t xml:space="preserve">ising disputes about causation and jeopardizing the prompt correction of necessary violations.  </w:t>
      </w:r>
      <w:r w:rsidR="00723C99">
        <w:rPr>
          <w:rFonts w:cs="Times New Roman"/>
          <w:szCs w:val="24"/>
        </w:rPr>
        <w:t>Occupants will often</w:t>
      </w:r>
      <w:r w:rsidRPr="00347087">
        <w:rPr>
          <w:rFonts w:cs="Times New Roman"/>
          <w:szCs w:val="24"/>
        </w:rPr>
        <w:t xml:space="preserve"> </w:t>
      </w:r>
      <w:r w:rsidR="00CE453B">
        <w:rPr>
          <w:rFonts w:cs="Times New Roman"/>
          <w:szCs w:val="24"/>
        </w:rPr>
        <w:t>quarrel</w:t>
      </w:r>
      <w:r w:rsidR="00CE453B" w:rsidRPr="00347087">
        <w:rPr>
          <w:rFonts w:cs="Times New Roman"/>
          <w:szCs w:val="24"/>
        </w:rPr>
        <w:t xml:space="preserve"> </w:t>
      </w:r>
      <w:r w:rsidRPr="00347087">
        <w:rPr>
          <w:rFonts w:cs="Times New Roman"/>
          <w:szCs w:val="24"/>
        </w:rPr>
        <w:t xml:space="preserve">that </w:t>
      </w:r>
      <w:r w:rsidR="00CE453B">
        <w:rPr>
          <w:rFonts w:cs="Times New Roman"/>
          <w:szCs w:val="24"/>
        </w:rPr>
        <w:t>another party</w:t>
      </w:r>
      <w:r w:rsidR="00A3227B">
        <w:rPr>
          <w:rFonts w:cs="Times New Roman"/>
          <w:szCs w:val="24"/>
        </w:rPr>
        <w:t xml:space="preserve"> </w:t>
      </w:r>
      <w:r w:rsidRPr="00347087">
        <w:rPr>
          <w:rFonts w:cs="Times New Roman"/>
          <w:szCs w:val="24"/>
        </w:rPr>
        <w:t>is to blame</w:t>
      </w:r>
      <w:r w:rsidR="00A3227B">
        <w:rPr>
          <w:rFonts w:cs="Times New Roman"/>
          <w:szCs w:val="24"/>
        </w:rPr>
        <w:t xml:space="preserve">, alleging something must have changed on the pole </w:t>
      </w:r>
      <w:r w:rsidR="00CE453B">
        <w:rPr>
          <w:rFonts w:cs="Times New Roman"/>
          <w:szCs w:val="24"/>
        </w:rPr>
        <w:t xml:space="preserve">or the </w:t>
      </w:r>
      <w:r w:rsidR="00733956">
        <w:rPr>
          <w:rFonts w:cs="Times New Roman"/>
          <w:szCs w:val="24"/>
        </w:rPr>
        <w:t>property surrounding it</w:t>
      </w:r>
      <w:r w:rsidR="00CE453B">
        <w:rPr>
          <w:rFonts w:cs="Times New Roman"/>
          <w:szCs w:val="24"/>
        </w:rPr>
        <w:t xml:space="preserve"> </w:t>
      </w:r>
      <w:r w:rsidR="00A3227B">
        <w:rPr>
          <w:rFonts w:cs="Times New Roman"/>
          <w:szCs w:val="24"/>
        </w:rPr>
        <w:t xml:space="preserve">since their attachments were affixed.  </w:t>
      </w:r>
      <w:r w:rsidRPr="00347087">
        <w:rPr>
          <w:rFonts w:cs="Times New Roman"/>
          <w:szCs w:val="24"/>
        </w:rPr>
        <w:t xml:space="preserve">Most arguments </w:t>
      </w:r>
      <w:r w:rsidR="00A3227B">
        <w:rPr>
          <w:rFonts w:cs="Times New Roman"/>
          <w:szCs w:val="24"/>
        </w:rPr>
        <w:t xml:space="preserve">like this </w:t>
      </w:r>
      <w:r w:rsidRPr="00347087">
        <w:rPr>
          <w:rFonts w:cs="Times New Roman"/>
          <w:szCs w:val="24"/>
        </w:rPr>
        <w:t xml:space="preserve">have no basis and a pole owner should not have to bear any costs for code violations caused by and that exist because of the joint use facilities in place.  </w:t>
      </w:r>
      <w:r w:rsidR="00733956">
        <w:rPr>
          <w:rFonts w:cs="Times New Roman"/>
          <w:szCs w:val="24"/>
        </w:rPr>
        <w:t xml:space="preserve">The purpose of the NESC and construction standards is the practical safeguarding of persons, </w:t>
      </w:r>
      <w:r w:rsidR="00733956">
        <w:rPr>
          <w:rFonts w:cs="Times New Roman"/>
          <w:szCs w:val="24"/>
        </w:rPr>
        <w:lastRenderedPageBreak/>
        <w:t xml:space="preserve">utility facilities and affected property.  When facilities </w:t>
      </w:r>
      <w:r w:rsidR="000A0E80">
        <w:rPr>
          <w:rFonts w:cs="Times New Roman"/>
          <w:szCs w:val="24"/>
        </w:rPr>
        <w:t xml:space="preserve">on a pole </w:t>
      </w:r>
      <w:r w:rsidR="00733956">
        <w:rPr>
          <w:rFonts w:cs="Times New Roman"/>
          <w:szCs w:val="24"/>
        </w:rPr>
        <w:t xml:space="preserve">are </w:t>
      </w:r>
      <w:r w:rsidR="004A5F28">
        <w:rPr>
          <w:rFonts w:cs="Times New Roman"/>
          <w:szCs w:val="24"/>
        </w:rPr>
        <w:t xml:space="preserve">intended to be </w:t>
      </w:r>
      <w:r w:rsidR="00733956">
        <w:rPr>
          <w:rFonts w:cs="Times New Roman"/>
          <w:szCs w:val="24"/>
        </w:rPr>
        <w:t xml:space="preserve">modified </w:t>
      </w:r>
      <w:r w:rsidR="004A5F28">
        <w:rPr>
          <w:rFonts w:cs="Times New Roman"/>
          <w:szCs w:val="24"/>
        </w:rPr>
        <w:t xml:space="preserve">(including overlashing) </w:t>
      </w:r>
      <w:r w:rsidR="000A0E80">
        <w:rPr>
          <w:rFonts w:cs="Times New Roman"/>
          <w:szCs w:val="24"/>
        </w:rPr>
        <w:t>or found not to be in compliance</w:t>
      </w:r>
      <w:r w:rsidR="004A5F28">
        <w:rPr>
          <w:rFonts w:cs="Times New Roman"/>
          <w:szCs w:val="24"/>
        </w:rPr>
        <w:t>, the lines and equipment must be promptly corrected.  Code</w:t>
      </w:r>
      <w:r w:rsidR="00733956">
        <w:rPr>
          <w:rFonts w:cs="Times New Roman"/>
          <w:szCs w:val="24"/>
        </w:rPr>
        <w:t xml:space="preserve"> compliance</w:t>
      </w:r>
      <w:r w:rsidR="004A5F28">
        <w:rPr>
          <w:rFonts w:cs="Times New Roman"/>
          <w:szCs w:val="24"/>
        </w:rPr>
        <w:t xml:space="preserve"> enforcement</w:t>
      </w:r>
      <w:r w:rsidR="00733956">
        <w:rPr>
          <w:rFonts w:cs="Times New Roman"/>
          <w:szCs w:val="24"/>
        </w:rPr>
        <w:t xml:space="preserve"> should not be unnecessarily delayed </w:t>
      </w:r>
      <w:r w:rsidR="004A5F28">
        <w:rPr>
          <w:rFonts w:cs="Times New Roman"/>
          <w:szCs w:val="24"/>
        </w:rPr>
        <w:t xml:space="preserve">and neither should the project that initiated it.  </w:t>
      </w:r>
      <w:r w:rsidR="00A3227B">
        <w:rPr>
          <w:rFonts w:cs="Times New Roman"/>
          <w:szCs w:val="24"/>
        </w:rPr>
        <w:t>At the very least, attaching entities whose facilities are out of compliance should be required to bear the costs of bringing their facilities into compliance</w:t>
      </w:r>
      <w:r w:rsidR="001B7697">
        <w:rPr>
          <w:rFonts w:cs="Times New Roman"/>
          <w:szCs w:val="24"/>
        </w:rPr>
        <w:t xml:space="preserve"> </w:t>
      </w:r>
      <w:r w:rsidR="003714C8">
        <w:rPr>
          <w:rFonts w:cs="Times New Roman"/>
          <w:szCs w:val="24"/>
        </w:rPr>
        <w:t xml:space="preserve">to allow </w:t>
      </w:r>
      <w:r w:rsidR="001B7697">
        <w:rPr>
          <w:rFonts w:cs="Times New Roman"/>
          <w:szCs w:val="24"/>
        </w:rPr>
        <w:t xml:space="preserve">the correction </w:t>
      </w:r>
      <w:r w:rsidR="003714C8">
        <w:rPr>
          <w:rFonts w:cs="Times New Roman"/>
          <w:szCs w:val="24"/>
        </w:rPr>
        <w:t xml:space="preserve">to </w:t>
      </w:r>
      <w:r w:rsidR="003F3EB7">
        <w:rPr>
          <w:rFonts w:cs="Times New Roman"/>
          <w:szCs w:val="24"/>
        </w:rPr>
        <w:t xml:space="preserve">be made.  Thereafter, the burden should be on the attacher(s) that bore the expense to prove that it did not cause the violation. </w:t>
      </w:r>
      <w:r w:rsidR="004A5F28">
        <w:rPr>
          <w:rFonts w:cs="Times New Roman"/>
          <w:szCs w:val="24"/>
        </w:rPr>
        <w:t xml:space="preserve">Again, Avista has built a collaborative program that satisfies the need for timely access to poles while at the same time addresses safety issues along the way.  </w:t>
      </w:r>
    </w:p>
    <w:p w:rsidR="003714C8" w:rsidRPr="00347087" w:rsidRDefault="003714C8" w:rsidP="00A3227B">
      <w:pPr>
        <w:spacing w:line="360" w:lineRule="auto"/>
        <w:ind w:firstLine="720"/>
        <w:rPr>
          <w:rFonts w:cs="Times New Roman"/>
          <w:szCs w:val="24"/>
        </w:rPr>
      </w:pPr>
    </w:p>
    <w:p w:rsidR="00D272E4" w:rsidRPr="00347087" w:rsidRDefault="004D4873" w:rsidP="00D272E4">
      <w:pPr>
        <w:pStyle w:val="Heading1"/>
        <w:spacing w:after="0" w:line="360" w:lineRule="auto"/>
        <w:jc w:val="center"/>
        <w:rPr>
          <w:rFonts w:cs="Times New Roman"/>
          <w:szCs w:val="24"/>
        </w:rPr>
      </w:pPr>
      <w:r w:rsidRPr="00347087">
        <w:rPr>
          <w:rFonts w:cs="Times New Roman"/>
          <w:szCs w:val="24"/>
        </w:rPr>
        <w:t>480-54-060 RATES</w:t>
      </w:r>
    </w:p>
    <w:p w:rsidR="005A27E5" w:rsidRPr="005A27E5" w:rsidRDefault="004D4873" w:rsidP="0065213E">
      <w:pPr>
        <w:spacing w:before="100" w:beforeAutospacing="1" w:after="100" w:afterAutospacing="1" w:line="360" w:lineRule="auto"/>
        <w:rPr>
          <w:rFonts w:cs="Times New Roman"/>
          <w:szCs w:val="24"/>
        </w:rPr>
      </w:pPr>
      <w:r w:rsidRPr="005A27E5">
        <w:rPr>
          <w:rFonts w:cs="Times New Roman"/>
          <w:b/>
          <w:bCs/>
          <w:szCs w:val="24"/>
        </w:rPr>
        <w:t>Rates</w:t>
      </w:r>
      <w:r w:rsidRPr="005A27E5">
        <w:rPr>
          <w:rFonts w:cs="Times New Roman"/>
          <w:szCs w:val="24"/>
        </w:rPr>
        <w:t xml:space="preserve"> </w:t>
      </w:r>
    </w:p>
    <w:p w:rsidR="00FE2AC3" w:rsidRDefault="004D4873" w:rsidP="00AC2B68">
      <w:pPr>
        <w:spacing w:line="360" w:lineRule="auto"/>
        <w:ind w:firstLine="720"/>
        <w:rPr>
          <w:rFonts w:cs="Times New Roman"/>
          <w:szCs w:val="24"/>
        </w:rPr>
      </w:pPr>
      <w:r w:rsidRPr="00347087">
        <w:rPr>
          <w:rFonts w:cs="Times New Roman"/>
          <w:szCs w:val="24"/>
        </w:rPr>
        <w:t xml:space="preserve">CenturyLink argues again </w:t>
      </w:r>
      <w:r w:rsidR="003714C8">
        <w:rPr>
          <w:rFonts w:cs="Times New Roman"/>
          <w:szCs w:val="24"/>
        </w:rPr>
        <w:t xml:space="preserve">that it should be entitled </w:t>
      </w:r>
      <w:r w:rsidRPr="00347087">
        <w:rPr>
          <w:rFonts w:cs="Times New Roman"/>
          <w:szCs w:val="24"/>
        </w:rPr>
        <w:t>to calculate rates based on the gross cost of a bare pole if the net cost is negative due to depreciation.</w:t>
      </w:r>
      <w:r w:rsidR="00FE2AC3">
        <w:rPr>
          <w:rStyle w:val="FootnoteReference"/>
          <w:rFonts w:cs="Times New Roman"/>
          <w:szCs w:val="24"/>
        </w:rPr>
        <w:footnoteReference w:id="21"/>
      </w:r>
      <w:r w:rsidRPr="00347087">
        <w:rPr>
          <w:rFonts w:cs="Times New Roman"/>
          <w:szCs w:val="24"/>
        </w:rPr>
        <w:t xml:space="preserve">  </w:t>
      </w:r>
      <w:r w:rsidR="003F3EB7">
        <w:rPr>
          <w:rFonts w:cs="Times New Roman"/>
          <w:szCs w:val="24"/>
        </w:rPr>
        <w:t xml:space="preserve">This argument has already been rejected by the Commission, but CenturyLink insists that </w:t>
      </w:r>
      <w:r w:rsidR="003714C8">
        <w:rPr>
          <w:rFonts w:cs="Times New Roman"/>
          <w:szCs w:val="24"/>
        </w:rPr>
        <w:t xml:space="preserve">because </w:t>
      </w:r>
      <w:r w:rsidR="003F3EB7">
        <w:rPr>
          <w:rFonts w:cs="Times New Roman"/>
          <w:szCs w:val="24"/>
        </w:rPr>
        <w:t xml:space="preserve">the FCC allows it so </w:t>
      </w:r>
      <w:r w:rsidR="003714C8">
        <w:rPr>
          <w:rFonts w:cs="Times New Roman"/>
          <w:szCs w:val="24"/>
        </w:rPr>
        <w:t xml:space="preserve">should </w:t>
      </w:r>
      <w:r w:rsidR="003F3EB7">
        <w:rPr>
          <w:rFonts w:cs="Times New Roman"/>
          <w:szCs w:val="24"/>
        </w:rPr>
        <w:t xml:space="preserve">the </w:t>
      </w:r>
      <w:r w:rsidR="003714C8">
        <w:rPr>
          <w:rFonts w:cs="Times New Roman"/>
          <w:szCs w:val="24"/>
        </w:rPr>
        <w:t>WUTC</w:t>
      </w:r>
      <w:r w:rsidR="003F3EB7">
        <w:rPr>
          <w:rFonts w:cs="Times New Roman"/>
          <w:szCs w:val="24"/>
        </w:rPr>
        <w:t>.</w:t>
      </w:r>
    </w:p>
    <w:p w:rsidR="003F3EB7" w:rsidRDefault="003F3EB7" w:rsidP="00AC2B68">
      <w:pPr>
        <w:spacing w:line="360" w:lineRule="auto"/>
        <w:ind w:firstLine="720"/>
        <w:rPr>
          <w:rFonts w:cs="Times New Roman"/>
          <w:szCs w:val="24"/>
        </w:rPr>
      </w:pPr>
      <w:r>
        <w:rPr>
          <w:rFonts w:cs="Times New Roman"/>
          <w:szCs w:val="24"/>
        </w:rPr>
        <w:t xml:space="preserve">The problem with CenturyLink’s proposal is that it allows entities like CenturyLink </w:t>
      </w:r>
      <w:r w:rsidR="000A2752">
        <w:rPr>
          <w:rFonts w:cs="Times New Roman"/>
          <w:szCs w:val="24"/>
        </w:rPr>
        <w:t xml:space="preserve">which </w:t>
      </w:r>
      <w:r>
        <w:rPr>
          <w:rFonts w:cs="Times New Roman"/>
          <w:szCs w:val="24"/>
        </w:rPr>
        <w:t xml:space="preserve">opted </w:t>
      </w:r>
      <w:r w:rsidR="000A2752">
        <w:rPr>
          <w:rFonts w:cs="Times New Roman"/>
          <w:szCs w:val="24"/>
        </w:rPr>
        <w:t xml:space="preserve">for the </w:t>
      </w:r>
      <w:r>
        <w:rPr>
          <w:rFonts w:cs="Times New Roman"/>
          <w:szCs w:val="24"/>
        </w:rPr>
        <w:t xml:space="preserve">significant tax </w:t>
      </w:r>
      <w:r w:rsidR="000A2752">
        <w:rPr>
          <w:rFonts w:cs="Times New Roman"/>
          <w:szCs w:val="24"/>
        </w:rPr>
        <w:t xml:space="preserve">advantages of </w:t>
      </w:r>
      <w:r>
        <w:rPr>
          <w:rFonts w:cs="Times New Roman"/>
          <w:szCs w:val="24"/>
        </w:rPr>
        <w:t xml:space="preserve">super-depreciating their pole plant until it has a negative value, to continue to receive income </w:t>
      </w:r>
      <w:r w:rsidR="00412FFF">
        <w:rPr>
          <w:rFonts w:cs="Times New Roman"/>
          <w:szCs w:val="24"/>
        </w:rPr>
        <w:t xml:space="preserve">for the use of that </w:t>
      </w:r>
      <w:r>
        <w:rPr>
          <w:rFonts w:cs="Times New Roman"/>
          <w:szCs w:val="24"/>
        </w:rPr>
        <w:t xml:space="preserve">pole plant </w:t>
      </w:r>
      <w:r w:rsidR="00412FFF">
        <w:rPr>
          <w:rFonts w:cs="Times New Roman"/>
          <w:szCs w:val="24"/>
        </w:rPr>
        <w:t xml:space="preserve">that now has no book value.  </w:t>
      </w:r>
      <w:r w:rsidR="004A5F28">
        <w:rPr>
          <w:rFonts w:cs="Times New Roman"/>
          <w:szCs w:val="24"/>
        </w:rPr>
        <w:t>Super-depreciating pole plant has allowed the carrying charges to remain high for rate calculations.  Then when the book value is depleted, they are prescribing</w:t>
      </w:r>
      <w:r w:rsidR="00320034">
        <w:rPr>
          <w:rFonts w:cs="Times New Roman"/>
          <w:szCs w:val="24"/>
        </w:rPr>
        <w:t xml:space="preserve"> an alternate formula to re-inflate the rates. </w:t>
      </w:r>
      <w:r w:rsidR="004A5F28">
        <w:rPr>
          <w:rFonts w:cs="Times New Roman"/>
          <w:szCs w:val="24"/>
        </w:rPr>
        <w:t xml:space="preserve"> </w:t>
      </w:r>
      <w:r w:rsidR="00412FFF">
        <w:rPr>
          <w:rFonts w:cs="Times New Roman"/>
          <w:szCs w:val="24"/>
        </w:rPr>
        <w:t>In other words, it allows CenturyLink and other telephone company pole owners “to have their cake and eat it too.”</w:t>
      </w:r>
    </w:p>
    <w:p w:rsidR="004D4873" w:rsidRPr="00347087" w:rsidRDefault="004D4873" w:rsidP="004D4873">
      <w:pPr>
        <w:pStyle w:val="Heading1"/>
        <w:spacing w:after="0" w:line="360" w:lineRule="auto"/>
        <w:jc w:val="center"/>
        <w:rPr>
          <w:rFonts w:cs="Times New Roman"/>
          <w:szCs w:val="24"/>
        </w:rPr>
      </w:pPr>
      <w:r w:rsidRPr="00347087">
        <w:rPr>
          <w:rFonts w:cs="Times New Roman"/>
          <w:szCs w:val="24"/>
        </w:rPr>
        <w:t>480-54-070 COMPLAINT</w:t>
      </w:r>
    </w:p>
    <w:p w:rsidR="00CE7059" w:rsidRPr="00CE7059" w:rsidRDefault="004D4873" w:rsidP="0065213E">
      <w:pPr>
        <w:spacing w:before="100" w:beforeAutospacing="1" w:after="100" w:afterAutospacing="1" w:line="360" w:lineRule="auto"/>
        <w:rPr>
          <w:rFonts w:cs="Times New Roman"/>
          <w:szCs w:val="24"/>
        </w:rPr>
      </w:pPr>
      <w:r w:rsidRPr="00CE7059">
        <w:rPr>
          <w:rFonts w:cs="Times New Roman"/>
          <w:b/>
          <w:bCs/>
          <w:szCs w:val="24"/>
        </w:rPr>
        <w:t xml:space="preserve">Complaint </w:t>
      </w:r>
    </w:p>
    <w:p w:rsidR="0065213E" w:rsidRPr="00347087" w:rsidRDefault="00B33C0D" w:rsidP="00AC2B68">
      <w:pPr>
        <w:spacing w:line="360" w:lineRule="auto"/>
        <w:ind w:firstLine="720"/>
        <w:rPr>
          <w:rFonts w:cs="Times New Roman"/>
          <w:szCs w:val="24"/>
        </w:rPr>
      </w:pPr>
      <w:r>
        <w:rPr>
          <w:rFonts w:cs="Times New Roman"/>
          <w:szCs w:val="24"/>
        </w:rPr>
        <w:lastRenderedPageBreak/>
        <w:t xml:space="preserve">In Draft Rule 480-54-07094), </w:t>
      </w:r>
      <w:r w:rsidR="004D4873" w:rsidRPr="00347087">
        <w:rPr>
          <w:rFonts w:cs="Times New Roman"/>
          <w:szCs w:val="24"/>
        </w:rPr>
        <w:t xml:space="preserve">AT&amp;T proposes </w:t>
      </w:r>
      <w:r>
        <w:rPr>
          <w:rFonts w:cs="Times New Roman"/>
          <w:szCs w:val="24"/>
        </w:rPr>
        <w:t xml:space="preserve">again </w:t>
      </w:r>
      <w:r w:rsidR="004D4873" w:rsidRPr="00347087">
        <w:rPr>
          <w:rFonts w:cs="Times New Roman"/>
          <w:szCs w:val="24"/>
        </w:rPr>
        <w:t>to delete the phrase “</w:t>
      </w:r>
      <w:r w:rsidR="004D4873" w:rsidRPr="00347087">
        <w:rPr>
          <w:rFonts w:cs="Times New Roman"/>
          <w:i/>
          <w:iCs/>
          <w:szCs w:val="24"/>
        </w:rPr>
        <w:t>The parties were aware of the dispute at the time they executed the agreement</w:t>
      </w:r>
      <w:r w:rsidR="004D4873" w:rsidRPr="00347087">
        <w:rPr>
          <w:rFonts w:cs="Times New Roman"/>
          <w:szCs w:val="24"/>
        </w:rPr>
        <w:t>.”</w:t>
      </w:r>
      <w:r w:rsidR="00412FFF">
        <w:rPr>
          <w:rStyle w:val="FootnoteReference"/>
          <w:rFonts w:cs="Times New Roman"/>
          <w:szCs w:val="24"/>
        </w:rPr>
        <w:footnoteReference w:id="22"/>
      </w:r>
      <w:r w:rsidR="004D4873" w:rsidRPr="00347087">
        <w:rPr>
          <w:rFonts w:cs="Times New Roman"/>
          <w:szCs w:val="24"/>
        </w:rPr>
        <w:t xml:space="preserve"> </w:t>
      </w:r>
      <w:r w:rsidR="00412FFF">
        <w:rPr>
          <w:rFonts w:cs="Times New Roman"/>
          <w:szCs w:val="24"/>
        </w:rPr>
        <w:t xml:space="preserve"> </w:t>
      </w:r>
      <w:r>
        <w:rPr>
          <w:rFonts w:cs="Times New Roman"/>
          <w:szCs w:val="24"/>
        </w:rPr>
        <w:t xml:space="preserve">The </w:t>
      </w:r>
      <w:r w:rsidR="00FE2AC3">
        <w:rPr>
          <w:rFonts w:cs="Times New Roman"/>
          <w:szCs w:val="24"/>
        </w:rPr>
        <w:t>Commission</w:t>
      </w:r>
      <w:r w:rsidR="004D4873" w:rsidRPr="00347087">
        <w:rPr>
          <w:rFonts w:cs="Times New Roman"/>
          <w:szCs w:val="24"/>
        </w:rPr>
        <w:t xml:space="preserve"> </w:t>
      </w:r>
      <w:r>
        <w:rPr>
          <w:rFonts w:cs="Times New Roman"/>
          <w:szCs w:val="24"/>
        </w:rPr>
        <w:t xml:space="preserve">considered and rejected this proposal already, and at this point </w:t>
      </w:r>
      <w:r w:rsidR="00412FFF">
        <w:rPr>
          <w:rFonts w:cs="Times New Roman"/>
          <w:szCs w:val="24"/>
        </w:rPr>
        <w:t xml:space="preserve">Avista </w:t>
      </w:r>
      <w:r>
        <w:rPr>
          <w:rFonts w:cs="Times New Roman"/>
          <w:szCs w:val="24"/>
        </w:rPr>
        <w:t xml:space="preserve">adds only that this </w:t>
      </w:r>
      <w:r w:rsidR="000A2752">
        <w:rPr>
          <w:rFonts w:cs="Times New Roman"/>
          <w:szCs w:val="24"/>
        </w:rPr>
        <w:t xml:space="preserve">language very helpfully </w:t>
      </w:r>
      <w:r>
        <w:rPr>
          <w:rFonts w:cs="Times New Roman"/>
          <w:szCs w:val="24"/>
        </w:rPr>
        <w:t xml:space="preserve">encourages parties to negotiate thoughtfully and to identify issues that may arise before they agree to sign a pole attachment agreement. </w:t>
      </w:r>
      <w:r w:rsidR="000A2752">
        <w:rPr>
          <w:rFonts w:cs="Times New Roman"/>
          <w:szCs w:val="24"/>
        </w:rPr>
        <w:t xml:space="preserve"> Under these circumstances, o</w:t>
      </w:r>
      <w:r w:rsidR="007F728C">
        <w:rPr>
          <w:rFonts w:cs="Times New Roman"/>
          <w:szCs w:val="24"/>
        </w:rPr>
        <w:t xml:space="preserve">nce the agreement is signed, both parties deserve assurances that the agreement will be enforceable.  </w:t>
      </w:r>
    </w:p>
    <w:p w:rsidR="0065213E" w:rsidRPr="0065213E" w:rsidRDefault="004D4873" w:rsidP="0065213E">
      <w:pPr>
        <w:spacing w:before="100" w:beforeAutospacing="1" w:after="100" w:afterAutospacing="1" w:line="360" w:lineRule="auto"/>
        <w:rPr>
          <w:rFonts w:cs="Times New Roman"/>
          <w:szCs w:val="24"/>
        </w:rPr>
      </w:pPr>
      <w:r w:rsidRPr="0065213E">
        <w:rPr>
          <w:rFonts w:cs="Times New Roman"/>
          <w:b/>
          <w:bCs/>
          <w:szCs w:val="24"/>
        </w:rPr>
        <w:t xml:space="preserve">Burden of Proof </w:t>
      </w:r>
    </w:p>
    <w:p w:rsidR="0065213E" w:rsidRDefault="004D4873" w:rsidP="00AC2B68">
      <w:pPr>
        <w:spacing w:line="360" w:lineRule="auto"/>
        <w:ind w:firstLine="720"/>
        <w:rPr>
          <w:rFonts w:cs="Times New Roman"/>
          <w:szCs w:val="24"/>
        </w:rPr>
      </w:pPr>
      <w:r w:rsidRPr="00347087">
        <w:rPr>
          <w:rFonts w:cs="Times New Roman"/>
          <w:szCs w:val="24"/>
        </w:rPr>
        <w:t xml:space="preserve">BCAW </w:t>
      </w:r>
      <w:r w:rsidR="00286CB8">
        <w:rPr>
          <w:rFonts w:cs="Times New Roman"/>
          <w:szCs w:val="24"/>
        </w:rPr>
        <w:t>proposes to modify Draft Rule 480-54-070(6) so that the licensee’s or utility’s burden to prove a right to attach to owner’s poles extends only to the licensee’s or utility’s “jurisdictional” right to attach.</w:t>
      </w:r>
      <w:r w:rsidR="0065213E">
        <w:rPr>
          <w:rStyle w:val="FootnoteReference"/>
          <w:rFonts w:cs="Times New Roman"/>
          <w:szCs w:val="24"/>
        </w:rPr>
        <w:footnoteReference w:id="23"/>
      </w:r>
      <w:r w:rsidR="00286CB8">
        <w:rPr>
          <w:rFonts w:cs="Times New Roman"/>
          <w:szCs w:val="24"/>
        </w:rPr>
        <w:t xml:space="preserve">  This proposed change, however, would eliminate the requirement that a licensee or utility prove it has the easements or rights-of-way necessary to attach.  </w:t>
      </w:r>
      <w:r w:rsidR="004E649F">
        <w:rPr>
          <w:rFonts w:cs="Times New Roman"/>
          <w:szCs w:val="24"/>
        </w:rPr>
        <w:t xml:space="preserve">This information </w:t>
      </w:r>
      <w:r w:rsidR="000A2752">
        <w:rPr>
          <w:rFonts w:cs="Times New Roman"/>
          <w:szCs w:val="24"/>
        </w:rPr>
        <w:t xml:space="preserve">about a licensee’s right to attach </w:t>
      </w:r>
      <w:r w:rsidR="004E649F">
        <w:rPr>
          <w:rFonts w:cs="Times New Roman"/>
          <w:szCs w:val="24"/>
        </w:rPr>
        <w:t>is of obvious significance to the parties and the Commission in any complaint case, even if the licensee or utility is a “jurisdictional” licensee or utility under the rules.  Avista therefore proposes that the Commission reject BCAW’s proposed limitation.</w:t>
      </w:r>
    </w:p>
    <w:p w:rsidR="004E649F" w:rsidRPr="00347087" w:rsidRDefault="004E649F" w:rsidP="00AC2B68">
      <w:pPr>
        <w:spacing w:line="360" w:lineRule="auto"/>
        <w:ind w:firstLine="720"/>
        <w:rPr>
          <w:rFonts w:cs="Times New Roman"/>
          <w:szCs w:val="24"/>
        </w:rPr>
      </w:pPr>
    </w:p>
    <w:p w:rsidR="00245F80" w:rsidRPr="00347087" w:rsidRDefault="00245F80" w:rsidP="00756E6E">
      <w:pPr>
        <w:pStyle w:val="Heading1"/>
        <w:jc w:val="center"/>
        <w:rPr>
          <w:rFonts w:cs="Times New Roman"/>
          <w:szCs w:val="24"/>
        </w:rPr>
      </w:pPr>
      <w:r w:rsidRPr="00347087">
        <w:rPr>
          <w:rFonts w:cs="Times New Roman"/>
          <w:szCs w:val="24"/>
        </w:rPr>
        <w:t>CONCLUSION</w:t>
      </w:r>
    </w:p>
    <w:p w:rsidR="00E56E77" w:rsidRPr="00347087" w:rsidRDefault="00E56E77" w:rsidP="00AC2B68">
      <w:pPr>
        <w:spacing w:line="360" w:lineRule="auto"/>
        <w:ind w:firstLine="720"/>
        <w:rPr>
          <w:rFonts w:cs="Times New Roman"/>
          <w:szCs w:val="24"/>
        </w:rPr>
      </w:pPr>
      <w:r w:rsidRPr="00347087">
        <w:rPr>
          <w:rFonts w:cs="Times New Roman"/>
          <w:szCs w:val="24"/>
        </w:rPr>
        <w:t xml:space="preserve">Protecting the public and all line workers (power and communications alike) </w:t>
      </w:r>
      <w:r w:rsidR="000E0108" w:rsidRPr="00347087">
        <w:rPr>
          <w:rFonts w:cs="Times New Roman"/>
          <w:szCs w:val="24"/>
        </w:rPr>
        <w:t>continues to be</w:t>
      </w:r>
      <w:r w:rsidR="00FA2FFF" w:rsidRPr="00347087">
        <w:rPr>
          <w:rFonts w:cs="Times New Roman"/>
          <w:szCs w:val="24"/>
        </w:rPr>
        <w:t xml:space="preserve"> </w:t>
      </w:r>
      <w:r w:rsidR="00E7338B" w:rsidRPr="00347087">
        <w:rPr>
          <w:rFonts w:cs="Times New Roman"/>
          <w:szCs w:val="24"/>
        </w:rPr>
        <w:t xml:space="preserve">one of </w:t>
      </w:r>
      <w:r w:rsidR="00FA2FFF" w:rsidRPr="00347087">
        <w:rPr>
          <w:rFonts w:cs="Times New Roman"/>
          <w:szCs w:val="24"/>
        </w:rPr>
        <w:t xml:space="preserve">Avista’s </w:t>
      </w:r>
      <w:r w:rsidR="005E5E43" w:rsidRPr="00347087">
        <w:rPr>
          <w:rFonts w:cs="Times New Roman"/>
          <w:szCs w:val="24"/>
        </w:rPr>
        <w:t>primary goal</w:t>
      </w:r>
      <w:r w:rsidR="00E7338B" w:rsidRPr="00347087">
        <w:rPr>
          <w:rFonts w:cs="Times New Roman"/>
          <w:szCs w:val="24"/>
        </w:rPr>
        <w:t>s and responsibilities</w:t>
      </w:r>
      <w:r w:rsidR="002823D9" w:rsidRPr="00347087">
        <w:rPr>
          <w:rFonts w:cs="Times New Roman"/>
          <w:szCs w:val="24"/>
        </w:rPr>
        <w:t xml:space="preserve">.  </w:t>
      </w:r>
      <w:r w:rsidR="00CA6518">
        <w:rPr>
          <w:rFonts w:cs="Times New Roman"/>
          <w:szCs w:val="24"/>
        </w:rPr>
        <w:t xml:space="preserve">Proposals made by Avista are the ingredients that have made our joint use program successful by balancing the safety and reliability concerns to meet the demands of a growing communication industry.  </w:t>
      </w:r>
      <w:r w:rsidR="00B127F7" w:rsidRPr="00347087">
        <w:rPr>
          <w:rFonts w:cs="Times New Roman"/>
          <w:szCs w:val="24"/>
        </w:rPr>
        <w:t>We strongly believe that u</w:t>
      </w:r>
      <w:r w:rsidRPr="00347087">
        <w:rPr>
          <w:rFonts w:cs="Times New Roman"/>
          <w:szCs w:val="24"/>
        </w:rPr>
        <w:t xml:space="preserve">tilities need to maintain control over the safety, engineering and reliability of their facilities, and the Commission’s pole attachment regulations should </w:t>
      </w:r>
      <w:r w:rsidR="00593876" w:rsidRPr="00347087">
        <w:rPr>
          <w:rFonts w:cs="Times New Roman"/>
          <w:szCs w:val="24"/>
        </w:rPr>
        <w:t>promote</w:t>
      </w:r>
      <w:r w:rsidRPr="00347087">
        <w:rPr>
          <w:rFonts w:cs="Times New Roman"/>
          <w:szCs w:val="24"/>
        </w:rPr>
        <w:t xml:space="preserve"> </w:t>
      </w:r>
      <w:r w:rsidR="00E83CFB" w:rsidRPr="00347087">
        <w:rPr>
          <w:rFonts w:cs="Times New Roman"/>
          <w:szCs w:val="24"/>
        </w:rPr>
        <w:t>that objective</w:t>
      </w:r>
      <w:r w:rsidRPr="00347087">
        <w:rPr>
          <w:rFonts w:cs="Times New Roman"/>
          <w:szCs w:val="24"/>
        </w:rPr>
        <w:t xml:space="preserve">.  </w:t>
      </w:r>
    </w:p>
    <w:p w:rsidR="00F45919" w:rsidRPr="00347087" w:rsidRDefault="00F45919" w:rsidP="00AC2B68">
      <w:pPr>
        <w:spacing w:line="360" w:lineRule="auto"/>
        <w:ind w:firstLine="720"/>
        <w:rPr>
          <w:rFonts w:cs="Times New Roman"/>
          <w:szCs w:val="24"/>
        </w:rPr>
      </w:pPr>
      <w:r w:rsidRPr="00347087">
        <w:rPr>
          <w:rFonts w:cs="Times New Roman"/>
          <w:szCs w:val="24"/>
        </w:rPr>
        <w:t xml:space="preserve">Avista </w:t>
      </w:r>
      <w:r w:rsidR="000E0108" w:rsidRPr="00347087">
        <w:rPr>
          <w:rFonts w:cs="Times New Roman"/>
          <w:szCs w:val="24"/>
        </w:rPr>
        <w:t xml:space="preserve">again </w:t>
      </w:r>
      <w:r w:rsidRPr="00347087">
        <w:rPr>
          <w:rFonts w:cs="Times New Roman"/>
          <w:szCs w:val="24"/>
        </w:rPr>
        <w:t xml:space="preserve">appreciates the opportunity to provide these comments, and we look forward to participating in </w:t>
      </w:r>
      <w:r w:rsidR="00794224" w:rsidRPr="00347087">
        <w:rPr>
          <w:rFonts w:cs="Times New Roman"/>
          <w:szCs w:val="24"/>
        </w:rPr>
        <w:t>any future workshops or discussions</w:t>
      </w:r>
      <w:r w:rsidRPr="00347087">
        <w:rPr>
          <w:rFonts w:cs="Times New Roman"/>
          <w:szCs w:val="24"/>
        </w:rPr>
        <w:t>.</w:t>
      </w:r>
      <w:r w:rsidR="00DA1C41" w:rsidRPr="00347087">
        <w:rPr>
          <w:rFonts w:cs="Times New Roman"/>
          <w:szCs w:val="24"/>
        </w:rPr>
        <w:t xml:space="preserve"> </w:t>
      </w:r>
      <w:r w:rsidR="00245F80" w:rsidRPr="00347087">
        <w:rPr>
          <w:rFonts w:cs="Times New Roman"/>
          <w:szCs w:val="24"/>
        </w:rPr>
        <w:t xml:space="preserve"> </w:t>
      </w:r>
      <w:r w:rsidRPr="00347087">
        <w:rPr>
          <w:rFonts w:cs="Times New Roman"/>
          <w:szCs w:val="24"/>
        </w:rPr>
        <w:t xml:space="preserve">If you have any questions regarding these comments, please contact </w:t>
      </w:r>
      <w:r w:rsidR="00F8014E" w:rsidRPr="00347087">
        <w:rPr>
          <w:rFonts w:cs="Times New Roman"/>
          <w:szCs w:val="24"/>
        </w:rPr>
        <w:t>me</w:t>
      </w:r>
      <w:r w:rsidRPr="00347087">
        <w:rPr>
          <w:rFonts w:cs="Times New Roman"/>
          <w:szCs w:val="24"/>
        </w:rPr>
        <w:t xml:space="preserve"> </w:t>
      </w:r>
      <w:r w:rsidR="001B29A5" w:rsidRPr="00347087">
        <w:rPr>
          <w:rFonts w:cs="Times New Roman"/>
          <w:szCs w:val="24"/>
        </w:rPr>
        <w:t>at 509-495-4975</w:t>
      </w:r>
      <w:r w:rsidR="00DA1C41" w:rsidRPr="00347087">
        <w:rPr>
          <w:rFonts w:cs="Times New Roman"/>
          <w:szCs w:val="24"/>
        </w:rPr>
        <w:t xml:space="preserve"> or at </w:t>
      </w:r>
      <w:hyperlink r:id="rId11" w:history="1">
        <w:r w:rsidR="00DA1C41" w:rsidRPr="00347087">
          <w:rPr>
            <w:rStyle w:val="Hyperlink"/>
            <w:rFonts w:cs="Times New Roman"/>
            <w:szCs w:val="24"/>
          </w:rPr>
          <w:t>linda.gervais@avistacorp.com</w:t>
        </w:r>
      </w:hyperlink>
      <w:r w:rsidR="00DA1C41" w:rsidRPr="00347087">
        <w:rPr>
          <w:rFonts w:cs="Times New Roman"/>
          <w:szCs w:val="24"/>
        </w:rPr>
        <w:t>.</w:t>
      </w:r>
    </w:p>
    <w:p w:rsidR="004E58C3" w:rsidRPr="00347087" w:rsidRDefault="004E58C3" w:rsidP="00723C99">
      <w:pPr>
        <w:pStyle w:val="NoSpacing"/>
        <w:spacing w:line="360" w:lineRule="auto"/>
        <w:ind w:right="-270"/>
        <w:jc w:val="both"/>
        <w:rPr>
          <w:rFonts w:cs="Times New Roman"/>
          <w:szCs w:val="24"/>
        </w:rPr>
      </w:pPr>
    </w:p>
    <w:p w:rsidR="00337F64" w:rsidRPr="00347087" w:rsidRDefault="00337F64" w:rsidP="00337F64">
      <w:pPr>
        <w:jc w:val="both"/>
        <w:rPr>
          <w:rFonts w:cs="Times New Roman"/>
          <w:szCs w:val="24"/>
        </w:rPr>
      </w:pPr>
      <w:r w:rsidRPr="00347087">
        <w:rPr>
          <w:rFonts w:cs="Times New Roman"/>
          <w:szCs w:val="24"/>
        </w:rPr>
        <w:t>Sincerely,</w:t>
      </w:r>
    </w:p>
    <w:p w:rsidR="00337F64" w:rsidRPr="00347087" w:rsidRDefault="00337F64" w:rsidP="00337F64">
      <w:pPr>
        <w:jc w:val="both"/>
        <w:rPr>
          <w:rFonts w:cs="Times New Roman"/>
          <w:szCs w:val="24"/>
        </w:rPr>
      </w:pPr>
    </w:p>
    <w:p w:rsidR="00337F64" w:rsidRPr="00347087" w:rsidRDefault="00337F64" w:rsidP="00337F64">
      <w:pPr>
        <w:jc w:val="both"/>
        <w:rPr>
          <w:rFonts w:cs="Times New Roman"/>
          <w:noProof/>
          <w:szCs w:val="24"/>
        </w:rPr>
      </w:pPr>
      <w:r w:rsidRPr="00347087">
        <w:rPr>
          <w:rFonts w:cs="Times New Roman"/>
          <w:noProof/>
          <w:szCs w:val="24"/>
        </w:rPr>
        <w:t>/s/Linda Gervais/</w:t>
      </w:r>
    </w:p>
    <w:p w:rsidR="00337F64" w:rsidRPr="00347087" w:rsidRDefault="00337F64" w:rsidP="00337F64">
      <w:pPr>
        <w:jc w:val="both"/>
        <w:rPr>
          <w:rFonts w:cs="Times New Roman"/>
          <w:szCs w:val="24"/>
        </w:rPr>
      </w:pPr>
    </w:p>
    <w:p w:rsidR="00337F64" w:rsidRPr="00347087" w:rsidRDefault="00337F64" w:rsidP="00337F64">
      <w:pPr>
        <w:jc w:val="both"/>
        <w:rPr>
          <w:rFonts w:cs="Times New Roman"/>
          <w:szCs w:val="24"/>
        </w:rPr>
      </w:pPr>
      <w:r w:rsidRPr="00347087">
        <w:rPr>
          <w:rFonts w:cs="Times New Roman"/>
          <w:szCs w:val="24"/>
        </w:rPr>
        <w:t>Manager, Regulatory Policy</w:t>
      </w:r>
    </w:p>
    <w:p w:rsidR="00337F64" w:rsidRPr="00347087" w:rsidRDefault="00337F64" w:rsidP="00337F64">
      <w:pPr>
        <w:jc w:val="both"/>
        <w:rPr>
          <w:rFonts w:cs="Times New Roman"/>
          <w:szCs w:val="24"/>
          <w:lang w:val="fr-FR"/>
        </w:rPr>
      </w:pPr>
      <w:r w:rsidRPr="00347087">
        <w:rPr>
          <w:rFonts w:cs="Times New Roman"/>
          <w:szCs w:val="24"/>
          <w:lang w:val="fr-FR"/>
        </w:rPr>
        <w:t>Avista Utilities</w:t>
      </w:r>
    </w:p>
    <w:p w:rsidR="00337F64" w:rsidRPr="00347087" w:rsidRDefault="00826A2D" w:rsidP="00337F64">
      <w:pPr>
        <w:jc w:val="both"/>
        <w:rPr>
          <w:rFonts w:cs="Times New Roman"/>
          <w:szCs w:val="24"/>
          <w:lang w:val="fr-FR"/>
        </w:rPr>
      </w:pPr>
      <w:hyperlink r:id="rId12" w:history="1">
        <w:r w:rsidR="00337F64" w:rsidRPr="00347087">
          <w:rPr>
            <w:rStyle w:val="Hyperlink"/>
            <w:rFonts w:cs="Times New Roman"/>
            <w:szCs w:val="24"/>
            <w:lang w:val="fr-FR"/>
          </w:rPr>
          <w:t>linda.gervais@avistacorp.com</w:t>
        </w:r>
      </w:hyperlink>
    </w:p>
    <w:p w:rsidR="002C15E5" w:rsidRPr="00347087" w:rsidRDefault="001704E6" w:rsidP="001704E6">
      <w:pPr>
        <w:jc w:val="both"/>
        <w:rPr>
          <w:rFonts w:cs="Times New Roman"/>
          <w:szCs w:val="24"/>
          <w:lang w:val="fr-FR"/>
        </w:rPr>
      </w:pPr>
      <w:r w:rsidRPr="00347087">
        <w:rPr>
          <w:rFonts w:cs="Times New Roman"/>
          <w:szCs w:val="24"/>
          <w:lang w:val="fr-FR"/>
        </w:rPr>
        <w:t>509-495-4975</w:t>
      </w:r>
      <w:bookmarkStart w:id="0" w:name="_GoBack"/>
      <w:bookmarkEnd w:id="0"/>
    </w:p>
    <w:sectPr w:rsidR="002C15E5" w:rsidRPr="00347087" w:rsidSect="009E77D8">
      <w:footerReference w:type="default" r:id="rId13"/>
      <w:headerReference w:type="first" r:id="rId14"/>
      <w:pgSz w:w="12240" w:h="15840"/>
      <w:pgMar w:top="1440" w:right="1440" w:bottom="1440" w:left="1440" w:header="360" w:footer="226"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B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6D" w:rsidRDefault="00AA2F6D" w:rsidP="002A1126">
      <w:r>
        <w:separator/>
      </w:r>
    </w:p>
  </w:endnote>
  <w:endnote w:type="continuationSeparator" w:id="0">
    <w:p w:rsidR="00AA2F6D" w:rsidRDefault="00AA2F6D"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99" w:rsidRDefault="00826A2D" w:rsidP="00F54081">
    <w:pPr>
      <w:jc w:val="center"/>
    </w:pPr>
    <w:sdt>
      <w:sdtPr>
        <w:id w:val="254450023"/>
        <w:docPartObj>
          <w:docPartGallery w:val="Page Numbers (Top of Page)"/>
          <w:docPartUnique/>
        </w:docPartObj>
      </w:sdtPr>
      <w:sdtContent>
        <w:r w:rsidR="00723C99" w:rsidRPr="00F54081">
          <w:rPr>
            <w:rFonts w:cs="Times New Roman"/>
          </w:rPr>
          <w:t xml:space="preserve">Page </w:t>
        </w:r>
        <w:r w:rsidRPr="00F54081">
          <w:rPr>
            <w:rFonts w:cs="Times New Roman"/>
          </w:rPr>
          <w:fldChar w:fldCharType="begin"/>
        </w:r>
        <w:r w:rsidR="00723C99" w:rsidRPr="00F54081">
          <w:rPr>
            <w:rFonts w:cs="Times New Roman"/>
          </w:rPr>
          <w:instrText xml:space="preserve"> PAGE </w:instrText>
        </w:r>
        <w:r w:rsidRPr="00F54081">
          <w:rPr>
            <w:rFonts w:cs="Times New Roman"/>
          </w:rPr>
          <w:fldChar w:fldCharType="separate"/>
        </w:r>
        <w:r w:rsidR="00E56BED">
          <w:rPr>
            <w:rFonts w:cs="Times New Roman"/>
            <w:noProof/>
          </w:rPr>
          <w:t>12</w:t>
        </w:r>
        <w:r w:rsidRPr="00F54081">
          <w:rPr>
            <w:rFonts w:cs="Times New Roman"/>
          </w:rPr>
          <w:fldChar w:fldCharType="end"/>
        </w:r>
        <w:r w:rsidR="00723C99" w:rsidRPr="00F54081">
          <w:rPr>
            <w:rFonts w:cs="Times New Roman"/>
          </w:rPr>
          <w:t xml:space="preserve"> of </w:t>
        </w:r>
        <w:r w:rsidRPr="00F54081">
          <w:rPr>
            <w:rFonts w:cs="Times New Roman"/>
          </w:rPr>
          <w:fldChar w:fldCharType="begin"/>
        </w:r>
        <w:r w:rsidR="00723C99" w:rsidRPr="00F54081">
          <w:rPr>
            <w:rFonts w:cs="Times New Roman"/>
          </w:rPr>
          <w:instrText xml:space="preserve"> NUMPAGES  </w:instrText>
        </w:r>
        <w:r w:rsidRPr="00F54081">
          <w:rPr>
            <w:rFonts w:cs="Times New Roman"/>
          </w:rPr>
          <w:fldChar w:fldCharType="separate"/>
        </w:r>
        <w:r w:rsidR="00E56BED">
          <w:rPr>
            <w:rFonts w:cs="Times New Roman"/>
            <w:noProof/>
          </w:rPr>
          <w:t>12</w:t>
        </w:r>
        <w:r w:rsidRPr="00F54081">
          <w:rPr>
            <w:rFonts w:cs="Times New Roman"/>
          </w:rPr>
          <w:fldChar w:fldCharType="end"/>
        </w:r>
      </w:sdtContent>
    </w:sdt>
  </w:p>
  <w:p w:rsidR="00723C99" w:rsidRDefault="00723C99">
    <w:pPr>
      <w:pStyle w:val="Footer"/>
      <w:pBdr>
        <w:top w:val="single" w:sz="4" w:space="1" w:color="D9D9D9" w:themeColor="background1" w:themeShade="D9"/>
      </w:pBdr>
      <w:jc w:val="right"/>
    </w:pPr>
  </w:p>
  <w:p w:rsidR="00723C99" w:rsidRDefault="00723C99"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6D" w:rsidRDefault="00AA2F6D" w:rsidP="002A1126">
      <w:r>
        <w:separator/>
      </w:r>
    </w:p>
  </w:footnote>
  <w:footnote w:type="continuationSeparator" w:id="0">
    <w:p w:rsidR="00AA2F6D" w:rsidRDefault="00AA2F6D" w:rsidP="002A1126">
      <w:r>
        <w:continuationSeparator/>
      </w:r>
    </w:p>
  </w:footnote>
  <w:footnote w:id="1">
    <w:p w:rsidR="00723C99" w:rsidRDefault="00723C99">
      <w:pPr>
        <w:pStyle w:val="FootnoteText"/>
      </w:pPr>
      <w:r>
        <w:rPr>
          <w:rStyle w:val="FootnoteReference"/>
        </w:rPr>
        <w:footnoteRef/>
      </w:r>
      <w:r>
        <w:t xml:space="preserve"> Comments of Integra, at 2 (April 17, 2015).</w:t>
      </w:r>
    </w:p>
  </w:footnote>
  <w:footnote w:id="2">
    <w:p w:rsidR="00723C99" w:rsidRDefault="00723C99">
      <w:pPr>
        <w:pStyle w:val="FootnoteText"/>
      </w:pPr>
      <w:r>
        <w:rPr>
          <w:rStyle w:val="FootnoteReference"/>
        </w:rPr>
        <w:footnoteRef/>
      </w:r>
      <w:r>
        <w:t xml:space="preserve"> </w:t>
      </w:r>
      <w:r>
        <w:rPr>
          <w:i/>
        </w:rPr>
        <w:t>See</w:t>
      </w:r>
      <w:r>
        <w:t xml:space="preserve"> </w:t>
      </w:r>
      <w:r w:rsidRPr="00F74ACA">
        <w:t xml:space="preserve">Google’s </w:t>
      </w:r>
      <w:r>
        <w:t xml:space="preserve">February 6, 2015 </w:t>
      </w:r>
      <w:r w:rsidRPr="00F74ACA">
        <w:t>Comments at 5.</w:t>
      </w:r>
    </w:p>
  </w:footnote>
  <w:footnote w:id="3">
    <w:p w:rsidR="00723C99" w:rsidRDefault="00723C99">
      <w:pPr>
        <w:pStyle w:val="FootnoteText"/>
      </w:pPr>
      <w:r>
        <w:rPr>
          <w:rStyle w:val="FootnoteReference"/>
        </w:rPr>
        <w:footnoteRef/>
      </w:r>
      <w:r>
        <w:t xml:space="preserve"> </w:t>
      </w:r>
      <w:proofErr w:type="gramStart"/>
      <w:r>
        <w:t>Comments of Integra at 3.</w:t>
      </w:r>
      <w:proofErr w:type="gramEnd"/>
    </w:p>
  </w:footnote>
  <w:footnote w:id="4">
    <w:p w:rsidR="00723C99" w:rsidRDefault="00723C99">
      <w:pPr>
        <w:pStyle w:val="FootnoteText"/>
      </w:pPr>
      <w:r>
        <w:rPr>
          <w:rStyle w:val="FootnoteReference"/>
        </w:rPr>
        <w:footnoteRef/>
      </w:r>
      <w:r>
        <w:t xml:space="preserve"> Comments of BCAW at 2 (April 17, 2015) (citing its February 6, 2015 Comments).</w:t>
      </w:r>
    </w:p>
  </w:footnote>
  <w:footnote w:id="5">
    <w:p w:rsidR="00723C99" w:rsidRDefault="00723C99">
      <w:pPr>
        <w:pStyle w:val="FootnoteText"/>
      </w:pPr>
      <w:r>
        <w:rPr>
          <w:rStyle w:val="FootnoteReference"/>
        </w:rPr>
        <w:footnoteRef/>
      </w:r>
      <w:r>
        <w:t xml:space="preserve"> </w:t>
      </w:r>
      <w:proofErr w:type="gramStart"/>
      <w:r>
        <w:t>Summary of Comments/Responses on Revised Draft Rules at 1 (Mar. 13, 2015) [hereinafter “Commission Matrix”].</w:t>
      </w:r>
      <w:proofErr w:type="gramEnd"/>
    </w:p>
  </w:footnote>
  <w:footnote w:id="6">
    <w:p w:rsidR="00723C99" w:rsidRDefault="00723C99">
      <w:pPr>
        <w:pStyle w:val="FootnoteText"/>
      </w:pPr>
      <w:r>
        <w:rPr>
          <w:rStyle w:val="FootnoteReference"/>
        </w:rPr>
        <w:footnoteRef/>
      </w:r>
      <w:r>
        <w:t xml:space="preserve"> 47 U.S.C. §224(c</w:t>
      </w:r>
      <w:proofErr w:type="gramStart"/>
      <w:r>
        <w:t>)(</w:t>
      </w:r>
      <w:proofErr w:type="gramEnd"/>
      <w:r>
        <w:t>1).</w:t>
      </w:r>
    </w:p>
  </w:footnote>
  <w:footnote w:id="7">
    <w:p w:rsidR="00723C99" w:rsidRDefault="00723C99">
      <w:pPr>
        <w:pStyle w:val="FootnoteText"/>
      </w:pPr>
      <w:r>
        <w:rPr>
          <w:rStyle w:val="FootnoteReference"/>
        </w:rPr>
        <w:footnoteRef/>
      </w:r>
      <w:r>
        <w:t xml:space="preserve"> </w:t>
      </w:r>
      <w:proofErr w:type="gramStart"/>
      <w:r>
        <w:t>Comments of BCAW at 4.</w:t>
      </w:r>
      <w:proofErr w:type="gramEnd"/>
    </w:p>
  </w:footnote>
  <w:footnote w:id="8">
    <w:p w:rsidR="00723C99" w:rsidRPr="0083380C" w:rsidRDefault="00723C99">
      <w:pPr>
        <w:pStyle w:val="FootnoteText"/>
      </w:pPr>
      <w:r>
        <w:rPr>
          <w:rStyle w:val="FootnoteReference"/>
        </w:rPr>
        <w:footnoteRef/>
      </w:r>
      <w:r>
        <w:t xml:space="preserve"> </w:t>
      </w:r>
      <w:r>
        <w:rPr>
          <w:i/>
        </w:rPr>
        <w:t>Id</w:t>
      </w:r>
      <w:r>
        <w:t>.</w:t>
      </w:r>
    </w:p>
  </w:footnote>
  <w:footnote w:id="9">
    <w:p w:rsidR="00723C99" w:rsidRPr="005259AF" w:rsidRDefault="00723C99">
      <w:pPr>
        <w:pStyle w:val="FootnoteText"/>
      </w:pPr>
      <w:r>
        <w:rPr>
          <w:rStyle w:val="FootnoteReference"/>
        </w:rPr>
        <w:footnoteRef/>
      </w:r>
      <w:r>
        <w:t xml:space="preserve"> </w:t>
      </w:r>
      <w:r>
        <w:rPr>
          <w:i/>
        </w:rPr>
        <w:t>See, e.g.</w:t>
      </w:r>
      <w:r>
        <w:t xml:space="preserve">, Comments of AT&amp;T, at 3 (Apr.17, 2015) (“If an application fee or other charge is assessed and a corresponding reduction is not taken from the inputs to the carrying charge, there would be a double recovery.”); CenturyLink’s April 17, 2015 Comments on Draft Rules, at 2 (“WAC 480-54-030(3) contains new language in response to PSE’s comments making it explicit that the pole owner may recover the costs necessary to process the application. . . . No party should double recover those costs.”) [Hereinafter “CenturyLink’s Comments”]; Comments of Integra at 6 (“[T]he </w:t>
      </w:r>
      <w:r>
        <w:rPr>
          <w:i/>
        </w:rPr>
        <w:t>Third Revised Draft Rules</w:t>
      </w:r>
      <w:r>
        <w:t xml:space="preserve"> allowing a facility owner to recover the costs it incurs to process applications is unnecessary.”);  PCIA – The Wireless Infrastructure Association and the </w:t>
      </w:r>
      <w:proofErr w:type="spellStart"/>
      <w:r>
        <w:t>HetNet</w:t>
      </w:r>
      <w:proofErr w:type="spellEnd"/>
      <w:r>
        <w:t xml:space="preserve"> Forum’s Comments on Third Revised Draft Rules to Implement RCW Ch. 80.54, at 4 (Apr. 17, 2015) (“PCIA requests the Commission to verify that owners will not duplicate recovery of administrative costs associated with processing pole attachment applications.”) </w:t>
      </w:r>
      <w:proofErr w:type="gramStart"/>
      <w:r>
        <w:t>[Hereinafter “PCIA Comments”].</w:t>
      </w:r>
      <w:proofErr w:type="gramEnd"/>
    </w:p>
  </w:footnote>
  <w:footnote w:id="10">
    <w:p w:rsidR="00723C99" w:rsidRDefault="00723C99">
      <w:pPr>
        <w:pStyle w:val="FootnoteText"/>
      </w:pPr>
      <w:r>
        <w:rPr>
          <w:rStyle w:val="FootnoteReference"/>
        </w:rPr>
        <w:footnoteRef/>
      </w:r>
      <w:r>
        <w:t xml:space="preserve"> Comments of BCAW at 4-5.</w:t>
      </w:r>
    </w:p>
  </w:footnote>
  <w:footnote w:id="11">
    <w:p w:rsidR="00723C99" w:rsidRDefault="00723C99">
      <w:pPr>
        <w:pStyle w:val="FootnoteText"/>
      </w:pPr>
      <w:r>
        <w:rPr>
          <w:rStyle w:val="FootnoteReference"/>
        </w:rPr>
        <w:footnoteRef/>
      </w:r>
      <w:r>
        <w:t xml:space="preserve"> The Uniform System of Accounts describes costs to be included in Account 598 as follows:  “This account shall include the cost of labor, materials used and expenses incurred in distribution system operations not provided for elsewhere.”</w:t>
      </w:r>
    </w:p>
  </w:footnote>
  <w:footnote w:id="12">
    <w:p w:rsidR="00723C99" w:rsidRDefault="00723C99">
      <w:pPr>
        <w:pStyle w:val="FootnoteText"/>
      </w:pPr>
      <w:r>
        <w:rPr>
          <w:rStyle w:val="FootnoteReference"/>
        </w:rPr>
        <w:footnoteRef/>
      </w:r>
      <w:r>
        <w:t xml:space="preserve"> </w:t>
      </w:r>
      <w:proofErr w:type="gramStart"/>
      <w:r>
        <w:t>Comments of BCAW at 4, n. 12.</w:t>
      </w:r>
      <w:proofErr w:type="gramEnd"/>
    </w:p>
  </w:footnote>
  <w:footnote w:id="13">
    <w:p w:rsidR="00723C99" w:rsidRPr="00882026" w:rsidRDefault="00723C99" w:rsidP="00882026">
      <w:pPr>
        <w:rPr>
          <w:color w:val="1F497D"/>
        </w:rPr>
      </w:pPr>
      <w:r>
        <w:rPr>
          <w:rStyle w:val="FootnoteReference"/>
        </w:rPr>
        <w:footnoteRef/>
      </w:r>
      <w:r>
        <w:t xml:space="preserve"> </w:t>
      </w:r>
      <w:r w:rsidRPr="00723C99">
        <w:rPr>
          <w:i/>
          <w:sz w:val="20"/>
          <w:szCs w:val="20"/>
        </w:rPr>
        <w:t>Rulemaking to Amend and Adopt Rules in OAR 860, Divisions 024 and 028, Regarding Pole Attachment Use and Safety (AR 506)</w:t>
      </w:r>
      <w:r w:rsidRPr="00723C99">
        <w:rPr>
          <w:sz w:val="20"/>
          <w:szCs w:val="20"/>
        </w:rPr>
        <w:t xml:space="preserve">, Order, Permanent Rules Adopted, at 13-14 (Oregon PUC 2007) (emphasis added), available at:  </w:t>
      </w:r>
      <w:hyperlink r:id="rId1" w:history="1">
        <w:r w:rsidRPr="00723C99">
          <w:rPr>
            <w:rStyle w:val="Hyperlink"/>
            <w:sz w:val="20"/>
            <w:szCs w:val="20"/>
          </w:rPr>
          <w:t>http://apps.puc.state.or.us/orders/2007ords/07-137.pdf</w:t>
        </w:r>
      </w:hyperlink>
    </w:p>
  </w:footnote>
  <w:footnote w:id="14">
    <w:p w:rsidR="00723C99" w:rsidRDefault="00723C99">
      <w:pPr>
        <w:pStyle w:val="FootnoteText"/>
      </w:pPr>
      <w:r>
        <w:rPr>
          <w:rStyle w:val="FootnoteReference"/>
        </w:rPr>
        <w:footnoteRef/>
      </w:r>
      <w:r>
        <w:t xml:space="preserve"> OAR </w:t>
      </w:r>
      <w:r w:rsidRPr="00550E45">
        <w:t>860-028-0110</w:t>
      </w:r>
      <w:r>
        <w:t>(3) (emphasis added).</w:t>
      </w:r>
    </w:p>
  </w:footnote>
  <w:footnote w:id="15">
    <w:p w:rsidR="00723C99" w:rsidRPr="008E0C4E" w:rsidRDefault="00723C99">
      <w:pPr>
        <w:pStyle w:val="FootnoteText"/>
      </w:pPr>
      <w:r>
        <w:rPr>
          <w:rStyle w:val="FootnoteReference"/>
        </w:rPr>
        <w:footnoteRef/>
      </w:r>
      <w:r>
        <w:rPr>
          <w:rStyle w:val="FootnoteReference"/>
        </w:rPr>
        <w:footnoteRef/>
      </w:r>
      <w:r>
        <w:t xml:space="preserve"> </w:t>
      </w:r>
      <w:proofErr w:type="gramStart"/>
      <w:r>
        <w:rPr>
          <w:i/>
        </w:rPr>
        <w:t xml:space="preserve">See Texas Cable &amp; Telecommunications </w:t>
      </w:r>
      <w:proofErr w:type="spellStart"/>
      <w:r>
        <w:rPr>
          <w:i/>
        </w:rPr>
        <w:t>Ass’n</w:t>
      </w:r>
      <w:proofErr w:type="spellEnd"/>
      <w:r>
        <w:rPr>
          <w:i/>
        </w:rPr>
        <w:t xml:space="preserve"> v. Entergy Services, Inc.</w:t>
      </w:r>
      <w:r>
        <w:t xml:space="preserve">, 14 FCC </w:t>
      </w:r>
      <w:proofErr w:type="spellStart"/>
      <w:r>
        <w:t>Rcd</w:t>
      </w:r>
      <w:proofErr w:type="spellEnd"/>
      <w:r>
        <w:t xml:space="preserve"> 9138, at ¶5.</w:t>
      </w:r>
      <w:proofErr w:type="gramEnd"/>
    </w:p>
  </w:footnote>
  <w:footnote w:id="16">
    <w:p w:rsidR="00723C99" w:rsidRDefault="00723C99" w:rsidP="0057077A">
      <w:pPr>
        <w:pStyle w:val="FootnoteText"/>
      </w:pPr>
      <w:r>
        <w:rPr>
          <w:rStyle w:val="FootnoteReference"/>
        </w:rPr>
        <w:footnoteRef/>
      </w:r>
      <w:r>
        <w:t xml:space="preserve"> Similarly, as Avista noted at page 12 of its April 17, 2015 Comments, pole owners must be able recover costs associated with responding to overlash requests.  Staff’s Recommendation associated with Draft Rule 480-54-030(11) states:  “Costs of reviewing and responding to notice [of overlashing] should be included in pole maintenance expenses included in the carrying charge.”  But the cost of reviewing and responding to overlashing requests is no different than the cost of reviewing and responding to new attachment requests.  In both cases, trips to the poles are necessary, engineering analysis and design is required, and a make-ready estimate must be prepared.  If this were a new attachment request, those costs would be billed to the requester and recovered separate from the annual rental charge.  Like the administrative costs for applications processing, Avista explained that these costs cannot be recovered through the annual rental charge as part of Account 593 maintenance expense.  </w:t>
      </w:r>
      <w:r w:rsidRPr="00D830FC">
        <w:t xml:space="preserve">  </w:t>
      </w:r>
    </w:p>
  </w:footnote>
  <w:footnote w:id="17">
    <w:p w:rsidR="00723C99" w:rsidRDefault="00723C99">
      <w:pPr>
        <w:pStyle w:val="FootnoteText"/>
      </w:pPr>
      <w:r>
        <w:rPr>
          <w:rStyle w:val="FootnoteReference"/>
        </w:rPr>
        <w:footnoteRef/>
      </w:r>
      <w:r>
        <w:t xml:space="preserve"> </w:t>
      </w:r>
      <w:proofErr w:type="gramStart"/>
      <w:r>
        <w:t>Comments of BCAW at 7.</w:t>
      </w:r>
      <w:proofErr w:type="gramEnd"/>
    </w:p>
  </w:footnote>
  <w:footnote w:id="18">
    <w:p w:rsidR="00723C99" w:rsidRDefault="00723C99">
      <w:pPr>
        <w:pStyle w:val="FootnoteText"/>
      </w:pPr>
      <w:r>
        <w:rPr>
          <w:rStyle w:val="FootnoteReference"/>
        </w:rPr>
        <w:footnoteRef/>
      </w:r>
      <w:r>
        <w:t xml:space="preserve"> </w:t>
      </w:r>
      <w:proofErr w:type="gramStart"/>
      <w:r>
        <w:t>PCIA Comments at 3.</w:t>
      </w:r>
      <w:proofErr w:type="gramEnd"/>
    </w:p>
  </w:footnote>
  <w:footnote w:id="19">
    <w:p w:rsidR="00723C99" w:rsidRPr="005259AF" w:rsidRDefault="00723C99">
      <w:pPr>
        <w:pStyle w:val="FootnoteText"/>
      </w:pPr>
      <w:r>
        <w:rPr>
          <w:rStyle w:val="FootnoteReference"/>
        </w:rPr>
        <w:footnoteRef/>
      </w:r>
      <w:r>
        <w:t xml:space="preserve"> </w:t>
      </w:r>
      <w:r>
        <w:rPr>
          <w:i/>
        </w:rPr>
        <w:t>Id.</w:t>
      </w:r>
    </w:p>
  </w:footnote>
  <w:footnote w:id="20">
    <w:p w:rsidR="00723C99" w:rsidRDefault="00723C99" w:rsidP="00A3227B">
      <w:pPr>
        <w:pStyle w:val="FootnoteText"/>
      </w:pPr>
      <w:r>
        <w:rPr>
          <w:rStyle w:val="FootnoteReference"/>
        </w:rPr>
        <w:footnoteRef/>
      </w:r>
      <w:r>
        <w:t xml:space="preserve"> </w:t>
      </w:r>
      <w:proofErr w:type="gramStart"/>
      <w:r>
        <w:t>Comments of BCAW at 8.</w:t>
      </w:r>
      <w:proofErr w:type="gramEnd"/>
    </w:p>
  </w:footnote>
  <w:footnote w:id="21">
    <w:p w:rsidR="00723C99" w:rsidRDefault="00723C99">
      <w:pPr>
        <w:pStyle w:val="FootnoteText"/>
      </w:pPr>
      <w:r>
        <w:rPr>
          <w:rStyle w:val="FootnoteReference"/>
        </w:rPr>
        <w:footnoteRef/>
      </w:r>
      <w:r>
        <w:t xml:space="preserve"> </w:t>
      </w:r>
      <w:proofErr w:type="gramStart"/>
      <w:r>
        <w:t>CenturyLink’s Comments at 4.</w:t>
      </w:r>
      <w:proofErr w:type="gramEnd"/>
    </w:p>
  </w:footnote>
  <w:footnote w:id="22">
    <w:p w:rsidR="00723C99" w:rsidRDefault="00723C99" w:rsidP="00412FFF">
      <w:pPr>
        <w:pStyle w:val="FootnoteText"/>
      </w:pPr>
      <w:r>
        <w:rPr>
          <w:rStyle w:val="FootnoteReference"/>
        </w:rPr>
        <w:footnoteRef/>
      </w:r>
      <w:r>
        <w:t xml:space="preserve"> </w:t>
      </w:r>
      <w:proofErr w:type="gramStart"/>
      <w:r>
        <w:t>Comments of AT&amp;T at 6.</w:t>
      </w:r>
      <w:proofErr w:type="gramEnd"/>
    </w:p>
  </w:footnote>
  <w:footnote w:id="23">
    <w:p w:rsidR="00723C99" w:rsidRDefault="00723C99">
      <w:pPr>
        <w:pStyle w:val="FootnoteText"/>
      </w:pPr>
      <w:r>
        <w:rPr>
          <w:rStyle w:val="FootnoteReference"/>
        </w:rPr>
        <w:footnoteRef/>
      </w:r>
      <w:r>
        <w:t xml:space="preserve"> </w:t>
      </w:r>
      <w:proofErr w:type="gramStart"/>
      <w:r>
        <w:t>Comments of BCAW at 10.</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99" w:rsidRDefault="00723C99" w:rsidP="00D50CAE">
    <w:pPr>
      <w:pStyle w:val="Header"/>
      <w:spacing w:after="480"/>
      <w:ind w:left="-1166" w:right="-1166"/>
      <w:jc w:val="center"/>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4FFD"/>
    <w:multiLevelType w:val="hybridMultilevel"/>
    <w:tmpl w:val="A6103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97579"/>
    <w:multiLevelType w:val="multilevel"/>
    <w:tmpl w:val="FA7E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FF1AFE"/>
    <w:multiLevelType w:val="hybridMultilevel"/>
    <w:tmpl w:val="76F4D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77789C"/>
    <w:multiLevelType w:val="multilevel"/>
    <w:tmpl w:val="FD2E93D8"/>
    <w:lvl w:ilvl="0">
      <w:start w:val="1"/>
      <w:numFmt w:val="upperRoman"/>
      <w:pStyle w:val="Heading1"/>
      <w:lvlText w:val="%1."/>
      <w:lvlJc w:val="left"/>
      <w:pPr>
        <w:tabs>
          <w:tab w:val="num" w:pos="9000"/>
        </w:tabs>
        <w:ind w:left="9000" w:hanging="720"/>
      </w:pPr>
      <w:rPr>
        <w:rFonts w:hint="default"/>
        <w:b/>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5">
    <w:nsid w:val="23301C46"/>
    <w:multiLevelType w:val="hybridMultilevel"/>
    <w:tmpl w:val="D3E6C6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551E3D"/>
    <w:multiLevelType w:val="hybridMultilevel"/>
    <w:tmpl w:val="0D084B58"/>
    <w:lvl w:ilvl="0" w:tplc="12780584">
      <w:start w:val="2"/>
      <w:numFmt w:val="bullet"/>
      <w:lvlText w:val=""/>
      <w:lvlJc w:val="left"/>
      <w:pPr>
        <w:ind w:left="1800" w:hanging="360"/>
      </w:pPr>
      <w:rPr>
        <w:rFonts w:ascii="Wingdings" w:eastAsiaTheme="minorHAnsi" w:hAnsi="Wingdings"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D7119A"/>
    <w:multiLevelType w:val="hybridMultilevel"/>
    <w:tmpl w:val="DDA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021B5"/>
    <w:multiLevelType w:val="multilevel"/>
    <w:tmpl w:val="BA50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8BE51F6"/>
    <w:multiLevelType w:val="multilevel"/>
    <w:tmpl w:val="1A92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2">
    <w:nsid w:val="7E1831E5"/>
    <w:multiLevelType w:val="multilevel"/>
    <w:tmpl w:val="9332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9"/>
  </w:num>
  <w:num w:numId="8">
    <w:abstractNumId w:val="5"/>
  </w:num>
  <w:num w:numId="9">
    <w:abstractNumId w:val="0"/>
  </w:num>
  <w:num w:numId="10">
    <w:abstractNumId w:val="3"/>
  </w:num>
  <w:num w:numId="11">
    <w:abstractNumId w:val="12"/>
  </w:num>
  <w:num w:numId="12">
    <w:abstractNumId w:val="2"/>
  </w:num>
  <w:num w:numId="13">
    <w:abstractNumId w:val="8"/>
  </w:num>
  <w:num w:numId="14">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5713"/>
  </w:hdrShapeDefaults>
  <w:footnotePr>
    <w:footnote w:id="-1"/>
    <w:footnote w:id="0"/>
  </w:footnotePr>
  <w:endnotePr>
    <w:endnote w:id="-1"/>
    <w:endnote w:id="0"/>
  </w:endnotePr>
  <w:compat/>
  <w:rsids>
    <w:rsidRoot w:val="003D0502"/>
    <w:rsid w:val="0000140D"/>
    <w:rsid w:val="00002172"/>
    <w:rsid w:val="00003A85"/>
    <w:rsid w:val="0000448F"/>
    <w:rsid w:val="00006A8B"/>
    <w:rsid w:val="000127CB"/>
    <w:rsid w:val="000136C6"/>
    <w:rsid w:val="00014093"/>
    <w:rsid w:val="00014413"/>
    <w:rsid w:val="00016B93"/>
    <w:rsid w:val="0001784C"/>
    <w:rsid w:val="000200ED"/>
    <w:rsid w:val="00023E84"/>
    <w:rsid w:val="00024981"/>
    <w:rsid w:val="00024D47"/>
    <w:rsid w:val="00025F13"/>
    <w:rsid w:val="00030958"/>
    <w:rsid w:val="00030D19"/>
    <w:rsid w:val="00032454"/>
    <w:rsid w:val="000324D5"/>
    <w:rsid w:val="00032FC3"/>
    <w:rsid w:val="00033422"/>
    <w:rsid w:val="000369B1"/>
    <w:rsid w:val="000372D7"/>
    <w:rsid w:val="000403E5"/>
    <w:rsid w:val="000408AE"/>
    <w:rsid w:val="00041082"/>
    <w:rsid w:val="0004136D"/>
    <w:rsid w:val="00041544"/>
    <w:rsid w:val="00045677"/>
    <w:rsid w:val="000478DB"/>
    <w:rsid w:val="00050D45"/>
    <w:rsid w:val="000547D1"/>
    <w:rsid w:val="000563FC"/>
    <w:rsid w:val="000600BF"/>
    <w:rsid w:val="00060E3E"/>
    <w:rsid w:val="00061332"/>
    <w:rsid w:val="000627E7"/>
    <w:rsid w:val="00063416"/>
    <w:rsid w:val="00070EC8"/>
    <w:rsid w:val="00073AB0"/>
    <w:rsid w:val="00076745"/>
    <w:rsid w:val="00080506"/>
    <w:rsid w:val="0008076B"/>
    <w:rsid w:val="00085244"/>
    <w:rsid w:val="00094F8C"/>
    <w:rsid w:val="000959FD"/>
    <w:rsid w:val="00096B9F"/>
    <w:rsid w:val="000A0E80"/>
    <w:rsid w:val="000A2752"/>
    <w:rsid w:val="000A4D07"/>
    <w:rsid w:val="000B3340"/>
    <w:rsid w:val="000B4ABF"/>
    <w:rsid w:val="000B6054"/>
    <w:rsid w:val="000C013E"/>
    <w:rsid w:val="000C02F5"/>
    <w:rsid w:val="000C113A"/>
    <w:rsid w:val="000C246C"/>
    <w:rsid w:val="000C6E91"/>
    <w:rsid w:val="000D42C2"/>
    <w:rsid w:val="000D5CF8"/>
    <w:rsid w:val="000D7B51"/>
    <w:rsid w:val="000E0108"/>
    <w:rsid w:val="000E07C5"/>
    <w:rsid w:val="000E3BC1"/>
    <w:rsid w:val="000E57AB"/>
    <w:rsid w:val="000F4873"/>
    <w:rsid w:val="000F6593"/>
    <w:rsid w:val="00100CC6"/>
    <w:rsid w:val="001025A2"/>
    <w:rsid w:val="001105A9"/>
    <w:rsid w:val="00112AA2"/>
    <w:rsid w:val="00114294"/>
    <w:rsid w:val="001143EF"/>
    <w:rsid w:val="00114E77"/>
    <w:rsid w:val="0012146D"/>
    <w:rsid w:val="00121794"/>
    <w:rsid w:val="00121921"/>
    <w:rsid w:val="00121CE1"/>
    <w:rsid w:val="00122A8E"/>
    <w:rsid w:val="00124023"/>
    <w:rsid w:val="00126219"/>
    <w:rsid w:val="00130FB2"/>
    <w:rsid w:val="0013232A"/>
    <w:rsid w:val="001323AC"/>
    <w:rsid w:val="0013289B"/>
    <w:rsid w:val="0013313A"/>
    <w:rsid w:val="00134D33"/>
    <w:rsid w:val="001350B8"/>
    <w:rsid w:val="00135994"/>
    <w:rsid w:val="00141C59"/>
    <w:rsid w:val="00142494"/>
    <w:rsid w:val="00144D07"/>
    <w:rsid w:val="00151379"/>
    <w:rsid w:val="00152650"/>
    <w:rsid w:val="00156362"/>
    <w:rsid w:val="00161957"/>
    <w:rsid w:val="00163852"/>
    <w:rsid w:val="00164AF1"/>
    <w:rsid w:val="001704E6"/>
    <w:rsid w:val="00172CB2"/>
    <w:rsid w:val="00175151"/>
    <w:rsid w:val="00181A2B"/>
    <w:rsid w:val="00185E9D"/>
    <w:rsid w:val="001861EC"/>
    <w:rsid w:val="00187F9A"/>
    <w:rsid w:val="001904A7"/>
    <w:rsid w:val="00190A52"/>
    <w:rsid w:val="00192EAB"/>
    <w:rsid w:val="00194BB7"/>
    <w:rsid w:val="001959AF"/>
    <w:rsid w:val="0019753A"/>
    <w:rsid w:val="001A1A18"/>
    <w:rsid w:val="001A3D78"/>
    <w:rsid w:val="001A7D0D"/>
    <w:rsid w:val="001B29A5"/>
    <w:rsid w:val="001B345F"/>
    <w:rsid w:val="001B459E"/>
    <w:rsid w:val="001B7697"/>
    <w:rsid w:val="001B76E4"/>
    <w:rsid w:val="001C7F24"/>
    <w:rsid w:val="001D0948"/>
    <w:rsid w:val="001D1081"/>
    <w:rsid w:val="001D1692"/>
    <w:rsid w:val="001D1B3F"/>
    <w:rsid w:val="001D1FF9"/>
    <w:rsid w:val="001D2978"/>
    <w:rsid w:val="001D31D8"/>
    <w:rsid w:val="001D36A4"/>
    <w:rsid w:val="001E28E1"/>
    <w:rsid w:val="001E2AB9"/>
    <w:rsid w:val="001E3B0A"/>
    <w:rsid w:val="001E7D9B"/>
    <w:rsid w:val="001F0CEA"/>
    <w:rsid w:val="001F0D12"/>
    <w:rsid w:val="001F18E0"/>
    <w:rsid w:val="001F2052"/>
    <w:rsid w:val="001F283F"/>
    <w:rsid w:val="001F2E3F"/>
    <w:rsid w:val="001F42C5"/>
    <w:rsid w:val="001F51DD"/>
    <w:rsid w:val="00203318"/>
    <w:rsid w:val="00203604"/>
    <w:rsid w:val="00204891"/>
    <w:rsid w:val="0020757C"/>
    <w:rsid w:val="00212AE5"/>
    <w:rsid w:val="00220F45"/>
    <w:rsid w:val="002266B5"/>
    <w:rsid w:val="00226C7D"/>
    <w:rsid w:val="00226ECB"/>
    <w:rsid w:val="00227269"/>
    <w:rsid w:val="0023063C"/>
    <w:rsid w:val="00233E76"/>
    <w:rsid w:val="00237605"/>
    <w:rsid w:val="0023779F"/>
    <w:rsid w:val="002412B7"/>
    <w:rsid w:val="00242B23"/>
    <w:rsid w:val="00245F80"/>
    <w:rsid w:val="00247995"/>
    <w:rsid w:val="00250FBC"/>
    <w:rsid w:val="00251EE8"/>
    <w:rsid w:val="00253AFD"/>
    <w:rsid w:val="00257155"/>
    <w:rsid w:val="002664BF"/>
    <w:rsid w:val="002671D5"/>
    <w:rsid w:val="00267D61"/>
    <w:rsid w:val="00267FA3"/>
    <w:rsid w:val="00270415"/>
    <w:rsid w:val="002739EC"/>
    <w:rsid w:val="00275A9F"/>
    <w:rsid w:val="00277A78"/>
    <w:rsid w:val="002823D9"/>
    <w:rsid w:val="00282AB5"/>
    <w:rsid w:val="0028390B"/>
    <w:rsid w:val="00286CB8"/>
    <w:rsid w:val="0028789C"/>
    <w:rsid w:val="00287DF2"/>
    <w:rsid w:val="0029090A"/>
    <w:rsid w:val="00292195"/>
    <w:rsid w:val="00294142"/>
    <w:rsid w:val="00294995"/>
    <w:rsid w:val="00294AA4"/>
    <w:rsid w:val="002962EC"/>
    <w:rsid w:val="002969E9"/>
    <w:rsid w:val="00297720"/>
    <w:rsid w:val="002A02FE"/>
    <w:rsid w:val="002A1126"/>
    <w:rsid w:val="002A409F"/>
    <w:rsid w:val="002A5E17"/>
    <w:rsid w:val="002B0234"/>
    <w:rsid w:val="002B11CA"/>
    <w:rsid w:val="002B13FA"/>
    <w:rsid w:val="002B17F0"/>
    <w:rsid w:val="002B206D"/>
    <w:rsid w:val="002B263C"/>
    <w:rsid w:val="002B3839"/>
    <w:rsid w:val="002B5170"/>
    <w:rsid w:val="002B69C1"/>
    <w:rsid w:val="002C15E5"/>
    <w:rsid w:val="002C1955"/>
    <w:rsid w:val="002C2722"/>
    <w:rsid w:val="002D030F"/>
    <w:rsid w:val="002D0345"/>
    <w:rsid w:val="002D2DBD"/>
    <w:rsid w:val="002D3798"/>
    <w:rsid w:val="002D6F35"/>
    <w:rsid w:val="002D74D3"/>
    <w:rsid w:val="002E1BC8"/>
    <w:rsid w:val="002E459F"/>
    <w:rsid w:val="002E54CA"/>
    <w:rsid w:val="002E59FE"/>
    <w:rsid w:val="002F080F"/>
    <w:rsid w:val="002F24F9"/>
    <w:rsid w:val="002F3B88"/>
    <w:rsid w:val="002F48BD"/>
    <w:rsid w:val="002F4C75"/>
    <w:rsid w:val="002F64C8"/>
    <w:rsid w:val="00303118"/>
    <w:rsid w:val="003058B6"/>
    <w:rsid w:val="00310CFD"/>
    <w:rsid w:val="0031408E"/>
    <w:rsid w:val="00314215"/>
    <w:rsid w:val="0031505D"/>
    <w:rsid w:val="003159E8"/>
    <w:rsid w:val="00320034"/>
    <w:rsid w:val="00321535"/>
    <w:rsid w:val="00325BE6"/>
    <w:rsid w:val="00330E1F"/>
    <w:rsid w:val="00330F93"/>
    <w:rsid w:val="00333B70"/>
    <w:rsid w:val="00336800"/>
    <w:rsid w:val="00336A40"/>
    <w:rsid w:val="00337F64"/>
    <w:rsid w:val="003429C8"/>
    <w:rsid w:val="003444EC"/>
    <w:rsid w:val="00344DC2"/>
    <w:rsid w:val="00347087"/>
    <w:rsid w:val="00350AA8"/>
    <w:rsid w:val="0035200A"/>
    <w:rsid w:val="00355D8A"/>
    <w:rsid w:val="00355E5A"/>
    <w:rsid w:val="00357E81"/>
    <w:rsid w:val="00360693"/>
    <w:rsid w:val="003636EE"/>
    <w:rsid w:val="00367A25"/>
    <w:rsid w:val="003714C8"/>
    <w:rsid w:val="003744E3"/>
    <w:rsid w:val="00380855"/>
    <w:rsid w:val="003811A1"/>
    <w:rsid w:val="00383D75"/>
    <w:rsid w:val="003850DC"/>
    <w:rsid w:val="0038594B"/>
    <w:rsid w:val="00385A19"/>
    <w:rsid w:val="0039145C"/>
    <w:rsid w:val="003930D3"/>
    <w:rsid w:val="00393131"/>
    <w:rsid w:val="003A0993"/>
    <w:rsid w:val="003A1EE2"/>
    <w:rsid w:val="003A231D"/>
    <w:rsid w:val="003A4F8B"/>
    <w:rsid w:val="003B6193"/>
    <w:rsid w:val="003B76FF"/>
    <w:rsid w:val="003C02B7"/>
    <w:rsid w:val="003C0858"/>
    <w:rsid w:val="003C086B"/>
    <w:rsid w:val="003C1468"/>
    <w:rsid w:val="003C609F"/>
    <w:rsid w:val="003C76C8"/>
    <w:rsid w:val="003D0502"/>
    <w:rsid w:val="003D0E8D"/>
    <w:rsid w:val="003D372D"/>
    <w:rsid w:val="003D6FAC"/>
    <w:rsid w:val="003E2D55"/>
    <w:rsid w:val="003E4633"/>
    <w:rsid w:val="003F08C5"/>
    <w:rsid w:val="003F19ED"/>
    <w:rsid w:val="003F3EB7"/>
    <w:rsid w:val="00403CD6"/>
    <w:rsid w:val="0040575E"/>
    <w:rsid w:val="004062F5"/>
    <w:rsid w:val="004100C6"/>
    <w:rsid w:val="0041076A"/>
    <w:rsid w:val="00411D1A"/>
    <w:rsid w:val="00412FFF"/>
    <w:rsid w:val="00414A14"/>
    <w:rsid w:val="00421E87"/>
    <w:rsid w:val="00424078"/>
    <w:rsid w:val="004248E3"/>
    <w:rsid w:val="00424AA1"/>
    <w:rsid w:val="00424BF9"/>
    <w:rsid w:val="00424FF1"/>
    <w:rsid w:val="0042614B"/>
    <w:rsid w:val="00427E90"/>
    <w:rsid w:val="0043796C"/>
    <w:rsid w:val="00443684"/>
    <w:rsid w:val="0044421D"/>
    <w:rsid w:val="00445460"/>
    <w:rsid w:val="00451AC7"/>
    <w:rsid w:val="004615AE"/>
    <w:rsid w:val="00462FA8"/>
    <w:rsid w:val="004635FD"/>
    <w:rsid w:val="00465E11"/>
    <w:rsid w:val="00465F5B"/>
    <w:rsid w:val="00466830"/>
    <w:rsid w:val="00470D19"/>
    <w:rsid w:val="0047264E"/>
    <w:rsid w:val="00474773"/>
    <w:rsid w:val="00476826"/>
    <w:rsid w:val="004812A6"/>
    <w:rsid w:val="004814A4"/>
    <w:rsid w:val="004852B8"/>
    <w:rsid w:val="00485E4F"/>
    <w:rsid w:val="00490D9B"/>
    <w:rsid w:val="00492A35"/>
    <w:rsid w:val="00495D55"/>
    <w:rsid w:val="00497CB9"/>
    <w:rsid w:val="004A08A5"/>
    <w:rsid w:val="004A0963"/>
    <w:rsid w:val="004A2515"/>
    <w:rsid w:val="004A5612"/>
    <w:rsid w:val="004A5DE1"/>
    <w:rsid w:val="004A5F28"/>
    <w:rsid w:val="004A6346"/>
    <w:rsid w:val="004B5927"/>
    <w:rsid w:val="004C010A"/>
    <w:rsid w:val="004C0799"/>
    <w:rsid w:val="004C091A"/>
    <w:rsid w:val="004C6AB0"/>
    <w:rsid w:val="004D05F8"/>
    <w:rsid w:val="004D08E3"/>
    <w:rsid w:val="004D0E2E"/>
    <w:rsid w:val="004D4873"/>
    <w:rsid w:val="004D58CB"/>
    <w:rsid w:val="004D6327"/>
    <w:rsid w:val="004E559F"/>
    <w:rsid w:val="004E58C3"/>
    <w:rsid w:val="004E5D26"/>
    <w:rsid w:val="004E649F"/>
    <w:rsid w:val="004F16E6"/>
    <w:rsid w:val="004F6854"/>
    <w:rsid w:val="004F6B5A"/>
    <w:rsid w:val="005011E0"/>
    <w:rsid w:val="00502351"/>
    <w:rsid w:val="00502732"/>
    <w:rsid w:val="005032A9"/>
    <w:rsid w:val="00504647"/>
    <w:rsid w:val="005073A8"/>
    <w:rsid w:val="005143F4"/>
    <w:rsid w:val="00515B74"/>
    <w:rsid w:val="0051653A"/>
    <w:rsid w:val="0051728C"/>
    <w:rsid w:val="00517EC9"/>
    <w:rsid w:val="0052036B"/>
    <w:rsid w:val="005212B2"/>
    <w:rsid w:val="005217F6"/>
    <w:rsid w:val="005243F0"/>
    <w:rsid w:val="005259AF"/>
    <w:rsid w:val="0053159B"/>
    <w:rsid w:val="00532169"/>
    <w:rsid w:val="005323DB"/>
    <w:rsid w:val="005332FE"/>
    <w:rsid w:val="005339DF"/>
    <w:rsid w:val="005342EC"/>
    <w:rsid w:val="00534672"/>
    <w:rsid w:val="005352E1"/>
    <w:rsid w:val="00540291"/>
    <w:rsid w:val="005441E7"/>
    <w:rsid w:val="00550E45"/>
    <w:rsid w:val="00551CC7"/>
    <w:rsid w:val="00554933"/>
    <w:rsid w:val="00557D8C"/>
    <w:rsid w:val="00563676"/>
    <w:rsid w:val="005638B0"/>
    <w:rsid w:val="0056405E"/>
    <w:rsid w:val="00564FAC"/>
    <w:rsid w:val="00566364"/>
    <w:rsid w:val="00567DF9"/>
    <w:rsid w:val="0057077A"/>
    <w:rsid w:val="00570C55"/>
    <w:rsid w:val="0057347E"/>
    <w:rsid w:val="00573AF2"/>
    <w:rsid w:val="005816DF"/>
    <w:rsid w:val="005846EF"/>
    <w:rsid w:val="00585112"/>
    <w:rsid w:val="005879DF"/>
    <w:rsid w:val="00590513"/>
    <w:rsid w:val="00590D6B"/>
    <w:rsid w:val="00593876"/>
    <w:rsid w:val="00594DCA"/>
    <w:rsid w:val="00595CA7"/>
    <w:rsid w:val="0059730C"/>
    <w:rsid w:val="0059764A"/>
    <w:rsid w:val="005A27E5"/>
    <w:rsid w:val="005A3B15"/>
    <w:rsid w:val="005A46CD"/>
    <w:rsid w:val="005A6447"/>
    <w:rsid w:val="005A646E"/>
    <w:rsid w:val="005B195F"/>
    <w:rsid w:val="005B40C0"/>
    <w:rsid w:val="005B5CF9"/>
    <w:rsid w:val="005B6D07"/>
    <w:rsid w:val="005B7FEE"/>
    <w:rsid w:val="005C08CC"/>
    <w:rsid w:val="005C68D0"/>
    <w:rsid w:val="005D25DA"/>
    <w:rsid w:val="005D2E4D"/>
    <w:rsid w:val="005D743B"/>
    <w:rsid w:val="005E28BB"/>
    <w:rsid w:val="005E29D7"/>
    <w:rsid w:val="005E44E7"/>
    <w:rsid w:val="005E4BC2"/>
    <w:rsid w:val="005E5E43"/>
    <w:rsid w:val="005E648A"/>
    <w:rsid w:val="005E6BE6"/>
    <w:rsid w:val="005E7BA4"/>
    <w:rsid w:val="005E7F17"/>
    <w:rsid w:val="005F15B2"/>
    <w:rsid w:val="005F2425"/>
    <w:rsid w:val="005F5108"/>
    <w:rsid w:val="005F69D4"/>
    <w:rsid w:val="00600F36"/>
    <w:rsid w:val="00601F81"/>
    <w:rsid w:val="006047C1"/>
    <w:rsid w:val="00605FE9"/>
    <w:rsid w:val="0061071C"/>
    <w:rsid w:val="00611766"/>
    <w:rsid w:val="006137BA"/>
    <w:rsid w:val="0062364A"/>
    <w:rsid w:val="00623F05"/>
    <w:rsid w:val="00630EEB"/>
    <w:rsid w:val="00632713"/>
    <w:rsid w:val="00636AEF"/>
    <w:rsid w:val="00636E8B"/>
    <w:rsid w:val="00636FFE"/>
    <w:rsid w:val="006371EA"/>
    <w:rsid w:val="006414AA"/>
    <w:rsid w:val="00641915"/>
    <w:rsid w:val="006433B2"/>
    <w:rsid w:val="00646E9E"/>
    <w:rsid w:val="00650C86"/>
    <w:rsid w:val="00651A83"/>
    <w:rsid w:val="0065213E"/>
    <w:rsid w:val="006533F6"/>
    <w:rsid w:val="0065480D"/>
    <w:rsid w:val="00656E4F"/>
    <w:rsid w:val="00657626"/>
    <w:rsid w:val="006609CB"/>
    <w:rsid w:val="00664523"/>
    <w:rsid w:val="006711F9"/>
    <w:rsid w:val="006722CD"/>
    <w:rsid w:val="00672EEE"/>
    <w:rsid w:val="0067498C"/>
    <w:rsid w:val="00680A71"/>
    <w:rsid w:val="00681DCD"/>
    <w:rsid w:val="0068432E"/>
    <w:rsid w:val="00693DF9"/>
    <w:rsid w:val="00694FC3"/>
    <w:rsid w:val="00695A31"/>
    <w:rsid w:val="006A2183"/>
    <w:rsid w:val="006A3FDF"/>
    <w:rsid w:val="006A5880"/>
    <w:rsid w:val="006A62AE"/>
    <w:rsid w:val="006A6C0D"/>
    <w:rsid w:val="006A7BB3"/>
    <w:rsid w:val="006B1700"/>
    <w:rsid w:val="006B1CFD"/>
    <w:rsid w:val="006B2BAB"/>
    <w:rsid w:val="006B353D"/>
    <w:rsid w:val="006B36EC"/>
    <w:rsid w:val="006B71E1"/>
    <w:rsid w:val="006C18F4"/>
    <w:rsid w:val="006C1B0C"/>
    <w:rsid w:val="006C2313"/>
    <w:rsid w:val="006C5B10"/>
    <w:rsid w:val="006D11DC"/>
    <w:rsid w:val="006D5A27"/>
    <w:rsid w:val="006E1484"/>
    <w:rsid w:val="006E1862"/>
    <w:rsid w:val="006E36D1"/>
    <w:rsid w:val="006E5D26"/>
    <w:rsid w:val="006F4438"/>
    <w:rsid w:val="006F56CA"/>
    <w:rsid w:val="007002EB"/>
    <w:rsid w:val="00701DFB"/>
    <w:rsid w:val="007034F2"/>
    <w:rsid w:val="007061EC"/>
    <w:rsid w:val="00706C17"/>
    <w:rsid w:val="007103B9"/>
    <w:rsid w:val="00711287"/>
    <w:rsid w:val="00712959"/>
    <w:rsid w:val="00713AD1"/>
    <w:rsid w:val="0071533A"/>
    <w:rsid w:val="0071594D"/>
    <w:rsid w:val="00716FD3"/>
    <w:rsid w:val="00717536"/>
    <w:rsid w:val="00721C5C"/>
    <w:rsid w:val="007225D9"/>
    <w:rsid w:val="00723C99"/>
    <w:rsid w:val="00724B90"/>
    <w:rsid w:val="007270B1"/>
    <w:rsid w:val="0072753B"/>
    <w:rsid w:val="00727540"/>
    <w:rsid w:val="007317C5"/>
    <w:rsid w:val="00733956"/>
    <w:rsid w:val="00733D31"/>
    <w:rsid w:val="007342D0"/>
    <w:rsid w:val="007370B7"/>
    <w:rsid w:val="00737502"/>
    <w:rsid w:val="0074320A"/>
    <w:rsid w:val="007448E4"/>
    <w:rsid w:val="007508CB"/>
    <w:rsid w:val="00752DEB"/>
    <w:rsid w:val="0075428B"/>
    <w:rsid w:val="00755728"/>
    <w:rsid w:val="00756E6E"/>
    <w:rsid w:val="007723F5"/>
    <w:rsid w:val="00775A1E"/>
    <w:rsid w:val="00780702"/>
    <w:rsid w:val="00781886"/>
    <w:rsid w:val="00781946"/>
    <w:rsid w:val="00783012"/>
    <w:rsid w:val="00783A79"/>
    <w:rsid w:val="00783D61"/>
    <w:rsid w:val="007857FE"/>
    <w:rsid w:val="00785D46"/>
    <w:rsid w:val="00787072"/>
    <w:rsid w:val="00792FB5"/>
    <w:rsid w:val="00794224"/>
    <w:rsid w:val="0079467E"/>
    <w:rsid w:val="007A0D7A"/>
    <w:rsid w:val="007A2872"/>
    <w:rsid w:val="007B4885"/>
    <w:rsid w:val="007B51B8"/>
    <w:rsid w:val="007B6B7C"/>
    <w:rsid w:val="007B6C4A"/>
    <w:rsid w:val="007B73D2"/>
    <w:rsid w:val="007C0661"/>
    <w:rsid w:val="007C4FE9"/>
    <w:rsid w:val="007D0415"/>
    <w:rsid w:val="007D0B52"/>
    <w:rsid w:val="007D2984"/>
    <w:rsid w:val="007D7773"/>
    <w:rsid w:val="007E0655"/>
    <w:rsid w:val="007E17D9"/>
    <w:rsid w:val="007E66A6"/>
    <w:rsid w:val="007E6FED"/>
    <w:rsid w:val="007F0B65"/>
    <w:rsid w:val="007F0B67"/>
    <w:rsid w:val="007F1944"/>
    <w:rsid w:val="007F1F99"/>
    <w:rsid w:val="007F6685"/>
    <w:rsid w:val="007F728C"/>
    <w:rsid w:val="00801F8E"/>
    <w:rsid w:val="008056F5"/>
    <w:rsid w:val="00806ECB"/>
    <w:rsid w:val="00807809"/>
    <w:rsid w:val="008104FD"/>
    <w:rsid w:val="00810643"/>
    <w:rsid w:val="0081465F"/>
    <w:rsid w:val="008158AE"/>
    <w:rsid w:val="0081705D"/>
    <w:rsid w:val="0081715B"/>
    <w:rsid w:val="00820FCA"/>
    <w:rsid w:val="008222BB"/>
    <w:rsid w:val="00822318"/>
    <w:rsid w:val="0082558C"/>
    <w:rsid w:val="00826A2D"/>
    <w:rsid w:val="00830FC6"/>
    <w:rsid w:val="00831F1A"/>
    <w:rsid w:val="008324FD"/>
    <w:rsid w:val="0083380C"/>
    <w:rsid w:val="008338EF"/>
    <w:rsid w:val="00833FF6"/>
    <w:rsid w:val="00834647"/>
    <w:rsid w:val="00835F05"/>
    <w:rsid w:val="00841CED"/>
    <w:rsid w:val="00842C18"/>
    <w:rsid w:val="00843417"/>
    <w:rsid w:val="00845F42"/>
    <w:rsid w:val="008470F7"/>
    <w:rsid w:val="00850FDC"/>
    <w:rsid w:val="00854644"/>
    <w:rsid w:val="00854DFC"/>
    <w:rsid w:val="00855465"/>
    <w:rsid w:val="008554FB"/>
    <w:rsid w:val="008630E7"/>
    <w:rsid w:val="008638DA"/>
    <w:rsid w:val="00865B54"/>
    <w:rsid w:val="00871416"/>
    <w:rsid w:val="00875189"/>
    <w:rsid w:val="008765E7"/>
    <w:rsid w:val="00882026"/>
    <w:rsid w:val="008823ED"/>
    <w:rsid w:val="00884B1C"/>
    <w:rsid w:val="00884D7D"/>
    <w:rsid w:val="00887391"/>
    <w:rsid w:val="0089038F"/>
    <w:rsid w:val="00890B99"/>
    <w:rsid w:val="00891119"/>
    <w:rsid w:val="008913CB"/>
    <w:rsid w:val="0089712F"/>
    <w:rsid w:val="008A0050"/>
    <w:rsid w:val="008A62A5"/>
    <w:rsid w:val="008A797C"/>
    <w:rsid w:val="008A7D1A"/>
    <w:rsid w:val="008B2999"/>
    <w:rsid w:val="008B5913"/>
    <w:rsid w:val="008B7A9A"/>
    <w:rsid w:val="008C1225"/>
    <w:rsid w:val="008C1322"/>
    <w:rsid w:val="008C1373"/>
    <w:rsid w:val="008C4CCB"/>
    <w:rsid w:val="008C793F"/>
    <w:rsid w:val="008D2EE0"/>
    <w:rsid w:val="008D3809"/>
    <w:rsid w:val="008D51C0"/>
    <w:rsid w:val="008E0588"/>
    <w:rsid w:val="008E088E"/>
    <w:rsid w:val="008E0B83"/>
    <w:rsid w:val="008E0C4E"/>
    <w:rsid w:val="008E36B5"/>
    <w:rsid w:val="008E4E77"/>
    <w:rsid w:val="008F154E"/>
    <w:rsid w:val="008F1C1C"/>
    <w:rsid w:val="008F1C60"/>
    <w:rsid w:val="008F6B70"/>
    <w:rsid w:val="00900550"/>
    <w:rsid w:val="00900AB5"/>
    <w:rsid w:val="00902D20"/>
    <w:rsid w:val="00903BA6"/>
    <w:rsid w:val="00904D73"/>
    <w:rsid w:val="00910766"/>
    <w:rsid w:val="009114C9"/>
    <w:rsid w:val="009115F0"/>
    <w:rsid w:val="00912146"/>
    <w:rsid w:val="00912256"/>
    <w:rsid w:val="009125F3"/>
    <w:rsid w:val="00914329"/>
    <w:rsid w:val="00914D37"/>
    <w:rsid w:val="00916727"/>
    <w:rsid w:val="00916AB6"/>
    <w:rsid w:val="00922AAB"/>
    <w:rsid w:val="00923912"/>
    <w:rsid w:val="00925DBC"/>
    <w:rsid w:val="00927634"/>
    <w:rsid w:val="00932DE1"/>
    <w:rsid w:val="00932F10"/>
    <w:rsid w:val="0093458D"/>
    <w:rsid w:val="00934842"/>
    <w:rsid w:val="009355C2"/>
    <w:rsid w:val="00937773"/>
    <w:rsid w:val="00940721"/>
    <w:rsid w:val="00944CC6"/>
    <w:rsid w:val="00945273"/>
    <w:rsid w:val="009501A5"/>
    <w:rsid w:val="00952D29"/>
    <w:rsid w:val="00954B4F"/>
    <w:rsid w:val="00957D38"/>
    <w:rsid w:val="0096056F"/>
    <w:rsid w:val="00960810"/>
    <w:rsid w:val="009611CD"/>
    <w:rsid w:val="009638BF"/>
    <w:rsid w:val="009709CB"/>
    <w:rsid w:val="009710E9"/>
    <w:rsid w:val="00971839"/>
    <w:rsid w:val="00971A4C"/>
    <w:rsid w:val="00981510"/>
    <w:rsid w:val="0098158F"/>
    <w:rsid w:val="009824E7"/>
    <w:rsid w:val="00984174"/>
    <w:rsid w:val="0098567E"/>
    <w:rsid w:val="0098630C"/>
    <w:rsid w:val="0099069C"/>
    <w:rsid w:val="00990D63"/>
    <w:rsid w:val="009921FF"/>
    <w:rsid w:val="009938DD"/>
    <w:rsid w:val="00995742"/>
    <w:rsid w:val="009A3099"/>
    <w:rsid w:val="009B0624"/>
    <w:rsid w:val="009B6923"/>
    <w:rsid w:val="009B692F"/>
    <w:rsid w:val="009C033C"/>
    <w:rsid w:val="009C2390"/>
    <w:rsid w:val="009C36BF"/>
    <w:rsid w:val="009C6182"/>
    <w:rsid w:val="009D0780"/>
    <w:rsid w:val="009D0828"/>
    <w:rsid w:val="009D339C"/>
    <w:rsid w:val="009D3BFB"/>
    <w:rsid w:val="009D4974"/>
    <w:rsid w:val="009D6863"/>
    <w:rsid w:val="009E03E0"/>
    <w:rsid w:val="009E1906"/>
    <w:rsid w:val="009E77D8"/>
    <w:rsid w:val="009F0A37"/>
    <w:rsid w:val="009F2424"/>
    <w:rsid w:val="009F52B2"/>
    <w:rsid w:val="009F5FA1"/>
    <w:rsid w:val="00A001C6"/>
    <w:rsid w:val="00A10F90"/>
    <w:rsid w:val="00A13A4A"/>
    <w:rsid w:val="00A13E56"/>
    <w:rsid w:val="00A1416B"/>
    <w:rsid w:val="00A15075"/>
    <w:rsid w:val="00A15A6A"/>
    <w:rsid w:val="00A1616F"/>
    <w:rsid w:val="00A208C9"/>
    <w:rsid w:val="00A218A3"/>
    <w:rsid w:val="00A2380F"/>
    <w:rsid w:val="00A253F3"/>
    <w:rsid w:val="00A26D41"/>
    <w:rsid w:val="00A3227B"/>
    <w:rsid w:val="00A3390B"/>
    <w:rsid w:val="00A43424"/>
    <w:rsid w:val="00A44841"/>
    <w:rsid w:val="00A44ECD"/>
    <w:rsid w:val="00A509B2"/>
    <w:rsid w:val="00A52EF2"/>
    <w:rsid w:val="00A53C80"/>
    <w:rsid w:val="00A56024"/>
    <w:rsid w:val="00A60B7C"/>
    <w:rsid w:val="00A618F4"/>
    <w:rsid w:val="00A63D4B"/>
    <w:rsid w:val="00A6710F"/>
    <w:rsid w:val="00A711C1"/>
    <w:rsid w:val="00A743C4"/>
    <w:rsid w:val="00A7464C"/>
    <w:rsid w:val="00A75F9C"/>
    <w:rsid w:val="00A76CA3"/>
    <w:rsid w:val="00A80FDD"/>
    <w:rsid w:val="00A868CC"/>
    <w:rsid w:val="00A87384"/>
    <w:rsid w:val="00A900C2"/>
    <w:rsid w:val="00A901AA"/>
    <w:rsid w:val="00A907C3"/>
    <w:rsid w:val="00A90AB3"/>
    <w:rsid w:val="00A914E0"/>
    <w:rsid w:val="00A93ACD"/>
    <w:rsid w:val="00A941B5"/>
    <w:rsid w:val="00A9450F"/>
    <w:rsid w:val="00A9631D"/>
    <w:rsid w:val="00AA00D2"/>
    <w:rsid w:val="00AA056F"/>
    <w:rsid w:val="00AA07C1"/>
    <w:rsid w:val="00AA1698"/>
    <w:rsid w:val="00AA22E1"/>
    <w:rsid w:val="00AA28C5"/>
    <w:rsid w:val="00AA2F6D"/>
    <w:rsid w:val="00AA3495"/>
    <w:rsid w:val="00AA3B5C"/>
    <w:rsid w:val="00AA4CD4"/>
    <w:rsid w:val="00AA67CB"/>
    <w:rsid w:val="00AA6813"/>
    <w:rsid w:val="00AB0867"/>
    <w:rsid w:val="00AB25AE"/>
    <w:rsid w:val="00AB69EC"/>
    <w:rsid w:val="00AB7F40"/>
    <w:rsid w:val="00AC2B68"/>
    <w:rsid w:val="00AC5DF9"/>
    <w:rsid w:val="00AC6C07"/>
    <w:rsid w:val="00AD03B9"/>
    <w:rsid w:val="00AD1924"/>
    <w:rsid w:val="00AD214D"/>
    <w:rsid w:val="00AD2D03"/>
    <w:rsid w:val="00AD369A"/>
    <w:rsid w:val="00AD3C19"/>
    <w:rsid w:val="00AD7EC3"/>
    <w:rsid w:val="00AE1633"/>
    <w:rsid w:val="00AE2219"/>
    <w:rsid w:val="00AE370B"/>
    <w:rsid w:val="00AE3FE6"/>
    <w:rsid w:val="00AE6020"/>
    <w:rsid w:val="00AE6416"/>
    <w:rsid w:val="00AF347F"/>
    <w:rsid w:val="00AF3EBB"/>
    <w:rsid w:val="00AF48C0"/>
    <w:rsid w:val="00AF5938"/>
    <w:rsid w:val="00AF6EA1"/>
    <w:rsid w:val="00AF7585"/>
    <w:rsid w:val="00B00966"/>
    <w:rsid w:val="00B02907"/>
    <w:rsid w:val="00B04EA6"/>
    <w:rsid w:val="00B074FC"/>
    <w:rsid w:val="00B1008C"/>
    <w:rsid w:val="00B1113A"/>
    <w:rsid w:val="00B127F7"/>
    <w:rsid w:val="00B139B6"/>
    <w:rsid w:val="00B156C5"/>
    <w:rsid w:val="00B16CCE"/>
    <w:rsid w:val="00B1723F"/>
    <w:rsid w:val="00B205FC"/>
    <w:rsid w:val="00B227F8"/>
    <w:rsid w:val="00B257F8"/>
    <w:rsid w:val="00B2600B"/>
    <w:rsid w:val="00B26EDE"/>
    <w:rsid w:val="00B33C0D"/>
    <w:rsid w:val="00B347F6"/>
    <w:rsid w:val="00B3771B"/>
    <w:rsid w:val="00B4192A"/>
    <w:rsid w:val="00B41D5C"/>
    <w:rsid w:val="00B42145"/>
    <w:rsid w:val="00B42988"/>
    <w:rsid w:val="00B45944"/>
    <w:rsid w:val="00B45A36"/>
    <w:rsid w:val="00B47D83"/>
    <w:rsid w:val="00B51A03"/>
    <w:rsid w:val="00B55D6C"/>
    <w:rsid w:val="00B57C5B"/>
    <w:rsid w:val="00B57E90"/>
    <w:rsid w:val="00B61ECD"/>
    <w:rsid w:val="00B6200C"/>
    <w:rsid w:val="00B71D4E"/>
    <w:rsid w:val="00B7445F"/>
    <w:rsid w:val="00B77D7C"/>
    <w:rsid w:val="00B81BF7"/>
    <w:rsid w:val="00B826D7"/>
    <w:rsid w:val="00B84036"/>
    <w:rsid w:val="00B856B6"/>
    <w:rsid w:val="00B912D4"/>
    <w:rsid w:val="00B91DAF"/>
    <w:rsid w:val="00B9255B"/>
    <w:rsid w:val="00B94CD3"/>
    <w:rsid w:val="00B97D50"/>
    <w:rsid w:val="00BA17EA"/>
    <w:rsid w:val="00BA1821"/>
    <w:rsid w:val="00BA60A7"/>
    <w:rsid w:val="00BA7342"/>
    <w:rsid w:val="00BA7904"/>
    <w:rsid w:val="00BA7BEA"/>
    <w:rsid w:val="00BB1902"/>
    <w:rsid w:val="00BB269E"/>
    <w:rsid w:val="00BB3DCA"/>
    <w:rsid w:val="00BB4324"/>
    <w:rsid w:val="00BB5110"/>
    <w:rsid w:val="00BC06AD"/>
    <w:rsid w:val="00BC211D"/>
    <w:rsid w:val="00BC21ED"/>
    <w:rsid w:val="00BD43C3"/>
    <w:rsid w:val="00BD68AE"/>
    <w:rsid w:val="00BE05B8"/>
    <w:rsid w:val="00BE3814"/>
    <w:rsid w:val="00BE4271"/>
    <w:rsid w:val="00BE51AE"/>
    <w:rsid w:val="00BF231F"/>
    <w:rsid w:val="00BF4BC2"/>
    <w:rsid w:val="00BF4E05"/>
    <w:rsid w:val="00BF7687"/>
    <w:rsid w:val="00C0079D"/>
    <w:rsid w:val="00C0419A"/>
    <w:rsid w:val="00C047CA"/>
    <w:rsid w:val="00C07357"/>
    <w:rsid w:val="00C10BD6"/>
    <w:rsid w:val="00C10F92"/>
    <w:rsid w:val="00C12012"/>
    <w:rsid w:val="00C15396"/>
    <w:rsid w:val="00C15712"/>
    <w:rsid w:val="00C15A9E"/>
    <w:rsid w:val="00C15D7D"/>
    <w:rsid w:val="00C15FB9"/>
    <w:rsid w:val="00C20A1F"/>
    <w:rsid w:val="00C35CF9"/>
    <w:rsid w:val="00C362BD"/>
    <w:rsid w:val="00C40C3A"/>
    <w:rsid w:val="00C4332C"/>
    <w:rsid w:val="00C439A4"/>
    <w:rsid w:val="00C44D67"/>
    <w:rsid w:val="00C5098C"/>
    <w:rsid w:val="00C50A74"/>
    <w:rsid w:val="00C51256"/>
    <w:rsid w:val="00C51948"/>
    <w:rsid w:val="00C51FB2"/>
    <w:rsid w:val="00C64521"/>
    <w:rsid w:val="00C64980"/>
    <w:rsid w:val="00C65607"/>
    <w:rsid w:val="00C66D2E"/>
    <w:rsid w:val="00C70936"/>
    <w:rsid w:val="00C7459C"/>
    <w:rsid w:val="00C74EEB"/>
    <w:rsid w:val="00C773FF"/>
    <w:rsid w:val="00C77673"/>
    <w:rsid w:val="00C82F8E"/>
    <w:rsid w:val="00C85912"/>
    <w:rsid w:val="00C872C3"/>
    <w:rsid w:val="00C879A6"/>
    <w:rsid w:val="00C96782"/>
    <w:rsid w:val="00C975FD"/>
    <w:rsid w:val="00CA3409"/>
    <w:rsid w:val="00CA50EE"/>
    <w:rsid w:val="00CA5320"/>
    <w:rsid w:val="00CA6518"/>
    <w:rsid w:val="00CA6C25"/>
    <w:rsid w:val="00CA709E"/>
    <w:rsid w:val="00CA7328"/>
    <w:rsid w:val="00CB2634"/>
    <w:rsid w:val="00CB3400"/>
    <w:rsid w:val="00CC1985"/>
    <w:rsid w:val="00CC6A09"/>
    <w:rsid w:val="00CD4716"/>
    <w:rsid w:val="00CE164C"/>
    <w:rsid w:val="00CE29E5"/>
    <w:rsid w:val="00CE384B"/>
    <w:rsid w:val="00CE453B"/>
    <w:rsid w:val="00CE585A"/>
    <w:rsid w:val="00CE7059"/>
    <w:rsid w:val="00CF262F"/>
    <w:rsid w:val="00CF30A3"/>
    <w:rsid w:val="00CF5FF6"/>
    <w:rsid w:val="00CF6F98"/>
    <w:rsid w:val="00D0012A"/>
    <w:rsid w:val="00D03100"/>
    <w:rsid w:val="00D03813"/>
    <w:rsid w:val="00D0581A"/>
    <w:rsid w:val="00D10D4C"/>
    <w:rsid w:val="00D12F3E"/>
    <w:rsid w:val="00D130E7"/>
    <w:rsid w:val="00D13FD8"/>
    <w:rsid w:val="00D15AC0"/>
    <w:rsid w:val="00D16252"/>
    <w:rsid w:val="00D176B1"/>
    <w:rsid w:val="00D205D6"/>
    <w:rsid w:val="00D23627"/>
    <w:rsid w:val="00D24429"/>
    <w:rsid w:val="00D24A9C"/>
    <w:rsid w:val="00D26A73"/>
    <w:rsid w:val="00D26ADD"/>
    <w:rsid w:val="00D272E4"/>
    <w:rsid w:val="00D306AB"/>
    <w:rsid w:val="00D31876"/>
    <w:rsid w:val="00D36968"/>
    <w:rsid w:val="00D3698C"/>
    <w:rsid w:val="00D436D1"/>
    <w:rsid w:val="00D441B9"/>
    <w:rsid w:val="00D50925"/>
    <w:rsid w:val="00D50CAE"/>
    <w:rsid w:val="00D527A1"/>
    <w:rsid w:val="00D53B0E"/>
    <w:rsid w:val="00D550BF"/>
    <w:rsid w:val="00D55DC9"/>
    <w:rsid w:val="00D608D1"/>
    <w:rsid w:val="00D64EBE"/>
    <w:rsid w:val="00D654FE"/>
    <w:rsid w:val="00D66751"/>
    <w:rsid w:val="00D66795"/>
    <w:rsid w:val="00D66B24"/>
    <w:rsid w:val="00D6734E"/>
    <w:rsid w:val="00D70AAA"/>
    <w:rsid w:val="00D70DC6"/>
    <w:rsid w:val="00D777DA"/>
    <w:rsid w:val="00D820B3"/>
    <w:rsid w:val="00D830FC"/>
    <w:rsid w:val="00D87DA5"/>
    <w:rsid w:val="00D92B05"/>
    <w:rsid w:val="00D93A6F"/>
    <w:rsid w:val="00D96E8B"/>
    <w:rsid w:val="00D97647"/>
    <w:rsid w:val="00DA00CC"/>
    <w:rsid w:val="00DA0FCE"/>
    <w:rsid w:val="00DA1C41"/>
    <w:rsid w:val="00DA2245"/>
    <w:rsid w:val="00DA35EF"/>
    <w:rsid w:val="00DA7BE3"/>
    <w:rsid w:val="00DA7E9C"/>
    <w:rsid w:val="00DB04D8"/>
    <w:rsid w:val="00DB4255"/>
    <w:rsid w:val="00DB51BF"/>
    <w:rsid w:val="00DB65CC"/>
    <w:rsid w:val="00DB7924"/>
    <w:rsid w:val="00DB7F22"/>
    <w:rsid w:val="00DC0887"/>
    <w:rsid w:val="00DC122D"/>
    <w:rsid w:val="00DC1C3C"/>
    <w:rsid w:val="00DC294F"/>
    <w:rsid w:val="00DC70E3"/>
    <w:rsid w:val="00DD09E4"/>
    <w:rsid w:val="00DD5B50"/>
    <w:rsid w:val="00DD60C8"/>
    <w:rsid w:val="00DD7835"/>
    <w:rsid w:val="00DD7DFC"/>
    <w:rsid w:val="00DE049F"/>
    <w:rsid w:val="00DE55B0"/>
    <w:rsid w:val="00DE5D6E"/>
    <w:rsid w:val="00DF1363"/>
    <w:rsid w:val="00DF6373"/>
    <w:rsid w:val="00E0267C"/>
    <w:rsid w:val="00E044F7"/>
    <w:rsid w:val="00E060CB"/>
    <w:rsid w:val="00E06E5F"/>
    <w:rsid w:val="00E11E8C"/>
    <w:rsid w:val="00E12404"/>
    <w:rsid w:val="00E127B1"/>
    <w:rsid w:val="00E15441"/>
    <w:rsid w:val="00E1552A"/>
    <w:rsid w:val="00E21B92"/>
    <w:rsid w:val="00E22BF5"/>
    <w:rsid w:val="00E245F7"/>
    <w:rsid w:val="00E260FE"/>
    <w:rsid w:val="00E30573"/>
    <w:rsid w:val="00E315FB"/>
    <w:rsid w:val="00E31718"/>
    <w:rsid w:val="00E32E5D"/>
    <w:rsid w:val="00E3352F"/>
    <w:rsid w:val="00E3404D"/>
    <w:rsid w:val="00E4016E"/>
    <w:rsid w:val="00E42100"/>
    <w:rsid w:val="00E42897"/>
    <w:rsid w:val="00E476D7"/>
    <w:rsid w:val="00E47972"/>
    <w:rsid w:val="00E5119F"/>
    <w:rsid w:val="00E516B6"/>
    <w:rsid w:val="00E54BC7"/>
    <w:rsid w:val="00E56BED"/>
    <w:rsid w:val="00E56E77"/>
    <w:rsid w:val="00E57B65"/>
    <w:rsid w:val="00E61350"/>
    <w:rsid w:val="00E6258B"/>
    <w:rsid w:val="00E63C06"/>
    <w:rsid w:val="00E64A87"/>
    <w:rsid w:val="00E653A0"/>
    <w:rsid w:val="00E70CFF"/>
    <w:rsid w:val="00E71438"/>
    <w:rsid w:val="00E7275C"/>
    <w:rsid w:val="00E72C00"/>
    <w:rsid w:val="00E7338B"/>
    <w:rsid w:val="00E74791"/>
    <w:rsid w:val="00E75071"/>
    <w:rsid w:val="00E77852"/>
    <w:rsid w:val="00E83AF0"/>
    <w:rsid w:val="00E83CFB"/>
    <w:rsid w:val="00E866A5"/>
    <w:rsid w:val="00E912CF"/>
    <w:rsid w:val="00E935CD"/>
    <w:rsid w:val="00E944CB"/>
    <w:rsid w:val="00EA038A"/>
    <w:rsid w:val="00EA2D83"/>
    <w:rsid w:val="00EA7244"/>
    <w:rsid w:val="00EA7A98"/>
    <w:rsid w:val="00EB04A6"/>
    <w:rsid w:val="00EB5147"/>
    <w:rsid w:val="00EB685A"/>
    <w:rsid w:val="00EB6E6A"/>
    <w:rsid w:val="00EC05CA"/>
    <w:rsid w:val="00EC45F6"/>
    <w:rsid w:val="00EC5AA4"/>
    <w:rsid w:val="00EC5B5C"/>
    <w:rsid w:val="00EC62DE"/>
    <w:rsid w:val="00EC6576"/>
    <w:rsid w:val="00EC6809"/>
    <w:rsid w:val="00ED0383"/>
    <w:rsid w:val="00ED1EF7"/>
    <w:rsid w:val="00EE0273"/>
    <w:rsid w:val="00EE3C06"/>
    <w:rsid w:val="00EF3401"/>
    <w:rsid w:val="00EF504A"/>
    <w:rsid w:val="00EF6D91"/>
    <w:rsid w:val="00F02677"/>
    <w:rsid w:val="00F033BB"/>
    <w:rsid w:val="00F12C97"/>
    <w:rsid w:val="00F15690"/>
    <w:rsid w:val="00F15E5C"/>
    <w:rsid w:val="00F16EC5"/>
    <w:rsid w:val="00F204D8"/>
    <w:rsid w:val="00F212C6"/>
    <w:rsid w:val="00F222BD"/>
    <w:rsid w:val="00F2390B"/>
    <w:rsid w:val="00F2578A"/>
    <w:rsid w:val="00F31575"/>
    <w:rsid w:val="00F31804"/>
    <w:rsid w:val="00F3627B"/>
    <w:rsid w:val="00F37416"/>
    <w:rsid w:val="00F41263"/>
    <w:rsid w:val="00F4416E"/>
    <w:rsid w:val="00F45919"/>
    <w:rsid w:val="00F463BF"/>
    <w:rsid w:val="00F4728E"/>
    <w:rsid w:val="00F502E2"/>
    <w:rsid w:val="00F52EB8"/>
    <w:rsid w:val="00F536E9"/>
    <w:rsid w:val="00F54081"/>
    <w:rsid w:val="00F550B3"/>
    <w:rsid w:val="00F563AF"/>
    <w:rsid w:val="00F57724"/>
    <w:rsid w:val="00F606FB"/>
    <w:rsid w:val="00F6459F"/>
    <w:rsid w:val="00F6655C"/>
    <w:rsid w:val="00F72136"/>
    <w:rsid w:val="00F743A3"/>
    <w:rsid w:val="00F74999"/>
    <w:rsid w:val="00F74ACA"/>
    <w:rsid w:val="00F80119"/>
    <w:rsid w:val="00F8014E"/>
    <w:rsid w:val="00F8583B"/>
    <w:rsid w:val="00F85DE7"/>
    <w:rsid w:val="00F86C06"/>
    <w:rsid w:val="00F8728E"/>
    <w:rsid w:val="00F87DB2"/>
    <w:rsid w:val="00F90380"/>
    <w:rsid w:val="00F914E5"/>
    <w:rsid w:val="00FA04BD"/>
    <w:rsid w:val="00FA16EF"/>
    <w:rsid w:val="00FA1F14"/>
    <w:rsid w:val="00FA26E8"/>
    <w:rsid w:val="00FA2FFF"/>
    <w:rsid w:val="00FA5E11"/>
    <w:rsid w:val="00FB261A"/>
    <w:rsid w:val="00FB26BC"/>
    <w:rsid w:val="00FB4A04"/>
    <w:rsid w:val="00FB5A32"/>
    <w:rsid w:val="00FC43C7"/>
    <w:rsid w:val="00FC5936"/>
    <w:rsid w:val="00FD1466"/>
    <w:rsid w:val="00FD1F9F"/>
    <w:rsid w:val="00FD40A2"/>
    <w:rsid w:val="00FD44D5"/>
    <w:rsid w:val="00FD4CDE"/>
    <w:rsid w:val="00FD5DE0"/>
    <w:rsid w:val="00FE01B9"/>
    <w:rsid w:val="00FE2AC3"/>
    <w:rsid w:val="00FE2BA1"/>
    <w:rsid w:val="00FF135D"/>
    <w:rsid w:val="00FF18FE"/>
    <w:rsid w:val="00FF2B24"/>
    <w:rsid w:val="00FF501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13145233">
      <w:bodyDiv w:val="1"/>
      <w:marLeft w:val="0"/>
      <w:marRight w:val="0"/>
      <w:marTop w:val="0"/>
      <w:marBottom w:val="0"/>
      <w:divBdr>
        <w:top w:val="none" w:sz="0" w:space="0" w:color="auto"/>
        <w:left w:val="none" w:sz="0" w:space="0" w:color="auto"/>
        <w:bottom w:val="none" w:sz="0" w:space="0" w:color="auto"/>
        <w:right w:val="none" w:sz="0" w:space="0" w:color="auto"/>
      </w:divBdr>
    </w:div>
    <w:div w:id="364446078">
      <w:bodyDiv w:val="1"/>
      <w:marLeft w:val="0"/>
      <w:marRight w:val="0"/>
      <w:marTop w:val="0"/>
      <w:marBottom w:val="0"/>
      <w:divBdr>
        <w:top w:val="none" w:sz="0" w:space="0" w:color="auto"/>
        <w:left w:val="none" w:sz="0" w:space="0" w:color="auto"/>
        <w:bottom w:val="none" w:sz="0" w:space="0" w:color="auto"/>
        <w:right w:val="none" w:sz="0" w:space="0" w:color="auto"/>
      </w:divBdr>
    </w:div>
    <w:div w:id="417989876">
      <w:bodyDiv w:val="1"/>
      <w:marLeft w:val="0"/>
      <w:marRight w:val="0"/>
      <w:marTop w:val="0"/>
      <w:marBottom w:val="0"/>
      <w:divBdr>
        <w:top w:val="none" w:sz="0" w:space="0" w:color="auto"/>
        <w:left w:val="none" w:sz="0" w:space="0" w:color="auto"/>
        <w:bottom w:val="none" w:sz="0" w:space="0" w:color="auto"/>
        <w:right w:val="none" w:sz="0" w:space="0" w:color="auto"/>
      </w:divBdr>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36288681">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367236">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5847501">
      <w:bodyDiv w:val="1"/>
      <w:marLeft w:val="0"/>
      <w:marRight w:val="0"/>
      <w:marTop w:val="0"/>
      <w:marBottom w:val="0"/>
      <w:divBdr>
        <w:top w:val="none" w:sz="0" w:space="0" w:color="auto"/>
        <w:left w:val="none" w:sz="0" w:space="0" w:color="auto"/>
        <w:bottom w:val="none" w:sz="0" w:space="0" w:color="auto"/>
        <w:right w:val="none" w:sz="0" w:space="0" w:color="auto"/>
      </w:divBdr>
    </w:div>
    <w:div w:id="780420494">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00572">
      <w:bodyDiv w:val="1"/>
      <w:marLeft w:val="0"/>
      <w:marRight w:val="0"/>
      <w:marTop w:val="0"/>
      <w:marBottom w:val="0"/>
      <w:divBdr>
        <w:top w:val="none" w:sz="0" w:space="0" w:color="auto"/>
        <w:left w:val="none" w:sz="0" w:space="0" w:color="auto"/>
        <w:bottom w:val="none" w:sz="0" w:space="0" w:color="auto"/>
        <w:right w:val="none" w:sz="0" w:space="0" w:color="auto"/>
      </w:divBdr>
    </w:div>
    <w:div w:id="830291751">
      <w:bodyDiv w:val="1"/>
      <w:marLeft w:val="0"/>
      <w:marRight w:val="0"/>
      <w:marTop w:val="0"/>
      <w:marBottom w:val="0"/>
      <w:divBdr>
        <w:top w:val="none" w:sz="0" w:space="0" w:color="auto"/>
        <w:left w:val="none" w:sz="0" w:space="0" w:color="auto"/>
        <w:bottom w:val="none" w:sz="0" w:space="0" w:color="auto"/>
        <w:right w:val="none" w:sz="0" w:space="0" w:color="auto"/>
      </w:divBdr>
    </w:div>
    <w:div w:id="842861519">
      <w:bodyDiv w:val="1"/>
      <w:marLeft w:val="0"/>
      <w:marRight w:val="0"/>
      <w:marTop w:val="0"/>
      <w:marBottom w:val="0"/>
      <w:divBdr>
        <w:top w:val="none" w:sz="0" w:space="0" w:color="auto"/>
        <w:left w:val="none" w:sz="0" w:space="0" w:color="auto"/>
        <w:bottom w:val="none" w:sz="0" w:space="0" w:color="auto"/>
        <w:right w:val="none" w:sz="0" w:space="0" w:color="auto"/>
      </w:divBdr>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883322880">
      <w:bodyDiv w:val="1"/>
      <w:marLeft w:val="0"/>
      <w:marRight w:val="0"/>
      <w:marTop w:val="0"/>
      <w:marBottom w:val="0"/>
      <w:divBdr>
        <w:top w:val="none" w:sz="0" w:space="0" w:color="auto"/>
        <w:left w:val="none" w:sz="0" w:space="0" w:color="auto"/>
        <w:bottom w:val="none" w:sz="0" w:space="0" w:color="auto"/>
        <w:right w:val="none" w:sz="0" w:space="0" w:color="auto"/>
      </w:divBdr>
    </w:div>
    <w:div w:id="914318214">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36739831">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412123752">
      <w:bodyDiv w:val="1"/>
      <w:marLeft w:val="0"/>
      <w:marRight w:val="0"/>
      <w:marTop w:val="0"/>
      <w:marBottom w:val="0"/>
      <w:divBdr>
        <w:top w:val="none" w:sz="0" w:space="0" w:color="auto"/>
        <w:left w:val="none" w:sz="0" w:space="0" w:color="auto"/>
        <w:bottom w:val="none" w:sz="0" w:space="0" w:color="auto"/>
        <w:right w:val="none" w:sz="0" w:space="0" w:color="auto"/>
      </w:divBdr>
    </w:div>
    <w:div w:id="1469396270">
      <w:bodyDiv w:val="1"/>
      <w:marLeft w:val="0"/>
      <w:marRight w:val="0"/>
      <w:marTop w:val="0"/>
      <w:marBottom w:val="0"/>
      <w:divBdr>
        <w:top w:val="none" w:sz="0" w:space="0" w:color="auto"/>
        <w:left w:val="none" w:sz="0" w:space="0" w:color="auto"/>
        <w:bottom w:val="none" w:sz="0" w:space="0" w:color="auto"/>
        <w:right w:val="none" w:sz="0" w:space="0" w:color="auto"/>
      </w:divBdr>
    </w:div>
    <w:div w:id="1498689685">
      <w:bodyDiv w:val="1"/>
      <w:marLeft w:val="0"/>
      <w:marRight w:val="0"/>
      <w:marTop w:val="0"/>
      <w:marBottom w:val="0"/>
      <w:divBdr>
        <w:top w:val="none" w:sz="0" w:space="0" w:color="auto"/>
        <w:left w:val="none" w:sz="0" w:space="0" w:color="auto"/>
        <w:bottom w:val="none" w:sz="0" w:space="0" w:color="auto"/>
        <w:right w:val="none" w:sz="0" w:space="0" w:color="auto"/>
      </w:divBdr>
    </w:div>
    <w:div w:id="1567299841">
      <w:bodyDiv w:val="1"/>
      <w:marLeft w:val="0"/>
      <w:marRight w:val="0"/>
      <w:marTop w:val="0"/>
      <w:marBottom w:val="0"/>
      <w:divBdr>
        <w:top w:val="none" w:sz="0" w:space="0" w:color="auto"/>
        <w:left w:val="none" w:sz="0" w:space="0" w:color="auto"/>
        <w:bottom w:val="none" w:sz="0" w:space="0" w:color="auto"/>
        <w:right w:val="none" w:sz="0" w:space="0" w:color="auto"/>
      </w:divBdr>
    </w:div>
    <w:div w:id="1612317585">
      <w:bodyDiv w:val="1"/>
      <w:marLeft w:val="0"/>
      <w:marRight w:val="0"/>
      <w:marTop w:val="0"/>
      <w:marBottom w:val="0"/>
      <w:divBdr>
        <w:top w:val="none" w:sz="0" w:space="0" w:color="auto"/>
        <w:left w:val="none" w:sz="0" w:space="0" w:color="auto"/>
        <w:bottom w:val="none" w:sz="0" w:space="0" w:color="auto"/>
        <w:right w:val="none" w:sz="0" w:space="0" w:color="auto"/>
      </w:divBdr>
    </w:div>
    <w:div w:id="1653409849">
      <w:bodyDiv w:val="1"/>
      <w:marLeft w:val="0"/>
      <w:marRight w:val="0"/>
      <w:marTop w:val="0"/>
      <w:marBottom w:val="0"/>
      <w:divBdr>
        <w:top w:val="none" w:sz="0" w:space="0" w:color="auto"/>
        <w:left w:val="none" w:sz="0" w:space="0" w:color="auto"/>
        <w:bottom w:val="none" w:sz="0" w:space="0" w:color="auto"/>
        <w:right w:val="none" w:sz="0" w:space="0" w:color="auto"/>
      </w:divBdr>
    </w:div>
    <w:div w:id="1745105080">
      <w:bodyDiv w:val="1"/>
      <w:marLeft w:val="0"/>
      <w:marRight w:val="0"/>
      <w:marTop w:val="0"/>
      <w:marBottom w:val="0"/>
      <w:divBdr>
        <w:top w:val="none" w:sz="0" w:space="0" w:color="auto"/>
        <w:left w:val="none" w:sz="0" w:space="0" w:color="auto"/>
        <w:bottom w:val="none" w:sz="0" w:space="0" w:color="auto"/>
        <w:right w:val="none" w:sz="0" w:space="0" w:color="auto"/>
      </w:divBdr>
    </w:div>
    <w:div w:id="1767454919">
      <w:bodyDiv w:val="1"/>
      <w:marLeft w:val="0"/>
      <w:marRight w:val="0"/>
      <w:marTop w:val="0"/>
      <w:marBottom w:val="0"/>
      <w:divBdr>
        <w:top w:val="none" w:sz="0" w:space="0" w:color="auto"/>
        <w:left w:val="none" w:sz="0" w:space="0" w:color="auto"/>
        <w:bottom w:val="none" w:sz="0" w:space="0" w:color="auto"/>
        <w:right w:val="none" w:sz="0" w:space="0" w:color="auto"/>
      </w:divBdr>
    </w:div>
    <w:div w:id="1789350171">
      <w:bodyDiv w:val="1"/>
      <w:marLeft w:val="0"/>
      <w:marRight w:val="0"/>
      <w:marTop w:val="0"/>
      <w:marBottom w:val="0"/>
      <w:divBdr>
        <w:top w:val="none" w:sz="0" w:space="0" w:color="auto"/>
        <w:left w:val="none" w:sz="0" w:space="0" w:color="auto"/>
        <w:bottom w:val="none" w:sz="0" w:space="0" w:color="auto"/>
        <w:right w:val="none" w:sz="0" w:space="0" w:color="auto"/>
      </w:divBdr>
    </w:div>
    <w:div w:id="1815488152">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5" Type="http://schemas.openxmlformats.org/officeDocument/2006/relationships/numbering" Target="numbering.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apps.puc.state.or.us/orders/2007ords/07-13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2015-04-30T07:00:00+00:00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B20C2B-41E7-45F5-A71B-9F8073CCA0C7}"/>
</file>

<file path=customXml/itemProps2.xml><?xml version="1.0" encoding="utf-8"?>
<ds:datastoreItem xmlns:ds="http://schemas.openxmlformats.org/officeDocument/2006/customXml" ds:itemID="{187D6383-0527-4436-921C-10CD07319FF1}"/>
</file>

<file path=customXml/itemProps3.xml><?xml version="1.0" encoding="utf-8"?>
<ds:datastoreItem xmlns:ds="http://schemas.openxmlformats.org/officeDocument/2006/customXml" ds:itemID="{C92FCB8C-7D67-408F-AA4E-EFFAD61FF50C}"/>
</file>

<file path=customXml/itemProps4.xml><?xml version="1.0" encoding="utf-8"?>
<ds:datastoreItem xmlns:ds="http://schemas.openxmlformats.org/officeDocument/2006/customXml" ds:itemID="{E70CBDEB-F03F-441A-AC9E-E56374B01029}"/>
</file>

<file path=customXml/itemProps5.xml><?xml version="1.0" encoding="utf-8"?>
<ds:datastoreItem xmlns:ds="http://schemas.openxmlformats.org/officeDocument/2006/customXml" ds:itemID="{4559D806-8D35-4667-9ED8-2DE0ED5608FE}"/>
</file>

<file path=docProps/app.xml><?xml version="1.0" encoding="utf-8"?>
<Properties xmlns="http://schemas.openxmlformats.org/officeDocument/2006/extended-properties" xmlns:vt="http://schemas.openxmlformats.org/officeDocument/2006/docPropsVTypes">
  <Template>Normal</Template>
  <TotalTime>1</TotalTime>
  <Pages>12</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2</cp:revision>
  <cp:lastPrinted>2015-04-30T21:20:00Z</cp:lastPrinted>
  <dcterms:created xsi:type="dcterms:W3CDTF">2015-04-30T23:00:00Z</dcterms:created>
  <dcterms:modified xsi:type="dcterms:W3CDTF">2015-04-30T23:00:00Z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