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D7" w:rsidRDefault="00D25DD7" w:rsidP="008535CF">
      <w:pPr>
        <w:pStyle w:val="Heading1"/>
        <w:keepNext w:val="0"/>
        <w:ind w:right="-422" w:hanging="385"/>
        <w:jc w:val="center"/>
        <w:rPr>
          <w:b/>
        </w:rPr>
      </w:pPr>
    </w:p>
    <w:p w:rsidR="00D25DD7" w:rsidRDefault="00D25DD7" w:rsidP="008535CF">
      <w:pPr>
        <w:pStyle w:val="Heading1"/>
        <w:keepNext w:val="0"/>
        <w:ind w:right="-422" w:hanging="385"/>
        <w:jc w:val="center"/>
        <w:rPr>
          <w:b/>
        </w:rPr>
      </w:pPr>
    </w:p>
    <w:p w:rsidR="00D25DD7" w:rsidRDefault="00D25DD7" w:rsidP="008535CF">
      <w:pPr>
        <w:pStyle w:val="Heading1"/>
        <w:keepNext w:val="0"/>
        <w:ind w:right="-422" w:hanging="385"/>
        <w:jc w:val="center"/>
        <w:rPr>
          <w:b/>
        </w:rPr>
      </w:pPr>
    </w:p>
    <w:p w:rsidR="00D25DD7" w:rsidRDefault="00D25DD7" w:rsidP="008535CF">
      <w:pPr>
        <w:pStyle w:val="Heading1"/>
        <w:keepNext w:val="0"/>
        <w:ind w:right="-422" w:hanging="385"/>
        <w:jc w:val="center"/>
        <w:rPr>
          <w:b/>
        </w:rPr>
      </w:pPr>
    </w:p>
    <w:p w:rsidR="008535CF" w:rsidRPr="00CB20C9" w:rsidRDefault="008535CF" w:rsidP="008535CF">
      <w:pPr>
        <w:pStyle w:val="Heading1"/>
        <w:keepNext w:val="0"/>
        <w:ind w:right="-422" w:hanging="385"/>
        <w:jc w:val="center"/>
        <w:rPr>
          <w:b/>
        </w:rPr>
      </w:pPr>
      <w:r w:rsidRPr="00CB20C9">
        <w:rPr>
          <w:b/>
        </w:rPr>
        <w:t>BEFORE THE WASHINGTON UTILITIES AND TRANSPORTATION COMMISSION</w:t>
      </w:r>
    </w:p>
    <w:p w:rsidR="008535CF" w:rsidRPr="00CB20C9" w:rsidRDefault="008535CF" w:rsidP="008535CF">
      <w:pPr>
        <w:widowControl w:val="0"/>
        <w:jc w:val="both"/>
        <w:rPr>
          <w:rFonts w:ascii="Times New Roman" w:hAnsi="Times New Roman"/>
          <w:b/>
          <w:sz w:val="24"/>
          <w:szCs w:val="24"/>
        </w:rPr>
      </w:pPr>
    </w:p>
    <w:p w:rsidR="008535CF" w:rsidRPr="00CB20C9" w:rsidRDefault="008535CF" w:rsidP="008535CF">
      <w:pPr>
        <w:jc w:val="both"/>
        <w:rPr>
          <w:rFonts w:ascii="Times New Roman" w:hAnsi="Times New Roman"/>
          <w:b/>
          <w:sz w:val="24"/>
          <w:szCs w:val="24"/>
        </w:rPr>
      </w:pPr>
    </w:p>
    <w:tbl>
      <w:tblPr>
        <w:tblW w:w="0" w:type="auto"/>
        <w:tblInd w:w="124" w:type="dxa"/>
        <w:tblLayout w:type="fixed"/>
        <w:tblCellMar>
          <w:left w:w="124" w:type="dxa"/>
          <w:right w:w="124" w:type="dxa"/>
        </w:tblCellMar>
        <w:tblLook w:val="0000"/>
      </w:tblPr>
      <w:tblGrid>
        <w:gridCol w:w="4590"/>
        <w:gridCol w:w="4590"/>
      </w:tblGrid>
      <w:tr w:rsidR="008535CF" w:rsidRPr="00CB20C9" w:rsidTr="007807B1">
        <w:tc>
          <w:tcPr>
            <w:tcW w:w="4590" w:type="dxa"/>
            <w:tcBorders>
              <w:top w:val="single" w:sz="6" w:space="0" w:color="FFFFFF"/>
              <w:left w:val="single" w:sz="6" w:space="0" w:color="FFFFFF"/>
              <w:bottom w:val="single" w:sz="7" w:space="0" w:color="000000"/>
              <w:right w:val="single" w:sz="6" w:space="0" w:color="FFFFFF"/>
            </w:tcBorders>
          </w:tcPr>
          <w:p w:rsidR="008535CF" w:rsidRPr="00CB20C9" w:rsidRDefault="008535CF" w:rsidP="007807B1">
            <w:pPr>
              <w:rPr>
                <w:rFonts w:ascii="Times New Roman" w:hAnsi="Times New Roman"/>
                <w:b/>
                <w:sz w:val="24"/>
                <w:szCs w:val="24"/>
              </w:rPr>
            </w:pPr>
            <w:r w:rsidRPr="00CB20C9">
              <w:rPr>
                <w:rFonts w:ascii="Times New Roman" w:hAnsi="Times New Roman"/>
                <w:b/>
                <w:sz w:val="24"/>
                <w:szCs w:val="24"/>
              </w:rPr>
              <w:t xml:space="preserve">WASHINGTON UTILITIES AND TRANSPORTATION COMMISSION, </w:t>
            </w:r>
          </w:p>
          <w:p w:rsidR="008535CF" w:rsidRPr="00CB20C9" w:rsidRDefault="008535CF" w:rsidP="007807B1">
            <w:pPr>
              <w:rPr>
                <w:rFonts w:ascii="Times New Roman" w:hAnsi="Times New Roman"/>
                <w:b/>
                <w:sz w:val="24"/>
                <w:szCs w:val="24"/>
              </w:rPr>
            </w:pPr>
          </w:p>
          <w:p w:rsidR="008535CF" w:rsidRPr="00CB20C9" w:rsidRDefault="008535CF" w:rsidP="007807B1">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t>Complainant,</w:t>
            </w:r>
          </w:p>
          <w:p w:rsidR="008535CF" w:rsidRPr="00CB20C9" w:rsidRDefault="008535CF" w:rsidP="007807B1">
            <w:pPr>
              <w:rPr>
                <w:rFonts w:ascii="Times New Roman" w:hAnsi="Times New Roman"/>
                <w:b/>
                <w:sz w:val="24"/>
                <w:szCs w:val="24"/>
              </w:rPr>
            </w:pPr>
          </w:p>
          <w:p w:rsidR="008535CF" w:rsidRPr="00CB20C9" w:rsidRDefault="008535CF" w:rsidP="007807B1">
            <w:pPr>
              <w:rPr>
                <w:rFonts w:ascii="Times New Roman" w:hAnsi="Times New Roman"/>
                <w:b/>
                <w:sz w:val="24"/>
                <w:szCs w:val="24"/>
              </w:rPr>
            </w:pPr>
            <w:r w:rsidRPr="00CB20C9">
              <w:rPr>
                <w:rFonts w:ascii="Times New Roman" w:hAnsi="Times New Roman"/>
                <w:b/>
                <w:sz w:val="24"/>
                <w:szCs w:val="24"/>
              </w:rPr>
              <w:t>v.</w:t>
            </w:r>
          </w:p>
          <w:p w:rsidR="008535CF" w:rsidRPr="00CB20C9" w:rsidRDefault="008535CF" w:rsidP="007807B1">
            <w:pPr>
              <w:rPr>
                <w:rFonts w:ascii="Times New Roman" w:hAnsi="Times New Roman"/>
                <w:b/>
                <w:sz w:val="24"/>
                <w:szCs w:val="24"/>
              </w:rPr>
            </w:pPr>
          </w:p>
          <w:p w:rsidR="008535CF" w:rsidRPr="00CB20C9" w:rsidRDefault="008535CF" w:rsidP="007807B1">
            <w:pPr>
              <w:rPr>
                <w:rFonts w:ascii="Times New Roman" w:hAnsi="Times New Roman"/>
                <w:b/>
                <w:sz w:val="24"/>
                <w:szCs w:val="24"/>
              </w:rPr>
            </w:pPr>
            <w:r w:rsidRPr="00CB20C9">
              <w:rPr>
                <w:rFonts w:ascii="Times New Roman" w:hAnsi="Times New Roman"/>
                <w:b/>
                <w:sz w:val="24"/>
                <w:szCs w:val="24"/>
              </w:rPr>
              <w:t xml:space="preserve">PUGET SOUND ENERGY, INC., </w:t>
            </w:r>
          </w:p>
          <w:p w:rsidR="008535CF" w:rsidRPr="00CB20C9" w:rsidRDefault="008535CF" w:rsidP="007807B1">
            <w:pPr>
              <w:rPr>
                <w:rFonts w:ascii="Times New Roman" w:hAnsi="Times New Roman"/>
                <w:b/>
                <w:sz w:val="24"/>
                <w:szCs w:val="24"/>
              </w:rPr>
            </w:pPr>
          </w:p>
          <w:p w:rsidR="008535CF" w:rsidRPr="00CB20C9" w:rsidRDefault="008535CF" w:rsidP="007807B1">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rsidR="008535CF" w:rsidRPr="00CB20C9" w:rsidRDefault="008535CF" w:rsidP="007807B1">
            <w:pPr>
              <w:rPr>
                <w:rFonts w:ascii="Times New Roman" w:hAnsi="Times New Roman"/>
                <w:b/>
                <w:sz w:val="24"/>
                <w:szCs w:val="24"/>
              </w:rPr>
            </w:pPr>
            <w:r w:rsidRPr="00CB20C9">
              <w:rPr>
                <w:rFonts w:ascii="Times New Roman" w:hAnsi="Times New Roman"/>
                <w:b/>
                <w:sz w:val="24"/>
                <w:szCs w:val="24"/>
              </w:rPr>
              <w:tab/>
              <w:t xml:space="preserve">DOCKETS UE-090704 </w:t>
            </w:r>
          </w:p>
          <w:p w:rsidR="008535CF" w:rsidRPr="00CB20C9" w:rsidRDefault="008535CF" w:rsidP="007807B1">
            <w:pPr>
              <w:rPr>
                <w:rFonts w:ascii="Times New Roman" w:hAnsi="Times New Roman"/>
                <w:b/>
                <w:sz w:val="24"/>
                <w:szCs w:val="24"/>
              </w:rPr>
            </w:pPr>
            <w:r w:rsidRPr="00CB20C9">
              <w:rPr>
                <w:rFonts w:ascii="Times New Roman" w:hAnsi="Times New Roman"/>
                <w:b/>
                <w:sz w:val="24"/>
                <w:szCs w:val="24"/>
              </w:rPr>
              <w:tab/>
              <w:t xml:space="preserve">and UG-090705 (consolidated) </w:t>
            </w:r>
          </w:p>
          <w:p w:rsidR="008535CF" w:rsidRPr="00CB20C9" w:rsidRDefault="008535CF" w:rsidP="007807B1">
            <w:pPr>
              <w:rPr>
                <w:rFonts w:ascii="Times New Roman" w:hAnsi="Times New Roman"/>
                <w:b/>
                <w:sz w:val="24"/>
                <w:szCs w:val="24"/>
              </w:rPr>
            </w:pPr>
          </w:p>
          <w:p w:rsidR="008535CF" w:rsidRPr="00CB20C9" w:rsidRDefault="008535CF" w:rsidP="007807B1">
            <w:pPr>
              <w:ind w:left="720"/>
              <w:rPr>
                <w:rFonts w:ascii="Times New Roman" w:hAnsi="Times New Roman"/>
                <w:b/>
                <w:sz w:val="24"/>
                <w:szCs w:val="24"/>
              </w:rPr>
            </w:pPr>
          </w:p>
        </w:tc>
      </w:tr>
    </w:tbl>
    <w:p w:rsidR="008535CF" w:rsidRPr="00CB20C9" w:rsidRDefault="008535CF" w:rsidP="008535CF">
      <w:pPr>
        <w:jc w:val="both"/>
        <w:rPr>
          <w:rFonts w:ascii="Times New Roman" w:hAnsi="Times New Roman"/>
          <w:sz w:val="24"/>
          <w:szCs w:val="24"/>
        </w:rPr>
      </w:pPr>
    </w:p>
    <w:p w:rsidR="008535CF" w:rsidRPr="00CB20C9" w:rsidRDefault="008535CF" w:rsidP="008535CF">
      <w:pPr>
        <w:jc w:val="both"/>
        <w:rPr>
          <w:rFonts w:ascii="Times New Roman" w:hAnsi="Times New Roman"/>
          <w:sz w:val="24"/>
          <w:szCs w:val="24"/>
        </w:rPr>
      </w:pPr>
    </w:p>
    <w:p w:rsidR="008535CF" w:rsidRDefault="008535CF" w:rsidP="008535CF">
      <w:pPr>
        <w:jc w:val="both"/>
        <w:rPr>
          <w:rFonts w:ascii="Times New Roman" w:hAnsi="Times New Roman"/>
          <w:sz w:val="24"/>
          <w:szCs w:val="24"/>
        </w:rPr>
      </w:pPr>
    </w:p>
    <w:p w:rsidR="00F96A58" w:rsidRDefault="00F96A58" w:rsidP="008535CF">
      <w:pPr>
        <w:jc w:val="both"/>
        <w:rPr>
          <w:rFonts w:ascii="Times New Roman" w:hAnsi="Times New Roman"/>
          <w:sz w:val="24"/>
          <w:szCs w:val="24"/>
        </w:rPr>
      </w:pPr>
    </w:p>
    <w:p w:rsidR="00F96A58" w:rsidRDefault="00F96A58" w:rsidP="008535CF">
      <w:pPr>
        <w:jc w:val="both"/>
        <w:rPr>
          <w:rFonts w:ascii="Times New Roman" w:hAnsi="Times New Roman"/>
          <w:sz w:val="24"/>
          <w:szCs w:val="24"/>
        </w:rPr>
      </w:pPr>
    </w:p>
    <w:p w:rsidR="00F96A58" w:rsidRDefault="00F96A58" w:rsidP="008535CF">
      <w:pPr>
        <w:jc w:val="both"/>
        <w:rPr>
          <w:rFonts w:ascii="Times New Roman" w:hAnsi="Times New Roman"/>
          <w:sz w:val="24"/>
          <w:szCs w:val="24"/>
        </w:rPr>
      </w:pPr>
    </w:p>
    <w:p w:rsidR="00F96A58" w:rsidRPr="00CB20C9" w:rsidRDefault="00F96A58" w:rsidP="008535CF">
      <w:pPr>
        <w:jc w:val="both"/>
        <w:rPr>
          <w:rFonts w:ascii="Times New Roman" w:hAnsi="Times New Roman"/>
          <w:sz w:val="24"/>
          <w:szCs w:val="24"/>
        </w:rPr>
      </w:pPr>
    </w:p>
    <w:p w:rsidR="008535CF" w:rsidRPr="00CB20C9" w:rsidRDefault="008535CF" w:rsidP="008535CF">
      <w:pPr>
        <w:jc w:val="center"/>
        <w:rPr>
          <w:rFonts w:ascii="Times New Roman" w:hAnsi="Times New Roman"/>
          <w:b/>
          <w:bCs/>
          <w:sz w:val="24"/>
          <w:szCs w:val="24"/>
        </w:rPr>
      </w:pPr>
      <w:r>
        <w:rPr>
          <w:rFonts w:ascii="Times New Roman" w:hAnsi="Times New Roman"/>
          <w:b/>
          <w:bCs/>
          <w:sz w:val="24"/>
          <w:szCs w:val="24"/>
        </w:rPr>
        <w:t xml:space="preserve">REPLY </w:t>
      </w:r>
      <w:r w:rsidRPr="00CB20C9">
        <w:rPr>
          <w:rFonts w:ascii="Times New Roman" w:hAnsi="Times New Roman"/>
          <w:b/>
          <w:bCs/>
          <w:sz w:val="24"/>
          <w:szCs w:val="24"/>
        </w:rPr>
        <w:t>BRIEF ON BEHALF OF COMMISSION STAFF</w:t>
      </w:r>
    </w:p>
    <w:p w:rsidR="008535CF" w:rsidRPr="00CB20C9" w:rsidRDefault="008535CF" w:rsidP="008535CF">
      <w:pPr>
        <w:rPr>
          <w:rFonts w:ascii="Times New Roman" w:hAnsi="Times New Roman"/>
          <w:b/>
          <w:bCs/>
          <w:sz w:val="24"/>
          <w:szCs w:val="24"/>
        </w:rPr>
      </w:pPr>
    </w:p>
    <w:p w:rsidR="008535CF" w:rsidRPr="00CB20C9" w:rsidRDefault="008535CF" w:rsidP="008535CF">
      <w:pPr>
        <w:rPr>
          <w:rFonts w:ascii="Times New Roman" w:hAnsi="Times New Roman"/>
          <w:b/>
          <w:bCs/>
          <w:sz w:val="24"/>
          <w:szCs w:val="24"/>
        </w:rPr>
      </w:pPr>
    </w:p>
    <w:p w:rsidR="008535CF" w:rsidRPr="00CB20C9" w:rsidRDefault="00D16502" w:rsidP="008535CF">
      <w:pPr>
        <w:ind w:left="3600" w:firstLine="720"/>
        <w:rPr>
          <w:rFonts w:ascii="Times New Roman" w:hAnsi="Times New Roman"/>
          <w:b/>
          <w:bCs/>
          <w:sz w:val="24"/>
          <w:szCs w:val="24"/>
        </w:rPr>
      </w:pPr>
      <w:r>
        <w:rPr>
          <w:rFonts w:ascii="Times New Roman" w:hAnsi="Times New Roman"/>
          <w:b/>
          <w:bCs/>
          <w:sz w:val="24"/>
          <w:szCs w:val="24"/>
        </w:rPr>
        <w:t>March 2</w:t>
      </w:r>
      <w:r w:rsidR="008535CF">
        <w:rPr>
          <w:rFonts w:ascii="Times New Roman" w:hAnsi="Times New Roman"/>
          <w:b/>
          <w:bCs/>
          <w:sz w:val="24"/>
          <w:szCs w:val="24"/>
        </w:rPr>
        <w:t>, 2010</w:t>
      </w:r>
    </w:p>
    <w:p w:rsidR="008535CF" w:rsidRPr="00CB20C9" w:rsidRDefault="008535CF" w:rsidP="008535CF">
      <w:pPr>
        <w:rPr>
          <w:rFonts w:ascii="Times New Roman" w:hAnsi="Times New Roman"/>
          <w:b/>
          <w:bCs/>
          <w:sz w:val="24"/>
          <w:szCs w:val="24"/>
        </w:rPr>
      </w:pPr>
    </w:p>
    <w:p w:rsidR="008535CF" w:rsidRPr="00CB20C9" w:rsidRDefault="008535CF" w:rsidP="008535CF">
      <w:pPr>
        <w:rPr>
          <w:rFonts w:ascii="Times New Roman" w:hAnsi="Times New Roman"/>
          <w:b/>
          <w:bCs/>
          <w:sz w:val="24"/>
          <w:szCs w:val="24"/>
        </w:rPr>
      </w:pP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t>ROBERT M. MCKENNA</w:t>
      </w:r>
    </w:p>
    <w:p w:rsidR="008535CF" w:rsidRPr="00CB20C9" w:rsidRDefault="008535CF" w:rsidP="008535CF">
      <w:pPr>
        <w:rPr>
          <w:rFonts w:ascii="Times New Roman" w:hAnsi="Times New Roman"/>
          <w:b/>
          <w:bCs/>
          <w:sz w:val="24"/>
          <w:szCs w:val="24"/>
        </w:rPr>
      </w:pP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t xml:space="preserve">Attorney General </w:t>
      </w:r>
    </w:p>
    <w:p w:rsidR="008535CF" w:rsidRPr="00CB20C9" w:rsidRDefault="008535CF" w:rsidP="008535CF">
      <w:pPr>
        <w:rPr>
          <w:rFonts w:ascii="Times New Roman" w:hAnsi="Times New Roman"/>
          <w:b/>
          <w:bCs/>
          <w:sz w:val="24"/>
          <w:szCs w:val="24"/>
        </w:rPr>
      </w:pPr>
    </w:p>
    <w:p w:rsidR="008535CF" w:rsidRDefault="008535CF" w:rsidP="008535CF">
      <w:pPr>
        <w:rPr>
          <w:rFonts w:ascii="Times New Roman" w:hAnsi="Times New Roman"/>
          <w:b/>
          <w:sz w:val="24"/>
          <w:szCs w:val="24"/>
        </w:rPr>
      </w:pP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sidRPr="00CB20C9">
        <w:rPr>
          <w:rFonts w:ascii="Times New Roman" w:hAnsi="Times New Roman"/>
          <w:b/>
          <w:bCs/>
          <w:sz w:val="24"/>
          <w:szCs w:val="24"/>
        </w:rPr>
        <w:tab/>
      </w:r>
      <w:r>
        <w:rPr>
          <w:rFonts w:ascii="Times New Roman" w:hAnsi="Times New Roman"/>
          <w:b/>
          <w:sz w:val="24"/>
          <w:szCs w:val="24"/>
        </w:rPr>
        <w:t>ROBERT D. CEDARBAUM</w:t>
      </w:r>
    </w:p>
    <w:p w:rsidR="008535CF" w:rsidRPr="00CB20C9" w:rsidRDefault="008535CF" w:rsidP="008535CF">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MICHAEL A. FASSIO </w:t>
      </w:r>
    </w:p>
    <w:p w:rsidR="008535CF" w:rsidRPr="00CB20C9" w:rsidRDefault="008535CF" w:rsidP="008535CF">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Assistant Attorney</w:t>
      </w:r>
      <w:r>
        <w:rPr>
          <w:rFonts w:ascii="Times New Roman" w:hAnsi="Times New Roman"/>
          <w:b/>
          <w:sz w:val="24"/>
          <w:szCs w:val="24"/>
        </w:rPr>
        <w:t>s</w:t>
      </w:r>
      <w:r w:rsidRPr="00CB20C9">
        <w:rPr>
          <w:rFonts w:ascii="Times New Roman" w:hAnsi="Times New Roman"/>
          <w:b/>
          <w:sz w:val="24"/>
          <w:szCs w:val="24"/>
        </w:rPr>
        <w:t xml:space="preserve"> General </w:t>
      </w:r>
    </w:p>
    <w:p w:rsidR="008535CF" w:rsidRPr="00CB20C9" w:rsidRDefault="008535CF" w:rsidP="008535CF">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 xml:space="preserve">Office of the Attorney General </w:t>
      </w:r>
    </w:p>
    <w:p w:rsidR="008535CF" w:rsidRPr="00CB20C9" w:rsidRDefault="008535CF" w:rsidP="008535CF">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Utilities &amp; Transportation Division</w:t>
      </w:r>
    </w:p>
    <w:p w:rsidR="008535CF" w:rsidRPr="00CB20C9" w:rsidRDefault="008535CF" w:rsidP="008535CF">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 xml:space="preserve"> </w:t>
      </w:r>
    </w:p>
    <w:p w:rsidR="008535CF" w:rsidRPr="00CB20C9" w:rsidRDefault="008535CF" w:rsidP="008535CF">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 xml:space="preserve">1400 S Evergreen Park Drive SW </w:t>
      </w:r>
    </w:p>
    <w:p w:rsidR="008535CF" w:rsidRPr="00CB20C9" w:rsidRDefault="008535CF" w:rsidP="008535CF">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P.O. Box 40128</w:t>
      </w:r>
    </w:p>
    <w:p w:rsidR="008535CF" w:rsidRPr="00CB20C9" w:rsidRDefault="008535CF" w:rsidP="008535CF">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 xml:space="preserve">Olympia, WA  98504-0128 </w:t>
      </w:r>
    </w:p>
    <w:p w:rsidR="008535CF" w:rsidRDefault="008535CF" w:rsidP="008535CF">
      <w:pPr>
        <w:rPr>
          <w:rFonts w:ascii="Times New Roman" w:hAnsi="Times New Roman"/>
          <w:b/>
          <w:sz w:val="24"/>
          <w:szCs w:val="24"/>
        </w:rPr>
      </w:pP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r>
      <w:r w:rsidRPr="00CB20C9">
        <w:rPr>
          <w:rFonts w:ascii="Times New Roman" w:hAnsi="Times New Roman"/>
          <w:b/>
          <w:sz w:val="24"/>
          <w:szCs w:val="24"/>
        </w:rPr>
        <w:tab/>
        <w:t>(360) 664-</w:t>
      </w:r>
      <w:r>
        <w:rPr>
          <w:rFonts w:ascii="Times New Roman" w:hAnsi="Times New Roman"/>
          <w:b/>
          <w:sz w:val="24"/>
          <w:szCs w:val="24"/>
        </w:rPr>
        <w:t>1188</w:t>
      </w:r>
    </w:p>
    <w:p w:rsidR="007807B1" w:rsidRPr="00BB5FC0" w:rsidRDefault="007807B1" w:rsidP="008535CF">
      <w:pPr>
        <w:rPr>
          <w:rFonts w:ascii="Times New Roman" w:hAnsi="Times New Roman"/>
          <w:sz w:val="24"/>
          <w:szCs w:val="24"/>
        </w:rPr>
      </w:pPr>
    </w:p>
    <w:p w:rsidR="007807B1" w:rsidRPr="00BB5FC0" w:rsidRDefault="007807B1" w:rsidP="008535CF">
      <w:pPr>
        <w:rPr>
          <w:rFonts w:ascii="Times New Roman" w:hAnsi="Times New Roman"/>
          <w:sz w:val="24"/>
          <w:szCs w:val="24"/>
        </w:rPr>
      </w:pPr>
    </w:p>
    <w:p w:rsidR="007807B1" w:rsidRPr="00BB5FC0" w:rsidRDefault="007807B1" w:rsidP="008535CF">
      <w:pPr>
        <w:rPr>
          <w:rFonts w:ascii="Times New Roman" w:hAnsi="Times New Roman"/>
          <w:sz w:val="24"/>
          <w:szCs w:val="24"/>
        </w:rPr>
      </w:pPr>
    </w:p>
    <w:p w:rsidR="00CE74E3" w:rsidRDefault="00CE74E3" w:rsidP="008535CF">
      <w:pPr>
        <w:rPr>
          <w:rFonts w:ascii="Times New Roman" w:hAnsi="Times New Roman"/>
          <w:sz w:val="24"/>
          <w:szCs w:val="24"/>
        </w:rPr>
        <w:sectPr w:rsidR="00CE74E3" w:rsidSect="00AA4FAB">
          <w:footerReference w:type="default" r:id="rId8"/>
          <w:pgSz w:w="12240" w:h="15840"/>
          <w:pgMar w:top="1440" w:right="1440" w:bottom="1440" w:left="1872" w:header="720" w:footer="720" w:gutter="0"/>
          <w:cols w:space="720"/>
          <w:titlePg/>
          <w:docGrid w:linePitch="360"/>
        </w:sectPr>
      </w:pPr>
    </w:p>
    <w:p w:rsidR="007807B1" w:rsidRPr="00CE74E3" w:rsidRDefault="00CE74E3" w:rsidP="00CE74E3">
      <w:pPr>
        <w:jc w:val="center"/>
        <w:rPr>
          <w:rFonts w:ascii="Times New Roman" w:hAnsi="Times New Roman"/>
          <w:b/>
          <w:sz w:val="24"/>
          <w:szCs w:val="24"/>
        </w:rPr>
      </w:pPr>
      <w:r w:rsidRPr="00CE74E3">
        <w:rPr>
          <w:rFonts w:ascii="Times New Roman" w:hAnsi="Times New Roman"/>
          <w:b/>
          <w:sz w:val="24"/>
          <w:szCs w:val="24"/>
        </w:rPr>
        <w:lastRenderedPageBreak/>
        <w:t>TABLE OF CONTENTS</w:t>
      </w:r>
    </w:p>
    <w:p w:rsidR="00CE74E3" w:rsidRDefault="00CE74E3" w:rsidP="008535CF">
      <w:pPr>
        <w:rPr>
          <w:rFonts w:ascii="Times New Roman" w:hAnsi="Times New Roman"/>
          <w:sz w:val="24"/>
          <w:szCs w:val="24"/>
        </w:rPr>
      </w:pPr>
    </w:p>
    <w:p w:rsidR="00CE74E3" w:rsidRDefault="00CE74E3" w:rsidP="008535CF">
      <w:pPr>
        <w:rPr>
          <w:rFonts w:ascii="Times New Roman" w:hAnsi="Times New Roman"/>
          <w:sz w:val="24"/>
          <w:szCs w:val="24"/>
        </w:rPr>
      </w:pPr>
    </w:p>
    <w:p w:rsidR="00CE74E3" w:rsidRPr="00CE74E3" w:rsidRDefault="00CE74E3" w:rsidP="00CE74E3">
      <w:pPr>
        <w:tabs>
          <w:tab w:val="left" w:pos="720"/>
          <w:tab w:val="left" w:pos="1440"/>
          <w:tab w:val="left" w:pos="2160"/>
          <w:tab w:val="left" w:pos="2880"/>
          <w:tab w:val="left" w:pos="3600"/>
          <w:tab w:val="right" w:leader="dot" w:pos="9000"/>
        </w:tabs>
        <w:rPr>
          <w:rFonts w:ascii="Times New Roman" w:hAnsi="Times New Roman"/>
          <w:sz w:val="24"/>
          <w:szCs w:val="24"/>
        </w:rPr>
      </w:pPr>
      <w:r w:rsidRPr="00CE74E3">
        <w:rPr>
          <w:rFonts w:ascii="Times New Roman" w:hAnsi="Times New Roman"/>
          <w:sz w:val="24"/>
          <w:szCs w:val="24"/>
        </w:rPr>
        <w:t xml:space="preserve">I.  </w:t>
      </w:r>
      <w:r w:rsidRPr="00CE74E3">
        <w:rPr>
          <w:rFonts w:ascii="Times New Roman" w:hAnsi="Times New Roman"/>
          <w:sz w:val="24"/>
          <w:szCs w:val="24"/>
        </w:rPr>
        <w:tab/>
        <w:t xml:space="preserve">REPLY TO PUGET SOUND ENERGY, INC. </w:t>
      </w:r>
      <w:r>
        <w:rPr>
          <w:rFonts w:ascii="Times New Roman" w:hAnsi="Times New Roman"/>
          <w:sz w:val="24"/>
          <w:szCs w:val="24"/>
        </w:rPr>
        <w:tab/>
      </w:r>
      <w:r w:rsidR="00AA4FAB">
        <w:rPr>
          <w:rFonts w:ascii="Times New Roman" w:hAnsi="Times New Roman"/>
          <w:sz w:val="24"/>
          <w:szCs w:val="24"/>
        </w:rPr>
        <w:t>1</w:t>
      </w:r>
    </w:p>
    <w:p w:rsidR="00CE74E3" w:rsidRPr="00CE74E3" w:rsidRDefault="00CE74E3" w:rsidP="00CE74E3">
      <w:pPr>
        <w:rPr>
          <w:rFonts w:ascii="Times New Roman" w:hAnsi="Times New Roman"/>
          <w:sz w:val="24"/>
          <w:szCs w:val="24"/>
        </w:rPr>
      </w:pPr>
    </w:p>
    <w:p w:rsidR="00AA4FAB" w:rsidRDefault="00CE74E3" w:rsidP="00AA4FAB">
      <w:pPr>
        <w:ind w:firstLine="720"/>
        <w:rPr>
          <w:rFonts w:ascii="Times New Roman" w:hAnsi="Times New Roman"/>
          <w:sz w:val="24"/>
          <w:szCs w:val="24"/>
        </w:rPr>
      </w:pPr>
      <w:r w:rsidRPr="00CE74E3">
        <w:rPr>
          <w:rFonts w:ascii="Times New Roman" w:hAnsi="Times New Roman"/>
          <w:sz w:val="24"/>
          <w:szCs w:val="24"/>
        </w:rPr>
        <w:t>A.</w:t>
      </w:r>
      <w:r w:rsidRPr="00CE74E3">
        <w:rPr>
          <w:rFonts w:ascii="Times New Roman" w:hAnsi="Times New Roman"/>
          <w:sz w:val="24"/>
          <w:szCs w:val="24"/>
        </w:rPr>
        <w:tab/>
        <w:t xml:space="preserve">The Applicable Legal Standards </w:t>
      </w:r>
      <w:r w:rsidR="00AA4FAB">
        <w:rPr>
          <w:rFonts w:ascii="Times New Roman" w:hAnsi="Times New Roman"/>
          <w:sz w:val="24"/>
          <w:szCs w:val="24"/>
        </w:rPr>
        <w:t xml:space="preserve">Do Not Guarantee Full Cost </w:t>
      </w:r>
    </w:p>
    <w:p w:rsidR="00CE74E3" w:rsidRDefault="00AA4FAB" w:rsidP="00AA4FAB">
      <w:pPr>
        <w:tabs>
          <w:tab w:val="left" w:pos="720"/>
          <w:tab w:val="left" w:pos="1440"/>
          <w:tab w:val="left" w:pos="2160"/>
          <w:tab w:val="left" w:pos="2880"/>
          <w:tab w:val="left" w:pos="3600"/>
          <w:tab w:val="right" w:leader="dot" w:pos="9000"/>
        </w:tabs>
        <w:ind w:firstLine="720"/>
        <w:rPr>
          <w:rFonts w:ascii="Times New Roman" w:hAnsi="Times New Roman"/>
          <w:sz w:val="24"/>
          <w:szCs w:val="24"/>
        </w:rPr>
      </w:pPr>
      <w:r>
        <w:rPr>
          <w:rFonts w:ascii="Times New Roman" w:hAnsi="Times New Roman"/>
          <w:sz w:val="24"/>
          <w:szCs w:val="24"/>
        </w:rPr>
        <w:tab/>
        <w:t xml:space="preserve">Recovery, As Suggested By the Company </w:t>
      </w:r>
      <w:r w:rsidR="00CE74E3">
        <w:rPr>
          <w:rFonts w:ascii="Times New Roman" w:hAnsi="Times New Roman"/>
          <w:sz w:val="24"/>
          <w:szCs w:val="24"/>
        </w:rPr>
        <w:tab/>
      </w:r>
      <w:r>
        <w:rPr>
          <w:rFonts w:ascii="Times New Roman" w:hAnsi="Times New Roman"/>
          <w:sz w:val="24"/>
          <w:szCs w:val="24"/>
        </w:rPr>
        <w:t>1</w:t>
      </w:r>
    </w:p>
    <w:p w:rsidR="00CE74E3" w:rsidRDefault="00CE74E3" w:rsidP="00CE74E3">
      <w:pPr>
        <w:tabs>
          <w:tab w:val="left" w:pos="720"/>
          <w:tab w:val="left" w:pos="1440"/>
          <w:tab w:val="left" w:pos="2160"/>
          <w:tab w:val="left" w:pos="2880"/>
          <w:tab w:val="right" w:leader="dot" w:pos="9000"/>
        </w:tabs>
        <w:rPr>
          <w:rFonts w:ascii="Times New Roman" w:hAnsi="Times New Roman"/>
          <w:sz w:val="24"/>
          <w:szCs w:val="24"/>
        </w:rPr>
      </w:pPr>
    </w:p>
    <w:p w:rsidR="00AA4FAB" w:rsidRDefault="00CE74E3" w:rsidP="00CE74E3">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sidR="00AA4FAB">
        <w:rPr>
          <w:rFonts w:ascii="Times New Roman" w:hAnsi="Times New Roman"/>
          <w:sz w:val="24"/>
          <w:szCs w:val="24"/>
        </w:rPr>
        <w:t xml:space="preserve">The Commission Should Reject the Company’s Proposed </w:t>
      </w:r>
    </w:p>
    <w:p w:rsidR="00AA4FAB" w:rsidRDefault="00AA4FAB" w:rsidP="00CE74E3">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E74E3">
        <w:rPr>
          <w:rFonts w:ascii="Times New Roman" w:hAnsi="Times New Roman"/>
          <w:sz w:val="24"/>
          <w:szCs w:val="24"/>
        </w:rPr>
        <w:t xml:space="preserve">Cost of Capital </w:t>
      </w:r>
      <w:r w:rsidR="00CE74E3">
        <w:rPr>
          <w:rFonts w:ascii="Times New Roman" w:hAnsi="Times New Roman"/>
          <w:sz w:val="24"/>
          <w:szCs w:val="24"/>
        </w:rPr>
        <w:tab/>
      </w:r>
      <w:r>
        <w:rPr>
          <w:rFonts w:ascii="Times New Roman" w:hAnsi="Times New Roman"/>
          <w:sz w:val="24"/>
          <w:szCs w:val="24"/>
        </w:rPr>
        <w:t>3</w:t>
      </w:r>
    </w:p>
    <w:p w:rsidR="00CE74E3" w:rsidRDefault="00CE74E3" w:rsidP="00CE74E3">
      <w:pPr>
        <w:tabs>
          <w:tab w:val="left" w:pos="720"/>
          <w:tab w:val="left" w:pos="1440"/>
          <w:tab w:val="left" w:pos="2160"/>
          <w:tab w:val="left" w:pos="2880"/>
          <w:tab w:val="right" w:leader="dot" w:pos="9000"/>
        </w:tabs>
        <w:rPr>
          <w:rFonts w:ascii="Times New Roman" w:hAnsi="Times New Roman"/>
          <w:sz w:val="24"/>
          <w:szCs w:val="24"/>
        </w:rPr>
      </w:pPr>
    </w:p>
    <w:p w:rsidR="00CE74E3" w:rsidRDefault="00CE74E3" w:rsidP="00CE74E3">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Capital Structure </w:t>
      </w:r>
      <w:r>
        <w:rPr>
          <w:rFonts w:ascii="Times New Roman" w:hAnsi="Times New Roman"/>
          <w:sz w:val="24"/>
          <w:szCs w:val="24"/>
        </w:rPr>
        <w:tab/>
      </w:r>
      <w:r w:rsidR="00AA4FAB">
        <w:rPr>
          <w:rFonts w:ascii="Times New Roman" w:hAnsi="Times New Roman"/>
          <w:sz w:val="24"/>
          <w:szCs w:val="24"/>
        </w:rPr>
        <w:t>3</w:t>
      </w:r>
    </w:p>
    <w:p w:rsidR="00CE74E3" w:rsidRDefault="00CE74E3" w:rsidP="00CE74E3">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 xml:space="preserve">Cost of Equity </w:t>
      </w:r>
      <w:r>
        <w:rPr>
          <w:rFonts w:ascii="Times New Roman" w:hAnsi="Times New Roman"/>
          <w:sz w:val="24"/>
          <w:szCs w:val="24"/>
        </w:rPr>
        <w:tab/>
      </w:r>
      <w:r w:rsidR="00AA4FAB">
        <w:rPr>
          <w:rFonts w:ascii="Times New Roman" w:hAnsi="Times New Roman"/>
          <w:sz w:val="24"/>
          <w:szCs w:val="24"/>
        </w:rPr>
        <w:t>4</w:t>
      </w:r>
    </w:p>
    <w:p w:rsidR="00CE74E3" w:rsidRDefault="00CE74E3" w:rsidP="00CE74E3">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87F38">
        <w:rPr>
          <w:rFonts w:ascii="Times New Roman" w:hAnsi="Times New Roman"/>
          <w:sz w:val="24"/>
          <w:szCs w:val="24"/>
        </w:rPr>
        <w:t>3.</w:t>
      </w:r>
      <w:r w:rsidR="00687F38">
        <w:rPr>
          <w:rFonts w:ascii="Times New Roman" w:hAnsi="Times New Roman"/>
          <w:sz w:val="24"/>
          <w:szCs w:val="24"/>
        </w:rPr>
        <w:tab/>
        <w:t>Cost of Long-</w:t>
      </w:r>
      <w:r>
        <w:rPr>
          <w:rFonts w:ascii="Times New Roman" w:hAnsi="Times New Roman"/>
          <w:sz w:val="24"/>
          <w:szCs w:val="24"/>
        </w:rPr>
        <w:t xml:space="preserve">Term Debt </w:t>
      </w:r>
      <w:r>
        <w:rPr>
          <w:rFonts w:ascii="Times New Roman" w:hAnsi="Times New Roman"/>
          <w:sz w:val="24"/>
          <w:szCs w:val="24"/>
        </w:rPr>
        <w:tab/>
      </w:r>
      <w:r w:rsidR="00093C99">
        <w:rPr>
          <w:rFonts w:ascii="Times New Roman" w:hAnsi="Times New Roman"/>
          <w:sz w:val="24"/>
          <w:szCs w:val="24"/>
        </w:rPr>
        <w:t>6</w:t>
      </w:r>
    </w:p>
    <w:p w:rsidR="00AA4FAB" w:rsidRDefault="00AA4FAB" w:rsidP="00CE74E3">
      <w:pPr>
        <w:tabs>
          <w:tab w:val="left" w:pos="720"/>
          <w:tab w:val="left" w:pos="1440"/>
          <w:tab w:val="left" w:pos="2160"/>
          <w:tab w:val="left" w:pos="2880"/>
          <w:tab w:val="right" w:leader="dot" w:pos="9000"/>
        </w:tabs>
        <w:rPr>
          <w:rFonts w:ascii="Times New Roman" w:hAnsi="Times New Roman"/>
          <w:sz w:val="24"/>
          <w:szCs w:val="24"/>
        </w:rPr>
      </w:pPr>
    </w:p>
    <w:p w:rsidR="00AA4FAB" w:rsidRDefault="00AA4FAB" w:rsidP="00CE74E3">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The Commission Should Reject the Company’s Position on Contested </w:t>
      </w:r>
    </w:p>
    <w:p w:rsidR="00AA4FAB" w:rsidRDefault="00AA4FAB" w:rsidP="00CE74E3">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ab/>
        <w:t xml:space="preserve">Ratemaking Adjustments </w:t>
      </w:r>
      <w:r>
        <w:rPr>
          <w:rFonts w:ascii="Times New Roman" w:hAnsi="Times New Roman"/>
          <w:sz w:val="24"/>
          <w:szCs w:val="24"/>
        </w:rPr>
        <w:tab/>
        <w:t>6</w:t>
      </w:r>
    </w:p>
    <w:p w:rsidR="00AA4FAB" w:rsidRDefault="00AA4FAB" w:rsidP="00CE74E3">
      <w:pPr>
        <w:tabs>
          <w:tab w:val="left" w:pos="720"/>
          <w:tab w:val="left" w:pos="1440"/>
          <w:tab w:val="left" w:pos="2160"/>
          <w:tab w:val="left" w:pos="2880"/>
          <w:tab w:val="right" w:leader="dot" w:pos="9000"/>
        </w:tabs>
        <w:rPr>
          <w:rFonts w:ascii="Times New Roman" w:hAnsi="Times New Roman"/>
          <w:sz w:val="24"/>
          <w:szCs w:val="24"/>
        </w:rPr>
      </w:pPr>
    </w:p>
    <w:p w:rsidR="00AA4FAB" w:rsidRDefault="00AA4FAB" w:rsidP="00CE74E3">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 xml:space="preserve">Major Maintenance </w:t>
      </w:r>
      <w:r>
        <w:rPr>
          <w:rFonts w:ascii="Times New Roman" w:hAnsi="Times New Roman"/>
          <w:sz w:val="24"/>
          <w:szCs w:val="24"/>
        </w:rPr>
        <w:tab/>
        <w:t>6</w:t>
      </w:r>
    </w:p>
    <w:p w:rsidR="00AA4FAB" w:rsidRDefault="00AA4FAB" w:rsidP="00CE74E3">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 xml:space="preserve">Contested Ratemaking Adjustments </w:t>
      </w:r>
      <w:r>
        <w:rPr>
          <w:rFonts w:ascii="Times New Roman" w:hAnsi="Times New Roman"/>
          <w:sz w:val="24"/>
          <w:szCs w:val="24"/>
        </w:rPr>
        <w:tab/>
        <w:t>7</w:t>
      </w:r>
    </w:p>
    <w:p w:rsidR="00AA4FAB" w:rsidRDefault="00AA4FAB" w:rsidP="00CE74E3">
      <w:pPr>
        <w:tabs>
          <w:tab w:val="left" w:pos="720"/>
          <w:tab w:val="left" w:pos="1440"/>
          <w:tab w:val="left" w:pos="2160"/>
          <w:tab w:val="left" w:pos="2880"/>
          <w:tab w:val="right" w:leader="dot" w:pos="9000"/>
        </w:tabs>
        <w:rPr>
          <w:rFonts w:ascii="Times New Roman" w:hAnsi="Times New Roman"/>
          <w:sz w:val="24"/>
          <w:szCs w:val="24"/>
        </w:rPr>
      </w:pPr>
    </w:p>
    <w:p w:rsidR="00AA4FAB" w:rsidRDefault="00AA4FAB" w:rsidP="00CE74E3">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The Commission Should Not Approve the Low-Income Proposal </w:t>
      </w:r>
    </w:p>
    <w:p w:rsidR="00AA4FAB" w:rsidRPr="00CE74E3" w:rsidRDefault="00340992" w:rsidP="00AA4FAB">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ab/>
        <w:t>At T</w:t>
      </w:r>
      <w:r w:rsidR="00AA4FAB">
        <w:rPr>
          <w:rFonts w:ascii="Times New Roman" w:hAnsi="Times New Roman"/>
          <w:sz w:val="24"/>
          <w:szCs w:val="24"/>
        </w:rPr>
        <w:t xml:space="preserve">his Time </w:t>
      </w:r>
      <w:r w:rsidR="00AA4FAB">
        <w:rPr>
          <w:rFonts w:ascii="Times New Roman" w:hAnsi="Times New Roman"/>
          <w:sz w:val="24"/>
          <w:szCs w:val="24"/>
        </w:rPr>
        <w:tab/>
        <w:t>9</w:t>
      </w:r>
    </w:p>
    <w:p w:rsidR="00CE74E3" w:rsidRPr="00CE74E3" w:rsidRDefault="00CE74E3" w:rsidP="00CE74E3">
      <w:pPr>
        <w:rPr>
          <w:rFonts w:ascii="Times New Roman" w:hAnsi="Times New Roman"/>
          <w:sz w:val="24"/>
          <w:szCs w:val="24"/>
        </w:rPr>
      </w:pPr>
    </w:p>
    <w:p w:rsidR="00CE74E3" w:rsidRDefault="00687F38" w:rsidP="00687F38">
      <w:pPr>
        <w:tabs>
          <w:tab w:val="left" w:pos="720"/>
          <w:tab w:val="left" w:pos="1440"/>
          <w:tab w:val="left" w:pos="2160"/>
          <w:tab w:val="left" w:pos="2880"/>
          <w:tab w:val="left" w:pos="3600"/>
          <w:tab w:val="right" w:leader="dot" w:pos="9000"/>
        </w:tabs>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xml:space="preserve">REPLY TO PUBLIC COUNSEL </w:t>
      </w:r>
      <w:r>
        <w:rPr>
          <w:rFonts w:ascii="Times New Roman" w:hAnsi="Times New Roman"/>
          <w:sz w:val="24"/>
          <w:szCs w:val="24"/>
        </w:rPr>
        <w:tab/>
      </w:r>
      <w:r w:rsidR="00AA4FAB">
        <w:rPr>
          <w:rFonts w:ascii="Times New Roman" w:hAnsi="Times New Roman"/>
          <w:sz w:val="24"/>
          <w:szCs w:val="24"/>
        </w:rPr>
        <w:t>9</w:t>
      </w:r>
    </w:p>
    <w:p w:rsidR="00687F38" w:rsidRDefault="00687F38" w:rsidP="00687F38">
      <w:pPr>
        <w:tabs>
          <w:tab w:val="left" w:pos="720"/>
          <w:tab w:val="left" w:pos="1440"/>
          <w:tab w:val="left" w:pos="2160"/>
          <w:tab w:val="left" w:pos="2880"/>
          <w:tab w:val="left" w:pos="3600"/>
          <w:tab w:val="right" w:leader="dot" w:pos="9000"/>
        </w:tabs>
        <w:rPr>
          <w:rFonts w:ascii="Times New Roman" w:hAnsi="Times New Roman"/>
          <w:sz w:val="24"/>
          <w:szCs w:val="24"/>
        </w:rPr>
      </w:pPr>
    </w:p>
    <w:p w:rsidR="00AA4FAB" w:rsidRDefault="00F81AA9" w:rsidP="00687F38">
      <w:pPr>
        <w:tabs>
          <w:tab w:val="left" w:pos="720"/>
          <w:tab w:val="left" w:pos="1440"/>
          <w:tab w:val="left" w:pos="2160"/>
          <w:tab w:val="left" w:pos="2880"/>
          <w:tab w:val="left" w:pos="3600"/>
          <w:tab w:val="right" w:leader="dot" w:pos="9000"/>
        </w:tabs>
        <w:rPr>
          <w:rFonts w:ascii="Times New Roman" w:hAnsi="Times New Roman"/>
          <w:sz w:val="24"/>
          <w:szCs w:val="24"/>
        </w:rPr>
      </w:pPr>
      <w:r w:rsidRPr="00F81AA9">
        <w:rPr>
          <w:rFonts w:ascii="Times New Roman" w:hAnsi="Times New Roman"/>
          <w:sz w:val="24"/>
          <w:szCs w:val="24"/>
        </w:rPr>
        <w:tab/>
        <w:t>A.</w:t>
      </w:r>
      <w:r w:rsidRPr="00F81AA9">
        <w:rPr>
          <w:rFonts w:ascii="Times New Roman" w:hAnsi="Times New Roman"/>
          <w:sz w:val="24"/>
          <w:szCs w:val="24"/>
        </w:rPr>
        <w:tab/>
      </w:r>
      <w:r w:rsidR="00AA4FAB">
        <w:rPr>
          <w:rFonts w:ascii="Times New Roman" w:hAnsi="Times New Roman"/>
          <w:sz w:val="24"/>
          <w:szCs w:val="24"/>
        </w:rPr>
        <w:t xml:space="preserve">Public Counsel Does Not Undermine the Company’s Demonstration </w:t>
      </w:r>
    </w:p>
    <w:p w:rsidR="00AA4FAB" w:rsidRDefault="00AA4FAB" w:rsidP="00687F38">
      <w:pPr>
        <w:tabs>
          <w:tab w:val="left" w:pos="720"/>
          <w:tab w:val="left" w:pos="1440"/>
          <w:tab w:val="left" w:pos="2160"/>
          <w:tab w:val="left" w:pos="2880"/>
          <w:tab w:val="left" w:pos="3600"/>
          <w:tab w:val="right" w:leader="dot" w:pos="900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Of </w:t>
      </w:r>
      <w:r w:rsidR="00093C99">
        <w:rPr>
          <w:rFonts w:ascii="Times New Roman" w:hAnsi="Times New Roman"/>
          <w:sz w:val="24"/>
          <w:szCs w:val="24"/>
        </w:rPr>
        <w:t xml:space="preserve">Mint Farm Prudence </w:t>
      </w:r>
      <w:r w:rsidR="00093C99">
        <w:rPr>
          <w:rFonts w:ascii="Times New Roman" w:hAnsi="Times New Roman"/>
          <w:sz w:val="24"/>
          <w:szCs w:val="24"/>
        </w:rPr>
        <w:tab/>
        <w:t>10</w:t>
      </w:r>
    </w:p>
    <w:p w:rsidR="00AA4FAB" w:rsidRDefault="00AA4FAB" w:rsidP="00687F38">
      <w:pPr>
        <w:tabs>
          <w:tab w:val="left" w:pos="720"/>
          <w:tab w:val="left" w:pos="1440"/>
          <w:tab w:val="left" w:pos="2160"/>
          <w:tab w:val="left" w:pos="2880"/>
          <w:tab w:val="left" w:pos="3600"/>
          <w:tab w:val="right" w:leader="dot" w:pos="9000"/>
        </w:tabs>
        <w:rPr>
          <w:rFonts w:ascii="Times New Roman" w:hAnsi="Times New Roman"/>
          <w:sz w:val="24"/>
          <w:szCs w:val="24"/>
        </w:rPr>
      </w:pPr>
    </w:p>
    <w:p w:rsidR="00F81AA9" w:rsidRPr="00F81AA9" w:rsidRDefault="00AA4FAB" w:rsidP="00687F38">
      <w:pPr>
        <w:tabs>
          <w:tab w:val="left" w:pos="720"/>
          <w:tab w:val="left" w:pos="1440"/>
          <w:tab w:val="left" w:pos="2160"/>
          <w:tab w:val="left" w:pos="2880"/>
          <w:tab w:val="left" w:pos="3600"/>
          <w:tab w:val="right" w:leader="dot" w:pos="9000"/>
        </w:tabs>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sidR="00F81AA9" w:rsidRPr="00F81AA9">
        <w:rPr>
          <w:rFonts w:ascii="Times New Roman" w:hAnsi="Times New Roman"/>
          <w:sz w:val="24"/>
          <w:szCs w:val="24"/>
        </w:rPr>
        <w:t xml:space="preserve">Public Counsel Misconstrues and Misapplies the Statutory </w:t>
      </w:r>
    </w:p>
    <w:p w:rsidR="00687F38" w:rsidRPr="00F81AA9" w:rsidRDefault="00F81AA9" w:rsidP="00F81AA9">
      <w:pPr>
        <w:tabs>
          <w:tab w:val="left" w:pos="720"/>
          <w:tab w:val="left" w:pos="1440"/>
          <w:tab w:val="left" w:pos="2160"/>
          <w:tab w:val="left" w:pos="2880"/>
          <w:tab w:val="left" w:pos="3600"/>
          <w:tab w:val="right" w:leader="dot" w:pos="9000"/>
        </w:tabs>
        <w:rPr>
          <w:rFonts w:ascii="Times New Roman" w:hAnsi="Times New Roman"/>
          <w:sz w:val="24"/>
          <w:szCs w:val="24"/>
        </w:rPr>
      </w:pPr>
      <w:r w:rsidRPr="00F81AA9">
        <w:rPr>
          <w:rFonts w:ascii="Times New Roman" w:hAnsi="Times New Roman"/>
          <w:sz w:val="24"/>
          <w:szCs w:val="24"/>
        </w:rPr>
        <w:tab/>
      </w:r>
      <w:r w:rsidRPr="00F81AA9">
        <w:rPr>
          <w:rFonts w:ascii="Times New Roman" w:hAnsi="Times New Roman"/>
          <w:sz w:val="24"/>
          <w:szCs w:val="24"/>
        </w:rPr>
        <w:tab/>
        <w:t xml:space="preserve">Requirements for Deferred Accounting </w:t>
      </w:r>
      <w:r w:rsidRPr="00F81AA9">
        <w:rPr>
          <w:rFonts w:ascii="Times New Roman" w:hAnsi="Times New Roman"/>
          <w:sz w:val="24"/>
          <w:szCs w:val="24"/>
        </w:rPr>
        <w:tab/>
      </w:r>
      <w:r w:rsidR="00AA4FAB">
        <w:rPr>
          <w:rFonts w:ascii="Times New Roman" w:hAnsi="Times New Roman"/>
          <w:sz w:val="24"/>
          <w:szCs w:val="24"/>
        </w:rPr>
        <w:t>11</w:t>
      </w:r>
    </w:p>
    <w:p w:rsidR="00CE74E3" w:rsidRPr="00CE74E3" w:rsidRDefault="00CE74E3" w:rsidP="00CE74E3">
      <w:pPr>
        <w:rPr>
          <w:rFonts w:ascii="Times New Roman" w:hAnsi="Times New Roman"/>
          <w:sz w:val="24"/>
          <w:szCs w:val="24"/>
        </w:rPr>
      </w:pPr>
    </w:p>
    <w:p w:rsidR="00CE74E3" w:rsidRDefault="00CE74E3" w:rsidP="00CE74E3">
      <w:pPr>
        <w:rPr>
          <w:rFonts w:ascii="Times New Roman" w:hAnsi="Times New Roman"/>
          <w:sz w:val="24"/>
          <w:szCs w:val="24"/>
        </w:rPr>
      </w:pPr>
    </w:p>
    <w:p w:rsidR="00175C71" w:rsidRDefault="00175C71" w:rsidP="00CE74E3">
      <w:pPr>
        <w:rPr>
          <w:rFonts w:ascii="Times New Roman" w:hAnsi="Times New Roman"/>
          <w:sz w:val="24"/>
          <w:szCs w:val="24"/>
        </w:rPr>
      </w:pPr>
    </w:p>
    <w:p w:rsidR="00175C71" w:rsidRDefault="00175C71">
      <w:pPr>
        <w:spacing w:after="200" w:line="276" w:lineRule="auto"/>
        <w:rPr>
          <w:rFonts w:ascii="Times New Roman" w:hAnsi="Times New Roman"/>
          <w:sz w:val="24"/>
          <w:szCs w:val="24"/>
        </w:rPr>
      </w:pPr>
      <w:r>
        <w:rPr>
          <w:rFonts w:ascii="Times New Roman" w:hAnsi="Times New Roman"/>
          <w:sz w:val="24"/>
          <w:szCs w:val="24"/>
        </w:rPr>
        <w:br w:type="page"/>
      </w:r>
    </w:p>
    <w:p w:rsidR="00175C71" w:rsidRPr="00175C71" w:rsidRDefault="00175C71" w:rsidP="00175C71">
      <w:pPr>
        <w:jc w:val="center"/>
        <w:rPr>
          <w:rFonts w:ascii="Times New Roman" w:hAnsi="Times New Roman"/>
          <w:b/>
          <w:sz w:val="24"/>
          <w:szCs w:val="24"/>
        </w:rPr>
      </w:pPr>
      <w:r w:rsidRPr="00175C71">
        <w:rPr>
          <w:rFonts w:ascii="Times New Roman" w:hAnsi="Times New Roman"/>
          <w:b/>
          <w:sz w:val="24"/>
          <w:szCs w:val="24"/>
        </w:rPr>
        <w:lastRenderedPageBreak/>
        <w:t>TABLE OF AUTHORITIES</w:t>
      </w:r>
    </w:p>
    <w:p w:rsidR="00175C71" w:rsidRDefault="00175C71" w:rsidP="00175C71">
      <w:pPr>
        <w:rPr>
          <w:rFonts w:ascii="Times New Roman" w:hAnsi="Times New Roman"/>
          <w:sz w:val="24"/>
          <w:szCs w:val="24"/>
        </w:rPr>
      </w:pPr>
    </w:p>
    <w:p w:rsidR="00175C71" w:rsidRPr="00175C71" w:rsidRDefault="00175C71" w:rsidP="00175C71">
      <w:pPr>
        <w:tabs>
          <w:tab w:val="left" w:pos="720"/>
          <w:tab w:val="left" w:pos="1440"/>
          <w:tab w:val="left" w:pos="2160"/>
          <w:tab w:val="left" w:pos="2880"/>
          <w:tab w:val="left" w:pos="3600"/>
          <w:tab w:val="right" w:leader="dot" w:pos="9000"/>
        </w:tabs>
        <w:jc w:val="center"/>
        <w:rPr>
          <w:rFonts w:ascii="Times New Roman" w:hAnsi="Times New Roman"/>
          <w:b/>
          <w:i/>
          <w:sz w:val="24"/>
          <w:szCs w:val="24"/>
        </w:rPr>
      </w:pPr>
      <w:r w:rsidRPr="00175C71">
        <w:rPr>
          <w:rFonts w:ascii="Times New Roman" w:hAnsi="Times New Roman"/>
          <w:b/>
          <w:i/>
          <w:sz w:val="24"/>
          <w:szCs w:val="24"/>
        </w:rPr>
        <w:t>Cases</w:t>
      </w:r>
    </w:p>
    <w:p w:rsidR="00175C71" w:rsidRDefault="00175C71" w:rsidP="00175C71">
      <w:pPr>
        <w:tabs>
          <w:tab w:val="left" w:pos="720"/>
          <w:tab w:val="left" w:pos="1440"/>
          <w:tab w:val="left" w:pos="2160"/>
          <w:tab w:val="left" w:pos="2880"/>
          <w:tab w:val="left" w:pos="3600"/>
          <w:tab w:val="right" w:leader="dot" w:pos="9000"/>
        </w:tabs>
        <w:rPr>
          <w:rFonts w:ascii="Times New Roman" w:hAnsi="Times New Roman"/>
          <w:i/>
          <w:sz w:val="24"/>
          <w:szCs w:val="24"/>
        </w:rPr>
      </w:pPr>
    </w:p>
    <w:p w:rsidR="00175C71" w:rsidRDefault="00175C71" w:rsidP="00175C71">
      <w:pPr>
        <w:tabs>
          <w:tab w:val="left" w:pos="720"/>
          <w:tab w:val="left" w:pos="1440"/>
          <w:tab w:val="left" w:pos="2160"/>
          <w:tab w:val="left" w:pos="2880"/>
          <w:tab w:val="left" w:pos="3600"/>
          <w:tab w:val="right" w:leader="dot" w:pos="9000"/>
        </w:tabs>
        <w:rPr>
          <w:rFonts w:ascii="Times New Roman" w:hAnsi="Times New Roman"/>
          <w:sz w:val="24"/>
          <w:szCs w:val="24"/>
        </w:rPr>
      </w:pPr>
      <w:r>
        <w:rPr>
          <w:rFonts w:ascii="Times New Roman" w:hAnsi="Times New Roman"/>
          <w:i/>
          <w:sz w:val="24"/>
          <w:szCs w:val="24"/>
        </w:rPr>
        <w:t xml:space="preserve">Bluefield Water Works Improvement Co. v. Public Serv. Comm’n of West Virginia, </w:t>
      </w:r>
    </w:p>
    <w:p w:rsidR="00175C71" w:rsidRDefault="00175C71" w:rsidP="00175C71">
      <w:pPr>
        <w:tabs>
          <w:tab w:val="left" w:pos="720"/>
          <w:tab w:val="left" w:pos="1440"/>
          <w:tab w:val="left" w:pos="2160"/>
          <w:tab w:val="right" w:leader="dot" w:pos="9000"/>
        </w:tabs>
        <w:rPr>
          <w:rFonts w:ascii="Times New Roman" w:hAnsi="Times New Roman"/>
          <w:sz w:val="24"/>
          <w:szCs w:val="24"/>
        </w:rPr>
      </w:pPr>
      <w:r>
        <w:rPr>
          <w:rFonts w:ascii="Times New Roman" w:hAnsi="Times New Roman"/>
          <w:sz w:val="24"/>
          <w:szCs w:val="24"/>
        </w:rPr>
        <w:tab/>
        <w:t xml:space="preserve">262 U.S. 679 (1923) </w:t>
      </w:r>
      <w:r>
        <w:rPr>
          <w:rFonts w:ascii="Times New Roman" w:hAnsi="Times New Roman"/>
          <w:sz w:val="24"/>
          <w:szCs w:val="24"/>
        </w:rPr>
        <w:tab/>
        <w:t>1</w:t>
      </w:r>
    </w:p>
    <w:p w:rsidR="00175C71" w:rsidRPr="00175C71" w:rsidRDefault="00175C71" w:rsidP="00175C71">
      <w:pPr>
        <w:tabs>
          <w:tab w:val="left" w:pos="720"/>
          <w:tab w:val="left" w:pos="1440"/>
          <w:tab w:val="left" w:pos="2160"/>
          <w:tab w:val="right" w:leader="dot" w:pos="9000"/>
        </w:tabs>
        <w:rPr>
          <w:rFonts w:ascii="Times New Roman" w:hAnsi="Times New Roman"/>
          <w:sz w:val="24"/>
          <w:szCs w:val="24"/>
        </w:rPr>
      </w:pPr>
    </w:p>
    <w:p w:rsidR="00175C71" w:rsidRDefault="00175C71" w:rsidP="00175C71">
      <w:pPr>
        <w:tabs>
          <w:tab w:val="left" w:pos="720"/>
          <w:tab w:val="left" w:pos="1440"/>
          <w:tab w:val="left" w:pos="2160"/>
          <w:tab w:val="left" w:pos="2880"/>
          <w:tab w:val="left" w:pos="3600"/>
          <w:tab w:val="right" w:leader="dot" w:pos="9000"/>
        </w:tabs>
        <w:rPr>
          <w:rFonts w:ascii="Times New Roman" w:hAnsi="Times New Roman"/>
          <w:i/>
          <w:sz w:val="24"/>
          <w:szCs w:val="24"/>
        </w:rPr>
      </w:pPr>
      <w:r>
        <w:rPr>
          <w:rFonts w:ascii="Times New Roman" w:hAnsi="Times New Roman"/>
          <w:i/>
          <w:sz w:val="24"/>
          <w:szCs w:val="24"/>
        </w:rPr>
        <w:t xml:space="preserve">Federal Power Comm’n v. Hope Natural Gas Co., </w:t>
      </w:r>
    </w:p>
    <w:p w:rsidR="00175C71" w:rsidRDefault="00175C71" w:rsidP="00175C71">
      <w:pPr>
        <w:tabs>
          <w:tab w:val="left" w:pos="720"/>
          <w:tab w:val="left" w:pos="1440"/>
          <w:tab w:val="left" w:pos="2160"/>
          <w:tab w:val="right" w:leader="dot" w:pos="9000"/>
        </w:tabs>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320 U.S. 591 (1944) </w:t>
      </w:r>
      <w:r>
        <w:rPr>
          <w:rFonts w:ascii="Times New Roman" w:hAnsi="Times New Roman"/>
          <w:sz w:val="24"/>
          <w:szCs w:val="24"/>
        </w:rPr>
        <w:tab/>
        <w:t>1</w:t>
      </w:r>
    </w:p>
    <w:p w:rsidR="00175C71" w:rsidRPr="00175C71" w:rsidRDefault="00175C71" w:rsidP="00175C71">
      <w:pPr>
        <w:tabs>
          <w:tab w:val="left" w:pos="720"/>
          <w:tab w:val="left" w:pos="1440"/>
          <w:tab w:val="left" w:pos="2160"/>
          <w:tab w:val="right" w:leader="dot" w:pos="9000"/>
        </w:tabs>
        <w:rPr>
          <w:rFonts w:ascii="Times New Roman" w:hAnsi="Times New Roman"/>
          <w:sz w:val="24"/>
          <w:szCs w:val="24"/>
        </w:rPr>
      </w:pPr>
    </w:p>
    <w:p w:rsidR="00175C71" w:rsidRDefault="00175C71" w:rsidP="00175C71">
      <w:pPr>
        <w:tabs>
          <w:tab w:val="left" w:pos="720"/>
          <w:tab w:val="left" w:pos="1440"/>
          <w:tab w:val="left" w:pos="2160"/>
          <w:tab w:val="left" w:pos="2880"/>
          <w:tab w:val="left" w:pos="3600"/>
          <w:tab w:val="right" w:leader="dot" w:pos="9000"/>
        </w:tabs>
        <w:rPr>
          <w:rFonts w:ascii="Times New Roman" w:hAnsi="Times New Roman"/>
          <w:i/>
          <w:sz w:val="24"/>
          <w:szCs w:val="24"/>
        </w:rPr>
      </w:pPr>
      <w:r>
        <w:rPr>
          <w:rFonts w:ascii="Times New Roman" w:hAnsi="Times New Roman"/>
          <w:i/>
          <w:sz w:val="24"/>
          <w:szCs w:val="24"/>
        </w:rPr>
        <w:t xml:space="preserve">People’s Org. for Wash. Energy Res. V. Wash. Utils &amp; Transp. Comm’n, </w:t>
      </w:r>
    </w:p>
    <w:p w:rsidR="00175C71" w:rsidRDefault="00175C71" w:rsidP="00175C71">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104 Wn.2d 798 (1985) </w:t>
      </w:r>
      <w:r>
        <w:rPr>
          <w:rFonts w:ascii="Times New Roman" w:hAnsi="Times New Roman"/>
          <w:sz w:val="24"/>
          <w:szCs w:val="24"/>
        </w:rPr>
        <w:tab/>
        <w:t>1</w:t>
      </w:r>
    </w:p>
    <w:p w:rsidR="00175C71" w:rsidRDefault="00175C71" w:rsidP="00175C71">
      <w:pPr>
        <w:tabs>
          <w:tab w:val="left" w:pos="720"/>
          <w:tab w:val="left" w:pos="1440"/>
          <w:tab w:val="left" w:pos="2160"/>
          <w:tab w:val="left" w:pos="2880"/>
          <w:tab w:val="right" w:leader="dot" w:pos="9000"/>
        </w:tabs>
        <w:rPr>
          <w:rFonts w:ascii="Times New Roman" w:hAnsi="Times New Roman"/>
          <w:sz w:val="24"/>
          <w:szCs w:val="24"/>
        </w:rPr>
      </w:pPr>
    </w:p>
    <w:p w:rsidR="00175C71" w:rsidRDefault="00175C71" w:rsidP="00175C71">
      <w:pPr>
        <w:tabs>
          <w:tab w:val="left" w:pos="720"/>
          <w:tab w:val="left" w:pos="1440"/>
          <w:tab w:val="left" w:pos="2160"/>
          <w:tab w:val="left" w:pos="2880"/>
          <w:tab w:val="right" w:leader="dot" w:pos="9000"/>
        </w:tabs>
        <w:jc w:val="center"/>
        <w:rPr>
          <w:rFonts w:ascii="Times New Roman" w:hAnsi="Times New Roman"/>
          <w:sz w:val="24"/>
          <w:szCs w:val="24"/>
        </w:rPr>
      </w:pPr>
      <w:r>
        <w:rPr>
          <w:rFonts w:ascii="Times New Roman" w:hAnsi="Times New Roman"/>
          <w:b/>
          <w:i/>
          <w:sz w:val="24"/>
          <w:szCs w:val="24"/>
        </w:rPr>
        <w:t>Administrative Authorities</w:t>
      </w:r>
    </w:p>
    <w:p w:rsidR="00175C71" w:rsidRDefault="00175C71" w:rsidP="00175C71">
      <w:pPr>
        <w:tabs>
          <w:tab w:val="left" w:pos="720"/>
          <w:tab w:val="left" w:pos="1440"/>
          <w:tab w:val="left" w:pos="2160"/>
          <w:tab w:val="left" w:pos="2880"/>
          <w:tab w:val="right" w:leader="dot" w:pos="9000"/>
        </w:tabs>
        <w:rPr>
          <w:rFonts w:ascii="Times New Roman" w:hAnsi="Times New Roman"/>
          <w:sz w:val="24"/>
          <w:szCs w:val="24"/>
        </w:rPr>
      </w:pPr>
    </w:p>
    <w:p w:rsidR="00175C71" w:rsidRDefault="00175C71" w:rsidP="00175C71">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i/>
          <w:sz w:val="24"/>
          <w:szCs w:val="24"/>
        </w:rPr>
        <w:t xml:space="preserve">WUTC v. Avista Corporation, d/b/a Avista Utilities, </w:t>
      </w:r>
    </w:p>
    <w:p w:rsidR="00175C71" w:rsidRDefault="00175C71" w:rsidP="00175C71">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ab/>
        <w:t xml:space="preserve">Dockets UE-090134 and UG-090135, Order 10 (December 22, 2009) </w:t>
      </w:r>
      <w:r>
        <w:rPr>
          <w:rFonts w:ascii="Times New Roman" w:hAnsi="Times New Roman"/>
          <w:sz w:val="24"/>
          <w:szCs w:val="24"/>
        </w:rPr>
        <w:tab/>
        <w:t>2</w:t>
      </w:r>
      <w:r w:rsidR="00961098">
        <w:rPr>
          <w:rFonts w:ascii="Times New Roman" w:hAnsi="Times New Roman"/>
          <w:sz w:val="24"/>
          <w:szCs w:val="24"/>
        </w:rPr>
        <w:t>, 5</w:t>
      </w:r>
      <w:r w:rsidR="004306D9">
        <w:rPr>
          <w:rFonts w:ascii="Times New Roman" w:hAnsi="Times New Roman"/>
          <w:sz w:val="24"/>
          <w:szCs w:val="24"/>
        </w:rPr>
        <w:t>,</w:t>
      </w:r>
      <w:r w:rsidR="00411E91">
        <w:rPr>
          <w:rFonts w:ascii="Times New Roman" w:hAnsi="Times New Roman"/>
          <w:sz w:val="24"/>
          <w:szCs w:val="24"/>
        </w:rPr>
        <w:t xml:space="preserve"> 8</w:t>
      </w:r>
    </w:p>
    <w:p w:rsidR="005F3B9E" w:rsidRDefault="005F3B9E" w:rsidP="00175C71">
      <w:pPr>
        <w:tabs>
          <w:tab w:val="left" w:pos="720"/>
          <w:tab w:val="left" w:pos="1440"/>
          <w:tab w:val="left" w:pos="2160"/>
          <w:tab w:val="left" w:pos="2880"/>
          <w:tab w:val="right" w:leader="dot" w:pos="9000"/>
        </w:tabs>
        <w:rPr>
          <w:rFonts w:ascii="Times New Roman" w:hAnsi="Times New Roman"/>
          <w:sz w:val="24"/>
          <w:szCs w:val="24"/>
        </w:rPr>
      </w:pPr>
    </w:p>
    <w:p w:rsidR="005F3B9E" w:rsidRDefault="005F3B9E" w:rsidP="00175C71">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i/>
          <w:sz w:val="24"/>
          <w:szCs w:val="24"/>
        </w:rPr>
        <w:t>WUTC v. PacifiCorp,</w:t>
      </w:r>
      <w:r w:rsidR="00AF5DC6">
        <w:rPr>
          <w:rFonts w:ascii="Times New Roman" w:hAnsi="Times New Roman"/>
          <w:i/>
          <w:sz w:val="24"/>
          <w:szCs w:val="24"/>
        </w:rPr>
        <w:t xml:space="preserve"> </w:t>
      </w:r>
      <w:r>
        <w:rPr>
          <w:rFonts w:ascii="Times New Roman" w:hAnsi="Times New Roman"/>
          <w:i/>
          <w:sz w:val="24"/>
          <w:szCs w:val="24"/>
        </w:rPr>
        <w:t xml:space="preserve">d/b/a Pacific Power &amp; Light Co., </w:t>
      </w:r>
    </w:p>
    <w:p w:rsidR="005F3B9E" w:rsidRPr="005F3B9E" w:rsidRDefault="005F3B9E" w:rsidP="00175C71">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ab/>
        <w:t>Docket UE-090205,</w:t>
      </w:r>
      <w:r w:rsidR="00961098">
        <w:rPr>
          <w:rFonts w:ascii="Times New Roman" w:hAnsi="Times New Roman"/>
          <w:sz w:val="24"/>
          <w:szCs w:val="24"/>
        </w:rPr>
        <w:t xml:space="preserve"> Order 09 (December 16, 2009) </w:t>
      </w:r>
      <w:r w:rsidR="00961098">
        <w:rPr>
          <w:rFonts w:ascii="Times New Roman" w:hAnsi="Times New Roman"/>
          <w:sz w:val="24"/>
          <w:szCs w:val="24"/>
        </w:rPr>
        <w:tab/>
        <w:t>5</w:t>
      </w:r>
      <w:r w:rsidR="00411E91">
        <w:rPr>
          <w:rFonts w:ascii="Times New Roman" w:hAnsi="Times New Roman"/>
          <w:sz w:val="24"/>
          <w:szCs w:val="24"/>
        </w:rPr>
        <w:t>, 10</w:t>
      </w:r>
      <w:r w:rsidR="007C4C70">
        <w:rPr>
          <w:rFonts w:ascii="Times New Roman" w:hAnsi="Times New Roman"/>
          <w:sz w:val="24"/>
          <w:szCs w:val="24"/>
        </w:rPr>
        <w:t>, 13</w:t>
      </w:r>
    </w:p>
    <w:p w:rsidR="00175C71" w:rsidRDefault="00175C71" w:rsidP="00175C71">
      <w:pPr>
        <w:tabs>
          <w:tab w:val="left" w:pos="720"/>
          <w:tab w:val="left" w:pos="1440"/>
          <w:tab w:val="left" w:pos="2160"/>
          <w:tab w:val="left" w:pos="2880"/>
          <w:tab w:val="right" w:leader="dot" w:pos="9000"/>
        </w:tabs>
        <w:rPr>
          <w:rFonts w:ascii="Times New Roman" w:hAnsi="Times New Roman"/>
          <w:sz w:val="24"/>
          <w:szCs w:val="24"/>
        </w:rPr>
      </w:pPr>
    </w:p>
    <w:p w:rsidR="00175C71" w:rsidRDefault="00206311" w:rsidP="00175C71">
      <w:pPr>
        <w:tabs>
          <w:tab w:val="left" w:pos="720"/>
          <w:tab w:val="left" w:pos="1440"/>
          <w:tab w:val="left" w:pos="2160"/>
          <w:tab w:val="left" w:pos="2880"/>
          <w:tab w:val="right" w:leader="dot" w:pos="9000"/>
        </w:tabs>
        <w:rPr>
          <w:rFonts w:ascii="Times New Roman" w:hAnsi="Times New Roman"/>
          <w:i/>
          <w:sz w:val="24"/>
          <w:szCs w:val="24"/>
        </w:rPr>
      </w:pPr>
      <w:r>
        <w:rPr>
          <w:rFonts w:ascii="Times New Roman" w:hAnsi="Times New Roman"/>
          <w:i/>
          <w:sz w:val="24"/>
          <w:szCs w:val="24"/>
        </w:rPr>
        <w:t xml:space="preserve">WUTC v. Puget Sound Energy, Inc., </w:t>
      </w:r>
    </w:p>
    <w:p w:rsidR="00206311" w:rsidRDefault="00206311" w:rsidP="00175C71">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Dockets UE-040641 and UG-040640, Order 06 (February 18, 2007) </w:t>
      </w:r>
      <w:r>
        <w:rPr>
          <w:rFonts w:ascii="Times New Roman" w:hAnsi="Times New Roman"/>
          <w:sz w:val="24"/>
          <w:szCs w:val="24"/>
        </w:rPr>
        <w:tab/>
        <w:t>3</w:t>
      </w:r>
    </w:p>
    <w:p w:rsidR="00411E91" w:rsidRDefault="00411E91" w:rsidP="00175C71">
      <w:pPr>
        <w:tabs>
          <w:tab w:val="left" w:pos="720"/>
          <w:tab w:val="left" w:pos="1440"/>
          <w:tab w:val="left" w:pos="2160"/>
          <w:tab w:val="left" w:pos="2880"/>
          <w:tab w:val="right" w:leader="dot" w:pos="9000"/>
        </w:tabs>
        <w:rPr>
          <w:rFonts w:ascii="Times New Roman" w:hAnsi="Times New Roman"/>
          <w:sz w:val="24"/>
          <w:szCs w:val="24"/>
        </w:rPr>
      </w:pPr>
    </w:p>
    <w:p w:rsidR="00411E91" w:rsidRPr="00411E91" w:rsidRDefault="00411E91" w:rsidP="00175C71">
      <w:pPr>
        <w:tabs>
          <w:tab w:val="left" w:pos="720"/>
          <w:tab w:val="left" w:pos="1440"/>
          <w:tab w:val="left" w:pos="2160"/>
          <w:tab w:val="left" w:pos="2880"/>
          <w:tab w:val="right" w:leader="dot" w:pos="9000"/>
        </w:tabs>
        <w:rPr>
          <w:rFonts w:ascii="Times New Roman" w:hAnsi="Times New Roman"/>
          <w:i/>
          <w:sz w:val="24"/>
          <w:szCs w:val="24"/>
        </w:rPr>
      </w:pPr>
      <w:r w:rsidRPr="00411E91">
        <w:rPr>
          <w:rFonts w:ascii="Times New Roman" w:hAnsi="Times New Roman"/>
          <w:i/>
          <w:sz w:val="24"/>
          <w:szCs w:val="24"/>
        </w:rPr>
        <w:t xml:space="preserve">WUTC v. Puget Sound Energy, Inc., </w:t>
      </w:r>
    </w:p>
    <w:p w:rsidR="00411E91" w:rsidRDefault="00411E91" w:rsidP="00175C71">
      <w:pPr>
        <w:tabs>
          <w:tab w:val="left" w:pos="720"/>
          <w:tab w:val="left" w:pos="1440"/>
          <w:tab w:val="left" w:pos="2160"/>
          <w:tab w:val="left" w:pos="2880"/>
          <w:tab w:val="right" w:leader="dot" w:pos="9000"/>
        </w:tabs>
        <w:rPr>
          <w:rFonts w:ascii="Times New Roman" w:hAnsi="Times New Roman"/>
          <w:sz w:val="24"/>
          <w:szCs w:val="24"/>
        </w:rPr>
      </w:pPr>
      <w:r>
        <w:rPr>
          <w:rFonts w:ascii="Times New Roman" w:hAnsi="Times New Roman"/>
          <w:sz w:val="24"/>
          <w:szCs w:val="24"/>
        </w:rPr>
        <w:tab/>
        <w:t>Dockets UE-060266 and UG-06026</w:t>
      </w:r>
      <w:r w:rsidR="00961098">
        <w:rPr>
          <w:rFonts w:ascii="Times New Roman" w:hAnsi="Times New Roman"/>
          <w:sz w:val="24"/>
          <w:szCs w:val="24"/>
        </w:rPr>
        <w:t xml:space="preserve">7, Order 08 (January 5, 2007) </w:t>
      </w:r>
      <w:r w:rsidR="00961098">
        <w:rPr>
          <w:rFonts w:ascii="Times New Roman" w:hAnsi="Times New Roman"/>
          <w:sz w:val="24"/>
          <w:szCs w:val="24"/>
        </w:rPr>
        <w:tab/>
        <w:t>4</w:t>
      </w:r>
    </w:p>
    <w:p w:rsidR="00411E91" w:rsidRDefault="00411E91" w:rsidP="00175C71">
      <w:pPr>
        <w:tabs>
          <w:tab w:val="left" w:pos="720"/>
          <w:tab w:val="left" w:pos="1440"/>
          <w:tab w:val="left" w:pos="2160"/>
          <w:tab w:val="left" w:pos="2880"/>
          <w:tab w:val="right" w:leader="dot" w:pos="9000"/>
        </w:tabs>
        <w:rPr>
          <w:rFonts w:ascii="Times New Roman" w:hAnsi="Times New Roman"/>
          <w:sz w:val="24"/>
          <w:szCs w:val="24"/>
        </w:rPr>
      </w:pPr>
    </w:p>
    <w:p w:rsidR="00175C71" w:rsidRDefault="00175C71" w:rsidP="00175C71">
      <w:pPr>
        <w:tabs>
          <w:tab w:val="left" w:pos="720"/>
          <w:tab w:val="left" w:pos="1440"/>
          <w:tab w:val="left" w:pos="2160"/>
          <w:tab w:val="left" w:pos="2880"/>
          <w:tab w:val="right" w:leader="dot" w:pos="9000"/>
        </w:tabs>
        <w:jc w:val="center"/>
        <w:rPr>
          <w:rFonts w:ascii="Times New Roman" w:hAnsi="Times New Roman"/>
          <w:sz w:val="24"/>
          <w:szCs w:val="24"/>
        </w:rPr>
      </w:pPr>
      <w:r>
        <w:rPr>
          <w:rFonts w:ascii="Times New Roman" w:hAnsi="Times New Roman"/>
          <w:b/>
          <w:i/>
          <w:sz w:val="24"/>
          <w:szCs w:val="24"/>
        </w:rPr>
        <w:t>Statutes and Rules</w:t>
      </w:r>
    </w:p>
    <w:p w:rsidR="00175C71" w:rsidRDefault="00175C71" w:rsidP="00175C71">
      <w:pPr>
        <w:tabs>
          <w:tab w:val="left" w:pos="720"/>
          <w:tab w:val="left" w:pos="1440"/>
          <w:tab w:val="left" w:pos="2160"/>
          <w:tab w:val="left" w:pos="2880"/>
          <w:tab w:val="right" w:leader="dot" w:pos="9000"/>
        </w:tabs>
        <w:rPr>
          <w:rFonts w:ascii="Times New Roman" w:hAnsi="Times New Roman"/>
          <w:sz w:val="24"/>
          <w:szCs w:val="24"/>
        </w:rPr>
      </w:pPr>
    </w:p>
    <w:p w:rsidR="00175C71" w:rsidRDefault="00175C71" w:rsidP="00175C71">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80.04.130(4) </w:t>
      </w:r>
      <w:r>
        <w:rPr>
          <w:rFonts w:ascii="Times New Roman" w:hAnsi="Times New Roman"/>
          <w:sz w:val="24"/>
          <w:szCs w:val="24"/>
        </w:rPr>
        <w:tab/>
        <w:t>2</w:t>
      </w:r>
    </w:p>
    <w:p w:rsidR="00FF4498" w:rsidRDefault="00FF4498" w:rsidP="00175C71">
      <w:pPr>
        <w:tabs>
          <w:tab w:val="left" w:pos="720"/>
          <w:tab w:val="left" w:pos="1440"/>
          <w:tab w:val="right" w:leader="dot" w:pos="9000"/>
        </w:tabs>
        <w:rPr>
          <w:rFonts w:ascii="Times New Roman" w:hAnsi="Times New Roman"/>
          <w:sz w:val="24"/>
          <w:szCs w:val="24"/>
        </w:rPr>
      </w:pPr>
    </w:p>
    <w:p w:rsidR="00FF4498" w:rsidRDefault="00FF4498" w:rsidP="00175C71">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80.28.020 </w:t>
      </w:r>
      <w:r>
        <w:rPr>
          <w:rFonts w:ascii="Times New Roman" w:hAnsi="Times New Roman"/>
          <w:sz w:val="24"/>
          <w:szCs w:val="24"/>
        </w:rPr>
        <w:tab/>
        <w:t>2</w:t>
      </w:r>
    </w:p>
    <w:p w:rsidR="00307836" w:rsidRDefault="00307836" w:rsidP="00175C71">
      <w:pPr>
        <w:tabs>
          <w:tab w:val="left" w:pos="720"/>
          <w:tab w:val="left" w:pos="1440"/>
          <w:tab w:val="right" w:leader="dot" w:pos="9000"/>
        </w:tabs>
        <w:rPr>
          <w:rFonts w:ascii="Times New Roman" w:hAnsi="Times New Roman"/>
          <w:sz w:val="24"/>
          <w:szCs w:val="24"/>
        </w:rPr>
      </w:pPr>
    </w:p>
    <w:p w:rsidR="00307836" w:rsidRDefault="00307836" w:rsidP="00175C71">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80.80.010(4) </w:t>
      </w:r>
      <w:r>
        <w:rPr>
          <w:rFonts w:ascii="Times New Roman" w:hAnsi="Times New Roman"/>
          <w:sz w:val="24"/>
          <w:szCs w:val="24"/>
        </w:rPr>
        <w:tab/>
        <w:t>12</w:t>
      </w:r>
    </w:p>
    <w:p w:rsidR="00307836" w:rsidRDefault="00307836" w:rsidP="00175C71">
      <w:pPr>
        <w:tabs>
          <w:tab w:val="left" w:pos="720"/>
          <w:tab w:val="left" w:pos="1440"/>
          <w:tab w:val="right" w:leader="dot" w:pos="9000"/>
        </w:tabs>
        <w:rPr>
          <w:rFonts w:ascii="Times New Roman" w:hAnsi="Times New Roman"/>
          <w:sz w:val="24"/>
          <w:szCs w:val="24"/>
        </w:rPr>
      </w:pPr>
    </w:p>
    <w:p w:rsidR="00307836" w:rsidRDefault="00307836" w:rsidP="00175C71">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80.80.010(15) </w:t>
      </w:r>
      <w:r>
        <w:rPr>
          <w:rFonts w:ascii="Times New Roman" w:hAnsi="Times New Roman"/>
          <w:sz w:val="24"/>
          <w:szCs w:val="24"/>
        </w:rPr>
        <w:tab/>
        <w:t>12</w:t>
      </w:r>
    </w:p>
    <w:p w:rsidR="007C4C70" w:rsidRDefault="007C4C70" w:rsidP="00175C71">
      <w:pPr>
        <w:tabs>
          <w:tab w:val="left" w:pos="720"/>
          <w:tab w:val="left" w:pos="1440"/>
          <w:tab w:val="right" w:leader="dot" w:pos="9000"/>
        </w:tabs>
        <w:rPr>
          <w:rFonts w:ascii="Times New Roman" w:hAnsi="Times New Roman"/>
          <w:sz w:val="24"/>
          <w:szCs w:val="24"/>
        </w:rPr>
      </w:pPr>
    </w:p>
    <w:p w:rsidR="007C4C70" w:rsidRDefault="007C4C70" w:rsidP="00175C71">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80.80.060(3) </w:t>
      </w:r>
      <w:r>
        <w:rPr>
          <w:rFonts w:ascii="Times New Roman" w:hAnsi="Times New Roman"/>
          <w:sz w:val="24"/>
          <w:szCs w:val="24"/>
        </w:rPr>
        <w:tab/>
        <w:t>13</w:t>
      </w:r>
    </w:p>
    <w:p w:rsidR="00307836" w:rsidRDefault="00307836" w:rsidP="00175C71">
      <w:pPr>
        <w:tabs>
          <w:tab w:val="left" w:pos="720"/>
          <w:tab w:val="left" w:pos="1440"/>
          <w:tab w:val="right" w:leader="dot" w:pos="9000"/>
        </w:tabs>
        <w:rPr>
          <w:rFonts w:ascii="Times New Roman" w:hAnsi="Times New Roman"/>
          <w:sz w:val="24"/>
          <w:szCs w:val="24"/>
        </w:rPr>
      </w:pPr>
    </w:p>
    <w:p w:rsidR="00307836" w:rsidRDefault="00307836" w:rsidP="00175C71">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80.80.060(5) </w:t>
      </w:r>
      <w:r>
        <w:rPr>
          <w:rFonts w:ascii="Times New Roman" w:hAnsi="Times New Roman"/>
          <w:sz w:val="24"/>
          <w:szCs w:val="24"/>
        </w:rPr>
        <w:tab/>
        <w:t>12</w:t>
      </w:r>
    </w:p>
    <w:p w:rsidR="00307836" w:rsidRDefault="00307836" w:rsidP="00175C71">
      <w:pPr>
        <w:tabs>
          <w:tab w:val="left" w:pos="720"/>
          <w:tab w:val="left" w:pos="1440"/>
          <w:tab w:val="right" w:leader="dot" w:pos="9000"/>
        </w:tabs>
        <w:rPr>
          <w:rFonts w:ascii="Times New Roman" w:hAnsi="Times New Roman"/>
          <w:sz w:val="24"/>
          <w:szCs w:val="24"/>
        </w:rPr>
      </w:pPr>
    </w:p>
    <w:p w:rsidR="00307836" w:rsidRPr="00175C71" w:rsidRDefault="00307836" w:rsidP="00175C71">
      <w:pPr>
        <w:tabs>
          <w:tab w:val="left" w:pos="720"/>
          <w:tab w:val="left" w:pos="1440"/>
          <w:tab w:val="right" w:leader="dot" w:pos="9000"/>
        </w:tabs>
        <w:rPr>
          <w:rFonts w:ascii="Times New Roman" w:hAnsi="Times New Roman"/>
          <w:sz w:val="24"/>
          <w:szCs w:val="24"/>
        </w:rPr>
      </w:pPr>
      <w:r>
        <w:rPr>
          <w:rFonts w:ascii="Times New Roman" w:hAnsi="Times New Roman"/>
          <w:sz w:val="24"/>
          <w:szCs w:val="24"/>
        </w:rPr>
        <w:t xml:space="preserve">RCW 80.80.060(6) </w:t>
      </w:r>
      <w:r>
        <w:rPr>
          <w:rFonts w:ascii="Times New Roman" w:hAnsi="Times New Roman"/>
          <w:sz w:val="24"/>
          <w:szCs w:val="24"/>
        </w:rPr>
        <w:tab/>
      </w:r>
      <w:r w:rsidR="000435FB">
        <w:rPr>
          <w:rFonts w:ascii="Times New Roman" w:hAnsi="Times New Roman"/>
          <w:sz w:val="24"/>
          <w:szCs w:val="24"/>
        </w:rPr>
        <w:t xml:space="preserve">9, </w:t>
      </w:r>
      <w:r>
        <w:rPr>
          <w:rFonts w:ascii="Times New Roman" w:hAnsi="Times New Roman"/>
          <w:sz w:val="24"/>
          <w:szCs w:val="24"/>
        </w:rPr>
        <w:t>11, 12</w:t>
      </w:r>
    </w:p>
    <w:p w:rsidR="00CE74E3" w:rsidRDefault="00CE74E3" w:rsidP="00CE74E3">
      <w:pPr>
        <w:tabs>
          <w:tab w:val="left" w:pos="3463"/>
        </w:tabs>
        <w:rPr>
          <w:rFonts w:ascii="Times New Roman" w:hAnsi="Times New Roman"/>
          <w:sz w:val="24"/>
          <w:szCs w:val="24"/>
        </w:rPr>
      </w:pPr>
    </w:p>
    <w:p w:rsidR="000435FB" w:rsidRDefault="000435FB" w:rsidP="000435FB">
      <w:pPr>
        <w:keepNext/>
        <w:tabs>
          <w:tab w:val="left" w:pos="3463"/>
        </w:tabs>
        <w:jc w:val="center"/>
        <w:rPr>
          <w:rFonts w:ascii="Times New Roman" w:hAnsi="Times New Roman"/>
          <w:sz w:val="24"/>
          <w:szCs w:val="24"/>
        </w:rPr>
      </w:pPr>
      <w:r>
        <w:rPr>
          <w:rFonts w:ascii="Times New Roman" w:hAnsi="Times New Roman"/>
          <w:b/>
          <w:i/>
          <w:sz w:val="24"/>
          <w:szCs w:val="24"/>
        </w:rPr>
        <w:t>Other Authorities</w:t>
      </w:r>
    </w:p>
    <w:p w:rsidR="000435FB" w:rsidRDefault="000435FB" w:rsidP="000435FB">
      <w:pPr>
        <w:keepNext/>
        <w:tabs>
          <w:tab w:val="left" w:pos="3463"/>
        </w:tabs>
        <w:rPr>
          <w:rFonts w:ascii="Times New Roman" w:hAnsi="Times New Roman"/>
          <w:sz w:val="24"/>
          <w:szCs w:val="24"/>
        </w:rPr>
      </w:pPr>
    </w:p>
    <w:p w:rsidR="00CE74E3" w:rsidRDefault="000435FB" w:rsidP="00FF4498">
      <w:pPr>
        <w:tabs>
          <w:tab w:val="left" w:pos="720"/>
          <w:tab w:val="left" w:pos="1440"/>
          <w:tab w:val="left" w:pos="2160"/>
          <w:tab w:val="left" w:pos="2880"/>
          <w:tab w:val="left" w:pos="3600"/>
          <w:tab w:val="right" w:leader="dot" w:pos="9000"/>
        </w:tabs>
        <w:rPr>
          <w:rFonts w:ascii="Times New Roman" w:hAnsi="Times New Roman"/>
          <w:sz w:val="24"/>
          <w:szCs w:val="24"/>
        </w:rPr>
      </w:pPr>
      <w:r>
        <w:rPr>
          <w:rFonts w:ascii="Times New Roman" w:hAnsi="Times New Roman"/>
          <w:sz w:val="24"/>
          <w:szCs w:val="24"/>
        </w:rPr>
        <w:t>Tegland, Karl B., Washington Practice, Vol. 3, §301.2 (4</w:t>
      </w:r>
      <w:r w:rsidRPr="000435FB">
        <w:rPr>
          <w:rFonts w:ascii="Times New Roman" w:hAnsi="Times New Roman"/>
          <w:sz w:val="24"/>
          <w:szCs w:val="24"/>
          <w:vertAlign w:val="superscript"/>
        </w:rPr>
        <w:t>th</w:t>
      </w:r>
      <w:r>
        <w:rPr>
          <w:rFonts w:ascii="Times New Roman" w:hAnsi="Times New Roman"/>
          <w:sz w:val="24"/>
          <w:szCs w:val="24"/>
        </w:rPr>
        <w:t xml:space="preserve"> Ed. 1999) </w:t>
      </w:r>
      <w:r>
        <w:rPr>
          <w:rFonts w:ascii="Times New Roman" w:hAnsi="Times New Roman"/>
          <w:sz w:val="24"/>
          <w:szCs w:val="24"/>
        </w:rPr>
        <w:tab/>
        <w:t>2</w:t>
      </w:r>
    </w:p>
    <w:p w:rsidR="00CE74E3" w:rsidRPr="00CE74E3" w:rsidRDefault="00CE74E3" w:rsidP="00CE74E3">
      <w:pPr>
        <w:rPr>
          <w:rFonts w:ascii="Times New Roman" w:hAnsi="Times New Roman"/>
          <w:sz w:val="24"/>
          <w:szCs w:val="24"/>
        </w:rPr>
        <w:sectPr w:rsidR="00CE74E3" w:rsidRPr="00CE74E3" w:rsidSect="00AA4FAB">
          <w:footerReference w:type="first" r:id="rId9"/>
          <w:pgSz w:w="12240" w:h="15840"/>
          <w:pgMar w:top="1440" w:right="1440" w:bottom="1440" w:left="1872" w:header="720" w:footer="720" w:gutter="0"/>
          <w:pgNumType w:fmt="lowerRoman" w:start="1"/>
          <w:cols w:space="720"/>
          <w:titlePg/>
          <w:docGrid w:linePitch="360"/>
        </w:sectPr>
      </w:pPr>
    </w:p>
    <w:p w:rsidR="00DF0CC2" w:rsidRDefault="00BB5FC0" w:rsidP="00BB5FC0">
      <w:pPr>
        <w:pStyle w:val="FootnoteText"/>
        <w:numPr>
          <w:ilvl w:val="0"/>
          <w:numId w:val="10"/>
        </w:numPr>
        <w:spacing w:line="480" w:lineRule="auto"/>
        <w:rPr>
          <w:rFonts w:ascii="Times New Roman" w:hAnsi="Times New Roman"/>
          <w:b/>
          <w:sz w:val="24"/>
          <w:szCs w:val="24"/>
        </w:rPr>
      </w:pPr>
      <w:r>
        <w:rPr>
          <w:rFonts w:ascii="Times New Roman" w:hAnsi="Times New Roman"/>
          <w:sz w:val="24"/>
          <w:szCs w:val="24"/>
        </w:rPr>
        <w:lastRenderedPageBreak/>
        <w:tab/>
      </w:r>
      <w:r w:rsidR="00642836">
        <w:rPr>
          <w:rFonts w:ascii="Times New Roman" w:hAnsi="Times New Roman"/>
          <w:sz w:val="24"/>
          <w:szCs w:val="24"/>
        </w:rPr>
        <w:t>Commission Staff files</w:t>
      </w:r>
      <w:r w:rsidR="00DF0CC2" w:rsidRPr="00DF0CC2">
        <w:rPr>
          <w:rFonts w:ascii="Times New Roman" w:hAnsi="Times New Roman"/>
          <w:sz w:val="24"/>
          <w:szCs w:val="24"/>
        </w:rPr>
        <w:t xml:space="preserve"> this Reply B</w:t>
      </w:r>
      <w:r w:rsidR="00DB64A6">
        <w:rPr>
          <w:rFonts w:ascii="Times New Roman" w:hAnsi="Times New Roman"/>
          <w:sz w:val="24"/>
          <w:szCs w:val="24"/>
        </w:rPr>
        <w:t xml:space="preserve">rief to respond to </w:t>
      </w:r>
      <w:r w:rsidR="00DF0CC2" w:rsidRPr="00DF0CC2">
        <w:rPr>
          <w:rFonts w:ascii="Times New Roman" w:hAnsi="Times New Roman"/>
          <w:sz w:val="24"/>
          <w:szCs w:val="24"/>
        </w:rPr>
        <w:t>Puget Sound Energy, Inc. (“PSE” or “the Company”) and Public Counsel.</w:t>
      </w:r>
      <w:r w:rsidR="00F32548">
        <w:rPr>
          <w:rStyle w:val="FootnoteReference"/>
          <w:rFonts w:ascii="Times New Roman" w:hAnsi="Times New Roman"/>
          <w:sz w:val="24"/>
          <w:szCs w:val="24"/>
        </w:rPr>
        <w:footnoteReference w:id="1"/>
      </w:r>
      <w:r w:rsidR="00DF0CC2" w:rsidRPr="00DF0CC2">
        <w:rPr>
          <w:rFonts w:ascii="Times New Roman" w:hAnsi="Times New Roman"/>
          <w:sz w:val="24"/>
          <w:szCs w:val="24"/>
        </w:rPr>
        <w:t xml:space="preserve"> </w:t>
      </w:r>
      <w:r w:rsidR="00DF0CC2">
        <w:rPr>
          <w:rFonts w:ascii="Times New Roman" w:hAnsi="Times New Roman"/>
          <w:sz w:val="24"/>
          <w:szCs w:val="24"/>
        </w:rPr>
        <w:t xml:space="preserve"> </w:t>
      </w:r>
      <w:r w:rsidR="00DF0CC2" w:rsidRPr="00DF0CC2">
        <w:rPr>
          <w:rFonts w:ascii="Times New Roman" w:hAnsi="Times New Roman"/>
          <w:sz w:val="24"/>
          <w:szCs w:val="24"/>
        </w:rPr>
        <w:t>Staff’s Initial Brief addressed the vast maj</w:t>
      </w:r>
      <w:r w:rsidR="004306D9">
        <w:rPr>
          <w:rFonts w:ascii="Times New Roman" w:hAnsi="Times New Roman"/>
          <w:sz w:val="24"/>
          <w:szCs w:val="24"/>
        </w:rPr>
        <w:t>ority of arguments raised by the Company</w:t>
      </w:r>
      <w:r w:rsidR="00DF0CC2">
        <w:rPr>
          <w:rFonts w:ascii="Times New Roman" w:hAnsi="Times New Roman"/>
          <w:sz w:val="24"/>
          <w:szCs w:val="24"/>
        </w:rPr>
        <w:t xml:space="preserve"> and Public Counsel</w:t>
      </w:r>
      <w:r w:rsidR="00642836">
        <w:rPr>
          <w:rFonts w:ascii="Times New Roman" w:hAnsi="Times New Roman"/>
          <w:sz w:val="24"/>
          <w:szCs w:val="24"/>
        </w:rPr>
        <w:t xml:space="preserve"> on </w:t>
      </w:r>
      <w:r w:rsidR="002A132C">
        <w:rPr>
          <w:rFonts w:ascii="Times New Roman" w:hAnsi="Times New Roman"/>
          <w:sz w:val="24"/>
          <w:szCs w:val="24"/>
        </w:rPr>
        <w:t xml:space="preserve">all </w:t>
      </w:r>
      <w:r w:rsidR="00642836">
        <w:rPr>
          <w:rFonts w:ascii="Times New Roman" w:hAnsi="Times New Roman"/>
          <w:sz w:val="24"/>
          <w:szCs w:val="24"/>
        </w:rPr>
        <w:t>contested issues</w:t>
      </w:r>
      <w:r w:rsidR="00DF0CC2" w:rsidRPr="00DF0CC2">
        <w:rPr>
          <w:rFonts w:ascii="Times New Roman" w:hAnsi="Times New Roman"/>
          <w:sz w:val="24"/>
          <w:szCs w:val="24"/>
        </w:rPr>
        <w:t xml:space="preserve">.  Thus, lack of repetition here should not be construed </w:t>
      </w:r>
      <w:r w:rsidR="00DB64A6">
        <w:rPr>
          <w:rFonts w:ascii="Times New Roman" w:hAnsi="Times New Roman"/>
          <w:sz w:val="24"/>
          <w:szCs w:val="24"/>
        </w:rPr>
        <w:t xml:space="preserve">as agreement with those parties </w:t>
      </w:r>
      <w:r w:rsidR="00DF0CC2" w:rsidRPr="00DF0CC2">
        <w:rPr>
          <w:rFonts w:ascii="Times New Roman" w:hAnsi="Times New Roman"/>
          <w:sz w:val="24"/>
          <w:szCs w:val="24"/>
        </w:rPr>
        <w:t>on those issues.</w:t>
      </w:r>
    </w:p>
    <w:p w:rsidR="00AC4220" w:rsidRPr="00DF0CC2" w:rsidRDefault="00340992" w:rsidP="00DF0CC2">
      <w:pPr>
        <w:spacing w:line="480" w:lineRule="auto"/>
        <w:ind w:left="360"/>
        <w:jc w:val="center"/>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00AC4220" w:rsidRPr="00DF0CC2">
        <w:rPr>
          <w:rFonts w:ascii="Times New Roman" w:hAnsi="Times New Roman"/>
          <w:b/>
          <w:sz w:val="24"/>
          <w:szCs w:val="24"/>
        </w:rPr>
        <w:t>REPLY TO PUGET SOUND ENERGY, INC.</w:t>
      </w:r>
    </w:p>
    <w:p w:rsidR="00C07FC7" w:rsidRDefault="00BB5FC0" w:rsidP="00DB64A6">
      <w:pPr>
        <w:ind w:left="720" w:hanging="720"/>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r>
      <w:r w:rsidR="00C07FC7" w:rsidRPr="00BB5FC0">
        <w:rPr>
          <w:rFonts w:ascii="Times New Roman" w:hAnsi="Times New Roman"/>
          <w:b/>
          <w:sz w:val="24"/>
          <w:szCs w:val="24"/>
        </w:rPr>
        <w:t xml:space="preserve">The Applicable Legal Standards </w:t>
      </w:r>
      <w:r w:rsidR="00DB64A6">
        <w:rPr>
          <w:rFonts w:ascii="Times New Roman" w:hAnsi="Times New Roman"/>
          <w:b/>
          <w:sz w:val="24"/>
          <w:szCs w:val="24"/>
        </w:rPr>
        <w:t>Do Not Guarantee Full Cost Recovery, As Suggested By the Company</w:t>
      </w:r>
    </w:p>
    <w:p w:rsidR="00DB64A6" w:rsidRPr="00BB5FC0" w:rsidRDefault="00DB64A6" w:rsidP="00DB64A6">
      <w:pPr>
        <w:ind w:left="720" w:hanging="720"/>
        <w:rPr>
          <w:rFonts w:ascii="Times New Roman" w:hAnsi="Times New Roman"/>
          <w:b/>
          <w:sz w:val="24"/>
          <w:szCs w:val="24"/>
        </w:rPr>
      </w:pPr>
    </w:p>
    <w:p w:rsidR="000668C7" w:rsidRDefault="00BB5FC0" w:rsidP="00BB5FC0">
      <w:pPr>
        <w:pStyle w:val="FootnoteText"/>
        <w:numPr>
          <w:ilvl w:val="0"/>
          <w:numId w:val="10"/>
        </w:numPr>
        <w:spacing w:line="480" w:lineRule="auto"/>
        <w:rPr>
          <w:rFonts w:ascii="Times New Roman" w:hAnsi="Times New Roman"/>
          <w:sz w:val="24"/>
          <w:szCs w:val="24"/>
        </w:rPr>
      </w:pPr>
      <w:r>
        <w:rPr>
          <w:rFonts w:ascii="Times New Roman" w:hAnsi="Times New Roman"/>
          <w:sz w:val="24"/>
          <w:szCs w:val="24"/>
        </w:rPr>
        <w:tab/>
      </w:r>
      <w:r w:rsidR="005F3547" w:rsidRPr="00BF4C25">
        <w:rPr>
          <w:rFonts w:ascii="Times New Roman" w:hAnsi="Times New Roman"/>
          <w:sz w:val="24"/>
          <w:szCs w:val="24"/>
        </w:rPr>
        <w:t xml:space="preserve">The Company is correct that it is entitled to reasonable and sufficient compensation for the service it provides, and the opportunity to earn a rate of return sufficient to maintain its </w:t>
      </w:r>
      <w:r w:rsidR="005F3547">
        <w:rPr>
          <w:rFonts w:ascii="Times New Roman" w:hAnsi="Times New Roman"/>
          <w:sz w:val="24"/>
          <w:szCs w:val="24"/>
        </w:rPr>
        <w:t>f</w:t>
      </w:r>
      <w:r w:rsidR="005F3547" w:rsidRPr="00BF4C25">
        <w:rPr>
          <w:rFonts w:ascii="Times New Roman" w:hAnsi="Times New Roman"/>
          <w:sz w:val="24"/>
          <w:szCs w:val="24"/>
        </w:rPr>
        <w:t>inancial integrity, attract capital on reasonable terms, and receive a return commensurate with other enterprises of comparable risk.</w:t>
      </w:r>
      <w:r w:rsidR="005F3547" w:rsidRPr="00BF4C25">
        <w:rPr>
          <w:rStyle w:val="FootnoteReference"/>
          <w:rFonts w:ascii="Times New Roman" w:hAnsi="Times New Roman"/>
          <w:sz w:val="24"/>
          <w:szCs w:val="24"/>
        </w:rPr>
        <w:footnoteReference w:id="2"/>
      </w:r>
      <w:r w:rsidR="005F3547">
        <w:rPr>
          <w:rFonts w:ascii="Times New Roman" w:hAnsi="Times New Roman"/>
          <w:sz w:val="24"/>
          <w:szCs w:val="24"/>
        </w:rPr>
        <w:t xml:space="preserve">  </w:t>
      </w:r>
    </w:p>
    <w:p w:rsidR="005F3547" w:rsidRDefault="00BB5FC0" w:rsidP="00BB5FC0">
      <w:pPr>
        <w:pStyle w:val="FootnoteText"/>
        <w:numPr>
          <w:ilvl w:val="0"/>
          <w:numId w:val="10"/>
        </w:numPr>
        <w:spacing w:line="480" w:lineRule="auto"/>
        <w:rPr>
          <w:rFonts w:ascii="Times New Roman" w:hAnsi="Times New Roman"/>
          <w:sz w:val="24"/>
          <w:szCs w:val="24"/>
        </w:rPr>
      </w:pPr>
      <w:r>
        <w:rPr>
          <w:rFonts w:ascii="Times New Roman" w:hAnsi="Times New Roman"/>
          <w:sz w:val="24"/>
          <w:szCs w:val="24"/>
        </w:rPr>
        <w:tab/>
      </w:r>
      <w:r w:rsidR="005F3547">
        <w:rPr>
          <w:rFonts w:ascii="Times New Roman" w:hAnsi="Times New Roman"/>
          <w:sz w:val="24"/>
          <w:szCs w:val="24"/>
        </w:rPr>
        <w:t xml:space="preserve">However, </w:t>
      </w:r>
      <w:r w:rsidR="00657DBA">
        <w:rPr>
          <w:rFonts w:ascii="Times New Roman" w:hAnsi="Times New Roman"/>
          <w:sz w:val="24"/>
          <w:szCs w:val="24"/>
        </w:rPr>
        <w:t xml:space="preserve">the Company is wrong to suggest that these rights </w:t>
      </w:r>
      <w:r w:rsidR="005F3547">
        <w:rPr>
          <w:rFonts w:ascii="Times New Roman" w:hAnsi="Times New Roman"/>
          <w:sz w:val="24"/>
          <w:szCs w:val="24"/>
        </w:rPr>
        <w:t>guarantee</w:t>
      </w:r>
      <w:r w:rsidR="005F3547" w:rsidRPr="00BF4C25">
        <w:rPr>
          <w:rFonts w:ascii="Times New Roman" w:hAnsi="Times New Roman"/>
          <w:sz w:val="24"/>
          <w:szCs w:val="24"/>
        </w:rPr>
        <w:t xml:space="preserve"> </w:t>
      </w:r>
      <w:r w:rsidR="005907EF">
        <w:rPr>
          <w:rFonts w:ascii="Times New Roman" w:hAnsi="Times New Roman"/>
          <w:sz w:val="24"/>
          <w:szCs w:val="24"/>
        </w:rPr>
        <w:t xml:space="preserve">cost recovery and </w:t>
      </w:r>
      <w:r w:rsidR="00C213E2">
        <w:rPr>
          <w:rFonts w:ascii="Times New Roman" w:hAnsi="Times New Roman"/>
          <w:sz w:val="24"/>
          <w:szCs w:val="24"/>
        </w:rPr>
        <w:t>a reasonable return on investment</w:t>
      </w:r>
      <w:r w:rsidR="005F3547">
        <w:rPr>
          <w:rFonts w:ascii="Times New Roman" w:hAnsi="Times New Roman"/>
          <w:sz w:val="24"/>
          <w:szCs w:val="24"/>
        </w:rPr>
        <w:t>.</w:t>
      </w:r>
      <w:r w:rsidR="00657DBA">
        <w:rPr>
          <w:rStyle w:val="FootnoteReference"/>
          <w:rFonts w:ascii="Times New Roman" w:hAnsi="Times New Roman"/>
          <w:sz w:val="24"/>
          <w:szCs w:val="24"/>
        </w:rPr>
        <w:footnoteReference w:id="3"/>
      </w:r>
      <w:r w:rsidR="005F3547">
        <w:rPr>
          <w:rFonts w:ascii="Times New Roman" w:hAnsi="Times New Roman"/>
          <w:sz w:val="24"/>
          <w:szCs w:val="24"/>
        </w:rPr>
        <w:t xml:space="preserve">  Rather, they</w:t>
      </w:r>
      <w:r w:rsidR="005F3547" w:rsidRPr="00BF4C25">
        <w:rPr>
          <w:rFonts w:ascii="Times New Roman" w:hAnsi="Times New Roman"/>
          <w:sz w:val="24"/>
          <w:szCs w:val="24"/>
        </w:rPr>
        <w:t xml:space="preserve"> pre</w:t>
      </w:r>
      <w:r w:rsidR="005F3547">
        <w:rPr>
          <w:rFonts w:ascii="Times New Roman" w:hAnsi="Times New Roman"/>
          <w:sz w:val="24"/>
          <w:szCs w:val="24"/>
        </w:rPr>
        <w:t>sume</w:t>
      </w:r>
      <w:r w:rsidR="005F3547" w:rsidRPr="00BF4C25">
        <w:rPr>
          <w:rFonts w:ascii="Times New Roman" w:hAnsi="Times New Roman"/>
          <w:sz w:val="24"/>
          <w:szCs w:val="24"/>
        </w:rPr>
        <w:t xml:space="preserve"> an “efficient and economical management” that will control operating expenses and effectively allocate resources between capital investments in order to maximize earnings between rate cases.</w:t>
      </w:r>
      <w:r w:rsidR="005F3547" w:rsidRPr="00BF4C25">
        <w:rPr>
          <w:rStyle w:val="FootnoteReference"/>
          <w:rFonts w:ascii="Times New Roman" w:hAnsi="Times New Roman"/>
          <w:sz w:val="24"/>
          <w:szCs w:val="24"/>
        </w:rPr>
        <w:footnoteReference w:id="4"/>
      </w:r>
      <w:r w:rsidR="005F3547" w:rsidRPr="00BF4C25">
        <w:rPr>
          <w:rFonts w:ascii="Times New Roman" w:hAnsi="Times New Roman"/>
          <w:sz w:val="24"/>
          <w:szCs w:val="24"/>
        </w:rPr>
        <w:t xml:space="preserve">  </w:t>
      </w:r>
      <w:r w:rsidR="000668C7">
        <w:rPr>
          <w:rFonts w:ascii="Times New Roman" w:hAnsi="Times New Roman"/>
          <w:sz w:val="24"/>
          <w:szCs w:val="24"/>
        </w:rPr>
        <w:t>Thu</w:t>
      </w:r>
      <w:r w:rsidR="00657DBA">
        <w:rPr>
          <w:rFonts w:ascii="Times New Roman" w:hAnsi="Times New Roman"/>
          <w:sz w:val="24"/>
          <w:szCs w:val="24"/>
        </w:rPr>
        <w:t xml:space="preserve">s, </w:t>
      </w:r>
      <w:r w:rsidR="000668C7">
        <w:rPr>
          <w:rFonts w:ascii="Times New Roman" w:hAnsi="Times New Roman"/>
          <w:sz w:val="24"/>
          <w:szCs w:val="24"/>
        </w:rPr>
        <w:t xml:space="preserve">the traditional methods used by the Commission to set rates </w:t>
      </w:r>
      <w:r w:rsidR="00C213E2">
        <w:rPr>
          <w:rFonts w:ascii="Times New Roman" w:hAnsi="Times New Roman"/>
          <w:sz w:val="24"/>
          <w:szCs w:val="24"/>
        </w:rPr>
        <w:t xml:space="preserve">do not </w:t>
      </w:r>
      <w:r w:rsidR="000668C7">
        <w:rPr>
          <w:rFonts w:ascii="Times New Roman" w:hAnsi="Times New Roman"/>
          <w:sz w:val="24"/>
          <w:szCs w:val="24"/>
        </w:rPr>
        <w:t>result in “chronic under-recovery of the levels of revenues and rates of return that the Commission has authorized.”</w:t>
      </w:r>
      <w:r w:rsidR="000668C7">
        <w:rPr>
          <w:rStyle w:val="FootnoteReference"/>
          <w:rFonts w:ascii="Times New Roman" w:hAnsi="Times New Roman"/>
          <w:sz w:val="24"/>
          <w:szCs w:val="24"/>
        </w:rPr>
        <w:footnoteReference w:id="5"/>
      </w:r>
      <w:r w:rsidR="000668C7">
        <w:rPr>
          <w:rFonts w:ascii="Times New Roman" w:hAnsi="Times New Roman"/>
          <w:sz w:val="24"/>
          <w:szCs w:val="24"/>
        </w:rPr>
        <w:t xml:space="preserve">  To the contrary, d</w:t>
      </w:r>
      <w:r w:rsidR="000668C7" w:rsidRPr="00BF4C25">
        <w:rPr>
          <w:rFonts w:ascii="Times New Roman" w:hAnsi="Times New Roman"/>
          <w:sz w:val="24"/>
          <w:szCs w:val="24"/>
        </w:rPr>
        <w:t>isallowance of an opera</w:t>
      </w:r>
      <w:r w:rsidR="00C213E2">
        <w:rPr>
          <w:rFonts w:ascii="Times New Roman" w:hAnsi="Times New Roman"/>
          <w:sz w:val="24"/>
          <w:szCs w:val="24"/>
        </w:rPr>
        <w:t>ting expense places the Company</w:t>
      </w:r>
      <w:r w:rsidR="005907EF">
        <w:rPr>
          <w:rFonts w:ascii="Times New Roman" w:hAnsi="Times New Roman"/>
          <w:sz w:val="24"/>
          <w:szCs w:val="24"/>
        </w:rPr>
        <w:t xml:space="preserve"> </w:t>
      </w:r>
      <w:r w:rsidR="000668C7" w:rsidRPr="00BF4C25">
        <w:rPr>
          <w:rFonts w:ascii="Times New Roman" w:hAnsi="Times New Roman"/>
          <w:sz w:val="24"/>
          <w:szCs w:val="24"/>
        </w:rPr>
        <w:t xml:space="preserve">on notice to </w:t>
      </w:r>
      <w:r w:rsidR="000668C7" w:rsidRPr="00BF4C25">
        <w:rPr>
          <w:rFonts w:ascii="Times New Roman" w:hAnsi="Times New Roman"/>
          <w:sz w:val="24"/>
          <w:szCs w:val="24"/>
        </w:rPr>
        <w:lastRenderedPageBreak/>
        <w:t>eliminate or control that expense going forward in order to preserve its ability to earn its authorized rate of return.</w:t>
      </w:r>
      <w:r w:rsidR="000668C7">
        <w:rPr>
          <w:rFonts w:ascii="Times New Roman" w:hAnsi="Times New Roman"/>
          <w:sz w:val="24"/>
          <w:szCs w:val="24"/>
        </w:rPr>
        <w:t xml:space="preserve">  There is simp</w:t>
      </w:r>
      <w:r w:rsidR="005907EF">
        <w:rPr>
          <w:rFonts w:ascii="Times New Roman" w:hAnsi="Times New Roman"/>
          <w:sz w:val="24"/>
          <w:szCs w:val="24"/>
        </w:rPr>
        <w:t xml:space="preserve">ly no reason </w:t>
      </w:r>
      <w:r w:rsidR="000668C7">
        <w:rPr>
          <w:rFonts w:ascii="Times New Roman" w:hAnsi="Times New Roman"/>
          <w:sz w:val="24"/>
          <w:szCs w:val="24"/>
        </w:rPr>
        <w:t xml:space="preserve">to abandon this time-tested and reasonable approach to </w:t>
      </w:r>
      <w:r w:rsidR="005907EF">
        <w:rPr>
          <w:rFonts w:ascii="Times New Roman" w:hAnsi="Times New Roman"/>
          <w:sz w:val="24"/>
          <w:szCs w:val="24"/>
        </w:rPr>
        <w:t>ratemaking</w:t>
      </w:r>
      <w:r w:rsidR="000668C7">
        <w:rPr>
          <w:rFonts w:ascii="Times New Roman" w:hAnsi="Times New Roman"/>
          <w:sz w:val="24"/>
          <w:szCs w:val="24"/>
        </w:rPr>
        <w:t>, as affirmed recently by the Commission and as applied directly by Staff in this case.</w:t>
      </w:r>
      <w:r w:rsidR="000668C7">
        <w:rPr>
          <w:rStyle w:val="FootnoteReference"/>
          <w:rFonts w:ascii="Times New Roman" w:hAnsi="Times New Roman"/>
          <w:sz w:val="24"/>
          <w:szCs w:val="24"/>
        </w:rPr>
        <w:footnoteReference w:id="6"/>
      </w:r>
    </w:p>
    <w:p w:rsidR="00AC4220" w:rsidRPr="00BB5FC0" w:rsidRDefault="00BB5FC0" w:rsidP="00BB5FC0">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0668C7" w:rsidRPr="00BB5FC0">
        <w:rPr>
          <w:rFonts w:ascii="Times New Roman" w:hAnsi="Times New Roman"/>
          <w:sz w:val="24"/>
          <w:szCs w:val="24"/>
        </w:rPr>
        <w:t>The Company is correct that the ultimate legal question in this case is whether the rates and charges it proposes are “just, fair, reasonable and sufficient.”</w:t>
      </w:r>
      <w:r w:rsidR="000668C7" w:rsidRPr="00C07FC7">
        <w:rPr>
          <w:rStyle w:val="FootnoteReference"/>
          <w:rFonts w:ascii="Times New Roman" w:hAnsi="Times New Roman"/>
          <w:sz w:val="24"/>
          <w:szCs w:val="24"/>
        </w:rPr>
        <w:footnoteReference w:id="7"/>
      </w:r>
      <w:r w:rsidR="000668C7" w:rsidRPr="00BB5FC0">
        <w:rPr>
          <w:rFonts w:ascii="Times New Roman" w:hAnsi="Times New Roman"/>
          <w:sz w:val="24"/>
          <w:szCs w:val="24"/>
        </w:rPr>
        <w:t xml:space="preserve">  </w:t>
      </w:r>
      <w:r w:rsidR="00657DBA" w:rsidRPr="00BB5FC0">
        <w:rPr>
          <w:rFonts w:ascii="Times New Roman" w:hAnsi="Times New Roman"/>
          <w:sz w:val="24"/>
          <w:szCs w:val="24"/>
        </w:rPr>
        <w:t xml:space="preserve">However, PSE ignores </w:t>
      </w:r>
      <w:r w:rsidR="006D648E" w:rsidRPr="00BB5FC0">
        <w:rPr>
          <w:rFonts w:ascii="Times New Roman" w:hAnsi="Times New Roman"/>
          <w:sz w:val="24"/>
          <w:szCs w:val="24"/>
        </w:rPr>
        <w:t>that it</w:t>
      </w:r>
      <w:r w:rsidR="00AC4220" w:rsidRPr="00BB5FC0">
        <w:rPr>
          <w:rFonts w:ascii="Times New Roman" w:hAnsi="Times New Roman"/>
          <w:sz w:val="24"/>
          <w:szCs w:val="24"/>
        </w:rPr>
        <w:t xml:space="preserve"> alone bears the burden</w:t>
      </w:r>
      <w:r w:rsidR="00657DBA" w:rsidRPr="00BB5FC0">
        <w:rPr>
          <w:rFonts w:ascii="Times New Roman" w:hAnsi="Times New Roman"/>
          <w:sz w:val="24"/>
          <w:szCs w:val="24"/>
        </w:rPr>
        <w:t xml:space="preserve"> to prove that it has me</w:t>
      </w:r>
      <w:r w:rsidR="00AC4220" w:rsidRPr="00BB5FC0">
        <w:rPr>
          <w:rFonts w:ascii="Times New Roman" w:hAnsi="Times New Roman"/>
          <w:sz w:val="24"/>
          <w:szCs w:val="24"/>
        </w:rPr>
        <w:t>t that standard.</w:t>
      </w:r>
      <w:r w:rsidR="00AC4220" w:rsidRPr="00C07FC7">
        <w:rPr>
          <w:rStyle w:val="FootnoteReference"/>
          <w:rFonts w:ascii="Times New Roman" w:hAnsi="Times New Roman"/>
          <w:sz w:val="24"/>
          <w:szCs w:val="24"/>
        </w:rPr>
        <w:footnoteReference w:id="8"/>
      </w:r>
      <w:r w:rsidR="00C213E2">
        <w:rPr>
          <w:rFonts w:ascii="Times New Roman" w:hAnsi="Times New Roman"/>
          <w:sz w:val="24"/>
          <w:szCs w:val="24"/>
        </w:rPr>
        <w:t xml:space="preserve">  The Company</w:t>
      </w:r>
      <w:r w:rsidR="00AC4220" w:rsidRPr="00BB5FC0">
        <w:rPr>
          <w:rFonts w:ascii="Times New Roman" w:hAnsi="Times New Roman"/>
          <w:sz w:val="24"/>
          <w:szCs w:val="24"/>
        </w:rPr>
        <w:t xml:space="preserve">’s burden is not one of merely coming forward with the evidence.  It is a burden of persuasion that extends to each </w:t>
      </w:r>
      <w:r w:rsidR="00BF4C25" w:rsidRPr="00BB5FC0">
        <w:rPr>
          <w:rFonts w:ascii="Times New Roman" w:hAnsi="Times New Roman"/>
          <w:sz w:val="24"/>
          <w:szCs w:val="24"/>
        </w:rPr>
        <w:t xml:space="preserve">and every </w:t>
      </w:r>
      <w:r w:rsidR="00AC4220" w:rsidRPr="00BB5FC0">
        <w:rPr>
          <w:rFonts w:ascii="Times New Roman" w:hAnsi="Times New Roman"/>
          <w:sz w:val="24"/>
          <w:szCs w:val="24"/>
        </w:rPr>
        <w:t xml:space="preserve">element by which </w:t>
      </w:r>
      <w:r w:rsidR="00E253D0" w:rsidRPr="00BB5FC0">
        <w:rPr>
          <w:rFonts w:ascii="Times New Roman" w:hAnsi="Times New Roman"/>
          <w:sz w:val="24"/>
          <w:szCs w:val="24"/>
        </w:rPr>
        <w:t xml:space="preserve">PSE seeks to justify the </w:t>
      </w:r>
      <w:r w:rsidR="00A10B66" w:rsidRPr="00BB5FC0">
        <w:rPr>
          <w:rFonts w:ascii="Times New Roman" w:hAnsi="Times New Roman"/>
          <w:sz w:val="24"/>
          <w:szCs w:val="24"/>
        </w:rPr>
        <w:t>rate increase</w:t>
      </w:r>
      <w:r w:rsidR="004306D9">
        <w:rPr>
          <w:rFonts w:ascii="Times New Roman" w:hAnsi="Times New Roman"/>
          <w:sz w:val="24"/>
          <w:szCs w:val="24"/>
        </w:rPr>
        <w:t>s</w:t>
      </w:r>
      <w:r w:rsidR="00E253D0" w:rsidRPr="00BB5FC0">
        <w:rPr>
          <w:rFonts w:ascii="Times New Roman" w:hAnsi="Times New Roman"/>
          <w:sz w:val="24"/>
          <w:szCs w:val="24"/>
        </w:rPr>
        <w:t xml:space="preserve"> it proposes</w:t>
      </w:r>
      <w:r w:rsidR="00AC4220" w:rsidRPr="00BB5FC0">
        <w:rPr>
          <w:rFonts w:ascii="Times New Roman" w:hAnsi="Times New Roman"/>
          <w:sz w:val="24"/>
          <w:szCs w:val="24"/>
        </w:rPr>
        <w:t>.</w:t>
      </w:r>
      <w:r w:rsidR="00AC4220" w:rsidRPr="00C07FC7">
        <w:rPr>
          <w:rStyle w:val="FootnoteReference"/>
          <w:rFonts w:ascii="Times New Roman" w:hAnsi="Times New Roman"/>
          <w:sz w:val="24"/>
          <w:szCs w:val="24"/>
        </w:rPr>
        <w:footnoteReference w:id="9"/>
      </w:r>
      <w:r w:rsidR="00AC4220" w:rsidRPr="00BB5FC0">
        <w:rPr>
          <w:rFonts w:ascii="Times New Roman" w:hAnsi="Times New Roman"/>
          <w:sz w:val="24"/>
          <w:szCs w:val="24"/>
        </w:rPr>
        <w:t xml:space="preserve"> </w:t>
      </w:r>
    </w:p>
    <w:p w:rsidR="00C07FC7" w:rsidRPr="00C213E2" w:rsidRDefault="00BB5FC0" w:rsidP="00C213E2">
      <w:pPr>
        <w:pStyle w:val="ListParagraph"/>
        <w:numPr>
          <w:ilvl w:val="0"/>
          <w:numId w:val="10"/>
        </w:numPr>
        <w:spacing w:line="480" w:lineRule="auto"/>
        <w:rPr>
          <w:rFonts w:ascii="Times New Roman" w:hAnsi="Times New Roman"/>
        </w:rPr>
      </w:pPr>
      <w:r>
        <w:rPr>
          <w:rFonts w:ascii="Times New Roman" w:hAnsi="Times New Roman"/>
          <w:sz w:val="24"/>
          <w:szCs w:val="24"/>
        </w:rPr>
        <w:tab/>
      </w:r>
      <w:r w:rsidR="00C07FC7" w:rsidRPr="00BB5FC0">
        <w:rPr>
          <w:rFonts w:ascii="Times New Roman" w:hAnsi="Times New Roman"/>
          <w:sz w:val="24"/>
          <w:szCs w:val="24"/>
        </w:rPr>
        <w:t>Through an exhaustive examination of the evidence and un</w:t>
      </w:r>
      <w:r w:rsidR="00F2014E" w:rsidRPr="00BB5FC0">
        <w:rPr>
          <w:rFonts w:ascii="Times New Roman" w:hAnsi="Times New Roman"/>
          <w:sz w:val="24"/>
          <w:szCs w:val="24"/>
        </w:rPr>
        <w:t>derlying ratemaking rationale</w:t>
      </w:r>
      <w:r w:rsidR="00C07FC7" w:rsidRPr="00BB5FC0">
        <w:rPr>
          <w:rFonts w:ascii="Times New Roman" w:hAnsi="Times New Roman"/>
          <w:sz w:val="24"/>
          <w:szCs w:val="24"/>
        </w:rPr>
        <w:t>, St</w:t>
      </w:r>
      <w:r w:rsidR="00DB64A6">
        <w:rPr>
          <w:rFonts w:ascii="Times New Roman" w:hAnsi="Times New Roman"/>
          <w:sz w:val="24"/>
          <w:szCs w:val="24"/>
        </w:rPr>
        <w:t>aff’s Initial Brief demonstrated</w:t>
      </w:r>
      <w:r w:rsidR="00C07FC7" w:rsidRPr="00BB5FC0">
        <w:rPr>
          <w:rFonts w:ascii="Times New Roman" w:hAnsi="Times New Roman"/>
          <w:sz w:val="24"/>
          <w:szCs w:val="24"/>
        </w:rPr>
        <w:t xml:space="preserve"> that PSE has not met its burden of proof</w:t>
      </w:r>
      <w:r w:rsidR="00E253D0" w:rsidRPr="00BB5FC0">
        <w:rPr>
          <w:rFonts w:ascii="Times New Roman" w:hAnsi="Times New Roman"/>
          <w:sz w:val="24"/>
          <w:szCs w:val="24"/>
        </w:rPr>
        <w:t>,</w:t>
      </w:r>
      <w:r w:rsidR="00C07FC7" w:rsidRPr="00BB5FC0">
        <w:rPr>
          <w:rFonts w:ascii="Times New Roman" w:hAnsi="Times New Roman"/>
          <w:sz w:val="24"/>
          <w:szCs w:val="24"/>
        </w:rPr>
        <w:t xml:space="preserve"> </w:t>
      </w:r>
      <w:r w:rsidR="00A10B66" w:rsidRPr="00BB5FC0">
        <w:rPr>
          <w:rFonts w:ascii="Times New Roman" w:hAnsi="Times New Roman"/>
          <w:sz w:val="24"/>
          <w:szCs w:val="24"/>
        </w:rPr>
        <w:t>given</w:t>
      </w:r>
      <w:r w:rsidR="00C07FC7" w:rsidRPr="00BB5FC0">
        <w:rPr>
          <w:rFonts w:ascii="Times New Roman" w:hAnsi="Times New Roman"/>
          <w:sz w:val="24"/>
          <w:szCs w:val="24"/>
        </w:rPr>
        <w:t xml:space="preserve"> </w:t>
      </w:r>
      <w:r w:rsidR="00C213E2">
        <w:rPr>
          <w:rFonts w:ascii="Times New Roman" w:hAnsi="Times New Roman"/>
          <w:sz w:val="24"/>
          <w:szCs w:val="24"/>
        </w:rPr>
        <w:t xml:space="preserve">Company </w:t>
      </w:r>
      <w:r w:rsidR="00C07FC7" w:rsidRPr="00BB5FC0">
        <w:rPr>
          <w:rFonts w:ascii="Times New Roman" w:hAnsi="Times New Roman"/>
          <w:sz w:val="24"/>
          <w:szCs w:val="24"/>
        </w:rPr>
        <w:t>proposals that sharply favor the interests of investors over the interests of ratepayers.</w:t>
      </w:r>
      <w:r w:rsidR="00BF4C25" w:rsidRPr="00BB5FC0">
        <w:rPr>
          <w:rFonts w:ascii="Times New Roman" w:hAnsi="Times New Roman"/>
          <w:sz w:val="24"/>
          <w:szCs w:val="24"/>
        </w:rPr>
        <w:t xml:space="preserve"> </w:t>
      </w:r>
      <w:r w:rsidR="00657DBA" w:rsidRPr="00BB5FC0">
        <w:rPr>
          <w:rFonts w:ascii="Times New Roman" w:hAnsi="Times New Roman"/>
          <w:sz w:val="24"/>
          <w:szCs w:val="24"/>
        </w:rPr>
        <w:t xml:space="preserve"> For example, PSE</w:t>
      </w:r>
      <w:r w:rsidR="00C07FC7" w:rsidRPr="00BB5FC0">
        <w:rPr>
          <w:rFonts w:ascii="Times New Roman" w:hAnsi="Times New Roman"/>
          <w:sz w:val="24"/>
          <w:szCs w:val="24"/>
        </w:rPr>
        <w:t xml:space="preserve"> </w:t>
      </w:r>
      <w:r w:rsidR="00A10B66" w:rsidRPr="00BB5FC0">
        <w:rPr>
          <w:rFonts w:ascii="Times New Roman" w:hAnsi="Times New Roman"/>
          <w:sz w:val="24"/>
          <w:szCs w:val="24"/>
        </w:rPr>
        <w:t xml:space="preserve">refers to </w:t>
      </w:r>
      <w:r w:rsidR="00C07FC7" w:rsidRPr="00BB5FC0">
        <w:rPr>
          <w:rFonts w:ascii="Times New Roman" w:hAnsi="Times New Roman"/>
          <w:sz w:val="24"/>
          <w:szCs w:val="24"/>
        </w:rPr>
        <w:t xml:space="preserve">other utilities to </w:t>
      </w:r>
      <w:r w:rsidR="004306D9">
        <w:rPr>
          <w:rFonts w:ascii="Times New Roman" w:hAnsi="Times New Roman"/>
          <w:sz w:val="24"/>
          <w:szCs w:val="24"/>
        </w:rPr>
        <w:t>justify a significant</w:t>
      </w:r>
      <w:r w:rsidR="00E253D0" w:rsidRPr="00BB5FC0">
        <w:rPr>
          <w:rFonts w:ascii="Times New Roman" w:hAnsi="Times New Roman"/>
          <w:sz w:val="24"/>
          <w:szCs w:val="24"/>
        </w:rPr>
        <w:t xml:space="preserve"> </w:t>
      </w:r>
      <w:r w:rsidR="00C07FC7" w:rsidRPr="00BB5FC0">
        <w:rPr>
          <w:rFonts w:ascii="Times New Roman" w:hAnsi="Times New Roman"/>
          <w:sz w:val="24"/>
          <w:szCs w:val="24"/>
        </w:rPr>
        <w:t xml:space="preserve">increase </w:t>
      </w:r>
      <w:r w:rsidR="00E253D0" w:rsidRPr="00BB5FC0">
        <w:rPr>
          <w:rFonts w:ascii="Times New Roman" w:hAnsi="Times New Roman"/>
          <w:sz w:val="24"/>
          <w:szCs w:val="24"/>
        </w:rPr>
        <w:t xml:space="preserve">in </w:t>
      </w:r>
      <w:r w:rsidR="00C07FC7" w:rsidRPr="00BB5FC0">
        <w:rPr>
          <w:rFonts w:ascii="Times New Roman" w:hAnsi="Times New Roman"/>
          <w:sz w:val="24"/>
          <w:szCs w:val="24"/>
        </w:rPr>
        <w:t xml:space="preserve">its authorized </w:t>
      </w:r>
      <w:r w:rsidR="00A10B66" w:rsidRPr="00BB5FC0">
        <w:rPr>
          <w:rFonts w:ascii="Times New Roman" w:hAnsi="Times New Roman"/>
          <w:sz w:val="24"/>
          <w:szCs w:val="24"/>
        </w:rPr>
        <w:t>return on equity</w:t>
      </w:r>
      <w:r w:rsidR="006D648E" w:rsidRPr="00BB5FC0">
        <w:rPr>
          <w:rFonts w:ascii="Times New Roman" w:hAnsi="Times New Roman"/>
          <w:sz w:val="24"/>
          <w:szCs w:val="24"/>
        </w:rPr>
        <w:t xml:space="preserve"> from 10.15 percent to 10.8 percent</w:t>
      </w:r>
      <w:r w:rsidR="00C07FC7" w:rsidRPr="00BB5FC0">
        <w:rPr>
          <w:rFonts w:ascii="Times New Roman" w:hAnsi="Times New Roman"/>
          <w:sz w:val="24"/>
          <w:szCs w:val="24"/>
        </w:rPr>
        <w:t>,</w:t>
      </w:r>
      <w:r w:rsidR="006D648E">
        <w:rPr>
          <w:rStyle w:val="FootnoteReference"/>
          <w:rFonts w:ascii="Times New Roman" w:hAnsi="Times New Roman"/>
          <w:sz w:val="24"/>
          <w:szCs w:val="24"/>
        </w:rPr>
        <w:footnoteReference w:id="10"/>
      </w:r>
      <w:r w:rsidR="004306D9">
        <w:rPr>
          <w:rFonts w:ascii="Times New Roman" w:hAnsi="Times New Roman"/>
          <w:sz w:val="24"/>
          <w:szCs w:val="24"/>
        </w:rPr>
        <w:t xml:space="preserve"> rather than reducing the  </w:t>
      </w:r>
      <w:r w:rsidR="00C07FC7" w:rsidRPr="00BB5FC0">
        <w:rPr>
          <w:rFonts w:ascii="Times New Roman" w:hAnsi="Times New Roman"/>
          <w:sz w:val="24"/>
          <w:szCs w:val="24"/>
        </w:rPr>
        <w:t xml:space="preserve"> return </w:t>
      </w:r>
      <w:r w:rsidR="004306D9">
        <w:rPr>
          <w:rFonts w:ascii="Times New Roman" w:hAnsi="Times New Roman"/>
          <w:sz w:val="24"/>
          <w:szCs w:val="24"/>
        </w:rPr>
        <w:t xml:space="preserve">on equity </w:t>
      </w:r>
      <w:r w:rsidR="00C07FC7" w:rsidRPr="00BB5FC0">
        <w:rPr>
          <w:rFonts w:ascii="Times New Roman" w:hAnsi="Times New Roman"/>
          <w:sz w:val="24"/>
          <w:szCs w:val="24"/>
        </w:rPr>
        <w:t>in order to give ratepay</w:t>
      </w:r>
      <w:r w:rsidR="006D648E" w:rsidRPr="00BB5FC0">
        <w:rPr>
          <w:rFonts w:ascii="Times New Roman" w:hAnsi="Times New Roman"/>
          <w:sz w:val="24"/>
          <w:szCs w:val="24"/>
        </w:rPr>
        <w:t>ers the benefit of c</w:t>
      </w:r>
      <w:r w:rsidR="00C07FC7" w:rsidRPr="00BB5FC0">
        <w:rPr>
          <w:rFonts w:ascii="Times New Roman" w:hAnsi="Times New Roman"/>
          <w:sz w:val="24"/>
          <w:szCs w:val="24"/>
        </w:rPr>
        <w:t>apital costs</w:t>
      </w:r>
      <w:r w:rsidR="00556F73" w:rsidRPr="00BB5FC0">
        <w:rPr>
          <w:rFonts w:ascii="Times New Roman" w:hAnsi="Times New Roman"/>
          <w:sz w:val="24"/>
          <w:szCs w:val="24"/>
        </w:rPr>
        <w:t xml:space="preserve"> </w:t>
      </w:r>
      <w:r w:rsidR="00E253D0" w:rsidRPr="00BB5FC0">
        <w:rPr>
          <w:rFonts w:ascii="Times New Roman" w:hAnsi="Times New Roman"/>
          <w:sz w:val="24"/>
          <w:szCs w:val="24"/>
        </w:rPr>
        <w:t>that have declin</w:t>
      </w:r>
      <w:r w:rsidR="00F2014E" w:rsidRPr="00BB5FC0">
        <w:rPr>
          <w:rFonts w:ascii="Times New Roman" w:hAnsi="Times New Roman"/>
          <w:sz w:val="24"/>
          <w:szCs w:val="24"/>
        </w:rPr>
        <w:t xml:space="preserve">ed unmistakably </w:t>
      </w:r>
      <w:r w:rsidR="00DB64A6">
        <w:rPr>
          <w:rFonts w:ascii="Times New Roman" w:hAnsi="Times New Roman"/>
          <w:sz w:val="24"/>
          <w:szCs w:val="24"/>
        </w:rPr>
        <w:t xml:space="preserve">since </w:t>
      </w:r>
      <w:r w:rsidR="00E253D0" w:rsidRPr="00BB5FC0">
        <w:rPr>
          <w:rFonts w:ascii="Times New Roman" w:hAnsi="Times New Roman"/>
          <w:sz w:val="24"/>
          <w:szCs w:val="24"/>
        </w:rPr>
        <w:t>the 2008 financial crisis</w:t>
      </w:r>
      <w:r w:rsidR="00C07FC7" w:rsidRPr="00BB5FC0">
        <w:rPr>
          <w:rFonts w:ascii="Times New Roman" w:hAnsi="Times New Roman"/>
          <w:sz w:val="24"/>
          <w:szCs w:val="24"/>
        </w:rPr>
        <w:t>.</w:t>
      </w:r>
      <w:r w:rsidR="006D648E">
        <w:rPr>
          <w:rStyle w:val="FootnoteReference"/>
          <w:rFonts w:ascii="Times New Roman" w:hAnsi="Times New Roman"/>
          <w:sz w:val="24"/>
          <w:szCs w:val="24"/>
        </w:rPr>
        <w:footnoteReference w:id="11"/>
      </w:r>
      <w:r w:rsidR="00BF4C25" w:rsidRPr="00BB5FC0">
        <w:rPr>
          <w:rFonts w:ascii="Times New Roman" w:hAnsi="Times New Roman"/>
          <w:sz w:val="24"/>
          <w:szCs w:val="24"/>
        </w:rPr>
        <w:t xml:space="preserve">  Likewise, PSE </w:t>
      </w:r>
      <w:r w:rsidR="00E253D0" w:rsidRPr="00BB5FC0">
        <w:rPr>
          <w:rFonts w:ascii="Times New Roman" w:hAnsi="Times New Roman"/>
          <w:sz w:val="24"/>
          <w:szCs w:val="24"/>
        </w:rPr>
        <w:t xml:space="preserve">proposes </w:t>
      </w:r>
      <w:r w:rsidR="006413F7" w:rsidRPr="00BB5FC0">
        <w:rPr>
          <w:rFonts w:ascii="Times New Roman" w:hAnsi="Times New Roman"/>
          <w:sz w:val="24"/>
          <w:szCs w:val="24"/>
        </w:rPr>
        <w:t xml:space="preserve">numerous </w:t>
      </w:r>
      <w:r w:rsidR="00E253D0" w:rsidRPr="00BB5FC0">
        <w:rPr>
          <w:rFonts w:ascii="Times New Roman" w:hAnsi="Times New Roman"/>
          <w:sz w:val="24"/>
          <w:szCs w:val="24"/>
        </w:rPr>
        <w:t>r</w:t>
      </w:r>
      <w:r w:rsidR="00DB64A6">
        <w:rPr>
          <w:rFonts w:ascii="Times New Roman" w:hAnsi="Times New Roman"/>
          <w:sz w:val="24"/>
          <w:szCs w:val="24"/>
        </w:rPr>
        <w:t xml:space="preserve">atemaking adjustments based </w:t>
      </w:r>
      <w:r w:rsidR="00E253D0" w:rsidRPr="00BB5FC0">
        <w:rPr>
          <w:rFonts w:ascii="Times New Roman" w:hAnsi="Times New Roman"/>
          <w:sz w:val="24"/>
          <w:szCs w:val="24"/>
        </w:rPr>
        <w:t xml:space="preserve">on </w:t>
      </w:r>
      <w:r w:rsidR="006413F7" w:rsidRPr="00BB5FC0">
        <w:rPr>
          <w:rFonts w:ascii="Times New Roman" w:hAnsi="Times New Roman"/>
          <w:sz w:val="24"/>
          <w:szCs w:val="24"/>
        </w:rPr>
        <w:t>unverified</w:t>
      </w:r>
      <w:r w:rsidR="00DF0CC2" w:rsidRPr="00BB5FC0">
        <w:rPr>
          <w:rFonts w:ascii="Times New Roman" w:hAnsi="Times New Roman"/>
          <w:sz w:val="24"/>
          <w:szCs w:val="24"/>
        </w:rPr>
        <w:t xml:space="preserve">, budget projections </w:t>
      </w:r>
      <w:r w:rsidR="00556F73" w:rsidRPr="00BB5FC0">
        <w:rPr>
          <w:rFonts w:ascii="Times New Roman" w:hAnsi="Times New Roman"/>
          <w:sz w:val="24"/>
          <w:szCs w:val="24"/>
        </w:rPr>
        <w:t>that</w:t>
      </w:r>
      <w:r w:rsidR="00E253D0" w:rsidRPr="00BB5FC0">
        <w:rPr>
          <w:rFonts w:ascii="Times New Roman" w:hAnsi="Times New Roman"/>
          <w:sz w:val="24"/>
          <w:szCs w:val="24"/>
        </w:rPr>
        <w:t xml:space="preserve"> increa</w:t>
      </w:r>
      <w:r w:rsidR="006413F7" w:rsidRPr="00BB5FC0">
        <w:rPr>
          <w:rFonts w:ascii="Times New Roman" w:hAnsi="Times New Roman"/>
          <w:sz w:val="24"/>
          <w:szCs w:val="24"/>
        </w:rPr>
        <w:t>se ratepayer r</w:t>
      </w:r>
      <w:r w:rsidR="00DF0CC2" w:rsidRPr="00BB5FC0">
        <w:rPr>
          <w:rFonts w:ascii="Times New Roman" w:hAnsi="Times New Roman"/>
          <w:sz w:val="24"/>
          <w:szCs w:val="24"/>
        </w:rPr>
        <w:t xml:space="preserve">esponsibility above levels </w:t>
      </w:r>
      <w:r w:rsidR="00556F73" w:rsidRPr="00BB5FC0">
        <w:rPr>
          <w:rFonts w:ascii="Times New Roman" w:hAnsi="Times New Roman"/>
          <w:sz w:val="24"/>
          <w:szCs w:val="24"/>
        </w:rPr>
        <w:t xml:space="preserve">produced by </w:t>
      </w:r>
      <w:r w:rsidR="006413F7" w:rsidRPr="00BB5FC0">
        <w:rPr>
          <w:rFonts w:ascii="Times New Roman" w:hAnsi="Times New Roman"/>
          <w:sz w:val="24"/>
          <w:szCs w:val="24"/>
        </w:rPr>
        <w:t>pro forma adjustment</w:t>
      </w:r>
      <w:r w:rsidR="00556F73" w:rsidRPr="00BB5FC0">
        <w:rPr>
          <w:rFonts w:ascii="Times New Roman" w:hAnsi="Times New Roman"/>
          <w:sz w:val="24"/>
          <w:szCs w:val="24"/>
        </w:rPr>
        <w:t>s</w:t>
      </w:r>
      <w:r w:rsidR="006413F7" w:rsidRPr="00BB5FC0">
        <w:rPr>
          <w:rFonts w:ascii="Times New Roman" w:hAnsi="Times New Roman"/>
          <w:sz w:val="24"/>
          <w:szCs w:val="24"/>
        </w:rPr>
        <w:t xml:space="preserve"> </w:t>
      </w:r>
      <w:r w:rsidR="0052635A" w:rsidRPr="00BB5FC0">
        <w:rPr>
          <w:rFonts w:ascii="Times New Roman" w:hAnsi="Times New Roman"/>
          <w:sz w:val="24"/>
          <w:szCs w:val="24"/>
        </w:rPr>
        <w:t xml:space="preserve">that </w:t>
      </w:r>
      <w:r w:rsidR="00DB64A6">
        <w:rPr>
          <w:rFonts w:ascii="Times New Roman" w:hAnsi="Times New Roman"/>
          <w:sz w:val="24"/>
          <w:szCs w:val="24"/>
        </w:rPr>
        <w:t>meet Commission</w:t>
      </w:r>
      <w:r w:rsidR="000668C7" w:rsidRPr="00BB5FC0">
        <w:rPr>
          <w:rFonts w:ascii="Times New Roman" w:hAnsi="Times New Roman"/>
          <w:sz w:val="24"/>
          <w:szCs w:val="24"/>
        </w:rPr>
        <w:t xml:space="preserve"> rules </w:t>
      </w:r>
      <w:r w:rsidR="000668C7" w:rsidRPr="00BB5FC0">
        <w:rPr>
          <w:rFonts w:ascii="Times New Roman" w:hAnsi="Times New Roman"/>
          <w:sz w:val="24"/>
          <w:szCs w:val="24"/>
        </w:rPr>
        <w:lastRenderedPageBreak/>
        <w:t>for such adjustments.</w:t>
      </w:r>
      <w:r w:rsidR="00C213E2">
        <w:rPr>
          <w:rFonts w:ascii="Times New Roman" w:hAnsi="Times New Roman"/>
          <w:sz w:val="24"/>
          <w:szCs w:val="24"/>
        </w:rPr>
        <w:t xml:space="preserve">  </w:t>
      </w:r>
      <w:r w:rsidR="00C213E2" w:rsidRPr="00C213E2">
        <w:rPr>
          <w:rFonts w:ascii="Times New Roman" w:hAnsi="Times New Roman"/>
          <w:sz w:val="24"/>
          <w:szCs w:val="24"/>
        </w:rPr>
        <w:t xml:space="preserve">Staff’s presentation corrects </w:t>
      </w:r>
      <w:r w:rsidR="004306D9">
        <w:rPr>
          <w:rFonts w:ascii="Times New Roman" w:hAnsi="Times New Roman"/>
          <w:sz w:val="24"/>
          <w:szCs w:val="24"/>
        </w:rPr>
        <w:t xml:space="preserve">all of </w:t>
      </w:r>
      <w:r w:rsidR="00C213E2" w:rsidRPr="00C213E2">
        <w:rPr>
          <w:rFonts w:ascii="Times New Roman" w:hAnsi="Times New Roman"/>
          <w:sz w:val="24"/>
          <w:szCs w:val="24"/>
        </w:rPr>
        <w:t xml:space="preserve">these deficiencies and strikes a fair balance </w:t>
      </w:r>
      <w:r w:rsidR="00C213E2">
        <w:rPr>
          <w:rFonts w:ascii="Times New Roman" w:hAnsi="Times New Roman"/>
          <w:sz w:val="24"/>
          <w:szCs w:val="24"/>
        </w:rPr>
        <w:t>of ratepayer and investor interests.</w:t>
      </w:r>
    </w:p>
    <w:p w:rsidR="00417755" w:rsidRDefault="00BB5FC0" w:rsidP="00243407">
      <w:pPr>
        <w:pStyle w:val="FootnoteText"/>
        <w:keepNext/>
        <w:spacing w:line="480" w:lineRule="auto"/>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sidR="005907EF">
        <w:rPr>
          <w:rFonts w:ascii="Times New Roman" w:hAnsi="Times New Roman"/>
          <w:b/>
          <w:sz w:val="24"/>
          <w:szCs w:val="24"/>
        </w:rPr>
        <w:t xml:space="preserve">The Commission Should Reject the Company’s Proposed </w:t>
      </w:r>
      <w:r w:rsidR="00417755">
        <w:rPr>
          <w:rFonts w:ascii="Times New Roman" w:hAnsi="Times New Roman"/>
          <w:b/>
          <w:sz w:val="24"/>
          <w:szCs w:val="24"/>
        </w:rPr>
        <w:t>Cost of Capital</w:t>
      </w:r>
    </w:p>
    <w:p w:rsidR="00C96CCD" w:rsidRDefault="00BB5FC0" w:rsidP="00243407">
      <w:pPr>
        <w:pStyle w:val="FootnoteText"/>
        <w:keepNext/>
        <w:spacing w:line="480" w:lineRule="auto"/>
        <w:rPr>
          <w:rFonts w:ascii="Times New Roman" w:hAnsi="Times New Roman"/>
          <w:b/>
          <w:sz w:val="24"/>
          <w:szCs w:val="24"/>
        </w:rPr>
      </w:pPr>
      <w:r>
        <w:rPr>
          <w:rFonts w:ascii="Times New Roman" w:hAnsi="Times New Roman"/>
          <w:b/>
          <w:sz w:val="24"/>
          <w:szCs w:val="24"/>
        </w:rPr>
        <w:tab/>
        <w:t>1.</w:t>
      </w:r>
      <w:r>
        <w:rPr>
          <w:rFonts w:ascii="Times New Roman" w:hAnsi="Times New Roman"/>
          <w:b/>
          <w:sz w:val="24"/>
          <w:szCs w:val="24"/>
        </w:rPr>
        <w:tab/>
      </w:r>
      <w:r w:rsidR="00BF0318">
        <w:rPr>
          <w:rFonts w:ascii="Times New Roman" w:hAnsi="Times New Roman"/>
          <w:b/>
          <w:sz w:val="24"/>
          <w:szCs w:val="24"/>
        </w:rPr>
        <w:t>Capital Structure</w:t>
      </w:r>
    </w:p>
    <w:p w:rsidR="00C96CCD" w:rsidRPr="00C96CCD" w:rsidRDefault="00BB5FC0" w:rsidP="00BB5FC0">
      <w:pPr>
        <w:pStyle w:val="FootnoteText"/>
        <w:numPr>
          <w:ilvl w:val="0"/>
          <w:numId w:val="10"/>
        </w:numPr>
        <w:spacing w:line="480" w:lineRule="auto"/>
        <w:rPr>
          <w:rFonts w:ascii="Times New Roman" w:hAnsi="Times New Roman"/>
          <w:b/>
          <w:sz w:val="24"/>
          <w:szCs w:val="24"/>
        </w:rPr>
      </w:pPr>
      <w:r>
        <w:rPr>
          <w:rFonts w:ascii="Times New Roman" w:hAnsi="Times New Roman"/>
          <w:sz w:val="24"/>
          <w:szCs w:val="24"/>
        </w:rPr>
        <w:tab/>
      </w:r>
      <w:r w:rsidR="004467A4" w:rsidRPr="00C96CCD">
        <w:rPr>
          <w:rFonts w:ascii="Times New Roman" w:hAnsi="Times New Roman"/>
          <w:sz w:val="24"/>
          <w:szCs w:val="24"/>
        </w:rPr>
        <w:t xml:space="preserve">The Company’s argument in support of its proposed </w:t>
      </w:r>
      <w:r w:rsidR="005F3547">
        <w:rPr>
          <w:rFonts w:ascii="Times New Roman" w:hAnsi="Times New Roman"/>
          <w:sz w:val="24"/>
          <w:szCs w:val="24"/>
        </w:rPr>
        <w:t xml:space="preserve">capital structure with </w:t>
      </w:r>
      <w:r w:rsidR="004467A4" w:rsidRPr="00C96CCD">
        <w:rPr>
          <w:rFonts w:ascii="Times New Roman" w:hAnsi="Times New Roman"/>
          <w:sz w:val="24"/>
          <w:szCs w:val="24"/>
        </w:rPr>
        <w:t xml:space="preserve">48 percent </w:t>
      </w:r>
      <w:r w:rsidR="00FB7B5E">
        <w:rPr>
          <w:rFonts w:ascii="Times New Roman" w:hAnsi="Times New Roman"/>
          <w:sz w:val="24"/>
          <w:szCs w:val="24"/>
        </w:rPr>
        <w:t xml:space="preserve">common </w:t>
      </w:r>
      <w:r w:rsidR="005F3547">
        <w:rPr>
          <w:rFonts w:ascii="Times New Roman" w:hAnsi="Times New Roman"/>
          <w:sz w:val="24"/>
          <w:szCs w:val="24"/>
        </w:rPr>
        <w:t xml:space="preserve">equity </w:t>
      </w:r>
      <w:r w:rsidR="00271025">
        <w:rPr>
          <w:rFonts w:ascii="Times New Roman" w:hAnsi="Times New Roman"/>
          <w:sz w:val="24"/>
          <w:szCs w:val="24"/>
        </w:rPr>
        <w:t xml:space="preserve">succeeds only in highlighting the shortcomings of </w:t>
      </w:r>
      <w:r w:rsidR="004467A4" w:rsidRPr="00C96CCD">
        <w:rPr>
          <w:rFonts w:ascii="Times New Roman" w:hAnsi="Times New Roman"/>
          <w:sz w:val="24"/>
          <w:szCs w:val="24"/>
        </w:rPr>
        <w:t xml:space="preserve">its evidentiary presentation.  </w:t>
      </w:r>
      <w:r w:rsidR="00C96CCD" w:rsidRPr="00C96CCD">
        <w:rPr>
          <w:rFonts w:ascii="Times New Roman" w:hAnsi="Times New Roman"/>
          <w:sz w:val="24"/>
          <w:szCs w:val="24"/>
        </w:rPr>
        <w:t xml:space="preserve">PSE </w:t>
      </w:r>
      <w:r w:rsidR="0030217E">
        <w:rPr>
          <w:rFonts w:ascii="Times New Roman" w:hAnsi="Times New Roman"/>
          <w:sz w:val="24"/>
          <w:szCs w:val="24"/>
        </w:rPr>
        <w:t xml:space="preserve">states that its proposal </w:t>
      </w:r>
      <w:r w:rsidR="00C96CCD" w:rsidRPr="00C96CCD">
        <w:rPr>
          <w:rFonts w:ascii="Times New Roman" w:hAnsi="Times New Roman"/>
          <w:sz w:val="24"/>
          <w:szCs w:val="24"/>
        </w:rPr>
        <w:t xml:space="preserve">reflects </w:t>
      </w:r>
      <w:r w:rsidR="00C96CCD">
        <w:rPr>
          <w:rFonts w:ascii="Times New Roman" w:hAnsi="Times New Roman"/>
          <w:sz w:val="24"/>
          <w:szCs w:val="24"/>
        </w:rPr>
        <w:t xml:space="preserve">the </w:t>
      </w:r>
      <w:r w:rsidR="00C96CCD" w:rsidRPr="00C96CCD">
        <w:rPr>
          <w:rFonts w:ascii="Times New Roman" w:hAnsi="Times New Roman"/>
          <w:sz w:val="24"/>
          <w:szCs w:val="24"/>
        </w:rPr>
        <w:t>Commission</w:t>
      </w:r>
      <w:r w:rsidR="00C96CCD">
        <w:rPr>
          <w:rFonts w:ascii="Times New Roman" w:hAnsi="Times New Roman"/>
          <w:sz w:val="24"/>
          <w:szCs w:val="24"/>
        </w:rPr>
        <w:t>’s</w:t>
      </w:r>
      <w:r w:rsidR="00C96CCD" w:rsidRPr="00C96CCD">
        <w:rPr>
          <w:rFonts w:ascii="Times New Roman" w:hAnsi="Times New Roman"/>
          <w:sz w:val="24"/>
          <w:szCs w:val="24"/>
        </w:rPr>
        <w:t xml:space="preserve"> approach to adopt a</w:t>
      </w:r>
      <w:r w:rsidR="00FB7B5E">
        <w:rPr>
          <w:rFonts w:ascii="Times New Roman" w:hAnsi="Times New Roman"/>
          <w:sz w:val="24"/>
          <w:szCs w:val="24"/>
        </w:rPr>
        <w:t xml:space="preserve"> common</w:t>
      </w:r>
      <w:r w:rsidR="00C96CCD" w:rsidRPr="00C96CCD">
        <w:rPr>
          <w:rFonts w:ascii="Times New Roman" w:hAnsi="Times New Roman"/>
          <w:sz w:val="24"/>
          <w:szCs w:val="24"/>
        </w:rPr>
        <w:t xml:space="preserve"> equity ratio that is </w:t>
      </w:r>
      <w:r w:rsidR="00AD56C1">
        <w:rPr>
          <w:rFonts w:ascii="Times New Roman" w:hAnsi="Times New Roman"/>
          <w:sz w:val="24"/>
          <w:szCs w:val="24"/>
        </w:rPr>
        <w:t xml:space="preserve">most likely to prevail during </w:t>
      </w:r>
      <w:r w:rsidR="00C96CCD" w:rsidRPr="00C96CCD">
        <w:rPr>
          <w:rFonts w:ascii="Times New Roman" w:hAnsi="Times New Roman"/>
          <w:sz w:val="24"/>
          <w:szCs w:val="24"/>
        </w:rPr>
        <w:t>rate year.</w:t>
      </w:r>
      <w:r w:rsidR="00C96CCD">
        <w:rPr>
          <w:rStyle w:val="FootnoteReference"/>
          <w:rFonts w:ascii="Times New Roman" w:hAnsi="Times New Roman"/>
          <w:sz w:val="24"/>
          <w:szCs w:val="24"/>
        </w:rPr>
        <w:footnoteReference w:id="12"/>
      </w:r>
      <w:r w:rsidR="004467A4" w:rsidRPr="00C96CCD">
        <w:rPr>
          <w:rFonts w:ascii="Times New Roman" w:hAnsi="Times New Roman"/>
          <w:sz w:val="24"/>
          <w:szCs w:val="24"/>
        </w:rPr>
        <w:t xml:space="preserve"> </w:t>
      </w:r>
      <w:r w:rsidR="00AD56C1">
        <w:rPr>
          <w:rFonts w:ascii="Times New Roman" w:hAnsi="Times New Roman"/>
          <w:sz w:val="24"/>
          <w:szCs w:val="24"/>
        </w:rPr>
        <w:t xml:space="preserve"> Experience</w:t>
      </w:r>
      <w:r w:rsidR="00C96CCD" w:rsidRPr="00C96CCD">
        <w:rPr>
          <w:rFonts w:ascii="Times New Roman" w:hAnsi="Times New Roman"/>
          <w:sz w:val="24"/>
          <w:szCs w:val="24"/>
        </w:rPr>
        <w:t xml:space="preserve">, however, </w:t>
      </w:r>
      <w:r w:rsidR="002B5B4C">
        <w:rPr>
          <w:rFonts w:ascii="Times New Roman" w:hAnsi="Times New Roman"/>
          <w:sz w:val="24"/>
          <w:szCs w:val="24"/>
        </w:rPr>
        <w:t>undermines the Compan</w:t>
      </w:r>
      <w:r w:rsidR="00AD56C1">
        <w:rPr>
          <w:rFonts w:ascii="Times New Roman" w:hAnsi="Times New Roman"/>
          <w:sz w:val="24"/>
          <w:szCs w:val="24"/>
        </w:rPr>
        <w:t xml:space="preserve">y’s credibility </w:t>
      </w:r>
      <w:r w:rsidR="0030217E">
        <w:rPr>
          <w:rFonts w:ascii="Times New Roman" w:hAnsi="Times New Roman"/>
          <w:sz w:val="24"/>
          <w:szCs w:val="24"/>
        </w:rPr>
        <w:t xml:space="preserve">that a 48 percent </w:t>
      </w:r>
      <w:r w:rsidR="00FB7B5E">
        <w:rPr>
          <w:rFonts w:ascii="Times New Roman" w:hAnsi="Times New Roman"/>
          <w:sz w:val="24"/>
          <w:szCs w:val="24"/>
        </w:rPr>
        <w:t xml:space="preserve">common </w:t>
      </w:r>
      <w:r w:rsidR="0030217E">
        <w:rPr>
          <w:rFonts w:ascii="Times New Roman" w:hAnsi="Times New Roman"/>
          <w:sz w:val="24"/>
          <w:szCs w:val="24"/>
        </w:rPr>
        <w:t xml:space="preserve">equity ratio </w:t>
      </w:r>
      <w:r w:rsidR="002B5B4C">
        <w:rPr>
          <w:rFonts w:ascii="Times New Roman" w:hAnsi="Times New Roman"/>
          <w:sz w:val="24"/>
          <w:szCs w:val="24"/>
        </w:rPr>
        <w:t>will meet that test.</w:t>
      </w:r>
      <w:r w:rsidR="00C96CCD" w:rsidRPr="00C96CCD">
        <w:rPr>
          <w:rFonts w:ascii="Times New Roman" w:hAnsi="Times New Roman"/>
          <w:sz w:val="24"/>
          <w:szCs w:val="24"/>
        </w:rPr>
        <w:t xml:space="preserve"> </w:t>
      </w:r>
      <w:r w:rsidR="00C96CCD">
        <w:rPr>
          <w:rFonts w:ascii="Times New Roman" w:hAnsi="Times New Roman"/>
          <w:sz w:val="24"/>
          <w:szCs w:val="24"/>
        </w:rPr>
        <w:t xml:space="preserve"> </w:t>
      </w:r>
      <w:r w:rsidR="00C96CCD" w:rsidRPr="00C96CCD">
        <w:rPr>
          <w:rFonts w:ascii="Times New Roman" w:hAnsi="Times New Roman"/>
          <w:sz w:val="24"/>
          <w:szCs w:val="24"/>
        </w:rPr>
        <w:t xml:space="preserve">PSE </w:t>
      </w:r>
      <w:r w:rsidR="0030217E">
        <w:rPr>
          <w:rFonts w:ascii="Times New Roman" w:hAnsi="Times New Roman"/>
          <w:sz w:val="24"/>
          <w:szCs w:val="24"/>
        </w:rPr>
        <w:t xml:space="preserve">has </w:t>
      </w:r>
      <w:r w:rsidR="00C96CCD" w:rsidRPr="00C96CCD">
        <w:rPr>
          <w:rFonts w:ascii="Times New Roman" w:hAnsi="Times New Roman"/>
          <w:sz w:val="24"/>
          <w:szCs w:val="24"/>
        </w:rPr>
        <w:t xml:space="preserve">requested a </w:t>
      </w:r>
      <w:r w:rsidR="00AD56C1">
        <w:rPr>
          <w:rFonts w:ascii="Times New Roman" w:hAnsi="Times New Roman"/>
          <w:sz w:val="24"/>
          <w:szCs w:val="24"/>
        </w:rPr>
        <w:t xml:space="preserve">common equity ratio of </w:t>
      </w:r>
      <w:r w:rsidR="00C96CCD" w:rsidRPr="00C96CCD">
        <w:rPr>
          <w:rFonts w:ascii="Times New Roman" w:hAnsi="Times New Roman"/>
          <w:sz w:val="24"/>
          <w:szCs w:val="24"/>
        </w:rPr>
        <w:t>45 percent</w:t>
      </w:r>
      <w:r w:rsidR="00AD56C1">
        <w:rPr>
          <w:rFonts w:ascii="Times New Roman" w:hAnsi="Times New Roman"/>
          <w:sz w:val="24"/>
          <w:szCs w:val="24"/>
        </w:rPr>
        <w:t xml:space="preserve"> </w:t>
      </w:r>
      <w:r w:rsidR="0030217E">
        <w:rPr>
          <w:rFonts w:ascii="Times New Roman" w:hAnsi="Times New Roman"/>
          <w:sz w:val="24"/>
          <w:szCs w:val="24"/>
        </w:rPr>
        <w:t xml:space="preserve">in its last five cases </w:t>
      </w:r>
      <w:r w:rsidR="00AD56C1">
        <w:rPr>
          <w:rFonts w:ascii="Times New Roman" w:hAnsi="Times New Roman"/>
          <w:sz w:val="24"/>
          <w:szCs w:val="24"/>
        </w:rPr>
        <w:t xml:space="preserve">despite much lower </w:t>
      </w:r>
      <w:r w:rsidR="00C96CCD" w:rsidRPr="00C96CCD">
        <w:rPr>
          <w:rFonts w:ascii="Times New Roman" w:hAnsi="Times New Roman"/>
          <w:sz w:val="24"/>
          <w:szCs w:val="24"/>
        </w:rPr>
        <w:t>year-end actual common equity ratios of 40.11 percent (2004), 43.84 percent (2005), 39.81 percent (2006), and 39.58 percent (2007)</w:t>
      </w:r>
      <w:r w:rsidR="0030217E">
        <w:rPr>
          <w:rFonts w:ascii="Times New Roman" w:hAnsi="Times New Roman"/>
          <w:sz w:val="24"/>
          <w:szCs w:val="24"/>
        </w:rPr>
        <w:t xml:space="preserve"> and 37.97 (2008)</w:t>
      </w:r>
      <w:r w:rsidR="00C96CCD" w:rsidRPr="00C96CCD">
        <w:rPr>
          <w:rFonts w:ascii="Times New Roman" w:hAnsi="Times New Roman"/>
          <w:sz w:val="24"/>
          <w:szCs w:val="24"/>
        </w:rPr>
        <w:t>.</w:t>
      </w:r>
      <w:r w:rsidR="00C96CCD">
        <w:rPr>
          <w:rStyle w:val="FootnoteReference"/>
          <w:rFonts w:ascii="Times New Roman" w:hAnsi="Times New Roman"/>
          <w:sz w:val="24"/>
          <w:szCs w:val="24"/>
        </w:rPr>
        <w:footnoteReference w:id="13"/>
      </w:r>
      <w:r w:rsidR="00C96CCD" w:rsidRPr="00C96CCD">
        <w:rPr>
          <w:rFonts w:ascii="Times New Roman" w:hAnsi="Times New Roman"/>
          <w:sz w:val="24"/>
          <w:szCs w:val="24"/>
        </w:rPr>
        <w:t xml:space="preserve">  </w:t>
      </w:r>
      <w:r w:rsidR="00C96CCD" w:rsidRPr="00803D18">
        <w:rPr>
          <w:rFonts w:ascii="Times New Roman" w:hAnsi="Times New Roman"/>
          <w:sz w:val="24"/>
          <w:szCs w:val="24"/>
        </w:rPr>
        <w:t>The Commission has also typically adopted a lower common equit</w:t>
      </w:r>
      <w:r w:rsidR="00C213E2">
        <w:rPr>
          <w:rFonts w:ascii="Times New Roman" w:hAnsi="Times New Roman"/>
          <w:sz w:val="24"/>
          <w:szCs w:val="24"/>
        </w:rPr>
        <w:t xml:space="preserve">y ratio than the 45 percent </w:t>
      </w:r>
      <w:r w:rsidR="00C96CCD" w:rsidRPr="00803D18">
        <w:rPr>
          <w:rFonts w:ascii="Times New Roman" w:hAnsi="Times New Roman"/>
          <w:sz w:val="24"/>
          <w:szCs w:val="24"/>
        </w:rPr>
        <w:t>requested</w:t>
      </w:r>
      <w:r w:rsidR="00C213E2">
        <w:rPr>
          <w:rFonts w:ascii="Times New Roman" w:hAnsi="Times New Roman"/>
          <w:sz w:val="24"/>
          <w:szCs w:val="24"/>
        </w:rPr>
        <w:t xml:space="preserve"> by the Company</w:t>
      </w:r>
      <w:r w:rsidR="00C96CCD" w:rsidRPr="00803D18">
        <w:rPr>
          <w:rFonts w:ascii="Times New Roman" w:hAnsi="Times New Roman"/>
          <w:sz w:val="24"/>
          <w:szCs w:val="24"/>
        </w:rPr>
        <w:t>:  40.0% (Dockets UE-011570/UG-011571); 43.0% (Dockets UE-040641/UG-040640); 44.0% (Dockets UE-060266/UG-060267); and 46.0% (Dockets UE-072300/UG-072301).</w:t>
      </w:r>
      <w:r w:rsidR="00C96CCD">
        <w:rPr>
          <w:rStyle w:val="FootnoteReference"/>
          <w:rFonts w:ascii="Times New Roman" w:hAnsi="Times New Roman"/>
          <w:sz w:val="24"/>
          <w:szCs w:val="24"/>
        </w:rPr>
        <w:footnoteReference w:id="14"/>
      </w:r>
    </w:p>
    <w:p w:rsidR="00BF0318" w:rsidRPr="00BF0318" w:rsidRDefault="00BB5FC0" w:rsidP="00BB5FC0">
      <w:pPr>
        <w:pStyle w:val="FootnoteText"/>
        <w:numPr>
          <w:ilvl w:val="0"/>
          <w:numId w:val="10"/>
        </w:numPr>
        <w:spacing w:line="480" w:lineRule="auto"/>
        <w:rPr>
          <w:rFonts w:ascii="Times New Roman" w:hAnsi="Times New Roman"/>
          <w:sz w:val="24"/>
          <w:szCs w:val="24"/>
        </w:rPr>
      </w:pPr>
      <w:r>
        <w:rPr>
          <w:rFonts w:ascii="Times New Roman" w:hAnsi="Times New Roman"/>
          <w:sz w:val="24"/>
          <w:szCs w:val="24"/>
        </w:rPr>
        <w:tab/>
      </w:r>
      <w:r w:rsidR="00271025">
        <w:rPr>
          <w:rFonts w:ascii="Times New Roman" w:hAnsi="Times New Roman"/>
          <w:sz w:val="24"/>
          <w:szCs w:val="24"/>
        </w:rPr>
        <w:t>T</w:t>
      </w:r>
      <w:r w:rsidR="00767CF3">
        <w:rPr>
          <w:rFonts w:ascii="Times New Roman" w:hAnsi="Times New Roman"/>
          <w:sz w:val="24"/>
          <w:szCs w:val="24"/>
        </w:rPr>
        <w:t>he Company argues that its proposed capital structure meets the Commission’s test to balance safety and economy.</w:t>
      </w:r>
      <w:r w:rsidR="00767CF3">
        <w:rPr>
          <w:rStyle w:val="FootnoteReference"/>
          <w:rFonts w:ascii="Times New Roman" w:hAnsi="Times New Roman"/>
          <w:sz w:val="24"/>
          <w:szCs w:val="24"/>
        </w:rPr>
        <w:footnoteReference w:id="15"/>
      </w:r>
      <w:r w:rsidR="002B5B4C">
        <w:rPr>
          <w:rFonts w:ascii="Times New Roman" w:hAnsi="Times New Roman"/>
          <w:sz w:val="24"/>
          <w:szCs w:val="24"/>
        </w:rPr>
        <w:t xml:space="preserve">  </w:t>
      </w:r>
      <w:r w:rsidR="00FB7B5E">
        <w:rPr>
          <w:rFonts w:ascii="Times New Roman" w:hAnsi="Times New Roman"/>
          <w:sz w:val="24"/>
          <w:szCs w:val="24"/>
        </w:rPr>
        <w:t>T</w:t>
      </w:r>
      <w:r w:rsidR="00E828A5">
        <w:rPr>
          <w:rFonts w:ascii="Times New Roman" w:hAnsi="Times New Roman"/>
          <w:sz w:val="24"/>
          <w:szCs w:val="24"/>
        </w:rPr>
        <w:t xml:space="preserve">his </w:t>
      </w:r>
      <w:r w:rsidR="00FB7B5E">
        <w:rPr>
          <w:rFonts w:ascii="Times New Roman" w:hAnsi="Times New Roman"/>
          <w:sz w:val="24"/>
          <w:szCs w:val="24"/>
        </w:rPr>
        <w:t>assertion comes for the first time at the latest possible moment</w:t>
      </w:r>
      <w:r w:rsidR="002F0223">
        <w:rPr>
          <w:rFonts w:ascii="Times New Roman" w:hAnsi="Times New Roman"/>
          <w:sz w:val="24"/>
          <w:szCs w:val="24"/>
        </w:rPr>
        <w:t xml:space="preserve">:  PSE’s Initial Brief.  No Company testimony even </w:t>
      </w:r>
      <w:r w:rsidR="00271025">
        <w:rPr>
          <w:rFonts w:ascii="Times New Roman" w:hAnsi="Times New Roman"/>
          <w:sz w:val="24"/>
          <w:szCs w:val="24"/>
        </w:rPr>
        <w:t>reference</w:t>
      </w:r>
      <w:r w:rsidR="002F0223">
        <w:rPr>
          <w:rFonts w:ascii="Times New Roman" w:hAnsi="Times New Roman"/>
          <w:sz w:val="24"/>
          <w:szCs w:val="24"/>
        </w:rPr>
        <w:t>s</w:t>
      </w:r>
      <w:r w:rsidR="00E828A5">
        <w:rPr>
          <w:rFonts w:ascii="Times New Roman" w:hAnsi="Times New Roman"/>
          <w:sz w:val="24"/>
          <w:szCs w:val="24"/>
        </w:rPr>
        <w:t xml:space="preserve"> the Commission’s tes</w:t>
      </w:r>
      <w:r w:rsidR="00271025">
        <w:rPr>
          <w:rFonts w:ascii="Times New Roman" w:hAnsi="Times New Roman"/>
          <w:sz w:val="24"/>
          <w:szCs w:val="24"/>
        </w:rPr>
        <w:t xml:space="preserve">t.  </w:t>
      </w:r>
      <w:r w:rsidR="00E828A5">
        <w:rPr>
          <w:rFonts w:ascii="Times New Roman" w:hAnsi="Times New Roman"/>
          <w:sz w:val="24"/>
          <w:szCs w:val="24"/>
        </w:rPr>
        <w:t>In contras</w:t>
      </w:r>
      <w:r w:rsidR="00AD56C1">
        <w:rPr>
          <w:rFonts w:ascii="Times New Roman" w:hAnsi="Times New Roman"/>
          <w:sz w:val="24"/>
          <w:szCs w:val="24"/>
        </w:rPr>
        <w:t xml:space="preserve">t, </w:t>
      </w:r>
      <w:r w:rsidR="007E0FC4">
        <w:rPr>
          <w:rFonts w:ascii="Times New Roman" w:hAnsi="Times New Roman"/>
          <w:sz w:val="24"/>
          <w:szCs w:val="24"/>
        </w:rPr>
        <w:t xml:space="preserve">Staff witness </w:t>
      </w:r>
      <w:r w:rsidR="00AD56C1">
        <w:rPr>
          <w:rFonts w:ascii="Times New Roman" w:hAnsi="Times New Roman"/>
          <w:sz w:val="24"/>
          <w:szCs w:val="24"/>
        </w:rPr>
        <w:t xml:space="preserve">Mr. Parcell relied </w:t>
      </w:r>
      <w:r w:rsidR="007E0FC4">
        <w:rPr>
          <w:rFonts w:ascii="Times New Roman" w:hAnsi="Times New Roman"/>
          <w:sz w:val="24"/>
          <w:szCs w:val="24"/>
        </w:rPr>
        <w:t xml:space="preserve">expressly on the safety and economy </w:t>
      </w:r>
      <w:r w:rsidR="00E828A5">
        <w:rPr>
          <w:rFonts w:ascii="Times New Roman" w:hAnsi="Times New Roman"/>
          <w:sz w:val="24"/>
          <w:szCs w:val="24"/>
        </w:rPr>
        <w:t xml:space="preserve">test to support his </w:t>
      </w:r>
      <w:r w:rsidR="002B5B4C">
        <w:rPr>
          <w:rFonts w:ascii="Times New Roman" w:hAnsi="Times New Roman"/>
          <w:sz w:val="24"/>
          <w:szCs w:val="24"/>
        </w:rPr>
        <w:t xml:space="preserve">proposed </w:t>
      </w:r>
      <w:r w:rsidR="00E828A5">
        <w:rPr>
          <w:rFonts w:ascii="Times New Roman" w:hAnsi="Times New Roman"/>
          <w:sz w:val="24"/>
          <w:szCs w:val="24"/>
        </w:rPr>
        <w:t xml:space="preserve">capital structure containing 45 percent </w:t>
      </w:r>
      <w:r w:rsidR="00FB7B5E">
        <w:rPr>
          <w:rFonts w:ascii="Times New Roman" w:hAnsi="Times New Roman"/>
          <w:sz w:val="24"/>
          <w:szCs w:val="24"/>
        </w:rPr>
        <w:t xml:space="preserve">common </w:t>
      </w:r>
      <w:r w:rsidR="00E828A5">
        <w:rPr>
          <w:rFonts w:ascii="Times New Roman" w:hAnsi="Times New Roman"/>
          <w:sz w:val="24"/>
          <w:szCs w:val="24"/>
        </w:rPr>
        <w:lastRenderedPageBreak/>
        <w:t>equity.</w:t>
      </w:r>
      <w:r w:rsidR="00E828A5">
        <w:rPr>
          <w:rStyle w:val="FootnoteReference"/>
          <w:rFonts w:ascii="Times New Roman" w:hAnsi="Times New Roman"/>
          <w:sz w:val="24"/>
          <w:szCs w:val="24"/>
        </w:rPr>
        <w:footnoteReference w:id="16"/>
      </w:r>
      <w:r w:rsidR="00EC6667">
        <w:rPr>
          <w:rFonts w:ascii="Times New Roman" w:hAnsi="Times New Roman"/>
          <w:sz w:val="24"/>
          <w:szCs w:val="24"/>
        </w:rPr>
        <w:t xml:space="preserve">  PSE</w:t>
      </w:r>
      <w:r w:rsidR="00E828A5">
        <w:rPr>
          <w:rFonts w:ascii="Times New Roman" w:hAnsi="Times New Roman"/>
          <w:sz w:val="24"/>
          <w:szCs w:val="24"/>
        </w:rPr>
        <w:t xml:space="preserve"> declined to cross-examine him on his conclusion</w:t>
      </w:r>
      <w:r w:rsidR="002F0223">
        <w:rPr>
          <w:rFonts w:ascii="Times New Roman" w:hAnsi="Times New Roman"/>
          <w:sz w:val="24"/>
          <w:szCs w:val="24"/>
        </w:rPr>
        <w:t xml:space="preserve"> and </w:t>
      </w:r>
      <w:r w:rsidR="00C64203">
        <w:rPr>
          <w:rFonts w:ascii="Times New Roman" w:hAnsi="Times New Roman"/>
          <w:sz w:val="24"/>
          <w:szCs w:val="24"/>
        </w:rPr>
        <w:t xml:space="preserve">provided no witness of its own to </w:t>
      </w:r>
      <w:r w:rsidR="002F0223">
        <w:rPr>
          <w:rFonts w:ascii="Times New Roman" w:hAnsi="Times New Roman"/>
          <w:sz w:val="24"/>
          <w:szCs w:val="24"/>
        </w:rPr>
        <w:t>testify on that issue</w:t>
      </w:r>
      <w:r w:rsidR="00E828A5">
        <w:rPr>
          <w:rFonts w:ascii="Times New Roman" w:hAnsi="Times New Roman"/>
          <w:sz w:val="24"/>
          <w:szCs w:val="24"/>
        </w:rPr>
        <w:t>.</w:t>
      </w:r>
    </w:p>
    <w:p w:rsidR="002F0223" w:rsidRPr="00BB5FC0" w:rsidRDefault="00BB5FC0" w:rsidP="00BB5FC0">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7C516D" w:rsidRPr="00BB5FC0">
        <w:rPr>
          <w:rFonts w:ascii="Times New Roman" w:hAnsi="Times New Roman"/>
          <w:sz w:val="24"/>
          <w:szCs w:val="24"/>
        </w:rPr>
        <w:t xml:space="preserve">Finally, the Company argues that its proposed common equity ratio of 48 percent is </w:t>
      </w:r>
      <w:r w:rsidR="00FA34AD" w:rsidRPr="00BB5FC0">
        <w:rPr>
          <w:rFonts w:ascii="Times New Roman" w:hAnsi="Times New Roman"/>
          <w:sz w:val="24"/>
          <w:szCs w:val="24"/>
        </w:rPr>
        <w:t xml:space="preserve">reasonable because it is </w:t>
      </w:r>
      <w:r w:rsidR="007C516D" w:rsidRPr="00BB5FC0">
        <w:rPr>
          <w:rFonts w:ascii="Times New Roman" w:hAnsi="Times New Roman"/>
          <w:sz w:val="24"/>
          <w:szCs w:val="24"/>
        </w:rPr>
        <w:t>consistent with recent decisions of other state regulatory commissions.</w:t>
      </w:r>
      <w:r w:rsidR="007C516D">
        <w:rPr>
          <w:rStyle w:val="FootnoteReference"/>
          <w:rFonts w:ascii="Times New Roman" w:hAnsi="Times New Roman"/>
          <w:sz w:val="24"/>
          <w:szCs w:val="24"/>
        </w:rPr>
        <w:footnoteReference w:id="17"/>
      </w:r>
      <w:r w:rsidR="001B448B" w:rsidRPr="00BB5FC0">
        <w:rPr>
          <w:rFonts w:ascii="Times New Roman" w:hAnsi="Times New Roman"/>
          <w:sz w:val="24"/>
          <w:szCs w:val="24"/>
        </w:rPr>
        <w:t xml:space="preserve">  </w:t>
      </w:r>
      <w:r w:rsidR="002F0223" w:rsidRPr="00BB5FC0">
        <w:rPr>
          <w:rFonts w:ascii="Times New Roman" w:hAnsi="Times New Roman"/>
          <w:sz w:val="24"/>
          <w:szCs w:val="24"/>
        </w:rPr>
        <w:t>The Company’s argument revea</w:t>
      </w:r>
      <w:r w:rsidR="00233D13" w:rsidRPr="00BB5FC0">
        <w:rPr>
          <w:rFonts w:ascii="Times New Roman" w:hAnsi="Times New Roman"/>
          <w:sz w:val="24"/>
          <w:szCs w:val="24"/>
        </w:rPr>
        <w:t>ls a gross inconsistency in it</w:t>
      </w:r>
      <w:r w:rsidR="002F0223" w:rsidRPr="00BB5FC0">
        <w:rPr>
          <w:rFonts w:ascii="Times New Roman" w:hAnsi="Times New Roman"/>
          <w:sz w:val="24"/>
          <w:szCs w:val="24"/>
        </w:rPr>
        <w:t>s approach.  PSE asks the Comm</w:t>
      </w:r>
      <w:r w:rsidR="00740F33" w:rsidRPr="00BB5FC0">
        <w:rPr>
          <w:rFonts w:ascii="Times New Roman" w:hAnsi="Times New Roman"/>
          <w:sz w:val="24"/>
          <w:szCs w:val="24"/>
        </w:rPr>
        <w:t xml:space="preserve">ission to ignore the </w:t>
      </w:r>
      <w:r w:rsidR="007E0FC4">
        <w:rPr>
          <w:rFonts w:ascii="Times New Roman" w:hAnsi="Times New Roman"/>
          <w:sz w:val="24"/>
          <w:szCs w:val="24"/>
        </w:rPr>
        <w:t xml:space="preserve">lower </w:t>
      </w:r>
      <w:r w:rsidR="00615622" w:rsidRPr="00BB5FC0">
        <w:rPr>
          <w:rFonts w:ascii="Times New Roman" w:hAnsi="Times New Roman"/>
          <w:sz w:val="24"/>
          <w:szCs w:val="24"/>
        </w:rPr>
        <w:t xml:space="preserve">45 percent </w:t>
      </w:r>
      <w:r w:rsidR="00740F33" w:rsidRPr="00BB5FC0">
        <w:rPr>
          <w:rFonts w:ascii="Times New Roman" w:hAnsi="Times New Roman"/>
          <w:sz w:val="24"/>
          <w:szCs w:val="24"/>
        </w:rPr>
        <w:t>average common equity ratio</w:t>
      </w:r>
      <w:r w:rsidR="002F0223" w:rsidRPr="00BB5FC0">
        <w:rPr>
          <w:rFonts w:ascii="Times New Roman" w:hAnsi="Times New Roman"/>
          <w:sz w:val="24"/>
          <w:szCs w:val="24"/>
        </w:rPr>
        <w:t xml:space="preserve"> of publicly-</w:t>
      </w:r>
      <w:r w:rsidR="00AE3069" w:rsidRPr="00BB5FC0">
        <w:rPr>
          <w:rFonts w:ascii="Times New Roman" w:hAnsi="Times New Roman"/>
          <w:sz w:val="24"/>
          <w:szCs w:val="24"/>
        </w:rPr>
        <w:t>traded</w:t>
      </w:r>
      <w:r w:rsidR="00740F33" w:rsidRPr="00BB5FC0">
        <w:rPr>
          <w:rFonts w:ascii="Times New Roman" w:hAnsi="Times New Roman"/>
          <w:sz w:val="24"/>
          <w:szCs w:val="24"/>
        </w:rPr>
        <w:t>,</w:t>
      </w:r>
      <w:r w:rsidR="00AE3069" w:rsidRPr="00BB5FC0">
        <w:rPr>
          <w:rFonts w:ascii="Times New Roman" w:hAnsi="Times New Roman"/>
          <w:sz w:val="24"/>
          <w:szCs w:val="24"/>
        </w:rPr>
        <w:t xml:space="preserve"> </w:t>
      </w:r>
      <w:r w:rsidR="00740F33" w:rsidRPr="00BB5FC0">
        <w:rPr>
          <w:rFonts w:ascii="Times New Roman" w:hAnsi="Times New Roman"/>
          <w:sz w:val="24"/>
          <w:szCs w:val="24"/>
        </w:rPr>
        <w:t xml:space="preserve">combination </w:t>
      </w:r>
      <w:r w:rsidR="00233D13" w:rsidRPr="00BB5FC0">
        <w:rPr>
          <w:rFonts w:ascii="Times New Roman" w:hAnsi="Times New Roman"/>
          <w:sz w:val="24"/>
          <w:szCs w:val="24"/>
        </w:rPr>
        <w:t>utilities</w:t>
      </w:r>
      <w:r w:rsidR="00740F33" w:rsidRPr="00BB5FC0">
        <w:rPr>
          <w:rFonts w:ascii="Times New Roman" w:hAnsi="Times New Roman"/>
          <w:sz w:val="24"/>
          <w:szCs w:val="24"/>
        </w:rPr>
        <w:t>,</w:t>
      </w:r>
      <w:r w:rsidR="007E0FC4">
        <w:rPr>
          <w:rStyle w:val="FootnoteReference"/>
          <w:rFonts w:ascii="Times New Roman" w:hAnsi="Times New Roman"/>
          <w:sz w:val="24"/>
          <w:szCs w:val="24"/>
        </w:rPr>
        <w:footnoteReference w:id="18"/>
      </w:r>
      <w:r w:rsidR="00740F33" w:rsidRPr="00BB5FC0">
        <w:rPr>
          <w:rFonts w:ascii="Times New Roman" w:hAnsi="Times New Roman"/>
          <w:sz w:val="24"/>
          <w:szCs w:val="24"/>
        </w:rPr>
        <w:t xml:space="preserve"> </w:t>
      </w:r>
      <w:r w:rsidR="00233D13" w:rsidRPr="00BB5FC0">
        <w:rPr>
          <w:rFonts w:ascii="Times New Roman" w:hAnsi="Times New Roman"/>
          <w:sz w:val="24"/>
          <w:szCs w:val="24"/>
        </w:rPr>
        <w:t>at the</w:t>
      </w:r>
      <w:r w:rsidR="007E0FC4">
        <w:rPr>
          <w:rFonts w:ascii="Times New Roman" w:hAnsi="Times New Roman"/>
          <w:sz w:val="24"/>
          <w:szCs w:val="24"/>
        </w:rPr>
        <w:t xml:space="preserve"> same time the Company </w:t>
      </w:r>
      <w:r w:rsidR="00740F33" w:rsidRPr="00BB5FC0">
        <w:rPr>
          <w:rFonts w:ascii="Times New Roman" w:hAnsi="Times New Roman"/>
          <w:sz w:val="24"/>
          <w:szCs w:val="24"/>
        </w:rPr>
        <w:t xml:space="preserve">relies upon </w:t>
      </w:r>
      <w:r w:rsidR="005376D8" w:rsidRPr="00BB5FC0">
        <w:rPr>
          <w:rFonts w:ascii="Times New Roman" w:hAnsi="Times New Roman"/>
          <w:sz w:val="24"/>
          <w:szCs w:val="24"/>
        </w:rPr>
        <w:t>the upwardly</w:t>
      </w:r>
      <w:r w:rsidR="00615622" w:rsidRPr="00BB5FC0">
        <w:rPr>
          <w:rFonts w:ascii="Times New Roman" w:hAnsi="Times New Roman"/>
          <w:sz w:val="24"/>
          <w:szCs w:val="24"/>
        </w:rPr>
        <w:t xml:space="preserve"> biased equity returns of </w:t>
      </w:r>
      <w:r w:rsidR="00740F33" w:rsidRPr="00BB5FC0">
        <w:rPr>
          <w:rFonts w:ascii="Times New Roman" w:hAnsi="Times New Roman"/>
          <w:sz w:val="24"/>
          <w:szCs w:val="24"/>
        </w:rPr>
        <w:t xml:space="preserve">combination </w:t>
      </w:r>
      <w:r w:rsidR="00233D13" w:rsidRPr="00BB5FC0">
        <w:rPr>
          <w:rFonts w:ascii="Times New Roman" w:hAnsi="Times New Roman"/>
          <w:sz w:val="24"/>
          <w:szCs w:val="24"/>
        </w:rPr>
        <w:t>utilities to justify a</w:t>
      </w:r>
      <w:r w:rsidR="005376D8" w:rsidRPr="00BB5FC0">
        <w:rPr>
          <w:rFonts w:ascii="Times New Roman" w:hAnsi="Times New Roman"/>
          <w:sz w:val="24"/>
          <w:szCs w:val="24"/>
        </w:rPr>
        <w:t xml:space="preserve">n increase in its </w:t>
      </w:r>
      <w:r w:rsidR="00615622" w:rsidRPr="00BB5FC0">
        <w:rPr>
          <w:rFonts w:ascii="Times New Roman" w:hAnsi="Times New Roman"/>
          <w:sz w:val="24"/>
          <w:szCs w:val="24"/>
        </w:rPr>
        <w:t xml:space="preserve">authorized </w:t>
      </w:r>
      <w:r w:rsidR="005376D8" w:rsidRPr="00BB5FC0">
        <w:rPr>
          <w:rFonts w:ascii="Times New Roman" w:hAnsi="Times New Roman"/>
          <w:sz w:val="24"/>
          <w:szCs w:val="24"/>
        </w:rPr>
        <w:t xml:space="preserve">return </w:t>
      </w:r>
      <w:r w:rsidR="00615622" w:rsidRPr="00BB5FC0">
        <w:rPr>
          <w:rFonts w:ascii="Times New Roman" w:hAnsi="Times New Roman"/>
          <w:sz w:val="24"/>
          <w:szCs w:val="24"/>
        </w:rPr>
        <w:t>on equity</w:t>
      </w:r>
      <w:r w:rsidR="00233D13" w:rsidRPr="00BB5FC0">
        <w:rPr>
          <w:rFonts w:ascii="Times New Roman" w:hAnsi="Times New Roman"/>
          <w:sz w:val="24"/>
          <w:szCs w:val="24"/>
        </w:rPr>
        <w:t>.</w:t>
      </w:r>
      <w:r w:rsidR="00233D13">
        <w:rPr>
          <w:rStyle w:val="FootnoteReference"/>
          <w:rFonts w:ascii="Times New Roman" w:hAnsi="Times New Roman"/>
          <w:sz w:val="24"/>
          <w:szCs w:val="24"/>
        </w:rPr>
        <w:footnoteReference w:id="19"/>
      </w:r>
      <w:r w:rsidR="00740F33" w:rsidRPr="00BB5FC0">
        <w:rPr>
          <w:rFonts w:ascii="Times New Roman" w:hAnsi="Times New Roman"/>
          <w:sz w:val="24"/>
          <w:szCs w:val="24"/>
        </w:rPr>
        <w:t xml:space="preserve"> </w:t>
      </w:r>
    </w:p>
    <w:p w:rsidR="00AE3069" w:rsidRPr="00BB5FC0" w:rsidRDefault="00BB5FC0" w:rsidP="00BB5FC0">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1B448B" w:rsidRPr="00BB5FC0">
        <w:rPr>
          <w:rFonts w:ascii="Times New Roman" w:hAnsi="Times New Roman"/>
          <w:sz w:val="24"/>
          <w:szCs w:val="24"/>
        </w:rPr>
        <w:t>Mr. Parcell</w:t>
      </w:r>
      <w:r w:rsidR="00233D13" w:rsidRPr="00BB5FC0">
        <w:rPr>
          <w:rFonts w:ascii="Times New Roman" w:hAnsi="Times New Roman"/>
          <w:sz w:val="24"/>
          <w:szCs w:val="24"/>
        </w:rPr>
        <w:t xml:space="preserve"> </w:t>
      </w:r>
      <w:r w:rsidR="00AE3069" w:rsidRPr="00BB5FC0">
        <w:rPr>
          <w:rFonts w:ascii="Times New Roman" w:hAnsi="Times New Roman"/>
          <w:sz w:val="24"/>
          <w:szCs w:val="24"/>
        </w:rPr>
        <w:t>did not make that same mistake.</w:t>
      </w:r>
      <w:r w:rsidR="001B448B" w:rsidRPr="00BB5FC0">
        <w:rPr>
          <w:rFonts w:ascii="Times New Roman" w:hAnsi="Times New Roman"/>
          <w:sz w:val="24"/>
          <w:szCs w:val="24"/>
        </w:rPr>
        <w:t xml:space="preserve"> </w:t>
      </w:r>
      <w:r w:rsidR="00AE3069" w:rsidRPr="00BB5FC0">
        <w:rPr>
          <w:rFonts w:ascii="Times New Roman" w:hAnsi="Times New Roman"/>
          <w:sz w:val="24"/>
          <w:szCs w:val="24"/>
        </w:rPr>
        <w:t xml:space="preserve"> He examined </w:t>
      </w:r>
      <w:r w:rsidR="001B448B" w:rsidRPr="00BB5FC0">
        <w:rPr>
          <w:rFonts w:ascii="Times New Roman" w:hAnsi="Times New Roman"/>
          <w:sz w:val="24"/>
          <w:szCs w:val="24"/>
        </w:rPr>
        <w:t xml:space="preserve">the </w:t>
      </w:r>
      <w:r w:rsidR="00C64203" w:rsidRPr="00BB5FC0">
        <w:rPr>
          <w:rFonts w:ascii="Times New Roman" w:hAnsi="Times New Roman"/>
          <w:sz w:val="24"/>
          <w:szCs w:val="24"/>
        </w:rPr>
        <w:t>consolidated operations of</w:t>
      </w:r>
      <w:r w:rsidR="001B448B" w:rsidRPr="00BB5FC0">
        <w:rPr>
          <w:rFonts w:ascii="Times New Roman" w:hAnsi="Times New Roman"/>
          <w:sz w:val="24"/>
          <w:szCs w:val="24"/>
        </w:rPr>
        <w:t xml:space="preserve"> publicly-traded holding companies both for purposes of </w:t>
      </w:r>
      <w:r w:rsidR="005376D8" w:rsidRPr="00BB5FC0">
        <w:rPr>
          <w:rFonts w:ascii="Times New Roman" w:hAnsi="Times New Roman"/>
          <w:sz w:val="24"/>
          <w:szCs w:val="24"/>
        </w:rPr>
        <w:t xml:space="preserve">determining an appropriate capital structure and for </w:t>
      </w:r>
      <w:r w:rsidR="00C40F10" w:rsidRPr="00BB5FC0">
        <w:rPr>
          <w:rFonts w:ascii="Times New Roman" w:hAnsi="Times New Roman"/>
          <w:sz w:val="24"/>
          <w:szCs w:val="24"/>
        </w:rPr>
        <w:t xml:space="preserve">purposes of </w:t>
      </w:r>
      <w:r w:rsidR="001B448B" w:rsidRPr="00BB5FC0">
        <w:rPr>
          <w:rFonts w:ascii="Times New Roman" w:hAnsi="Times New Roman"/>
          <w:sz w:val="24"/>
          <w:szCs w:val="24"/>
        </w:rPr>
        <w:t>esti</w:t>
      </w:r>
      <w:r w:rsidR="005376D8" w:rsidRPr="00BB5FC0">
        <w:rPr>
          <w:rFonts w:ascii="Times New Roman" w:hAnsi="Times New Roman"/>
          <w:sz w:val="24"/>
          <w:szCs w:val="24"/>
        </w:rPr>
        <w:t>mating PSE’s cost of equity</w:t>
      </w:r>
      <w:r w:rsidR="005E2B26" w:rsidRPr="00BB5FC0">
        <w:rPr>
          <w:rFonts w:ascii="Times New Roman" w:hAnsi="Times New Roman"/>
          <w:sz w:val="24"/>
          <w:szCs w:val="24"/>
        </w:rPr>
        <w:t xml:space="preserve">.  </w:t>
      </w:r>
      <w:r w:rsidR="00AD56C1">
        <w:rPr>
          <w:rFonts w:ascii="Times New Roman" w:hAnsi="Times New Roman"/>
          <w:sz w:val="24"/>
          <w:szCs w:val="24"/>
        </w:rPr>
        <w:t>His proposal</w:t>
      </w:r>
      <w:r w:rsidR="007E0FC4">
        <w:rPr>
          <w:rFonts w:ascii="Times New Roman" w:hAnsi="Times New Roman"/>
          <w:sz w:val="24"/>
          <w:szCs w:val="24"/>
        </w:rPr>
        <w:t xml:space="preserve"> for a </w:t>
      </w:r>
      <w:r w:rsidR="00AD56C1">
        <w:rPr>
          <w:rFonts w:ascii="Times New Roman" w:hAnsi="Times New Roman"/>
          <w:sz w:val="24"/>
          <w:szCs w:val="24"/>
        </w:rPr>
        <w:t xml:space="preserve">capital structure </w:t>
      </w:r>
      <w:r w:rsidR="007E0FC4">
        <w:rPr>
          <w:rFonts w:ascii="Times New Roman" w:hAnsi="Times New Roman"/>
          <w:sz w:val="24"/>
          <w:szCs w:val="24"/>
        </w:rPr>
        <w:t>with 45 percent common equity</w:t>
      </w:r>
      <w:r w:rsidR="00AD56C1">
        <w:rPr>
          <w:rFonts w:ascii="Times New Roman" w:hAnsi="Times New Roman"/>
          <w:sz w:val="24"/>
          <w:szCs w:val="24"/>
        </w:rPr>
        <w:t xml:space="preserve"> is consistent with publicly-traded combination </w:t>
      </w:r>
      <w:r w:rsidR="00AD56C1" w:rsidRPr="00803D18">
        <w:rPr>
          <w:rFonts w:ascii="Times New Roman" w:hAnsi="Times New Roman"/>
          <w:sz w:val="24"/>
          <w:szCs w:val="24"/>
        </w:rPr>
        <w:t>utilities</w:t>
      </w:r>
      <w:r w:rsidR="00AD56C1">
        <w:rPr>
          <w:rFonts w:ascii="Times New Roman" w:hAnsi="Times New Roman"/>
          <w:sz w:val="24"/>
          <w:szCs w:val="24"/>
        </w:rPr>
        <w:t xml:space="preserve">, consistent with </w:t>
      </w:r>
      <w:r w:rsidR="00AD56C1" w:rsidRPr="00803D18">
        <w:rPr>
          <w:rFonts w:ascii="Times New Roman" w:hAnsi="Times New Roman"/>
          <w:sz w:val="24"/>
          <w:szCs w:val="24"/>
        </w:rPr>
        <w:t>PSE requests in prior cases</w:t>
      </w:r>
      <w:r w:rsidR="00AD56C1">
        <w:rPr>
          <w:rFonts w:ascii="Times New Roman" w:hAnsi="Times New Roman"/>
          <w:sz w:val="24"/>
          <w:szCs w:val="24"/>
        </w:rPr>
        <w:t>, and consistent with the test of safety and economy</w:t>
      </w:r>
      <w:r w:rsidR="007E0FC4">
        <w:rPr>
          <w:rFonts w:ascii="Times New Roman" w:hAnsi="Times New Roman"/>
          <w:sz w:val="24"/>
          <w:szCs w:val="24"/>
        </w:rPr>
        <w:t>.  His recommendation</w:t>
      </w:r>
      <w:r w:rsidR="00AD56C1">
        <w:rPr>
          <w:rFonts w:ascii="Times New Roman" w:hAnsi="Times New Roman"/>
          <w:sz w:val="24"/>
          <w:szCs w:val="24"/>
        </w:rPr>
        <w:t xml:space="preserve"> should be adopted by the Commission.</w:t>
      </w:r>
    </w:p>
    <w:p w:rsidR="00417755" w:rsidRPr="00BB5FC0" w:rsidRDefault="00BB5FC0" w:rsidP="00BB5FC0">
      <w:pPr>
        <w:spacing w:line="480" w:lineRule="auto"/>
        <w:ind w:firstLine="72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sidR="00417755" w:rsidRPr="00BB5FC0">
        <w:rPr>
          <w:rFonts w:ascii="Times New Roman" w:hAnsi="Times New Roman"/>
          <w:b/>
          <w:sz w:val="24"/>
          <w:szCs w:val="24"/>
        </w:rPr>
        <w:t>Cost of Equity</w:t>
      </w:r>
    </w:p>
    <w:p w:rsidR="00831345" w:rsidRPr="00BB5FC0" w:rsidRDefault="00BB5FC0" w:rsidP="00BB5FC0">
      <w:pPr>
        <w:pStyle w:val="ListParagraph"/>
        <w:numPr>
          <w:ilvl w:val="0"/>
          <w:numId w:val="10"/>
        </w:numPr>
        <w:spacing w:line="480" w:lineRule="auto"/>
        <w:rPr>
          <w:rFonts w:ascii="Times New Roman" w:hAnsi="Times New Roman"/>
          <w:bCs/>
          <w:sz w:val="24"/>
          <w:szCs w:val="24"/>
        </w:rPr>
      </w:pPr>
      <w:r>
        <w:rPr>
          <w:rFonts w:ascii="Times New Roman" w:hAnsi="Times New Roman"/>
          <w:sz w:val="24"/>
          <w:szCs w:val="24"/>
        </w:rPr>
        <w:tab/>
      </w:r>
      <w:r w:rsidR="002F1C45" w:rsidRPr="00BB5FC0">
        <w:rPr>
          <w:rFonts w:ascii="Times New Roman" w:hAnsi="Times New Roman"/>
          <w:sz w:val="24"/>
          <w:szCs w:val="24"/>
        </w:rPr>
        <w:t>C</w:t>
      </w:r>
      <w:r w:rsidR="00831345" w:rsidRPr="00BB5FC0">
        <w:rPr>
          <w:rFonts w:ascii="Times New Roman" w:hAnsi="Times New Roman"/>
          <w:sz w:val="24"/>
          <w:szCs w:val="24"/>
        </w:rPr>
        <w:t>ost of capital witnesses</w:t>
      </w:r>
      <w:r w:rsidR="00831345" w:rsidRPr="00BB5FC0">
        <w:rPr>
          <w:rFonts w:ascii="Times New Roman" w:hAnsi="Times New Roman"/>
          <w:bCs/>
          <w:sz w:val="24"/>
          <w:szCs w:val="24"/>
        </w:rPr>
        <w:t xml:space="preserve"> must support any change in the authorized return on equity with evidence of changed circumstances in the capital markets and the particular company under consideration.</w:t>
      </w:r>
      <w:r w:rsidR="00831345" w:rsidRPr="00C40F10">
        <w:rPr>
          <w:rStyle w:val="FootnoteReference"/>
          <w:rFonts w:ascii="Times New Roman" w:hAnsi="Times New Roman"/>
          <w:bCs/>
          <w:sz w:val="24"/>
          <w:szCs w:val="24"/>
        </w:rPr>
        <w:footnoteReference w:id="20"/>
      </w:r>
      <w:r w:rsidR="00831345" w:rsidRPr="00BB5FC0">
        <w:rPr>
          <w:rFonts w:ascii="Times New Roman" w:hAnsi="Times New Roman"/>
          <w:bCs/>
          <w:sz w:val="24"/>
          <w:szCs w:val="24"/>
        </w:rPr>
        <w:t xml:space="preserve">  Staff met this requirement through </w:t>
      </w:r>
      <w:r w:rsidR="006F1FA7">
        <w:rPr>
          <w:rFonts w:ascii="Times New Roman" w:hAnsi="Times New Roman"/>
          <w:bCs/>
          <w:sz w:val="24"/>
          <w:szCs w:val="24"/>
        </w:rPr>
        <w:t xml:space="preserve">its presentation of </w:t>
      </w:r>
      <w:r w:rsidR="00831345" w:rsidRPr="00BB5FC0">
        <w:rPr>
          <w:rFonts w:ascii="Times New Roman" w:hAnsi="Times New Roman"/>
          <w:bCs/>
          <w:sz w:val="24"/>
          <w:szCs w:val="24"/>
        </w:rPr>
        <w:t xml:space="preserve">extensive </w:t>
      </w:r>
      <w:r w:rsidR="00615622" w:rsidRPr="00BB5FC0">
        <w:rPr>
          <w:rFonts w:ascii="Times New Roman" w:hAnsi="Times New Roman"/>
          <w:bCs/>
          <w:sz w:val="24"/>
          <w:szCs w:val="24"/>
        </w:rPr>
        <w:t>evidence of market conditions</w:t>
      </w:r>
      <w:r w:rsidR="00831345" w:rsidRPr="00BB5FC0">
        <w:rPr>
          <w:rFonts w:ascii="Times New Roman" w:hAnsi="Times New Roman"/>
          <w:bCs/>
          <w:sz w:val="24"/>
          <w:szCs w:val="24"/>
        </w:rPr>
        <w:t xml:space="preserve"> </w:t>
      </w:r>
      <w:r w:rsidR="002F1C45" w:rsidRPr="00BB5FC0">
        <w:rPr>
          <w:rFonts w:ascii="Times New Roman" w:hAnsi="Times New Roman"/>
          <w:bCs/>
          <w:sz w:val="24"/>
          <w:szCs w:val="24"/>
        </w:rPr>
        <w:t>following the 2008 financial crisis</w:t>
      </w:r>
      <w:r w:rsidR="006F1FA7">
        <w:rPr>
          <w:rFonts w:ascii="Times New Roman" w:hAnsi="Times New Roman"/>
          <w:bCs/>
          <w:sz w:val="24"/>
          <w:szCs w:val="24"/>
        </w:rPr>
        <w:t>,</w:t>
      </w:r>
      <w:r w:rsidR="002F1C45" w:rsidRPr="00BB5FC0">
        <w:rPr>
          <w:rFonts w:ascii="Times New Roman" w:hAnsi="Times New Roman"/>
          <w:bCs/>
          <w:sz w:val="24"/>
          <w:szCs w:val="24"/>
        </w:rPr>
        <w:t xml:space="preserve"> </w:t>
      </w:r>
      <w:r w:rsidR="00831345" w:rsidRPr="00BB5FC0">
        <w:rPr>
          <w:rFonts w:ascii="Times New Roman" w:hAnsi="Times New Roman"/>
          <w:bCs/>
          <w:sz w:val="24"/>
          <w:szCs w:val="24"/>
        </w:rPr>
        <w:t xml:space="preserve">showing that the cost of </w:t>
      </w:r>
      <w:r w:rsidR="004306D9">
        <w:rPr>
          <w:rFonts w:ascii="Times New Roman" w:hAnsi="Times New Roman"/>
          <w:bCs/>
          <w:sz w:val="24"/>
          <w:szCs w:val="24"/>
        </w:rPr>
        <w:lastRenderedPageBreak/>
        <w:t>capital for the Company</w:t>
      </w:r>
      <w:r w:rsidR="00831345" w:rsidRPr="00BB5FC0">
        <w:rPr>
          <w:rFonts w:ascii="Times New Roman" w:hAnsi="Times New Roman"/>
          <w:bCs/>
          <w:sz w:val="24"/>
          <w:szCs w:val="24"/>
        </w:rPr>
        <w:t xml:space="preserve"> </w:t>
      </w:r>
      <w:r w:rsidR="002F1C45" w:rsidRPr="00BB5FC0">
        <w:rPr>
          <w:rFonts w:ascii="Times New Roman" w:hAnsi="Times New Roman"/>
          <w:bCs/>
          <w:sz w:val="24"/>
          <w:szCs w:val="24"/>
        </w:rPr>
        <w:t xml:space="preserve">has </w:t>
      </w:r>
      <w:r w:rsidR="005F3547" w:rsidRPr="00BB5FC0">
        <w:rPr>
          <w:rFonts w:ascii="Times New Roman" w:hAnsi="Times New Roman"/>
          <w:bCs/>
          <w:sz w:val="24"/>
          <w:szCs w:val="24"/>
        </w:rPr>
        <w:t xml:space="preserve">declined, </w:t>
      </w:r>
      <w:r w:rsidR="00831345" w:rsidRPr="00BB5FC0">
        <w:rPr>
          <w:rFonts w:ascii="Times New Roman" w:hAnsi="Times New Roman"/>
          <w:bCs/>
          <w:sz w:val="24"/>
          <w:szCs w:val="24"/>
        </w:rPr>
        <w:t>not increased</w:t>
      </w:r>
      <w:r w:rsidR="005F3547" w:rsidRPr="00BB5FC0">
        <w:rPr>
          <w:rFonts w:ascii="Times New Roman" w:hAnsi="Times New Roman"/>
          <w:bCs/>
          <w:sz w:val="24"/>
          <w:szCs w:val="24"/>
        </w:rPr>
        <w:t>,</w:t>
      </w:r>
      <w:r w:rsidR="00831345" w:rsidRPr="00BB5FC0">
        <w:rPr>
          <w:rFonts w:ascii="Times New Roman" w:hAnsi="Times New Roman"/>
          <w:bCs/>
          <w:sz w:val="24"/>
          <w:szCs w:val="24"/>
        </w:rPr>
        <w:t xml:space="preserve"> since the Company’s last general rate case</w:t>
      </w:r>
      <w:r w:rsidR="005F3547" w:rsidRPr="00BB5FC0">
        <w:rPr>
          <w:rFonts w:ascii="Times New Roman" w:hAnsi="Times New Roman"/>
          <w:bCs/>
          <w:sz w:val="24"/>
          <w:szCs w:val="24"/>
        </w:rPr>
        <w:t xml:space="preserve">, </w:t>
      </w:r>
      <w:r w:rsidR="00201BA6" w:rsidRPr="00BB5FC0">
        <w:rPr>
          <w:rFonts w:ascii="Times New Roman" w:hAnsi="Times New Roman"/>
          <w:bCs/>
          <w:sz w:val="24"/>
          <w:szCs w:val="24"/>
        </w:rPr>
        <w:t>just</w:t>
      </w:r>
      <w:r w:rsidR="00160553">
        <w:rPr>
          <w:rFonts w:ascii="Times New Roman" w:hAnsi="Times New Roman"/>
          <w:bCs/>
          <w:sz w:val="24"/>
          <w:szCs w:val="24"/>
        </w:rPr>
        <w:t>ifying a decrease in PSE</w:t>
      </w:r>
      <w:r w:rsidR="00201BA6" w:rsidRPr="00BB5FC0">
        <w:rPr>
          <w:rFonts w:ascii="Times New Roman" w:hAnsi="Times New Roman"/>
          <w:bCs/>
          <w:sz w:val="24"/>
          <w:szCs w:val="24"/>
        </w:rPr>
        <w:t>’s return on equity from 10.15 percent to 10.0 percent</w:t>
      </w:r>
      <w:r w:rsidR="00831345" w:rsidRPr="00BB5FC0">
        <w:rPr>
          <w:rFonts w:ascii="Times New Roman" w:hAnsi="Times New Roman"/>
          <w:bCs/>
          <w:sz w:val="24"/>
          <w:szCs w:val="24"/>
        </w:rPr>
        <w:t>.</w:t>
      </w:r>
      <w:r w:rsidR="00831345">
        <w:rPr>
          <w:rStyle w:val="FootnoteReference"/>
          <w:rFonts w:ascii="Times New Roman" w:hAnsi="Times New Roman"/>
          <w:bCs/>
          <w:sz w:val="24"/>
          <w:szCs w:val="24"/>
        </w:rPr>
        <w:footnoteReference w:id="21"/>
      </w:r>
    </w:p>
    <w:p w:rsidR="00C35C31" w:rsidRPr="00160553" w:rsidRDefault="00BB5FC0" w:rsidP="00243407">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C40F10" w:rsidRPr="00BB5FC0">
        <w:rPr>
          <w:rFonts w:ascii="Times New Roman" w:hAnsi="Times New Roman"/>
          <w:sz w:val="24"/>
          <w:szCs w:val="24"/>
        </w:rPr>
        <w:t>The Company</w:t>
      </w:r>
      <w:r w:rsidR="00831345" w:rsidRPr="00BB5FC0">
        <w:rPr>
          <w:rFonts w:ascii="Times New Roman" w:hAnsi="Times New Roman"/>
          <w:sz w:val="24"/>
          <w:szCs w:val="24"/>
        </w:rPr>
        <w:t xml:space="preserve"> ignores </w:t>
      </w:r>
      <w:r w:rsidR="006F1FA7">
        <w:rPr>
          <w:rFonts w:ascii="Times New Roman" w:hAnsi="Times New Roman"/>
          <w:sz w:val="24"/>
          <w:szCs w:val="24"/>
        </w:rPr>
        <w:t>the requirement to examine changed market conditions and the evidence that examination produces</w:t>
      </w:r>
      <w:r w:rsidR="00C35C31" w:rsidRPr="00BB5FC0">
        <w:rPr>
          <w:rFonts w:ascii="Times New Roman" w:hAnsi="Times New Roman"/>
          <w:sz w:val="24"/>
          <w:szCs w:val="24"/>
        </w:rPr>
        <w:t xml:space="preserve">.  Its </w:t>
      </w:r>
      <w:r w:rsidR="002F1C45" w:rsidRPr="00BB5FC0">
        <w:rPr>
          <w:rFonts w:ascii="Times New Roman" w:hAnsi="Times New Roman"/>
          <w:sz w:val="24"/>
          <w:szCs w:val="24"/>
        </w:rPr>
        <w:t xml:space="preserve">arguments for </w:t>
      </w:r>
      <w:r w:rsidR="00C35C31" w:rsidRPr="00BB5FC0">
        <w:rPr>
          <w:rFonts w:ascii="Times New Roman" w:hAnsi="Times New Roman"/>
          <w:sz w:val="24"/>
          <w:szCs w:val="24"/>
        </w:rPr>
        <w:t>increasing its</w:t>
      </w:r>
      <w:r w:rsidR="00C40F10" w:rsidRPr="00BB5FC0">
        <w:rPr>
          <w:rFonts w:ascii="Times New Roman" w:hAnsi="Times New Roman"/>
          <w:sz w:val="24"/>
          <w:szCs w:val="24"/>
        </w:rPr>
        <w:t xml:space="preserve"> retu</w:t>
      </w:r>
      <w:r w:rsidR="00201BA6" w:rsidRPr="00BB5FC0">
        <w:rPr>
          <w:rFonts w:ascii="Times New Roman" w:hAnsi="Times New Roman"/>
          <w:sz w:val="24"/>
          <w:szCs w:val="24"/>
        </w:rPr>
        <w:t xml:space="preserve">rn on equity </w:t>
      </w:r>
      <w:r w:rsidR="00613816">
        <w:rPr>
          <w:rFonts w:ascii="Times New Roman" w:hAnsi="Times New Roman"/>
          <w:sz w:val="24"/>
          <w:szCs w:val="24"/>
        </w:rPr>
        <w:t>to 10.80 percent focus large</w:t>
      </w:r>
      <w:r w:rsidR="00C40F10" w:rsidRPr="00BB5FC0">
        <w:rPr>
          <w:rFonts w:ascii="Times New Roman" w:hAnsi="Times New Roman"/>
          <w:sz w:val="24"/>
          <w:szCs w:val="24"/>
        </w:rPr>
        <w:t>ly</w:t>
      </w:r>
      <w:r w:rsidR="002F1C45" w:rsidRPr="00BB5FC0">
        <w:rPr>
          <w:rFonts w:ascii="Times New Roman" w:hAnsi="Times New Roman"/>
          <w:sz w:val="24"/>
          <w:szCs w:val="24"/>
        </w:rPr>
        <w:t xml:space="preserve"> on the technical aspect</w:t>
      </w:r>
      <w:r w:rsidR="00C40F10" w:rsidRPr="00BB5FC0">
        <w:rPr>
          <w:rFonts w:ascii="Times New Roman" w:hAnsi="Times New Roman"/>
          <w:sz w:val="24"/>
          <w:szCs w:val="24"/>
        </w:rPr>
        <w:t>s of the analytical studies offered by D</w:t>
      </w:r>
      <w:r w:rsidR="00C35C31" w:rsidRPr="00BB5FC0">
        <w:rPr>
          <w:rFonts w:ascii="Times New Roman" w:hAnsi="Times New Roman"/>
          <w:sz w:val="24"/>
          <w:szCs w:val="24"/>
        </w:rPr>
        <w:t xml:space="preserve">r. Morin.  However, even those arguments fail.  </w:t>
      </w:r>
      <w:r w:rsidR="002F1C45" w:rsidRPr="00BB5FC0">
        <w:rPr>
          <w:rFonts w:ascii="Times New Roman" w:hAnsi="Times New Roman"/>
          <w:sz w:val="24"/>
          <w:szCs w:val="24"/>
        </w:rPr>
        <w:t xml:space="preserve">A comparison of </w:t>
      </w:r>
      <w:r w:rsidR="00C35C31" w:rsidRPr="00BB5FC0">
        <w:rPr>
          <w:rFonts w:ascii="Times New Roman" w:hAnsi="Times New Roman"/>
          <w:sz w:val="24"/>
          <w:szCs w:val="24"/>
        </w:rPr>
        <w:t xml:space="preserve">Dr. Morin’s </w:t>
      </w:r>
      <w:r w:rsidR="002F1C45" w:rsidRPr="00BB5FC0">
        <w:rPr>
          <w:rFonts w:ascii="Times New Roman" w:hAnsi="Times New Roman"/>
          <w:sz w:val="24"/>
          <w:szCs w:val="24"/>
        </w:rPr>
        <w:t xml:space="preserve">initial and rebuttal </w:t>
      </w:r>
      <w:r w:rsidR="00C35C31" w:rsidRPr="00BB5FC0">
        <w:rPr>
          <w:rFonts w:ascii="Times New Roman" w:hAnsi="Times New Roman"/>
          <w:sz w:val="24"/>
          <w:szCs w:val="24"/>
        </w:rPr>
        <w:t xml:space="preserve">Risk Premium and four Discounted Cash Flow </w:t>
      </w:r>
      <w:r w:rsidR="00160553">
        <w:rPr>
          <w:rFonts w:ascii="Times New Roman" w:hAnsi="Times New Roman"/>
          <w:sz w:val="24"/>
          <w:szCs w:val="24"/>
        </w:rPr>
        <w:t xml:space="preserve">(“DCF”) </w:t>
      </w:r>
      <w:r w:rsidR="002F1C45" w:rsidRPr="00BB5FC0">
        <w:rPr>
          <w:rFonts w:ascii="Times New Roman" w:hAnsi="Times New Roman"/>
          <w:sz w:val="24"/>
          <w:szCs w:val="24"/>
        </w:rPr>
        <w:t>studies</w:t>
      </w:r>
      <w:r w:rsidR="00C35C31" w:rsidRPr="00BB5FC0">
        <w:rPr>
          <w:rFonts w:ascii="Times New Roman" w:hAnsi="Times New Roman"/>
          <w:sz w:val="24"/>
          <w:szCs w:val="24"/>
        </w:rPr>
        <w:t xml:space="preserve"> </w:t>
      </w:r>
      <w:r w:rsidR="007B6A84" w:rsidRPr="00BB5FC0">
        <w:rPr>
          <w:rFonts w:ascii="Times New Roman" w:hAnsi="Times New Roman"/>
          <w:sz w:val="24"/>
          <w:szCs w:val="24"/>
        </w:rPr>
        <w:t>demonstrate</w:t>
      </w:r>
      <w:r w:rsidR="00815F6E" w:rsidRPr="00BB5FC0">
        <w:rPr>
          <w:rFonts w:ascii="Times New Roman" w:hAnsi="Times New Roman"/>
          <w:sz w:val="24"/>
          <w:szCs w:val="24"/>
        </w:rPr>
        <w:t xml:space="preserve"> that the cost of equity</w:t>
      </w:r>
      <w:r w:rsidR="002F1C45" w:rsidRPr="00BB5FC0">
        <w:rPr>
          <w:rFonts w:ascii="Times New Roman" w:hAnsi="Times New Roman"/>
          <w:sz w:val="24"/>
          <w:szCs w:val="24"/>
        </w:rPr>
        <w:t xml:space="preserve"> has declined following the financial crisis.</w:t>
      </w:r>
      <w:r w:rsidR="002F1C45">
        <w:rPr>
          <w:rStyle w:val="FootnoteReference"/>
          <w:rFonts w:ascii="Times New Roman" w:hAnsi="Times New Roman"/>
          <w:sz w:val="24"/>
          <w:szCs w:val="24"/>
        </w:rPr>
        <w:footnoteReference w:id="22"/>
      </w:r>
      <w:r w:rsidR="006F1FA7">
        <w:rPr>
          <w:rFonts w:ascii="Times New Roman" w:hAnsi="Times New Roman"/>
          <w:sz w:val="24"/>
          <w:szCs w:val="24"/>
        </w:rPr>
        <w:t xml:space="preserve">  The Company </w:t>
      </w:r>
      <w:r w:rsidR="002F1C45" w:rsidRPr="00BB5FC0">
        <w:rPr>
          <w:rFonts w:ascii="Times New Roman" w:hAnsi="Times New Roman"/>
          <w:sz w:val="24"/>
          <w:szCs w:val="24"/>
        </w:rPr>
        <w:t xml:space="preserve">disavows completely the results of Dr. Morin’s Capital Asset Pricing </w:t>
      </w:r>
      <w:r w:rsidR="00815F6E" w:rsidRPr="00BB5FC0">
        <w:rPr>
          <w:rFonts w:ascii="Times New Roman" w:hAnsi="Times New Roman"/>
          <w:sz w:val="24"/>
          <w:szCs w:val="24"/>
        </w:rPr>
        <w:t>Model (“CAPM”) studies</w:t>
      </w:r>
      <w:r w:rsidR="009C45F5" w:rsidRPr="00BB5FC0">
        <w:rPr>
          <w:rFonts w:ascii="Times New Roman" w:hAnsi="Times New Roman"/>
          <w:sz w:val="24"/>
          <w:szCs w:val="24"/>
        </w:rPr>
        <w:t>,</w:t>
      </w:r>
      <w:r w:rsidR="009C45F5">
        <w:rPr>
          <w:rStyle w:val="FootnoteReference"/>
          <w:rFonts w:ascii="Times New Roman" w:hAnsi="Times New Roman"/>
          <w:sz w:val="24"/>
          <w:szCs w:val="24"/>
        </w:rPr>
        <w:footnoteReference w:id="23"/>
      </w:r>
      <w:r w:rsidR="00815F6E" w:rsidRPr="00BB5FC0">
        <w:rPr>
          <w:rFonts w:ascii="Times New Roman" w:hAnsi="Times New Roman"/>
          <w:sz w:val="24"/>
          <w:szCs w:val="24"/>
        </w:rPr>
        <w:t xml:space="preserve"> even though they </w:t>
      </w:r>
      <w:r w:rsidR="002F1C45" w:rsidRPr="00BB5FC0">
        <w:rPr>
          <w:rFonts w:ascii="Times New Roman" w:hAnsi="Times New Roman"/>
          <w:sz w:val="24"/>
          <w:szCs w:val="24"/>
        </w:rPr>
        <w:t xml:space="preserve">were </w:t>
      </w:r>
      <w:r w:rsidR="00160553">
        <w:rPr>
          <w:rFonts w:ascii="Times New Roman" w:hAnsi="Times New Roman"/>
          <w:sz w:val="24"/>
          <w:szCs w:val="24"/>
        </w:rPr>
        <w:t>his only studies showing</w:t>
      </w:r>
      <w:r w:rsidR="007F16BF" w:rsidRPr="00BB5FC0">
        <w:rPr>
          <w:rFonts w:ascii="Times New Roman" w:hAnsi="Times New Roman"/>
          <w:sz w:val="24"/>
          <w:szCs w:val="24"/>
        </w:rPr>
        <w:t xml:space="preserve"> an </w:t>
      </w:r>
      <w:r w:rsidR="002F1C45" w:rsidRPr="00BB5FC0">
        <w:rPr>
          <w:rFonts w:ascii="Times New Roman" w:hAnsi="Times New Roman"/>
          <w:sz w:val="24"/>
          <w:szCs w:val="24"/>
        </w:rPr>
        <w:t>increase in the cos</w:t>
      </w:r>
      <w:r w:rsidR="00201BA6" w:rsidRPr="00BB5FC0">
        <w:rPr>
          <w:rFonts w:ascii="Times New Roman" w:hAnsi="Times New Roman"/>
          <w:sz w:val="24"/>
          <w:szCs w:val="24"/>
        </w:rPr>
        <w:t>t of equity</w:t>
      </w:r>
      <w:r w:rsidR="002F1C45" w:rsidRPr="00BB5FC0">
        <w:rPr>
          <w:rFonts w:ascii="Times New Roman" w:hAnsi="Times New Roman"/>
          <w:sz w:val="24"/>
          <w:szCs w:val="24"/>
        </w:rPr>
        <w:t>.</w:t>
      </w:r>
      <w:r w:rsidR="00815F6E" w:rsidRPr="00BB5FC0">
        <w:rPr>
          <w:rFonts w:ascii="Times New Roman" w:hAnsi="Times New Roman"/>
          <w:sz w:val="24"/>
          <w:szCs w:val="24"/>
        </w:rPr>
        <w:t xml:space="preserve">  Mr. Parcell’s CAPM analysis sup</w:t>
      </w:r>
      <w:r w:rsidR="00160553">
        <w:rPr>
          <w:rFonts w:ascii="Times New Roman" w:hAnsi="Times New Roman"/>
          <w:sz w:val="24"/>
          <w:szCs w:val="24"/>
        </w:rPr>
        <w:t>ported a decrease in PSE</w:t>
      </w:r>
      <w:r w:rsidR="00815F6E" w:rsidRPr="00BB5FC0">
        <w:rPr>
          <w:rFonts w:ascii="Times New Roman" w:hAnsi="Times New Roman"/>
          <w:sz w:val="24"/>
          <w:szCs w:val="24"/>
        </w:rPr>
        <w:t xml:space="preserve">’s return on equity, although he acknowledged that CAPM results </w:t>
      </w:r>
      <w:r w:rsidR="00201BA6" w:rsidRPr="00BB5FC0">
        <w:rPr>
          <w:rFonts w:ascii="Times New Roman" w:hAnsi="Times New Roman"/>
          <w:sz w:val="24"/>
          <w:szCs w:val="24"/>
        </w:rPr>
        <w:t xml:space="preserve">should be taken with a grain of salt because they </w:t>
      </w:r>
      <w:r w:rsidR="00160553">
        <w:rPr>
          <w:rFonts w:ascii="Times New Roman" w:hAnsi="Times New Roman"/>
          <w:sz w:val="24"/>
          <w:szCs w:val="24"/>
        </w:rPr>
        <w:t xml:space="preserve">are </w:t>
      </w:r>
      <w:r w:rsidR="00815F6E" w:rsidRPr="00BB5FC0">
        <w:rPr>
          <w:rFonts w:ascii="Times New Roman" w:hAnsi="Times New Roman"/>
          <w:sz w:val="24"/>
          <w:szCs w:val="24"/>
        </w:rPr>
        <w:t xml:space="preserve">biased </w:t>
      </w:r>
      <w:r w:rsidR="00160553">
        <w:rPr>
          <w:rFonts w:ascii="Times New Roman" w:hAnsi="Times New Roman"/>
          <w:sz w:val="24"/>
          <w:szCs w:val="24"/>
        </w:rPr>
        <w:t xml:space="preserve">downward </w:t>
      </w:r>
      <w:r w:rsidR="00815F6E" w:rsidRPr="00BB5FC0">
        <w:rPr>
          <w:rFonts w:ascii="Times New Roman" w:hAnsi="Times New Roman"/>
          <w:sz w:val="24"/>
          <w:szCs w:val="24"/>
        </w:rPr>
        <w:t>by recent market conditions.</w:t>
      </w:r>
      <w:r w:rsidR="00815F6E">
        <w:rPr>
          <w:rStyle w:val="FootnoteReference"/>
          <w:rFonts w:ascii="Times New Roman" w:hAnsi="Times New Roman"/>
          <w:sz w:val="24"/>
          <w:szCs w:val="24"/>
        </w:rPr>
        <w:footnoteReference w:id="24"/>
      </w:r>
      <w:r w:rsidR="00160553">
        <w:rPr>
          <w:rFonts w:ascii="Times New Roman" w:hAnsi="Times New Roman"/>
          <w:sz w:val="24"/>
          <w:szCs w:val="24"/>
        </w:rPr>
        <w:t xml:space="preserve">  </w:t>
      </w:r>
    </w:p>
    <w:p w:rsidR="007B6A84" w:rsidRPr="00BB5FC0" w:rsidRDefault="00BB5FC0" w:rsidP="00BB5FC0">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7F16BF" w:rsidRPr="00BB5FC0">
        <w:rPr>
          <w:rFonts w:ascii="Times New Roman" w:hAnsi="Times New Roman"/>
          <w:sz w:val="24"/>
          <w:szCs w:val="24"/>
        </w:rPr>
        <w:t>PSE’s only remaining challenge is that Mr. Parcell’s recommended 10.0 percent cost of equity is below the average return of the utility industry and his comparable group of utilities.</w:t>
      </w:r>
      <w:r w:rsidR="007F16BF">
        <w:rPr>
          <w:rStyle w:val="FootnoteReference"/>
          <w:rFonts w:ascii="Times New Roman" w:hAnsi="Times New Roman"/>
          <w:sz w:val="24"/>
          <w:szCs w:val="24"/>
        </w:rPr>
        <w:footnoteReference w:id="25"/>
      </w:r>
      <w:r w:rsidR="00201BA6" w:rsidRPr="00BB5FC0">
        <w:rPr>
          <w:rFonts w:ascii="Times New Roman" w:hAnsi="Times New Roman"/>
          <w:sz w:val="24"/>
          <w:szCs w:val="24"/>
        </w:rPr>
        <w:t xml:space="preserve">  However, all of the </w:t>
      </w:r>
      <w:r w:rsidR="004306D9">
        <w:rPr>
          <w:rFonts w:ascii="Times New Roman" w:hAnsi="Times New Roman"/>
          <w:sz w:val="24"/>
          <w:szCs w:val="24"/>
        </w:rPr>
        <w:t xml:space="preserve">equity </w:t>
      </w:r>
      <w:r w:rsidR="00201BA6" w:rsidRPr="00BB5FC0">
        <w:rPr>
          <w:rFonts w:ascii="Times New Roman" w:hAnsi="Times New Roman"/>
          <w:sz w:val="24"/>
          <w:szCs w:val="24"/>
        </w:rPr>
        <w:t>returns noted by the Company were authorized in 2008</w:t>
      </w:r>
      <w:r w:rsidR="005F3547" w:rsidRPr="00BB5FC0">
        <w:rPr>
          <w:rFonts w:ascii="Times New Roman" w:hAnsi="Times New Roman"/>
          <w:sz w:val="24"/>
          <w:szCs w:val="24"/>
        </w:rPr>
        <w:t xml:space="preserve"> using market data before the financial crisis</w:t>
      </w:r>
      <w:r w:rsidR="00201BA6" w:rsidRPr="00BB5FC0">
        <w:rPr>
          <w:rFonts w:ascii="Times New Roman" w:hAnsi="Times New Roman"/>
          <w:sz w:val="24"/>
          <w:szCs w:val="24"/>
        </w:rPr>
        <w:t xml:space="preserve">. </w:t>
      </w:r>
      <w:r w:rsidR="00615622" w:rsidRPr="00BB5FC0">
        <w:rPr>
          <w:rFonts w:ascii="Times New Roman" w:hAnsi="Times New Roman"/>
          <w:sz w:val="24"/>
          <w:szCs w:val="24"/>
        </w:rPr>
        <w:t xml:space="preserve"> </w:t>
      </w:r>
      <w:r w:rsidR="00201BA6" w:rsidRPr="00BB5FC0">
        <w:rPr>
          <w:rFonts w:ascii="Times New Roman" w:hAnsi="Times New Roman"/>
          <w:sz w:val="24"/>
          <w:szCs w:val="24"/>
        </w:rPr>
        <w:t>No showing has been made by PSE that these returns reflect the reduced cost of capital that followed the 2008 financial crisis.</w:t>
      </w:r>
      <w:r w:rsidR="004306D9">
        <w:rPr>
          <w:rStyle w:val="FootnoteReference"/>
          <w:rFonts w:ascii="Times New Roman" w:hAnsi="Times New Roman"/>
          <w:sz w:val="24"/>
          <w:szCs w:val="24"/>
        </w:rPr>
        <w:footnoteReference w:id="26"/>
      </w:r>
    </w:p>
    <w:p w:rsidR="00417755" w:rsidRPr="007678ED" w:rsidRDefault="007678ED" w:rsidP="007678ED">
      <w:pPr>
        <w:spacing w:line="480" w:lineRule="auto"/>
        <w:ind w:firstLine="72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r>
      <w:r w:rsidR="00417755" w:rsidRPr="007678ED">
        <w:rPr>
          <w:rFonts w:ascii="Times New Roman" w:hAnsi="Times New Roman"/>
          <w:b/>
          <w:sz w:val="24"/>
          <w:szCs w:val="24"/>
        </w:rPr>
        <w:t>Cost of Long-Term Debt</w:t>
      </w:r>
    </w:p>
    <w:p w:rsidR="009A509D" w:rsidRPr="007678ED" w:rsidRDefault="007678ED" w:rsidP="007678ED">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lastRenderedPageBreak/>
        <w:tab/>
      </w:r>
      <w:r w:rsidR="006F1FA7">
        <w:rPr>
          <w:rFonts w:ascii="Times New Roman" w:hAnsi="Times New Roman"/>
          <w:sz w:val="24"/>
          <w:szCs w:val="24"/>
        </w:rPr>
        <w:t xml:space="preserve">The Company </w:t>
      </w:r>
      <w:r w:rsidR="00FC49B4" w:rsidRPr="007678ED">
        <w:rPr>
          <w:rFonts w:ascii="Times New Roman" w:hAnsi="Times New Roman"/>
          <w:sz w:val="24"/>
          <w:szCs w:val="24"/>
        </w:rPr>
        <w:t xml:space="preserve">challenges Staff’s decision to </w:t>
      </w:r>
      <w:r w:rsidR="0056582D" w:rsidRPr="007678ED">
        <w:rPr>
          <w:rFonts w:ascii="Times New Roman" w:hAnsi="Times New Roman"/>
          <w:sz w:val="24"/>
          <w:szCs w:val="24"/>
        </w:rPr>
        <w:t xml:space="preserve">estimate the </w:t>
      </w:r>
      <w:r w:rsidR="00FC49B4" w:rsidRPr="007678ED">
        <w:rPr>
          <w:rFonts w:ascii="Times New Roman" w:hAnsi="Times New Roman"/>
          <w:sz w:val="24"/>
          <w:szCs w:val="24"/>
        </w:rPr>
        <w:t xml:space="preserve">price </w:t>
      </w:r>
      <w:r w:rsidR="0056582D" w:rsidRPr="007678ED">
        <w:rPr>
          <w:rFonts w:ascii="Times New Roman" w:hAnsi="Times New Roman"/>
          <w:sz w:val="24"/>
          <w:szCs w:val="24"/>
        </w:rPr>
        <w:t xml:space="preserve">of </w:t>
      </w:r>
      <w:r w:rsidR="00BA6118" w:rsidRPr="007678ED">
        <w:rPr>
          <w:rFonts w:ascii="Times New Roman" w:hAnsi="Times New Roman"/>
          <w:sz w:val="24"/>
          <w:szCs w:val="24"/>
        </w:rPr>
        <w:t xml:space="preserve">two future bond </w:t>
      </w:r>
      <w:r w:rsidR="00FC49B4" w:rsidRPr="007678ED">
        <w:rPr>
          <w:rFonts w:ascii="Times New Roman" w:hAnsi="Times New Roman"/>
          <w:sz w:val="24"/>
          <w:szCs w:val="24"/>
        </w:rPr>
        <w:t>issuances</w:t>
      </w:r>
      <w:r w:rsidR="00BA6118" w:rsidRPr="007678ED">
        <w:rPr>
          <w:rFonts w:ascii="Times New Roman" w:hAnsi="Times New Roman"/>
          <w:sz w:val="24"/>
          <w:szCs w:val="24"/>
        </w:rPr>
        <w:t xml:space="preserve"> </w:t>
      </w:r>
      <w:r w:rsidR="00B26272" w:rsidRPr="007678ED">
        <w:rPr>
          <w:rFonts w:ascii="Times New Roman" w:hAnsi="Times New Roman"/>
          <w:sz w:val="24"/>
          <w:szCs w:val="24"/>
        </w:rPr>
        <w:t xml:space="preserve">at the </w:t>
      </w:r>
      <w:r w:rsidR="0056582D" w:rsidRPr="007678ED">
        <w:rPr>
          <w:rFonts w:ascii="Times New Roman" w:hAnsi="Times New Roman"/>
          <w:sz w:val="24"/>
          <w:szCs w:val="24"/>
        </w:rPr>
        <w:t xml:space="preserve">5.757 percent </w:t>
      </w:r>
      <w:r w:rsidR="00B05F4A" w:rsidRPr="007678ED">
        <w:rPr>
          <w:rFonts w:ascii="Times New Roman" w:hAnsi="Times New Roman"/>
          <w:sz w:val="24"/>
          <w:szCs w:val="24"/>
        </w:rPr>
        <w:t xml:space="preserve">coupon </w:t>
      </w:r>
      <w:r w:rsidR="009A509D" w:rsidRPr="007678ED">
        <w:rPr>
          <w:rFonts w:ascii="Times New Roman" w:hAnsi="Times New Roman"/>
          <w:sz w:val="24"/>
          <w:szCs w:val="24"/>
        </w:rPr>
        <w:t xml:space="preserve">rate </w:t>
      </w:r>
      <w:r w:rsidR="00B26272" w:rsidRPr="007678ED">
        <w:rPr>
          <w:rFonts w:ascii="Times New Roman" w:hAnsi="Times New Roman"/>
          <w:sz w:val="24"/>
          <w:szCs w:val="24"/>
        </w:rPr>
        <w:t xml:space="preserve">PSE received for debt </w:t>
      </w:r>
      <w:r w:rsidR="009A509D" w:rsidRPr="007678ED">
        <w:rPr>
          <w:rFonts w:ascii="Times New Roman" w:hAnsi="Times New Roman"/>
          <w:sz w:val="24"/>
          <w:szCs w:val="24"/>
        </w:rPr>
        <w:t xml:space="preserve">in September 2009.  PSE states that </w:t>
      </w:r>
      <w:r w:rsidR="00160553">
        <w:rPr>
          <w:rFonts w:ascii="Times New Roman" w:hAnsi="Times New Roman"/>
          <w:sz w:val="24"/>
          <w:szCs w:val="24"/>
        </w:rPr>
        <w:t>its</w:t>
      </w:r>
      <w:r w:rsidR="00F5793B" w:rsidRPr="007678ED">
        <w:rPr>
          <w:rFonts w:ascii="Times New Roman" w:hAnsi="Times New Roman"/>
          <w:sz w:val="24"/>
          <w:szCs w:val="24"/>
        </w:rPr>
        <w:t xml:space="preserve"> </w:t>
      </w:r>
      <w:r w:rsidR="00B26272" w:rsidRPr="007678ED">
        <w:rPr>
          <w:rFonts w:ascii="Times New Roman" w:hAnsi="Times New Roman"/>
          <w:sz w:val="24"/>
          <w:szCs w:val="24"/>
        </w:rPr>
        <w:t xml:space="preserve">projected </w:t>
      </w:r>
      <w:r w:rsidR="00B05F4A" w:rsidRPr="007678ED">
        <w:rPr>
          <w:rFonts w:ascii="Times New Roman" w:hAnsi="Times New Roman"/>
          <w:sz w:val="24"/>
          <w:szCs w:val="24"/>
        </w:rPr>
        <w:t>coupon rates of 6.72 percent and 6.86 p</w:t>
      </w:r>
      <w:r w:rsidR="00F5793B" w:rsidRPr="007678ED">
        <w:rPr>
          <w:rFonts w:ascii="Times New Roman" w:hAnsi="Times New Roman"/>
          <w:sz w:val="24"/>
          <w:szCs w:val="24"/>
        </w:rPr>
        <w:t xml:space="preserve">ercent </w:t>
      </w:r>
      <w:r w:rsidR="00160553">
        <w:rPr>
          <w:rFonts w:ascii="Times New Roman" w:hAnsi="Times New Roman"/>
          <w:sz w:val="24"/>
          <w:szCs w:val="24"/>
        </w:rPr>
        <w:t>should be used, instead, because they</w:t>
      </w:r>
      <w:r w:rsidR="00F5793B" w:rsidRPr="007678ED">
        <w:rPr>
          <w:rFonts w:ascii="Times New Roman" w:hAnsi="Times New Roman"/>
          <w:sz w:val="24"/>
          <w:szCs w:val="24"/>
        </w:rPr>
        <w:t xml:space="preserve"> </w:t>
      </w:r>
      <w:r w:rsidR="00B05F4A" w:rsidRPr="007678ED">
        <w:rPr>
          <w:rFonts w:ascii="Times New Roman" w:hAnsi="Times New Roman"/>
          <w:sz w:val="24"/>
          <w:szCs w:val="24"/>
        </w:rPr>
        <w:t>are very close to its embedded cost of long-term debt of 6.70 percent.</w:t>
      </w:r>
      <w:r w:rsidR="00B05F4A">
        <w:rPr>
          <w:rStyle w:val="FootnoteReference"/>
          <w:rFonts w:ascii="Times New Roman" w:hAnsi="Times New Roman"/>
          <w:sz w:val="24"/>
          <w:szCs w:val="24"/>
        </w:rPr>
        <w:footnoteReference w:id="27"/>
      </w:r>
      <w:r w:rsidR="005F3547" w:rsidRPr="007678ED">
        <w:rPr>
          <w:rFonts w:ascii="Times New Roman" w:hAnsi="Times New Roman"/>
          <w:sz w:val="24"/>
          <w:szCs w:val="24"/>
        </w:rPr>
        <w:t xml:space="preserve">  Ho</w:t>
      </w:r>
      <w:r w:rsidR="006F1FA7">
        <w:rPr>
          <w:rFonts w:ascii="Times New Roman" w:hAnsi="Times New Roman"/>
          <w:sz w:val="24"/>
          <w:szCs w:val="24"/>
        </w:rPr>
        <w:t xml:space="preserve">wever, the Company does not explain </w:t>
      </w:r>
      <w:r w:rsidR="00B26272" w:rsidRPr="007678ED">
        <w:rPr>
          <w:rFonts w:ascii="Times New Roman" w:hAnsi="Times New Roman"/>
          <w:sz w:val="24"/>
          <w:szCs w:val="24"/>
        </w:rPr>
        <w:t xml:space="preserve">why its </w:t>
      </w:r>
      <w:r w:rsidR="00BA6118" w:rsidRPr="007678ED">
        <w:rPr>
          <w:rFonts w:ascii="Times New Roman" w:hAnsi="Times New Roman"/>
          <w:sz w:val="24"/>
          <w:szCs w:val="24"/>
        </w:rPr>
        <w:t>embedde</w:t>
      </w:r>
      <w:r w:rsidR="00B26272" w:rsidRPr="007678ED">
        <w:rPr>
          <w:rFonts w:ascii="Times New Roman" w:hAnsi="Times New Roman"/>
          <w:sz w:val="24"/>
          <w:szCs w:val="24"/>
        </w:rPr>
        <w:t xml:space="preserve">d cost of debt is </w:t>
      </w:r>
      <w:r w:rsidR="005E2B26" w:rsidRPr="007678ED">
        <w:rPr>
          <w:rFonts w:ascii="Times New Roman" w:hAnsi="Times New Roman"/>
          <w:sz w:val="24"/>
          <w:szCs w:val="24"/>
        </w:rPr>
        <w:t xml:space="preserve">at all </w:t>
      </w:r>
      <w:r w:rsidR="00B26272" w:rsidRPr="007678ED">
        <w:rPr>
          <w:rFonts w:ascii="Times New Roman" w:hAnsi="Times New Roman"/>
          <w:sz w:val="24"/>
          <w:szCs w:val="24"/>
        </w:rPr>
        <w:t xml:space="preserve">relevant to </w:t>
      </w:r>
      <w:r w:rsidR="0056582D" w:rsidRPr="007678ED">
        <w:rPr>
          <w:rFonts w:ascii="Times New Roman" w:hAnsi="Times New Roman"/>
          <w:sz w:val="24"/>
          <w:szCs w:val="24"/>
        </w:rPr>
        <w:t xml:space="preserve">pricing </w:t>
      </w:r>
      <w:r w:rsidR="00F5793B" w:rsidRPr="007678ED">
        <w:rPr>
          <w:rFonts w:ascii="Times New Roman" w:hAnsi="Times New Roman"/>
          <w:sz w:val="24"/>
          <w:szCs w:val="24"/>
        </w:rPr>
        <w:t xml:space="preserve">new </w:t>
      </w:r>
      <w:r w:rsidR="00BA6118" w:rsidRPr="007678ED">
        <w:rPr>
          <w:rFonts w:ascii="Times New Roman" w:hAnsi="Times New Roman"/>
          <w:sz w:val="24"/>
          <w:szCs w:val="24"/>
        </w:rPr>
        <w:t xml:space="preserve">debt </w:t>
      </w:r>
      <w:r w:rsidR="00F5793B" w:rsidRPr="007678ED">
        <w:rPr>
          <w:rFonts w:ascii="Times New Roman" w:hAnsi="Times New Roman"/>
          <w:sz w:val="24"/>
          <w:szCs w:val="24"/>
        </w:rPr>
        <w:t>to be issued</w:t>
      </w:r>
      <w:r w:rsidR="00160553">
        <w:rPr>
          <w:rFonts w:ascii="Times New Roman" w:hAnsi="Times New Roman"/>
          <w:sz w:val="24"/>
          <w:szCs w:val="24"/>
        </w:rPr>
        <w:t xml:space="preserve"> in 2010</w:t>
      </w:r>
      <w:r w:rsidR="00BA6118" w:rsidRPr="007678ED">
        <w:rPr>
          <w:rFonts w:ascii="Times New Roman" w:hAnsi="Times New Roman"/>
          <w:sz w:val="24"/>
          <w:szCs w:val="24"/>
        </w:rPr>
        <w:t>.</w:t>
      </w:r>
    </w:p>
    <w:p w:rsidR="00BA6118" w:rsidRPr="007678ED" w:rsidRDefault="007678ED" w:rsidP="007678ED">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56582D" w:rsidRPr="007678ED">
        <w:rPr>
          <w:rFonts w:ascii="Times New Roman" w:hAnsi="Times New Roman"/>
          <w:sz w:val="24"/>
          <w:szCs w:val="24"/>
        </w:rPr>
        <w:t xml:space="preserve">Company </w:t>
      </w:r>
      <w:r w:rsidR="00BA6118" w:rsidRPr="007678ED">
        <w:rPr>
          <w:rFonts w:ascii="Times New Roman" w:hAnsi="Times New Roman"/>
          <w:sz w:val="24"/>
          <w:szCs w:val="24"/>
        </w:rPr>
        <w:t xml:space="preserve">projections of debt costs have </w:t>
      </w:r>
      <w:r w:rsidR="00160553">
        <w:rPr>
          <w:rFonts w:ascii="Times New Roman" w:hAnsi="Times New Roman"/>
          <w:sz w:val="24"/>
          <w:szCs w:val="24"/>
        </w:rPr>
        <w:t xml:space="preserve">also </w:t>
      </w:r>
      <w:r w:rsidR="00BA6118" w:rsidRPr="007678ED">
        <w:rPr>
          <w:rFonts w:ascii="Times New Roman" w:hAnsi="Times New Roman"/>
          <w:sz w:val="24"/>
          <w:szCs w:val="24"/>
        </w:rPr>
        <w:t>proven to be grossly unreliable.  In its direct case, PSE projected a cost of debt for the September 2009 debt issue of 6.90 percent.</w:t>
      </w:r>
      <w:r w:rsidR="00BA6118">
        <w:rPr>
          <w:rStyle w:val="FootnoteReference"/>
          <w:rFonts w:ascii="Times New Roman" w:hAnsi="Times New Roman"/>
          <w:sz w:val="24"/>
          <w:szCs w:val="24"/>
        </w:rPr>
        <w:footnoteReference w:id="28"/>
      </w:r>
      <w:r w:rsidR="0056582D" w:rsidRPr="007678ED">
        <w:rPr>
          <w:rFonts w:ascii="Times New Roman" w:hAnsi="Times New Roman"/>
          <w:sz w:val="24"/>
          <w:szCs w:val="24"/>
        </w:rPr>
        <w:t xml:space="preserve">  That projection pro</w:t>
      </w:r>
      <w:r w:rsidR="00B26272" w:rsidRPr="007678ED">
        <w:rPr>
          <w:rFonts w:ascii="Times New Roman" w:hAnsi="Times New Roman"/>
          <w:sz w:val="24"/>
          <w:szCs w:val="24"/>
        </w:rPr>
        <w:t xml:space="preserve">ved to </w:t>
      </w:r>
      <w:r w:rsidR="00F84B5A" w:rsidRPr="007678ED">
        <w:rPr>
          <w:rFonts w:ascii="Times New Roman" w:hAnsi="Times New Roman"/>
          <w:sz w:val="24"/>
          <w:szCs w:val="24"/>
        </w:rPr>
        <w:t>greatly exceed</w:t>
      </w:r>
      <w:r w:rsidR="00B26272" w:rsidRPr="007678ED">
        <w:rPr>
          <w:rFonts w:ascii="Times New Roman" w:hAnsi="Times New Roman"/>
          <w:sz w:val="24"/>
          <w:szCs w:val="24"/>
        </w:rPr>
        <w:t xml:space="preserve"> </w:t>
      </w:r>
      <w:r w:rsidR="0056582D" w:rsidRPr="007678ED">
        <w:rPr>
          <w:rFonts w:ascii="Times New Roman" w:hAnsi="Times New Roman"/>
          <w:sz w:val="24"/>
          <w:szCs w:val="24"/>
        </w:rPr>
        <w:t xml:space="preserve">the </w:t>
      </w:r>
      <w:r w:rsidR="00F84B5A" w:rsidRPr="007678ED">
        <w:rPr>
          <w:rFonts w:ascii="Times New Roman" w:hAnsi="Times New Roman"/>
          <w:sz w:val="24"/>
          <w:szCs w:val="24"/>
        </w:rPr>
        <w:t xml:space="preserve">actual </w:t>
      </w:r>
      <w:r w:rsidR="0056582D" w:rsidRPr="007678ED">
        <w:rPr>
          <w:rFonts w:ascii="Times New Roman" w:hAnsi="Times New Roman"/>
          <w:sz w:val="24"/>
          <w:szCs w:val="24"/>
        </w:rPr>
        <w:t>September 2009 issuance of bonds at 5.757 percent.  There is no</w:t>
      </w:r>
      <w:r w:rsidR="005E2B26" w:rsidRPr="007678ED">
        <w:rPr>
          <w:rFonts w:ascii="Times New Roman" w:hAnsi="Times New Roman"/>
          <w:sz w:val="24"/>
          <w:szCs w:val="24"/>
        </w:rPr>
        <w:t xml:space="preserve"> reason on this record to rely upon </w:t>
      </w:r>
      <w:r w:rsidR="00072C57">
        <w:rPr>
          <w:rFonts w:ascii="Times New Roman" w:hAnsi="Times New Roman"/>
          <w:sz w:val="24"/>
          <w:szCs w:val="24"/>
        </w:rPr>
        <w:t>the Company</w:t>
      </w:r>
      <w:r w:rsidR="0056582D" w:rsidRPr="007678ED">
        <w:rPr>
          <w:rFonts w:ascii="Times New Roman" w:hAnsi="Times New Roman"/>
          <w:sz w:val="24"/>
          <w:szCs w:val="24"/>
        </w:rPr>
        <w:t xml:space="preserve">’s projected cost rates for the </w:t>
      </w:r>
      <w:r w:rsidR="00615622" w:rsidRPr="007678ED">
        <w:rPr>
          <w:rFonts w:ascii="Times New Roman" w:hAnsi="Times New Roman"/>
          <w:sz w:val="24"/>
          <w:szCs w:val="24"/>
        </w:rPr>
        <w:t xml:space="preserve">remaining </w:t>
      </w:r>
      <w:r w:rsidR="00B26272" w:rsidRPr="007678ED">
        <w:rPr>
          <w:rFonts w:ascii="Times New Roman" w:hAnsi="Times New Roman"/>
          <w:sz w:val="24"/>
          <w:szCs w:val="24"/>
        </w:rPr>
        <w:t xml:space="preserve">two </w:t>
      </w:r>
      <w:r w:rsidR="0056582D" w:rsidRPr="007678ED">
        <w:rPr>
          <w:rFonts w:ascii="Times New Roman" w:hAnsi="Times New Roman"/>
          <w:sz w:val="24"/>
          <w:szCs w:val="24"/>
        </w:rPr>
        <w:t xml:space="preserve">bond issuances </w:t>
      </w:r>
      <w:r w:rsidR="00072C57">
        <w:rPr>
          <w:rFonts w:ascii="Times New Roman" w:hAnsi="Times New Roman"/>
          <w:sz w:val="24"/>
          <w:szCs w:val="24"/>
        </w:rPr>
        <w:t xml:space="preserve">yet </w:t>
      </w:r>
      <w:r w:rsidR="0056582D" w:rsidRPr="007678ED">
        <w:rPr>
          <w:rFonts w:ascii="Times New Roman" w:hAnsi="Times New Roman"/>
          <w:sz w:val="24"/>
          <w:szCs w:val="24"/>
        </w:rPr>
        <w:t>to come in 2010.</w:t>
      </w:r>
    </w:p>
    <w:p w:rsidR="00B26272" w:rsidRDefault="007678ED" w:rsidP="007678ED">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B26272" w:rsidRPr="007678ED">
        <w:rPr>
          <w:rFonts w:ascii="Times New Roman" w:hAnsi="Times New Roman"/>
          <w:sz w:val="24"/>
          <w:szCs w:val="24"/>
        </w:rPr>
        <w:t>The best evidence of the cost of debt</w:t>
      </w:r>
      <w:r w:rsidR="00615622" w:rsidRPr="007678ED">
        <w:rPr>
          <w:rFonts w:ascii="Times New Roman" w:hAnsi="Times New Roman"/>
          <w:sz w:val="24"/>
          <w:szCs w:val="24"/>
        </w:rPr>
        <w:t xml:space="preserve"> </w:t>
      </w:r>
      <w:r w:rsidR="00B26272" w:rsidRPr="007678ED">
        <w:rPr>
          <w:rFonts w:ascii="Times New Roman" w:hAnsi="Times New Roman"/>
          <w:sz w:val="24"/>
          <w:szCs w:val="24"/>
        </w:rPr>
        <w:t>in this case is</w:t>
      </w:r>
      <w:r w:rsidR="00F84B5A" w:rsidRPr="007678ED">
        <w:rPr>
          <w:rFonts w:ascii="Times New Roman" w:hAnsi="Times New Roman"/>
          <w:sz w:val="24"/>
          <w:szCs w:val="24"/>
        </w:rPr>
        <w:t xml:space="preserve"> the cost </w:t>
      </w:r>
      <w:r w:rsidR="00FD15C4">
        <w:rPr>
          <w:rFonts w:ascii="Times New Roman" w:hAnsi="Times New Roman"/>
          <w:sz w:val="24"/>
          <w:szCs w:val="24"/>
        </w:rPr>
        <w:t xml:space="preserve">PSE </w:t>
      </w:r>
      <w:r w:rsidR="00B26272" w:rsidRPr="007678ED">
        <w:rPr>
          <w:rFonts w:ascii="Times New Roman" w:hAnsi="Times New Roman"/>
          <w:sz w:val="24"/>
          <w:szCs w:val="24"/>
        </w:rPr>
        <w:t xml:space="preserve">actually experienced in today’s capital markets. </w:t>
      </w:r>
      <w:r w:rsidR="00FD15C4">
        <w:rPr>
          <w:rFonts w:ascii="Times New Roman" w:hAnsi="Times New Roman"/>
          <w:sz w:val="24"/>
          <w:szCs w:val="24"/>
        </w:rPr>
        <w:t xml:space="preserve"> The cost PSE </w:t>
      </w:r>
      <w:r w:rsidR="00F84B5A" w:rsidRPr="007678ED">
        <w:rPr>
          <w:rFonts w:ascii="Times New Roman" w:hAnsi="Times New Roman"/>
          <w:sz w:val="24"/>
          <w:szCs w:val="24"/>
        </w:rPr>
        <w:t>actually experienced in</w:t>
      </w:r>
      <w:r w:rsidR="00AE3069" w:rsidRPr="007678ED">
        <w:rPr>
          <w:rFonts w:ascii="Times New Roman" w:hAnsi="Times New Roman"/>
          <w:sz w:val="24"/>
          <w:szCs w:val="24"/>
        </w:rPr>
        <w:t xml:space="preserve"> today’s capital markets is </w:t>
      </w:r>
      <w:r w:rsidR="00F84B5A" w:rsidRPr="007678ED">
        <w:rPr>
          <w:rFonts w:ascii="Times New Roman" w:hAnsi="Times New Roman"/>
          <w:sz w:val="24"/>
          <w:szCs w:val="24"/>
        </w:rPr>
        <w:t>5.</w:t>
      </w:r>
      <w:r w:rsidR="005E2B26" w:rsidRPr="007678ED">
        <w:rPr>
          <w:rFonts w:ascii="Times New Roman" w:hAnsi="Times New Roman"/>
          <w:sz w:val="24"/>
          <w:szCs w:val="24"/>
        </w:rPr>
        <w:t>757 percent</w:t>
      </w:r>
      <w:r w:rsidR="00FD15C4">
        <w:rPr>
          <w:rFonts w:ascii="Times New Roman" w:hAnsi="Times New Roman"/>
          <w:sz w:val="24"/>
          <w:szCs w:val="24"/>
        </w:rPr>
        <w:t xml:space="preserve">.  </w:t>
      </w:r>
      <w:r w:rsidR="00F84B5A" w:rsidRPr="007678ED">
        <w:rPr>
          <w:rFonts w:ascii="Times New Roman" w:hAnsi="Times New Roman"/>
          <w:sz w:val="24"/>
          <w:szCs w:val="24"/>
        </w:rPr>
        <w:t xml:space="preserve">Staff </w:t>
      </w:r>
      <w:r w:rsidR="005E2B26" w:rsidRPr="007678ED">
        <w:rPr>
          <w:rFonts w:ascii="Times New Roman" w:hAnsi="Times New Roman"/>
          <w:sz w:val="24"/>
          <w:szCs w:val="24"/>
        </w:rPr>
        <w:t xml:space="preserve">used </w:t>
      </w:r>
      <w:r w:rsidR="00FD15C4">
        <w:rPr>
          <w:rFonts w:ascii="Times New Roman" w:hAnsi="Times New Roman"/>
          <w:sz w:val="24"/>
          <w:szCs w:val="24"/>
        </w:rPr>
        <w:t xml:space="preserve">that coupon rate </w:t>
      </w:r>
      <w:r w:rsidR="00F84B5A" w:rsidRPr="007678ED">
        <w:rPr>
          <w:rFonts w:ascii="Times New Roman" w:hAnsi="Times New Roman"/>
          <w:sz w:val="24"/>
          <w:szCs w:val="24"/>
        </w:rPr>
        <w:t>to estimate the cost of long-term debt</w:t>
      </w:r>
      <w:r w:rsidR="005F3547" w:rsidRPr="007678ED">
        <w:rPr>
          <w:rFonts w:ascii="Times New Roman" w:hAnsi="Times New Roman"/>
          <w:sz w:val="24"/>
          <w:szCs w:val="24"/>
        </w:rPr>
        <w:t xml:space="preserve"> for the rate year</w:t>
      </w:r>
      <w:r w:rsidR="00F84B5A" w:rsidRPr="007678ED">
        <w:rPr>
          <w:rFonts w:ascii="Times New Roman" w:hAnsi="Times New Roman"/>
          <w:sz w:val="24"/>
          <w:szCs w:val="24"/>
        </w:rPr>
        <w:t>.</w:t>
      </w:r>
      <w:r w:rsidR="00F378D3">
        <w:rPr>
          <w:rFonts w:ascii="Times New Roman" w:hAnsi="Times New Roman"/>
          <w:sz w:val="24"/>
          <w:szCs w:val="24"/>
        </w:rPr>
        <w:t xml:space="preserve">  </w:t>
      </w:r>
      <w:r w:rsidR="00072C57">
        <w:rPr>
          <w:rFonts w:ascii="Times New Roman" w:hAnsi="Times New Roman"/>
          <w:sz w:val="24"/>
          <w:szCs w:val="24"/>
        </w:rPr>
        <w:t>The Commission should approve Staff’s approach.</w:t>
      </w:r>
    </w:p>
    <w:p w:rsidR="00F378D3" w:rsidRDefault="00D25DD7" w:rsidP="00B86D58">
      <w:pPr>
        <w:pStyle w:val="ListParagraph"/>
        <w:ind w:hanging="720"/>
        <w:rPr>
          <w:rFonts w:ascii="Times New Roman" w:hAnsi="Times New Roman"/>
          <w:b/>
          <w:sz w:val="24"/>
          <w:szCs w:val="24"/>
        </w:rPr>
      </w:pPr>
      <w:r>
        <w:rPr>
          <w:rFonts w:ascii="Times New Roman" w:hAnsi="Times New Roman"/>
          <w:b/>
          <w:sz w:val="24"/>
          <w:szCs w:val="24"/>
        </w:rPr>
        <w:t>C</w:t>
      </w:r>
      <w:r w:rsidR="00F378D3" w:rsidRPr="00EF65B0">
        <w:rPr>
          <w:rFonts w:ascii="Times New Roman" w:hAnsi="Times New Roman"/>
          <w:b/>
          <w:sz w:val="24"/>
          <w:szCs w:val="24"/>
        </w:rPr>
        <w:t>.</w:t>
      </w:r>
      <w:r w:rsidR="00F378D3" w:rsidRPr="00EF65B0">
        <w:rPr>
          <w:rFonts w:ascii="Times New Roman" w:hAnsi="Times New Roman"/>
          <w:b/>
          <w:sz w:val="24"/>
          <w:szCs w:val="24"/>
        </w:rPr>
        <w:tab/>
      </w:r>
      <w:r w:rsidR="00B86D58">
        <w:rPr>
          <w:rFonts w:ascii="Times New Roman" w:hAnsi="Times New Roman"/>
          <w:b/>
          <w:sz w:val="24"/>
          <w:szCs w:val="24"/>
        </w:rPr>
        <w:t>The Commission Should Reject the Company’s Position on Contested Ratemaking Adjustments</w:t>
      </w:r>
    </w:p>
    <w:p w:rsidR="00B86D58" w:rsidRDefault="00B86D58" w:rsidP="00B86D58">
      <w:pPr>
        <w:pStyle w:val="ListParagraph"/>
        <w:ind w:hanging="720"/>
        <w:rPr>
          <w:rFonts w:ascii="Times New Roman" w:hAnsi="Times New Roman"/>
          <w:b/>
          <w:sz w:val="24"/>
          <w:szCs w:val="24"/>
        </w:rPr>
      </w:pPr>
    </w:p>
    <w:p w:rsidR="00AD0942" w:rsidRDefault="00AD0942" w:rsidP="00F378D3">
      <w:pPr>
        <w:pStyle w:val="ListParagraph"/>
        <w:spacing w:line="480" w:lineRule="auto"/>
        <w:ind w:left="0"/>
        <w:rPr>
          <w:rFonts w:ascii="Times New Roman" w:hAnsi="Times New Roman"/>
          <w:b/>
          <w:sz w:val="24"/>
          <w:szCs w:val="24"/>
        </w:rPr>
      </w:pPr>
      <w:r>
        <w:rPr>
          <w:rFonts w:ascii="Times New Roman" w:hAnsi="Times New Roman"/>
          <w:b/>
          <w:sz w:val="24"/>
          <w:szCs w:val="24"/>
        </w:rPr>
        <w:tab/>
        <w:t>1.</w:t>
      </w:r>
      <w:r>
        <w:rPr>
          <w:rFonts w:ascii="Times New Roman" w:hAnsi="Times New Roman"/>
          <w:b/>
          <w:sz w:val="24"/>
          <w:szCs w:val="24"/>
        </w:rPr>
        <w:tab/>
        <w:t>Major Maintenance</w:t>
      </w:r>
    </w:p>
    <w:p w:rsidR="00AD0942" w:rsidRDefault="00243407" w:rsidP="00243407">
      <w:pPr>
        <w:pStyle w:val="ListParagraph"/>
        <w:numPr>
          <w:ilvl w:val="0"/>
          <w:numId w:val="10"/>
        </w:numPr>
        <w:spacing w:line="480" w:lineRule="auto"/>
        <w:rPr>
          <w:rFonts w:ascii="Times New Roman" w:hAnsi="Times New Roman"/>
          <w:sz w:val="24"/>
        </w:rPr>
      </w:pPr>
      <w:r>
        <w:rPr>
          <w:rFonts w:ascii="Times New Roman" w:hAnsi="Times New Roman"/>
          <w:sz w:val="24"/>
        </w:rPr>
        <w:tab/>
      </w:r>
      <w:r w:rsidR="00AD0942" w:rsidRPr="00C61B17">
        <w:rPr>
          <w:rFonts w:ascii="Times New Roman" w:hAnsi="Times New Roman"/>
          <w:sz w:val="24"/>
        </w:rPr>
        <w:t>Staff recommends tha</w:t>
      </w:r>
      <w:r w:rsidR="00AD0942">
        <w:rPr>
          <w:rFonts w:ascii="Times New Roman" w:hAnsi="Times New Roman"/>
          <w:sz w:val="24"/>
        </w:rPr>
        <w:t xml:space="preserve">t, for ratemaking, PSE </w:t>
      </w:r>
      <w:r w:rsidR="00AD0942" w:rsidRPr="00C61B17">
        <w:rPr>
          <w:rFonts w:ascii="Times New Roman" w:hAnsi="Times New Roman"/>
          <w:sz w:val="24"/>
        </w:rPr>
        <w:t>continue its current accounting for major maintenance under the American Institute of Certified Public Accountants (“AICPA”) Audit and Accounting Guide for Airlines</w:t>
      </w:r>
      <w:r w:rsidR="00AD0942">
        <w:rPr>
          <w:rFonts w:ascii="Times New Roman" w:hAnsi="Times New Roman"/>
          <w:sz w:val="24"/>
        </w:rPr>
        <w:t xml:space="preserve"> </w:t>
      </w:r>
      <w:r w:rsidR="00AD0942" w:rsidRPr="00C61B17">
        <w:rPr>
          <w:rFonts w:ascii="Times New Roman" w:hAnsi="Times New Roman"/>
          <w:sz w:val="24"/>
        </w:rPr>
        <w:t>and Generally Accepted Accounting Principl</w:t>
      </w:r>
      <w:r w:rsidR="00AD0942">
        <w:rPr>
          <w:rFonts w:ascii="Times New Roman" w:hAnsi="Times New Roman"/>
          <w:sz w:val="24"/>
        </w:rPr>
        <w:t>es</w:t>
      </w:r>
      <w:r w:rsidR="00AD0942" w:rsidRPr="00C61B17">
        <w:rPr>
          <w:rFonts w:ascii="Times New Roman" w:hAnsi="Times New Roman"/>
          <w:sz w:val="24"/>
        </w:rPr>
        <w:t>.</w:t>
      </w:r>
      <w:r w:rsidR="00AD0942">
        <w:rPr>
          <w:rStyle w:val="FootnoteReference"/>
          <w:rFonts w:ascii="Times New Roman" w:hAnsi="Times New Roman"/>
          <w:sz w:val="24"/>
        </w:rPr>
        <w:footnoteReference w:id="29"/>
      </w:r>
      <w:r w:rsidR="00AD0942" w:rsidRPr="00C61B17">
        <w:rPr>
          <w:rFonts w:ascii="Times New Roman" w:hAnsi="Times New Roman"/>
          <w:sz w:val="24"/>
        </w:rPr>
        <w:t xml:space="preserve">  </w:t>
      </w:r>
      <w:r w:rsidR="00072C57">
        <w:rPr>
          <w:rFonts w:ascii="Times New Roman" w:hAnsi="Times New Roman"/>
          <w:sz w:val="24"/>
        </w:rPr>
        <w:lastRenderedPageBreak/>
        <w:t>The Company</w:t>
      </w:r>
      <w:r w:rsidR="00AD0942" w:rsidRPr="00C61B17">
        <w:rPr>
          <w:rFonts w:ascii="Times New Roman" w:hAnsi="Times New Roman"/>
          <w:sz w:val="24"/>
        </w:rPr>
        <w:t xml:space="preserve"> </w:t>
      </w:r>
      <w:r w:rsidR="00AD0942">
        <w:rPr>
          <w:rFonts w:ascii="Times New Roman" w:hAnsi="Times New Roman"/>
          <w:sz w:val="24"/>
        </w:rPr>
        <w:t>stated</w:t>
      </w:r>
      <w:r w:rsidR="00AD0942" w:rsidRPr="00C61B17">
        <w:rPr>
          <w:rFonts w:ascii="Times New Roman" w:hAnsi="Times New Roman"/>
          <w:sz w:val="24"/>
        </w:rPr>
        <w:t xml:space="preserve"> that its </w:t>
      </w:r>
      <w:r w:rsidR="00AD0942">
        <w:rPr>
          <w:rFonts w:ascii="Times New Roman" w:hAnsi="Times New Roman"/>
          <w:sz w:val="24"/>
        </w:rPr>
        <w:t xml:space="preserve">proposal to recover </w:t>
      </w:r>
      <w:r w:rsidR="00AD0942" w:rsidRPr="00C61B17">
        <w:rPr>
          <w:rFonts w:ascii="Times New Roman" w:hAnsi="Times New Roman"/>
          <w:sz w:val="24"/>
        </w:rPr>
        <w:t>major maintenance is “consistent” with Staff’s recommendation.</w:t>
      </w:r>
      <w:r w:rsidR="00AD0942">
        <w:rPr>
          <w:rStyle w:val="FootnoteReference"/>
          <w:rFonts w:ascii="Times New Roman" w:hAnsi="Times New Roman"/>
          <w:sz w:val="24"/>
        </w:rPr>
        <w:footnoteReference w:id="30"/>
      </w:r>
      <w:r w:rsidR="00AD0942" w:rsidRPr="00C61B17">
        <w:rPr>
          <w:rFonts w:ascii="Times New Roman" w:hAnsi="Times New Roman"/>
          <w:sz w:val="24"/>
        </w:rPr>
        <w:t xml:space="preserve">  </w:t>
      </w:r>
      <w:r w:rsidR="00AD0942">
        <w:rPr>
          <w:rFonts w:ascii="Times New Roman" w:hAnsi="Times New Roman"/>
          <w:sz w:val="24"/>
        </w:rPr>
        <w:t>It repeats that characterization in its Initial Brief.</w:t>
      </w:r>
      <w:r w:rsidR="00AD0942">
        <w:rPr>
          <w:rStyle w:val="FootnoteReference"/>
          <w:rFonts w:ascii="Times New Roman" w:hAnsi="Times New Roman"/>
          <w:sz w:val="24"/>
        </w:rPr>
        <w:footnoteReference w:id="31"/>
      </w:r>
    </w:p>
    <w:p w:rsidR="00AD0942" w:rsidRPr="00243407" w:rsidRDefault="00243407" w:rsidP="00243407">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AD0942" w:rsidRPr="00243407">
        <w:rPr>
          <w:rFonts w:ascii="Times New Roman" w:hAnsi="Times New Roman"/>
          <w:sz w:val="24"/>
          <w:szCs w:val="24"/>
        </w:rPr>
        <w:t xml:space="preserve">It is clearly not the case that PSE’s proposal is the methodology </w:t>
      </w:r>
      <w:r w:rsidR="00072C57" w:rsidRPr="00243407">
        <w:rPr>
          <w:rFonts w:ascii="Times New Roman" w:hAnsi="Times New Roman"/>
          <w:sz w:val="24"/>
          <w:szCs w:val="24"/>
        </w:rPr>
        <w:t xml:space="preserve">that </w:t>
      </w:r>
      <w:r w:rsidR="00AD0942" w:rsidRPr="00243407">
        <w:rPr>
          <w:rFonts w:ascii="Times New Roman" w:hAnsi="Times New Roman"/>
          <w:sz w:val="24"/>
          <w:szCs w:val="24"/>
        </w:rPr>
        <w:t>Staff recommends</w:t>
      </w:r>
      <w:r w:rsidR="00C44A23" w:rsidRPr="00243407">
        <w:rPr>
          <w:rFonts w:ascii="Times New Roman" w:hAnsi="Times New Roman"/>
          <w:sz w:val="24"/>
          <w:szCs w:val="24"/>
        </w:rPr>
        <w:t xml:space="preserve"> be continued</w:t>
      </w:r>
      <w:r w:rsidR="00AD0942" w:rsidRPr="00243407">
        <w:rPr>
          <w:rFonts w:ascii="Times New Roman" w:hAnsi="Times New Roman"/>
          <w:sz w:val="24"/>
          <w:szCs w:val="24"/>
        </w:rPr>
        <w:t>.  PSE’s actual request is that the Commission shoul</w:t>
      </w:r>
      <w:r w:rsidR="002A132C" w:rsidRPr="00243407">
        <w:rPr>
          <w:rFonts w:ascii="Times New Roman" w:hAnsi="Times New Roman"/>
          <w:sz w:val="24"/>
          <w:szCs w:val="24"/>
        </w:rPr>
        <w:t>d revise</w:t>
      </w:r>
      <w:r w:rsidR="00AD0942" w:rsidRPr="00243407">
        <w:rPr>
          <w:rFonts w:ascii="Times New Roman" w:hAnsi="Times New Roman"/>
          <w:sz w:val="24"/>
          <w:szCs w:val="24"/>
        </w:rPr>
        <w:t xml:space="preserve"> the accounting for major maintenance</w:t>
      </w:r>
      <w:r w:rsidR="006326EB" w:rsidRPr="00243407">
        <w:rPr>
          <w:rFonts w:ascii="Times New Roman" w:hAnsi="Times New Roman"/>
          <w:sz w:val="24"/>
          <w:szCs w:val="24"/>
        </w:rPr>
        <w:t>,</w:t>
      </w:r>
      <w:r w:rsidR="00AD0942" w:rsidRPr="00243407">
        <w:rPr>
          <w:rFonts w:ascii="Times New Roman" w:hAnsi="Times New Roman"/>
          <w:sz w:val="24"/>
          <w:szCs w:val="24"/>
        </w:rPr>
        <w:t xml:space="preserve"> thereby creating regulatory assets for all major maintenance and allowing major maintenance for turbines without service agreements to be capitalized and amortized to expense</w:t>
      </w:r>
      <w:r w:rsidR="00C44A23" w:rsidRPr="00243407">
        <w:rPr>
          <w:rFonts w:ascii="Times New Roman" w:hAnsi="Times New Roman"/>
          <w:sz w:val="24"/>
          <w:szCs w:val="24"/>
        </w:rPr>
        <w:t>,</w:t>
      </w:r>
      <w:r w:rsidR="00AD0942" w:rsidRPr="00243407">
        <w:rPr>
          <w:rFonts w:ascii="Times New Roman" w:hAnsi="Times New Roman"/>
          <w:sz w:val="24"/>
          <w:szCs w:val="24"/>
        </w:rPr>
        <w:t xml:space="preserve"> even though </w:t>
      </w:r>
      <w:r w:rsidR="00C44A23" w:rsidRPr="00243407">
        <w:rPr>
          <w:rFonts w:ascii="Times New Roman" w:hAnsi="Times New Roman"/>
          <w:sz w:val="24"/>
          <w:szCs w:val="24"/>
        </w:rPr>
        <w:t xml:space="preserve">insufficient information exists </w:t>
      </w:r>
      <w:r w:rsidR="00AD0942" w:rsidRPr="00243407">
        <w:rPr>
          <w:rFonts w:ascii="Times New Roman" w:hAnsi="Times New Roman"/>
          <w:sz w:val="24"/>
          <w:szCs w:val="24"/>
        </w:rPr>
        <w:t xml:space="preserve">to reasonably determine an </w:t>
      </w:r>
      <w:r w:rsidR="00072C57" w:rsidRPr="00243407">
        <w:rPr>
          <w:rFonts w:ascii="Times New Roman" w:hAnsi="Times New Roman"/>
          <w:sz w:val="24"/>
          <w:szCs w:val="24"/>
        </w:rPr>
        <w:t xml:space="preserve">appropriate </w:t>
      </w:r>
      <w:r w:rsidR="00AD0942" w:rsidRPr="00243407">
        <w:rPr>
          <w:rFonts w:ascii="Times New Roman" w:hAnsi="Times New Roman"/>
          <w:sz w:val="24"/>
          <w:szCs w:val="24"/>
        </w:rPr>
        <w:t>amortization period.</w:t>
      </w:r>
      <w:r w:rsidR="00AD0942">
        <w:rPr>
          <w:rStyle w:val="FootnoteReference"/>
          <w:rFonts w:ascii="Times New Roman" w:hAnsi="Times New Roman"/>
          <w:sz w:val="24"/>
          <w:szCs w:val="24"/>
        </w:rPr>
        <w:footnoteReference w:id="32"/>
      </w:r>
    </w:p>
    <w:p w:rsidR="00AD0942" w:rsidRDefault="00243407" w:rsidP="00243407">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AD0942">
        <w:rPr>
          <w:rFonts w:ascii="Times New Roman" w:hAnsi="Times New Roman"/>
          <w:sz w:val="24"/>
          <w:szCs w:val="24"/>
        </w:rPr>
        <w:t>Staff</w:t>
      </w:r>
      <w:r w:rsidR="002A132C">
        <w:rPr>
          <w:rFonts w:ascii="Times New Roman" w:hAnsi="Times New Roman"/>
          <w:sz w:val="24"/>
          <w:szCs w:val="24"/>
        </w:rPr>
        <w:t>’s Initial Brief</w:t>
      </w:r>
      <w:r w:rsidR="00AD0942">
        <w:rPr>
          <w:rFonts w:ascii="Times New Roman" w:hAnsi="Times New Roman"/>
          <w:sz w:val="24"/>
          <w:szCs w:val="24"/>
        </w:rPr>
        <w:t xml:space="preserve"> provided sound reasons </w:t>
      </w:r>
      <w:r w:rsidR="006326EB">
        <w:rPr>
          <w:rFonts w:ascii="Times New Roman" w:hAnsi="Times New Roman"/>
          <w:sz w:val="24"/>
          <w:szCs w:val="24"/>
        </w:rPr>
        <w:t xml:space="preserve">for the Commission to </w:t>
      </w:r>
      <w:r w:rsidR="00AD0942">
        <w:rPr>
          <w:rFonts w:ascii="Times New Roman" w:hAnsi="Times New Roman"/>
          <w:sz w:val="24"/>
          <w:szCs w:val="24"/>
        </w:rPr>
        <w:t>reject the Company’s proposal.</w:t>
      </w:r>
      <w:r w:rsidR="00AD0942">
        <w:rPr>
          <w:rStyle w:val="FootnoteReference"/>
          <w:rFonts w:ascii="Times New Roman" w:hAnsi="Times New Roman"/>
          <w:sz w:val="24"/>
          <w:szCs w:val="24"/>
        </w:rPr>
        <w:footnoteReference w:id="33"/>
      </w:r>
      <w:r w:rsidR="006326EB">
        <w:rPr>
          <w:rFonts w:ascii="Times New Roman" w:hAnsi="Times New Roman"/>
          <w:sz w:val="24"/>
          <w:szCs w:val="24"/>
        </w:rPr>
        <w:t xml:space="preserve">  W</w:t>
      </w:r>
      <w:r w:rsidR="00F42085">
        <w:rPr>
          <w:rFonts w:ascii="Times New Roman" w:hAnsi="Times New Roman"/>
          <w:sz w:val="24"/>
          <w:szCs w:val="24"/>
        </w:rPr>
        <w:t>e emphasize that rationale and recommendation here.</w:t>
      </w:r>
    </w:p>
    <w:p w:rsidR="006A08CB" w:rsidRPr="006A08CB" w:rsidRDefault="006A08CB" w:rsidP="00AD0942">
      <w:pPr>
        <w:pStyle w:val="ListParagraph"/>
        <w:spacing w:line="480" w:lineRule="auto"/>
        <w:ind w:left="0"/>
        <w:rPr>
          <w:rFonts w:ascii="Times New Roman" w:hAnsi="Times New Roman"/>
          <w:b/>
          <w:sz w:val="24"/>
          <w:szCs w:val="24"/>
        </w:rPr>
      </w:pPr>
      <w:r>
        <w:rPr>
          <w:rFonts w:ascii="Times New Roman" w:hAnsi="Times New Roman"/>
          <w:sz w:val="24"/>
          <w:szCs w:val="24"/>
        </w:rPr>
        <w:tab/>
      </w:r>
      <w:r w:rsidRPr="006A08CB">
        <w:rPr>
          <w:rFonts w:ascii="Times New Roman" w:hAnsi="Times New Roman"/>
          <w:b/>
          <w:sz w:val="24"/>
          <w:szCs w:val="24"/>
        </w:rPr>
        <w:t>2.</w:t>
      </w:r>
      <w:r w:rsidRPr="006A08CB">
        <w:rPr>
          <w:rFonts w:ascii="Times New Roman" w:hAnsi="Times New Roman"/>
          <w:b/>
          <w:sz w:val="24"/>
          <w:szCs w:val="24"/>
        </w:rPr>
        <w:tab/>
      </w:r>
      <w:r w:rsidR="00B86D58">
        <w:rPr>
          <w:rFonts w:ascii="Times New Roman" w:hAnsi="Times New Roman"/>
          <w:b/>
          <w:sz w:val="24"/>
          <w:szCs w:val="24"/>
        </w:rPr>
        <w:t>Contested Ratemaking Adjustments</w:t>
      </w:r>
    </w:p>
    <w:p w:rsidR="00B7309B" w:rsidRDefault="00243407" w:rsidP="00243407">
      <w:pPr>
        <w:pStyle w:val="ListParagraph"/>
        <w:numPr>
          <w:ilvl w:val="0"/>
          <w:numId w:val="10"/>
        </w:numPr>
        <w:tabs>
          <w:tab w:val="left" w:pos="-1440"/>
        </w:tabs>
        <w:spacing w:line="480" w:lineRule="auto"/>
        <w:rPr>
          <w:rFonts w:ascii="Times New Roman" w:hAnsi="Times New Roman"/>
          <w:sz w:val="24"/>
        </w:rPr>
      </w:pPr>
      <w:r>
        <w:rPr>
          <w:rFonts w:ascii="Times New Roman" w:hAnsi="Times New Roman"/>
          <w:sz w:val="24"/>
          <w:szCs w:val="24"/>
        </w:rPr>
        <w:tab/>
      </w:r>
      <w:r w:rsidR="006A08CB">
        <w:rPr>
          <w:rFonts w:ascii="Times New Roman" w:hAnsi="Times New Roman"/>
          <w:sz w:val="24"/>
          <w:szCs w:val="24"/>
        </w:rPr>
        <w:t xml:space="preserve">Staff’s Initial Brief explained its fundamental approach in this case:  the straight-forward application of the letter and spirit of historical test year ratemaking.  </w:t>
      </w:r>
      <w:r w:rsidR="006A08CB" w:rsidRPr="00DA20F8">
        <w:rPr>
          <w:rFonts w:ascii="Times New Roman" w:hAnsi="Times New Roman"/>
          <w:sz w:val="24"/>
        </w:rPr>
        <w:t xml:space="preserve">This </w:t>
      </w:r>
      <w:r w:rsidR="006A08CB">
        <w:rPr>
          <w:rFonts w:ascii="Times New Roman" w:hAnsi="Times New Roman"/>
          <w:sz w:val="24"/>
        </w:rPr>
        <w:t xml:space="preserve">approach required </w:t>
      </w:r>
      <w:r w:rsidR="006A08CB" w:rsidRPr="00DA20F8">
        <w:rPr>
          <w:rFonts w:ascii="Times New Roman" w:hAnsi="Times New Roman"/>
          <w:sz w:val="24"/>
        </w:rPr>
        <w:t xml:space="preserve">Staff to revise many of PSE’s expense </w:t>
      </w:r>
      <w:r w:rsidR="006A08CB">
        <w:rPr>
          <w:rFonts w:ascii="Times New Roman" w:hAnsi="Times New Roman"/>
          <w:sz w:val="24"/>
        </w:rPr>
        <w:t xml:space="preserve">pro forma </w:t>
      </w:r>
      <w:r w:rsidR="006A08CB" w:rsidRPr="00DA20F8">
        <w:rPr>
          <w:rFonts w:ascii="Times New Roman" w:hAnsi="Times New Roman"/>
          <w:sz w:val="24"/>
        </w:rPr>
        <w:t xml:space="preserve">adjustments because those adjustments used budget forecasts of future expenses that were </w:t>
      </w:r>
      <w:r w:rsidR="00EB31D8">
        <w:rPr>
          <w:rFonts w:ascii="Times New Roman" w:hAnsi="Times New Roman"/>
          <w:sz w:val="24"/>
        </w:rPr>
        <w:t xml:space="preserve">not </w:t>
      </w:r>
      <w:r w:rsidR="006A08CB" w:rsidRPr="00DA20F8">
        <w:rPr>
          <w:rFonts w:ascii="Times New Roman" w:hAnsi="Times New Roman"/>
          <w:sz w:val="24"/>
        </w:rPr>
        <w:t xml:space="preserve">shown to be </w:t>
      </w:r>
      <w:r w:rsidR="00B7309B">
        <w:rPr>
          <w:rFonts w:ascii="Times New Roman" w:hAnsi="Times New Roman"/>
          <w:sz w:val="24"/>
        </w:rPr>
        <w:t>“known and measurable” and “not offset by other factors.”</w:t>
      </w:r>
      <w:r w:rsidR="00EB31D8">
        <w:rPr>
          <w:rFonts w:ascii="Times New Roman" w:hAnsi="Times New Roman"/>
          <w:sz w:val="24"/>
        </w:rPr>
        <w:t xml:space="preserve">  Indeed, </w:t>
      </w:r>
      <w:r w:rsidR="00072C57">
        <w:rPr>
          <w:rFonts w:ascii="Times New Roman" w:hAnsi="Times New Roman"/>
          <w:sz w:val="24"/>
        </w:rPr>
        <w:t xml:space="preserve">the Company’s own presentation demonstrated that many of its projections are </w:t>
      </w:r>
      <w:r w:rsidR="006A08CB" w:rsidRPr="00DA20F8">
        <w:rPr>
          <w:rFonts w:ascii="Times New Roman" w:hAnsi="Times New Roman"/>
          <w:sz w:val="24"/>
        </w:rPr>
        <w:t>inherently unreliable</w:t>
      </w:r>
      <w:r w:rsidR="00072C57">
        <w:rPr>
          <w:rFonts w:ascii="Times New Roman" w:hAnsi="Times New Roman"/>
          <w:sz w:val="24"/>
        </w:rPr>
        <w:t xml:space="preserve">, irrespective of the </w:t>
      </w:r>
      <w:r w:rsidR="00F3334B">
        <w:rPr>
          <w:rFonts w:ascii="Times New Roman" w:hAnsi="Times New Roman"/>
          <w:sz w:val="24"/>
        </w:rPr>
        <w:t>judgment of management</w:t>
      </w:r>
      <w:r w:rsidR="00072C57">
        <w:rPr>
          <w:rFonts w:ascii="Times New Roman" w:hAnsi="Times New Roman"/>
          <w:sz w:val="24"/>
        </w:rPr>
        <w:t xml:space="preserve"> and underlying analysis</w:t>
      </w:r>
      <w:r w:rsidR="006A08CB" w:rsidRPr="00DA20F8">
        <w:rPr>
          <w:rFonts w:ascii="Times New Roman" w:hAnsi="Times New Roman"/>
          <w:sz w:val="24"/>
        </w:rPr>
        <w:t>.</w:t>
      </w:r>
      <w:r w:rsidR="006A08CB">
        <w:rPr>
          <w:rStyle w:val="FootnoteReference"/>
          <w:rFonts w:ascii="Times New Roman" w:hAnsi="Times New Roman"/>
          <w:sz w:val="24"/>
        </w:rPr>
        <w:footnoteReference w:id="34"/>
      </w:r>
      <w:r w:rsidR="006A08CB" w:rsidRPr="00DA20F8">
        <w:rPr>
          <w:rFonts w:ascii="Times New Roman" w:hAnsi="Times New Roman"/>
          <w:sz w:val="24"/>
        </w:rPr>
        <w:t xml:space="preserve">  </w:t>
      </w:r>
    </w:p>
    <w:p w:rsidR="006A08CB" w:rsidRDefault="00243407" w:rsidP="00243407">
      <w:pPr>
        <w:pStyle w:val="ListParagraph"/>
        <w:numPr>
          <w:ilvl w:val="0"/>
          <w:numId w:val="10"/>
        </w:numPr>
        <w:tabs>
          <w:tab w:val="left" w:pos="-1440"/>
        </w:tabs>
        <w:spacing w:line="480" w:lineRule="auto"/>
        <w:rPr>
          <w:rFonts w:ascii="Times New Roman" w:hAnsi="Times New Roman"/>
          <w:sz w:val="24"/>
        </w:rPr>
      </w:pPr>
      <w:r>
        <w:rPr>
          <w:rFonts w:ascii="Times New Roman" w:hAnsi="Times New Roman"/>
          <w:sz w:val="24"/>
        </w:rPr>
        <w:lastRenderedPageBreak/>
        <w:tab/>
      </w:r>
      <w:r w:rsidR="00EB31D8">
        <w:rPr>
          <w:rFonts w:ascii="Times New Roman" w:hAnsi="Times New Roman"/>
          <w:sz w:val="24"/>
        </w:rPr>
        <w:t>Staff’s approach also required it to revise</w:t>
      </w:r>
      <w:r w:rsidR="006A08CB" w:rsidRPr="00DA20F8">
        <w:rPr>
          <w:rFonts w:ascii="Times New Roman" w:hAnsi="Times New Roman"/>
          <w:sz w:val="24"/>
        </w:rPr>
        <w:t xml:space="preserve"> many of PSE’s adjustments for plant added during or after the test year, based generally on verified expenditures at August 2009, rather than the projections used by PSE.</w:t>
      </w:r>
      <w:r w:rsidR="00EB31D8">
        <w:rPr>
          <w:rFonts w:ascii="Times New Roman" w:hAnsi="Times New Roman"/>
          <w:sz w:val="24"/>
        </w:rPr>
        <w:t xml:space="preserve">  Many of these </w:t>
      </w:r>
      <w:r w:rsidR="00B86D58">
        <w:rPr>
          <w:rFonts w:ascii="Times New Roman" w:hAnsi="Times New Roman"/>
          <w:sz w:val="24"/>
        </w:rPr>
        <w:t xml:space="preserve">Company </w:t>
      </w:r>
      <w:r w:rsidR="00EB31D8">
        <w:rPr>
          <w:rFonts w:ascii="Times New Roman" w:hAnsi="Times New Roman"/>
          <w:sz w:val="24"/>
        </w:rPr>
        <w:t>projections also proved to be undependable</w:t>
      </w:r>
      <w:r w:rsidR="00A83D5E">
        <w:rPr>
          <w:rFonts w:ascii="Times New Roman" w:hAnsi="Times New Roman"/>
          <w:sz w:val="24"/>
        </w:rPr>
        <w:t xml:space="preserve"> despite analysis the Company purported was detailed and rigorous</w:t>
      </w:r>
      <w:r w:rsidR="00EB31D8">
        <w:rPr>
          <w:rFonts w:ascii="Times New Roman" w:hAnsi="Times New Roman"/>
          <w:sz w:val="24"/>
        </w:rPr>
        <w:t>.</w:t>
      </w:r>
      <w:r w:rsidR="00EB31D8">
        <w:rPr>
          <w:rStyle w:val="FootnoteReference"/>
          <w:rFonts w:ascii="Times New Roman" w:hAnsi="Times New Roman"/>
          <w:sz w:val="24"/>
        </w:rPr>
        <w:footnoteReference w:id="35"/>
      </w:r>
    </w:p>
    <w:p w:rsidR="00C6776E" w:rsidRDefault="00243407" w:rsidP="00243407">
      <w:pPr>
        <w:pStyle w:val="ListParagraph"/>
        <w:numPr>
          <w:ilvl w:val="0"/>
          <w:numId w:val="10"/>
        </w:numPr>
        <w:tabs>
          <w:tab w:val="left" w:pos="-1440"/>
        </w:tabs>
        <w:spacing w:line="480" w:lineRule="auto"/>
        <w:rPr>
          <w:rFonts w:ascii="Times New Roman" w:hAnsi="Times New Roman"/>
          <w:sz w:val="24"/>
        </w:rPr>
      </w:pPr>
      <w:r>
        <w:rPr>
          <w:rFonts w:ascii="Times New Roman" w:hAnsi="Times New Roman"/>
          <w:sz w:val="24"/>
        </w:rPr>
        <w:tab/>
      </w:r>
      <w:r w:rsidR="00B86D58">
        <w:rPr>
          <w:rFonts w:ascii="Times New Roman" w:hAnsi="Times New Roman"/>
          <w:sz w:val="24"/>
        </w:rPr>
        <w:t xml:space="preserve">The thrust of PSE’s defense </w:t>
      </w:r>
      <w:r w:rsidR="009862AD">
        <w:rPr>
          <w:rFonts w:ascii="Times New Roman" w:hAnsi="Times New Roman"/>
          <w:sz w:val="24"/>
        </w:rPr>
        <w:t xml:space="preserve">generally and for each of its pro forma adjustments </w:t>
      </w:r>
      <w:r w:rsidR="00EB31D8">
        <w:rPr>
          <w:rFonts w:ascii="Times New Roman" w:hAnsi="Times New Roman"/>
          <w:sz w:val="24"/>
        </w:rPr>
        <w:t>is that Staff</w:t>
      </w:r>
      <w:r w:rsidR="00AE2313">
        <w:rPr>
          <w:rFonts w:ascii="Times New Roman" w:hAnsi="Times New Roman"/>
          <w:sz w:val="24"/>
        </w:rPr>
        <w:t xml:space="preserve"> </w:t>
      </w:r>
      <w:r w:rsidR="009862AD">
        <w:rPr>
          <w:rFonts w:ascii="Times New Roman" w:hAnsi="Times New Roman"/>
          <w:sz w:val="24"/>
        </w:rPr>
        <w:t xml:space="preserve">has endorsed a restrictive approach </w:t>
      </w:r>
      <w:r w:rsidR="00AE2313">
        <w:rPr>
          <w:rFonts w:ascii="Times New Roman" w:hAnsi="Times New Roman"/>
          <w:sz w:val="24"/>
        </w:rPr>
        <w:t xml:space="preserve">that deviates from prior Staff practice and Commission precedent, and </w:t>
      </w:r>
      <w:r w:rsidR="00F311C2">
        <w:rPr>
          <w:rFonts w:ascii="Times New Roman" w:hAnsi="Times New Roman"/>
          <w:sz w:val="24"/>
        </w:rPr>
        <w:t>is incompatible with PSE</w:t>
      </w:r>
      <w:r w:rsidR="00AE2313">
        <w:rPr>
          <w:rFonts w:ascii="Times New Roman" w:hAnsi="Times New Roman"/>
          <w:sz w:val="24"/>
        </w:rPr>
        <w:t>’s “critical need” for significant investments in new energy resources and new and aging energy delivery systems.</w:t>
      </w:r>
      <w:r w:rsidR="00AE2313">
        <w:rPr>
          <w:rStyle w:val="FootnoteReference"/>
          <w:rFonts w:ascii="Times New Roman" w:hAnsi="Times New Roman"/>
          <w:sz w:val="24"/>
        </w:rPr>
        <w:footnoteReference w:id="36"/>
      </w:r>
      <w:r w:rsidR="00F311C2">
        <w:rPr>
          <w:rFonts w:ascii="Times New Roman" w:hAnsi="Times New Roman"/>
          <w:sz w:val="24"/>
        </w:rPr>
        <w:t xml:space="preserve">  Staff’s </w:t>
      </w:r>
      <w:r w:rsidR="00C6776E">
        <w:rPr>
          <w:rFonts w:ascii="Times New Roman" w:hAnsi="Times New Roman"/>
          <w:sz w:val="24"/>
        </w:rPr>
        <w:t xml:space="preserve">Initial Brief </w:t>
      </w:r>
      <w:r w:rsidR="00B86D58">
        <w:rPr>
          <w:rFonts w:ascii="Times New Roman" w:hAnsi="Times New Roman"/>
          <w:sz w:val="24"/>
        </w:rPr>
        <w:t xml:space="preserve">anticipated the Company’s arguments, and </w:t>
      </w:r>
      <w:r w:rsidR="00C6776E">
        <w:rPr>
          <w:rFonts w:ascii="Times New Roman" w:hAnsi="Times New Roman"/>
          <w:sz w:val="24"/>
        </w:rPr>
        <w:t>explains in depth that t</w:t>
      </w:r>
      <w:r w:rsidR="00C6776E" w:rsidRPr="00DA20F8">
        <w:rPr>
          <w:rFonts w:ascii="Times New Roman" w:hAnsi="Times New Roman"/>
          <w:sz w:val="24"/>
        </w:rPr>
        <w:t xml:space="preserve">he Commission has </w:t>
      </w:r>
      <w:r w:rsidR="00C6776E">
        <w:rPr>
          <w:rFonts w:ascii="Times New Roman" w:hAnsi="Times New Roman"/>
          <w:sz w:val="24"/>
        </w:rPr>
        <w:t xml:space="preserve">heard </w:t>
      </w:r>
      <w:r w:rsidR="00B86D58">
        <w:rPr>
          <w:rFonts w:ascii="Times New Roman" w:hAnsi="Times New Roman"/>
          <w:sz w:val="24"/>
        </w:rPr>
        <w:t xml:space="preserve">identical </w:t>
      </w:r>
      <w:r w:rsidR="00C6776E" w:rsidRPr="00DA20F8">
        <w:rPr>
          <w:rFonts w:ascii="Times New Roman" w:hAnsi="Times New Roman"/>
          <w:sz w:val="24"/>
        </w:rPr>
        <w:t xml:space="preserve">challenges </w:t>
      </w:r>
      <w:r w:rsidR="00C6776E">
        <w:rPr>
          <w:rFonts w:ascii="Times New Roman" w:hAnsi="Times New Roman"/>
          <w:sz w:val="24"/>
        </w:rPr>
        <w:t>before and has rejected all of them.</w:t>
      </w:r>
      <w:r w:rsidR="00C6776E">
        <w:rPr>
          <w:rStyle w:val="FootnoteReference"/>
          <w:rFonts w:ascii="Times New Roman" w:hAnsi="Times New Roman"/>
          <w:sz w:val="24"/>
        </w:rPr>
        <w:footnoteReference w:id="37"/>
      </w:r>
      <w:r w:rsidR="00F3334B">
        <w:rPr>
          <w:rFonts w:ascii="Times New Roman" w:hAnsi="Times New Roman"/>
          <w:sz w:val="24"/>
        </w:rPr>
        <w:t xml:space="preserve">  We see no reason </w:t>
      </w:r>
      <w:r w:rsidR="00072C57">
        <w:rPr>
          <w:rFonts w:ascii="Times New Roman" w:hAnsi="Times New Roman"/>
          <w:sz w:val="24"/>
        </w:rPr>
        <w:t xml:space="preserve">to burden the Commission with </w:t>
      </w:r>
      <w:r w:rsidR="00F3334B">
        <w:rPr>
          <w:rFonts w:ascii="Times New Roman" w:hAnsi="Times New Roman"/>
          <w:sz w:val="24"/>
        </w:rPr>
        <w:t xml:space="preserve">repetition </w:t>
      </w:r>
      <w:r w:rsidR="00A83D5E">
        <w:rPr>
          <w:rFonts w:ascii="Times New Roman" w:hAnsi="Times New Roman"/>
          <w:sz w:val="24"/>
        </w:rPr>
        <w:t>here.</w:t>
      </w:r>
    </w:p>
    <w:p w:rsidR="00A83D5E" w:rsidRDefault="00243407" w:rsidP="00243407">
      <w:pPr>
        <w:pStyle w:val="ListParagraph"/>
        <w:numPr>
          <w:ilvl w:val="0"/>
          <w:numId w:val="10"/>
        </w:numPr>
        <w:tabs>
          <w:tab w:val="left" w:pos="-1440"/>
        </w:tabs>
        <w:spacing w:line="480" w:lineRule="auto"/>
        <w:rPr>
          <w:rFonts w:ascii="Times New Roman" w:hAnsi="Times New Roman"/>
          <w:sz w:val="24"/>
        </w:rPr>
      </w:pPr>
      <w:r>
        <w:rPr>
          <w:rFonts w:ascii="Times New Roman" w:hAnsi="Times New Roman"/>
          <w:sz w:val="24"/>
        </w:rPr>
        <w:tab/>
      </w:r>
      <w:r w:rsidR="00A83D5E">
        <w:rPr>
          <w:rFonts w:ascii="Times New Roman" w:hAnsi="Times New Roman"/>
          <w:sz w:val="24"/>
        </w:rPr>
        <w:t xml:space="preserve">The Company does argue that Staff’s proposal to keep Exhibit G of the Power Cost Adjustment (“PCA”) mechanism intact for Mint Farm deferred costs creates a duplication of costs for PSE.  However, the support for that allegation is merely Staff’s description of the Company’s </w:t>
      </w:r>
      <w:r w:rsidR="002A132C">
        <w:rPr>
          <w:rFonts w:ascii="Times New Roman" w:hAnsi="Times New Roman"/>
          <w:sz w:val="24"/>
        </w:rPr>
        <w:t xml:space="preserve">own </w:t>
      </w:r>
      <w:r w:rsidR="00A83D5E">
        <w:rPr>
          <w:rFonts w:ascii="Times New Roman" w:hAnsi="Times New Roman"/>
          <w:sz w:val="24"/>
        </w:rPr>
        <w:t>deferred cost proposal.</w:t>
      </w:r>
      <w:r w:rsidR="00A83D5E">
        <w:rPr>
          <w:rStyle w:val="FootnoteReference"/>
          <w:rFonts w:ascii="Times New Roman" w:hAnsi="Times New Roman"/>
          <w:sz w:val="24"/>
        </w:rPr>
        <w:footnoteReference w:id="38"/>
      </w:r>
      <w:r w:rsidR="00072C57">
        <w:rPr>
          <w:rFonts w:ascii="Times New Roman" w:hAnsi="Times New Roman"/>
          <w:sz w:val="24"/>
        </w:rPr>
        <w:t xml:space="preserve">  No citation to the Staff presentation itself is provided by the Company.</w:t>
      </w:r>
    </w:p>
    <w:p w:rsidR="006A08CB" w:rsidRPr="00AD0942" w:rsidRDefault="00243407" w:rsidP="00243407">
      <w:pPr>
        <w:pStyle w:val="ListParagraph"/>
        <w:numPr>
          <w:ilvl w:val="0"/>
          <w:numId w:val="10"/>
        </w:numPr>
        <w:tabs>
          <w:tab w:val="left" w:pos="-1440"/>
        </w:tabs>
        <w:spacing w:line="480" w:lineRule="auto"/>
        <w:rPr>
          <w:rFonts w:ascii="Times New Roman" w:hAnsi="Times New Roman"/>
          <w:sz w:val="24"/>
          <w:szCs w:val="24"/>
        </w:rPr>
      </w:pPr>
      <w:r>
        <w:rPr>
          <w:rFonts w:ascii="Times New Roman" w:hAnsi="Times New Roman"/>
          <w:sz w:val="24"/>
        </w:rPr>
        <w:lastRenderedPageBreak/>
        <w:tab/>
      </w:r>
      <w:r w:rsidR="00072C57">
        <w:rPr>
          <w:rFonts w:ascii="Times New Roman" w:hAnsi="Times New Roman"/>
          <w:sz w:val="24"/>
        </w:rPr>
        <w:t xml:space="preserve">Moreover, the Company </w:t>
      </w:r>
      <w:r w:rsidR="002A132C">
        <w:rPr>
          <w:rFonts w:ascii="Times New Roman" w:hAnsi="Times New Roman"/>
          <w:sz w:val="24"/>
        </w:rPr>
        <w:t>mischaracterizes</w:t>
      </w:r>
      <w:r w:rsidR="001609C5">
        <w:rPr>
          <w:rFonts w:ascii="Times New Roman" w:hAnsi="Times New Roman"/>
          <w:sz w:val="24"/>
        </w:rPr>
        <w:t xml:space="preserve"> the impact of the Staff proposal</w:t>
      </w:r>
      <w:r w:rsidR="00072C57">
        <w:rPr>
          <w:rFonts w:ascii="Times New Roman" w:hAnsi="Times New Roman"/>
          <w:sz w:val="24"/>
        </w:rPr>
        <w:t xml:space="preserve"> itself</w:t>
      </w:r>
      <w:r w:rsidR="001609C5">
        <w:rPr>
          <w:rFonts w:ascii="Times New Roman" w:hAnsi="Times New Roman"/>
          <w:sz w:val="24"/>
        </w:rPr>
        <w:t xml:space="preserve">.  </w:t>
      </w:r>
      <w:r w:rsidR="002A132C">
        <w:rPr>
          <w:rFonts w:ascii="Times New Roman" w:hAnsi="Times New Roman"/>
          <w:sz w:val="24"/>
        </w:rPr>
        <w:t>Under Staff’s proposal to maintain Exhibit G</w:t>
      </w:r>
      <w:r w:rsidR="001609C5">
        <w:rPr>
          <w:rFonts w:ascii="Times New Roman" w:hAnsi="Times New Roman"/>
          <w:sz w:val="24"/>
        </w:rPr>
        <w:t xml:space="preserve">, the variable costs that exceed the </w:t>
      </w:r>
      <w:r w:rsidR="002A132C">
        <w:rPr>
          <w:rFonts w:ascii="Times New Roman" w:hAnsi="Times New Roman"/>
          <w:sz w:val="24"/>
        </w:rPr>
        <w:t>P</w:t>
      </w:r>
      <w:r w:rsidR="001609C5">
        <w:rPr>
          <w:rFonts w:ascii="Times New Roman" w:hAnsi="Times New Roman"/>
          <w:sz w:val="24"/>
        </w:rPr>
        <w:t xml:space="preserve">ower </w:t>
      </w:r>
      <w:r w:rsidR="002A132C">
        <w:rPr>
          <w:rFonts w:ascii="Times New Roman" w:hAnsi="Times New Roman"/>
          <w:sz w:val="24"/>
        </w:rPr>
        <w:t>C</w:t>
      </w:r>
      <w:r w:rsidR="001609C5">
        <w:rPr>
          <w:rFonts w:ascii="Times New Roman" w:hAnsi="Times New Roman"/>
          <w:sz w:val="24"/>
        </w:rPr>
        <w:t>ost baseline are adjusted as a reduction to the allowable costs for calculating the PCA imbalance, rather than as a reduction of the deferred variable power costs.  T</w:t>
      </w:r>
      <w:r w:rsidR="00E608EC">
        <w:rPr>
          <w:rFonts w:ascii="Times New Roman" w:hAnsi="Times New Roman"/>
          <w:sz w:val="24"/>
        </w:rPr>
        <w:t xml:space="preserve">hus, </w:t>
      </w:r>
      <w:r w:rsidR="002A132C">
        <w:rPr>
          <w:rFonts w:ascii="Times New Roman" w:hAnsi="Times New Roman"/>
          <w:sz w:val="24"/>
        </w:rPr>
        <w:t xml:space="preserve">under Staff’s proposal </w:t>
      </w:r>
      <w:r w:rsidR="001609C5">
        <w:rPr>
          <w:rFonts w:ascii="Times New Roman" w:hAnsi="Times New Roman"/>
          <w:sz w:val="24"/>
        </w:rPr>
        <w:t>“all costs associated with Mint Farm are removed from the Income Statement and costs that were originally allowed for purchased power have been restored as if the machine were not available.”</w:t>
      </w:r>
      <w:r w:rsidR="001609C5">
        <w:rPr>
          <w:rStyle w:val="FootnoteReference"/>
          <w:rFonts w:ascii="Times New Roman" w:hAnsi="Times New Roman"/>
          <w:sz w:val="24"/>
        </w:rPr>
        <w:footnoteReference w:id="39"/>
      </w:r>
      <w:r w:rsidR="002A132C">
        <w:rPr>
          <w:rFonts w:ascii="Times New Roman" w:hAnsi="Times New Roman"/>
          <w:sz w:val="24"/>
        </w:rPr>
        <w:t xml:space="preserve">  No duplication of costs results.</w:t>
      </w:r>
    </w:p>
    <w:p w:rsidR="00F378D3" w:rsidRPr="00F378D3" w:rsidRDefault="00D25DD7" w:rsidP="00F378D3">
      <w:pPr>
        <w:pStyle w:val="ListParagraph"/>
        <w:spacing w:line="480" w:lineRule="auto"/>
        <w:ind w:left="0"/>
        <w:rPr>
          <w:rFonts w:ascii="Times New Roman" w:hAnsi="Times New Roman"/>
          <w:b/>
          <w:sz w:val="24"/>
          <w:szCs w:val="24"/>
        </w:rPr>
      </w:pPr>
      <w:r>
        <w:rPr>
          <w:rFonts w:ascii="Times New Roman" w:hAnsi="Times New Roman"/>
          <w:b/>
          <w:sz w:val="24"/>
          <w:szCs w:val="24"/>
        </w:rPr>
        <w:t>D</w:t>
      </w:r>
      <w:r w:rsidR="00F378D3">
        <w:rPr>
          <w:rFonts w:ascii="Times New Roman" w:hAnsi="Times New Roman"/>
          <w:b/>
          <w:sz w:val="24"/>
          <w:szCs w:val="24"/>
        </w:rPr>
        <w:t>.</w:t>
      </w:r>
      <w:r w:rsidR="00F378D3">
        <w:rPr>
          <w:rFonts w:ascii="Times New Roman" w:hAnsi="Times New Roman"/>
          <w:b/>
          <w:sz w:val="24"/>
          <w:szCs w:val="24"/>
        </w:rPr>
        <w:tab/>
      </w:r>
      <w:r w:rsidR="00F378D3" w:rsidRPr="00FD15C4">
        <w:rPr>
          <w:rFonts w:ascii="Times New Roman" w:hAnsi="Times New Roman"/>
          <w:b/>
          <w:sz w:val="24"/>
          <w:szCs w:val="24"/>
        </w:rPr>
        <w:t>The Commission Should Not A</w:t>
      </w:r>
      <w:r w:rsidR="00F378D3">
        <w:rPr>
          <w:rFonts w:ascii="Times New Roman" w:hAnsi="Times New Roman"/>
          <w:b/>
          <w:sz w:val="24"/>
          <w:szCs w:val="24"/>
        </w:rPr>
        <w:t>pprove the Low-Income Proposal a</w:t>
      </w:r>
      <w:r w:rsidR="00F378D3" w:rsidRPr="00FD15C4">
        <w:rPr>
          <w:rFonts w:ascii="Times New Roman" w:hAnsi="Times New Roman"/>
          <w:b/>
          <w:sz w:val="24"/>
          <w:szCs w:val="24"/>
        </w:rPr>
        <w:t>t This Time</w:t>
      </w:r>
    </w:p>
    <w:p w:rsidR="00EF65B0" w:rsidRPr="00F378D3" w:rsidRDefault="00FD15C4" w:rsidP="00FD15C4">
      <w:pPr>
        <w:pStyle w:val="ListParagraph"/>
        <w:numPr>
          <w:ilvl w:val="0"/>
          <w:numId w:val="10"/>
        </w:numPr>
        <w:spacing w:line="480" w:lineRule="auto"/>
        <w:rPr>
          <w:rFonts w:ascii="Times New Roman" w:hAnsi="Times New Roman"/>
          <w:sz w:val="24"/>
          <w:szCs w:val="24"/>
        </w:rPr>
      </w:pPr>
      <w:r w:rsidRPr="00F378D3">
        <w:rPr>
          <w:rFonts w:ascii="Times New Roman" w:hAnsi="Times New Roman"/>
          <w:sz w:val="24"/>
          <w:szCs w:val="24"/>
        </w:rPr>
        <w:tab/>
        <w:t>PSE proposes to increase the annual level of low-income electric and natural gas bill assistance by the residential class percentage increase approve</w:t>
      </w:r>
      <w:r w:rsidR="00EF65B0" w:rsidRPr="00F378D3">
        <w:rPr>
          <w:rFonts w:ascii="Times New Roman" w:hAnsi="Times New Roman"/>
          <w:sz w:val="24"/>
          <w:szCs w:val="24"/>
        </w:rPr>
        <w:t>d by the Commission</w:t>
      </w:r>
      <w:r w:rsidRPr="00F378D3">
        <w:rPr>
          <w:rFonts w:ascii="Times New Roman" w:hAnsi="Times New Roman"/>
          <w:sz w:val="24"/>
          <w:szCs w:val="24"/>
        </w:rPr>
        <w:t>.</w:t>
      </w:r>
      <w:r>
        <w:rPr>
          <w:rStyle w:val="FootnoteReference"/>
          <w:rFonts w:ascii="Times New Roman" w:hAnsi="Times New Roman"/>
          <w:sz w:val="24"/>
          <w:szCs w:val="24"/>
        </w:rPr>
        <w:footnoteReference w:id="40"/>
      </w:r>
      <w:r w:rsidR="00EF65B0" w:rsidRPr="00F378D3">
        <w:rPr>
          <w:rFonts w:ascii="Times New Roman" w:hAnsi="Times New Roman"/>
          <w:sz w:val="24"/>
          <w:szCs w:val="24"/>
        </w:rPr>
        <w:t xml:space="preserve">  </w:t>
      </w:r>
    </w:p>
    <w:p w:rsidR="00FD15C4" w:rsidRPr="00FD15C4" w:rsidRDefault="00F378D3" w:rsidP="00F378D3">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FD15C4">
        <w:rPr>
          <w:rFonts w:ascii="Times New Roman" w:hAnsi="Times New Roman"/>
          <w:sz w:val="24"/>
          <w:szCs w:val="24"/>
        </w:rPr>
        <w:t>Low-income bill assistance is offered under Schedule 129.  That schedule is not under suspension.</w:t>
      </w:r>
      <w:r w:rsidR="00FD15C4">
        <w:rPr>
          <w:rStyle w:val="FootnoteReference"/>
          <w:rFonts w:ascii="Times New Roman" w:hAnsi="Times New Roman"/>
          <w:sz w:val="24"/>
          <w:szCs w:val="24"/>
        </w:rPr>
        <w:footnoteReference w:id="41"/>
      </w:r>
      <w:r w:rsidR="00EF65B0">
        <w:rPr>
          <w:rFonts w:ascii="Times New Roman" w:hAnsi="Times New Roman"/>
          <w:sz w:val="24"/>
          <w:szCs w:val="24"/>
        </w:rPr>
        <w:t xml:space="preserve">  Thus, Staff recommends that the Commission delay consideration of the Company’s proposal until PSE files revisions to Schedule 129 for the next program year.</w:t>
      </w:r>
    </w:p>
    <w:p w:rsidR="009C45F5" w:rsidRDefault="009C45F5" w:rsidP="009C45F5">
      <w:pPr>
        <w:spacing w:line="480" w:lineRule="auto"/>
        <w:jc w:val="center"/>
        <w:rPr>
          <w:rFonts w:ascii="Times New Roman" w:hAnsi="Times New Roman"/>
          <w:b/>
          <w:sz w:val="24"/>
          <w:szCs w:val="24"/>
        </w:rPr>
      </w:pPr>
      <w:r w:rsidRPr="009C45F5">
        <w:rPr>
          <w:rFonts w:ascii="Times New Roman" w:hAnsi="Times New Roman"/>
          <w:b/>
          <w:sz w:val="24"/>
          <w:szCs w:val="24"/>
        </w:rPr>
        <w:t>II.</w:t>
      </w:r>
      <w:r w:rsidRPr="009C45F5">
        <w:rPr>
          <w:rFonts w:ascii="Times New Roman" w:hAnsi="Times New Roman"/>
          <w:b/>
          <w:sz w:val="24"/>
          <w:szCs w:val="24"/>
        </w:rPr>
        <w:tab/>
        <w:t>REPLY TO PUBLIC COUNSEL</w:t>
      </w:r>
    </w:p>
    <w:p w:rsidR="0099377A" w:rsidRDefault="007678ED" w:rsidP="007678ED">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C86187" w:rsidRPr="007678ED">
        <w:rPr>
          <w:rFonts w:ascii="Times New Roman" w:hAnsi="Times New Roman"/>
          <w:sz w:val="24"/>
          <w:szCs w:val="24"/>
        </w:rPr>
        <w:t xml:space="preserve">Public Counsel concludes </w:t>
      </w:r>
      <w:r w:rsidR="00F9441D" w:rsidRPr="007678ED">
        <w:rPr>
          <w:rFonts w:ascii="Times New Roman" w:hAnsi="Times New Roman"/>
          <w:sz w:val="24"/>
          <w:szCs w:val="24"/>
        </w:rPr>
        <w:t>that the Mint Farm Energy Center was not a pru</w:t>
      </w:r>
      <w:r w:rsidR="00EF65B0">
        <w:rPr>
          <w:rFonts w:ascii="Times New Roman" w:hAnsi="Times New Roman"/>
          <w:sz w:val="24"/>
          <w:szCs w:val="24"/>
        </w:rPr>
        <w:t xml:space="preserve">dent acquisition </w:t>
      </w:r>
      <w:r w:rsidR="00F9441D" w:rsidRPr="007678ED">
        <w:rPr>
          <w:rFonts w:ascii="Times New Roman" w:hAnsi="Times New Roman"/>
          <w:sz w:val="24"/>
          <w:szCs w:val="24"/>
        </w:rPr>
        <w:t xml:space="preserve">and </w:t>
      </w:r>
      <w:r w:rsidR="00D33237" w:rsidRPr="007678ED">
        <w:rPr>
          <w:rFonts w:ascii="Times New Roman" w:hAnsi="Times New Roman"/>
          <w:sz w:val="24"/>
          <w:szCs w:val="24"/>
        </w:rPr>
        <w:t>does not qualify</w:t>
      </w:r>
      <w:r w:rsidR="00F9441D" w:rsidRPr="007678ED">
        <w:rPr>
          <w:rFonts w:ascii="Times New Roman" w:hAnsi="Times New Roman"/>
          <w:sz w:val="24"/>
          <w:szCs w:val="24"/>
        </w:rPr>
        <w:t xml:space="preserve"> for deferred accounting under RCW 80.80.060(6).</w:t>
      </w:r>
      <w:r w:rsidR="005A6281" w:rsidRPr="007678ED">
        <w:rPr>
          <w:rFonts w:ascii="Times New Roman" w:hAnsi="Times New Roman"/>
          <w:sz w:val="24"/>
          <w:szCs w:val="24"/>
        </w:rPr>
        <w:t xml:space="preserve">  For reasons stated in </w:t>
      </w:r>
      <w:r w:rsidR="0099377A" w:rsidRPr="007678ED">
        <w:rPr>
          <w:rFonts w:ascii="Times New Roman" w:hAnsi="Times New Roman"/>
          <w:sz w:val="24"/>
          <w:szCs w:val="24"/>
        </w:rPr>
        <w:t>Staff</w:t>
      </w:r>
      <w:r w:rsidR="005A6281" w:rsidRPr="007678ED">
        <w:rPr>
          <w:rFonts w:ascii="Times New Roman" w:hAnsi="Times New Roman"/>
          <w:sz w:val="24"/>
          <w:szCs w:val="24"/>
        </w:rPr>
        <w:t xml:space="preserve">’s </w:t>
      </w:r>
      <w:r w:rsidR="0099377A" w:rsidRPr="007678ED">
        <w:rPr>
          <w:rFonts w:ascii="Times New Roman" w:hAnsi="Times New Roman"/>
          <w:sz w:val="24"/>
          <w:szCs w:val="24"/>
        </w:rPr>
        <w:t>Initial Brief and below, Public Counsel is wrong on both counts.</w:t>
      </w:r>
    </w:p>
    <w:p w:rsidR="00EF65B0" w:rsidRDefault="00C14B9E" w:rsidP="00093C99">
      <w:pPr>
        <w:pStyle w:val="ListParagraph"/>
        <w:keepNext/>
        <w:numPr>
          <w:ilvl w:val="0"/>
          <w:numId w:val="15"/>
        </w:numPr>
        <w:ind w:left="720" w:hanging="720"/>
        <w:rPr>
          <w:rFonts w:ascii="Times New Roman" w:hAnsi="Times New Roman"/>
          <w:b/>
          <w:sz w:val="24"/>
          <w:szCs w:val="24"/>
        </w:rPr>
      </w:pPr>
      <w:r>
        <w:rPr>
          <w:rFonts w:ascii="Times New Roman" w:hAnsi="Times New Roman"/>
          <w:b/>
          <w:sz w:val="24"/>
          <w:szCs w:val="24"/>
        </w:rPr>
        <w:t>Public Counsel Does Not Undermine the Company’s Demonstration of Mint Farm Prudence</w:t>
      </w:r>
    </w:p>
    <w:p w:rsidR="00C14B9E" w:rsidRDefault="00C14B9E" w:rsidP="00093C99">
      <w:pPr>
        <w:pStyle w:val="ListParagraph"/>
        <w:keepNext/>
        <w:rPr>
          <w:rFonts w:ascii="Times New Roman" w:hAnsi="Times New Roman"/>
          <w:b/>
          <w:sz w:val="24"/>
          <w:szCs w:val="24"/>
        </w:rPr>
      </w:pPr>
    </w:p>
    <w:p w:rsidR="00C14B9E" w:rsidRPr="00243407" w:rsidRDefault="00243407" w:rsidP="00243407">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C14B9E" w:rsidRPr="00243407">
        <w:rPr>
          <w:rFonts w:ascii="Times New Roman" w:hAnsi="Times New Roman"/>
          <w:sz w:val="24"/>
          <w:szCs w:val="24"/>
        </w:rPr>
        <w:t>Public Counsel argu</w:t>
      </w:r>
      <w:r w:rsidR="0074699A" w:rsidRPr="00243407">
        <w:rPr>
          <w:rFonts w:ascii="Times New Roman" w:hAnsi="Times New Roman"/>
          <w:sz w:val="24"/>
          <w:szCs w:val="24"/>
        </w:rPr>
        <w:t xml:space="preserve">es that the acquisition of Mint Farm is imprudent </w:t>
      </w:r>
      <w:r w:rsidR="00C14B9E" w:rsidRPr="00243407">
        <w:rPr>
          <w:rFonts w:ascii="Times New Roman" w:hAnsi="Times New Roman"/>
          <w:sz w:val="24"/>
          <w:szCs w:val="24"/>
        </w:rPr>
        <w:t xml:space="preserve">because </w:t>
      </w:r>
      <w:r w:rsidR="00455EBD" w:rsidRPr="00243407">
        <w:rPr>
          <w:rFonts w:ascii="Times New Roman" w:hAnsi="Times New Roman"/>
          <w:sz w:val="24"/>
          <w:szCs w:val="24"/>
        </w:rPr>
        <w:t>the plant creates surplus capacity through 2011.</w:t>
      </w:r>
      <w:r w:rsidR="00455EBD">
        <w:rPr>
          <w:rStyle w:val="FootnoteReference"/>
          <w:rFonts w:ascii="Times New Roman" w:hAnsi="Times New Roman"/>
          <w:sz w:val="24"/>
          <w:szCs w:val="24"/>
        </w:rPr>
        <w:footnoteReference w:id="42"/>
      </w:r>
      <w:r w:rsidR="00455EBD" w:rsidRPr="00243407">
        <w:rPr>
          <w:rFonts w:ascii="Times New Roman" w:hAnsi="Times New Roman"/>
          <w:sz w:val="24"/>
          <w:szCs w:val="24"/>
        </w:rPr>
        <w:t xml:space="preserve">  He makes this argument despite admitting </w:t>
      </w:r>
      <w:r w:rsidR="00455EBD" w:rsidRPr="00243407">
        <w:rPr>
          <w:rFonts w:ascii="Times New Roman" w:hAnsi="Times New Roman"/>
          <w:sz w:val="24"/>
          <w:szCs w:val="24"/>
        </w:rPr>
        <w:lastRenderedPageBreak/>
        <w:t>that</w:t>
      </w:r>
      <w:r w:rsidR="00C14B9E" w:rsidRPr="00243407">
        <w:rPr>
          <w:rFonts w:ascii="Times New Roman" w:hAnsi="Times New Roman"/>
          <w:sz w:val="24"/>
          <w:szCs w:val="24"/>
        </w:rPr>
        <w:t xml:space="preserve"> “in the long-run ownership of Min</w:t>
      </w:r>
      <w:r w:rsidR="00455EBD" w:rsidRPr="00243407">
        <w:rPr>
          <w:rFonts w:ascii="Times New Roman" w:hAnsi="Times New Roman"/>
          <w:sz w:val="24"/>
          <w:szCs w:val="24"/>
        </w:rPr>
        <w:t>t Farm should benefit customers</w:t>
      </w:r>
      <w:r w:rsidR="00C14B9E" w:rsidRPr="00243407">
        <w:rPr>
          <w:rFonts w:ascii="Times New Roman" w:hAnsi="Times New Roman"/>
          <w:sz w:val="24"/>
          <w:szCs w:val="24"/>
        </w:rPr>
        <w:t>”</w:t>
      </w:r>
      <w:r w:rsidR="00C14B9E">
        <w:rPr>
          <w:rStyle w:val="FootnoteReference"/>
          <w:rFonts w:ascii="Times New Roman" w:hAnsi="Times New Roman"/>
          <w:sz w:val="24"/>
          <w:szCs w:val="24"/>
        </w:rPr>
        <w:footnoteReference w:id="43"/>
      </w:r>
      <w:r w:rsidR="00455EBD" w:rsidRPr="00243407">
        <w:rPr>
          <w:rFonts w:ascii="Times New Roman" w:hAnsi="Times New Roman"/>
          <w:sz w:val="24"/>
          <w:szCs w:val="24"/>
        </w:rPr>
        <w:t xml:space="preserve"> an</w:t>
      </w:r>
      <w:r w:rsidR="0074383A">
        <w:rPr>
          <w:rFonts w:ascii="Times New Roman" w:hAnsi="Times New Roman"/>
          <w:sz w:val="24"/>
          <w:szCs w:val="24"/>
        </w:rPr>
        <w:t xml:space="preserve">d despite agreeing </w:t>
      </w:r>
      <w:r w:rsidR="00455EBD" w:rsidRPr="00243407">
        <w:rPr>
          <w:rFonts w:ascii="Times New Roman" w:hAnsi="Times New Roman"/>
          <w:sz w:val="24"/>
          <w:szCs w:val="24"/>
        </w:rPr>
        <w:t>that a facility can be prudent even when acquired to</w:t>
      </w:r>
      <w:r w:rsidR="00C14B9E" w:rsidRPr="00243407">
        <w:rPr>
          <w:rFonts w:ascii="Times New Roman" w:hAnsi="Times New Roman"/>
          <w:sz w:val="24"/>
          <w:szCs w:val="24"/>
        </w:rPr>
        <w:t xml:space="preserve"> </w:t>
      </w:r>
      <w:r w:rsidR="005907EF" w:rsidRPr="00243407">
        <w:rPr>
          <w:rFonts w:ascii="Times New Roman" w:hAnsi="Times New Roman"/>
          <w:sz w:val="24"/>
          <w:szCs w:val="24"/>
        </w:rPr>
        <w:t>fill a resource deficit that will</w:t>
      </w:r>
      <w:r w:rsidR="00C14B9E" w:rsidRPr="00243407">
        <w:rPr>
          <w:rFonts w:ascii="Times New Roman" w:hAnsi="Times New Roman"/>
          <w:sz w:val="24"/>
          <w:szCs w:val="24"/>
        </w:rPr>
        <w:t xml:space="preserve"> not occu</w:t>
      </w:r>
      <w:r w:rsidR="00455EBD" w:rsidRPr="00243407">
        <w:rPr>
          <w:rFonts w:ascii="Times New Roman" w:hAnsi="Times New Roman"/>
          <w:sz w:val="24"/>
          <w:szCs w:val="24"/>
        </w:rPr>
        <w:t xml:space="preserve">r until </w:t>
      </w:r>
      <w:r w:rsidR="005907EF" w:rsidRPr="00243407">
        <w:rPr>
          <w:rFonts w:ascii="Times New Roman" w:hAnsi="Times New Roman"/>
          <w:sz w:val="24"/>
          <w:szCs w:val="24"/>
        </w:rPr>
        <w:t>after the</w:t>
      </w:r>
      <w:r w:rsidR="00455EBD" w:rsidRPr="00243407">
        <w:rPr>
          <w:rFonts w:ascii="Times New Roman" w:hAnsi="Times New Roman"/>
          <w:sz w:val="24"/>
          <w:szCs w:val="24"/>
        </w:rPr>
        <w:t xml:space="preserve"> rate year</w:t>
      </w:r>
      <w:r w:rsidR="00C14B9E" w:rsidRPr="00243407">
        <w:rPr>
          <w:rFonts w:ascii="Times New Roman" w:hAnsi="Times New Roman"/>
          <w:sz w:val="24"/>
          <w:szCs w:val="24"/>
        </w:rPr>
        <w:t>.</w:t>
      </w:r>
      <w:r w:rsidR="00C14B9E">
        <w:rPr>
          <w:rStyle w:val="FootnoteReference"/>
          <w:rFonts w:ascii="Times New Roman" w:hAnsi="Times New Roman"/>
          <w:sz w:val="24"/>
          <w:szCs w:val="24"/>
        </w:rPr>
        <w:footnoteReference w:id="44"/>
      </w:r>
      <w:r w:rsidR="00C14B9E" w:rsidRPr="00243407">
        <w:rPr>
          <w:rFonts w:ascii="Times New Roman" w:hAnsi="Times New Roman"/>
          <w:sz w:val="24"/>
          <w:szCs w:val="24"/>
        </w:rPr>
        <w:t xml:space="preserve">  </w:t>
      </w:r>
      <w:r w:rsidR="00455EBD" w:rsidRPr="00243407">
        <w:rPr>
          <w:rFonts w:ascii="Times New Roman" w:hAnsi="Times New Roman"/>
          <w:sz w:val="24"/>
          <w:szCs w:val="24"/>
        </w:rPr>
        <w:t>More to the point, Pu</w:t>
      </w:r>
      <w:r w:rsidR="00FA16B5" w:rsidRPr="00243407">
        <w:rPr>
          <w:rFonts w:ascii="Times New Roman" w:hAnsi="Times New Roman"/>
          <w:sz w:val="24"/>
          <w:szCs w:val="24"/>
        </w:rPr>
        <w:t>blic Coun</w:t>
      </w:r>
      <w:r w:rsidR="001F004F" w:rsidRPr="00243407">
        <w:rPr>
          <w:rFonts w:ascii="Times New Roman" w:hAnsi="Times New Roman"/>
          <w:sz w:val="24"/>
          <w:szCs w:val="24"/>
        </w:rPr>
        <w:t xml:space="preserve">sel provides no explanation </w:t>
      </w:r>
      <w:r w:rsidR="00E608EC">
        <w:rPr>
          <w:rFonts w:ascii="Times New Roman" w:hAnsi="Times New Roman"/>
          <w:sz w:val="24"/>
          <w:szCs w:val="24"/>
        </w:rPr>
        <w:t>why Mint Farm is imprudent</w:t>
      </w:r>
      <w:r w:rsidR="0074699A" w:rsidRPr="00243407">
        <w:rPr>
          <w:rFonts w:ascii="Times New Roman" w:hAnsi="Times New Roman"/>
          <w:sz w:val="24"/>
          <w:szCs w:val="24"/>
        </w:rPr>
        <w:t xml:space="preserve"> because it creates short-term surplus capacity</w:t>
      </w:r>
      <w:r w:rsidR="005907EF" w:rsidRPr="00243407">
        <w:rPr>
          <w:rFonts w:ascii="Times New Roman" w:hAnsi="Times New Roman"/>
          <w:sz w:val="24"/>
          <w:szCs w:val="24"/>
        </w:rPr>
        <w:t>, espec</w:t>
      </w:r>
      <w:r w:rsidR="009C21CA" w:rsidRPr="00243407">
        <w:rPr>
          <w:rFonts w:ascii="Times New Roman" w:hAnsi="Times New Roman"/>
          <w:sz w:val="24"/>
          <w:szCs w:val="24"/>
        </w:rPr>
        <w:t xml:space="preserve">ially in light of detailed and significant evidence of </w:t>
      </w:r>
      <w:r w:rsidR="00FB2C0C" w:rsidRPr="00243407">
        <w:rPr>
          <w:rFonts w:ascii="Times New Roman" w:hAnsi="Times New Roman"/>
          <w:sz w:val="24"/>
          <w:szCs w:val="24"/>
        </w:rPr>
        <w:t xml:space="preserve">a </w:t>
      </w:r>
      <w:r w:rsidR="005907EF" w:rsidRPr="00243407">
        <w:rPr>
          <w:rFonts w:ascii="Times New Roman" w:hAnsi="Times New Roman"/>
          <w:sz w:val="24"/>
          <w:szCs w:val="24"/>
        </w:rPr>
        <w:t xml:space="preserve">mid- and long-term need </w:t>
      </w:r>
      <w:r w:rsidR="00FB2C0C" w:rsidRPr="00243407">
        <w:rPr>
          <w:rFonts w:ascii="Times New Roman" w:hAnsi="Times New Roman"/>
          <w:sz w:val="24"/>
          <w:szCs w:val="24"/>
        </w:rPr>
        <w:t xml:space="preserve">of the Company </w:t>
      </w:r>
      <w:r w:rsidR="005907EF" w:rsidRPr="00243407">
        <w:rPr>
          <w:rFonts w:ascii="Times New Roman" w:hAnsi="Times New Roman"/>
          <w:sz w:val="24"/>
          <w:szCs w:val="24"/>
        </w:rPr>
        <w:t>for new resources</w:t>
      </w:r>
      <w:r w:rsidR="009C21CA" w:rsidRPr="00243407">
        <w:rPr>
          <w:rFonts w:ascii="Times New Roman" w:hAnsi="Times New Roman"/>
          <w:sz w:val="24"/>
          <w:szCs w:val="24"/>
        </w:rPr>
        <w:t xml:space="preserve"> that Public Counsel does not </w:t>
      </w:r>
      <w:r w:rsidR="001F004F" w:rsidRPr="00243407">
        <w:rPr>
          <w:rFonts w:ascii="Times New Roman" w:hAnsi="Times New Roman"/>
          <w:sz w:val="24"/>
          <w:szCs w:val="24"/>
        </w:rPr>
        <w:t>d</w:t>
      </w:r>
      <w:r w:rsidR="009C21CA" w:rsidRPr="00243407">
        <w:rPr>
          <w:rFonts w:ascii="Times New Roman" w:hAnsi="Times New Roman"/>
          <w:sz w:val="24"/>
          <w:szCs w:val="24"/>
        </w:rPr>
        <w:t>ispute</w:t>
      </w:r>
      <w:r w:rsidR="00FA16B5" w:rsidRPr="00243407">
        <w:rPr>
          <w:rFonts w:ascii="Times New Roman" w:hAnsi="Times New Roman"/>
          <w:sz w:val="24"/>
          <w:szCs w:val="24"/>
        </w:rPr>
        <w:t>.</w:t>
      </w:r>
      <w:r w:rsidR="005907EF">
        <w:rPr>
          <w:rStyle w:val="FootnoteReference"/>
          <w:rFonts w:ascii="Times New Roman" w:hAnsi="Times New Roman"/>
          <w:sz w:val="24"/>
          <w:szCs w:val="24"/>
        </w:rPr>
        <w:footnoteReference w:id="45"/>
      </w:r>
    </w:p>
    <w:p w:rsidR="00CA6B51" w:rsidRPr="00243407" w:rsidRDefault="00243407" w:rsidP="00243407">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FA16B5" w:rsidRPr="00243407">
        <w:rPr>
          <w:rFonts w:ascii="Times New Roman" w:hAnsi="Times New Roman"/>
          <w:sz w:val="24"/>
          <w:szCs w:val="24"/>
        </w:rPr>
        <w:t>Public Counsel argues that PSE’s quantitative analysi</w:t>
      </w:r>
      <w:r w:rsidR="005907EF" w:rsidRPr="00243407">
        <w:rPr>
          <w:rFonts w:ascii="Times New Roman" w:hAnsi="Times New Roman"/>
          <w:sz w:val="24"/>
          <w:szCs w:val="24"/>
        </w:rPr>
        <w:t>s does not support the</w:t>
      </w:r>
      <w:r w:rsidR="00FA16B5" w:rsidRPr="00243407">
        <w:rPr>
          <w:rFonts w:ascii="Times New Roman" w:hAnsi="Times New Roman"/>
          <w:sz w:val="24"/>
          <w:szCs w:val="24"/>
        </w:rPr>
        <w:t xml:space="preserve"> acquisition of Mint Farm.  </w:t>
      </w:r>
      <w:r w:rsidR="008775C1" w:rsidRPr="00243407">
        <w:rPr>
          <w:rFonts w:ascii="Times New Roman" w:hAnsi="Times New Roman"/>
          <w:sz w:val="24"/>
          <w:szCs w:val="24"/>
        </w:rPr>
        <w:t>In making this argument, P</w:t>
      </w:r>
      <w:r w:rsidR="009F45D4" w:rsidRPr="00243407">
        <w:rPr>
          <w:rFonts w:ascii="Times New Roman" w:hAnsi="Times New Roman"/>
          <w:sz w:val="24"/>
          <w:szCs w:val="24"/>
        </w:rPr>
        <w:t>ublic Counsel focuses upon the Portfolio B</w:t>
      </w:r>
      <w:r w:rsidR="008775C1" w:rsidRPr="00243407">
        <w:rPr>
          <w:rFonts w:ascii="Times New Roman" w:hAnsi="Times New Roman"/>
          <w:sz w:val="24"/>
          <w:szCs w:val="24"/>
        </w:rPr>
        <w:t xml:space="preserve">enefit </w:t>
      </w:r>
      <w:r w:rsidR="009F45D4" w:rsidRPr="00243407">
        <w:rPr>
          <w:rFonts w:ascii="Times New Roman" w:hAnsi="Times New Roman"/>
          <w:sz w:val="24"/>
          <w:szCs w:val="24"/>
        </w:rPr>
        <w:t>and Benefit R</w:t>
      </w:r>
      <w:r w:rsidR="00AF7CF9" w:rsidRPr="00243407">
        <w:rPr>
          <w:rFonts w:ascii="Times New Roman" w:hAnsi="Times New Roman"/>
          <w:sz w:val="24"/>
          <w:szCs w:val="24"/>
        </w:rPr>
        <w:t>atio, and disregards</w:t>
      </w:r>
      <w:r w:rsidR="009F45D4" w:rsidRPr="00243407">
        <w:rPr>
          <w:rFonts w:ascii="Times New Roman" w:hAnsi="Times New Roman"/>
          <w:sz w:val="24"/>
          <w:szCs w:val="24"/>
        </w:rPr>
        <w:t xml:space="preserve"> the 20-</w:t>
      </w:r>
      <w:r w:rsidR="00E608EC">
        <w:rPr>
          <w:rFonts w:ascii="Times New Roman" w:hAnsi="Times New Roman"/>
          <w:sz w:val="24"/>
          <w:szCs w:val="24"/>
        </w:rPr>
        <w:t>Y</w:t>
      </w:r>
      <w:r w:rsidR="009F45D4" w:rsidRPr="00243407">
        <w:rPr>
          <w:rFonts w:ascii="Times New Roman" w:hAnsi="Times New Roman"/>
          <w:sz w:val="24"/>
          <w:szCs w:val="24"/>
        </w:rPr>
        <w:t>ear L</w:t>
      </w:r>
      <w:r w:rsidR="008775C1" w:rsidRPr="00243407">
        <w:rPr>
          <w:rFonts w:ascii="Times New Roman" w:hAnsi="Times New Roman"/>
          <w:sz w:val="24"/>
          <w:szCs w:val="24"/>
        </w:rPr>
        <w:t>e</w:t>
      </w:r>
      <w:r w:rsidR="00CA6B51" w:rsidRPr="00243407">
        <w:rPr>
          <w:rFonts w:ascii="Times New Roman" w:hAnsi="Times New Roman"/>
          <w:sz w:val="24"/>
          <w:szCs w:val="24"/>
        </w:rPr>
        <w:t xml:space="preserve">velized </w:t>
      </w:r>
      <w:r w:rsidR="009F45D4" w:rsidRPr="00243407">
        <w:rPr>
          <w:rFonts w:ascii="Times New Roman" w:hAnsi="Times New Roman"/>
          <w:sz w:val="24"/>
          <w:szCs w:val="24"/>
        </w:rPr>
        <w:t>C</w:t>
      </w:r>
      <w:r w:rsidR="00CA6B51" w:rsidRPr="00243407">
        <w:rPr>
          <w:rFonts w:ascii="Times New Roman" w:hAnsi="Times New Roman"/>
          <w:sz w:val="24"/>
          <w:szCs w:val="24"/>
        </w:rPr>
        <w:t xml:space="preserve">ost calculation that </w:t>
      </w:r>
      <w:r w:rsidR="008775C1" w:rsidRPr="00243407">
        <w:rPr>
          <w:rFonts w:ascii="Times New Roman" w:hAnsi="Times New Roman"/>
          <w:sz w:val="24"/>
          <w:szCs w:val="24"/>
        </w:rPr>
        <w:t>clearly favored Mint Farm over other alternatives.</w:t>
      </w:r>
      <w:r w:rsidR="008775C1">
        <w:rPr>
          <w:rStyle w:val="FootnoteReference"/>
          <w:rFonts w:ascii="Times New Roman" w:hAnsi="Times New Roman"/>
          <w:sz w:val="24"/>
          <w:szCs w:val="24"/>
        </w:rPr>
        <w:footnoteReference w:id="46"/>
      </w:r>
      <w:r w:rsidR="008775C1" w:rsidRPr="00243407">
        <w:rPr>
          <w:rFonts w:ascii="Times New Roman" w:hAnsi="Times New Roman"/>
          <w:sz w:val="24"/>
          <w:szCs w:val="24"/>
        </w:rPr>
        <w:t xml:space="preserve">  </w:t>
      </w:r>
    </w:p>
    <w:p w:rsidR="00FA16B5" w:rsidRPr="00243407" w:rsidRDefault="00243407" w:rsidP="00243407">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8775C1" w:rsidRPr="00243407">
        <w:rPr>
          <w:rFonts w:ascii="Times New Roman" w:hAnsi="Times New Roman"/>
          <w:sz w:val="24"/>
          <w:szCs w:val="24"/>
        </w:rPr>
        <w:t>Public Cou</w:t>
      </w:r>
      <w:r w:rsidR="009F45D4" w:rsidRPr="00243407">
        <w:rPr>
          <w:rFonts w:ascii="Times New Roman" w:hAnsi="Times New Roman"/>
          <w:sz w:val="24"/>
          <w:szCs w:val="24"/>
        </w:rPr>
        <w:t>nsel’s approach is incomplete</w:t>
      </w:r>
      <w:r w:rsidR="00BD7EE4" w:rsidRPr="00243407">
        <w:rPr>
          <w:rFonts w:ascii="Times New Roman" w:hAnsi="Times New Roman"/>
          <w:sz w:val="24"/>
          <w:szCs w:val="24"/>
        </w:rPr>
        <w:t>.  The 20-Year Levelized Cost is the only criteria that measures the expected costs to deliver power for a specific resource over 20 years.</w:t>
      </w:r>
      <w:r w:rsidR="00BD7EE4" w:rsidRPr="009F45D4">
        <w:rPr>
          <w:rStyle w:val="FootnoteReference"/>
          <w:rFonts w:ascii="Times New Roman" w:hAnsi="Times New Roman"/>
          <w:sz w:val="24"/>
          <w:szCs w:val="24"/>
        </w:rPr>
        <w:footnoteReference w:id="47"/>
      </w:r>
      <w:r w:rsidR="005907EF" w:rsidRPr="00243407">
        <w:rPr>
          <w:rFonts w:ascii="Times New Roman" w:hAnsi="Times New Roman"/>
          <w:sz w:val="24"/>
          <w:szCs w:val="24"/>
        </w:rPr>
        <w:t xml:space="preserve">  Thus, the 20-Y</w:t>
      </w:r>
      <w:r w:rsidR="009F45D4" w:rsidRPr="00243407">
        <w:rPr>
          <w:rFonts w:ascii="Times New Roman" w:hAnsi="Times New Roman"/>
          <w:sz w:val="24"/>
          <w:szCs w:val="24"/>
        </w:rPr>
        <w:t>ear L</w:t>
      </w:r>
      <w:r w:rsidR="00553230" w:rsidRPr="00243407">
        <w:rPr>
          <w:rFonts w:ascii="Times New Roman" w:hAnsi="Times New Roman"/>
          <w:sz w:val="24"/>
          <w:szCs w:val="24"/>
        </w:rPr>
        <w:t>evelized C</w:t>
      </w:r>
      <w:r w:rsidR="005907EF" w:rsidRPr="00243407">
        <w:rPr>
          <w:rFonts w:ascii="Times New Roman" w:hAnsi="Times New Roman"/>
          <w:sz w:val="24"/>
          <w:szCs w:val="24"/>
        </w:rPr>
        <w:t xml:space="preserve">ost measures </w:t>
      </w:r>
      <w:r w:rsidR="00553230" w:rsidRPr="00243407">
        <w:rPr>
          <w:rFonts w:ascii="Times New Roman" w:hAnsi="Times New Roman"/>
          <w:sz w:val="24"/>
          <w:szCs w:val="24"/>
        </w:rPr>
        <w:t xml:space="preserve">directly and independently </w:t>
      </w:r>
      <w:r w:rsidR="00BD7EE4" w:rsidRPr="00243407">
        <w:rPr>
          <w:rFonts w:ascii="Times New Roman" w:hAnsi="Times New Roman"/>
          <w:sz w:val="24"/>
          <w:szCs w:val="24"/>
        </w:rPr>
        <w:t xml:space="preserve">the total system cost impact </w:t>
      </w:r>
      <w:r w:rsidR="005907EF" w:rsidRPr="00243407">
        <w:rPr>
          <w:rFonts w:ascii="Times New Roman" w:hAnsi="Times New Roman"/>
          <w:sz w:val="24"/>
          <w:szCs w:val="24"/>
        </w:rPr>
        <w:t xml:space="preserve">of a resource </w:t>
      </w:r>
      <w:r w:rsidR="00BD7EE4" w:rsidRPr="00243407">
        <w:rPr>
          <w:rFonts w:ascii="Times New Roman" w:hAnsi="Times New Roman"/>
          <w:sz w:val="24"/>
          <w:szCs w:val="24"/>
        </w:rPr>
        <w:t xml:space="preserve">on customers. </w:t>
      </w:r>
      <w:r w:rsidR="009F45D4" w:rsidRPr="00243407">
        <w:rPr>
          <w:rFonts w:ascii="Times New Roman" w:hAnsi="Times New Roman"/>
          <w:sz w:val="24"/>
          <w:szCs w:val="24"/>
        </w:rPr>
        <w:t xml:space="preserve"> Neither the P</w:t>
      </w:r>
      <w:r w:rsidR="00AF7CF9" w:rsidRPr="00243407">
        <w:rPr>
          <w:rFonts w:ascii="Times New Roman" w:hAnsi="Times New Roman"/>
          <w:sz w:val="24"/>
          <w:szCs w:val="24"/>
        </w:rPr>
        <w:t xml:space="preserve">ortfolio </w:t>
      </w:r>
      <w:r w:rsidR="009F45D4" w:rsidRPr="00243407">
        <w:rPr>
          <w:rFonts w:ascii="Times New Roman" w:hAnsi="Times New Roman"/>
          <w:sz w:val="24"/>
          <w:szCs w:val="24"/>
        </w:rPr>
        <w:t>B</w:t>
      </w:r>
      <w:r w:rsidR="00AF7CF9" w:rsidRPr="00243407">
        <w:rPr>
          <w:rFonts w:ascii="Times New Roman" w:hAnsi="Times New Roman"/>
          <w:sz w:val="24"/>
          <w:szCs w:val="24"/>
        </w:rPr>
        <w:t>enefit nor</w:t>
      </w:r>
      <w:r w:rsidR="00BD7EE4" w:rsidRPr="00243407">
        <w:rPr>
          <w:rFonts w:ascii="Times New Roman" w:hAnsi="Times New Roman"/>
          <w:sz w:val="24"/>
          <w:szCs w:val="24"/>
        </w:rPr>
        <w:t xml:space="preserve"> </w:t>
      </w:r>
      <w:r w:rsidR="009F45D4" w:rsidRPr="00243407">
        <w:rPr>
          <w:rFonts w:ascii="Times New Roman" w:hAnsi="Times New Roman"/>
          <w:sz w:val="24"/>
          <w:szCs w:val="24"/>
        </w:rPr>
        <w:t>B</w:t>
      </w:r>
      <w:r w:rsidR="00BD7EE4" w:rsidRPr="00243407">
        <w:rPr>
          <w:rFonts w:ascii="Times New Roman" w:hAnsi="Times New Roman"/>
          <w:sz w:val="24"/>
          <w:szCs w:val="24"/>
        </w:rPr>
        <w:t xml:space="preserve">enefit </w:t>
      </w:r>
      <w:r w:rsidR="009F45D4" w:rsidRPr="00243407">
        <w:rPr>
          <w:rFonts w:ascii="Times New Roman" w:hAnsi="Times New Roman"/>
          <w:sz w:val="24"/>
          <w:szCs w:val="24"/>
        </w:rPr>
        <w:t>R</w:t>
      </w:r>
      <w:r w:rsidR="00BD7EE4" w:rsidRPr="00243407">
        <w:rPr>
          <w:rFonts w:ascii="Times New Roman" w:hAnsi="Times New Roman"/>
          <w:sz w:val="24"/>
          <w:szCs w:val="24"/>
        </w:rPr>
        <w:t>atio</w:t>
      </w:r>
      <w:r w:rsidR="00AF7CF9" w:rsidRPr="00243407">
        <w:rPr>
          <w:rFonts w:ascii="Times New Roman" w:hAnsi="Times New Roman"/>
          <w:sz w:val="24"/>
          <w:szCs w:val="24"/>
        </w:rPr>
        <w:t xml:space="preserve"> can make that claim.</w:t>
      </w:r>
    </w:p>
    <w:p w:rsidR="00AF7CF9" w:rsidRPr="00243407" w:rsidRDefault="00243407" w:rsidP="00243407">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9F45D4" w:rsidRPr="00243407">
        <w:rPr>
          <w:rFonts w:ascii="Times New Roman" w:hAnsi="Times New Roman"/>
          <w:sz w:val="24"/>
          <w:szCs w:val="24"/>
        </w:rPr>
        <w:t>This is not to say that the Portfolio Benefit and Bene</w:t>
      </w:r>
      <w:r w:rsidR="005907EF" w:rsidRPr="00243407">
        <w:rPr>
          <w:rFonts w:ascii="Times New Roman" w:hAnsi="Times New Roman"/>
          <w:sz w:val="24"/>
          <w:szCs w:val="24"/>
        </w:rPr>
        <w:t xml:space="preserve">fit Ratio do not </w:t>
      </w:r>
      <w:r w:rsidR="00553230" w:rsidRPr="00243407">
        <w:rPr>
          <w:rFonts w:ascii="Times New Roman" w:hAnsi="Times New Roman"/>
          <w:sz w:val="24"/>
          <w:szCs w:val="24"/>
        </w:rPr>
        <w:t xml:space="preserve">both </w:t>
      </w:r>
      <w:r w:rsidR="005907EF" w:rsidRPr="00243407">
        <w:rPr>
          <w:rFonts w:ascii="Times New Roman" w:hAnsi="Times New Roman"/>
          <w:sz w:val="24"/>
          <w:szCs w:val="24"/>
        </w:rPr>
        <w:t xml:space="preserve">deserve equal consideration.  Rather, the point is that </w:t>
      </w:r>
      <w:r w:rsidR="009F45D4" w:rsidRPr="00243407">
        <w:rPr>
          <w:rFonts w:ascii="Times New Roman" w:hAnsi="Times New Roman"/>
          <w:sz w:val="24"/>
          <w:szCs w:val="24"/>
        </w:rPr>
        <w:t>th</w:t>
      </w:r>
      <w:r w:rsidR="00AB7532" w:rsidRPr="00243407">
        <w:rPr>
          <w:rFonts w:ascii="Times New Roman" w:hAnsi="Times New Roman"/>
          <w:sz w:val="24"/>
          <w:szCs w:val="24"/>
        </w:rPr>
        <w:t>e Company’s quantitative analysis</w:t>
      </w:r>
      <w:r w:rsidR="005907EF" w:rsidRPr="00243407">
        <w:rPr>
          <w:rFonts w:ascii="Times New Roman" w:hAnsi="Times New Roman"/>
          <w:sz w:val="24"/>
          <w:szCs w:val="24"/>
        </w:rPr>
        <w:t xml:space="preserve"> provided varied </w:t>
      </w:r>
      <w:r w:rsidR="009F45D4" w:rsidRPr="00243407">
        <w:rPr>
          <w:rFonts w:ascii="Times New Roman" w:hAnsi="Times New Roman"/>
          <w:sz w:val="24"/>
          <w:szCs w:val="24"/>
        </w:rPr>
        <w:t>results</w:t>
      </w:r>
      <w:r w:rsidR="005907EF" w:rsidRPr="00243407">
        <w:rPr>
          <w:rFonts w:ascii="Times New Roman" w:hAnsi="Times New Roman"/>
          <w:sz w:val="24"/>
          <w:szCs w:val="24"/>
        </w:rPr>
        <w:t xml:space="preserve"> among equally important criteria</w:t>
      </w:r>
      <w:r w:rsidR="00AB7532" w:rsidRPr="00243407">
        <w:rPr>
          <w:rFonts w:ascii="Times New Roman" w:hAnsi="Times New Roman"/>
          <w:sz w:val="24"/>
          <w:szCs w:val="24"/>
        </w:rPr>
        <w:t>, but</w:t>
      </w:r>
      <w:r w:rsidR="00AE30E2" w:rsidRPr="00243407">
        <w:rPr>
          <w:rFonts w:ascii="Times New Roman" w:hAnsi="Times New Roman"/>
          <w:sz w:val="24"/>
          <w:szCs w:val="24"/>
        </w:rPr>
        <w:t xml:space="preserve"> </w:t>
      </w:r>
      <w:r w:rsidR="00553230" w:rsidRPr="00243407">
        <w:rPr>
          <w:rFonts w:ascii="Times New Roman" w:hAnsi="Times New Roman"/>
          <w:sz w:val="24"/>
          <w:szCs w:val="24"/>
        </w:rPr>
        <w:t>t</w:t>
      </w:r>
      <w:r w:rsidR="009F45D4" w:rsidRPr="00243407">
        <w:rPr>
          <w:rFonts w:ascii="Times New Roman" w:hAnsi="Times New Roman"/>
          <w:sz w:val="24"/>
          <w:szCs w:val="24"/>
        </w:rPr>
        <w:t xml:space="preserve">here were qualitative </w:t>
      </w:r>
      <w:r w:rsidR="00C44A23" w:rsidRPr="00243407">
        <w:rPr>
          <w:rFonts w:ascii="Times New Roman" w:hAnsi="Times New Roman"/>
          <w:sz w:val="24"/>
          <w:szCs w:val="24"/>
        </w:rPr>
        <w:t>factors that le</w:t>
      </w:r>
      <w:r w:rsidR="005907EF" w:rsidRPr="00243407">
        <w:rPr>
          <w:rFonts w:ascii="Times New Roman" w:hAnsi="Times New Roman"/>
          <w:sz w:val="24"/>
          <w:szCs w:val="24"/>
        </w:rPr>
        <w:t xml:space="preserve">d PSE </w:t>
      </w:r>
      <w:r w:rsidR="000A6A5B" w:rsidRPr="00243407">
        <w:rPr>
          <w:rFonts w:ascii="Times New Roman" w:hAnsi="Times New Roman"/>
          <w:sz w:val="24"/>
          <w:szCs w:val="24"/>
        </w:rPr>
        <w:t>to decide</w:t>
      </w:r>
      <w:r w:rsidR="00AB7532" w:rsidRPr="00243407">
        <w:rPr>
          <w:rFonts w:ascii="Times New Roman" w:hAnsi="Times New Roman"/>
          <w:sz w:val="24"/>
          <w:szCs w:val="24"/>
        </w:rPr>
        <w:t xml:space="preserve"> to acquire Mint Farm.  </w:t>
      </w:r>
      <w:r w:rsidR="005907EF" w:rsidRPr="00243407">
        <w:rPr>
          <w:rFonts w:ascii="Times New Roman" w:hAnsi="Times New Roman"/>
          <w:sz w:val="24"/>
          <w:szCs w:val="24"/>
        </w:rPr>
        <w:t xml:space="preserve">Staff’s independent and comprehensive analysis of all </w:t>
      </w:r>
      <w:r w:rsidR="005907EF" w:rsidRPr="00243407">
        <w:rPr>
          <w:rFonts w:ascii="Times New Roman" w:hAnsi="Times New Roman"/>
          <w:sz w:val="24"/>
          <w:szCs w:val="24"/>
        </w:rPr>
        <w:lastRenderedPageBreak/>
        <w:t xml:space="preserve">of the evidence confirmed that </w:t>
      </w:r>
      <w:r w:rsidR="000A6A5B" w:rsidRPr="00243407">
        <w:rPr>
          <w:rFonts w:ascii="Times New Roman" w:hAnsi="Times New Roman"/>
          <w:sz w:val="24"/>
          <w:szCs w:val="24"/>
        </w:rPr>
        <w:t>that decision was well-reasoned</w:t>
      </w:r>
      <w:r w:rsidR="005907EF" w:rsidRPr="00243407">
        <w:rPr>
          <w:rFonts w:ascii="Times New Roman" w:hAnsi="Times New Roman"/>
          <w:sz w:val="24"/>
          <w:szCs w:val="24"/>
        </w:rPr>
        <w:t xml:space="preserve">.  </w:t>
      </w:r>
      <w:r w:rsidR="00AB7532" w:rsidRPr="00243407">
        <w:rPr>
          <w:rFonts w:ascii="Times New Roman" w:hAnsi="Times New Roman"/>
          <w:sz w:val="24"/>
          <w:szCs w:val="24"/>
        </w:rPr>
        <w:t>Public Counsel has not shown</w:t>
      </w:r>
      <w:r w:rsidR="000A6A5B" w:rsidRPr="00243407">
        <w:rPr>
          <w:rFonts w:ascii="Times New Roman" w:hAnsi="Times New Roman"/>
          <w:sz w:val="24"/>
          <w:szCs w:val="24"/>
        </w:rPr>
        <w:t xml:space="preserve"> otherwise</w:t>
      </w:r>
      <w:r w:rsidR="00AB7532" w:rsidRPr="00243407">
        <w:rPr>
          <w:rFonts w:ascii="Times New Roman" w:hAnsi="Times New Roman"/>
          <w:sz w:val="24"/>
          <w:szCs w:val="24"/>
        </w:rPr>
        <w:t>.</w:t>
      </w:r>
      <w:r w:rsidR="00AB7532">
        <w:rPr>
          <w:rStyle w:val="FootnoteReference"/>
          <w:rFonts w:ascii="Times New Roman" w:hAnsi="Times New Roman"/>
          <w:sz w:val="24"/>
          <w:szCs w:val="24"/>
        </w:rPr>
        <w:footnoteReference w:id="48"/>
      </w:r>
    </w:p>
    <w:p w:rsidR="00553230" w:rsidRPr="00243407" w:rsidRDefault="00243407" w:rsidP="00243407">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553230" w:rsidRPr="00243407">
        <w:rPr>
          <w:rFonts w:ascii="Times New Roman" w:hAnsi="Times New Roman"/>
          <w:sz w:val="24"/>
          <w:szCs w:val="24"/>
        </w:rPr>
        <w:t>Finally, Public Counsel faults the Company for having chosen a resource that will be added to rate base, allowing investors to earn an additional return.</w:t>
      </w:r>
      <w:r w:rsidR="00553230">
        <w:rPr>
          <w:rStyle w:val="FootnoteReference"/>
          <w:rFonts w:ascii="Times New Roman" w:hAnsi="Times New Roman"/>
          <w:sz w:val="24"/>
          <w:szCs w:val="24"/>
        </w:rPr>
        <w:footnoteReference w:id="49"/>
      </w:r>
      <w:r w:rsidR="00337CEA" w:rsidRPr="00243407">
        <w:rPr>
          <w:rFonts w:ascii="Times New Roman" w:hAnsi="Times New Roman"/>
          <w:sz w:val="24"/>
          <w:szCs w:val="24"/>
        </w:rPr>
        <w:t xml:space="preserve">  PSE </w:t>
      </w:r>
      <w:r w:rsidR="00553230" w:rsidRPr="00243407">
        <w:rPr>
          <w:rFonts w:ascii="Times New Roman" w:hAnsi="Times New Roman"/>
          <w:sz w:val="24"/>
          <w:szCs w:val="24"/>
        </w:rPr>
        <w:t>has responded that it did not consider the availability of higher shareholder returns in making the decision to acquire Mint Farm.</w:t>
      </w:r>
      <w:r w:rsidR="00553230">
        <w:rPr>
          <w:rStyle w:val="FootnoteReference"/>
          <w:rFonts w:ascii="Times New Roman" w:hAnsi="Times New Roman"/>
          <w:sz w:val="24"/>
          <w:szCs w:val="24"/>
        </w:rPr>
        <w:footnoteReference w:id="50"/>
      </w:r>
      <w:r w:rsidR="00337CEA" w:rsidRPr="00243407">
        <w:rPr>
          <w:rFonts w:ascii="Times New Roman" w:hAnsi="Times New Roman"/>
          <w:sz w:val="24"/>
          <w:szCs w:val="24"/>
        </w:rPr>
        <w:t xml:space="preserve">  Staff only points out that the Company has also requested a prudence determination for the acquisitions of Fredonia Units 3 and 4, and the Wild Horse expansion.  Those facilities will also be added to rate base, with additional returns for shareholders.  Public Counsel does not, however, oppose these Company acquisitions.</w:t>
      </w:r>
    </w:p>
    <w:p w:rsidR="00285572" w:rsidRDefault="00EF65B0" w:rsidP="00CE74E3">
      <w:pPr>
        <w:pStyle w:val="ListParagraph"/>
        <w:ind w:hanging="720"/>
        <w:rPr>
          <w:rFonts w:ascii="Times New Roman" w:hAnsi="Times New Roman"/>
          <w:b/>
          <w:sz w:val="24"/>
          <w:szCs w:val="24"/>
        </w:rPr>
      </w:pPr>
      <w:r>
        <w:rPr>
          <w:rFonts w:ascii="Times New Roman" w:hAnsi="Times New Roman"/>
          <w:b/>
          <w:sz w:val="24"/>
          <w:szCs w:val="24"/>
        </w:rPr>
        <w:t>B</w:t>
      </w:r>
      <w:r w:rsidR="00CE74E3">
        <w:rPr>
          <w:rFonts w:ascii="Times New Roman" w:hAnsi="Times New Roman"/>
          <w:b/>
          <w:sz w:val="24"/>
          <w:szCs w:val="24"/>
        </w:rPr>
        <w:t>.</w:t>
      </w:r>
      <w:r w:rsidR="00CE74E3">
        <w:rPr>
          <w:rFonts w:ascii="Times New Roman" w:hAnsi="Times New Roman"/>
          <w:b/>
          <w:sz w:val="24"/>
          <w:szCs w:val="24"/>
        </w:rPr>
        <w:tab/>
      </w:r>
      <w:r w:rsidR="005A6281">
        <w:rPr>
          <w:rFonts w:ascii="Times New Roman" w:hAnsi="Times New Roman"/>
          <w:b/>
          <w:sz w:val="24"/>
          <w:szCs w:val="24"/>
        </w:rPr>
        <w:t xml:space="preserve">Public Counsel Misconstrues and Misapplies the </w:t>
      </w:r>
      <w:r w:rsidR="00D33237">
        <w:rPr>
          <w:rFonts w:ascii="Times New Roman" w:hAnsi="Times New Roman"/>
          <w:b/>
          <w:sz w:val="24"/>
          <w:szCs w:val="24"/>
        </w:rPr>
        <w:t>Statutory Requirements for Deferred Accounting</w:t>
      </w:r>
    </w:p>
    <w:p w:rsidR="005A6281" w:rsidRDefault="005A6281" w:rsidP="005A6281">
      <w:pPr>
        <w:rPr>
          <w:rFonts w:ascii="Times New Roman" w:hAnsi="Times New Roman"/>
          <w:b/>
          <w:sz w:val="24"/>
          <w:szCs w:val="24"/>
        </w:rPr>
      </w:pPr>
    </w:p>
    <w:p w:rsidR="005A6281" w:rsidRPr="00CE74E3" w:rsidRDefault="00CE74E3" w:rsidP="00CE74E3">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0A6A5B">
        <w:rPr>
          <w:rFonts w:ascii="Times New Roman" w:hAnsi="Times New Roman"/>
          <w:sz w:val="24"/>
          <w:szCs w:val="24"/>
        </w:rPr>
        <w:t xml:space="preserve">PSE </w:t>
      </w:r>
      <w:r w:rsidR="005A6281" w:rsidRPr="00CE74E3">
        <w:rPr>
          <w:rFonts w:ascii="Times New Roman" w:hAnsi="Times New Roman"/>
          <w:sz w:val="24"/>
          <w:szCs w:val="24"/>
        </w:rPr>
        <w:t>has requested</w:t>
      </w:r>
      <w:r w:rsidR="00BC3AE8" w:rsidRPr="00CE74E3">
        <w:rPr>
          <w:rFonts w:ascii="Times New Roman" w:hAnsi="Times New Roman"/>
          <w:sz w:val="24"/>
          <w:szCs w:val="24"/>
        </w:rPr>
        <w:t>,</w:t>
      </w:r>
      <w:r w:rsidR="005A6281" w:rsidRPr="00CE74E3">
        <w:rPr>
          <w:rFonts w:ascii="Times New Roman" w:hAnsi="Times New Roman"/>
          <w:sz w:val="24"/>
          <w:szCs w:val="24"/>
        </w:rPr>
        <w:t xml:space="preserve"> under RCW 80.80.060(6)</w:t>
      </w:r>
      <w:r w:rsidR="00BC3AE8" w:rsidRPr="00CE74E3">
        <w:rPr>
          <w:rFonts w:ascii="Times New Roman" w:hAnsi="Times New Roman"/>
          <w:sz w:val="24"/>
          <w:szCs w:val="24"/>
        </w:rPr>
        <w:t>,</w:t>
      </w:r>
      <w:r w:rsidR="005A6281" w:rsidRPr="00CE74E3">
        <w:rPr>
          <w:rFonts w:ascii="Times New Roman" w:hAnsi="Times New Roman"/>
          <w:sz w:val="24"/>
          <w:szCs w:val="24"/>
        </w:rPr>
        <w:t xml:space="preserve"> deferred accounting of the fixed and variable costs of Mint Farm from the December 2008 acquisition date to the effective date</w:t>
      </w:r>
      <w:r w:rsidR="00EF65B0">
        <w:rPr>
          <w:rFonts w:ascii="Times New Roman" w:hAnsi="Times New Roman"/>
          <w:sz w:val="24"/>
          <w:szCs w:val="24"/>
        </w:rPr>
        <w:t xml:space="preserve"> of new rates </w:t>
      </w:r>
      <w:r w:rsidR="005A6281" w:rsidRPr="00CE74E3">
        <w:rPr>
          <w:rFonts w:ascii="Times New Roman" w:hAnsi="Times New Roman"/>
          <w:sz w:val="24"/>
          <w:szCs w:val="24"/>
        </w:rPr>
        <w:t xml:space="preserve">in this case.  </w:t>
      </w:r>
      <w:r w:rsidR="000A6A5B">
        <w:rPr>
          <w:rFonts w:ascii="Times New Roman" w:hAnsi="Times New Roman"/>
          <w:sz w:val="24"/>
          <w:szCs w:val="24"/>
        </w:rPr>
        <w:t xml:space="preserve">Staff agrees with the </w:t>
      </w:r>
      <w:r w:rsidR="00D33237" w:rsidRPr="00CE74E3">
        <w:rPr>
          <w:rFonts w:ascii="Times New Roman" w:hAnsi="Times New Roman"/>
          <w:sz w:val="24"/>
          <w:szCs w:val="24"/>
        </w:rPr>
        <w:t>request, although t</w:t>
      </w:r>
      <w:r w:rsidR="000A6A5B">
        <w:rPr>
          <w:rFonts w:ascii="Times New Roman" w:hAnsi="Times New Roman"/>
          <w:sz w:val="24"/>
          <w:szCs w:val="24"/>
        </w:rPr>
        <w:t xml:space="preserve">here are issues </w:t>
      </w:r>
      <w:r w:rsidR="00D33237" w:rsidRPr="00CE74E3">
        <w:rPr>
          <w:rFonts w:ascii="Times New Roman" w:hAnsi="Times New Roman"/>
          <w:sz w:val="24"/>
          <w:szCs w:val="24"/>
        </w:rPr>
        <w:t>regarding carrying costs, amortization perio</w:t>
      </w:r>
      <w:r w:rsidR="000A6A5B">
        <w:rPr>
          <w:rFonts w:ascii="Times New Roman" w:hAnsi="Times New Roman"/>
          <w:sz w:val="24"/>
          <w:szCs w:val="24"/>
        </w:rPr>
        <w:t xml:space="preserve">d, and </w:t>
      </w:r>
      <w:r w:rsidR="00FB2C0C">
        <w:rPr>
          <w:rFonts w:ascii="Times New Roman" w:hAnsi="Times New Roman"/>
          <w:sz w:val="24"/>
          <w:szCs w:val="24"/>
        </w:rPr>
        <w:t xml:space="preserve">the </w:t>
      </w:r>
      <w:r w:rsidR="000A6A5B">
        <w:rPr>
          <w:rFonts w:ascii="Times New Roman" w:hAnsi="Times New Roman"/>
          <w:sz w:val="24"/>
          <w:szCs w:val="24"/>
        </w:rPr>
        <w:t xml:space="preserve">suspension of </w:t>
      </w:r>
      <w:r w:rsidR="00D33237" w:rsidRPr="00CE74E3">
        <w:rPr>
          <w:rFonts w:ascii="Times New Roman" w:hAnsi="Times New Roman"/>
          <w:sz w:val="24"/>
          <w:szCs w:val="24"/>
        </w:rPr>
        <w:t>Power Cost Adjustment features (Exhibit G).</w:t>
      </w:r>
    </w:p>
    <w:p w:rsidR="00285572" w:rsidRPr="00CE74E3" w:rsidRDefault="00CE74E3" w:rsidP="00CE74E3">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D33237" w:rsidRPr="00CE74E3">
        <w:rPr>
          <w:rFonts w:ascii="Times New Roman" w:hAnsi="Times New Roman"/>
          <w:sz w:val="24"/>
          <w:szCs w:val="24"/>
        </w:rPr>
        <w:t>T</w:t>
      </w:r>
      <w:r w:rsidR="00EF65B0">
        <w:rPr>
          <w:rFonts w:ascii="Times New Roman" w:hAnsi="Times New Roman"/>
          <w:sz w:val="24"/>
          <w:szCs w:val="24"/>
        </w:rPr>
        <w:t xml:space="preserve">here are several </w:t>
      </w:r>
      <w:r w:rsidR="00D33237" w:rsidRPr="00CE74E3">
        <w:rPr>
          <w:rFonts w:ascii="Times New Roman" w:hAnsi="Times New Roman"/>
          <w:sz w:val="24"/>
          <w:szCs w:val="24"/>
        </w:rPr>
        <w:t>errors in Public Counsel’s conclusion that Mint Farm does not qualify for deferred accounting under RCW 80.80.060(6).</w:t>
      </w:r>
      <w:r w:rsidR="00FB2C0C">
        <w:rPr>
          <w:rStyle w:val="FootnoteReference"/>
          <w:rFonts w:ascii="Times New Roman" w:hAnsi="Times New Roman"/>
          <w:sz w:val="24"/>
          <w:szCs w:val="24"/>
        </w:rPr>
        <w:footnoteReference w:id="51"/>
      </w:r>
      <w:r w:rsidR="00486CDE">
        <w:rPr>
          <w:rFonts w:ascii="Times New Roman" w:hAnsi="Times New Roman"/>
          <w:sz w:val="24"/>
          <w:szCs w:val="24"/>
        </w:rPr>
        <w:t xml:space="preserve">  First, Public Counsel argues</w:t>
      </w:r>
      <w:r w:rsidR="00947F06">
        <w:rPr>
          <w:rFonts w:ascii="Times New Roman" w:hAnsi="Times New Roman"/>
          <w:sz w:val="24"/>
          <w:szCs w:val="24"/>
        </w:rPr>
        <w:t xml:space="preserve"> </w:t>
      </w:r>
      <w:r w:rsidR="00D33237" w:rsidRPr="00CE74E3">
        <w:rPr>
          <w:rFonts w:ascii="Times New Roman" w:hAnsi="Times New Roman"/>
          <w:sz w:val="24"/>
          <w:szCs w:val="24"/>
        </w:rPr>
        <w:t xml:space="preserve">that </w:t>
      </w:r>
      <w:r w:rsidR="00EF65B0">
        <w:rPr>
          <w:rFonts w:ascii="Times New Roman" w:hAnsi="Times New Roman"/>
          <w:sz w:val="24"/>
          <w:szCs w:val="24"/>
        </w:rPr>
        <w:t>deferred acco</w:t>
      </w:r>
      <w:r w:rsidR="008F2641">
        <w:rPr>
          <w:rFonts w:ascii="Times New Roman" w:hAnsi="Times New Roman"/>
          <w:sz w:val="24"/>
          <w:szCs w:val="24"/>
        </w:rPr>
        <w:t>untin</w:t>
      </w:r>
      <w:r w:rsidR="00947F06">
        <w:rPr>
          <w:rFonts w:ascii="Times New Roman" w:hAnsi="Times New Roman"/>
          <w:sz w:val="24"/>
          <w:szCs w:val="24"/>
        </w:rPr>
        <w:t xml:space="preserve">g is available only if </w:t>
      </w:r>
      <w:r w:rsidR="00EF65B0">
        <w:rPr>
          <w:rFonts w:ascii="Times New Roman" w:hAnsi="Times New Roman"/>
          <w:sz w:val="24"/>
          <w:szCs w:val="24"/>
        </w:rPr>
        <w:t>there is</w:t>
      </w:r>
      <w:r w:rsidR="00947F06">
        <w:rPr>
          <w:rFonts w:ascii="Times New Roman" w:hAnsi="Times New Roman"/>
          <w:sz w:val="24"/>
          <w:szCs w:val="24"/>
        </w:rPr>
        <w:t xml:space="preserve"> a need for Mint Farm and </w:t>
      </w:r>
      <w:r w:rsidR="00D33237" w:rsidRPr="00CE74E3">
        <w:rPr>
          <w:rFonts w:ascii="Times New Roman" w:hAnsi="Times New Roman"/>
          <w:sz w:val="24"/>
          <w:szCs w:val="24"/>
        </w:rPr>
        <w:t>Mint Farm is</w:t>
      </w:r>
      <w:r w:rsidR="00511DF4">
        <w:rPr>
          <w:rFonts w:ascii="Times New Roman" w:hAnsi="Times New Roman"/>
          <w:sz w:val="24"/>
          <w:szCs w:val="24"/>
        </w:rPr>
        <w:t xml:space="preserve"> </w:t>
      </w:r>
      <w:r w:rsidR="00D33237" w:rsidRPr="00CE74E3">
        <w:rPr>
          <w:rFonts w:ascii="Times New Roman" w:hAnsi="Times New Roman"/>
          <w:sz w:val="24"/>
          <w:szCs w:val="24"/>
        </w:rPr>
        <w:lastRenderedPageBreak/>
        <w:t>an appropriate resource to meet that need.</w:t>
      </w:r>
      <w:r w:rsidR="00D33237">
        <w:rPr>
          <w:rStyle w:val="FootnoteReference"/>
          <w:rFonts w:ascii="Times New Roman" w:hAnsi="Times New Roman"/>
          <w:sz w:val="24"/>
          <w:szCs w:val="24"/>
        </w:rPr>
        <w:footnoteReference w:id="52"/>
      </w:r>
      <w:r w:rsidR="00D824E0" w:rsidRPr="00CE74E3">
        <w:rPr>
          <w:rFonts w:ascii="Times New Roman" w:hAnsi="Times New Roman"/>
          <w:sz w:val="24"/>
          <w:szCs w:val="24"/>
        </w:rPr>
        <w:t xml:space="preserve">  </w:t>
      </w:r>
      <w:r w:rsidR="00947F06">
        <w:rPr>
          <w:rFonts w:ascii="Times New Roman" w:hAnsi="Times New Roman"/>
          <w:sz w:val="24"/>
          <w:szCs w:val="24"/>
        </w:rPr>
        <w:t xml:space="preserve">It is unclear where Public Counsel derives this argument since </w:t>
      </w:r>
      <w:r w:rsidR="008F2641">
        <w:rPr>
          <w:rFonts w:ascii="Times New Roman" w:hAnsi="Times New Roman"/>
          <w:sz w:val="24"/>
          <w:szCs w:val="24"/>
        </w:rPr>
        <w:t xml:space="preserve">the statute </w:t>
      </w:r>
      <w:r w:rsidR="00947F06">
        <w:rPr>
          <w:rFonts w:ascii="Times New Roman" w:hAnsi="Times New Roman"/>
          <w:sz w:val="24"/>
          <w:szCs w:val="24"/>
        </w:rPr>
        <w:t>he cites for support (</w:t>
      </w:r>
      <w:r w:rsidR="00D824E0" w:rsidRPr="00CE74E3">
        <w:rPr>
          <w:rFonts w:ascii="Times New Roman" w:hAnsi="Times New Roman"/>
          <w:sz w:val="24"/>
          <w:szCs w:val="24"/>
        </w:rPr>
        <w:t>RCW 80.80.060(5)</w:t>
      </w:r>
      <w:r w:rsidR="00947F06">
        <w:rPr>
          <w:rFonts w:ascii="Times New Roman" w:hAnsi="Times New Roman"/>
          <w:sz w:val="24"/>
          <w:szCs w:val="24"/>
        </w:rPr>
        <w:t>) does not mention need or appropriateness.  It may be that Public Counsel was relying upon the prior version of RCW 80.80.060(5), which does reference those issues.</w:t>
      </w:r>
      <w:r w:rsidR="00947F06">
        <w:rPr>
          <w:rStyle w:val="FootnoteReference"/>
          <w:rFonts w:ascii="Times New Roman" w:hAnsi="Times New Roman"/>
          <w:sz w:val="24"/>
          <w:szCs w:val="24"/>
        </w:rPr>
        <w:footnoteReference w:id="53"/>
      </w:r>
      <w:r w:rsidR="00947F06">
        <w:rPr>
          <w:rFonts w:ascii="Times New Roman" w:hAnsi="Times New Roman"/>
          <w:sz w:val="24"/>
          <w:szCs w:val="24"/>
        </w:rPr>
        <w:t xml:space="preserve">   But even that prior version addressed only </w:t>
      </w:r>
      <w:r w:rsidR="00BC3AE8" w:rsidRPr="00CE74E3">
        <w:rPr>
          <w:rFonts w:ascii="Times New Roman" w:hAnsi="Times New Roman"/>
          <w:sz w:val="24"/>
          <w:szCs w:val="24"/>
        </w:rPr>
        <w:t xml:space="preserve">company applications outside </w:t>
      </w:r>
      <w:r w:rsidR="008F2641">
        <w:rPr>
          <w:rFonts w:ascii="Times New Roman" w:hAnsi="Times New Roman"/>
          <w:sz w:val="24"/>
          <w:szCs w:val="24"/>
        </w:rPr>
        <w:t xml:space="preserve">of </w:t>
      </w:r>
      <w:r w:rsidR="00BC3AE8" w:rsidRPr="00CE74E3">
        <w:rPr>
          <w:rFonts w:ascii="Times New Roman" w:hAnsi="Times New Roman"/>
          <w:sz w:val="24"/>
          <w:szCs w:val="24"/>
        </w:rPr>
        <w:t>a general rate case for a Commiss</w:t>
      </w:r>
      <w:r w:rsidR="00C86187" w:rsidRPr="00CE74E3">
        <w:rPr>
          <w:rFonts w:ascii="Times New Roman" w:hAnsi="Times New Roman"/>
          <w:sz w:val="24"/>
          <w:szCs w:val="24"/>
        </w:rPr>
        <w:t>ion determination that a</w:t>
      </w:r>
      <w:r w:rsidR="00BC3AE8" w:rsidRPr="00CE74E3">
        <w:rPr>
          <w:rFonts w:ascii="Times New Roman" w:hAnsi="Times New Roman"/>
          <w:sz w:val="24"/>
          <w:szCs w:val="24"/>
        </w:rPr>
        <w:t xml:space="preserve"> resource meets the greenho</w:t>
      </w:r>
      <w:r w:rsidR="00511DF4">
        <w:rPr>
          <w:rFonts w:ascii="Times New Roman" w:hAnsi="Times New Roman"/>
          <w:sz w:val="24"/>
          <w:szCs w:val="24"/>
        </w:rPr>
        <w:t>use gas</w:t>
      </w:r>
      <w:r w:rsidR="00947F06">
        <w:rPr>
          <w:rFonts w:ascii="Times New Roman" w:hAnsi="Times New Roman"/>
          <w:sz w:val="24"/>
          <w:szCs w:val="24"/>
        </w:rPr>
        <w:t xml:space="preserve"> emissions </w:t>
      </w:r>
      <w:r w:rsidR="00BC3AE8" w:rsidRPr="00CE74E3">
        <w:rPr>
          <w:rFonts w:ascii="Times New Roman" w:hAnsi="Times New Roman"/>
          <w:sz w:val="24"/>
          <w:szCs w:val="24"/>
        </w:rPr>
        <w:t>standard.  In that c</w:t>
      </w:r>
      <w:r w:rsidR="00947F06">
        <w:rPr>
          <w:rFonts w:ascii="Times New Roman" w:hAnsi="Times New Roman"/>
          <w:sz w:val="24"/>
          <w:szCs w:val="24"/>
        </w:rPr>
        <w:t>ontext, the Commission was required previously to address</w:t>
      </w:r>
      <w:r w:rsidR="00BC3AE8" w:rsidRPr="00CE74E3">
        <w:rPr>
          <w:rFonts w:ascii="Times New Roman" w:hAnsi="Times New Roman"/>
          <w:sz w:val="24"/>
          <w:szCs w:val="24"/>
        </w:rPr>
        <w:t xml:space="preserve"> need and appropriateness </w:t>
      </w:r>
      <w:r w:rsidR="00C86187" w:rsidRPr="00CE74E3">
        <w:rPr>
          <w:rFonts w:ascii="Times New Roman" w:hAnsi="Times New Roman"/>
          <w:sz w:val="24"/>
          <w:szCs w:val="24"/>
        </w:rPr>
        <w:t xml:space="preserve">of the resource </w:t>
      </w:r>
      <w:r w:rsidR="00BC3AE8" w:rsidRPr="00CE74E3">
        <w:rPr>
          <w:rFonts w:ascii="Times New Roman" w:hAnsi="Times New Roman"/>
          <w:sz w:val="24"/>
          <w:szCs w:val="24"/>
        </w:rPr>
        <w:t>to meet that need.</w:t>
      </w:r>
      <w:r w:rsidR="00947F06">
        <w:rPr>
          <w:rFonts w:ascii="Times New Roman" w:hAnsi="Times New Roman"/>
          <w:sz w:val="24"/>
          <w:szCs w:val="24"/>
        </w:rPr>
        <w:t xml:space="preserve">  That is not the context of this proceeding, however.</w:t>
      </w:r>
    </w:p>
    <w:p w:rsidR="00F378D3" w:rsidRDefault="00CE74E3" w:rsidP="00CE74E3">
      <w:pPr>
        <w:pStyle w:val="ListParagraph"/>
        <w:numPr>
          <w:ilvl w:val="0"/>
          <w:numId w:val="10"/>
        </w:numPr>
        <w:spacing w:line="480" w:lineRule="auto"/>
        <w:rPr>
          <w:rFonts w:ascii="Times New Roman" w:hAnsi="Times New Roman"/>
          <w:sz w:val="24"/>
          <w:szCs w:val="24"/>
        </w:rPr>
      </w:pPr>
      <w:r w:rsidRPr="00F378D3">
        <w:rPr>
          <w:rFonts w:ascii="Times New Roman" w:hAnsi="Times New Roman"/>
          <w:sz w:val="24"/>
          <w:szCs w:val="24"/>
        </w:rPr>
        <w:tab/>
      </w:r>
      <w:r w:rsidR="00947F06">
        <w:rPr>
          <w:rFonts w:ascii="Times New Roman" w:hAnsi="Times New Roman"/>
          <w:sz w:val="24"/>
          <w:szCs w:val="24"/>
        </w:rPr>
        <w:t>In any event, t</w:t>
      </w:r>
      <w:r w:rsidR="00BC3AE8" w:rsidRPr="00F378D3">
        <w:rPr>
          <w:rFonts w:ascii="Times New Roman" w:hAnsi="Times New Roman"/>
          <w:sz w:val="24"/>
          <w:szCs w:val="24"/>
        </w:rPr>
        <w:t>he provision for deferred accounti</w:t>
      </w:r>
      <w:r w:rsidR="00D824E0" w:rsidRPr="00F378D3">
        <w:rPr>
          <w:rFonts w:ascii="Times New Roman" w:hAnsi="Times New Roman"/>
          <w:sz w:val="24"/>
          <w:szCs w:val="24"/>
        </w:rPr>
        <w:t xml:space="preserve">ng </w:t>
      </w:r>
      <w:r w:rsidR="00EF65B0" w:rsidRPr="00F378D3">
        <w:rPr>
          <w:rFonts w:ascii="Times New Roman" w:hAnsi="Times New Roman"/>
          <w:sz w:val="24"/>
          <w:szCs w:val="24"/>
        </w:rPr>
        <w:t xml:space="preserve">is </w:t>
      </w:r>
      <w:r w:rsidR="00BC3AE8" w:rsidRPr="00F378D3">
        <w:rPr>
          <w:rFonts w:ascii="Times New Roman" w:hAnsi="Times New Roman"/>
          <w:sz w:val="24"/>
          <w:szCs w:val="24"/>
        </w:rPr>
        <w:t xml:space="preserve">RCW 80.80.060(6).  </w:t>
      </w:r>
      <w:r w:rsidR="00F378D3">
        <w:rPr>
          <w:rFonts w:ascii="Times New Roman" w:hAnsi="Times New Roman"/>
          <w:sz w:val="24"/>
          <w:szCs w:val="24"/>
        </w:rPr>
        <w:t>Demonstrations of n</w:t>
      </w:r>
      <w:r w:rsidR="00BC3AE8" w:rsidRPr="00F378D3">
        <w:rPr>
          <w:rFonts w:ascii="Times New Roman" w:hAnsi="Times New Roman"/>
          <w:sz w:val="24"/>
          <w:szCs w:val="24"/>
        </w:rPr>
        <w:t>eed and ap</w:t>
      </w:r>
      <w:r w:rsidR="00F378D3">
        <w:rPr>
          <w:rFonts w:ascii="Times New Roman" w:hAnsi="Times New Roman"/>
          <w:sz w:val="24"/>
          <w:szCs w:val="24"/>
        </w:rPr>
        <w:t xml:space="preserve">propriateness </w:t>
      </w:r>
      <w:r w:rsidR="008F2641">
        <w:rPr>
          <w:rFonts w:ascii="Times New Roman" w:hAnsi="Times New Roman"/>
          <w:sz w:val="24"/>
          <w:szCs w:val="24"/>
        </w:rPr>
        <w:t xml:space="preserve">of the resource to meet that need </w:t>
      </w:r>
      <w:r w:rsidR="00F378D3">
        <w:rPr>
          <w:rFonts w:ascii="Times New Roman" w:hAnsi="Times New Roman"/>
          <w:sz w:val="24"/>
          <w:szCs w:val="24"/>
        </w:rPr>
        <w:t xml:space="preserve">are not required </w:t>
      </w:r>
      <w:r w:rsidR="00EF65B0" w:rsidRPr="00F378D3">
        <w:rPr>
          <w:rFonts w:ascii="Times New Roman" w:hAnsi="Times New Roman"/>
          <w:sz w:val="24"/>
          <w:szCs w:val="24"/>
        </w:rPr>
        <w:t>in that context.  The only requirement is that</w:t>
      </w:r>
      <w:r w:rsidR="00F378D3">
        <w:rPr>
          <w:rFonts w:ascii="Times New Roman" w:hAnsi="Times New Roman"/>
          <w:sz w:val="24"/>
          <w:szCs w:val="24"/>
        </w:rPr>
        <w:t xml:space="preserve"> the </w:t>
      </w:r>
      <w:r w:rsidR="00C86187" w:rsidRPr="00F378D3">
        <w:rPr>
          <w:rFonts w:ascii="Times New Roman" w:hAnsi="Times New Roman"/>
          <w:sz w:val="24"/>
          <w:szCs w:val="24"/>
        </w:rPr>
        <w:t xml:space="preserve">resource </w:t>
      </w:r>
      <w:r w:rsidR="00EF65B0" w:rsidRPr="00F378D3">
        <w:rPr>
          <w:rFonts w:ascii="Times New Roman" w:hAnsi="Times New Roman"/>
          <w:sz w:val="24"/>
          <w:szCs w:val="24"/>
        </w:rPr>
        <w:t xml:space="preserve">be </w:t>
      </w:r>
      <w:r w:rsidR="00BC3AE8" w:rsidRPr="00F378D3">
        <w:rPr>
          <w:rFonts w:ascii="Times New Roman" w:hAnsi="Times New Roman"/>
          <w:sz w:val="24"/>
          <w:szCs w:val="24"/>
        </w:rPr>
        <w:t xml:space="preserve">a “long-term financial </w:t>
      </w:r>
      <w:r w:rsidR="00C86187" w:rsidRPr="00F378D3">
        <w:rPr>
          <w:rFonts w:ascii="Times New Roman" w:hAnsi="Times New Roman"/>
          <w:sz w:val="24"/>
          <w:szCs w:val="24"/>
        </w:rPr>
        <w:t>commitment”</w:t>
      </w:r>
      <w:r w:rsidR="00EF65B0" w:rsidRPr="00F378D3">
        <w:rPr>
          <w:rFonts w:ascii="Times New Roman" w:hAnsi="Times New Roman"/>
          <w:sz w:val="24"/>
          <w:szCs w:val="24"/>
        </w:rPr>
        <w:t>.</w:t>
      </w:r>
      <w:r w:rsidR="00F378D3">
        <w:rPr>
          <w:rFonts w:ascii="Times New Roman" w:hAnsi="Times New Roman"/>
          <w:sz w:val="24"/>
          <w:szCs w:val="24"/>
        </w:rPr>
        <w:t xml:space="preserve"> </w:t>
      </w:r>
      <w:r w:rsidRPr="00F378D3">
        <w:rPr>
          <w:rFonts w:ascii="Times New Roman" w:hAnsi="Times New Roman"/>
          <w:sz w:val="24"/>
          <w:szCs w:val="24"/>
        </w:rPr>
        <w:tab/>
      </w:r>
    </w:p>
    <w:p w:rsidR="00A7501D" w:rsidRPr="00F378D3" w:rsidRDefault="00F378D3" w:rsidP="00F378D3">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8A306C" w:rsidRPr="00F378D3">
        <w:rPr>
          <w:rFonts w:ascii="Times New Roman" w:hAnsi="Times New Roman"/>
          <w:sz w:val="24"/>
          <w:szCs w:val="24"/>
        </w:rPr>
        <w:t>That brings us to Public Counsel’</w:t>
      </w:r>
      <w:r w:rsidR="00D824E0" w:rsidRPr="00F378D3">
        <w:rPr>
          <w:rFonts w:ascii="Times New Roman" w:hAnsi="Times New Roman"/>
          <w:sz w:val="24"/>
          <w:szCs w:val="24"/>
        </w:rPr>
        <w:t xml:space="preserve">s second error.  </w:t>
      </w:r>
      <w:r w:rsidRPr="00F378D3">
        <w:rPr>
          <w:rFonts w:ascii="Times New Roman" w:hAnsi="Times New Roman"/>
          <w:sz w:val="24"/>
          <w:szCs w:val="24"/>
        </w:rPr>
        <w:t xml:space="preserve">A long-term financial </w:t>
      </w:r>
      <w:r w:rsidR="000A6A5B">
        <w:rPr>
          <w:rFonts w:ascii="Times New Roman" w:hAnsi="Times New Roman"/>
          <w:sz w:val="24"/>
          <w:szCs w:val="24"/>
        </w:rPr>
        <w:t>commitment means</w:t>
      </w:r>
      <w:r w:rsidRPr="00F378D3">
        <w:rPr>
          <w:rFonts w:ascii="Times New Roman" w:hAnsi="Times New Roman"/>
          <w:sz w:val="24"/>
          <w:szCs w:val="24"/>
        </w:rPr>
        <w:t xml:space="preserve"> “baseload electric generation.”</w:t>
      </w:r>
      <w:r>
        <w:rPr>
          <w:rStyle w:val="FootnoteReference"/>
          <w:rFonts w:ascii="Times New Roman" w:hAnsi="Times New Roman"/>
          <w:sz w:val="24"/>
          <w:szCs w:val="24"/>
        </w:rPr>
        <w:footnoteReference w:id="54"/>
      </w:r>
      <w:r w:rsidRPr="00F378D3">
        <w:rPr>
          <w:rFonts w:ascii="Times New Roman" w:hAnsi="Times New Roman"/>
          <w:sz w:val="24"/>
          <w:szCs w:val="24"/>
        </w:rPr>
        <w:t xml:space="preserve"> </w:t>
      </w:r>
      <w:r w:rsidR="00A7501D" w:rsidRPr="00F378D3">
        <w:rPr>
          <w:rFonts w:ascii="Times New Roman" w:hAnsi="Times New Roman"/>
          <w:sz w:val="24"/>
          <w:szCs w:val="24"/>
        </w:rPr>
        <w:t>“Baseload electric generation” means energy from a facility that is “designed and intended” to provide electricity at an annualized capacity factor of 60 percent or more.</w:t>
      </w:r>
      <w:r w:rsidR="00A7501D" w:rsidRPr="00F378D3">
        <w:rPr>
          <w:rStyle w:val="FootnoteReference"/>
          <w:rFonts w:ascii="Times New Roman" w:hAnsi="Times New Roman"/>
          <w:sz w:val="24"/>
          <w:szCs w:val="24"/>
        </w:rPr>
        <w:footnoteReference w:id="55"/>
      </w:r>
      <w:r w:rsidR="00A7501D" w:rsidRPr="00F378D3">
        <w:rPr>
          <w:rFonts w:ascii="Times New Roman" w:hAnsi="Times New Roman"/>
          <w:sz w:val="24"/>
          <w:szCs w:val="24"/>
        </w:rPr>
        <w:t xml:space="preserve">  </w:t>
      </w:r>
      <w:r w:rsidR="00D824E0" w:rsidRPr="00F378D3">
        <w:rPr>
          <w:rFonts w:ascii="Times New Roman" w:hAnsi="Times New Roman"/>
          <w:sz w:val="24"/>
          <w:szCs w:val="24"/>
        </w:rPr>
        <w:t>Public Counsel devotes considerable effort arguing that Mi</w:t>
      </w:r>
      <w:r w:rsidR="00C86187" w:rsidRPr="00F378D3">
        <w:rPr>
          <w:rFonts w:ascii="Times New Roman" w:hAnsi="Times New Roman"/>
          <w:sz w:val="24"/>
          <w:szCs w:val="24"/>
        </w:rPr>
        <w:t xml:space="preserve">nt Farm does not meet that standard </w:t>
      </w:r>
      <w:r w:rsidR="00D824E0" w:rsidRPr="00F378D3">
        <w:rPr>
          <w:rFonts w:ascii="Times New Roman" w:hAnsi="Times New Roman"/>
          <w:sz w:val="24"/>
          <w:szCs w:val="24"/>
        </w:rPr>
        <w:t xml:space="preserve">because </w:t>
      </w:r>
      <w:r w:rsidR="00C32A45">
        <w:rPr>
          <w:rFonts w:ascii="Times New Roman" w:hAnsi="Times New Roman"/>
          <w:sz w:val="24"/>
          <w:szCs w:val="24"/>
        </w:rPr>
        <w:t xml:space="preserve">its </w:t>
      </w:r>
      <w:r w:rsidR="00D824E0" w:rsidRPr="00F378D3">
        <w:rPr>
          <w:rFonts w:ascii="Times New Roman" w:hAnsi="Times New Roman"/>
          <w:sz w:val="24"/>
          <w:szCs w:val="24"/>
        </w:rPr>
        <w:t>projecte</w:t>
      </w:r>
      <w:r w:rsidR="00C32A45">
        <w:rPr>
          <w:rFonts w:ascii="Times New Roman" w:hAnsi="Times New Roman"/>
          <w:sz w:val="24"/>
          <w:szCs w:val="24"/>
        </w:rPr>
        <w:t xml:space="preserve">d annual capacity factor </w:t>
      </w:r>
      <w:r>
        <w:rPr>
          <w:rFonts w:ascii="Times New Roman" w:hAnsi="Times New Roman"/>
          <w:sz w:val="24"/>
          <w:szCs w:val="24"/>
        </w:rPr>
        <w:t>fell below 60 percent</w:t>
      </w:r>
      <w:r w:rsidR="00D824E0" w:rsidRPr="00F378D3">
        <w:rPr>
          <w:rFonts w:ascii="Times New Roman" w:hAnsi="Times New Roman"/>
          <w:sz w:val="24"/>
          <w:szCs w:val="24"/>
        </w:rPr>
        <w:t>.</w:t>
      </w:r>
      <w:r w:rsidR="00D824E0" w:rsidRPr="00F378D3">
        <w:rPr>
          <w:rStyle w:val="FootnoteReference"/>
          <w:rFonts w:ascii="Times New Roman" w:hAnsi="Times New Roman"/>
          <w:sz w:val="24"/>
          <w:szCs w:val="24"/>
        </w:rPr>
        <w:footnoteReference w:id="56"/>
      </w:r>
      <w:r w:rsidR="00D824E0" w:rsidRPr="00F378D3">
        <w:rPr>
          <w:rFonts w:ascii="Times New Roman" w:hAnsi="Times New Roman"/>
          <w:sz w:val="24"/>
          <w:szCs w:val="24"/>
        </w:rPr>
        <w:t xml:space="preserve">  </w:t>
      </w:r>
    </w:p>
    <w:p w:rsidR="00761974" w:rsidRDefault="00CE74E3" w:rsidP="00CE74E3">
      <w:pPr>
        <w:pStyle w:val="ListParagraph"/>
        <w:numPr>
          <w:ilvl w:val="0"/>
          <w:numId w:val="10"/>
        </w:numPr>
        <w:spacing w:line="480" w:lineRule="auto"/>
        <w:rPr>
          <w:rFonts w:ascii="Times New Roman" w:hAnsi="Times New Roman"/>
          <w:sz w:val="24"/>
          <w:szCs w:val="24"/>
        </w:rPr>
      </w:pPr>
      <w:r w:rsidRPr="00F378D3">
        <w:rPr>
          <w:rFonts w:ascii="Times New Roman" w:hAnsi="Times New Roman"/>
          <w:sz w:val="24"/>
          <w:szCs w:val="24"/>
        </w:rPr>
        <w:tab/>
      </w:r>
      <w:r w:rsidR="00D824E0" w:rsidRPr="00CE74E3">
        <w:rPr>
          <w:rFonts w:ascii="Times New Roman" w:hAnsi="Times New Roman"/>
          <w:sz w:val="24"/>
          <w:szCs w:val="24"/>
        </w:rPr>
        <w:t xml:space="preserve">However, in determining whether a facility </w:t>
      </w:r>
      <w:r w:rsidR="00F47F2E" w:rsidRPr="00CE74E3">
        <w:rPr>
          <w:rFonts w:ascii="Times New Roman" w:hAnsi="Times New Roman"/>
          <w:sz w:val="24"/>
          <w:szCs w:val="24"/>
        </w:rPr>
        <w:t>i</w:t>
      </w:r>
      <w:r w:rsidR="000A6A5B">
        <w:rPr>
          <w:rFonts w:ascii="Times New Roman" w:hAnsi="Times New Roman"/>
          <w:sz w:val="24"/>
          <w:szCs w:val="24"/>
        </w:rPr>
        <w:t xml:space="preserve">s </w:t>
      </w:r>
      <w:r w:rsidR="00F52534">
        <w:rPr>
          <w:rFonts w:ascii="Times New Roman" w:hAnsi="Times New Roman"/>
          <w:sz w:val="24"/>
          <w:szCs w:val="24"/>
        </w:rPr>
        <w:t>“</w:t>
      </w:r>
      <w:r w:rsidR="000A6A5B">
        <w:rPr>
          <w:rFonts w:ascii="Times New Roman" w:hAnsi="Times New Roman"/>
          <w:sz w:val="24"/>
          <w:szCs w:val="24"/>
        </w:rPr>
        <w:t>designed and intended</w:t>
      </w:r>
      <w:r w:rsidR="00F52534">
        <w:rPr>
          <w:rFonts w:ascii="Times New Roman" w:hAnsi="Times New Roman"/>
          <w:sz w:val="24"/>
          <w:szCs w:val="24"/>
        </w:rPr>
        <w:t>”</w:t>
      </w:r>
      <w:r w:rsidR="000A6A5B">
        <w:rPr>
          <w:rFonts w:ascii="Times New Roman" w:hAnsi="Times New Roman"/>
          <w:sz w:val="24"/>
          <w:szCs w:val="24"/>
        </w:rPr>
        <w:t xml:space="preserve"> to operate </w:t>
      </w:r>
      <w:r w:rsidR="00F47F2E" w:rsidRPr="00CE74E3">
        <w:rPr>
          <w:rFonts w:ascii="Times New Roman" w:hAnsi="Times New Roman"/>
          <w:sz w:val="24"/>
          <w:szCs w:val="24"/>
        </w:rPr>
        <w:t xml:space="preserve">at least </w:t>
      </w:r>
      <w:r w:rsidR="00D72FC5">
        <w:rPr>
          <w:rFonts w:ascii="Times New Roman" w:hAnsi="Times New Roman"/>
          <w:sz w:val="24"/>
          <w:szCs w:val="24"/>
        </w:rPr>
        <w:t xml:space="preserve">at </w:t>
      </w:r>
      <w:r w:rsidR="00F47F2E" w:rsidRPr="00CE74E3">
        <w:rPr>
          <w:rFonts w:ascii="Times New Roman" w:hAnsi="Times New Roman"/>
          <w:sz w:val="24"/>
          <w:szCs w:val="24"/>
        </w:rPr>
        <w:t>a 60 percent capacity factor</w:t>
      </w:r>
      <w:r w:rsidR="00D824E0" w:rsidRPr="00CE74E3">
        <w:rPr>
          <w:rFonts w:ascii="Times New Roman" w:hAnsi="Times New Roman"/>
          <w:sz w:val="24"/>
          <w:szCs w:val="24"/>
        </w:rPr>
        <w:t xml:space="preserve">, the Commission </w:t>
      </w:r>
      <w:r w:rsidR="00761974">
        <w:rPr>
          <w:rFonts w:ascii="Times New Roman" w:hAnsi="Times New Roman"/>
          <w:sz w:val="24"/>
          <w:szCs w:val="24"/>
        </w:rPr>
        <w:t>is required to consider:</w:t>
      </w:r>
    </w:p>
    <w:p w:rsidR="00761974" w:rsidRPr="00761974" w:rsidRDefault="00761974" w:rsidP="00761974">
      <w:pPr>
        <w:pStyle w:val="ListParagraph"/>
        <w:tabs>
          <w:tab w:val="left" w:pos="-1440"/>
        </w:tabs>
        <w:spacing w:line="480" w:lineRule="auto"/>
        <w:rPr>
          <w:rFonts w:ascii="Times New Roman" w:hAnsi="Times New Roman"/>
          <w:sz w:val="24"/>
          <w:szCs w:val="24"/>
        </w:rPr>
      </w:pPr>
      <w:r w:rsidRPr="00761974">
        <w:rPr>
          <w:rFonts w:ascii="Times New Roman" w:hAnsi="Times New Roman"/>
          <w:sz w:val="24"/>
          <w:szCs w:val="24"/>
        </w:rPr>
        <w:t>1.</w:t>
      </w:r>
      <w:r w:rsidRPr="00761974">
        <w:rPr>
          <w:rFonts w:ascii="Times New Roman" w:hAnsi="Times New Roman"/>
          <w:sz w:val="24"/>
          <w:szCs w:val="24"/>
        </w:rPr>
        <w:tab/>
        <w:t xml:space="preserve">the design of the power plant; and </w:t>
      </w:r>
    </w:p>
    <w:p w:rsidR="00761974" w:rsidRPr="00761974" w:rsidRDefault="00761974" w:rsidP="00761974">
      <w:pPr>
        <w:pStyle w:val="ListParagraph"/>
        <w:tabs>
          <w:tab w:val="left" w:pos="-1440"/>
        </w:tabs>
        <w:spacing w:line="480" w:lineRule="auto"/>
        <w:ind w:left="0"/>
        <w:rPr>
          <w:rFonts w:ascii="Times New Roman" w:hAnsi="Times New Roman"/>
          <w:sz w:val="24"/>
          <w:szCs w:val="24"/>
        </w:rPr>
      </w:pPr>
      <w:r>
        <w:rPr>
          <w:rFonts w:ascii="Times New Roman" w:hAnsi="Times New Roman"/>
          <w:sz w:val="24"/>
          <w:szCs w:val="24"/>
        </w:rPr>
        <w:lastRenderedPageBreak/>
        <w:tab/>
      </w:r>
      <w:r w:rsidRPr="00761974">
        <w:rPr>
          <w:rFonts w:ascii="Times New Roman" w:hAnsi="Times New Roman"/>
          <w:sz w:val="24"/>
          <w:szCs w:val="24"/>
        </w:rPr>
        <w:t>2.</w:t>
      </w:r>
      <w:r w:rsidRPr="00761974">
        <w:rPr>
          <w:rFonts w:ascii="Times New Roman" w:hAnsi="Times New Roman"/>
          <w:sz w:val="24"/>
          <w:szCs w:val="24"/>
        </w:rPr>
        <w:tab/>
        <w:t xml:space="preserve">its intended use, </w:t>
      </w:r>
      <w:r w:rsidRPr="00F52534">
        <w:rPr>
          <w:rFonts w:ascii="Times New Roman" w:hAnsi="Times New Roman"/>
          <w:i/>
          <w:sz w:val="24"/>
          <w:szCs w:val="24"/>
        </w:rPr>
        <w:t>based upon</w:t>
      </w:r>
      <w:r w:rsidRPr="00761974">
        <w:rPr>
          <w:rFonts w:ascii="Times New Roman" w:hAnsi="Times New Roman"/>
          <w:sz w:val="24"/>
          <w:szCs w:val="24"/>
        </w:rPr>
        <w:t xml:space="preserve"> …</w:t>
      </w:r>
    </w:p>
    <w:p w:rsidR="00761974" w:rsidRPr="00761974" w:rsidRDefault="00761974" w:rsidP="00761974">
      <w:pPr>
        <w:pStyle w:val="ListParagraph"/>
        <w:tabs>
          <w:tab w:val="left" w:pos="-1440"/>
        </w:tabs>
        <w:spacing w:line="48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61974">
        <w:rPr>
          <w:rFonts w:ascii="Times New Roman" w:hAnsi="Times New Roman"/>
          <w:sz w:val="24"/>
          <w:szCs w:val="24"/>
        </w:rPr>
        <w:t>i.</w:t>
      </w:r>
      <w:r w:rsidRPr="00761974">
        <w:rPr>
          <w:rFonts w:ascii="Times New Roman" w:hAnsi="Times New Roman"/>
          <w:sz w:val="24"/>
          <w:szCs w:val="24"/>
        </w:rPr>
        <w:tab/>
      </w:r>
      <w:r w:rsidRPr="00340992">
        <w:rPr>
          <w:rFonts w:ascii="Times New Roman" w:hAnsi="Times New Roman"/>
          <w:sz w:val="24"/>
          <w:szCs w:val="24"/>
        </w:rPr>
        <w:t xml:space="preserve">permits </w:t>
      </w:r>
      <w:r w:rsidRPr="00761974">
        <w:rPr>
          <w:rFonts w:ascii="Times New Roman" w:hAnsi="Times New Roman"/>
          <w:sz w:val="24"/>
          <w:szCs w:val="24"/>
        </w:rPr>
        <w:t xml:space="preserve">necessary for the operation of the power plant and </w:t>
      </w:r>
    </w:p>
    <w:p w:rsidR="00761974" w:rsidRDefault="00761974" w:rsidP="00F52534">
      <w:pPr>
        <w:tabs>
          <w:tab w:val="left" w:pos="-1440"/>
          <w:tab w:val="left" w:pos="2880"/>
        </w:tabs>
        <w:spacing w:line="480" w:lineRule="auto"/>
        <w:ind w:left="2160" w:hanging="720"/>
        <w:rPr>
          <w:rFonts w:ascii="Times New Roman" w:hAnsi="Times New Roman"/>
          <w:sz w:val="24"/>
          <w:szCs w:val="24"/>
        </w:rPr>
      </w:pPr>
      <w:r w:rsidRPr="00761974">
        <w:rPr>
          <w:rFonts w:ascii="Times New Roman" w:hAnsi="Times New Roman"/>
          <w:sz w:val="24"/>
          <w:szCs w:val="24"/>
        </w:rPr>
        <w:t>ii</w:t>
      </w:r>
      <w:r>
        <w:rPr>
          <w:rFonts w:ascii="Times New Roman" w:hAnsi="Times New Roman"/>
          <w:sz w:val="24"/>
          <w:szCs w:val="24"/>
        </w:rPr>
        <w:t>.</w:t>
      </w:r>
      <w:r>
        <w:rPr>
          <w:rFonts w:ascii="Times New Roman" w:hAnsi="Times New Roman"/>
          <w:sz w:val="24"/>
          <w:szCs w:val="24"/>
        </w:rPr>
        <w:tab/>
      </w:r>
      <w:r w:rsidRPr="00761974">
        <w:rPr>
          <w:rFonts w:ascii="Times New Roman" w:hAnsi="Times New Roman"/>
          <w:sz w:val="24"/>
          <w:szCs w:val="24"/>
        </w:rPr>
        <w:t>any other matter the commission determines is relevant under the circumstances.</w:t>
      </w:r>
      <w:r>
        <w:rPr>
          <w:rStyle w:val="FootnoteReference"/>
          <w:rFonts w:ascii="Times New Roman" w:hAnsi="Times New Roman"/>
          <w:sz w:val="24"/>
          <w:szCs w:val="24"/>
        </w:rPr>
        <w:footnoteReference w:id="57"/>
      </w:r>
      <w:r w:rsidRPr="00761974">
        <w:rPr>
          <w:rFonts w:ascii="Times New Roman" w:hAnsi="Times New Roman"/>
          <w:sz w:val="24"/>
          <w:szCs w:val="24"/>
        </w:rPr>
        <w:t xml:space="preserve"> </w:t>
      </w:r>
      <w:r w:rsidR="00F52534">
        <w:rPr>
          <w:rFonts w:ascii="Times New Roman" w:hAnsi="Times New Roman"/>
          <w:sz w:val="24"/>
          <w:szCs w:val="24"/>
        </w:rPr>
        <w:t>(Emphasis added.)</w:t>
      </w:r>
      <w:r w:rsidRPr="00761974">
        <w:rPr>
          <w:rFonts w:ascii="Times New Roman" w:hAnsi="Times New Roman"/>
          <w:sz w:val="24"/>
          <w:szCs w:val="24"/>
        </w:rPr>
        <w:t xml:space="preserve"> </w:t>
      </w:r>
    </w:p>
    <w:p w:rsidR="008A306C" w:rsidRPr="00CE74E3" w:rsidRDefault="00F52534" w:rsidP="00761974">
      <w:pPr>
        <w:pStyle w:val="ListParagraph"/>
        <w:spacing w:line="480" w:lineRule="auto"/>
        <w:ind w:left="0"/>
        <w:rPr>
          <w:rFonts w:ascii="Times New Roman" w:hAnsi="Times New Roman"/>
          <w:sz w:val="24"/>
          <w:szCs w:val="24"/>
        </w:rPr>
      </w:pPr>
      <w:r>
        <w:rPr>
          <w:rFonts w:ascii="Times New Roman" w:hAnsi="Times New Roman"/>
          <w:sz w:val="24"/>
          <w:szCs w:val="24"/>
        </w:rPr>
        <w:t xml:space="preserve">The Commission has </w:t>
      </w:r>
      <w:r w:rsidR="00D824E0" w:rsidRPr="00CE74E3">
        <w:rPr>
          <w:rFonts w:ascii="Times New Roman" w:hAnsi="Times New Roman"/>
          <w:sz w:val="24"/>
          <w:szCs w:val="24"/>
        </w:rPr>
        <w:t>hel</w:t>
      </w:r>
      <w:r w:rsidR="003247B5">
        <w:rPr>
          <w:rFonts w:ascii="Times New Roman" w:hAnsi="Times New Roman"/>
          <w:sz w:val="24"/>
          <w:szCs w:val="24"/>
        </w:rPr>
        <w:t xml:space="preserve">d that the primary focus </w:t>
      </w:r>
      <w:r>
        <w:rPr>
          <w:rFonts w:ascii="Times New Roman" w:hAnsi="Times New Roman"/>
          <w:sz w:val="24"/>
          <w:szCs w:val="24"/>
        </w:rPr>
        <w:t xml:space="preserve">under this standard </w:t>
      </w:r>
      <w:r w:rsidR="003247B5">
        <w:rPr>
          <w:rFonts w:ascii="Times New Roman" w:hAnsi="Times New Roman"/>
          <w:sz w:val="24"/>
          <w:szCs w:val="24"/>
        </w:rPr>
        <w:t xml:space="preserve">is </w:t>
      </w:r>
      <w:r w:rsidR="00D824E0" w:rsidRPr="00CE74E3">
        <w:rPr>
          <w:rFonts w:ascii="Times New Roman" w:hAnsi="Times New Roman"/>
          <w:sz w:val="24"/>
          <w:szCs w:val="24"/>
        </w:rPr>
        <w:t>plant design.</w:t>
      </w:r>
      <w:r w:rsidR="00D824E0">
        <w:rPr>
          <w:rStyle w:val="FootnoteReference"/>
          <w:rFonts w:ascii="Times New Roman" w:hAnsi="Times New Roman"/>
          <w:sz w:val="24"/>
          <w:szCs w:val="24"/>
        </w:rPr>
        <w:footnoteReference w:id="58"/>
      </w:r>
      <w:r w:rsidR="00D824E0" w:rsidRPr="00CE74E3">
        <w:rPr>
          <w:rFonts w:ascii="Times New Roman" w:hAnsi="Times New Roman"/>
          <w:sz w:val="24"/>
          <w:szCs w:val="24"/>
        </w:rPr>
        <w:t xml:space="preserve">  </w:t>
      </w:r>
      <w:r w:rsidR="00A7501D" w:rsidRPr="00CE74E3">
        <w:rPr>
          <w:rFonts w:ascii="Times New Roman" w:hAnsi="Times New Roman"/>
          <w:sz w:val="24"/>
          <w:szCs w:val="24"/>
        </w:rPr>
        <w:t xml:space="preserve">No party disputes that Mint Farm is designed to operate </w:t>
      </w:r>
      <w:r w:rsidR="003247B5">
        <w:rPr>
          <w:rFonts w:ascii="Times New Roman" w:hAnsi="Times New Roman"/>
          <w:sz w:val="24"/>
          <w:szCs w:val="24"/>
        </w:rPr>
        <w:t>well over a 60</w:t>
      </w:r>
      <w:r w:rsidR="00A7501D" w:rsidRPr="00CE74E3">
        <w:rPr>
          <w:rFonts w:ascii="Times New Roman" w:hAnsi="Times New Roman"/>
          <w:sz w:val="24"/>
          <w:szCs w:val="24"/>
        </w:rPr>
        <w:t xml:space="preserve"> percent annual capacity factor</w:t>
      </w:r>
      <w:r w:rsidR="003A59A0" w:rsidRPr="00CE74E3">
        <w:rPr>
          <w:rFonts w:ascii="Times New Roman" w:hAnsi="Times New Roman"/>
          <w:sz w:val="24"/>
          <w:szCs w:val="24"/>
        </w:rPr>
        <w:t xml:space="preserve"> and that </w:t>
      </w:r>
      <w:r w:rsidR="00C213E2">
        <w:rPr>
          <w:rFonts w:ascii="Times New Roman" w:hAnsi="Times New Roman"/>
          <w:sz w:val="24"/>
          <w:szCs w:val="24"/>
        </w:rPr>
        <w:t xml:space="preserve">PSE made </w:t>
      </w:r>
      <w:r w:rsidR="00C32A45">
        <w:rPr>
          <w:rFonts w:ascii="Times New Roman" w:hAnsi="Times New Roman"/>
          <w:sz w:val="24"/>
          <w:szCs w:val="24"/>
        </w:rPr>
        <w:t xml:space="preserve">no alterations to the plant </w:t>
      </w:r>
      <w:r w:rsidR="00C213E2">
        <w:rPr>
          <w:rFonts w:ascii="Times New Roman" w:hAnsi="Times New Roman"/>
          <w:sz w:val="24"/>
          <w:szCs w:val="24"/>
        </w:rPr>
        <w:t xml:space="preserve">that </w:t>
      </w:r>
      <w:r w:rsidR="003A59A0" w:rsidRPr="00CE74E3">
        <w:rPr>
          <w:rFonts w:ascii="Times New Roman" w:hAnsi="Times New Roman"/>
          <w:sz w:val="24"/>
          <w:szCs w:val="24"/>
        </w:rPr>
        <w:t>w</w:t>
      </w:r>
      <w:r w:rsidR="003247B5">
        <w:rPr>
          <w:rFonts w:ascii="Times New Roman" w:hAnsi="Times New Roman"/>
          <w:sz w:val="24"/>
          <w:szCs w:val="24"/>
        </w:rPr>
        <w:t>ould reduce that capability</w:t>
      </w:r>
      <w:r w:rsidR="00A7501D" w:rsidRPr="00CE74E3">
        <w:rPr>
          <w:rFonts w:ascii="Times New Roman" w:hAnsi="Times New Roman"/>
          <w:sz w:val="24"/>
          <w:szCs w:val="24"/>
        </w:rPr>
        <w:t>.</w:t>
      </w:r>
    </w:p>
    <w:p w:rsidR="00C32A45" w:rsidRPr="00C32A45" w:rsidRDefault="00CE74E3" w:rsidP="00C32A45">
      <w:pPr>
        <w:pStyle w:val="ListParagraph"/>
        <w:numPr>
          <w:ilvl w:val="0"/>
          <w:numId w:val="10"/>
        </w:numPr>
        <w:spacing w:line="480" w:lineRule="auto"/>
        <w:rPr>
          <w:rFonts w:ascii="Times New Roman" w:hAnsi="Times New Roman"/>
          <w:sz w:val="24"/>
          <w:szCs w:val="24"/>
        </w:rPr>
      </w:pPr>
      <w:r w:rsidRPr="00D72FC5">
        <w:rPr>
          <w:rFonts w:ascii="Times New Roman" w:hAnsi="Times New Roman"/>
          <w:sz w:val="24"/>
          <w:szCs w:val="24"/>
        </w:rPr>
        <w:tab/>
      </w:r>
      <w:r w:rsidR="00C32A45">
        <w:rPr>
          <w:rFonts w:ascii="Times New Roman" w:hAnsi="Times New Roman"/>
          <w:sz w:val="24"/>
          <w:szCs w:val="24"/>
        </w:rPr>
        <w:t xml:space="preserve">It is true that PSE </w:t>
      </w:r>
      <w:r w:rsidR="00D72FC5" w:rsidRPr="00D72FC5">
        <w:rPr>
          <w:rFonts w:ascii="Times New Roman" w:hAnsi="Times New Roman"/>
          <w:sz w:val="24"/>
          <w:szCs w:val="24"/>
        </w:rPr>
        <w:t>project</w:t>
      </w:r>
      <w:r w:rsidR="008F2641">
        <w:rPr>
          <w:rFonts w:ascii="Times New Roman" w:hAnsi="Times New Roman"/>
          <w:sz w:val="24"/>
          <w:szCs w:val="24"/>
        </w:rPr>
        <w:t>ed</w:t>
      </w:r>
      <w:r w:rsidR="00D72FC5" w:rsidRPr="00D72FC5">
        <w:rPr>
          <w:rFonts w:ascii="Times New Roman" w:hAnsi="Times New Roman"/>
          <w:sz w:val="24"/>
          <w:szCs w:val="24"/>
        </w:rPr>
        <w:t xml:space="preserve"> annual capacity factors for Mint Farm below the 60 percent </w:t>
      </w:r>
      <w:r w:rsidR="00F52534">
        <w:rPr>
          <w:rFonts w:ascii="Times New Roman" w:hAnsi="Times New Roman"/>
          <w:sz w:val="24"/>
          <w:szCs w:val="24"/>
        </w:rPr>
        <w:t xml:space="preserve">annual capacity factor </w:t>
      </w:r>
      <w:r w:rsidR="00D72FC5" w:rsidRPr="00D72FC5">
        <w:rPr>
          <w:rFonts w:ascii="Times New Roman" w:hAnsi="Times New Roman"/>
          <w:sz w:val="24"/>
          <w:szCs w:val="24"/>
        </w:rPr>
        <w:t>threshold.</w:t>
      </w:r>
      <w:r w:rsidR="00D72FC5">
        <w:rPr>
          <w:rStyle w:val="FootnoteReference"/>
          <w:rFonts w:ascii="Times New Roman" w:hAnsi="Times New Roman"/>
          <w:sz w:val="24"/>
          <w:szCs w:val="24"/>
        </w:rPr>
        <w:footnoteReference w:id="59"/>
      </w:r>
      <w:r w:rsidR="00D72FC5" w:rsidRPr="00D72FC5">
        <w:rPr>
          <w:rFonts w:ascii="Times New Roman" w:hAnsi="Times New Roman"/>
          <w:sz w:val="24"/>
          <w:szCs w:val="24"/>
        </w:rPr>
        <w:t xml:space="preserve">  </w:t>
      </w:r>
      <w:r w:rsidR="00F52534">
        <w:rPr>
          <w:rFonts w:ascii="Times New Roman" w:hAnsi="Times New Roman"/>
          <w:sz w:val="24"/>
          <w:szCs w:val="24"/>
        </w:rPr>
        <w:t>However, i</w:t>
      </w:r>
      <w:r w:rsidR="00D72FC5" w:rsidRPr="00D72FC5">
        <w:rPr>
          <w:rFonts w:ascii="Times New Roman" w:hAnsi="Times New Roman"/>
          <w:sz w:val="24"/>
          <w:szCs w:val="24"/>
        </w:rPr>
        <w:t>t is also true</w:t>
      </w:r>
      <w:r w:rsidR="00F52534">
        <w:rPr>
          <w:rFonts w:ascii="Times New Roman" w:hAnsi="Times New Roman"/>
          <w:sz w:val="24"/>
          <w:szCs w:val="24"/>
        </w:rPr>
        <w:t xml:space="preserve"> </w:t>
      </w:r>
      <w:r w:rsidR="00D72FC5" w:rsidRPr="00D72FC5">
        <w:rPr>
          <w:rFonts w:ascii="Times New Roman" w:hAnsi="Times New Roman"/>
          <w:sz w:val="24"/>
          <w:szCs w:val="24"/>
        </w:rPr>
        <w:t xml:space="preserve">that other Company analysis projected </w:t>
      </w:r>
      <w:r w:rsidR="003A59A0" w:rsidRPr="00D72FC5">
        <w:rPr>
          <w:rFonts w:ascii="Times New Roman" w:hAnsi="Times New Roman"/>
          <w:sz w:val="24"/>
          <w:szCs w:val="24"/>
        </w:rPr>
        <w:t>annual c</w:t>
      </w:r>
      <w:r w:rsidR="00D72FC5" w:rsidRPr="00D72FC5">
        <w:rPr>
          <w:rFonts w:ascii="Times New Roman" w:hAnsi="Times New Roman"/>
          <w:sz w:val="24"/>
          <w:szCs w:val="24"/>
        </w:rPr>
        <w:t xml:space="preserve">apacity factors </w:t>
      </w:r>
      <w:r w:rsidR="003A59A0" w:rsidRPr="00D72FC5">
        <w:rPr>
          <w:rFonts w:ascii="Times New Roman" w:hAnsi="Times New Roman"/>
          <w:sz w:val="24"/>
          <w:szCs w:val="24"/>
        </w:rPr>
        <w:t>over 60 percen</w:t>
      </w:r>
      <w:r w:rsidR="003247B5" w:rsidRPr="00D72FC5">
        <w:rPr>
          <w:rFonts w:ascii="Times New Roman" w:hAnsi="Times New Roman"/>
          <w:sz w:val="24"/>
          <w:szCs w:val="24"/>
        </w:rPr>
        <w:t xml:space="preserve">t in nearly half of </w:t>
      </w:r>
      <w:r w:rsidR="00C32A45">
        <w:rPr>
          <w:rFonts w:ascii="Times New Roman" w:hAnsi="Times New Roman"/>
          <w:sz w:val="24"/>
          <w:szCs w:val="24"/>
        </w:rPr>
        <w:t xml:space="preserve">1,800 </w:t>
      </w:r>
      <w:r w:rsidR="003A59A0" w:rsidRPr="00D72FC5">
        <w:rPr>
          <w:rFonts w:ascii="Times New Roman" w:hAnsi="Times New Roman"/>
          <w:sz w:val="24"/>
          <w:szCs w:val="24"/>
        </w:rPr>
        <w:t>runs</w:t>
      </w:r>
      <w:r w:rsidR="00C32A45">
        <w:rPr>
          <w:rFonts w:ascii="Times New Roman" w:hAnsi="Times New Roman"/>
          <w:sz w:val="24"/>
          <w:szCs w:val="24"/>
        </w:rPr>
        <w:t xml:space="preserve"> that were modeled</w:t>
      </w:r>
      <w:r w:rsidR="003A59A0" w:rsidRPr="00D72FC5">
        <w:rPr>
          <w:rFonts w:ascii="Times New Roman" w:hAnsi="Times New Roman"/>
          <w:sz w:val="24"/>
          <w:szCs w:val="24"/>
        </w:rPr>
        <w:t>.</w:t>
      </w:r>
      <w:r w:rsidR="003A59A0">
        <w:rPr>
          <w:rStyle w:val="FootnoteReference"/>
          <w:rFonts w:ascii="Times New Roman" w:hAnsi="Times New Roman"/>
          <w:sz w:val="24"/>
          <w:szCs w:val="24"/>
        </w:rPr>
        <w:footnoteReference w:id="60"/>
      </w:r>
      <w:r w:rsidR="00C32A45">
        <w:rPr>
          <w:rFonts w:ascii="Times New Roman" w:hAnsi="Times New Roman"/>
          <w:sz w:val="24"/>
          <w:szCs w:val="24"/>
        </w:rPr>
        <w:t xml:space="preserve">  This conflicting evidence makes it particularly appropriate for the Commission to focus on the technical </w:t>
      </w:r>
      <w:r w:rsidR="008F2641">
        <w:rPr>
          <w:rFonts w:ascii="Times New Roman" w:hAnsi="Times New Roman"/>
          <w:sz w:val="24"/>
          <w:szCs w:val="24"/>
        </w:rPr>
        <w:t xml:space="preserve">design </w:t>
      </w:r>
      <w:r w:rsidR="00C32A45">
        <w:rPr>
          <w:rFonts w:ascii="Times New Roman" w:hAnsi="Times New Roman"/>
          <w:sz w:val="24"/>
          <w:szCs w:val="24"/>
        </w:rPr>
        <w:t>capabilities of Mint Farm</w:t>
      </w:r>
      <w:r w:rsidR="008F2641">
        <w:rPr>
          <w:rFonts w:ascii="Times New Roman" w:hAnsi="Times New Roman"/>
          <w:sz w:val="24"/>
          <w:szCs w:val="24"/>
        </w:rPr>
        <w:t>, rather than modeling of possible future annual plant capacities</w:t>
      </w:r>
      <w:r w:rsidR="00C32A45">
        <w:rPr>
          <w:rFonts w:ascii="Times New Roman" w:hAnsi="Times New Roman"/>
          <w:sz w:val="24"/>
          <w:szCs w:val="24"/>
        </w:rPr>
        <w:t>.</w:t>
      </w:r>
    </w:p>
    <w:p w:rsidR="003A59A0" w:rsidRPr="00D72FC5" w:rsidRDefault="008F2641" w:rsidP="008F2641">
      <w:pPr>
        <w:pStyle w:val="ListParagraph"/>
        <w:numPr>
          <w:ilvl w:val="0"/>
          <w:numId w:val="10"/>
        </w:numPr>
        <w:spacing w:line="480" w:lineRule="auto"/>
        <w:rPr>
          <w:rFonts w:ascii="Times New Roman" w:hAnsi="Times New Roman"/>
          <w:sz w:val="24"/>
          <w:szCs w:val="24"/>
        </w:rPr>
      </w:pPr>
      <w:r>
        <w:rPr>
          <w:rFonts w:ascii="Times New Roman" w:hAnsi="Times New Roman"/>
          <w:sz w:val="24"/>
          <w:szCs w:val="24"/>
        </w:rPr>
        <w:tab/>
      </w:r>
      <w:r w:rsidR="003A59A0" w:rsidRPr="00D72FC5">
        <w:rPr>
          <w:rFonts w:ascii="Times New Roman" w:hAnsi="Times New Roman"/>
          <w:sz w:val="24"/>
          <w:szCs w:val="24"/>
        </w:rPr>
        <w:t xml:space="preserve">Finally, Public </w:t>
      </w:r>
      <w:r w:rsidR="00F47F2E" w:rsidRPr="00D72FC5">
        <w:rPr>
          <w:rFonts w:ascii="Times New Roman" w:hAnsi="Times New Roman"/>
          <w:sz w:val="24"/>
          <w:szCs w:val="24"/>
        </w:rPr>
        <w:t xml:space="preserve">Counsel alleges that Staff </w:t>
      </w:r>
      <w:r w:rsidR="003A59A0" w:rsidRPr="00D72FC5">
        <w:rPr>
          <w:rFonts w:ascii="Times New Roman" w:hAnsi="Times New Roman"/>
          <w:sz w:val="24"/>
          <w:szCs w:val="24"/>
        </w:rPr>
        <w:t>placed undue reliance on the Department of Ecology</w:t>
      </w:r>
      <w:r w:rsidR="00C86187" w:rsidRPr="00D72FC5">
        <w:rPr>
          <w:rFonts w:ascii="Times New Roman" w:hAnsi="Times New Roman"/>
          <w:sz w:val="24"/>
          <w:szCs w:val="24"/>
        </w:rPr>
        <w:t>’s determination that Mint Farm is baseload electric generation.</w:t>
      </w:r>
      <w:r w:rsidR="00C86187">
        <w:rPr>
          <w:rStyle w:val="FootnoteReference"/>
          <w:rFonts w:ascii="Times New Roman" w:hAnsi="Times New Roman"/>
          <w:sz w:val="24"/>
          <w:szCs w:val="24"/>
        </w:rPr>
        <w:footnoteReference w:id="61"/>
      </w:r>
      <w:r w:rsidR="00C86187" w:rsidRPr="00D72FC5">
        <w:rPr>
          <w:rFonts w:ascii="Times New Roman" w:hAnsi="Times New Roman"/>
          <w:sz w:val="24"/>
          <w:szCs w:val="24"/>
        </w:rPr>
        <w:t xml:space="preserve">  Public Counsel mischaracteriz</w:t>
      </w:r>
      <w:r w:rsidR="00D14BDA" w:rsidRPr="00D72FC5">
        <w:rPr>
          <w:rFonts w:ascii="Times New Roman" w:hAnsi="Times New Roman"/>
          <w:sz w:val="24"/>
          <w:szCs w:val="24"/>
        </w:rPr>
        <w:t xml:space="preserve">es </w:t>
      </w:r>
      <w:r>
        <w:rPr>
          <w:rFonts w:ascii="Times New Roman" w:hAnsi="Times New Roman"/>
          <w:sz w:val="24"/>
          <w:szCs w:val="24"/>
        </w:rPr>
        <w:t>the Staff</w:t>
      </w:r>
      <w:r w:rsidR="00D14BDA" w:rsidRPr="00D72FC5">
        <w:rPr>
          <w:rFonts w:ascii="Times New Roman" w:hAnsi="Times New Roman"/>
          <w:sz w:val="24"/>
          <w:szCs w:val="24"/>
        </w:rPr>
        <w:t xml:space="preserve"> testimony.  Staff’s reliance on </w:t>
      </w:r>
      <w:r>
        <w:rPr>
          <w:rFonts w:ascii="Times New Roman" w:hAnsi="Times New Roman"/>
          <w:sz w:val="24"/>
          <w:szCs w:val="24"/>
        </w:rPr>
        <w:t xml:space="preserve">the </w:t>
      </w:r>
      <w:r w:rsidRPr="00D72FC5">
        <w:rPr>
          <w:rFonts w:ascii="Times New Roman" w:hAnsi="Times New Roman"/>
          <w:sz w:val="24"/>
          <w:szCs w:val="24"/>
        </w:rPr>
        <w:t xml:space="preserve">Department of </w:t>
      </w:r>
      <w:r w:rsidR="00C86187" w:rsidRPr="00D72FC5">
        <w:rPr>
          <w:rFonts w:ascii="Times New Roman" w:hAnsi="Times New Roman"/>
          <w:sz w:val="24"/>
          <w:szCs w:val="24"/>
        </w:rPr>
        <w:t xml:space="preserve">Ecology was </w:t>
      </w:r>
      <w:r w:rsidR="00C32A45">
        <w:rPr>
          <w:rFonts w:ascii="Times New Roman" w:hAnsi="Times New Roman"/>
          <w:sz w:val="24"/>
          <w:szCs w:val="24"/>
        </w:rPr>
        <w:t>directl</w:t>
      </w:r>
      <w:r w:rsidR="00DE272C">
        <w:rPr>
          <w:rFonts w:ascii="Times New Roman" w:hAnsi="Times New Roman"/>
          <w:sz w:val="24"/>
          <w:szCs w:val="24"/>
        </w:rPr>
        <w:t>y prim</w:t>
      </w:r>
      <w:r w:rsidR="001F004F">
        <w:rPr>
          <w:rFonts w:ascii="Times New Roman" w:hAnsi="Times New Roman"/>
          <w:sz w:val="24"/>
          <w:szCs w:val="24"/>
        </w:rPr>
        <w:t xml:space="preserve">arily to confirming Staff’s conclusion </w:t>
      </w:r>
      <w:r>
        <w:rPr>
          <w:rFonts w:ascii="Times New Roman" w:hAnsi="Times New Roman"/>
          <w:sz w:val="24"/>
          <w:szCs w:val="24"/>
        </w:rPr>
        <w:t xml:space="preserve">that </w:t>
      </w:r>
      <w:r w:rsidR="00DE272C">
        <w:rPr>
          <w:rFonts w:ascii="Times New Roman" w:hAnsi="Times New Roman"/>
          <w:sz w:val="24"/>
          <w:szCs w:val="24"/>
        </w:rPr>
        <w:t>air q</w:t>
      </w:r>
      <w:r w:rsidR="001F004F">
        <w:rPr>
          <w:rFonts w:ascii="Times New Roman" w:hAnsi="Times New Roman"/>
          <w:sz w:val="24"/>
          <w:szCs w:val="24"/>
        </w:rPr>
        <w:t xml:space="preserve">uality permit restrictions were not in place </w:t>
      </w:r>
      <w:r w:rsidR="00F52534">
        <w:rPr>
          <w:rFonts w:ascii="Times New Roman" w:hAnsi="Times New Roman"/>
          <w:sz w:val="24"/>
          <w:szCs w:val="24"/>
        </w:rPr>
        <w:t xml:space="preserve">for Mint Farm that would affect the plant’s capacity factor, </w:t>
      </w:r>
      <w:r w:rsidR="00DE272C">
        <w:rPr>
          <w:rFonts w:ascii="Times New Roman" w:hAnsi="Times New Roman"/>
          <w:sz w:val="24"/>
          <w:szCs w:val="24"/>
        </w:rPr>
        <w:t xml:space="preserve">and </w:t>
      </w:r>
      <w:r w:rsidR="00F52534">
        <w:rPr>
          <w:rFonts w:ascii="Times New Roman" w:hAnsi="Times New Roman"/>
          <w:sz w:val="24"/>
          <w:szCs w:val="24"/>
        </w:rPr>
        <w:t xml:space="preserve">to </w:t>
      </w:r>
      <w:r w:rsidR="00DE272C">
        <w:rPr>
          <w:rFonts w:ascii="Times New Roman" w:hAnsi="Times New Roman"/>
          <w:sz w:val="24"/>
          <w:szCs w:val="24"/>
        </w:rPr>
        <w:t>Ecology</w:t>
      </w:r>
      <w:r w:rsidR="00C86187" w:rsidRPr="00D72FC5">
        <w:rPr>
          <w:rFonts w:ascii="Times New Roman" w:hAnsi="Times New Roman"/>
          <w:sz w:val="24"/>
          <w:szCs w:val="24"/>
        </w:rPr>
        <w:t xml:space="preserve">’s </w:t>
      </w:r>
      <w:r w:rsidR="00C86187" w:rsidRPr="00D72FC5">
        <w:rPr>
          <w:rFonts w:ascii="Times New Roman" w:hAnsi="Times New Roman"/>
          <w:sz w:val="24"/>
          <w:szCs w:val="24"/>
        </w:rPr>
        <w:lastRenderedPageBreak/>
        <w:t>determination that Mint Farm met the greenhouse gas</w:t>
      </w:r>
      <w:r>
        <w:rPr>
          <w:rFonts w:ascii="Times New Roman" w:hAnsi="Times New Roman"/>
          <w:sz w:val="24"/>
          <w:szCs w:val="24"/>
        </w:rPr>
        <w:t>es</w:t>
      </w:r>
      <w:r w:rsidR="00DE272C">
        <w:rPr>
          <w:rFonts w:ascii="Times New Roman" w:hAnsi="Times New Roman"/>
          <w:sz w:val="24"/>
          <w:szCs w:val="24"/>
        </w:rPr>
        <w:t xml:space="preserve"> emissions performance standard</w:t>
      </w:r>
      <w:r w:rsidR="00C86187" w:rsidRPr="00D72FC5">
        <w:rPr>
          <w:rFonts w:ascii="Times New Roman" w:hAnsi="Times New Roman"/>
          <w:sz w:val="24"/>
          <w:szCs w:val="24"/>
        </w:rPr>
        <w:t>.</w:t>
      </w:r>
      <w:r w:rsidR="00C86187">
        <w:rPr>
          <w:rStyle w:val="FootnoteReference"/>
          <w:rFonts w:ascii="Times New Roman" w:hAnsi="Times New Roman"/>
          <w:sz w:val="24"/>
          <w:szCs w:val="24"/>
        </w:rPr>
        <w:footnoteReference w:id="62"/>
      </w:r>
      <w:r w:rsidR="00F47F2E" w:rsidRPr="00D72FC5">
        <w:rPr>
          <w:rFonts w:ascii="Times New Roman" w:hAnsi="Times New Roman"/>
          <w:sz w:val="24"/>
          <w:szCs w:val="24"/>
        </w:rPr>
        <w:t xml:space="preserve">  Staff’s reliance on</w:t>
      </w:r>
      <w:r w:rsidR="00DE272C">
        <w:rPr>
          <w:rFonts w:ascii="Times New Roman" w:hAnsi="Times New Roman"/>
          <w:sz w:val="24"/>
          <w:szCs w:val="24"/>
        </w:rPr>
        <w:t xml:space="preserve"> </w:t>
      </w:r>
      <w:r>
        <w:rPr>
          <w:rFonts w:ascii="Times New Roman" w:hAnsi="Times New Roman"/>
          <w:sz w:val="24"/>
          <w:szCs w:val="24"/>
        </w:rPr>
        <w:t xml:space="preserve">the </w:t>
      </w:r>
      <w:r w:rsidRPr="00D72FC5">
        <w:rPr>
          <w:rFonts w:ascii="Times New Roman" w:hAnsi="Times New Roman"/>
          <w:sz w:val="24"/>
          <w:szCs w:val="24"/>
        </w:rPr>
        <w:t xml:space="preserve">Department of </w:t>
      </w:r>
      <w:r w:rsidR="00DE272C">
        <w:rPr>
          <w:rFonts w:ascii="Times New Roman" w:hAnsi="Times New Roman"/>
          <w:sz w:val="24"/>
          <w:szCs w:val="24"/>
        </w:rPr>
        <w:t xml:space="preserve">Ecology for these purposes </w:t>
      </w:r>
      <w:r w:rsidR="00F47F2E" w:rsidRPr="00D72FC5">
        <w:rPr>
          <w:rFonts w:ascii="Times New Roman" w:hAnsi="Times New Roman"/>
          <w:sz w:val="24"/>
          <w:szCs w:val="24"/>
        </w:rPr>
        <w:t>was reasonable and appropriate.</w:t>
      </w:r>
      <w:r w:rsidR="00761974">
        <w:rPr>
          <w:rFonts w:ascii="Times New Roman" w:hAnsi="Times New Roman"/>
          <w:sz w:val="24"/>
          <w:szCs w:val="24"/>
        </w:rPr>
        <w:t xml:space="preserve">  Indeed, Staff has no </w:t>
      </w:r>
      <w:r>
        <w:rPr>
          <w:rFonts w:ascii="Times New Roman" w:hAnsi="Times New Roman"/>
          <w:sz w:val="24"/>
          <w:szCs w:val="24"/>
        </w:rPr>
        <w:t>source other t</w:t>
      </w:r>
      <w:r w:rsidR="00761974">
        <w:rPr>
          <w:rFonts w:ascii="Times New Roman" w:hAnsi="Times New Roman"/>
          <w:sz w:val="24"/>
          <w:szCs w:val="24"/>
        </w:rPr>
        <w:t>han the Department of Ecology for determining</w:t>
      </w:r>
      <w:r>
        <w:rPr>
          <w:rFonts w:ascii="Times New Roman" w:hAnsi="Times New Roman"/>
          <w:sz w:val="24"/>
          <w:szCs w:val="24"/>
        </w:rPr>
        <w:t xml:space="preserve"> if any generation facility</w:t>
      </w:r>
      <w:r w:rsidR="00761974">
        <w:rPr>
          <w:rFonts w:ascii="Times New Roman" w:hAnsi="Times New Roman"/>
          <w:sz w:val="24"/>
          <w:szCs w:val="24"/>
        </w:rPr>
        <w:t xml:space="preserve"> meets the </w:t>
      </w:r>
      <w:r w:rsidR="00761974" w:rsidRPr="00D72FC5">
        <w:rPr>
          <w:rFonts w:ascii="Times New Roman" w:hAnsi="Times New Roman"/>
          <w:sz w:val="24"/>
          <w:szCs w:val="24"/>
        </w:rPr>
        <w:t>greenhouse gas</w:t>
      </w:r>
      <w:r w:rsidR="00761974">
        <w:rPr>
          <w:rFonts w:ascii="Times New Roman" w:hAnsi="Times New Roman"/>
          <w:sz w:val="24"/>
          <w:szCs w:val="24"/>
        </w:rPr>
        <w:t>es emissions performance standard.</w:t>
      </w:r>
    </w:p>
    <w:p w:rsidR="00D25DD7" w:rsidRPr="00D25DD7" w:rsidRDefault="00D25DD7" w:rsidP="00D25DD7">
      <w:pPr>
        <w:ind w:firstLine="720"/>
        <w:rPr>
          <w:rFonts w:ascii="Times New Roman" w:hAnsi="Times New Roman"/>
          <w:sz w:val="24"/>
          <w:szCs w:val="24"/>
        </w:rPr>
      </w:pPr>
      <w:r w:rsidRPr="00D25DD7">
        <w:rPr>
          <w:rFonts w:ascii="Times New Roman" w:hAnsi="Times New Roman"/>
          <w:sz w:val="24"/>
          <w:szCs w:val="24"/>
        </w:rPr>
        <w:t xml:space="preserve">DATED this </w:t>
      </w:r>
      <w:r>
        <w:rPr>
          <w:rFonts w:ascii="Times New Roman" w:hAnsi="Times New Roman"/>
          <w:sz w:val="24"/>
          <w:szCs w:val="24"/>
        </w:rPr>
        <w:t>2</w:t>
      </w:r>
      <w:r w:rsidRPr="00D25DD7">
        <w:rPr>
          <w:rFonts w:ascii="Times New Roman" w:hAnsi="Times New Roman"/>
          <w:sz w:val="24"/>
          <w:szCs w:val="24"/>
          <w:vertAlign w:val="superscript"/>
        </w:rPr>
        <w:t>nd</w:t>
      </w:r>
      <w:r>
        <w:rPr>
          <w:rFonts w:ascii="Times New Roman" w:hAnsi="Times New Roman"/>
          <w:sz w:val="24"/>
          <w:szCs w:val="24"/>
        </w:rPr>
        <w:t xml:space="preserve"> </w:t>
      </w:r>
      <w:r w:rsidRPr="00D25DD7">
        <w:rPr>
          <w:rFonts w:ascii="Times New Roman" w:hAnsi="Times New Roman"/>
          <w:sz w:val="24"/>
          <w:szCs w:val="24"/>
        </w:rPr>
        <w:t xml:space="preserve">day of </w:t>
      </w:r>
      <w:r>
        <w:rPr>
          <w:rFonts w:ascii="Times New Roman" w:hAnsi="Times New Roman"/>
          <w:sz w:val="24"/>
          <w:szCs w:val="24"/>
        </w:rPr>
        <w:t>March</w:t>
      </w:r>
      <w:r w:rsidRPr="00D25DD7">
        <w:rPr>
          <w:rFonts w:ascii="Times New Roman" w:hAnsi="Times New Roman"/>
          <w:sz w:val="24"/>
          <w:szCs w:val="24"/>
        </w:rPr>
        <w:t xml:space="preserve"> 2010.</w:t>
      </w:r>
    </w:p>
    <w:p w:rsidR="00D25DD7" w:rsidRPr="00CB20C9" w:rsidRDefault="00D25DD7" w:rsidP="00D25DD7">
      <w:pPr>
        <w:pStyle w:val="BodyTextIndent2"/>
        <w:spacing w:after="0" w:line="240" w:lineRule="auto"/>
        <w:ind w:left="-720" w:firstLine="5040"/>
        <w:rPr>
          <w:rFonts w:ascii="Times New Roman" w:hAnsi="Times New Roman"/>
          <w:sz w:val="24"/>
          <w:szCs w:val="24"/>
        </w:rPr>
      </w:pPr>
    </w:p>
    <w:p w:rsidR="00D25DD7" w:rsidRPr="00D25DD7" w:rsidRDefault="00D25DD7" w:rsidP="00D25DD7">
      <w:pPr>
        <w:ind w:left="-720" w:firstLine="5040"/>
        <w:jc w:val="both"/>
        <w:rPr>
          <w:rFonts w:ascii="Times New Roman" w:hAnsi="Times New Roman"/>
          <w:sz w:val="24"/>
          <w:szCs w:val="24"/>
        </w:rPr>
      </w:pPr>
      <w:r w:rsidRPr="00D25DD7">
        <w:rPr>
          <w:rFonts w:ascii="Times New Roman" w:hAnsi="Times New Roman"/>
          <w:sz w:val="24"/>
          <w:szCs w:val="24"/>
        </w:rPr>
        <w:t xml:space="preserve">ROBERT M. MCKENNA </w:t>
      </w:r>
    </w:p>
    <w:p w:rsidR="00D25DD7" w:rsidRPr="00D25DD7" w:rsidRDefault="00D25DD7" w:rsidP="00D25DD7">
      <w:pPr>
        <w:ind w:left="-720" w:firstLine="5040"/>
        <w:jc w:val="both"/>
        <w:rPr>
          <w:rFonts w:ascii="Times New Roman" w:hAnsi="Times New Roman"/>
          <w:sz w:val="24"/>
          <w:szCs w:val="24"/>
        </w:rPr>
      </w:pPr>
      <w:r w:rsidRPr="00D25DD7">
        <w:rPr>
          <w:rFonts w:ascii="Times New Roman" w:hAnsi="Times New Roman"/>
          <w:sz w:val="24"/>
          <w:szCs w:val="24"/>
        </w:rPr>
        <w:t>Attorney General</w:t>
      </w:r>
    </w:p>
    <w:p w:rsidR="00D25DD7" w:rsidRPr="00D25DD7" w:rsidRDefault="00D25DD7" w:rsidP="00D25DD7">
      <w:pPr>
        <w:ind w:left="-720" w:firstLine="5040"/>
        <w:jc w:val="both"/>
        <w:rPr>
          <w:rFonts w:ascii="Times New Roman" w:hAnsi="Times New Roman"/>
          <w:sz w:val="24"/>
          <w:szCs w:val="24"/>
        </w:rPr>
      </w:pPr>
    </w:p>
    <w:p w:rsidR="00D25DD7" w:rsidRPr="00D25DD7" w:rsidRDefault="00D25DD7" w:rsidP="00D25DD7">
      <w:pPr>
        <w:ind w:left="-720" w:firstLine="5040"/>
        <w:jc w:val="both"/>
        <w:rPr>
          <w:rFonts w:ascii="Times New Roman" w:hAnsi="Times New Roman"/>
          <w:sz w:val="24"/>
          <w:szCs w:val="24"/>
        </w:rPr>
      </w:pPr>
    </w:p>
    <w:p w:rsidR="00D25DD7" w:rsidRPr="00D25DD7" w:rsidRDefault="00D25DD7" w:rsidP="00D25DD7">
      <w:pPr>
        <w:ind w:left="-720" w:firstLine="5040"/>
        <w:jc w:val="both"/>
        <w:rPr>
          <w:rFonts w:ascii="Times New Roman" w:hAnsi="Times New Roman"/>
          <w:sz w:val="24"/>
          <w:szCs w:val="24"/>
        </w:rPr>
      </w:pPr>
      <w:r w:rsidRPr="00D25DD7">
        <w:rPr>
          <w:rFonts w:ascii="Times New Roman" w:hAnsi="Times New Roman"/>
          <w:sz w:val="24"/>
          <w:szCs w:val="24"/>
        </w:rPr>
        <w:t xml:space="preserve">ROBERT D. CEDARBAUM </w:t>
      </w:r>
    </w:p>
    <w:p w:rsidR="00D25DD7" w:rsidRPr="00D25DD7" w:rsidRDefault="00D25DD7" w:rsidP="00D25DD7">
      <w:pPr>
        <w:ind w:left="-720" w:firstLine="5040"/>
        <w:jc w:val="both"/>
        <w:rPr>
          <w:rFonts w:ascii="Times New Roman" w:hAnsi="Times New Roman"/>
          <w:sz w:val="24"/>
          <w:szCs w:val="24"/>
        </w:rPr>
      </w:pPr>
      <w:r w:rsidRPr="00D25DD7">
        <w:rPr>
          <w:rFonts w:ascii="Times New Roman" w:hAnsi="Times New Roman"/>
          <w:sz w:val="24"/>
          <w:szCs w:val="24"/>
        </w:rPr>
        <w:t>Assistant Attorney General</w:t>
      </w:r>
    </w:p>
    <w:p w:rsidR="00D25DD7" w:rsidRPr="00D25DD7" w:rsidRDefault="00D25DD7" w:rsidP="00D25DD7">
      <w:pPr>
        <w:ind w:left="-720" w:firstLine="5040"/>
        <w:jc w:val="both"/>
        <w:rPr>
          <w:rFonts w:ascii="Times New Roman" w:hAnsi="Times New Roman"/>
          <w:sz w:val="24"/>
          <w:szCs w:val="24"/>
        </w:rPr>
      </w:pPr>
      <w:r w:rsidRPr="00D25DD7">
        <w:rPr>
          <w:rFonts w:ascii="Times New Roman" w:hAnsi="Times New Roman"/>
          <w:sz w:val="24"/>
          <w:szCs w:val="24"/>
        </w:rPr>
        <w:t>Counsel for Washington Utilities and</w:t>
      </w:r>
    </w:p>
    <w:p w:rsidR="00CE74E3" w:rsidRPr="00CE74E3" w:rsidRDefault="00D25DD7" w:rsidP="00D25DD7">
      <w:pPr>
        <w:ind w:left="-720" w:firstLine="5040"/>
        <w:jc w:val="both"/>
        <w:rPr>
          <w:rFonts w:ascii="Times New Roman" w:hAnsi="Times New Roman"/>
          <w:sz w:val="24"/>
          <w:szCs w:val="24"/>
        </w:rPr>
      </w:pPr>
      <w:r w:rsidRPr="00D25DD7">
        <w:rPr>
          <w:rFonts w:ascii="Times New Roman" w:hAnsi="Times New Roman"/>
          <w:sz w:val="24"/>
          <w:szCs w:val="24"/>
        </w:rPr>
        <w:t>Transportation Commission Staff</w:t>
      </w:r>
    </w:p>
    <w:sectPr w:rsidR="00CE74E3" w:rsidRPr="00CE74E3" w:rsidSect="00AA4FAB">
      <w:pgSz w:w="12240" w:h="15840"/>
      <w:pgMar w:top="1440" w:right="1440" w:bottom="1440" w:left="1872"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CDE" w:rsidRDefault="00486CDE" w:rsidP="00AC4220">
      <w:r>
        <w:separator/>
      </w:r>
    </w:p>
  </w:endnote>
  <w:endnote w:type="continuationSeparator" w:id="0">
    <w:p w:rsidR="00486CDE" w:rsidRDefault="00486CDE" w:rsidP="00AC4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DE" w:rsidRPr="007678ED" w:rsidRDefault="00486CDE" w:rsidP="007678ED">
    <w:pPr>
      <w:rPr>
        <w:rFonts w:ascii="Times New Roman" w:hAnsi="Times New Roman"/>
        <w:bCs/>
        <w:sz w:val="20"/>
        <w:szCs w:val="20"/>
      </w:rPr>
    </w:pPr>
    <w:r w:rsidRPr="007678ED">
      <w:rPr>
        <w:rFonts w:ascii="Times New Roman" w:hAnsi="Times New Roman"/>
        <w:bCs/>
        <w:sz w:val="20"/>
        <w:szCs w:val="20"/>
      </w:rPr>
      <w:t>REPLY BRIEF ON BEHALF OF COMMISSION STAFF</w:t>
    </w:r>
    <w:r>
      <w:rPr>
        <w:rFonts w:ascii="Times New Roman" w:hAnsi="Times New Roman"/>
        <w:bCs/>
        <w:sz w:val="20"/>
        <w:szCs w:val="20"/>
      </w:rPr>
      <w:t xml:space="preserve"> - </w:t>
    </w:r>
    <w:r w:rsidR="00BB1677" w:rsidRPr="007678ED">
      <w:rPr>
        <w:rFonts w:ascii="Times New Roman" w:hAnsi="Times New Roman"/>
        <w:bCs/>
        <w:sz w:val="20"/>
        <w:szCs w:val="20"/>
      </w:rPr>
      <w:fldChar w:fldCharType="begin"/>
    </w:r>
    <w:r w:rsidRPr="007678ED">
      <w:rPr>
        <w:rFonts w:ascii="Times New Roman" w:hAnsi="Times New Roman"/>
        <w:bCs/>
        <w:sz w:val="20"/>
        <w:szCs w:val="20"/>
      </w:rPr>
      <w:instrText xml:space="preserve"> PAGE   \* MERGEFORMAT </w:instrText>
    </w:r>
    <w:r w:rsidR="00BB1677" w:rsidRPr="007678ED">
      <w:rPr>
        <w:rFonts w:ascii="Times New Roman" w:hAnsi="Times New Roman"/>
        <w:bCs/>
        <w:sz w:val="20"/>
        <w:szCs w:val="20"/>
      </w:rPr>
      <w:fldChar w:fldCharType="separate"/>
    </w:r>
    <w:r w:rsidR="0074383A">
      <w:rPr>
        <w:rFonts w:ascii="Times New Roman" w:hAnsi="Times New Roman"/>
        <w:bCs/>
        <w:noProof/>
        <w:sz w:val="20"/>
        <w:szCs w:val="20"/>
      </w:rPr>
      <w:t>10</w:t>
    </w:r>
    <w:r w:rsidR="00BB1677" w:rsidRPr="007678ED">
      <w:rPr>
        <w:rFonts w:ascii="Times New Roman" w:hAnsi="Times New Roman"/>
        <w:bCs/>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CDE" w:rsidRPr="00CE74E3" w:rsidRDefault="00486CDE" w:rsidP="00CE74E3">
    <w:pPr>
      <w:rPr>
        <w:rFonts w:ascii="Times New Roman" w:hAnsi="Times New Roman"/>
        <w:bCs/>
        <w:sz w:val="20"/>
        <w:szCs w:val="20"/>
      </w:rPr>
    </w:pPr>
    <w:r w:rsidRPr="007678ED">
      <w:rPr>
        <w:rFonts w:ascii="Times New Roman" w:hAnsi="Times New Roman"/>
        <w:bCs/>
        <w:sz w:val="20"/>
        <w:szCs w:val="20"/>
      </w:rPr>
      <w:t>REPLY BRIEF ON BEHALF OF COMMISSION STAFF</w:t>
    </w:r>
    <w:r>
      <w:rPr>
        <w:rFonts w:ascii="Times New Roman" w:hAnsi="Times New Roman"/>
        <w:bCs/>
        <w:sz w:val="20"/>
        <w:szCs w:val="20"/>
      </w:rPr>
      <w:t xml:space="preserve"> - </w:t>
    </w:r>
    <w:r w:rsidR="00BB1677" w:rsidRPr="007678ED">
      <w:rPr>
        <w:rFonts w:ascii="Times New Roman" w:hAnsi="Times New Roman"/>
        <w:bCs/>
        <w:sz w:val="20"/>
        <w:szCs w:val="20"/>
      </w:rPr>
      <w:fldChar w:fldCharType="begin"/>
    </w:r>
    <w:r w:rsidRPr="007678ED">
      <w:rPr>
        <w:rFonts w:ascii="Times New Roman" w:hAnsi="Times New Roman"/>
        <w:bCs/>
        <w:sz w:val="20"/>
        <w:szCs w:val="20"/>
      </w:rPr>
      <w:instrText xml:space="preserve"> PAGE   \* MERGEFORMAT </w:instrText>
    </w:r>
    <w:r w:rsidR="00BB1677" w:rsidRPr="007678ED">
      <w:rPr>
        <w:rFonts w:ascii="Times New Roman" w:hAnsi="Times New Roman"/>
        <w:bCs/>
        <w:sz w:val="20"/>
        <w:szCs w:val="20"/>
      </w:rPr>
      <w:fldChar w:fldCharType="separate"/>
    </w:r>
    <w:r w:rsidR="0074383A">
      <w:rPr>
        <w:rFonts w:ascii="Times New Roman" w:hAnsi="Times New Roman"/>
        <w:bCs/>
        <w:noProof/>
        <w:sz w:val="20"/>
        <w:szCs w:val="20"/>
      </w:rPr>
      <w:t>i</w:t>
    </w:r>
    <w:r w:rsidR="00BB1677" w:rsidRPr="007678ED">
      <w:rPr>
        <w:rFonts w:ascii="Times New Roman" w:hAnsi="Times New Roman"/>
        <w:b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CDE" w:rsidRDefault="00486CDE" w:rsidP="00AC4220">
      <w:r>
        <w:separator/>
      </w:r>
    </w:p>
  </w:footnote>
  <w:footnote w:type="continuationSeparator" w:id="0">
    <w:p w:rsidR="00486CDE" w:rsidRDefault="00486CDE" w:rsidP="00AC4220">
      <w:r>
        <w:continuationSeparator/>
      </w:r>
    </w:p>
  </w:footnote>
  <w:footnote w:id="1">
    <w:p w:rsidR="00486CDE" w:rsidRPr="00F32548" w:rsidRDefault="00486CDE">
      <w:pPr>
        <w:pStyle w:val="FootnoteText"/>
        <w:rPr>
          <w:rFonts w:ascii="Times New Roman" w:hAnsi="Times New Roman"/>
        </w:rPr>
      </w:pPr>
      <w:r w:rsidRPr="00F32548">
        <w:rPr>
          <w:rStyle w:val="FootnoteReference"/>
          <w:rFonts w:ascii="Times New Roman" w:hAnsi="Times New Roman"/>
        </w:rPr>
        <w:footnoteRef/>
      </w:r>
      <w:r w:rsidRPr="00F32548">
        <w:rPr>
          <w:rFonts w:ascii="Times New Roman" w:hAnsi="Times New Roman"/>
        </w:rPr>
        <w:t xml:space="preserve"> Staff again defers to the Reply Brief of the Industrial Customers of Northwest Utilities on power cost issues other than production operations and maintenance expense.</w:t>
      </w:r>
    </w:p>
  </w:footnote>
  <w:footnote w:id="2">
    <w:p w:rsidR="00486CDE" w:rsidRPr="00FB7B5E" w:rsidRDefault="00486CDE" w:rsidP="005F3547">
      <w:pPr>
        <w:pStyle w:val="FootnoteText"/>
        <w:rPr>
          <w:rFonts w:ascii="Times New Roman" w:hAnsi="Times New Roman"/>
        </w:rPr>
      </w:pPr>
      <w:r w:rsidRPr="00FB7B5E">
        <w:rPr>
          <w:rStyle w:val="FootnoteReference"/>
          <w:rFonts w:ascii="Times New Roman" w:hAnsi="Times New Roman"/>
        </w:rPr>
        <w:footnoteRef/>
      </w:r>
      <w:r w:rsidRPr="00FB7B5E">
        <w:rPr>
          <w:rFonts w:ascii="Times New Roman" w:hAnsi="Times New Roman"/>
        </w:rPr>
        <w:t xml:space="preserve"> PSE Initial Br. at ¶¶6 and 54-55, citing, </w:t>
      </w:r>
      <w:r w:rsidRPr="00FB7B5E">
        <w:rPr>
          <w:rFonts w:ascii="Times New Roman" w:hAnsi="Times New Roman"/>
          <w:i/>
          <w:iCs/>
        </w:rPr>
        <w:t>People's Org. for Wash. Energy Res. v. Wash. Utils. &amp; Transp. Comm'n</w:t>
      </w:r>
      <w:r w:rsidRPr="00FB7B5E">
        <w:rPr>
          <w:rFonts w:ascii="Times New Roman" w:hAnsi="Times New Roman"/>
        </w:rPr>
        <w:t xml:space="preserve">, 104 </w:t>
      </w:r>
      <w:r>
        <w:rPr>
          <w:rFonts w:ascii="Times New Roman" w:hAnsi="Times New Roman"/>
        </w:rPr>
        <w:t>Wn.2d 798, 808 (1985) (“</w:t>
      </w:r>
      <w:r w:rsidRPr="00DB64A6">
        <w:rPr>
          <w:rFonts w:ascii="Times New Roman" w:hAnsi="Times New Roman"/>
          <w:i/>
        </w:rPr>
        <w:t>POWER</w:t>
      </w:r>
      <w:r>
        <w:rPr>
          <w:rFonts w:ascii="Times New Roman" w:hAnsi="Times New Roman"/>
        </w:rPr>
        <w:t>”)</w:t>
      </w:r>
      <w:r w:rsidR="00BB1677" w:rsidRPr="00FB7B5E">
        <w:rPr>
          <w:rFonts w:ascii="Times New Roman" w:eastAsia="SimSun" w:hAnsi="Times New Roman"/>
          <w:color w:val="FF00FF"/>
        </w:rPr>
        <w:fldChar w:fldCharType="begin"/>
      </w:r>
      <w:r w:rsidRPr="00FB7B5E">
        <w:rPr>
          <w:rFonts w:ascii="Times New Roman" w:hAnsi="Times New Roman"/>
          <w:color w:val="FF00FF"/>
        </w:rPr>
        <w:instrText xml:space="preserve"> TA \l "</w:instrText>
      </w:r>
      <w:r w:rsidRPr="00FB7B5E">
        <w:rPr>
          <w:rFonts w:ascii="Times New Roman" w:hAnsi="Times New Roman"/>
          <w:i/>
          <w:iCs/>
          <w:color w:val="FF00FF"/>
        </w:rPr>
        <w:instrText>People's Org. for Wash. Energy Res. v. Wash. Utils. &amp; Transp. Comm'n</w:instrText>
      </w:r>
      <w:r w:rsidRPr="00FB7B5E">
        <w:rPr>
          <w:rFonts w:ascii="Times New Roman" w:hAnsi="Times New Roman"/>
          <w:color w:val="FF00FF"/>
        </w:rPr>
        <w:instrText xml:space="preserve">, 104 Wn.2d 798 (1985)" \s "POWER" \c 1 </w:instrText>
      </w:r>
      <w:r w:rsidR="00BB1677" w:rsidRPr="00FB7B5E">
        <w:rPr>
          <w:rFonts w:ascii="Times New Roman" w:eastAsia="SimSun" w:hAnsi="Times New Roman"/>
          <w:color w:val="FF00FF"/>
        </w:rPr>
        <w:fldChar w:fldCharType="end"/>
      </w:r>
      <w:r w:rsidRPr="00FB7B5E">
        <w:rPr>
          <w:rFonts w:ascii="Times New Roman" w:hAnsi="Times New Roman"/>
        </w:rPr>
        <w:t xml:space="preserve">, </w:t>
      </w:r>
      <w:r w:rsidRPr="00FB7B5E">
        <w:rPr>
          <w:rFonts w:ascii="Times New Roman" w:hAnsi="Times New Roman"/>
          <w:i/>
        </w:rPr>
        <w:t>Federal Power Comm’n v. Hope Natural Gas Co.</w:t>
      </w:r>
      <w:r>
        <w:rPr>
          <w:rFonts w:ascii="Times New Roman" w:hAnsi="Times New Roman"/>
        </w:rPr>
        <w:t xml:space="preserve">, 320 U.S. 591 (1944), and </w:t>
      </w:r>
      <w:r w:rsidRPr="00FB7B5E">
        <w:rPr>
          <w:rFonts w:ascii="Times New Roman" w:hAnsi="Times New Roman"/>
          <w:i/>
        </w:rPr>
        <w:t>Bluefield Water Works Improvement Co. v. Public Serv. Comm’n of West Virginia</w:t>
      </w:r>
      <w:r w:rsidRPr="00FB7B5E">
        <w:rPr>
          <w:rFonts w:ascii="Times New Roman" w:hAnsi="Times New Roman"/>
        </w:rPr>
        <w:t>, 262 U.S. 679 (1923).</w:t>
      </w:r>
    </w:p>
  </w:footnote>
  <w:footnote w:id="3">
    <w:p w:rsidR="00486CDE" w:rsidRPr="00657DBA" w:rsidRDefault="00486CDE">
      <w:pPr>
        <w:pStyle w:val="FootnoteText"/>
        <w:rPr>
          <w:rFonts w:ascii="Times New Roman" w:hAnsi="Times New Roman"/>
        </w:rPr>
      </w:pPr>
      <w:r w:rsidRPr="00657DBA">
        <w:rPr>
          <w:rStyle w:val="FootnoteReference"/>
          <w:rFonts w:ascii="Times New Roman" w:hAnsi="Times New Roman"/>
        </w:rPr>
        <w:footnoteRef/>
      </w:r>
      <w:r w:rsidRPr="00657DBA">
        <w:rPr>
          <w:rFonts w:ascii="Times New Roman" w:hAnsi="Times New Roman"/>
        </w:rPr>
        <w:t xml:space="preserve"> PSE Initial Br. at ¶7.</w:t>
      </w:r>
    </w:p>
  </w:footnote>
  <w:footnote w:id="4">
    <w:p w:rsidR="00486CDE" w:rsidRPr="00FB7B5E" w:rsidRDefault="00486CDE" w:rsidP="005F3547">
      <w:pPr>
        <w:pStyle w:val="FootnoteText"/>
        <w:rPr>
          <w:rFonts w:ascii="Times New Roman" w:hAnsi="Times New Roman"/>
        </w:rPr>
      </w:pPr>
      <w:r w:rsidRPr="00FB7B5E">
        <w:rPr>
          <w:rStyle w:val="FootnoteReference"/>
          <w:rFonts w:ascii="Times New Roman" w:hAnsi="Times New Roman"/>
        </w:rPr>
        <w:footnoteRef/>
      </w:r>
      <w:r w:rsidRPr="00FB7B5E">
        <w:rPr>
          <w:rFonts w:ascii="Times New Roman" w:hAnsi="Times New Roman"/>
        </w:rPr>
        <w:t xml:space="preserve"> </w:t>
      </w:r>
      <w:r w:rsidRPr="00FB7B5E">
        <w:rPr>
          <w:rFonts w:ascii="Times New Roman" w:hAnsi="Times New Roman"/>
          <w:i/>
        </w:rPr>
        <w:t>Bluefield Water Works Improvement Co. v. Public Serv. Comm’n of West Virginia</w:t>
      </w:r>
      <w:r w:rsidRPr="00FB7B5E">
        <w:rPr>
          <w:rFonts w:ascii="Times New Roman" w:hAnsi="Times New Roman"/>
        </w:rPr>
        <w:t>, 262 U.S. at 692 (1923).</w:t>
      </w:r>
    </w:p>
  </w:footnote>
  <w:footnote w:id="5">
    <w:p w:rsidR="00486CDE" w:rsidRPr="00FB7B5E" w:rsidRDefault="00486CDE" w:rsidP="000668C7">
      <w:pPr>
        <w:pStyle w:val="FootnoteText"/>
        <w:rPr>
          <w:rFonts w:ascii="Times New Roman" w:hAnsi="Times New Roman"/>
        </w:rPr>
      </w:pPr>
      <w:r w:rsidRPr="00FB7B5E">
        <w:rPr>
          <w:rStyle w:val="FootnoteReference"/>
          <w:rFonts w:ascii="Times New Roman" w:hAnsi="Times New Roman"/>
        </w:rPr>
        <w:footnoteRef/>
      </w:r>
      <w:r w:rsidRPr="00FB7B5E">
        <w:rPr>
          <w:rFonts w:ascii="Times New Roman" w:hAnsi="Times New Roman"/>
        </w:rPr>
        <w:t xml:space="preserve"> PSE Initial Br. at ¶7</w:t>
      </w:r>
      <w:r>
        <w:rPr>
          <w:rFonts w:ascii="Times New Roman" w:hAnsi="Times New Roman"/>
        </w:rPr>
        <w:t xml:space="preserve">, citing </w:t>
      </w:r>
      <w:r w:rsidRPr="00DB64A6">
        <w:rPr>
          <w:rFonts w:ascii="Times New Roman" w:hAnsi="Times New Roman"/>
          <w:i/>
        </w:rPr>
        <w:t>POWER</w:t>
      </w:r>
      <w:r>
        <w:rPr>
          <w:rFonts w:ascii="Times New Roman" w:hAnsi="Times New Roman"/>
        </w:rPr>
        <w:t xml:space="preserve"> at 811 for the proposition that disallowance of an operating expense reduces investors’ actual rate of return and increases utility risk</w:t>
      </w:r>
      <w:r w:rsidRPr="00FB7B5E">
        <w:rPr>
          <w:rFonts w:ascii="Times New Roman" w:hAnsi="Times New Roman"/>
        </w:rPr>
        <w:t>.</w:t>
      </w:r>
    </w:p>
  </w:footnote>
  <w:footnote w:id="6">
    <w:p w:rsidR="00486CDE" w:rsidRPr="004035DB" w:rsidRDefault="00486CDE" w:rsidP="000668C7">
      <w:pPr>
        <w:pStyle w:val="FootnoteText"/>
        <w:rPr>
          <w:rFonts w:ascii="Times New Roman" w:hAnsi="Times New Roman"/>
        </w:rPr>
      </w:pPr>
      <w:r w:rsidRPr="004035DB">
        <w:rPr>
          <w:rStyle w:val="FootnoteReference"/>
          <w:rFonts w:ascii="Times New Roman" w:hAnsi="Times New Roman"/>
        </w:rPr>
        <w:footnoteRef/>
      </w:r>
      <w:r w:rsidRPr="004035DB">
        <w:rPr>
          <w:rFonts w:ascii="Times New Roman" w:hAnsi="Times New Roman"/>
        </w:rPr>
        <w:t xml:space="preserve"> See, Staff Initial Br. at ¶¶47-53, discussing </w:t>
      </w:r>
      <w:r w:rsidRPr="004035DB">
        <w:rPr>
          <w:rFonts w:ascii="Times New Roman" w:hAnsi="Times New Roman"/>
          <w:i/>
        </w:rPr>
        <w:t>WUTC v. Avista Corporation, d/b/a Avista Utilities</w:t>
      </w:r>
      <w:r w:rsidRPr="004035DB">
        <w:rPr>
          <w:rFonts w:ascii="Times New Roman" w:hAnsi="Times New Roman"/>
        </w:rPr>
        <w:t>, Dockets UE-090134 and UG-090135, Order 10 (December 22, 2009)</w:t>
      </w:r>
      <w:r>
        <w:rPr>
          <w:rFonts w:ascii="Times New Roman" w:hAnsi="Times New Roman"/>
        </w:rPr>
        <w:t>.</w:t>
      </w:r>
      <w:r w:rsidRPr="004035DB">
        <w:rPr>
          <w:rFonts w:ascii="Times New Roman" w:hAnsi="Times New Roman"/>
        </w:rPr>
        <w:t xml:space="preserve">  </w:t>
      </w:r>
    </w:p>
  </w:footnote>
  <w:footnote w:id="7">
    <w:p w:rsidR="00486CDE" w:rsidRDefault="00486CDE" w:rsidP="000668C7">
      <w:pPr>
        <w:pStyle w:val="FootnoteText"/>
      </w:pPr>
      <w:r w:rsidRPr="004E4B1C">
        <w:rPr>
          <w:rStyle w:val="FootnoteReference"/>
          <w:rFonts w:ascii="Times New Roman" w:hAnsi="Times New Roman"/>
        </w:rPr>
        <w:footnoteRef/>
      </w:r>
      <w:r>
        <w:rPr>
          <w:rFonts w:ascii="Times New Roman" w:hAnsi="Times New Roman"/>
        </w:rPr>
        <w:t xml:space="preserve"> </w:t>
      </w:r>
      <w:r w:rsidRPr="004E4B1C">
        <w:rPr>
          <w:rFonts w:ascii="Times New Roman" w:hAnsi="Times New Roman"/>
        </w:rPr>
        <w:t xml:space="preserve">PSE Initial Br. at </w:t>
      </w:r>
      <w:r>
        <w:rPr>
          <w:rFonts w:ascii="Times New Roman" w:hAnsi="Times New Roman"/>
        </w:rPr>
        <w:t>¶</w:t>
      </w:r>
      <w:r w:rsidRPr="004E4B1C">
        <w:rPr>
          <w:rFonts w:ascii="Times New Roman" w:hAnsi="Times New Roman"/>
        </w:rPr>
        <w:t>6</w:t>
      </w:r>
      <w:r>
        <w:rPr>
          <w:rFonts w:ascii="Times New Roman" w:hAnsi="Times New Roman"/>
        </w:rPr>
        <w:t>, citing RCW 80.28.020</w:t>
      </w:r>
      <w:r w:rsidRPr="004E4B1C">
        <w:rPr>
          <w:rFonts w:ascii="Times New Roman" w:hAnsi="Times New Roman"/>
        </w:rPr>
        <w:t>.</w:t>
      </w:r>
    </w:p>
  </w:footnote>
  <w:footnote w:id="8">
    <w:p w:rsidR="00486CDE" w:rsidRPr="004A3363" w:rsidRDefault="00486CDE" w:rsidP="00AC4220">
      <w:pPr>
        <w:pStyle w:val="FootnoteText"/>
        <w:rPr>
          <w:rFonts w:ascii="Times New Roman" w:hAnsi="Times New Roman"/>
        </w:rPr>
      </w:pPr>
      <w:r w:rsidRPr="004A3363">
        <w:rPr>
          <w:rStyle w:val="FootnoteReference"/>
          <w:rFonts w:ascii="Times New Roman" w:hAnsi="Times New Roman"/>
        </w:rPr>
        <w:footnoteRef/>
      </w:r>
      <w:r w:rsidRPr="004A3363">
        <w:rPr>
          <w:rFonts w:ascii="Times New Roman" w:hAnsi="Times New Roman"/>
        </w:rPr>
        <w:t xml:space="preserve"> RCW 80.04.130(4).</w:t>
      </w:r>
    </w:p>
  </w:footnote>
  <w:footnote w:id="9">
    <w:p w:rsidR="00486CDE" w:rsidRPr="008047E4" w:rsidRDefault="00486CDE" w:rsidP="00AC4220">
      <w:pPr>
        <w:pStyle w:val="FootnoteText"/>
        <w:rPr>
          <w:rFonts w:ascii="Times New Roman" w:hAnsi="Times New Roman"/>
        </w:rPr>
      </w:pPr>
      <w:r w:rsidRPr="008047E4">
        <w:rPr>
          <w:rStyle w:val="FootnoteReference"/>
          <w:rFonts w:ascii="Times New Roman" w:hAnsi="Times New Roman"/>
        </w:rPr>
        <w:footnoteRef/>
      </w:r>
      <w:r>
        <w:rPr>
          <w:rFonts w:ascii="Times New Roman" w:hAnsi="Times New Roman"/>
        </w:rPr>
        <w:t xml:space="preserve"> </w:t>
      </w:r>
      <w:r w:rsidRPr="008047E4">
        <w:rPr>
          <w:rFonts w:ascii="Times New Roman" w:hAnsi="Times New Roman"/>
        </w:rPr>
        <w:t>Tegland, Kar</w:t>
      </w:r>
      <w:r>
        <w:rPr>
          <w:rFonts w:ascii="Times New Roman" w:hAnsi="Times New Roman"/>
        </w:rPr>
        <w:t>l</w:t>
      </w:r>
      <w:r w:rsidRPr="008047E4">
        <w:rPr>
          <w:rFonts w:ascii="Times New Roman" w:hAnsi="Times New Roman"/>
        </w:rPr>
        <w:t xml:space="preserve"> B., Washington Practice, Vol. 3, §301.2 (4</w:t>
      </w:r>
      <w:r w:rsidRPr="008047E4">
        <w:rPr>
          <w:rFonts w:ascii="Times New Roman" w:hAnsi="Times New Roman"/>
          <w:vertAlign w:val="superscript"/>
        </w:rPr>
        <w:t>th</w:t>
      </w:r>
      <w:r w:rsidRPr="008047E4">
        <w:rPr>
          <w:rFonts w:ascii="Times New Roman" w:hAnsi="Times New Roman"/>
        </w:rPr>
        <w:t xml:space="preserve"> Ed. 1999).</w:t>
      </w:r>
    </w:p>
  </w:footnote>
  <w:footnote w:id="10">
    <w:p w:rsidR="00486CDE" w:rsidRPr="006D648E" w:rsidRDefault="00486CDE">
      <w:pPr>
        <w:pStyle w:val="FootnoteText"/>
        <w:rPr>
          <w:rFonts w:ascii="Times New Roman" w:hAnsi="Times New Roman"/>
        </w:rPr>
      </w:pPr>
      <w:r w:rsidRPr="006D648E">
        <w:rPr>
          <w:rStyle w:val="FootnoteReference"/>
          <w:rFonts w:ascii="Times New Roman" w:hAnsi="Times New Roman"/>
        </w:rPr>
        <w:footnoteRef/>
      </w:r>
      <w:r w:rsidRPr="006D648E">
        <w:rPr>
          <w:rFonts w:ascii="Times New Roman" w:hAnsi="Times New Roman"/>
        </w:rPr>
        <w:t xml:space="preserve"> PSE In</w:t>
      </w:r>
      <w:r>
        <w:rPr>
          <w:rFonts w:ascii="Times New Roman" w:hAnsi="Times New Roman"/>
        </w:rPr>
        <w:t>i</w:t>
      </w:r>
      <w:r w:rsidRPr="006D648E">
        <w:rPr>
          <w:rFonts w:ascii="Times New Roman" w:hAnsi="Times New Roman"/>
        </w:rPr>
        <w:t>tial Br. at ¶¶57-58.</w:t>
      </w:r>
    </w:p>
  </w:footnote>
  <w:footnote w:id="11">
    <w:p w:rsidR="00486CDE" w:rsidRPr="006D648E" w:rsidRDefault="00486CDE">
      <w:pPr>
        <w:pStyle w:val="FootnoteText"/>
        <w:rPr>
          <w:rFonts w:ascii="Times New Roman" w:hAnsi="Times New Roman"/>
        </w:rPr>
      </w:pPr>
      <w:r w:rsidRPr="006D648E">
        <w:rPr>
          <w:rStyle w:val="FootnoteReference"/>
          <w:rFonts w:ascii="Times New Roman" w:hAnsi="Times New Roman"/>
        </w:rPr>
        <w:footnoteRef/>
      </w:r>
      <w:r w:rsidRPr="006D648E">
        <w:rPr>
          <w:rFonts w:ascii="Times New Roman" w:hAnsi="Times New Roman"/>
        </w:rPr>
        <w:t xml:space="preserve"> Staff Initial Br. at ¶¶</w:t>
      </w:r>
      <w:r>
        <w:rPr>
          <w:rFonts w:ascii="Times New Roman" w:hAnsi="Times New Roman"/>
        </w:rPr>
        <w:t xml:space="preserve">14-20 (reduced capital costs) and </w:t>
      </w:r>
      <w:r w:rsidRPr="006D648E">
        <w:rPr>
          <w:rFonts w:ascii="Times New Roman" w:hAnsi="Times New Roman"/>
        </w:rPr>
        <w:t>¶¶</w:t>
      </w:r>
      <w:r>
        <w:rPr>
          <w:rFonts w:ascii="Times New Roman" w:hAnsi="Times New Roman"/>
        </w:rPr>
        <w:t xml:space="preserve">21-25 (reduced Company risk).  </w:t>
      </w:r>
    </w:p>
  </w:footnote>
  <w:footnote w:id="12">
    <w:p w:rsidR="00486CDE" w:rsidRPr="00C96CCD" w:rsidRDefault="00486CDE">
      <w:pPr>
        <w:pStyle w:val="FootnoteText"/>
        <w:rPr>
          <w:rFonts w:ascii="Times New Roman" w:hAnsi="Times New Roman"/>
        </w:rPr>
      </w:pPr>
      <w:r w:rsidRPr="00C96CCD">
        <w:rPr>
          <w:rStyle w:val="FootnoteReference"/>
          <w:rFonts w:ascii="Times New Roman" w:hAnsi="Times New Roman"/>
        </w:rPr>
        <w:footnoteRef/>
      </w:r>
      <w:r w:rsidRPr="00C96CCD">
        <w:rPr>
          <w:rFonts w:ascii="Times New Roman" w:hAnsi="Times New Roman"/>
        </w:rPr>
        <w:t xml:space="preserve"> PSE Initial Br. at ¶50.</w:t>
      </w:r>
    </w:p>
  </w:footnote>
  <w:footnote w:id="13">
    <w:p w:rsidR="00486CDE" w:rsidRDefault="00486CDE" w:rsidP="00C96CCD">
      <w:pPr>
        <w:pStyle w:val="FootnoteText"/>
      </w:pPr>
      <w:r w:rsidRPr="00AF5BC2">
        <w:rPr>
          <w:rStyle w:val="FootnoteReference"/>
          <w:rFonts w:ascii="Times New Roman" w:hAnsi="Times New Roman"/>
        </w:rPr>
        <w:footnoteRef/>
      </w:r>
      <w:r>
        <w:rPr>
          <w:rFonts w:ascii="Times New Roman" w:hAnsi="Times New Roman"/>
        </w:rPr>
        <w:t xml:space="preserve"> Exhibit No. SGH-5C at 1.</w:t>
      </w:r>
    </w:p>
  </w:footnote>
  <w:footnote w:id="14">
    <w:p w:rsidR="00486CDE" w:rsidRPr="00124864" w:rsidRDefault="00486CDE" w:rsidP="00C96CCD">
      <w:pPr>
        <w:pStyle w:val="FootnoteText"/>
        <w:rPr>
          <w:rFonts w:ascii="Times New Roman" w:hAnsi="Times New Roman"/>
        </w:rPr>
      </w:pPr>
      <w:r w:rsidRPr="00124864">
        <w:rPr>
          <w:rStyle w:val="FootnoteReference"/>
          <w:rFonts w:ascii="Times New Roman" w:hAnsi="Times New Roman"/>
        </w:rPr>
        <w:footnoteRef/>
      </w:r>
      <w:r w:rsidRPr="00124864">
        <w:rPr>
          <w:rFonts w:ascii="Times New Roman" w:hAnsi="Times New Roman"/>
        </w:rPr>
        <w:t xml:space="preserve"> Tr. 707:5-16 (Parcell).</w:t>
      </w:r>
    </w:p>
  </w:footnote>
  <w:footnote w:id="15">
    <w:p w:rsidR="00486CDE" w:rsidRPr="00767CF3" w:rsidRDefault="00486CDE">
      <w:pPr>
        <w:pStyle w:val="FootnoteText"/>
        <w:rPr>
          <w:rFonts w:ascii="Times New Roman" w:hAnsi="Times New Roman"/>
        </w:rPr>
      </w:pPr>
      <w:r w:rsidRPr="00767CF3">
        <w:rPr>
          <w:rStyle w:val="FootnoteReference"/>
          <w:rFonts w:ascii="Times New Roman" w:hAnsi="Times New Roman"/>
        </w:rPr>
        <w:footnoteRef/>
      </w:r>
      <w:r w:rsidRPr="00767CF3">
        <w:rPr>
          <w:rFonts w:ascii="Times New Roman" w:hAnsi="Times New Roman"/>
        </w:rPr>
        <w:t xml:space="preserve"> PSE Initial Br. at ¶50</w:t>
      </w:r>
      <w:r>
        <w:rPr>
          <w:rFonts w:ascii="Times New Roman" w:hAnsi="Times New Roman"/>
        </w:rPr>
        <w:t xml:space="preserve">, citing </w:t>
      </w:r>
      <w:r w:rsidRPr="00A84C85">
        <w:rPr>
          <w:rFonts w:ascii="Times New Roman" w:hAnsi="Times New Roman"/>
          <w:i/>
        </w:rPr>
        <w:t>WUTC v. Puget Sound Energy, Inc.</w:t>
      </w:r>
      <w:r w:rsidRPr="00A84C85">
        <w:rPr>
          <w:rFonts w:ascii="Times New Roman" w:hAnsi="Times New Roman"/>
        </w:rPr>
        <w:t>, Dockets UE-040641 and UG-040640, Order 06 at ¶27 (February 1</w:t>
      </w:r>
      <w:r>
        <w:rPr>
          <w:rFonts w:ascii="Times New Roman" w:hAnsi="Times New Roman"/>
        </w:rPr>
        <w:t>8, 2007)</w:t>
      </w:r>
      <w:r w:rsidRPr="00083D0F">
        <w:rPr>
          <w:rFonts w:ascii="Times New Roman" w:hAnsi="Times New Roman"/>
        </w:rPr>
        <w:t>.</w:t>
      </w:r>
    </w:p>
  </w:footnote>
  <w:footnote w:id="16">
    <w:p w:rsidR="00486CDE" w:rsidRPr="00E828A5" w:rsidRDefault="00486CDE">
      <w:pPr>
        <w:pStyle w:val="FootnoteText"/>
        <w:rPr>
          <w:rFonts w:ascii="Times New Roman" w:hAnsi="Times New Roman"/>
        </w:rPr>
      </w:pPr>
      <w:r w:rsidRPr="00E828A5">
        <w:rPr>
          <w:rStyle w:val="FootnoteReference"/>
          <w:rFonts w:ascii="Times New Roman" w:hAnsi="Times New Roman"/>
        </w:rPr>
        <w:footnoteRef/>
      </w:r>
      <w:r w:rsidRPr="00E828A5">
        <w:rPr>
          <w:rFonts w:ascii="Times New Roman" w:hAnsi="Times New Roman"/>
        </w:rPr>
        <w:t xml:space="preserve"> Exhibit No. DCP-1T at 25:17-26:7.</w:t>
      </w:r>
    </w:p>
  </w:footnote>
  <w:footnote w:id="17">
    <w:p w:rsidR="00486CDE" w:rsidRPr="007C516D" w:rsidRDefault="00486CDE">
      <w:pPr>
        <w:pStyle w:val="FootnoteText"/>
        <w:rPr>
          <w:rFonts w:ascii="Times New Roman" w:hAnsi="Times New Roman"/>
        </w:rPr>
      </w:pPr>
      <w:r w:rsidRPr="007C516D">
        <w:rPr>
          <w:rStyle w:val="FootnoteReference"/>
          <w:rFonts w:ascii="Times New Roman" w:hAnsi="Times New Roman"/>
        </w:rPr>
        <w:footnoteRef/>
      </w:r>
      <w:r w:rsidRPr="007C516D">
        <w:rPr>
          <w:rFonts w:ascii="Times New Roman" w:hAnsi="Times New Roman"/>
        </w:rPr>
        <w:t xml:space="preserve"> PSE Initial Br. at ¶49.</w:t>
      </w:r>
    </w:p>
  </w:footnote>
  <w:footnote w:id="18">
    <w:p w:rsidR="00486CDE" w:rsidRPr="007E0FC4" w:rsidRDefault="00486CDE">
      <w:pPr>
        <w:pStyle w:val="FootnoteText"/>
        <w:rPr>
          <w:rFonts w:ascii="Times New Roman" w:hAnsi="Times New Roman"/>
        </w:rPr>
      </w:pPr>
      <w:r w:rsidRPr="007E0FC4">
        <w:rPr>
          <w:rStyle w:val="FootnoteReference"/>
          <w:rFonts w:ascii="Times New Roman" w:hAnsi="Times New Roman"/>
        </w:rPr>
        <w:footnoteRef/>
      </w:r>
      <w:r w:rsidRPr="007E0FC4">
        <w:rPr>
          <w:rFonts w:ascii="Times New Roman" w:hAnsi="Times New Roman"/>
        </w:rPr>
        <w:t xml:space="preserve"> PSE Initial Br. at ¶52.</w:t>
      </w:r>
    </w:p>
  </w:footnote>
  <w:footnote w:id="19">
    <w:p w:rsidR="00486CDE" w:rsidRPr="00233D13" w:rsidRDefault="00486CDE">
      <w:pPr>
        <w:pStyle w:val="FootnoteText"/>
        <w:rPr>
          <w:rFonts w:ascii="Times New Roman" w:hAnsi="Times New Roman"/>
        </w:rPr>
      </w:pPr>
      <w:r w:rsidRPr="005376D8">
        <w:rPr>
          <w:rStyle w:val="FootnoteReference"/>
          <w:rFonts w:ascii="Times New Roman" w:hAnsi="Times New Roman"/>
        </w:rPr>
        <w:footnoteRef/>
      </w:r>
      <w:r w:rsidRPr="005376D8">
        <w:rPr>
          <w:rFonts w:ascii="Times New Roman" w:hAnsi="Times New Roman"/>
        </w:rPr>
        <w:t xml:space="preserve"> PSE Initial Br. at ¶57.  The returns on equity of the combination utilities are upwardly biased because they rely upon on analytical studies that include the non-regulated operations of those holding companies. </w:t>
      </w:r>
      <w:r>
        <w:rPr>
          <w:rFonts w:ascii="Times New Roman" w:hAnsi="Times New Roman"/>
        </w:rPr>
        <w:t xml:space="preserve"> </w:t>
      </w:r>
      <w:r w:rsidRPr="005376D8">
        <w:rPr>
          <w:rFonts w:ascii="Times New Roman" w:hAnsi="Times New Roman"/>
        </w:rPr>
        <w:t>Exhibit No. DEG-12 (Staff Response to PSE Data Request No. 7).</w:t>
      </w:r>
    </w:p>
  </w:footnote>
  <w:footnote w:id="20">
    <w:p w:rsidR="00486CDE" w:rsidRPr="00C40F10" w:rsidRDefault="00486CDE" w:rsidP="001D7857">
      <w:pPr>
        <w:ind w:right="-252"/>
        <w:rPr>
          <w:rFonts w:ascii="Times New Roman" w:hAnsi="Times New Roman"/>
          <w:sz w:val="20"/>
          <w:szCs w:val="20"/>
        </w:rPr>
      </w:pPr>
      <w:r w:rsidRPr="00C40F10">
        <w:rPr>
          <w:rStyle w:val="FootnoteReference"/>
          <w:rFonts w:ascii="Times New Roman" w:hAnsi="Times New Roman"/>
          <w:sz w:val="20"/>
          <w:szCs w:val="20"/>
        </w:rPr>
        <w:footnoteRef/>
      </w:r>
      <w:r w:rsidRPr="00C40F10">
        <w:rPr>
          <w:rFonts w:ascii="Times New Roman" w:hAnsi="Times New Roman"/>
          <w:sz w:val="20"/>
          <w:szCs w:val="20"/>
        </w:rPr>
        <w:t xml:space="preserve"> </w:t>
      </w:r>
      <w:r w:rsidRPr="00C40F10">
        <w:rPr>
          <w:rFonts w:ascii="Times New Roman" w:hAnsi="Times New Roman"/>
          <w:i/>
          <w:sz w:val="20"/>
          <w:szCs w:val="20"/>
        </w:rPr>
        <w:t>WUTC v. Puget Sound Energy, Inc</w:t>
      </w:r>
      <w:r w:rsidRPr="00C40F10">
        <w:rPr>
          <w:rFonts w:ascii="Times New Roman" w:hAnsi="Times New Roman"/>
          <w:sz w:val="20"/>
          <w:szCs w:val="20"/>
        </w:rPr>
        <w:t>., Dockets UE-060266 and UG-060267, Order 08 at ¶84 (January 5, 2007)</w:t>
      </w:r>
      <w:r>
        <w:rPr>
          <w:rFonts w:ascii="Times New Roman" w:hAnsi="Times New Roman"/>
          <w:sz w:val="20"/>
          <w:szCs w:val="20"/>
        </w:rPr>
        <w:t>.</w:t>
      </w:r>
    </w:p>
  </w:footnote>
  <w:footnote w:id="21">
    <w:p w:rsidR="00486CDE" w:rsidRPr="00831345" w:rsidRDefault="00486CDE">
      <w:pPr>
        <w:pStyle w:val="FootnoteText"/>
        <w:rPr>
          <w:rFonts w:ascii="Times New Roman" w:hAnsi="Times New Roman"/>
        </w:rPr>
      </w:pPr>
      <w:r w:rsidRPr="00831345">
        <w:rPr>
          <w:rStyle w:val="FootnoteReference"/>
          <w:rFonts w:ascii="Times New Roman" w:hAnsi="Times New Roman"/>
        </w:rPr>
        <w:footnoteRef/>
      </w:r>
      <w:r w:rsidRPr="00831345">
        <w:rPr>
          <w:rFonts w:ascii="Times New Roman" w:hAnsi="Times New Roman"/>
        </w:rPr>
        <w:t xml:space="preserve"> Staff Initial Br. at ¶¶14-24.</w:t>
      </w:r>
    </w:p>
  </w:footnote>
  <w:footnote w:id="22">
    <w:p w:rsidR="00486CDE" w:rsidRPr="002F1C45" w:rsidRDefault="00486CDE">
      <w:pPr>
        <w:pStyle w:val="FootnoteText"/>
        <w:rPr>
          <w:rFonts w:ascii="Times New Roman" w:hAnsi="Times New Roman"/>
        </w:rPr>
      </w:pPr>
      <w:r w:rsidRPr="002F1C45">
        <w:rPr>
          <w:rStyle w:val="FootnoteReference"/>
          <w:rFonts w:ascii="Times New Roman" w:hAnsi="Times New Roman"/>
        </w:rPr>
        <w:footnoteRef/>
      </w:r>
      <w:r w:rsidRPr="002F1C45">
        <w:rPr>
          <w:rFonts w:ascii="Times New Roman" w:hAnsi="Times New Roman"/>
        </w:rPr>
        <w:t xml:space="preserve"> The results</w:t>
      </w:r>
      <w:r>
        <w:rPr>
          <w:rFonts w:ascii="Times New Roman" w:hAnsi="Times New Roman"/>
        </w:rPr>
        <w:t xml:space="preserve"> of these studies are summarized at ¶</w:t>
      </w:r>
      <w:r w:rsidRPr="002F1C45">
        <w:rPr>
          <w:rFonts w:ascii="Times New Roman" w:hAnsi="Times New Roman"/>
        </w:rPr>
        <w:t>26 of Staff’s Initial Brief.</w:t>
      </w:r>
    </w:p>
  </w:footnote>
  <w:footnote w:id="23">
    <w:p w:rsidR="00486CDE" w:rsidRPr="009C45F5" w:rsidRDefault="00486CDE">
      <w:pPr>
        <w:pStyle w:val="FootnoteText"/>
        <w:rPr>
          <w:rFonts w:ascii="Times New Roman" w:hAnsi="Times New Roman"/>
        </w:rPr>
      </w:pPr>
      <w:r w:rsidRPr="009C45F5">
        <w:rPr>
          <w:rStyle w:val="FootnoteReference"/>
          <w:rFonts w:ascii="Times New Roman" w:hAnsi="Times New Roman"/>
        </w:rPr>
        <w:footnoteRef/>
      </w:r>
      <w:r w:rsidRPr="009C45F5">
        <w:rPr>
          <w:rFonts w:ascii="Times New Roman" w:hAnsi="Times New Roman"/>
        </w:rPr>
        <w:t xml:space="preserve"> PSE Initial Br. at ¶61.</w:t>
      </w:r>
      <w:r>
        <w:rPr>
          <w:rFonts w:ascii="Times New Roman" w:hAnsi="Times New Roman"/>
        </w:rPr>
        <w:t xml:space="preserve">  The Company debunks CAPM on brief even though Dr. Morin touted CAPM as the “fundamental paradigm of finance.”  Exhibit No. RAM-1T at 23:5-6.</w:t>
      </w:r>
    </w:p>
  </w:footnote>
  <w:footnote w:id="24">
    <w:p w:rsidR="00486CDE" w:rsidRPr="00815F6E" w:rsidRDefault="00486CDE">
      <w:pPr>
        <w:pStyle w:val="FootnoteText"/>
        <w:rPr>
          <w:rFonts w:ascii="Times New Roman" w:hAnsi="Times New Roman"/>
        </w:rPr>
      </w:pPr>
      <w:r w:rsidRPr="00815F6E">
        <w:rPr>
          <w:rStyle w:val="FootnoteReference"/>
          <w:rFonts w:ascii="Times New Roman" w:hAnsi="Times New Roman"/>
        </w:rPr>
        <w:footnoteRef/>
      </w:r>
      <w:r w:rsidRPr="00815F6E">
        <w:rPr>
          <w:rFonts w:ascii="Times New Roman" w:hAnsi="Times New Roman"/>
        </w:rPr>
        <w:t xml:space="preserve"> Exhibit No. DCP-1T at 34:20-35:16 and Tr. 697:11-689:17 (Parcell). </w:t>
      </w:r>
    </w:p>
  </w:footnote>
  <w:footnote w:id="25">
    <w:p w:rsidR="00486CDE" w:rsidRPr="007F16BF" w:rsidRDefault="00486CDE" w:rsidP="004306D9">
      <w:pPr>
        <w:pStyle w:val="FootnoteText"/>
        <w:ind w:right="-252"/>
        <w:rPr>
          <w:rFonts w:ascii="Times New Roman" w:hAnsi="Times New Roman"/>
        </w:rPr>
      </w:pPr>
      <w:r w:rsidRPr="007F16BF">
        <w:rPr>
          <w:rStyle w:val="FootnoteReference"/>
          <w:rFonts w:ascii="Times New Roman" w:hAnsi="Times New Roman"/>
        </w:rPr>
        <w:footnoteRef/>
      </w:r>
      <w:r w:rsidRPr="007F16BF">
        <w:rPr>
          <w:rFonts w:ascii="Times New Roman" w:hAnsi="Times New Roman"/>
        </w:rPr>
        <w:t xml:space="preserve"> PSE Initial Br. at ¶58.</w:t>
      </w:r>
      <w:r>
        <w:rPr>
          <w:rFonts w:ascii="Times New Roman" w:hAnsi="Times New Roman"/>
        </w:rPr>
        <w:t xml:space="preserve">  </w:t>
      </w:r>
    </w:p>
  </w:footnote>
  <w:footnote w:id="26">
    <w:p w:rsidR="00486CDE" w:rsidRDefault="00486CDE" w:rsidP="004306D9">
      <w:pPr>
        <w:pStyle w:val="FootnoteText"/>
        <w:ind w:right="-252"/>
      </w:pPr>
      <w:r w:rsidRPr="004306D9">
        <w:rPr>
          <w:rStyle w:val="FootnoteReference"/>
          <w:rFonts w:ascii="Times New Roman" w:hAnsi="Times New Roman"/>
        </w:rPr>
        <w:footnoteRef/>
      </w:r>
      <w:r w:rsidRPr="004306D9">
        <w:rPr>
          <w:rFonts w:ascii="Times New Roman" w:hAnsi="Times New Roman"/>
        </w:rPr>
        <w:t xml:space="preserve"> PSE’s argument also ignores recent decisions by this Commission authorizing much lower returns on equity (10.2 percent) than what PSE claims is the norm for other regulatory commissions.  </w:t>
      </w:r>
      <w:r w:rsidRPr="004306D9">
        <w:rPr>
          <w:rFonts w:ascii="Times New Roman" w:hAnsi="Times New Roman"/>
          <w:i/>
        </w:rPr>
        <w:t>WUTC v. Avista Corporation, d/b/a Avista Utilities</w:t>
      </w:r>
      <w:r w:rsidRPr="004306D9">
        <w:rPr>
          <w:rFonts w:ascii="Times New Roman" w:hAnsi="Times New Roman"/>
        </w:rPr>
        <w:t>, Dockets</w:t>
      </w:r>
      <w:r w:rsidRPr="00233D13">
        <w:rPr>
          <w:rFonts w:ascii="Times New Roman" w:hAnsi="Times New Roman"/>
        </w:rPr>
        <w:t xml:space="preserve"> UE-090134 and UG-090135, Order 10 (December 22, 2009)  and </w:t>
      </w:r>
      <w:r w:rsidRPr="00233D13">
        <w:rPr>
          <w:rFonts w:ascii="Times New Roman" w:hAnsi="Times New Roman"/>
          <w:i/>
        </w:rPr>
        <w:t>WUTC v. PacifiCorp, d/b/a Pacific Power &amp; Light Co</w:t>
      </w:r>
      <w:r w:rsidRPr="00233D13">
        <w:rPr>
          <w:rFonts w:ascii="Times New Roman" w:hAnsi="Times New Roman"/>
        </w:rPr>
        <w:t xml:space="preserve">., Docket UE-090205, Order 09 at ¶76 (December 16, 2009).  </w:t>
      </w:r>
    </w:p>
  </w:footnote>
  <w:footnote w:id="27">
    <w:p w:rsidR="00486CDE" w:rsidRPr="00C40F10" w:rsidRDefault="00486CDE" w:rsidP="00C40F10">
      <w:pPr>
        <w:pStyle w:val="FootnoteText"/>
        <w:rPr>
          <w:rFonts w:ascii="Times New Roman" w:hAnsi="Times New Roman"/>
        </w:rPr>
      </w:pPr>
      <w:r w:rsidRPr="00C40F10">
        <w:rPr>
          <w:rStyle w:val="FootnoteReference"/>
          <w:rFonts w:ascii="Times New Roman" w:hAnsi="Times New Roman"/>
        </w:rPr>
        <w:footnoteRef/>
      </w:r>
      <w:r w:rsidRPr="00C40F10">
        <w:rPr>
          <w:rFonts w:ascii="Times New Roman" w:hAnsi="Times New Roman"/>
        </w:rPr>
        <w:t xml:space="preserve"> PSE Initial Br. at ¶65.</w:t>
      </w:r>
    </w:p>
  </w:footnote>
  <w:footnote w:id="28">
    <w:p w:rsidR="00486CDE" w:rsidRPr="00BA6118" w:rsidRDefault="00486CDE">
      <w:pPr>
        <w:pStyle w:val="FootnoteText"/>
        <w:rPr>
          <w:rFonts w:ascii="Times New Roman" w:hAnsi="Times New Roman"/>
        </w:rPr>
      </w:pPr>
      <w:r w:rsidRPr="00BA6118">
        <w:rPr>
          <w:rStyle w:val="FootnoteReference"/>
          <w:rFonts w:ascii="Times New Roman" w:hAnsi="Times New Roman"/>
        </w:rPr>
        <w:footnoteRef/>
      </w:r>
      <w:r w:rsidRPr="00BA6118">
        <w:rPr>
          <w:rFonts w:ascii="Times New Roman" w:hAnsi="Times New Roman"/>
        </w:rPr>
        <w:t xml:space="preserve"> Exhibit No. DEG-5C at 5:31-33.</w:t>
      </w:r>
    </w:p>
  </w:footnote>
  <w:footnote w:id="29">
    <w:p w:rsidR="00486CDE" w:rsidRPr="00AD0942" w:rsidRDefault="00486CDE" w:rsidP="00AD0942">
      <w:pPr>
        <w:pStyle w:val="FootnoteText"/>
        <w:rPr>
          <w:rFonts w:ascii="Times New Roman" w:hAnsi="Times New Roman"/>
        </w:rPr>
      </w:pPr>
      <w:r w:rsidRPr="000F7836">
        <w:rPr>
          <w:rStyle w:val="FootnoteReference"/>
          <w:rFonts w:ascii="Times New Roman" w:hAnsi="Times New Roman"/>
        </w:rPr>
        <w:footnoteRef/>
      </w:r>
      <w:r w:rsidRPr="000F7836">
        <w:rPr>
          <w:rFonts w:ascii="Times New Roman" w:hAnsi="Times New Roman"/>
        </w:rPr>
        <w:t xml:space="preserve"> Exhibit No. KHB-1TC at 14:15-19 and 16:21-17:1.</w:t>
      </w:r>
      <w:r w:rsidRPr="00AD0942">
        <w:rPr>
          <w:rFonts w:ascii="Times New Roman" w:hAnsi="Times New Roman"/>
          <w:sz w:val="24"/>
        </w:rPr>
        <w:t xml:space="preserve"> </w:t>
      </w:r>
      <w:r>
        <w:rPr>
          <w:rFonts w:ascii="Times New Roman" w:hAnsi="Times New Roman"/>
          <w:sz w:val="24"/>
        </w:rPr>
        <w:t xml:space="preserve"> </w:t>
      </w:r>
      <w:r w:rsidRPr="00AD0942">
        <w:rPr>
          <w:rFonts w:ascii="Times New Roman" w:hAnsi="Times New Roman"/>
        </w:rPr>
        <w:t>For facilities with long-term service contracts, the cost is amortized until the next planned major maintenance event.  For peaking plants or plants without long-term service agreements, the cost is recognized as incurred under the direct expense method.</w:t>
      </w:r>
    </w:p>
  </w:footnote>
  <w:footnote w:id="30">
    <w:p w:rsidR="00486CDE" w:rsidRPr="002E0481" w:rsidRDefault="00486CDE" w:rsidP="00AD0942">
      <w:pPr>
        <w:pStyle w:val="FootnoteText"/>
        <w:rPr>
          <w:rFonts w:ascii="Times New Roman" w:hAnsi="Times New Roman"/>
        </w:rPr>
      </w:pPr>
      <w:r w:rsidRPr="002E0481">
        <w:rPr>
          <w:rStyle w:val="FootnoteReference"/>
          <w:rFonts w:ascii="Times New Roman" w:hAnsi="Times New Roman"/>
        </w:rPr>
        <w:footnoteRef/>
      </w:r>
      <w:r w:rsidRPr="002E0481">
        <w:rPr>
          <w:rFonts w:ascii="Times New Roman" w:hAnsi="Times New Roman"/>
        </w:rPr>
        <w:t xml:space="preserve"> Exhibit No. LEO-13CT at 4:3-9</w:t>
      </w:r>
      <w:r>
        <w:rPr>
          <w:rFonts w:ascii="Times New Roman" w:hAnsi="Times New Roman"/>
        </w:rPr>
        <w:t xml:space="preserve"> and Tr. 789:1-14 (Odom).</w:t>
      </w:r>
    </w:p>
  </w:footnote>
  <w:footnote w:id="31">
    <w:p w:rsidR="00486CDE" w:rsidRPr="00AD0942" w:rsidRDefault="00486CDE">
      <w:pPr>
        <w:pStyle w:val="FootnoteText"/>
        <w:rPr>
          <w:rFonts w:ascii="Times New Roman" w:hAnsi="Times New Roman"/>
        </w:rPr>
      </w:pPr>
      <w:r w:rsidRPr="00AD0942">
        <w:rPr>
          <w:rStyle w:val="FootnoteReference"/>
          <w:rFonts w:ascii="Times New Roman" w:hAnsi="Times New Roman"/>
        </w:rPr>
        <w:footnoteRef/>
      </w:r>
      <w:r w:rsidRPr="00AD0942">
        <w:rPr>
          <w:rFonts w:ascii="Times New Roman" w:hAnsi="Times New Roman"/>
        </w:rPr>
        <w:t xml:space="preserve"> PSE Initial Br. at ¶87.</w:t>
      </w:r>
    </w:p>
  </w:footnote>
  <w:footnote w:id="32">
    <w:p w:rsidR="00486CDE" w:rsidRPr="00AD0942" w:rsidRDefault="00486CDE" w:rsidP="00AD0942">
      <w:pPr>
        <w:pStyle w:val="FootnoteText"/>
        <w:rPr>
          <w:rFonts w:ascii="Times New Roman" w:hAnsi="Times New Roman"/>
        </w:rPr>
      </w:pPr>
      <w:r w:rsidRPr="00AD0942">
        <w:rPr>
          <w:rStyle w:val="FootnoteReference"/>
          <w:rFonts w:ascii="Times New Roman" w:hAnsi="Times New Roman"/>
        </w:rPr>
        <w:footnoteRef/>
      </w:r>
      <w:r>
        <w:rPr>
          <w:rFonts w:ascii="Times New Roman" w:hAnsi="Times New Roman"/>
        </w:rPr>
        <w:t xml:space="preserve"> Exhibit No. JHS-29</w:t>
      </w:r>
      <w:r w:rsidRPr="00AD0942">
        <w:rPr>
          <w:rFonts w:ascii="Times New Roman" w:hAnsi="Times New Roman"/>
        </w:rPr>
        <w:t>.</w:t>
      </w:r>
    </w:p>
  </w:footnote>
  <w:footnote w:id="33">
    <w:p w:rsidR="00486CDE" w:rsidRPr="006A08CB" w:rsidRDefault="00486CDE">
      <w:pPr>
        <w:pStyle w:val="FootnoteText"/>
        <w:rPr>
          <w:rFonts w:ascii="Times New Roman" w:hAnsi="Times New Roman"/>
        </w:rPr>
      </w:pPr>
      <w:r w:rsidRPr="006A08CB">
        <w:rPr>
          <w:rStyle w:val="FootnoteReference"/>
          <w:rFonts w:ascii="Times New Roman" w:hAnsi="Times New Roman"/>
        </w:rPr>
        <w:footnoteRef/>
      </w:r>
      <w:r w:rsidRPr="006A08CB">
        <w:rPr>
          <w:rFonts w:ascii="Times New Roman" w:hAnsi="Times New Roman"/>
        </w:rPr>
        <w:t xml:space="preserve"> Staff Initial Br. at ¶¶99-102.</w:t>
      </w:r>
    </w:p>
  </w:footnote>
  <w:footnote w:id="34">
    <w:p w:rsidR="00486CDE" w:rsidRPr="00B7309B" w:rsidRDefault="00486CDE" w:rsidP="006A08CB">
      <w:pPr>
        <w:pStyle w:val="FootnoteText"/>
        <w:rPr>
          <w:rFonts w:ascii="Times New Roman" w:hAnsi="Times New Roman"/>
        </w:rPr>
      </w:pPr>
      <w:r w:rsidRPr="00B7309B">
        <w:rPr>
          <w:rStyle w:val="FootnoteReference"/>
          <w:rFonts w:ascii="Times New Roman" w:hAnsi="Times New Roman"/>
        </w:rPr>
        <w:footnoteRef/>
      </w:r>
      <w:r w:rsidRPr="00B7309B">
        <w:rPr>
          <w:rFonts w:ascii="Times New Roman" w:hAnsi="Times New Roman"/>
        </w:rPr>
        <w:t xml:space="preserve"> See, for example, Adjustments 10.1</w:t>
      </w:r>
      <w:r>
        <w:rPr>
          <w:rFonts w:ascii="Times New Roman" w:hAnsi="Times New Roman"/>
        </w:rPr>
        <w:t xml:space="preserve">5 and 9.10, Property Tax.  </w:t>
      </w:r>
      <w:r w:rsidRPr="00B7309B">
        <w:rPr>
          <w:rFonts w:ascii="Times New Roman" w:hAnsi="Times New Roman"/>
        </w:rPr>
        <w:t>PSE’s projections changed 187 percent and 24 percent for electric and natural gas operations, respectively.  Exhibit No. B-2 at Attachment C, page 2.22, Exhibit No. MJS-9 at 9.10, and Exhibit B-2 at Attachment D, page 3.15.  See also, Adjustment 10.03, Power Cost, where the Company’s projections for total production O&amp;M expense decreased 23 percent</w:t>
      </w:r>
      <w:r>
        <w:rPr>
          <w:rFonts w:ascii="Times New Roman" w:hAnsi="Times New Roman"/>
        </w:rPr>
        <w:t>.</w:t>
      </w:r>
      <w:r w:rsidRPr="00B7309B">
        <w:rPr>
          <w:rFonts w:ascii="Times New Roman" w:hAnsi="Times New Roman"/>
        </w:rPr>
        <w:t xml:space="preserve"> </w:t>
      </w:r>
      <w:r>
        <w:rPr>
          <w:rFonts w:ascii="Times New Roman" w:hAnsi="Times New Roman"/>
        </w:rPr>
        <w:t xml:space="preserve"> </w:t>
      </w:r>
      <w:r w:rsidRPr="00F26706">
        <w:rPr>
          <w:rFonts w:ascii="Times New Roman" w:hAnsi="Times New Roman"/>
        </w:rPr>
        <w:t xml:space="preserve">Exhibit No. DEM-15, column entitled “Difference From 9.28 Update”, lines for Colstrip 1/2, Colstrip 3/4, Upper Baker &amp; Baker Licensing, Snoqualmie 1/2, incl Licensing, Freddie 1, </w:t>
      </w:r>
      <w:r>
        <w:rPr>
          <w:rFonts w:ascii="Times New Roman" w:hAnsi="Times New Roman"/>
        </w:rPr>
        <w:t xml:space="preserve">Mint Farm, </w:t>
      </w:r>
      <w:r w:rsidRPr="00F26706">
        <w:rPr>
          <w:rFonts w:ascii="Times New Roman" w:hAnsi="Times New Roman"/>
        </w:rPr>
        <w:t>Hopkins Ridge + Expansion, and Wild Horse and Wild Horse Expansion.</w:t>
      </w:r>
    </w:p>
  </w:footnote>
  <w:footnote w:id="35">
    <w:p w:rsidR="00486CDE" w:rsidRDefault="00486CDE">
      <w:pPr>
        <w:pStyle w:val="FootnoteText"/>
      </w:pPr>
      <w:r w:rsidRPr="00EB31D8">
        <w:rPr>
          <w:rStyle w:val="FootnoteReference"/>
          <w:rFonts w:ascii="Times New Roman" w:hAnsi="Times New Roman"/>
        </w:rPr>
        <w:footnoteRef/>
      </w:r>
      <w:r w:rsidRPr="00EB31D8">
        <w:rPr>
          <w:rFonts w:ascii="Times New Roman" w:hAnsi="Times New Roman"/>
        </w:rPr>
        <w:t xml:space="preserve"> See, for example, Adjustm</w:t>
      </w:r>
      <w:r>
        <w:rPr>
          <w:rFonts w:ascii="Times New Roman" w:hAnsi="Times New Roman"/>
        </w:rPr>
        <w:t xml:space="preserve">ent 10.07, Wild Horse Expansion.  </w:t>
      </w:r>
      <w:r w:rsidRPr="00EB31D8">
        <w:rPr>
          <w:rFonts w:ascii="Times New Roman" w:hAnsi="Times New Roman"/>
        </w:rPr>
        <w:t>PSE’s forecast decreased $5,469,920 (5.3 percent) for plant investment, increased $1,295,256 (5630.1 percent) for wheeling, decreased $82,056 (100.0 percent) for property insurance, and decreased $274,947 (61.4 percent) for property taxes.  Compare Exhibit No. JHS-10 at 13 with Exhibit No. B-2 at Attachment C, page 2.14.  Similarly, Adjustment 10.08, Mint Farm, saw forecasts that decreased $3,922,732 (1.6 percent) for plant including acquisition costs, decreased $401,950 (52.1 percent) for property insurance, decreased $475,252 (36.7 percent) for property tax, decreased $2,864,717 (4.6 percent) for fuel expense, and decreased $4,148,029 (44.30 percent) for O&amp;M expense</w:t>
      </w:r>
      <w:r>
        <w:rPr>
          <w:rFonts w:ascii="Times New Roman" w:hAnsi="Times New Roman"/>
        </w:rPr>
        <w:t>.  Compare Exhibit No. B</w:t>
      </w:r>
      <w:r w:rsidRPr="00EF648B">
        <w:rPr>
          <w:rFonts w:ascii="Times New Roman" w:hAnsi="Times New Roman"/>
        </w:rPr>
        <w:t>-2</w:t>
      </w:r>
      <w:r>
        <w:rPr>
          <w:rFonts w:ascii="Times New Roman" w:hAnsi="Times New Roman"/>
        </w:rPr>
        <w:t xml:space="preserve"> at Attachment C, page 2.15 with </w:t>
      </w:r>
      <w:r w:rsidRPr="00EF648B">
        <w:rPr>
          <w:rFonts w:ascii="Times New Roman" w:hAnsi="Times New Roman"/>
        </w:rPr>
        <w:t>Exhibit No. JHS-10 at 14</w:t>
      </w:r>
      <w:r>
        <w:t xml:space="preserve">.  </w:t>
      </w:r>
    </w:p>
    <w:p w:rsidR="00486CDE" w:rsidRPr="00A83D5E" w:rsidRDefault="00486CDE" w:rsidP="004306D9">
      <w:pPr>
        <w:pStyle w:val="FootnoteText"/>
        <w:ind w:firstLine="720"/>
        <w:rPr>
          <w:rFonts w:ascii="Times New Roman" w:hAnsi="Times New Roman"/>
        </w:rPr>
      </w:pPr>
      <w:r>
        <w:rPr>
          <w:rFonts w:ascii="Times New Roman" w:hAnsi="Times New Roman"/>
        </w:rPr>
        <w:t>The volatility of the property tax projections for all of the individual plant adjustments is not surprising given that Company property is not assessed individually and the tax levy rates have not been fixed.  Exhibit No. MRM-5.</w:t>
      </w:r>
    </w:p>
  </w:footnote>
  <w:footnote w:id="36">
    <w:p w:rsidR="00486CDE" w:rsidRPr="00AE2313" w:rsidRDefault="00486CDE">
      <w:pPr>
        <w:pStyle w:val="FootnoteText"/>
        <w:rPr>
          <w:rFonts w:ascii="Times New Roman" w:hAnsi="Times New Roman"/>
        </w:rPr>
      </w:pPr>
      <w:r w:rsidRPr="00AE2313">
        <w:rPr>
          <w:rStyle w:val="FootnoteReference"/>
          <w:rFonts w:ascii="Times New Roman" w:hAnsi="Times New Roman"/>
        </w:rPr>
        <w:footnoteRef/>
      </w:r>
      <w:r w:rsidRPr="00AE2313">
        <w:rPr>
          <w:rFonts w:ascii="Times New Roman" w:hAnsi="Times New Roman"/>
        </w:rPr>
        <w:t xml:space="preserve"> PSE Initial Br. at ¶¶2 and 69.</w:t>
      </w:r>
    </w:p>
  </w:footnote>
  <w:footnote w:id="37">
    <w:p w:rsidR="00486CDE" w:rsidRPr="00C6776E" w:rsidRDefault="00486CDE">
      <w:pPr>
        <w:pStyle w:val="FootnoteText"/>
        <w:rPr>
          <w:rFonts w:ascii="Times New Roman" w:hAnsi="Times New Roman"/>
        </w:rPr>
      </w:pPr>
      <w:r w:rsidRPr="00C6776E">
        <w:rPr>
          <w:rStyle w:val="FootnoteReference"/>
          <w:rFonts w:ascii="Times New Roman" w:hAnsi="Times New Roman"/>
        </w:rPr>
        <w:footnoteRef/>
      </w:r>
      <w:r w:rsidRPr="00C6776E">
        <w:rPr>
          <w:rFonts w:ascii="Times New Roman" w:hAnsi="Times New Roman"/>
        </w:rPr>
        <w:t xml:space="preserve"> Staff Initial Br. at ¶¶50-53</w:t>
      </w:r>
      <w:r>
        <w:rPr>
          <w:rFonts w:ascii="Times New Roman" w:hAnsi="Times New Roman"/>
        </w:rPr>
        <w:t xml:space="preserve">, discussing, </w:t>
      </w:r>
      <w:r w:rsidRPr="000D4128">
        <w:rPr>
          <w:rFonts w:ascii="Times New Roman" w:hAnsi="Times New Roman"/>
          <w:i/>
        </w:rPr>
        <w:t>WUTC v. Avista Corporation</w:t>
      </w:r>
      <w:r>
        <w:rPr>
          <w:rFonts w:ascii="Times New Roman" w:hAnsi="Times New Roman"/>
          <w:i/>
        </w:rPr>
        <w:t>, d/b/a Avista Utili</w:t>
      </w:r>
      <w:r w:rsidRPr="000D4128">
        <w:rPr>
          <w:rFonts w:ascii="Times New Roman" w:hAnsi="Times New Roman"/>
          <w:i/>
        </w:rPr>
        <w:t>ties</w:t>
      </w:r>
      <w:r>
        <w:rPr>
          <w:rFonts w:ascii="Times New Roman" w:hAnsi="Times New Roman"/>
        </w:rPr>
        <w:t xml:space="preserve">, Dockets </w:t>
      </w:r>
      <w:r w:rsidRPr="000D4128">
        <w:rPr>
          <w:rFonts w:ascii="Times New Roman" w:hAnsi="Times New Roman"/>
        </w:rPr>
        <w:t xml:space="preserve">UE-090134 and UG-090135, Order 10 </w:t>
      </w:r>
      <w:r>
        <w:rPr>
          <w:rFonts w:ascii="Times New Roman" w:hAnsi="Times New Roman"/>
        </w:rPr>
        <w:t>(</w:t>
      </w:r>
      <w:r w:rsidRPr="000D4128">
        <w:rPr>
          <w:rFonts w:ascii="Times New Roman" w:hAnsi="Times New Roman"/>
        </w:rPr>
        <w:t>December 22, 2009)</w:t>
      </w:r>
      <w:r w:rsidRPr="00C6776E">
        <w:rPr>
          <w:rFonts w:ascii="Times New Roman" w:hAnsi="Times New Roman"/>
        </w:rPr>
        <w:t>.</w:t>
      </w:r>
    </w:p>
  </w:footnote>
  <w:footnote w:id="38">
    <w:p w:rsidR="00486CDE" w:rsidRPr="001609C5" w:rsidRDefault="00486CDE">
      <w:pPr>
        <w:pStyle w:val="FootnoteText"/>
        <w:rPr>
          <w:rFonts w:ascii="Times New Roman" w:hAnsi="Times New Roman"/>
        </w:rPr>
      </w:pPr>
      <w:r w:rsidRPr="001609C5">
        <w:rPr>
          <w:rStyle w:val="FootnoteReference"/>
          <w:rFonts w:ascii="Times New Roman" w:hAnsi="Times New Roman"/>
        </w:rPr>
        <w:footnoteRef/>
      </w:r>
      <w:r w:rsidRPr="001609C5">
        <w:rPr>
          <w:rFonts w:ascii="Times New Roman" w:hAnsi="Times New Roman"/>
        </w:rPr>
        <w:t xml:space="preserve"> PSE Initial Br. at ¶125</w:t>
      </w:r>
      <w:r>
        <w:rPr>
          <w:rFonts w:ascii="Times New Roman" w:hAnsi="Times New Roman"/>
        </w:rPr>
        <w:t>, citing Exhibit No. RCM-1T at 19.</w:t>
      </w:r>
    </w:p>
  </w:footnote>
  <w:footnote w:id="39">
    <w:p w:rsidR="00486CDE" w:rsidRPr="001609C5" w:rsidRDefault="00486CDE">
      <w:pPr>
        <w:pStyle w:val="FootnoteText"/>
        <w:rPr>
          <w:rFonts w:ascii="Times New Roman" w:hAnsi="Times New Roman"/>
        </w:rPr>
      </w:pPr>
      <w:r w:rsidRPr="001609C5">
        <w:rPr>
          <w:rStyle w:val="FootnoteReference"/>
          <w:rFonts w:ascii="Times New Roman" w:hAnsi="Times New Roman"/>
        </w:rPr>
        <w:footnoteRef/>
      </w:r>
      <w:r w:rsidRPr="001609C5">
        <w:rPr>
          <w:rFonts w:ascii="Times New Roman" w:hAnsi="Times New Roman"/>
        </w:rPr>
        <w:t xml:space="preserve"> PSE Initial Br. at ¶125.</w:t>
      </w:r>
    </w:p>
  </w:footnote>
  <w:footnote w:id="40">
    <w:p w:rsidR="00486CDE" w:rsidRPr="00FD15C4" w:rsidRDefault="00486CDE">
      <w:pPr>
        <w:pStyle w:val="FootnoteText"/>
        <w:rPr>
          <w:rFonts w:ascii="Times New Roman" w:hAnsi="Times New Roman"/>
        </w:rPr>
      </w:pPr>
      <w:r w:rsidRPr="00FD15C4">
        <w:rPr>
          <w:rStyle w:val="FootnoteReference"/>
          <w:rFonts w:ascii="Times New Roman" w:hAnsi="Times New Roman"/>
        </w:rPr>
        <w:footnoteRef/>
      </w:r>
      <w:r w:rsidRPr="00FD15C4">
        <w:rPr>
          <w:rFonts w:ascii="Times New Roman" w:hAnsi="Times New Roman"/>
        </w:rPr>
        <w:t xml:space="preserve"> PSE Initial Br. at ¶146.</w:t>
      </w:r>
    </w:p>
  </w:footnote>
  <w:footnote w:id="41">
    <w:p w:rsidR="00486CDE" w:rsidRPr="00EF65B0" w:rsidRDefault="00486CDE">
      <w:pPr>
        <w:pStyle w:val="FootnoteText"/>
        <w:rPr>
          <w:rFonts w:ascii="Times New Roman" w:hAnsi="Times New Roman"/>
        </w:rPr>
      </w:pPr>
      <w:r w:rsidRPr="00EF65B0">
        <w:rPr>
          <w:rStyle w:val="FootnoteReference"/>
          <w:rFonts w:ascii="Times New Roman" w:hAnsi="Times New Roman"/>
        </w:rPr>
        <w:footnoteRef/>
      </w:r>
      <w:r w:rsidRPr="00EF65B0">
        <w:rPr>
          <w:rFonts w:ascii="Times New Roman" w:hAnsi="Times New Roman"/>
        </w:rPr>
        <w:t xml:space="preserve"> WN U-60, Tariff G, Electric Service, Advice No. 2009-11 (May 8, 2009).</w:t>
      </w:r>
    </w:p>
  </w:footnote>
  <w:footnote w:id="42">
    <w:p w:rsidR="00486CDE" w:rsidRPr="00455EBD" w:rsidRDefault="00486CDE">
      <w:pPr>
        <w:pStyle w:val="FootnoteText"/>
        <w:rPr>
          <w:rFonts w:ascii="Times New Roman" w:hAnsi="Times New Roman"/>
        </w:rPr>
      </w:pPr>
      <w:r w:rsidRPr="00455EBD">
        <w:rPr>
          <w:rStyle w:val="FootnoteReference"/>
          <w:rFonts w:ascii="Times New Roman" w:hAnsi="Times New Roman"/>
        </w:rPr>
        <w:footnoteRef/>
      </w:r>
      <w:r w:rsidRPr="00455EBD">
        <w:rPr>
          <w:rFonts w:ascii="Times New Roman" w:hAnsi="Times New Roman"/>
        </w:rPr>
        <w:t xml:space="preserve"> </w:t>
      </w:r>
      <w:r>
        <w:rPr>
          <w:rFonts w:ascii="Times New Roman" w:hAnsi="Times New Roman"/>
        </w:rPr>
        <w:t>Public Counsel Open</w:t>
      </w:r>
      <w:r w:rsidRPr="00455EBD">
        <w:rPr>
          <w:rFonts w:ascii="Times New Roman" w:hAnsi="Times New Roman"/>
        </w:rPr>
        <w:t>ing Br. at ¶33.</w:t>
      </w:r>
    </w:p>
  </w:footnote>
  <w:footnote w:id="43">
    <w:p w:rsidR="00486CDE" w:rsidRPr="00CD402F" w:rsidRDefault="00486CDE" w:rsidP="00C14B9E">
      <w:pPr>
        <w:pStyle w:val="FootnoteText"/>
        <w:rPr>
          <w:rFonts w:ascii="Times New Roman" w:hAnsi="Times New Roman"/>
        </w:rPr>
      </w:pPr>
      <w:r w:rsidRPr="00CD402F">
        <w:rPr>
          <w:rStyle w:val="FootnoteReference"/>
          <w:rFonts w:ascii="Times New Roman" w:hAnsi="Times New Roman"/>
        </w:rPr>
        <w:footnoteRef/>
      </w:r>
      <w:r w:rsidRPr="00CD402F">
        <w:rPr>
          <w:rFonts w:ascii="Times New Roman" w:hAnsi="Times New Roman"/>
        </w:rPr>
        <w:t xml:space="preserve"> </w:t>
      </w:r>
      <w:r>
        <w:rPr>
          <w:rFonts w:ascii="Times New Roman" w:hAnsi="Times New Roman"/>
        </w:rPr>
        <w:t>Exhibit No. SN-1HCT at 21:15-16 and Tr. 209:24-210:7 (Harris).</w:t>
      </w:r>
    </w:p>
  </w:footnote>
  <w:footnote w:id="44">
    <w:p w:rsidR="00486CDE" w:rsidRDefault="00486CDE" w:rsidP="00C14B9E">
      <w:pPr>
        <w:pStyle w:val="FootnoteText"/>
      </w:pPr>
      <w:r w:rsidRPr="00FF7C05">
        <w:rPr>
          <w:rStyle w:val="FootnoteReference"/>
          <w:rFonts w:ascii="Times New Roman" w:hAnsi="Times New Roman"/>
        </w:rPr>
        <w:footnoteRef/>
      </w:r>
      <w:r w:rsidRPr="00FF7C05">
        <w:rPr>
          <w:rFonts w:ascii="Times New Roman" w:hAnsi="Times New Roman"/>
        </w:rPr>
        <w:t xml:space="preserve"> </w:t>
      </w:r>
      <w:r w:rsidRPr="00FF7C05">
        <w:rPr>
          <w:rFonts w:ascii="Times New Roman" w:hAnsi="Times New Roman"/>
          <w:i/>
        </w:rPr>
        <w:t>WUTC</w:t>
      </w:r>
      <w:r w:rsidRPr="00DF497D">
        <w:rPr>
          <w:rFonts w:ascii="Times New Roman" w:hAnsi="Times New Roman"/>
          <w:i/>
        </w:rPr>
        <w:t xml:space="preserve"> v. PacifiCorp, d/b/a, Pacific Power &amp; Light Co</w:t>
      </w:r>
      <w:r w:rsidRPr="00DF497D">
        <w:rPr>
          <w:rFonts w:ascii="Times New Roman" w:hAnsi="Times New Roman"/>
        </w:rPr>
        <w:t>., D</w:t>
      </w:r>
      <w:r>
        <w:rPr>
          <w:rFonts w:ascii="Times New Roman" w:hAnsi="Times New Roman"/>
        </w:rPr>
        <w:t>ocket UE-090205, Order 09 at ¶50</w:t>
      </w:r>
      <w:r w:rsidRPr="00DF497D">
        <w:rPr>
          <w:rFonts w:ascii="Times New Roman" w:hAnsi="Times New Roman"/>
        </w:rPr>
        <w:t xml:space="preserve"> (December</w:t>
      </w:r>
      <w:r>
        <w:rPr>
          <w:rFonts w:ascii="Times New Roman" w:hAnsi="Times New Roman"/>
        </w:rPr>
        <w:t> 16, 2009) (PacifiCorp acquisition of Chehalis to fill resource deficit in 2012).</w:t>
      </w:r>
      <w:r w:rsidR="0074383A">
        <w:rPr>
          <w:rFonts w:ascii="Times New Roman" w:hAnsi="Times New Roman"/>
        </w:rPr>
        <w:t xml:space="preserve">  </w:t>
      </w:r>
    </w:p>
  </w:footnote>
  <w:footnote w:id="45">
    <w:p w:rsidR="00486CDE" w:rsidRPr="005907EF" w:rsidRDefault="00486CDE">
      <w:pPr>
        <w:pStyle w:val="FootnoteText"/>
        <w:rPr>
          <w:rFonts w:ascii="Times New Roman" w:hAnsi="Times New Roman"/>
        </w:rPr>
      </w:pPr>
      <w:r w:rsidRPr="005907EF">
        <w:rPr>
          <w:rStyle w:val="FootnoteReference"/>
          <w:rFonts w:ascii="Times New Roman" w:hAnsi="Times New Roman"/>
        </w:rPr>
        <w:footnoteRef/>
      </w:r>
      <w:r w:rsidRPr="005907EF">
        <w:rPr>
          <w:rFonts w:ascii="Times New Roman" w:hAnsi="Times New Roman"/>
        </w:rPr>
        <w:t xml:space="preserve"> Staff</w:t>
      </w:r>
      <w:r>
        <w:rPr>
          <w:rFonts w:ascii="Times New Roman" w:hAnsi="Times New Roman"/>
        </w:rPr>
        <w:t>’s</w:t>
      </w:r>
      <w:r w:rsidRPr="005907EF">
        <w:rPr>
          <w:rFonts w:ascii="Times New Roman" w:hAnsi="Times New Roman"/>
        </w:rPr>
        <w:t xml:space="preserve"> Initial Br</w:t>
      </w:r>
      <w:r>
        <w:rPr>
          <w:rFonts w:ascii="Times New Roman" w:hAnsi="Times New Roman"/>
        </w:rPr>
        <w:t xml:space="preserve">ief </w:t>
      </w:r>
      <w:r w:rsidRPr="005907EF">
        <w:rPr>
          <w:rFonts w:ascii="Times New Roman" w:hAnsi="Times New Roman"/>
        </w:rPr>
        <w:t>at ¶¶</w:t>
      </w:r>
      <w:r>
        <w:rPr>
          <w:rFonts w:ascii="Times New Roman" w:hAnsi="Times New Roman"/>
        </w:rPr>
        <w:t>166-167 summarizes this evidence that Public Counsel does not contest.</w:t>
      </w:r>
    </w:p>
  </w:footnote>
  <w:footnote w:id="46">
    <w:p w:rsidR="00486CDE" w:rsidRDefault="00486CDE">
      <w:pPr>
        <w:pStyle w:val="FootnoteText"/>
      </w:pPr>
      <w:r w:rsidRPr="008775C1">
        <w:rPr>
          <w:rStyle w:val="FootnoteReference"/>
          <w:rFonts w:ascii="Times New Roman" w:hAnsi="Times New Roman"/>
        </w:rPr>
        <w:footnoteRef/>
      </w:r>
      <w:r w:rsidRPr="008775C1">
        <w:rPr>
          <w:rFonts w:ascii="Times New Roman" w:hAnsi="Times New Roman"/>
        </w:rPr>
        <w:t xml:space="preserve"> Public Counsel</w:t>
      </w:r>
      <w:r w:rsidRPr="00BC3AE8">
        <w:rPr>
          <w:rFonts w:ascii="Times New Roman" w:hAnsi="Times New Roman"/>
        </w:rPr>
        <w:t xml:space="preserve"> Opening Br. at ¶¶</w:t>
      </w:r>
      <w:r>
        <w:rPr>
          <w:rFonts w:ascii="Times New Roman" w:hAnsi="Times New Roman"/>
        </w:rPr>
        <w:t>36-42 and 44-49.</w:t>
      </w:r>
    </w:p>
  </w:footnote>
  <w:footnote w:id="47">
    <w:p w:rsidR="00486CDE" w:rsidRPr="00BD7EE4" w:rsidRDefault="00486CDE">
      <w:pPr>
        <w:pStyle w:val="FootnoteText"/>
        <w:rPr>
          <w:rFonts w:ascii="Times New Roman" w:hAnsi="Times New Roman"/>
        </w:rPr>
      </w:pPr>
      <w:r w:rsidRPr="00BD7EE4">
        <w:rPr>
          <w:rStyle w:val="FootnoteReference"/>
          <w:rFonts w:ascii="Times New Roman" w:hAnsi="Times New Roman"/>
        </w:rPr>
        <w:footnoteRef/>
      </w:r>
      <w:r w:rsidRPr="00BD7EE4">
        <w:rPr>
          <w:rFonts w:ascii="Times New Roman" w:hAnsi="Times New Roman"/>
        </w:rPr>
        <w:t xml:space="preserve"> Tr. 290:12-22 (Elsea).</w:t>
      </w:r>
    </w:p>
  </w:footnote>
  <w:footnote w:id="48">
    <w:p w:rsidR="00486CDE" w:rsidRPr="00AB7532" w:rsidRDefault="00486CDE">
      <w:pPr>
        <w:pStyle w:val="FootnoteText"/>
        <w:rPr>
          <w:rFonts w:ascii="Times New Roman" w:hAnsi="Times New Roman"/>
        </w:rPr>
      </w:pPr>
      <w:r w:rsidRPr="00AB7532">
        <w:rPr>
          <w:rStyle w:val="FootnoteReference"/>
          <w:rFonts w:ascii="Times New Roman" w:hAnsi="Times New Roman"/>
        </w:rPr>
        <w:footnoteRef/>
      </w:r>
      <w:r w:rsidRPr="00AB7532">
        <w:rPr>
          <w:rFonts w:ascii="Times New Roman" w:hAnsi="Times New Roman"/>
        </w:rPr>
        <w:t xml:space="preserve"> Public Counsel points to the “Qualitative Evaluation-Key Risks” performed by PSE.  Public Counsel Opening Br. at ¶50, citing Exhibit No. RG-3HC at 110.</w:t>
      </w:r>
      <w:r>
        <w:rPr>
          <w:rFonts w:ascii="Times New Roman" w:hAnsi="Times New Roman"/>
        </w:rPr>
        <w:t xml:space="preserve">  Mint Farm’s slightly higher risk for one out of four criteria should not require a conclusion that Mint Farm was an imprudent acquisition, given all of the record evidence, including Exhibit No. RG-3HC at 113, which shows some of Mint Farm’s qualitative rankings exceeding Public Counsel’s preferred alternative.</w:t>
      </w:r>
    </w:p>
  </w:footnote>
  <w:footnote w:id="49">
    <w:p w:rsidR="00486CDE" w:rsidRPr="00553230" w:rsidRDefault="00486CDE">
      <w:pPr>
        <w:pStyle w:val="FootnoteText"/>
        <w:rPr>
          <w:rFonts w:ascii="Times New Roman" w:hAnsi="Times New Roman"/>
        </w:rPr>
      </w:pPr>
      <w:r w:rsidRPr="00553230">
        <w:rPr>
          <w:rStyle w:val="FootnoteReference"/>
          <w:rFonts w:ascii="Times New Roman" w:hAnsi="Times New Roman"/>
        </w:rPr>
        <w:footnoteRef/>
      </w:r>
      <w:r w:rsidRPr="00553230">
        <w:rPr>
          <w:rFonts w:ascii="Times New Roman" w:hAnsi="Times New Roman"/>
        </w:rPr>
        <w:t xml:space="preserve"> </w:t>
      </w:r>
      <w:r>
        <w:rPr>
          <w:rFonts w:ascii="Times New Roman" w:hAnsi="Times New Roman"/>
        </w:rPr>
        <w:t>Public Counsel Opening Br. at ¶51.</w:t>
      </w:r>
    </w:p>
  </w:footnote>
  <w:footnote w:id="50">
    <w:p w:rsidR="00486CDE" w:rsidRPr="00553230" w:rsidRDefault="00486CDE">
      <w:pPr>
        <w:pStyle w:val="FootnoteText"/>
        <w:rPr>
          <w:rFonts w:ascii="Times New Roman" w:hAnsi="Times New Roman"/>
        </w:rPr>
      </w:pPr>
      <w:r w:rsidRPr="00553230">
        <w:rPr>
          <w:rStyle w:val="FootnoteReference"/>
          <w:rFonts w:ascii="Times New Roman" w:hAnsi="Times New Roman"/>
        </w:rPr>
        <w:footnoteRef/>
      </w:r>
      <w:r>
        <w:rPr>
          <w:rFonts w:ascii="Times New Roman" w:hAnsi="Times New Roman"/>
        </w:rPr>
        <w:t xml:space="preserve"> Exhibit No. KJH</w:t>
      </w:r>
      <w:r w:rsidRPr="00553230">
        <w:rPr>
          <w:rFonts w:ascii="Times New Roman" w:hAnsi="Times New Roman"/>
        </w:rPr>
        <w:t>-8CT at 11.</w:t>
      </w:r>
    </w:p>
  </w:footnote>
  <w:footnote w:id="51">
    <w:p w:rsidR="00486CDE" w:rsidRPr="008F2641" w:rsidRDefault="00486CDE">
      <w:pPr>
        <w:pStyle w:val="FootnoteText"/>
        <w:rPr>
          <w:rFonts w:ascii="Times New Roman" w:hAnsi="Times New Roman"/>
        </w:rPr>
      </w:pPr>
      <w:r w:rsidRPr="008F2641">
        <w:rPr>
          <w:rStyle w:val="FootnoteReference"/>
          <w:rFonts w:ascii="Times New Roman" w:hAnsi="Times New Roman"/>
        </w:rPr>
        <w:footnoteRef/>
      </w:r>
      <w:r w:rsidRPr="008F2641">
        <w:rPr>
          <w:rFonts w:ascii="Times New Roman" w:hAnsi="Times New Roman"/>
        </w:rPr>
        <w:t xml:space="preserve"> In a sense, this issue is largely academic.  If RCW 80.80.060(6) is not available to PSE, the Company still requests deferred accounting for Mint Farm costs under the Commission’s traditional procedures.</w:t>
      </w:r>
      <w:r>
        <w:rPr>
          <w:rFonts w:ascii="Times New Roman" w:hAnsi="Times New Roman"/>
        </w:rPr>
        <w:t xml:space="preserve">  The only other impact of a finding that RCW 80.80.060(6) is not available to PSE is that the greenhouse gas statutory compliance aspect of the prudence review for Mint Farm is unnecessary.</w:t>
      </w:r>
    </w:p>
  </w:footnote>
  <w:footnote w:id="52">
    <w:p w:rsidR="00486CDE" w:rsidRPr="00BC3AE8" w:rsidRDefault="00486CDE">
      <w:pPr>
        <w:pStyle w:val="FootnoteText"/>
        <w:rPr>
          <w:rFonts w:ascii="Times New Roman" w:hAnsi="Times New Roman"/>
        </w:rPr>
      </w:pPr>
      <w:r w:rsidRPr="00BC3AE8">
        <w:rPr>
          <w:rStyle w:val="FootnoteReference"/>
          <w:rFonts w:ascii="Times New Roman" w:hAnsi="Times New Roman"/>
        </w:rPr>
        <w:footnoteRef/>
      </w:r>
      <w:r w:rsidRPr="00BC3AE8">
        <w:rPr>
          <w:rFonts w:ascii="Times New Roman" w:hAnsi="Times New Roman"/>
        </w:rPr>
        <w:t xml:space="preserve"> Public Counsel Opening Br. at ¶¶59-60.</w:t>
      </w:r>
    </w:p>
  </w:footnote>
  <w:footnote w:id="53">
    <w:p w:rsidR="00486CDE" w:rsidRPr="00947F06" w:rsidRDefault="00486CDE">
      <w:pPr>
        <w:pStyle w:val="FootnoteText"/>
        <w:rPr>
          <w:rFonts w:ascii="Times New Roman" w:hAnsi="Times New Roman"/>
        </w:rPr>
      </w:pPr>
      <w:r w:rsidRPr="00947F06">
        <w:rPr>
          <w:rStyle w:val="FootnoteReference"/>
          <w:rFonts w:ascii="Times New Roman" w:hAnsi="Times New Roman"/>
        </w:rPr>
        <w:footnoteRef/>
      </w:r>
      <w:r w:rsidRPr="00947F06">
        <w:rPr>
          <w:rFonts w:ascii="Times New Roman" w:hAnsi="Times New Roman"/>
        </w:rPr>
        <w:t xml:space="preserve"> </w:t>
      </w:r>
      <w:proofErr w:type="gramStart"/>
      <w:r w:rsidRPr="00947F06">
        <w:rPr>
          <w:rFonts w:ascii="Times New Roman" w:hAnsi="Times New Roman"/>
        </w:rPr>
        <w:t xml:space="preserve">Laws of 2007, </w:t>
      </w:r>
      <w:proofErr w:type="spellStart"/>
      <w:r w:rsidRPr="00947F06">
        <w:rPr>
          <w:rFonts w:ascii="Times New Roman" w:hAnsi="Times New Roman"/>
        </w:rPr>
        <w:t>ch</w:t>
      </w:r>
      <w:proofErr w:type="spellEnd"/>
      <w:r w:rsidRPr="00947F06">
        <w:rPr>
          <w:rFonts w:ascii="Times New Roman" w:hAnsi="Times New Roman"/>
        </w:rPr>
        <w:t>. 307, §8.</w:t>
      </w:r>
      <w:proofErr w:type="gramEnd"/>
    </w:p>
  </w:footnote>
  <w:footnote w:id="54">
    <w:p w:rsidR="00486CDE" w:rsidRDefault="00486CDE" w:rsidP="00F378D3">
      <w:pPr>
        <w:pStyle w:val="FootnoteText"/>
      </w:pPr>
      <w:r w:rsidRPr="008A306C">
        <w:rPr>
          <w:rStyle w:val="FootnoteReference"/>
          <w:rFonts w:ascii="Times New Roman" w:hAnsi="Times New Roman"/>
        </w:rPr>
        <w:footnoteRef/>
      </w:r>
      <w:r>
        <w:rPr>
          <w:rFonts w:ascii="Times New Roman" w:hAnsi="Times New Roman"/>
        </w:rPr>
        <w:t xml:space="preserve"> </w:t>
      </w:r>
      <w:proofErr w:type="gramStart"/>
      <w:r w:rsidRPr="00D33237">
        <w:rPr>
          <w:rFonts w:ascii="Times New Roman" w:hAnsi="Times New Roman"/>
        </w:rPr>
        <w:t>RCW 80.80.010(15).</w:t>
      </w:r>
      <w:proofErr w:type="gramEnd"/>
    </w:p>
  </w:footnote>
  <w:footnote w:id="55">
    <w:p w:rsidR="00486CDE" w:rsidRPr="00A00415" w:rsidRDefault="00486CDE" w:rsidP="00A7501D">
      <w:pPr>
        <w:pStyle w:val="FootnoteText"/>
        <w:rPr>
          <w:rFonts w:ascii="Times New Roman" w:hAnsi="Times New Roman"/>
        </w:rPr>
      </w:pPr>
      <w:r w:rsidRPr="00A00415">
        <w:rPr>
          <w:rStyle w:val="FootnoteReference"/>
          <w:rFonts w:ascii="Times New Roman" w:hAnsi="Times New Roman"/>
        </w:rPr>
        <w:footnoteRef/>
      </w:r>
      <w:r>
        <w:rPr>
          <w:rFonts w:ascii="Times New Roman" w:hAnsi="Times New Roman"/>
        </w:rPr>
        <w:t xml:space="preserve"> RCW 80.80.010(4)</w:t>
      </w:r>
      <w:r w:rsidRPr="00A00415">
        <w:rPr>
          <w:rFonts w:ascii="Times New Roman" w:hAnsi="Times New Roman"/>
        </w:rPr>
        <w:t>.</w:t>
      </w:r>
    </w:p>
  </w:footnote>
  <w:footnote w:id="56">
    <w:p w:rsidR="00486CDE" w:rsidRPr="00D824E0" w:rsidRDefault="00486CDE">
      <w:pPr>
        <w:pStyle w:val="FootnoteText"/>
        <w:rPr>
          <w:rFonts w:ascii="Times New Roman" w:hAnsi="Times New Roman"/>
        </w:rPr>
      </w:pPr>
      <w:r w:rsidRPr="003A59A0">
        <w:rPr>
          <w:rStyle w:val="FootnoteReference"/>
          <w:rFonts w:ascii="Times New Roman" w:hAnsi="Times New Roman"/>
        </w:rPr>
        <w:footnoteRef/>
      </w:r>
      <w:r w:rsidRPr="003A59A0">
        <w:rPr>
          <w:rFonts w:ascii="Times New Roman" w:hAnsi="Times New Roman"/>
        </w:rPr>
        <w:t xml:space="preserve"> Public Counsel Opening Br. at ¶¶</w:t>
      </w:r>
      <w:r w:rsidRPr="00D824E0">
        <w:rPr>
          <w:rFonts w:ascii="Times New Roman" w:hAnsi="Times New Roman"/>
        </w:rPr>
        <w:t>61-71.</w:t>
      </w:r>
    </w:p>
  </w:footnote>
  <w:footnote w:id="57">
    <w:p w:rsidR="00486CDE" w:rsidRPr="005063C3" w:rsidRDefault="00486CDE" w:rsidP="00761974">
      <w:pPr>
        <w:pStyle w:val="FootnoteText"/>
        <w:rPr>
          <w:rFonts w:ascii="Times New Roman" w:hAnsi="Times New Roman"/>
        </w:rPr>
      </w:pPr>
      <w:r w:rsidRPr="005063C3">
        <w:rPr>
          <w:rStyle w:val="FootnoteReference"/>
          <w:rFonts w:ascii="Times New Roman" w:hAnsi="Times New Roman"/>
        </w:rPr>
        <w:footnoteRef/>
      </w:r>
      <w:r w:rsidRPr="005063C3">
        <w:rPr>
          <w:rFonts w:ascii="Times New Roman" w:hAnsi="Times New Roman"/>
        </w:rPr>
        <w:t xml:space="preserve"> RCW 80.80.060(3).</w:t>
      </w:r>
    </w:p>
  </w:footnote>
  <w:footnote w:id="58">
    <w:p w:rsidR="00486CDE" w:rsidRDefault="00486CDE">
      <w:pPr>
        <w:pStyle w:val="FootnoteText"/>
      </w:pPr>
      <w:r w:rsidRPr="00D824E0">
        <w:rPr>
          <w:rStyle w:val="FootnoteReference"/>
          <w:rFonts w:ascii="Times New Roman" w:hAnsi="Times New Roman"/>
        </w:rPr>
        <w:footnoteRef/>
      </w:r>
      <w:r w:rsidRPr="00D824E0">
        <w:rPr>
          <w:rFonts w:ascii="Times New Roman" w:hAnsi="Times New Roman"/>
        </w:rPr>
        <w:t xml:space="preserve"> </w:t>
      </w:r>
      <w:r w:rsidRPr="00D824E0">
        <w:rPr>
          <w:rFonts w:ascii="Times New Roman" w:hAnsi="Times New Roman"/>
          <w:i/>
        </w:rPr>
        <w:t>WUTC v.</w:t>
      </w:r>
      <w:r w:rsidRPr="00720019">
        <w:rPr>
          <w:rFonts w:ascii="Times New Roman" w:hAnsi="Times New Roman"/>
          <w:i/>
        </w:rPr>
        <w:t xml:space="preserve"> PacifiCorp d/b/a Pacific Power &amp; Light Co</w:t>
      </w:r>
      <w:r>
        <w:rPr>
          <w:rFonts w:ascii="Times New Roman" w:hAnsi="Times New Roman"/>
        </w:rPr>
        <w:t>., Docket UE-090205, Order 09 at ¶68 (December 16, 2009).  The PacifiCorp case was a settlement.  Nevertheless, the Commission interpreted the phrase “design and intended” on the merits.  In doing so, the Commission relied on Staff witness David Nightingale, whose testimony presented the issue in a “reasonable and effective manner.”  Mr. Nightingale’s testimony is also contained in this record at Exhibit No. DN-1T at 40:4-42:6.</w:t>
      </w:r>
    </w:p>
  </w:footnote>
  <w:footnote w:id="59">
    <w:p w:rsidR="00486CDE" w:rsidRPr="00D72FC5" w:rsidRDefault="00486CDE">
      <w:pPr>
        <w:pStyle w:val="FootnoteText"/>
        <w:rPr>
          <w:rFonts w:ascii="Times New Roman" w:hAnsi="Times New Roman"/>
        </w:rPr>
      </w:pPr>
      <w:r w:rsidRPr="00D72FC5">
        <w:rPr>
          <w:rStyle w:val="FootnoteReference"/>
          <w:rFonts w:ascii="Times New Roman" w:hAnsi="Times New Roman"/>
        </w:rPr>
        <w:footnoteRef/>
      </w:r>
      <w:r w:rsidRPr="00D72FC5">
        <w:rPr>
          <w:rFonts w:ascii="Times New Roman" w:hAnsi="Times New Roman"/>
        </w:rPr>
        <w:t xml:space="preserve"> Exhibit No. DN-1T at 41:13-19.</w:t>
      </w:r>
    </w:p>
  </w:footnote>
  <w:footnote w:id="60">
    <w:p w:rsidR="00486CDE" w:rsidRDefault="00486CDE" w:rsidP="00761974">
      <w:pPr>
        <w:pStyle w:val="ListParagraph"/>
        <w:tabs>
          <w:tab w:val="left" w:pos="-1440"/>
        </w:tabs>
        <w:ind w:left="0"/>
      </w:pPr>
      <w:r w:rsidRPr="00D72FC5">
        <w:rPr>
          <w:rStyle w:val="FootnoteReference"/>
          <w:rFonts w:ascii="Times New Roman" w:hAnsi="Times New Roman"/>
          <w:sz w:val="20"/>
          <w:szCs w:val="20"/>
        </w:rPr>
        <w:footnoteRef/>
      </w:r>
      <w:r w:rsidRPr="00C32A45">
        <w:rPr>
          <w:rFonts w:ascii="Times New Roman" w:hAnsi="Times New Roman"/>
          <w:sz w:val="20"/>
          <w:szCs w:val="20"/>
        </w:rPr>
        <w:t xml:space="preserve"> Exhibit No. WJE-1HCT at 29.  Public Counsel challenges this analysis as including only Mint Farm model runs with primary firing. Public Counsel Opening Br. at ¶67.  However, Public Counsel does not explain whether and by how much the capacity factor from those model runs would change if Mint Farm duct firing had been included.</w:t>
      </w:r>
    </w:p>
  </w:footnote>
  <w:footnote w:id="61">
    <w:p w:rsidR="00486CDE" w:rsidRPr="00C86187" w:rsidRDefault="00486CDE">
      <w:pPr>
        <w:pStyle w:val="FootnoteText"/>
        <w:rPr>
          <w:rFonts w:ascii="Times New Roman" w:hAnsi="Times New Roman"/>
        </w:rPr>
      </w:pPr>
      <w:r w:rsidRPr="00C86187">
        <w:rPr>
          <w:rStyle w:val="FootnoteReference"/>
          <w:rFonts w:ascii="Times New Roman" w:hAnsi="Times New Roman"/>
        </w:rPr>
        <w:footnoteRef/>
      </w:r>
      <w:r w:rsidRPr="00C86187">
        <w:rPr>
          <w:rFonts w:ascii="Times New Roman" w:hAnsi="Times New Roman"/>
        </w:rPr>
        <w:t xml:space="preserve"> Public Counsel Opening Br. at ¶73.</w:t>
      </w:r>
    </w:p>
  </w:footnote>
  <w:footnote w:id="62">
    <w:p w:rsidR="00486CDE" w:rsidRPr="00C86187" w:rsidRDefault="00486CDE">
      <w:pPr>
        <w:pStyle w:val="FootnoteText"/>
        <w:rPr>
          <w:rFonts w:ascii="Times New Roman" w:hAnsi="Times New Roman"/>
        </w:rPr>
      </w:pPr>
      <w:r w:rsidRPr="00C86187">
        <w:rPr>
          <w:rStyle w:val="FootnoteReference"/>
          <w:rFonts w:ascii="Times New Roman" w:hAnsi="Times New Roman"/>
        </w:rPr>
        <w:footnoteRef/>
      </w:r>
      <w:r w:rsidRPr="00C86187">
        <w:rPr>
          <w:rFonts w:ascii="Times New Roman" w:hAnsi="Times New Roman"/>
        </w:rPr>
        <w:t xml:space="preserve"> Exhibit No. DN-1T at 19:8-13</w:t>
      </w:r>
      <w:r>
        <w:rPr>
          <w:rFonts w:ascii="Times New Roman" w:hAnsi="Times New Roman"/>
        </w:rPr>
        <w:t xml:space="preserve"> and 44:2-7.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F2F"/>
    <w:multiLevelType w:val="hybridMultilevel"/>
    <w:tmpl w:val="6D4EC9D2"/>
    <w:lvl w:ilvl="0" w:tplc="10E6A53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9972FB"/>
    <w:multiLevelType w:val="hybridMultilevel"/>
    <w:tmpl w:val="41782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E04A6"/>
    <w:multiLevelType w:val="hybridMultilevel"/>
    <w:tmpl w:val="25B29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42074"/>
    <w:multiLevelType w:val="hybridMultilevel"/>
    <w:tmpl w:val="6EE47D3A"/>
    <w:lvl w:ilvl="0" w:tplc="EECEE3B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02D"/>
    <w:multiLevelType w:val="hybridMultilevel"/>
    <w:tmpl w:val="D76021F6"/>
    <w:lvl w:ilvl="0" w:tplc="EECEE3B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127A14"/>
    <w:multiLevelType w:val="hybridMultilevel"/>
    <w:tmpl w:val="691E1176"/>
    <w:lvl w:ilvl="0" w:tplc="EECEE3B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AA167D"/>
    <w:multiLevelType w:val="hybridMultilevel"/>
    <w:tmpl w:val="E33068C8"/>
    <w:lvl w:ilvl="0" w:tplc="EECEE3B4">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412E35"/>
    <w:multiLevelType w:val="hybridMultilevel"/>
    <w:tmpl w:val="715E970A"/>
    <w:lvl w:ilvl="0" w:tplc="0B7C15F4">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8575967"/>
    <w:multiLevelType w:val="hybridMultilevel"/>
    <w:tmpl w:val="C1CE9C1A"/>
    <w:lvl w:ilvl="0" w:tplc="EECEE3B4">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8300DD"/>
    <w:multiLevelType w:val="hybridMultilevel"/>
    <w:tmpl w:val="1326E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A76862"/>
    <w:multiLevelType w:val="hybridMultilevel"/>
    <w:tmpl w:val="A11EA2EC"/>
    <w:lvl w:ilvl="0" w:tplc="586CB314">
      <w:start w:val="1"/>
      <w:numFmt w:val="decimal"/>
      <w:lvlText w:val="%1"/>
      <w:lvlJc w:val="left"/>
      <w:pPr>
        <w:tabs>
          <w:tab w:val="num" w:pos="720"/>
        </w:tabs>
        <w:ind w:left="0" w:hanging="720"/>
      </w:pPr>
      <w:rPr>
        <w:rFonts w:ascii="Times New Roman" w:hAnsi="Times New Roman" w:hint="default"/>
        <w:b w:val="0"/>
        <w:i/>
        <w:sz w:val="24"/>
      </w:rPr>
    </w:lvl>
    <w:lvl w:ilvl="1" w:tplc="5A803BF4">
      <w:start w:val="1"/>
      <w:numFmt w:val="decimal"/>
      <w:lvlText w:val="%2"/>
      <w:lvlJc w:val="left"/>
      <w:pPr>
        <w:tabs>
          <w:tab w:val="num" w:pos="720"/>
        </w:tabs>
        <w:ind w:left="0" w:hanging="720"/>
      </w:pPr>
      <w:rPr>
        <w:rFonts w:ascii="Times New Roman" w:hAnsi="Times New Roman" w:hint="default"/>
        <w:b w:val="0"/>
        <w:i/>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D91229"/>
    <w:multiLevelType w:val="hybridMultilevel"/>
    <w:tmpl w:val="C346F734"/>
    <w:lvl w:ilvl="0" w:tplc="10E6A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AC458E"/>
    <w:multiLevelType w:val="hybridMultilevel"/>
    <w:tmpl w:val="D4264514"/>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606433DC"/>
    <w:multiLevelType w:val="hybridMultilevel"/>
    <w:tmpl w:val="0EA64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8D4BEB"/>
    <w:multiLevelType w:val="hybridMultilevel"/>
    <w:tmpl w:val="5020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887C95"/>
    <w:multiLevelType w:val="hybridMultilevel"/>
    <w:tmpl w:val="84ECB4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E3626A7"/>
    <w:multiLevelType w:val="hybridMultilevel"/>
    <w:tmpl w:val="6164B146"/>
    <w:lvl w:ilvl="0" w:tplc="7F80E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7"/>
  </w:num>
  <w:num w:numId="5">
    <w:abstractNumId w:val="11"/>
  </w:num>
  <w:num w:numId="6">
    <w:abstractNumId w:val="2"/>
  </w:num>
  <w:num w:numId="7">
    <w:abstractNumId w:val="1"/>
  </w:num>
  <w:num w:numId="8">
    <w:abstractNumId w:val="13"/>
  </w:num>
  <w:num w:numId="9">
    <w:abstractNumId w:val="14"/>
  </w:num>
  <w:num w:numId="10">
    <w:abstractNumId w:val="8"/>
  </w:num>
  <w:num w:numId="11">
    <w:abstractNumId w:val="15"/>
  </w:num>
  <w:num w:numId="12">
    <w:abstractNumId w:val="0"/>
  </w:num>
  <w:num w:numId="13">
    <w:abstractNumId w:val="5"/>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535CF"/>
    <w:rsid w:val="00013B4C"/>
    <w:rsid w:val="0001604F"/>
    <w:rsid w:val="00020C3A"/>
    <w:rsid w:val="00031DF2"/>
    <w:rsid w:val="00032200"/>
    <w:rsid w:val="0003684C"/>
    <w:rsid w:val="000435FB"/>
    <w:rsid w:val="000540FA"/>
    <w:rsid w:val="000547ED"/>
    <w:rsid w:val="00055BAB"/>
    <w:rsid w:val="000569F0"/>
    <w:rsid w:val="0005727A"/>
    <w:rsid w:val="00061D11"/>
    <w:rsid w:val="00062E8C"/>
    <w:rsid w:val="000668C7"/>
    <w:rsid w:val="00066CCE"/>
    <w:rsid w:val="00072C57"/>
    <w:rsid w:val="00082920"/>
    <w:rsid w:val="00091C51"/>
    <w:rsid w:val="00093C99"/>
    <w:rsid w:val="000A62DE"/>
    <w:rsid w:val="000A6A5B"/>
    <w:rsid w:val="000C258F"/>
    <w:rsid w:val="000C33AB"/>
    <w:rsid w:val="000D188B"/>
    <w:rsid w:val="000E2A88"/>
    <w:rsid w:val="000F3EA6"/>
    <w:rsid w:val="00100D96"/>
    <w:rsid w:val="00105D3A"/>
    <w:rsid w:val="001239B5"/>
    <w:rsid w:val="00147D13"/>
    <w:rsid w:val="00157201"/>
    <w:rsid w:val="00160553"/>
    <w:rsid w:val="001609C5"/>
    <w:rsid w:val="00160F25"/>
    <w:rsid w:val="00166FFF"/>
    <w:rsid w:val="00175C71"/>
    <w:rsid w:val="0017688A"/>
    <w:rsid w:val="0017689A"/>
    <w:rsid w:val="00191E03"/>
    <w:rsid w:val="001B448B"/>
    <w:rsid w:val="001C22C5"/>
    <w:rsid w:val="001D3D4C"/>
    <w:rsid w:val="001D7857"/>
    <w:rsid w:val="001E600D"/>
    <w:rsid w:val="001F004F"/>
    <w:rsid w:val="00201BA6"/>
    <w:rsid w:val="00206311"/>
    <w:rsid w:val="00212AF2"/>
    <w:rsid w:val="00217146"/>
    <w:rsid w:val="0023271F"/>
    <w:rsid w:val="00233D13"/>
    <w:rsid w:val="00233DBE"/>
    <w:rsid w:val="00236BB9"/>
    <w:rsid w:val="00240235"/>
    <w:rsid w:val="002431E1"/>
    <w:rsid w:val="00243407"/>
    <w:rsid w:val="00253122"/>
    <w:rsid w:val="00262C5D"/>
    <w:rsid w:val="0026415C"/>
    <w:rsid w:val="00271025"/>
    <w:rsid w:val="00272B76"/>
    <w:rsid w:val="0027663A"/>
    <w:rsid w:val="00285572"/>
    <w:rsid w:val="00291349"/>
    <w:rsid w:val="002930E5"/>
    <w:rsid w:val="002972EC"/>
    <w:rsid w:val="002A132C"/>
    <w:rsid w:val="002A57C8"/>
    <w:rsid w:val="002B1C24"/>
    <w:rsid w:val="002B5B4C"/>
    <w:rsid w:val="002E0EDB"/>
    <w:rsid w:val="002F0223"/>
    <w:rsid w:val="002F1C45"/>
    <w:rsid w:val="002F29B7"/>
    <w:rsid w:val="002F478A"/>
    <w:rsid w:val="002F64E8"/>
    <w:rsid w:val="0030217E"/>
    <w:rsid w:val="003026EA"/>
    <w:rsid w:val="00307836"/>
    <w:rsid w:val="00313FE0"/>
    <w:rsid w:val="003247B5"/>
    <w:rsid w:val="003344A9"/>
    <w:rsid w:val="00337CEA"/>
    <w:rsid w:val="00340992"/>
    <w:rsid w:val="00345741"/>
    <w:rsid w:val="00350D8A"/>
    <w:rsid w:val="00353391"/>
    <w:rsid w:val="003562BE"/>
    <w:rsid w:val="00360B0F"/>
    <w:rsid w:val="00362082"/>
    <w:rsid w:val="00367DF8"/>
    <w:rsid w:val="00370A4A"/>
    <w:rsid w:val="00371C06"/>
    <w:rsid w:val="00376E1E"/>
    <w:rsid w:val="00380F0D"/>
    <w:rsid w:val="00381EA2"/>
    <w:rsid w:val="003A093E"/>
    <w:rsid w:val="003A24B4"/>
    <w:rsid w:val="003A59A0"/>
    <w:rsid w:val="003B4DE4"/>
    <w:rsid w:val="003C3C2F"/>
    <w:rsid w:val="003D07A0"/>
    <w:rsid w:val="003E0A5D"/>
    <w:rsid w:val="003F3422"/>
    <w:rsid w:val="004035DB"/>
    <w:rsid w:val="00411E91"/>
    <w:rsid w:val="00412692"/>
    <w:rsid w:val="00413E6F"/>
    <w:rsid w:val="00417755"/>
    <w:rsid w:val="00430342"/>
    <w:rsid w:val="004306D9"/>
    <w:rsid w:val="004313D5"/>
    <w:rsid w:val="004339A6"/>
    <w:rsid w:val="004467A4"/>
    <w:rsid w:val="00455EBD"/>
    <w:rsid w:val="00455F4F"/>
    <w:rsid w:val="00456790"/>
    <w:rsid w:val="00461360"/>
    <w:rsid w:val="004656BC"/>
    <w:rsid w:val="00485292"/>
    <w:rsid w:val="00486CDE"/>
    <w:rsid w:val="004B4AFD"/>
    <w:rsid w:val="004C48FD"/>
    <w:rsid w:val="004F19ED"/>
    <w:rsid w:val="0050153F"/>
    <w:rsid w:val="005059BD"/>
    <w:rsid w:val="00511DF4"/>
    <w:rsid w:val="00512919"/>
    <w:rsid w:val="00521CB0"/>
    <w:rsid w:val="005248D8"/>
    <w:rsid w:val="00526085"/>
    <w:rsid w:val="0052635A"/>
    <w:rsid w:val="005376D8"/>
    <w:rsid w:val="0054506D"/>
    <w:rsid w:val="00553230"/>
    <w:rsid w:val="00556F73"/>
    <w:rsid w:val="005612D0"/>
    <w:rsid w:val="0056582D"/>
    <w:rsid w:val="005719A9"/>
    <w:rsid w:val="00574A93"/>
    <w:rsid w:val="0057547D"/>
    <w:rsid w:val="00585137"/>
    <w:rsid w:val="00586A2D"/>
    <w:rsid w:val="00586A41"/>
    <w:rsid w:val="00587903"/>
    <w:rsid w:val="005907EF"/>
    <w:rsid w:val="005A6039"/>
    <w:rsid w:val="005A6281"/>
    <w:rsid w:val="005A739A"/>
    <w:rsid w:val="005C3D3B"/>
    <w:rsid w:val="005C6A49"/>
    <w:rsid w:val="005D0E0B"/>
    <w:rsid w:val="005E2B26"/>
    <w:rsid w:val="005F3547"/>
    <w:rsid w:val="005F3B9E"/>
    <w:rsid w:val="005F65FF"/>
    <w:rsid w:val="005F6839"/>
    <w:rsid w:val="00613816"/>
    <w:rsid w:val="00613F8D"/>
    <w:rsid w:val="00615622"/>
    <w:rsid w:val="006321B5"/>
    <w:rsid w:val="006326EB"/>
    <w:rsid w:val="00640726"/>
    <w:rsid w:val="006413F7"/>
    <w:rsid w:val="00642836"/>
    <w:rsid w:val="00644ECE"/>
    <w:rsid w:val="0064516C"/>
    <w:rsid w:val="0065514B"/>
    <w:rsid w:val="00657DBA"/>
    <w:rsid w:val="00664F68"/>
    <w:rsid w:val="006751D4"/>
    <w:rsid w:val="00680878"/>
    <w:rsid w:val="00682D8B"/>
    <w:rsid w:val="00687F38"/>
    <w:rsid w:val="00692774"/>
    <w:rsid w:val="006A08CB"/>
    <w:rsid w:val="006A7B4D"/>
    <w:rsid w:val="006C100B"/>
    <w:rsid w:val="006C1ED6"/>
    <w:rsid w:val="006C451A"/>
    <w:rsid w:val="006D648E"/>
    <w:rsid w:val="006E506E"/>
    <w:rsid w:val="006E5EF7"/>
    <w:rsid w:val="006F1FA7"/>
    <w:rsid w:val="006F2B31"/>
    <w:rsid w:val="006F697F"/>
    <w:rsid w:val="006F7C12"/>
    <w:rsid w:val="007126C9"/>
    <w:rsid w:val="00712C6C"/>
    <w:rsid w:val="00725073"/>
    <w:rsid w:val="007274D6"/>
    <w:rsid w:val="00730E20"/>
    <w:rsid w:val="007312A4"/>
    <w:rsid w:val="00733038"/>
    <w:rsid w:val="00740F33"/>
    <w:rsid w:val="0074383A"/>
    <w:rsid w:val="00744BCC"/>
    <w:rsid w:val="0074699A"/>
    <w:rsid w:val="007512FE"/>
    <w:rsid w:val="00761974"/>
    <w:rsid w:val="00762B83"/>
    <w:rsid w:val="007657BC"/>
    <w:rsid w:val="007678ED"/>
    <w:rsid w:val="00767C85"/>
    <w:rsid w:val="00767CF3"/>
    <w:rsid w:val="00774B2C"/>
    <w:rsid w:val="007807B1"/>
    <w:rsid w:val="0079177A"/>
    <w:rsid w:val="007A3522"/>
    <w:rsid w:val="007A510A"/>
    <w:rsid w:val="007B3E0D"/>
    <w:rsid w:val="007B6A84"/>
    <w:rsid w:val="007C4C70"/>
    <w:rsid w:val="007C516D"/>
    <w:rsid w:val="007E0FC4"/>
    <w:rsid w:val="007E5866"/>
    <w:rsid w:val="007E5EFA"/>
    <w:rsid w:val="007F16BF"/>
    <w:rsid w:val="007F5369"/>
    <w:rsid w:val="007F6236"/>
    <w:rsid w:val="007F76F3"/>
    <w:rsid w:val="00800407"/>
    <w:rsid w:val="00806B06"/>
    <w:rsid w:val="00811F6D"/>
    <w:rsid w:val="00815F6E"/>
    <w:rsid w:val="00817FA2"/>
    <w:rsid w:val="00831345"/>
    <w:rsid w:val="00847086"/>
    <w:rsid w:val="008535CF"/>
    <w:rsid w:val="00855925"/>
    <w:rsid w:val="00857759"/>
    <w:rsid w:val="0087220D"/>
    <w:rsid w:val="008775C1"/>
    <w:rsid w:val="00882B44"/>
    <w:rsid w:val="008A306C"/>
    <w:rsid w:val="008B3917"/>
    <w:rsid w:val="008B5E9F"/>
    <w:rsid w:val="008C6552"/>
    <w:rsid w:val="008D00E9"/>
    <w:rsid w:val="008D2BDB"/>
    <w:rsid w:val="008D5C7E"/>
    <w:rsid w:val="008F2641"/>
    <w:rsid w:val="009037C3"/>
    <w:rsid w:val="00907C2D"/>
    <w:rsid w:val="009120BD"/>
    <w:rsid w:val="00930D2F"/>
    <w:rsid w:val="0093273D"/>
    <w:rsid w:val="00947F06"/>
    <w:rsid w:val="00950EAE"/>
    <w:rsid w:val="00957267"/>
    <w:rsid w:val="00961098"/>
    <w:rsid w:val="00962ECA"/>
    <w:rsid w:val="009662EF"/>
    <w:rsid w:val="00970E2B"/>
    <w:rsid w:val="00971D17"/>
    <w:rsid w:val="00976231"/>
    <w:rsid w:val="00980541"/>
    <w:rsid w:val="009842A3"/>
    <w:rsid w:val="00985106"/>
    <w:rsid w:val="009862AD"/>
    <w:rsid w:val="009877B7"/>
    <w:rsid w:val="0099377A"/>
    <w:rsid w:val="00994E16"/>
    <w:rsid w:val="009A1D95"/>
    <w:rsid w:val="009A509D"/>
    <w:rsid w:val="009C21CA"/>
    <w:rsid w:val="009C2AAF"/>
    <w:rsid w:val="009C45F5"/>
    <w:rsid w:val="009D5F66"/>
    <w:rsid w:val="009E01A4"/>
    <w:rsid w:val="009E516A"/>
    <w:rsid w:val="009F45D4"/>
    <w:rsid w:val="009F6ACA"/>
    <w:rsid w:val="00A01488"/>
    <w:rsid w:val="00A02F7A"/>
    <w:rsid w:val="00A04630"/>
    <w:rsid w:val="00A0467E"/>
    <w:rsid w:val="00A04878"/>
    <w:rsid w:val="00A108F9"/>
    <w:rsid w:val="00A10B66"/>
    <w:rsid w:val="00A24729"/>
    <w:rsid w:val="00A36850"/>
    <w:rsid w:val="00A41AF4"/>
    <w:rsid w:val="00A543F4"/>
    <w:rsid w:val="00A7501D"/>
    <w:rsid w:val="00A82A7F"/>
    <w:rsid w:val="00A83D5E"/>
    <w:rsid w:val="00AA3C53"/>
    <w:rsid w:val="00AA4904"/>
    <w:rsid w:val="00AA4FAB"/>
    <w:rsid w:val="00AA7A98"/>
    <w:rsid w:val="00AB7532"/>
    <w:rsid w:val="00AC2907"/>
    <w:rsid w:val="00AC4220"/>
    <w:rsid w:val="00AC6838"/>
    <w:rsid w:val="00AD0942"/>
    <w:rsid w:val="00AD56C1"/>
    <w:rsid w:val="00AE2313"/>
    <w:rsid w:val="00AE3069"/>
    <w:rsid w:val="00AE30E2"/>
    <w:rsid w:val="00AE7FA3"/>
    <w:rsid w:val="00AF5DC6"/>
    <w:rsid w:val="00AF7CF9"/>
    <w:rsid w:val="00B0287C"/>
    <w:rsid w:val="00B04ADA"/>
    <w:rsid w:val="00B05F4A"/>
    <w:rsid w:val="00B07810"/>
    <w:rsid w:val="00B112EC"/>
    <w:rsid w:val="00B26272"/>
    <w:rsid w:val="00B30BD2"/>
    <w:rsid w:val="00B34C84"/>
    <w:rsid w:val="00B5441E"/>
    <w:rsid w:val="00B60E28"/>
    <w:rsid w:val="00B7309B"/>
    <w:rsid w:val="00B739D4"/>
    <w:rsid w:val="00B74171"/>
    <w:rsid w:val="00B825AC"/>
    <w:rsid w:val="00B86D58"/>
    <w:rsid w:val="00B872A2"/>
    <w:rsid w:val="00B87513"/>
    <w:rsid w:val="00BA6118"/>
    <w:rsid w:val="00BA61F3"/>
    <w:rsid w:val="00BB1677"/>
    <w:rsid w:val="00BB3145"/>
    <w:rsid w:val="00BB5FC0"/>
    <w:rsid w:val="00BB7A1E"/>
    <w:rsid w:val="00BC0922"/>
    <w:rsid w:val="00BC3AE8"/>
    <w:rsid w:val="00BC5217"/>
    <w:rsid w:val="00BD7EE4"/>
    <w:rsid w:val="00BE4BE4"/>
    <w:rsid w:val="00BE6BB8"/>
    <w:rsid w:val="00BE7CB1"/>
    <w:rsid w:val="00BF0318"/>
    <w:rsid w:val="00BF21A6"/>
    <w:rsid w:val="00BF3CF3"/>
    <w:rsid w:val="00BF4C25"/>
    <w:rsid w:val="00C07FC7"/>
    <w:rsid w:val="00C14B9E"/>
    <w:rsid w:val="00C15FA2"/>
    <w:rsid w:val="00C213E2"/>
    <w:rsid w:val="00C271A0"/>
    <w:rsid w:val="00C3002F"/>
    <w:rsid w:val="00C32A45"/>
    <w:rsid w:val="00C35C31"/>
    <w:rsid w:val="00C40F10"/>
    <w:rsid w:val="00C44A23"/>
    <w:rsid w:val="00C5127A"/>
    <w:rsid w:val="00C64203"/>
    <w:rsid w:val="00C6776E"/>
    <w:rsid w:val="00C7366B"/>
    <w:rsid w:val="00C750F6"/>
    <w:rsid w:val="00C7698B"/>
    <w:rsid w:val="00C76BF4"/>
    <w:rsid w:val="00C86187"/>
    <w:rsid w:val="00C86F70"/>
    <w:rsid w:val="00C91FCA"/>
    <w:rsid w:val="00C96CCD"/>
    <w:rsid w:val="00CA1AE5"/>
    <w:rsid w:val="00CA6B51"/>
    <w:rsid w:val="00CC2798"/>
    <w:rsid w:val="00CC48AC"/>
    <w:rsid w:val="00CD7588"/>
    <w:rsid w:val="00CE663B"/>
    <w:rsid w:val="00CE74E3"/>
    <w:rsid w:val="00D00312"/>
    <w:rsid w:val="00D02CCA"/>
    <w:rsid w:val="00D14BDA"/>
    <w:rsid w:val="00D16327"/>
    <w:rsid w:val="00D16502"/>
    <w:rsid w:val="00D17E1B"/>
    <w:rsid w:val="00D2031C"/>
    <w:rsid w:val="00D25DD7"/>
    <w:rsid w:val="00D33237"/>
    <w:rsid w:val="00D3547C"/>
    <w:rsid w:val="00D377DF"/>
    <w:rsid w:val="00D57F8F"/>
    <w:rsid w:val="00D6285F"/>
    <w:rsid w:val="00D72FC5"/>
    <w:rsid w:val="00D824E0"/>
    <w:rsid w:val="00D84BBD"/>
    <w:rsid w:val="00D86ECB"/>
    <w:rsid w:val="00DA0418"/>
    <w:rsid w:val="00DA7F7B"/>
    <w:rsid w:val="00DB2C23"/>
    <w:rsid w:val="00DB64A6"/>
    <w:rsid w:val="00DD28D3"/>
    <w:rsid w:val="00DD3FB9"/>
    <w:rsid w:val="00DD6B32"/>
    <w:rsid w:val="00DE272C"/>
    <w:rsid w:val="00DE3CFE"/>
    <w:rsid w:val="00DE6B5E"/>
    <w:rsid w:val="00DE6DCA"/>
    <w:rsid w:val="00DF0CC2"/>
    <w:rsid w:val="00DF27A8"/>
    <w:rsid w:val="00DF4281"/>
    <w:rsid w:val="00E02336"/>
    <w:rsid w:val="00E02541"/>
    <w:rsid w:val="00E039A4"/>
    <w:rsid w:val="00E0736C"/>
    <w:rsid w:val="00E07561"/>
    <w:rsid w:val="00E1166F"/>
    <w:rsid w:val="00E253D0"/>
    <w:rsid w:val="00E25B26"/>
    <w:rsid w:val="00E347F6"/>
    <w:rsid w:val="00E36194"/>
    <w:rsid w:val="00E37F9F"/>
    <w:rsid w:val="00E60481"/>
    <w:rsid w:val="00E608EC"/>
    <w:rsid w:val="00E723CC"/>
    <w:rsid w:val="00E828A5"/>
    <w:rsid w:val="00E95866"/>
    <w:rsid w:val="00EA47CA"/>
    <w:rsid w:val="00EB29EC"/>
    <w:rsid w:val="00EB31D8"/>
    <w:rsid w:val="00EC2684"/>
    <w:rsid w:val="00EC6667"/>
    <w:rsid w:val="00ED38AF"/>
    <w:rsid w:val="00ED6503"/>
    <w:rsid w:val="00EE1BD4"/>
    <w:rsid w:val="00EE2357"/>
    <w:rsid w:val="00EE36D7"/>
    <w:rsid w:val="00EF08E5"/>
    <w:rsid w:val="00EF65B0"/>
    <w:rsid w:val="00F15D01"/>
    <w:rsid w:val="00F2014E"/>
    <w:rsid w:val="00F25DAB"/>
    <w:rsid w:val="00F26E67"/>
    <w:rsid w:val="00F311C2"/>
    <w:rsid w:val="00F32548"/>
    <w:rsid w:val="00F3334B"/>
    <w:rsid w:val="00F34FAB"/>
    <w:rsid w:val="00F378D3"/>
    <w:rsid w:val="00F40223"/>
    <w:rsid w:val="00F409FA"/>
    <w:rsid w:val="00F40A88"/>
    <w:rsid w:val="00F42085"/>
    <w:rsid w:val="00F43F85"/>
    <w:rsid w:val="00F46F7D"/>
    <w:rsid w:val="00F47F2E"/>
    <w:rsid w:val="00F5039C"/>
    <w:rsid w:val="00F52534"/>
    <w:rsid w:val="00F549CF"/>
    <w:rsid w:val="00F5684E"/>
    <w:rsid w:val="00F5793B"/>
    <w:rsid w:val="00F72C25"/>
    <w:rsid w:val="00F76705"/>
    <w:rsid w:val="00F81AA9"/>
    <w:rsid w:val="00F8396E"/>
    <w:rsid w:val="00F84B5A"/>
    <w:rsid w:val="00F919B4"/>
    <w:rsid w:val="00F91A0D"/>
    <w:rsid w:val="00F9441D"/>
    <w:rsid w:val="00F96A58"/>
    <w:rsid w:val="00F96DBB"/>
    <w:rsid w:val="00FA0854"/>
    <w:rsid w:val="00FA16B5"/>
    <w:rsid w:val="00FA34AD"/>
    <w:rsid w:val="00FB2C0C"/>
    <w:rsid w:val="00FB5C3A"/>
    <w:rsid w:val="00FB7B5E"/>
    <w:rsid w:val="00FC3AF8"/>
    <w:rsid w:val="00FC49B4"/>
    <w:rsid w:val="00FD15C4"/>
    <w:rsid w:val="00FD6D02"/>
    <w:rsid w:val="00FE28E3"/>
    <w:rsid w:val="00FE3905"/>
    <w:rsid w:val="00FF4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CF"/>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8535CF"/>
    <w:pPr>
      <w:keepNext/>
      <w:widowControl w:val="0"/>
      <w:tabs>
        <w:tab w:val="center" w:pos="4680"/>
      </w:tabs>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35CF"/>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AC4220"/>
    <w:rPr>
      <w:rFonts w:ascii="Palatino Linotype" w:eastAsia="Times New Roman"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AC4220"/>
    <w:rPr>
      <w:rFonts w:ascii="Palatino Linotype" w:eastAsia="Times New Roman" w:hAnsi="Palatino Linotype" w:cs="Times New Roman"/>
      <w:sz w:val="20"/>
      <w:szCs w:val="20"/>
    </w:rPr>
  </w:style>
  <w:style w:type="character" w:styleId="FootnoteReference">
    <w:name w:val="footnote reference"/>
    <w:basedOn w:val="DefaultParagraphFont"/>
    <w:uiPriority w:val="99"/>
    <w:rsid w:val="00AC4220"/>
    <w:rPr>
      <w:vertAlign w:val="superscript"/>
    </w:rPr>
  </w:style>
  <w:style w:type="paragraph" w:styleId="ListParagraph">
    <w:name w:val="List Paragraph"/>
    <w:basedOn w:val="Normal"/>
    <w:uiPriority w:val="34"/>
    <w:qFormat/>
    <w:rsid w:val="00AC4220"/>
    <w:pPr>
      <w:ind w:left="720"/>
      <w:contextualSpacing/>
    </w:pPr>
  </w:style>
  <w:style w:type="paragraph" w:styleId="Header">
    <w:name w:val="header"/>
    <w:basedOn w:val="Normal"/>
    <w:link w:val="HeaderChar"/>
    <w:uiPriority w:val="99"/>
    <w:semiHidden/>
    <w:unhideWhenUsed/>
    <w:rsid w:val="007678ED"/>
    <w:pPr>
      <w:tabs>
        <w:tab w:val="center" w:pos="4680"/>
        <w:tab w:val="right" w:pos="9360"/>
      </w:tabs>
    </w:pPr>
  </w:style>
  <w:style w:type="character" w:customStyle="1" w:styleId="HeaderChar">
    <w:name w:val="Header Char"/>
    <w:basedOn w:val="DefaultParagraphFont"/>
    <w:link w:val="Header"/>
    <w:uiPriority w:val="99"/>
    <w:semiHidden/>
    <w:rsid w:val="007678ED"/>
    <w:rPr>
      <w:rFonts w:ascii="Calibri" w:eastAsia="Calibri" w:hAnsi="Calibri" w:cs="Times New Roman"/>
    </w:rPr>
  </w:style>
  <w:style w:type="paragraph" w:styleId="Footer">
    <w:name w:val="footer"/>
    <w:basedOn w:val="Normal"/>
    <w:link w:val="FooterChar"/>
    <w:uiPriority w:val="99"/>
    <w:semiHidden/>
    <w:unhideWhenUsed/>
    <w:rsid w:val="007678ED"/>
    <w:pPr>
      <w:tabs>
        <w:tab w:val="center" w:pos="4680"/>
        <w:tab w:val="right" w:pos="9360"/>
      </w:tabs>
    </w:pPr>
  </w:style>
  <w:style w:type="character" w:customStyle="1" w:styleId="FooterChar">
    <w:name w:val="Footer Char"/>
    <w:basedOn w:val="DefaultParagraphFont"/>
    <w:link w:val="Footer"/>
    <w:uiPriority w:val="99"/>
    <w:semiHidden/>
    <w:rsid w:val="007678ED"/>
    <w:rPr>
      <w:rFonts w:ascii="Calibri" w:eastAsia="Calibri" w:hAnsi="Calibri" w:cs="Times New Roman"/>
    </w:rPr>
  </w:style>
  <w:style w:type="paragraph" w:styleId="BodyTextIndent2">
    <w:name w:val="Body Text Indent 2"/>
    <w:basedOn w:val="Normal"/>
    <w:link w:val="BodyTextIndent2Char"/>
    <w:uiPriority w:val="99"/>
    <w:semiHidden/>
    <w:unhideWhenUsed/>
    <w:rsid w:val="00D25DD7"/>
    <w:pPr>
      <w:spacing w:after="120" w:line="480" w:lineRule="auto"/>
      <w:ind w:left="360"/>
    </w:pPr>
  </w:style>
  <w:style w:type="character" w:customStyle="1" w:styleId="BodyTextIndent2Char">
    <w:name w:val="Body Text Indent 2 Char"/>
    <w:basedOn w:val="DefaultParagraphFont"/>
    <w:link w:val="BodyTextIndent2"/>
    <w:uiPriority w:val="99"/>
    <w:semiHidden/>
    <w:rsid w:val="00D25DD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2009-05-08T07:00:00+00:00</OpenedDate>
    <Date1 xmlns="dc463f71-b30c-4ab2-9473-d307f9d35888">2010-03-02T08:00:00+00:00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090704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A42C26506CF14D82D0A72383FC3E88" ma:contentTypeVersion="131" ma:contentTypeDescription="" ma:contentTypeScope="" ma:versionID="900aaace43aad440889e194c92f720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06914-0E71-4272-A38E-5FA5B03B58F6}"/>
</file>

<file path=customXml/itemProps2.xml><?xml version="1.0" encoding="utf-8"?>
<ds:datastoreItem xmlns:ds="http://schemas.openxmlformats.org/officeDocument/2006/customXml" ds:itemID="{6347008C-E01A-4184-8203-31B6504127B1}"/>
</file>

<file path=customXml/itemProps3.xml><?xml version="1.0" encoding="utf-8"?>
<ds:datastoreItem xmlns:ds="http://schemas.openxmlformats.org/officeDocument/2006/customXml" ds:itemID="{8ED1075B-0CEA-4E81-AE66-9C2DFCE8A46C}"/>
</file>

<file path=customXml/itemProps4.xml><?xml version="1.0" encoding="utf-8"?>
<ds:datastoreItem xmlns:ds="http://schemas.openxmlformats.org/officeDocument/2006/customXml" ds:itemID="{AAA2112F-7767-43EF-BAB8-0A0BA2DA43D2}"/>
</file>

<file path=customXml/itemProps5.xml><?xml version="1.0" encoding="utf-8"?>
<ds:datastoreItem xmlns:ds="http://schemas.openxmlformats.org/officeDocument/2006/customXml" ds:itemID="{870FB1EB-284C-4B39-B33A-E075FCC7AF1C}"/>
</file>

<file path=docProps/app.xml><?xml version="1.0" encoding="utf-8"?>
<Properties xmlns="http://schemas.openxmlformats.org/officeDocument/2006/extended-properties" xmlns:vt="http://schemas.openxmlformats.org/officeDocument/2006/docPropsVTypes">
  <Template>Normal.dotm</Template>
  <TotalTime>179</TotalTime>
  <Pages>17</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bobcedarbaum</dc:creator>
  <cp:keywords/>
  <dc:description/>
  <cp:lastModifiedBy>bobcedarbaum</cp:lastModifiedBy>
  <cp:revision>29</cp:revision>
  <cp:lastPrinted>2010-03-02T15:20:00Z</cp:lastPrinted>
  <dcterms:created xsi:type="dcterms:W3CDTF">2010-03-01T16:49:00Z</dcterms:created>
  <dcterms:modified xsi:type="dcterms:W3CDTF">2010-03-02T23:00:00Z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0x0101006E56B4D1795A2E4DB2F0B01679ED314A007CA42C26506CF14D82D0A72383FC3E88</vt:lpwstr>
  </property>
  <property fmtid="{D5CDD505-2E9C-101B-9397-08002B2CF9AE}" pid="3" name="_docset_NoMedatataSyncRequired">
    <vt:lpwstr>False</vt:lpwstr>
  </property>
  <property fmtid="{D5CDD505-2E9C-101B-9397-08002B2CF9AE}" pid="4" name="IsEFSEC">
    <vt:bool>false</vt:bool>
  </property>
</Properties>
</file>