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969A0" w14:textId="77777777" w:rsidR="00C33AB0" w:rsidRPr="00546F21" w:rsidRDefault="00C33AB0" w:rsidP="00B802A6">
      <w:pPr>
        <w:pStyle w:val="Header"/>
        <w:tabs>
          <w:tab w:val="clear" w:pos="4320"/>
          <w:tab w:val="clear" w:pos="8640"/>
        </w:tabs>
        <w:spacing w:line="240" w:lineRule="exact"/>
        <w:jc w:val="center"/>
        <w:rPr>
          <w:rFonts w:ascii="Times New Roman" w:hAnsi="Times New Roman"/>
          <w:b/>
        </w:rPr>
      </w:pPr>
    </w:p>
    <w:p w14:paraId="28D5CD35" w14:textId="77777777" w:rsidR="00C33AB0" w:rsidRPr="00546F21" w:rsidRDefault="00C33AB0" w:rsidP="00B802A6">
      <w:pPr>
        <w:pStyle w:val="Header"/>
        <w:tabs>
          <w:tab w:val="clear" w:pos="4320"/>
          <w:tab w:val="clear" w:pos="8640"/>
        </w:tabs>
        <w:spacing w:line="240" w:lineRule="exact"/>
        <w:jc w:val="center"/>
        <w:rPr>
          <w:rFonts w:ascii="Times New Roman" w:hAnsi="Times New Roman"/>
          <w:b/>
        </w:rPr>
      </w:pPr>
    </w:p>
    <w:p w14:paraId="2D2E38EE" w14:textId="77777777" w:rsidR="00B802A6" w:rsidRPr="00546F21" w:rsidRDefault="00413A6A" w:rsidP="00B802A6">
      <w:pPr>
        <w:pStyle w:val="Header"/>
        <w:tabs>
          <w:tab w:val="clear" w:pos="4320"/>
          <w:tab w:val="clear" w:pos="8640"/>
        </w:tabs>
        <w:spacing w:line="240" w:lineRule="exact"/>
        <w:jc w:val="center"/>
        <w:rPr>
          <w:rFonts w:ascii="Times New Roman" w:hAnsi="Times New Roman"/>
          <w:b/>
        </w:rPr>
      </w:pPr>
      <w:r w:rsidRPr="00546F21">
        <w:rPr>
          <w:rFonts w:ascii="Times New Roman" w:hAnsi="Times New Roman"/>
          <w:b/>
        </w:rPr>
        <w:t>BEFORE THE WASHINGTON</w:t>
      </w:r>
    </w:p>
    <w:p w14:paraId="614AD1A9" w14:textId="77777777" w:rsidR="00413A6A" w:rsidRPr="00546F21" w:rsidRDefault="00413A6A" w:rsidP="00B802A6">
      <w:pPr>
        <w:pStyle w:val="Header"/>
        <w:tabs>
          <w:tab w:val="clear" w:pos="4320"/>
          <w:tab w:val="clear" w:pos="8640"/>
        </w:tabs>
        <w:spacing w:line="240" w:lineRule="exact"/>
        <w:jc w:val="center"/>
        <w:rPr>
          <w:rFonts w:ascii="Times New Roman" w:hAnsi="Times New Roman"/>
        </w:rPr>
      </w:pPr>
      <w:r w:rsidRPr="00546F21">
        <w:rPr>
          <w:rFonts w:ascii="Times New Roman" w:hAnsi="Times New Roman"/>
          <w:b/>
        </w:rPr>
        <w:t>UTILITIES AND TRANSPORTATION COMMISSION</w:t>
      </w:r>
    </w:p>
    <w:p w14:paraId="0E5A1A03" w14:textId="77777777" w:rsidR="00413A6A" w:rsidRPr="00546F21" w:rsidRDefault="00413A6A" w:rsidP="00B802A6">
      <w:pPr>
        <w:pStyle w:val="Header"/>
        <w:spacing w:line="240" w:lineRule="exact"/>
        <w:jc w:val="center"/>
        <w:rPr>
          <w:rFonts w:ascii="Times New Roman" w:hAnsi="Times New Roman"/>
        </w:rPr>
      </w:pPr>
    </w:p>
    <w:p w14:paraId="31A4A1DC" w14:textId="77777777" w:rsidR="00413A6A" w:rsidRPr="00546F21" w:rsidRDefault="00413A6A" w:rsidP="00B802A6">
      <w:pPr>
        <w:pStyle w:val="Header"/>
        <w:spacing w:line="240" w:lineRule="exact"/>
        <w:rPr>
          <w:rFonts w:ascii="Times New Roman" w:hAnsi="Times New Roman"/>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413A6A" w:rsidRPr="00546F21" w14:paraId="4884F66D" w14:textId="77777777" w:rsidTr="002F15AA">
        <w:tc>
          <w:tcPr>
            <w:tcW w:w="4590" w:type="dxa"/>
            <w:tcBorders>
              <w:top w:val="single" w:sz="6" w:space="0" w:color="FFFFFF"/>
              <w:left w:val="single" w:sz="6" w:space="0" w:color="FFFFFF"/>
              <w:bottom w:val="single" w:sz="7" w:space="0" w:color="000000"/>
              <w:right w:val="single" w:sz="6" w:space="0" w:color="FFFFFF"/>
            </w:tcBorders>
          </w:tcPr>
          <w:p w14:paraId="13E23450" w14:textId="77777777" w:rsidR="00413A6A" w:rsidRPr="00546F21" w:rsidRDefault="00413A6A" w:rsidP="00B802A6">
            <w:pPr>
              <w:pStyle w:val="Header"/>
              <w:tabs>
                <w:tab w:val="left" w:pos="681"/>
                <w:tab w:val="left" w:pos="1401"/>
              </w:tabs>
              <w:spacing w:line="240" w:lineRule="exact"/>
              <w:rPr>
                <w:rFonts w:ascii="Times New Roman" w:hAnsi="Times New Roman"/>
                <w:b/>
              </w:rPr>
            </w:pPr>
            <w:r w:rsidRPr="00546F21">
              <w:rPr>
                <w:rFonts w:ascii="Times New Roman" w:hAnsi="Times New Roman"/>
                <w:b/>
              </w:rPr>
              <w:t>In the Matter of the Petition of</w:t>
            </w:r>
            <w:r w:rsidRPr="00546F21">
              <w:rPr>
                <w:rFonts w:ascii="Times New Roman" w:hAnsi="Times New Roman"/>
                <w:b/>
              </w:rPr>
              <w:br/>
            </w:r>
            <w:r w:rsidRPr="00546F21">
              <w:rPr>
                <w:rFonts w:ascii="Times New Roman" w:hAnsi="Times New Roman"/>
                <w:b/>
              </w:rPr>
              <w:br/>
              <w:t>PUGET SOUND ENERGY, INC.</w:t>
            </w:r>
            <w:r w:rsidRPr="00546F21">
              <w:rPr>
                <w:rFonts w:ascii="Times New Roman" w:hAnsi="Times New Roman"/>
                <w:b/>
              </w:rPr>
              <w:br/>
            </w:r>
            <w:r w:rsidRPr="00546F21">
              <w:rPr>
                <w:rFonts w:ascii="Times New Roman" w:hAnsi="Times New Roman"/>
                <w:b/>
              </w:rPr>
              <w:br/>
              <w:t>For an Accounting Order Approving the Allocation of Proceeds of the Sale of Certain Assets to Public Utility District #1 of Jefferson County.</w:t>
            </w:r>
          </w:p>
          <w:p w14:paraId="67FDAE29" w14:textId="77777777" w:rsidR="00413A6A" w:rsidRPr="00546F21" w:rsidRDefault="00413A6A" w:rsidP="00B802A6">
            <w:pPr>
              <w:pStyle w:val="Header"/>
              <w:tabs>
                <w:tab w:val="left" w:pos="681"/>
                <w:tab w:val="left" w:pos="1401"/>
              </w:tabs>
              <w:spacing w:line="240" w:lineRule="exact"/>
              <w:rPr>
                <w:rFonts w:ascii="Times New Roman" w:hAnsi="Times New Roman"/>
                <w:b/>
              </w:rPr>
            </w:pPr>
          </w:p>
        </w:tc>
        <w:tc>
          <w:tcPr>
            <w:tcW w:w="4590" w:type="dxa"/>
            <w:tcBorders>
              <w:top w:val="single" w:sz="6" w:space="0" w:color="FFFFFF"/>
              <w:left w:val="single" w:sz="7" w:space="0" w:color="000000"/>
              <w:bottom w:val="single" w:sz="6" w:space="0" w:color="FFFFFF"/>
              <w:right w:val="single" w:sz="6" w:space="0" w:color="FFFFFF"/>
            </w:tcBorders>
          </w:tcPr>
          <w:p w14:paraId="0A0F5794" w14:textId="77777777" w:rsidR="00413A6A" w:rsidRPr="00546F21" w:rsidRDefault="00413A6A" w:rsidP="00B802A6">
            <w:pPr>
              <w:pStyle w:val="Header"/>
              <w:spacing w:line="240" w:lineRule="exact"/>
              <w:ind w:left="416"/>
              <w:rPr>
                <w:rFonts w:ascii="Times New Roman" w:hAnsi="Times New Roman"/>
                <w:b/>
              </w:rPr>
            </w:pPr>
            <w:r w:rsidRPr="00546F21">
              <w:rPr>
                <w:rFonts w:ascii="Times New Roman" w:hAnsi="Times New Roman"/>
                <w:b/>
              </w:rPr>
              <w:t>DOCKET UE-132027</w:t>
            </w:r>
          </w:p>
          <w:p w14:paraId="099F85D6" w14:textId="77777777" w:rsidR="00413A6A" w:rsidRPr="00546F21" w:rsidRDefault="00413A6A" w:rsidP="00B802A6">
            <w:pPr>
              <w:pStyle w:val="Header"/>
              <w:spacing w:line="240" w:lineRule="exact"/>
              <w:ind w:left="416"/>
              <w:rPr>
                <w:rFonts w:ascii="Times New Roman" w:hAnsi="Times New Roman"/>
                <w:b/>
              </w:rPr>
            </w:pPr>
          </w:p>
          <w:p w14:paraId="47DE17A4" w14:textId="77777777" w:rsidR="00B802A6" w:rsidRPr="00546F21" w:rsidRDefault="00B802A6" w:rsidP="00B802A6">
            <w:pPr>
              <w:pStyle w:val="BodyTextIndent2"/>
              <w:spacing w:line="240" w:lineRule="exact"/>
              <w:ind w:left="416"/>
              <w:rPr>
                <w:rFonts w:ascii="Times New Roman" w:hAnsi="Times New Roman"/>
                <w:b/>
              </w:rPr>
            </w:pPr>
          </w:p>
          <w:p w14:paraId="2E3DD18F" w14:textId="77777777" w:rsidR="00B802A6" w:rsidRPr="00546F21" w:rsidRDefault="00B802A6" w:rsidP="00B802A6">
            <w:pPr>
              <w:pStyle w:val="BodyTextIndent2"/>
              <w:spacing w:line="240" w:lineRule="exact"/>
              <w:ind w:left="416"/>
              <w:rPr>
                <w:rFonts w:ascii="Times New Roman" w:hAnsi="Times New Roman"/>
                <w:b/>
              </w:rPr>
            </w:pPr>
          </w:p>
          <w:p w14:paraId="149D32C5" w14:textId="77777777" w:rsidR="00B802A6" w:rsidRPr="00546F21" w:rsidRDefault="00B802A6" w:rsidP="00B802A6">
            <w:pPr>
              <w:pStyle w:val="BodyTextIndent2"/>
              <w:spacing w:line="240" w:lineRule="exact"/>
              <w:ind w:left="416"/>
              <w:rPr>
                <w:rFonts w:ascii="Times New Roman" w:hAnsi="Times New Roman"/>
                <w:b/>
              </w:rPr>
            </w:pPr>
          </w:p>
          <w:p w14:paraId="6DB15E8B" w14:textId="77777777" w:rsidR="00413A6A" w:rsidRPr="00546F21" w:rsidRDefault="00413A6A" w:rsidP="00B802A6">
            <w:pPr>
              <w:pStyle w:val="Header"/>
              <w:spacing w:line="240" w:lineRule="exact"/>
              <w:ind w:left="416"/>
              <w:rPr>
                <w:rFonts w:ascii="Times New Roman" w:hAnsi="Times New Roman"/>
                <w:b/>
              </w:rPr>
            </w:pPr>
          </w:p>
        </w:tc>
      </w:tr>
    </w:tbl>
    <w:p w14:paraId="2FEE9E39" w14:textId="77777777" w:rsidR="00413A6A" w:rsidRPr="00546F21" w:rsidRDefault="00413A6A" w:rsidP="00413A6A">
      <w:pPr>
        <w:pStyle w:val="Header"/>
        <w:spacing w:line="480" w:lineRule="auto"/>
        <w:rPr>
          <w:rFonts w:ascii="Times New Roman" w:hAnsi="Times New Roman"/>
        </w:rPr>
      </w:pPr>
    </w:p>
    <w:p w14:paraId="7038B663" w14:textId="77777777" w:rsidR="00B802A6" w:rsidRPr="00546F21" w:rsidRDefault="00B802A6" w:rsidP="00B802A6">
      <w:pPr>
        <w:pStyle w:val="BodyTextIndent2"/>
        <w:spacing w:line="240" w:lineRule="exact"/>
        <w:ind w:left="0"/>
        <w:jc w:val="center"/>
        <w:rPr>
          <w:rFonts w:ascii="Times New Roman" w:hAnsi="Times New Roman"/>
        </w:rPr>
      </w:pPr>
    </w:p>
    <w:p w14:paraId="4AB9F152" w14:textId="77777777" w:rsidR="00C33AB0" w:rsidRPr="00546F21" w:rsidRDefault="00C33AB0" w:rsidP="00B802A6">
      <w:pPr>
        <w:pStyle w:val="BodyTextIndent2"/>
        <w:spacing w:line="240" w:lineRule="exact"/>
        <w:ind w:left="0"/>
        <w:jc w:val="center"/>
        <w:rPr>
          <w:rFonts w:ascii="Times New Roman" w:hAnsi="Times New Roman"/>
        </w:rPr>
      </w:pPr>
    </w:p>
    <w:p w14:paraId="5A6BAC48" w14:textId="77777777" w:rsidR="00B802A6" w:rsidRPr="00546F21" w:rsidRDefault="00B802A6" w:rsidP="00B802A6">
      <w:pPr>
        <w:pStyle w:val="BodyTextIndent2"/>
        <w:spacing w:line="240" w:lineRule="exact"/>
        <w:ind w:left="0"/>
        <w:jc w:val="center"/>
        <w:rPr>
          <w:rFonts w:ascii="Times New Roman" w:hAnsi="Times New Roman"/>
        </w:rPr>
      </w:pPr>
    </w:p>
    <w:p w14:paraId="6FBD29A9" w14:textId="77777777" w:rsidR="00B802A6" w:rsidRPr="00546F21" w:rsidRDefault="00B802A6" w:rsidP="00B802A6">
      <w:pPr>
        <w:pStyle w:val="BodyTextIndent2"/>
        <w:spacing w:line="240" w:lineRule="exact"/>
        <w:ind w:left="0"/>
        <w:jc w:val="center"/>
        <w:rPr>
          <w:rFonts w:ascii="Times New Roman" w:hAnsi="Times New Roman"/>
          <w:b/>
        </w:rPr>
      </w:pPr>
      <w:r w:rsidRPr="00546F21">
        <w:rPr>
          <w:rFonts w:ascii="Times New Roman" w:hAnsi="Times New Roman"/>
          <w:b/>
        </w:rPr>
        <w:t>INITIAL BRIEF ON BEHALF OF COMMISSION STAFF</w:t>
      </w:r>
    </w:p>
    <w:p w14:paraId="46F41AA0" w14:textId="77777777" w:rsidR="00C33AB0" w:rsidRPr="00546F21" w:rsidRDefault="00C33AB0" w:rsidP="00B802A6">
      <w:pPr>
        <w:pStyle w:val="BodyTextIndent2"/>
        <w:spacing w:line="240" w:lineRule="exact"/>
        <w:ind w:left="0"/>
        <w:jc w:val="center"/>
        <w:rPr>
          <w:rFonts w:ascii="Times New Roman" w:hAnsi="Times New Roman"/>
          <w:b/>
        </w:rPr>
      </w:pPr>
    </w:p>
    <w:p w14:paraId="1DAE4B10" w14:textId="77777777" w:rsidR="00C33AB0" w:rsidRPr="00546F21" w:rsidRDefault="00C33AB0" w:rsidP="00B802A6">
      <w:pPr>
        <w:pStyle w:val="BodyTextIndent2"/>
        <w:spacing w:line="240" w:lineRule="exact"/>
        <w:ind w:left="0"/>
        <w:jc w:val="center"/>
        <w:rPr>
          <w:rFonts w:ascii="Times New Roman" w:hAnsi="Times New Roman"/>
          <w:b/>
        </w:rPr>
      </w:pPr>
    </w:p>
    <w:p w14:paraId="42825D9C" w14:textId="77777777" w:rsidR="00C33AB0" w:rsidRPr="00546F21" w:rsidRDefault="00C33AB0" w:rsidP="00B802A6">
      <w:pPr>
        <w:pStyle w:val="BodyTextIndent2"/>
        <w:spacing w:line="240" w:lineRule="exact"/>
        <w:ind w:left="0"/>
        <w:jc w:val="center"/>
        <w:rPr>
          <w:rFonts w:ascii="Times New Roman" w:hAnsi="Times New Roman"/>
          <w:b/>
        </w:rPr>
      </w:pPr>
    </w:p>
    <w:p w14:paraId="1E4DF760" w14:textId="77777777" w:rsidR="00C33AB0" w:rsidRPr="00546F21" w:rsidRDefault="00C33AB0" w:rsidP="00B802A6">
      <w:pPr>
        <w:pStyle w:val="BodyTextIndent2"/>
        <w:spacing w:line="240" w:lineRule="exact"/>
        <w:ind w:left="0"/>
        <w:jc w:val="center"/>
        <w:rPr>
          <w:rFonts w:ascii="Times New Roman" w:hAnsi="Times New Roman"/>
          <w:b/>
        </w:rPr>
      </w:pPr>
    </w:p>
    <w:p w14:paraId="3017DF37" w14:textId="77777777" w:rsidR="00C33AB0" w:rsidRPr="00546F21" w:rsidRDefault="00C33AB0" w:rsidP="00B802A6">
      <w:pPr>
        <w:pStyle w:val="BodyTextIndent2"/>
        <w:spacing w:line="240" w:lineRule="exact"/>
        <w:ind w:left="0"/>
        <w:jc w:val="center"/>
        <w:rPr>
          <w:rFonts w:ascii="Times New Roman" w:hAnsi="Times New Roman"/>
          <w:b/>
        </w:rPr>
      </w:pPr>
    </w:p>
    <w:p w14:paraId="1EDB0372" w14:textId="77777777" w:rsidR="00C33AB0" w:rsidRPr="00546F21" w:rsidRDefault="00C33AB0" w:rsidP="00B802A6">
      <w:pPr>
        <w:pStyle w:val="BodyTextIndent2"/>
        <w:spacing w:line="240" w:lineRule="exact"/>
        <w:ind w:left="0"/>
        <w:jc w:val="center"/>
        <w:rPr>
          <w:rFonts w:ascii="Times New Roman" w:hAnsi="Times New Roman"/>
          <w:b/>
        </w:rPr>
      </w:pPr>
    </w:p>
    <w:p w14:paraId="531FE44F" w14:textId="77777777" w:rsidR="00C33AB0" w:rsidRPr="00546F21" w:rsidRDefault="00C33AB0" w:rsidP="00B802A6">
      <w:pPr>
        <w:pStyle w:val="BodyTextIndent2"/>
        <w:spacing w:line="240" w:lineRule="exact"/>
        <w:ind w:left="0"/>
        <w:jc w:val="center"/>
        <w:rPr>
          <w:rFonts w:ascii="Times New Roman" w:hAnsi="Times New Roman"/>
          <w:b/>
        </w:rPr>
      </w:pPr>
    </w:p>
    <w:p w14:paraId="098697E0" w14:textId="77777777" w:rsidR="00C33AB0" w:rsidRPr="00546F21" w:rsidRDefault="00C33AB0" w:rsidP="00B802A6">
      <w:pPr>
        <w:pStyle w:val="BodyTextIndent2"/>
        <w:spacing w:line="240" w:lineRule="exact"/>
        <w:ind w:left="0"/>
        <w:jc w:val="center"/>
        <w:rPr>
          <w:rFonts w:ascii="Times New Roman" w:hAnsi="Times New Roman"/>
          <w:b/>
        </w:rPr>
      </w:pPr>
    </w:p>
    <w:p w14:paraId="0B7D1271" w14:textId="77777777" w:rsidR="00B802A6" w:rsidRPr="00546F21" w:rsidRDefault="00B802A6" w:rsidP="00B802A6">
      <w:pPr>
        <w:pStyle w:val="BodyTextIndent2"/>
        <w:spacing w:line="240" w:lineRule="exact"/>
        <w:ind w:left="0"/>
        <w:jc w:val="center"/>
        <w:rPr>
          <w:rFonts w:ascii="Times New Roman" w:hAnsi="Times New Roman"/>
          <w:b/>
        </w:rPr>
      </w:pPr>
    </w:p>
    <w:p w14:paraId="58393704" w14:textId="77777777" w:rsidR="00B802A6" w:rsidRPr="00546F21" w:rsidRDefault="00B802A6" w:rsidP="00B802A6">
      <w:pPr>
        <w:pStyle w:val="BodyTextIndent2"/>
        <w:spacing w:line="240" w:lineRule="exact"/>
        <w:ind w:left="0"/>
        <w:jc w:val="center"/>
        <w:rPr>
          <w:rFonts w:ascii="Times New Roman" w:hAnsi="Times New Roman"/>
          <w:b/>
        </w:rPr>
      </w:pPr>
    </w:p>
    <w:p w14:paraId="2600769C" w14:textId="77777777" w:rsidR="00B802A6" w:rsidRPr="00546F21" w:rsidRDefault="00B802A6" w:rsidP="00B802A6">
      <w:pPr>
        <w:ind w:left="3600" w:firstLine="720"/>
        <w:rPr>
          <w:rFonts w:eastAsia="Times New Roman" w:cs="Times New Roman"/>
          <w:b/>
          <w:bCs/>
          <w:szCs w:val="24"/>
        </w:rPr>
      </w:pPr>
      <w:r w:rsidRPr="00546F21">
        <w:rPr>
          <w:rFonts w:eastAsia="Times New Roman" w:cs="Times New Roman"/>
          <w:b/>
          <w:bCs/>
          <w:szCs w:val="24"/>
        </w:rPr>
        <w:t>June 10, 2014</w:t>
      </w:r>
    </w:p>
    <w:p w14:paraId="7AD3168F" w14:textId="77777777" w:rsidR="00B802A6" w:rsidRPr="00546F21" w:rsidRDefault="00B802A6" w:rsidP="00B802A6">
      <w:pPr>
        <w:rPr>
          <w:rFonts w:eastAsia="Times New Roman" w:cs="Times New Roman"/>
          <w:b/>
          <w:bCs/>
          <w:szCs w:val="24"/>
        </w:rPr>
      </w:pPr>
    </w:p>
    <w:p w14:paraId="0F156EA1" w14:textId="77777777" w:rsidR="00B802A6" w:rsidRPr="00546F21" w:rsidRDefault="00B802A6" w:rsidP="00B802A6">
      <w:pPr>
        <w:rPr>
          <w:rFonts w:eastAsia="Times New Roman" w:cs="Times New Roman"/>
          <w:b/>
          <w:bCs/>
          <w:szCs w:val="24"/>
        </w:rPr>
      </w:pPr>
      <w:r w:rsidRPr="00546F21">
        <w:rPr>
          <w:rFonts w:eastAsia="Times New Roman" w:cs="Times New Roman"/>
          <w:b/>
          <w:bCs/>
          <w:szCs w:val="24"/>
        </w:rPr>
        <w:tab/>
      </w:r>
      <w:r w:rsidRPr="00546F21">
        <w:rPr>
          <w:rFonts w:eastAsia="Times New Roman" w:cs="Times New Roman"/>
          <w:b/>
          <w:bCs/>
          <w:szCs w:val="24"/>
        </w:rPr>
        <w:tab/>
      </w:r>
      <w:r w:rsidRPr="00546F21">
        <w:rPr>
          <w:rFonts w:eastAsia="Times New Roman" w:cs="Times New Roman"/>
          <w:b/>
          <w:bCs/>
          <w:szCs w:val="24"/>
        </w:rPr>
        <w:tab/>
      </w:r>
      <w:r w:rsidRPr="00546F21">
        <w:rPr>
          <w:rFonts w:eastAsia="Times New Roman" w:cs="Times New Roman"/>
          <w:b/>
          <w:bCs/>
          <w:szCs w:val="24"/>
        </w:rPr>
        <w:tab/>
      </w:r>
      <w:r w:rsidRPr="00546F21">
        <w:rPr>
          <w:rFonts w:eastAsia="Times New Roman" w:cs="Times New Roman"/>
          <w:b/>
          <w:bCs/>
          <w:szCs w:val="24"/>
        </w:rPr>
        <w:tab/>
      </w:r>
      <w:r w:rsidRPr="00546F21">
        <w:rPr>
          <w:rFonts w:eastAsia="Times New Roman" w:cs="Times New Roman"/>
          <w:b/>
          <w:bCs/>
          <w:szCs w:val="24"/>
        </w:rPr>
        <w:tab/>
        <w:t>ROBERT W. FERGUSON</w:t>
      </w:r>
    </w:p>
    <w:p w14:paraId="4441C192" w14:textId="77777777" w:rsidR="00B802A6" w:rsidRPr="00546F21" w:rsidRDefault="00B802A6" w:rsidP="00B802A6">
      <w:pPr>
        <w:rPr>
          <w:rFonts w:eastAsia="Times New Roman" w:cs="Times New Roman"/>
          <w:b/>
          <w:bCs/>
          <w:szCs w:val="24"/>
        </w:rPr>
      </w:pPr>
      <w:r w:rsidRPr="00546F21">
        <w:rPr>
          <w:rFonts w:eastAsia="Times New Roman" w:cs="Times New Roman"/>
          <w:b/>
          <w:bCs/>
          <w:szCs w:val="24"/>
        </w:rPr>
        <w:tab/>
      </w:r>
      <w:r w:rsidRPr="00546F21">
        <w:rPr>
          <w:rFonts w:eastAsia="Times New Roman" w:cs="Times New Roman"/>
          <w:b/>
          <w:bCs/>
          <w:szCs w:val="24"/>
        </w:rPr>
        <w:tab/>
      </w:r>
      <w:r w:rsidRPr="00546F21">
        <w:rPr>
          <w:rFonts w:eastAsia="Times New Roman" w:cs="Times New Roman"/>
          <w:b/>
          <w:bCs/>
          <w:szCs w:val="24"/>
        </w:rPr>
        <w:tab/>
      </w:r>
      <w:r w:rsidRPr="00546F21">
        <w:rPr>
          <w:rFonts w:eastAsia="Times New Roman" w:cs="Times New Roman"/>
          <w:b/>
          <w:bCs/>
          <w:szCs w:val="24"/>
        </w:rPr>
        <w:tab/>
      </w:r>
      <w:r w:rsidRPr="00546F21">
        <w:rPr>
          <w:rFonts w:eastAsia="Times New Roman" w:cs="Times New Roman"/>
          <w:b/>
          <w:bCs/>
          <w:szCs w:val="24"/>
        </w:rPr>
        <w:tab/>
      </w:r>
      <w:r w:rsidRPr="00546F21">
        <w:rPr>
          <w:rFonts w:eastAsia="Times New Roman" w:cs="Times New Roman"/>
          <w:b/>
          <w:bCs/>
          <w:szCs w:val="24"/>
        </w:rPr>
        <w:tab/>
        <w:t xml:space="preserve">Attorney General </w:t>
      </w:r>
    </w:p>
    <w:p w14:paraId="29ABE8E3" w14:textId="77777777" w:rsidR="00B802A6" w:rsidRPr="00546F21" w:rsidRDefault="00B802A6" w:rsidP="00B802A6">
      <w:pPr>
        <w:rPr>
          <w:rFonts w:eastAsia="Times New Roman" w:cs="Times New Roman"/>
          <w:b/>
          <w:bCs/>
          <w:szCs w:val="24"/>
        </w:rPr>
      </w:pPr>
    </w:p>
    <w:p w14:paraId="4312270E" w14:textId="77777777" w:rsidR="00B802A6" w:rsidRPr="00546F21" w:rsidRDefault="00B802A6" w:rsidP="00B802A6">
      <w:pPr>
        <w:rPr>
          <w:rFonts w:eastAsia="Times New Roman" w:cs="Times New Roman"/>
          <w:b/>
          <w:szCs w:val="24"/>
        </w:rPr>
      </w:pPr>
      <w:r w:rsidRPr="00546F21">
        <w:rPr>
          <w:rFonts w:eastAsia="Times New Roman" w:cs="Times New Roman"/>
          <w:b/>
          <w:bCs/>
          <w:szCs w:val="24"/>
        </w:rPr>
        <w:tab/>
      </w:r>
      <w:r w:rsidRPr="00546F21">
        <w:rPr>
          <w:rFonts w:eastAsia="Times New Roman" w:cs="Times New Roman"/>
          <w:b/>
          <w:bCs/>
          <w:szCs w:val="24"/>
        </w:rPr>
        <w:tab/>
      </w:r>
      <w:r w:rsidRPr="00546F21">
        <w:rPr>
          <w:rFonts w:eastAsia="Times New Roman" w:cs="Times New Roman"/>
          <w:b/>
          <w:bCs/>
          <w:szCs w:val="24"/>
        </w:rPr>
        <w:tab/>
      </w:r>
      <w:r w:rsidRPr="00546F21">
        <w:rPr>
          <w:rFonts w:eastAsia="Times New Roman" w:cs="Times New Roman"/>
          <w:b/>
          <w:bCs/>
          <w:szCs w:val="24"/>
        </w:rPr>
        <w:tab/>
      </w:r>
      <w:r w:rsidRPr="00546F21">
        <w:rPr>
          <w:rFonts w:eastAsia="Times New Roman" w:cs="Times New Roman"/>
          <w:b/>
          <w:bCs/>
          <w:szCs w:val="24"/>
        </w:rPr>
        <w:tab/>
      </w:r>
      <w:r w:rsidRPr="00546F21">
        <w:rPr>
          <w:rFonts w:eastAsia="Times New Roman" w:cs="Times New Roman"/>
          <w:b/>
          <w:bCs/>
          <w:szCs w:val="24"/>
        </w:rPr>
        <w:tab/>
        <w:t>DONALD T. TROTTER</w:t>
      </w:r>
    </w:p>
    <w:p w14:paraId="2A710EB7" w14:textId="77777777" w:rsidR="00B802A6" w:rsidRPr="00546F21" w:rsidRDefault="00B802A6" w:rsidP="00B802A6">
      <w:pPr>
        <w:rPr>
          <w:rFonts w:eastAsia="Times New Roman" w:cs="Times New Roman"/>
          <w:b/>
          <w:szCs w:val="24"/>
        </w:rPr>
      </w:pP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t xml:space="preserve">Assistant Attorney General </w:t>
      </w:r>
    </w:p>
    <w:p w14:paraId="4E4E5906" w14:textId="77777777" w:rsidR="00B802A6" w:rsidRPr="00546F21" w:rsidRDefault="00B802A6" w:rsidP="00B802A6">
      <w:pPr>
        <w:rPr>
          <w:rFonts w:eastAsia="Times New Roman" w:cs="Times New Roman"/>
          <w:b/>
          <w:szCs w:val="24"/>
        </w:rPr>
      </w:pP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t xml:space="preserve">Office of the Attorney General </w:t>
      </w:r>
    </w:p>
    <w:p w14:paraId="2EBA0D27" w14:textId="77777777" w:rsidR="00B802A6" w:rsidRPr="00546F21" w:rsidRDefault="00B802A6" w:rsidP="00B802A6">
      <w:pPr>
        <w:rPr>
          <w:rFonts w:eastAsia="Times New Roman" w:cs="Times New Roman"/>
          <w:b/>
          <w:szCs w:val="24"/>
        </w:rPr>
      </w:pP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t>Utilities &amp; Transportation Division</w:t>
      </w:r>
    </w:p>
    <w:p w14:paraId="32976012" w14:textId="77777777" w:rsidR="00B802A6" w:rsidRPr="00546F21" w:rsidRDefault="00B802A6" w:rsidP="00B802A6">
      <w:pPr>
        <w:rPr>
          <w:rFonts w:eastAsia="Times New Roman" w:cs="Times New Roman"/>
          <w:b/>
          <w:szCs w:val="24"/>
        </w:rPr>
      </w:pP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t xml:space="preserve"> </w:t>
      </w:r>
    </w:p>
    <w:p w14:paraId="744D5047" w14:textId="77777777" w:rsidR="00B802A6" w:rsidRPr="00546F21" w:rsidRDefault="00B802A6" w:rsidP="00B802A6">
      <w:pPr>
        <w:rPr>
          <w:rFonts w:eastAsia="Times New Roman" w:cs="Times New Roman"/>
          <w:b/>
          <w:szCs w:val="24"/>
        </w:rPr>
      </w:pP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t>1400 S Evergreen Park Drive S.W.</w:t>
      </w:r>
    </w:p>
    <w:p w14:paraId="550DA768" w14:textId="77777777" w:rsidR="00B802A6" w:rsidRPr="00546F21" w:rsidRDefault="00B802A6" w:rsidP="00B802A6">
      <w:pPr>
        <w:rPr>
          <w:rFonts w:eastAsia="Times New Roman" w:cs="Times New Roman"/>
          <w:b/>
          <w:szCs w:val="24"/>
        </w:rPr>
      </w:pP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t>P.O. Box 40128</w:t>
      </w:r>
    </w:p>
    <w:p w14:paraId="07DC251D" w14:textId="77777777" w:rsidR="00B802A6" w:rsidRPr="00546F21" w:rsidRDefault="00B802A6" w:rsidP="00B802A6">
      <w:pPr>
        <w:rPr>
          <w:rFonts w:eastAsia="Times New Roman" w:cs="Times New Roman"/>
          <w:b/>
          <w:szCs w:val="24"/>
        </w:rPr>
      </w:pP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t xml:space="preserve">Olympia, WA  98504-0128 </w:t>
      </w:r>
    </w:p>
    <w:p w14:paraId="23888554" w14:textId="77777777" w:rsidR="00B802A6" w:rsidRPr="00546F21" w:rsidRDefault="00B802A6" w:rsidP="00B802A6">
      <w:pPr>
        <w:rPr>
          <w:rFonts w:eastAsia="Times New Roman" w:cs="Times New Roman"/>
          <w:b/>
          <w:szCs w:val="24"/>
        </w:rPr>
      </w:pP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t>(360) 664-1189</w:t>
      </w:r>
    </w:p>
    <w:p w14:paraId="476FBF68" w14:textId="77777777" w:rsidR="00B802A6" w:rsidRPr="00546F21" w:rsidRDefault="00B802A6" w:rsidP="00B802A6">
      <w:pPr>
        <w:rPr>
          <w:rFonts w:eastAsia="Times New Roman" w:cs="Times New Roman"/>
          <w:b/>
          <w:szCs w:val="24"/>
        </w:rPr>
      </w:pPr>
    </w:p>
    <w:p w14:paraId="250ED518" w14:textId="77777777" w:rsidR="00B802A6" w:rsidRPr="00546F21" w:rsidRDefault="00B802A6" w:rsidP="00B802A6">
      <w:pPr>
        <w:rPr>
          <w:rFonts w:eastAsia="Times New Roman" w:cs="Times New Roman"/>
          <w:b/>
          <w:bCs/>
          <w:szCs w:val="24"/>
        </w:rPr>
        <w:sectPr w:rsidR="00B802A6" w:rsidRPr="00546F21" w:rsidSect="002F15AA">
          <w:footerReference w:type="default" r:id="rId12"/>
          <w:pgSz w:w="12240" w:h="15840"/>
          <w:pgMar w:top="1440" w:right="1440" w:bottom="1440" w:left="1440" w:header="720" w:footer="720" w:gutter="0"/>
          <w:cols w:space="720"/>
          <w:titlePg/>
          <w:docGrid w:linePitch="360"/>
        </w:sectPr>
      </w:pPr>
    </w:p>
    <w:p w14:paraId="4511CB2A" w14:textId="77777777" w:rsidR="00B802A6" w:rsidRPr="00546F21" w:rsidRDefault="00B802A6" w:rsidP="00B802A6">
      <w:pPr>
        <w:tabs>
          <w:tab w:val="left" w:pos="720"/>
          <w:tab w:val="left" w:pos="1440"/>
          <w:tab w:val="left" w:pos="2160"/>
        </w:tabs>
        <w:jc w:val="center"/>
        <w:rPr>
          <w:rFonts w:eastAsia="Times New Roman" w:cs="Times New Roman"/>
          <w:b/>
          <w:bCs/>
          <w:szCs w:val="24"/>
        </w:rPr>
      </w:pPr>
      <w:r w:rsidRPr="00546F21">
        <w:rPr>
          <w:rFonts w:eastAsia="Times New Roman" w:cs="Times New Roman"/>
          <w:b/>
          <w:bCs/>
          <w:szCs w:val="24"/>
        </w:rPr>
        <w:lastRenderedPageBreak/>
        <w:t>TABLE OF CONTENTS</w:t>
      </w:r>
    </w:p>
    <w:p w14:paraId="56ABF51B" w14:textId="77777777" w:rsidR="00B802A6" w:rsidRPr="00546F21" w:rsidRDefault="00B802A6" w:rsidP="00B802A6">
      <w:pPr>
        <w:tabs>
          <w:tab w:val="left" w:pos="720"/>
          <w:tab w:val="left" w:pos="1440"/>
          <w:tab w:val="left" w:pos="2160"/>
        </w:tabs>
        <w:rPr>
          <w:rFonts w:eastAsia="Times New Roman" w:cs="Times New Roman"/>
          <w:b/>
          <w:bCs/>
          <w:szCs w:val="24"/>
        </w:rPr>
      </w:pPr>
    </w:p>
    <w:p w14:paraId="1DE6E766" w14:textId="77777777" w:rsidR="00B802A6" w:rsidRPr="00546F21" w:rsidRDefault="00B802A6" w:rsidP="00B802A6">
      <w:pPr>
        <w:tabs>
          <w:tab w:val="left" w:pos="720"/>
          <w:tab w:val="left" w:pos="1440"/>
          <w:tab w:val="left" w:pos="2160"/>
        </w:tabs>
        <w:rPr>
          <w:rFonts w:eastAsia="Times New Roman" w:cs="Times New Roman"/>
          <w:b/>
          <w:bCs/>
          <w:szCs w:val="24"/>
        </w:rPr>
      </w:pPr>
    </w:p>
    <w:p w14:paraId="3E47FEAF" w14:textId="77777777" w:rsidR="00B802A6" w:rsidRPr="00546F21" w:rsidRDefault="00B802A6" w:rsidP="00B802A6">
      <w:pPr>
        <w:tabs>
          <w:tab w:val="left" w:pos="720"/>
          <w:tab w:val="left" w:pos="1440"/>
          <w:tab w:val="left" w:pos="2160"/>
          <w:tab w:val="right" w:leader="dot" w:pos="9360"/>
        </w:tabs>
        <w:rPr>
          <w:rFonts w:eastAsia="Times New Roman" w:cs="Times New Roman"/>
          <w:bCs/>
          <w:szCs w:val="24"/>
        </w:rPr>
      </w:pPr>
      <w:r w:rsidRPr="00546F21">
        <w:rPr>
          <w:rFonts w:eastAsia="Times New Roman" w:cs="Times New Roman"/>
          <w:bCs/>
          <w:szCs w:val="24"/>
        </w:rPr>
        <w:t>I.</w:t>
      </w:r>
      <w:r w:rsidRPr="00546F21">
        <w:rPr>
          <w:rFonts w:eastAsia="Times New Roman" w:cs="Times New Roman"/>
          <w:bCs/>
          <w:szCs w:val="24"/>
        </w:rPr>
        <w:tab/>
        <w:t xml:space="preserve">INTRODUCTION </w:t>
      </w:r>
      <w:r w:rsidRPr="00546F21">
        <w:rPr>
          <w:rFonts w:eastAsia="Times New Roman" w:cs="Times New Roman"/>
          <w:bCs/>
          <w:szCs w:val="24"/>
        </w:rPr>
        <w:tab/>
        <w:t>1</w:t>
      </w:r>
    </w:p>
    <w:p w14:paraId="6B02561D" w14:textId="77777777" w:rsidR="00B802A6" w:rsidRPr="00546F21" w:rsidRDefault="00B802A6" w:rsidP="00B802A6">
      <w:pPr>
        <w:tabs>
          <w:tab w:val="left" w:pos="720"/>
          <w:tab w:val="left" w:pos="1440"/>
          <w:tab w:val="left" w:pos="2160"/>
          <w:tab w:val="right" w:leader="dot" w:pos="9360"/>
        </w:tabs>
        <w:rPr>
          <w:rFonts w:eastAsia="Times New Roman" w:cs="Times New Roman"/>
          <w:bCs/>
          <w:szCs w:val="24"/>
        </w:rPr>
      </w:pPr>
    </w:p>
    <w:p w14:paraId="53AE8EDE" w14:textId="77777777" w:rsidR="00BB65DC" w:rsidRPr="00546F21" w:rsidRDefault="00BB65DC" w:rsidP="00BB65DC">
      <w:pPr>
        <w:tabs>
          <w:tab w:val="left" w:pos="720"/>
          <w:tab w:val="left" w:pos="1440"/>
          <w:tab w:val="right" w:leader="dot" w:pos="9360"/>
        </w:tabs>
        <w:rPr>
          <w:rFonts w:eastAsia="Times New Roman" w:cs="Times New Roman"/>
          <w:bCs/>
          <w:szCs w:val="24"/>
        </w:rPr>
      </w:pPr>
      <w:r w:rsidRPr="00546F21">
        <w:rPr>
          <w:rFonts w:eastAsia="Times New Roman" w:cs="Times New Roman"/>
          <w:bCs/>
          <w:szCs w:val="24"/>
        </w:rPr>
        <w:t>II.</w:t>
      </w:r>
      <w:r w:rsidRPr="00546F21">
        <w:rPr>
          <w:rFonts w:eastAsia="Times New Roman" w:cs="Times New Roman"/>
          <w:bCs/>
          <w:szCs w:val="24"/>
        </w:rPr>
        <w:tab/>
        <w:t>FACTS</w:t>
      </w:r>
      <w:r w:rsidRPr="00546F21">
        <w:rPr>
          <w:rFonts w:eastAsia="Times New Roman" w:cs="Times New Roman"/>
          <w:bCs/>
          <w:szCs w:val="24"/>
        </w:rPr>
        <w:tab/>
        <w:t>2</w:t>
      </w:r>
    </w:p>
    <w:p w14:paraId="6AABD00F" w14:textId="77777777" w:rsidR="00BB65DC" w:rsidRPr="00546F21" w:rsidRDefault="00BB65DC" w:rsidP="00BB65DC">
      <w:pPr>
        <w:tabs>
          <w:tab w:val="left" w:pos="720"/>
          <w:tab w:val="left" w:pos="1440"/>
          <w:tab w:val="left" w:pos="2160"/>
          <w:tab w:val="right" w:leader="dot" w:pos="9360"/>
        </w:tabs>
        <w:rPr>
          <w:rFonts w:eastAsia="Times New Roman" w:cs="Times New Roman"/>
          <w:bCs/>
          <w:szCs w:val="24"/>
        </w:rPr>
      </w:pPr>
    </w:p>
    <w:p w14:paraId="5C59C17D" w14:textId="77777777" w:rsidR="00BB65DC" w:rsidRPr="00546F21" w:rsidRDefault="00BB65DC" w:rsidP="00BB65DC">
      <w:pPr>
        <w:tabs>
          <w:tab w:val="left" w:pos="720"/>
          <w:tab w:val="left" w:pos="1440"/>
          <w:tab w:val="left" w:pos="2160"/>
          <w:tab w:val="right" w:leader="dot" w:pos="9360"/>
        </w:tabs>
        <w:rPr>
          <w:rFonts w:eastAsia="Times New Roman" w:cs="Times New Roman"/>
          <w:bCs/>
          <w:szCs w:val="24"/>
        </w:rPr>
      </w:pPr>
      <w:r w:rsidRPr="00546F21">
        <w:rPr>
          <w:rFonts w:eastAsia="Times New Roman" w:cs="Times New Roman"/>
          <w:bCs/>
          <w:szCs w:val="24"/>
        </w:rPr>
        <w:t>III.</w:t>
      </w:r>
      <w:r w:rsidRPr="00546F21">
        <w:rPr>
          <w:rFonts w:eastAsia="Times New Roman" w:cs="Times New Roman"/>
          <w:bCs/>
          <w:szCs w:val="24"/>
        </w:rPr>
        <w:tab/>
        <w:t xml:space="preserve">TABLE SUMMARIZING THE PARTIES’ RECOMMENDATIONS </w:t>
      </w:r>
      <w:r w:rsidRPr="00546F21">
        <w:rPr>
          <w:rFonts w:eastAsia="Times New Roman" w:cs="Times New Roman"/>
          <w:bCs/>
          <w:szCs w:val="24"/>
        </w:rPr>
        <w:tab/>
        <w:t>3</w:t>
      </w:r>
    </w:p>
    <w:p w14:paraId="7A60C3C7" w14:textId="77777777" w:rsidR="00BB65DC" w:rsidRPr="00546F21" w:rsidRDefault="00BB65DC" w:rsidP="00BB65DC">
      <w:pPr>
        <w:tabs>
          <w:tab w:val="left" w:pos="720"/>
          <w:tab w:val="left" w:pos="1440"/>
          <w:tab w:val="left" w:pos="2160"/>
          <w:tab w:val="right" w:leader="dot" w:pos="9360"/>
        </w:tabs>
        <w:rPr>
          <w:rFonts w:eastAsia="Times New Roman" w:cs="Times New Roman"/>
          <w:bCs/>
          <w:szCs w:val="24"/>
        </w:rPr>
      </w:pPr>
    </w:p>
    <w:p w14:paraId="6D43B4A8" w14:textId="0B56B542" w:rsidR="00BB65DC" w:rsidRPr="00546F21" w:rsidRDefault="00BB65DC" w:rsidP="00BB65DC">
      <w:pPr>
        <w:tabs>
          <w:tab w:val="left" w:pos="720"/>
          <w:tab w:val="left" w:pos="1440"/>
          <w:tab w:val="right" w:leader="dot" w:pos="9360"/>
        </w:tabs>
        <w:rPr>
          <w:rFonts w:eastAsia="Times New Roman" w:cs="Times New Roman"/>
          <w:bCs/>
          <w:szCs w:val="24"/>
        </w:rPr>
      </w:pPr>
      <w:r w:rsidRPr="00546F21">
        <w:rPr>
          <w:rFonts w:eastAsia="Times New Roman" w:cs="Times New Roman"/>
          <w:bCs/>
          <w:szCs w:val="24"/>
        </w:rPr>
        <w:t>IV.</w:t>
      </w:r>
      <w:r w:rsidRPr="00546F21">
        <w:rPr>
          <w:rFonts w:eastAsia="Times New Roman" w:cs="Times New Roman"/>
          <w:bCs/>
          <w:szCs w:val="24"/>
        </w:rPr>
        <w:tab/>
        <w:t>ARGUMENT</w:t>
      </w:r>
      <w:r w:rsidRPr="00546F21">
        <w:rPr>
          <w:rFonts w:eastAsia="Times New Roman" w:cs="Times New Roman"/>
          <w:bCs/>
          <w:szCs w:val="24"/>
        </w:rPr>
        <w:tab/>
      </w:r>
      <w:r w:rsidR="00FB6AEB">
        <w:rPr>
          <w:rFonts w:eastAsia="Times New Roman" w:cs="Times New Roman"/>
          <w:bCs/>
          <w:szCs w:val="24"/>
        </w:rPr>
        <w:t>5</w:t>
      </w:r>
    </w:p>
    <w:p w14:paraId="59768B8A" w14:textId="77777777" w:rsidR="00BB65DC" w:rsidRPr="00546F21" w:rsidRDefault="00BB65DC" w:rsidP="00BB65DC">
      <w:pPr>
        <w:tabs>
          <w:tab w:val="left" w:pos="720"/>
          <w:tab w:val="left" w:pos="1440"/>
          <w:tab w:val="left" w:pos="2160"/>
          <w:tab w:val="right" w:leader="dot" w:pos="9360"/>
        </w:tabs>
        <w:rPr>
          <w:rFonts w:eastAsia="Times New Roman" w:cs="Times New Roman"/>
          <w:bCs/>
          <w:szCs w:val="24"/>
        </w:rPr>
      </w:pPr>
    </w:p>
    <w:p w14:paraId="33D40660" w14:textId="77777777" w:rsidR="00BB65DC" w:rsidRPr="00546F21" w:rsidRDefault="00BB65DC" w:rsidP="00BB65DC">
      <w:pPr>
        <w:tabs>
          <w:tab w:val="left" w:pos="1440"/>
          <w:tab w:val="left" w:pos="2160"/>
          <w:tab w:val="right" w:leader="dot" w:pos="9360"/>
        </w:tabs>
        <w:ind w:left="1440" w:hanging="720"/>
        <w:rPr>
          <w:rFonts w:eastAsia="Times New Roman" w:cs="Times New Roman"/>
          <w:bCs/>
          <w:szCs w:val="24"/>
        </w:rPr>
      </w:pPr>
      <w:r w:rsidRPr="00546F21">
        <w:rPr>
          <w:rFonts w:eastAsia="Times New Roman" w:cs="Times New Roman"/>
          <w:bCs/>
          <w:szCs w:val="24"/>
        </w:rPr>
        <w:t>A.</w:t>
      </w:r>
      <w:r w:rsidRPr="00546F21">
        <w:rPr>
          <w:rFonts w:eastAsia="Times New Roman" w:cs="Times New Roman"/>
          <w:bCs/>
          <w:szCs w:val="24"/>
        </w:rPr>
        <w:tab/>
        <w:t>The Public Interest Standard Applies to the Commission’s Disposition</w:t>
      </w:r>
    </w:p>
    <w:p w14:paraId="68055129" w14:textId="5C549AA3" w:rsidR="00BB65DC" w:rsidRPr="00546F21" w:rsidRDefault="00BB65DC" w:rsidP="00BB65DC">
      <w:pPr>
        <w:tabs>
          <w:tab w:val="left" w:pos="1440"/>
          <w:tab w:val="left" w:pos="2160"/>
          <w:tab w:val="right" w:leader="dot" w:pos="9360"/>
        </w:tabs>
        <w:ind w:left="1440" w:hanging="1440"/>
        <w:rPr>
          <w:rFonts w:eastAsia="Times New Roman" w:cs="Times New Roman"/>
          <w:bCs/>
          <w:szCs w:val="24"/>
        </w:rPr>
      </w:pPr>
      <w:r w:rsidRPr="00546F21">
        <w:rPr>
          <w:rFonts w:eastAsia="Times New Roman" w:cs="Times New Roman"/>
          <w:bCs/>
          <w:szCs w:val="24"/>
        </w:rPr>
        <w:tab/>
        <w:t>of the Proceeds on the Sale of PSE’s Property to JPUD</w:t>
      </w:r>
      <w:r w:rsidRPr="00546F21">
        <w:rPr>
          <w:rFonts w:eastAsia="Times New Roman" w:cs="Times New Roman"/>
          <w:bCs/>
          <w:szCs w:val="24"/>
        </w:rPr>
        <w:tab/>
      </w:r>
      <w:r w:rsidR="00FB6AEB">
        <w:rPr>
          <w:rFonts w:eastAsia="Times New Roman" w:cs="Times New Roman"/>
          <w:bCs/>
          <w:szCs w:val="24"/>
        </w:rPr>
        <w:t>5</w:t>
      </w:r>
    </w:p>
    <w:p w14:paraId="2F078C41" w14:textId="77777777" w:rsidR="00BB65DC" w:rsidRPr="00546F21" w:rsidRDefault="00BB65DC" w:rsidP="00BB65DC">
      <w:pPr>
        <w:tabs>
          <w:tab w:val="left" w:pos="1440"/>
          <w:tab w:val="left" w:pos="2160"/>
          <w:tab w:val="right" w:leader="dot" w:pos="9360"/>
        </w:tabs>
        <w:ind w:left="1440" w:hanging="1440"/>
        <w:rPr>
          <w:rFonts w:eastAsia="Times New Roman" w:cs="Times New Roman"/>
          <w:bCs/>
          <w:szCs w:val="24"/>
        </w:rPr>
      </w:pPr>
    </w:p>
    <w:p w14:paraId="4F9C64D7" w14:textId="69AA2B45" w:rsidR="003478BD" w:rsidRPr="00546F21" w:rsidRDefault="003478BD" w:rsidP="00BB65DC">
      <w:pPr>
        <w:tabs>
          <w:tab w:val="left" w:pos="1440"/>
          <w:tab w:val="left" w:pos="2160"/>
          <w:tab w:val="right" w:leader="dot" w:pos="9360"/>
        </w:tabs>
        <w:ind w:left="1440" w:hanging="720"/>
        <w:rPr>
          <w:rFonts w:eastAsia="Times New Roman" w:cs="Times New Roman"/>
          <w:bCs/>
          <w:szCs w:val="24"/>
        </w:rPr>
      </w:pPr>
      <w:r w:rsidRPr="00546F21">
        <w:rPr>
          <w:rFonts w:eastAsia="Times New Roman" w:cs="Times New Roman"/>
          <w:bCs/>
          <w:szCs w:val="24"/>
        </w:rPr>
        <w:t>B.</w:t>
      </w:r>
      <w:r w:rsidRPr="00546F21">
        <w:rPr>
          <w:rFonts w:eastAsia="Times New Roman" w:cs="Times New Roman"/>
          <w:bCs/>
          <w:szCs w:val="24"/>
        </w:rPr>
        <w:tab/>
        <w:t xml:space="preserve">The Commission Previously Has Provided Ratepayers a Share of Proceeds on Sales of Parts of a Utility’s System.  </w:t>
      </w:r>
      <w:r w:rsidRPr="00546F21">
        <w:rPr>
          <w:rFonts w:eastAsia="Times New Roman" w:cs="Times New Roman"/>
          <w:bCs/>
          <w:i/>
          <w:szCs w:val="24"/>
        </w:rPr>
        <w:t>City of Redding II</w:t>
      </w:r>
      <w:r w:rsidRPr="00546F21">
        <w:rPr>
          <w:rFonts w:eastAsia="Times New Roman" w:cs="Times New Roman"/>
          <w:bCs/>
          <w:szCs w:val="24"/>
        </w:rPr>
        <w:t xml:space="preserve"> Does Not State the “General Rule” and it is Not </w:t>
      </w:r>
      <w:r w:rsidR="00430D6A" w:rsidRPr="00546F21">
        <w:rPr>
          <w:rFonts w:eastAsia="Times New Roman" w:cs="Times New Roman"/>
          <w:bCs/>
          <w:szCs w:val="24"/>
        </w:rPr>
        <w:t xml:space="preserve">Otherwise </w:t>
      </w:r>
      <w:r w:rsidRPr="00546F21">
        <w:rPr>
          <w:rFonts w:eastAsia="Times New Roman" w:cs="Times New Roman"/>
          <w:bCs/>
          <w:szCs w:val="24"/>
        </w:rPr>
        <w:t xml:space="preserve">Persuasive Authority Here </w:t>
      </w:r>
      <w:r w:rsidR="00E16C42" w:rsidRPr="00546F21">
        <w:rPr>
          <w:rFonts w:eastAsia="Times New Roman" w:cs="Times New Roman"/>
          <w:bCs/>
          <w:szCs w:val="24"/>
        </w:rPr>
        <w:tab/>
      </w:r>
      <w:r w:rsidR="00FB6AEB">
        <w:rPr>
          <w:rFonts w:eastAsia="Times New Roman" w:cs="Times New Roman"/>
          <w:bCs/>
          <w:szCs w:val="24"/>
        </w:rPr>
        <w:t>6</w:t>
      </w:r>
    </w:p>
    <w:p w14:paraId="3DD57408" w14:textId="77777777" w:rsidR="00430D6A" w:rsidRPr="00546F21" w:rsidRDefault="00430D6A" w:rsidP="00BB65DC">
      <w:pPr>
        <w:tabs>
          <w:tab w:val="left" w:pos="1440"/>
          <w:tab w:val="left" w:pos="2160"/>
          <w:tab w:val="right" w:leader="dot" w:pos="9360"/>
        </w:tabs>
        <w:ind w:left="1440" w:hanging="720"/>
        <w:rPr>
          <w:rFonts w:eastAsia="Times New Roman" w:cs="Times New Roman"/>
          <w:bCs/>
          <w:szCs w:val="24"/>
        </w:rPr>
      </w:pPr>
    </w:p>
    <w:p w14:paraId="40D12E46" w14:textId="77777777" w:rsidR="00BB65DC" w:rsidRPr="00546F21" w:rsidRDefault="003478BD" w:rsidP="00BB65DC">
      <w:pPr>
        <w:tabs>
          <w:tab w:val="left" w:pos="1440"/>
          <w:tab w:val="left" w:pos="2160"/>
          <w:tab w:val="right" w:leader="dot" w:pos="9360"/>
        </w:tabs>
        <w:ind w:left="1440" w:hanging="720"/>
        <w:rPr>
          <w:rFonts w:eastAsia="Times New Roman" w:cs="Times New Roman"/>
          <w:bCs/>
          <w:szCs w:val="24"/>
        </w:rPr>
      </w:pPr>
      <w:r w:rsidRPr="00546F21">
        <w:rPr>
          <w:rFonts w:eastAsia="Times New Roman" w:cs="Times New Roman"/>
          <w:bCs/>
          <w:szCs w:val="24"/>
        </w:rPr>
        <w:t>C</w:t>
      </w:r>
      <w:r w:rsidR="00BB65DC" w:rsidRPr="00546F21">
        <w:rPr>
          <w:rFonts w:eastAsia="Times New Roman" w:cs="Times New Roman"/>
          <w:bCs/>
          <w:szCs w:val="24"/>
        </w:rPr>
        <w:t>.</w:t>
      </w:r>
      <w:r w:rsidR="00BB65DC" w:rsidRPr="00546F21">
        <w:rPr>
          <w:rFonts w:eastAsia="Times New Roman" w:cs="Times New Roman"/>
          <w:bCs/>
          <w:szCs w:val="24"/>
        </w:rPr>
        <w:tab/>
        <w:t>The Gain on Sale of PSE’s Jefferson County Distribution System</w:t>
      </w:r>
    </w:p>
    <w:p w14:paraId="33E90554" w14:textId="785FC7EC" w:rsidR="00BB65DC" w:rsidRPr="00546F21" w:rsidRDefault="00BB65DC" w:rsidP="00BB65DC">
      <w:pPr>
        <w:tabs>
          <w:tab w:val="left" w:pos="720"/>
          <w:tab w:val="left" w:pos="1440"/>
          <w:tab w:val="left" w:pos="2160"/>
          <w:tab w:val="right" w:leader="dot" w:pos="9360"/>
        </w:tabs>
        <w:rPr>
          <w:rFonts w:eastAsia="Times New Roman" w:cs="Times New Roman"/>
          <w:bCs/>
          <w:szCs w:val="24"/>
        </w:rPr>
      </w:pPr>
      <w:r w:rsidRPr="00546F21">
        <w:rPr>
          <w:rFonts w:eastAsia="Times New Roman" w:cs="Times New Roman"/>
          <w:bCs/>
          <w:szCs w:val="24"/>
        </w:rPr>
        <w:tab/>
      </w:r>
      <w:r w:rsidRPr="00546F21">
        <w:rPr>
          <w:rFonts w:eastAsia="Times New Roman" w:cs="Times New Roman"/>
          <w:bCs/>
          <w:szCs w:val="24"/>
        </w:rPr>
        <w:tab/>
        <w:t>Belongs to Remaining PSE Customers</w:t>
      </w:r>
      <w:r w:rsidRPr="00546F21">
        <w:rPr>
          <w:rFonts w:eastAsia="Times New Roman" w:cs="Times New Roman"/>
          <w:bCs/>
          <w:szCs w:val="24"/>
        </w:rPr>
        <w:tab/>
      </w:r>
      <w:r w:rsidR="00FB6AEB">
        <w:rPr>
          <w:rFonts w:eastAsia="Times New Roman" w:cs="Times New Roman"/>
          <w:bCs/>
          <w:szCs w:val="24"/>
        </w:rPr>
        <w:t>10</w:t>
      </w:r>
    </w:p>
    <w:p w14:paraId="0D7E2F73" w14:textId="77777777" w:rsidR="00BB65DC" w:rsidRPr="00546F21" w:rsidRDefault="00BB65DC" w:rsidP="00BB65DC">
      <w:pPr>
        <w:tabs>
          <w:tab w:val="left" w:pos="720"/>
          <w:tab w:val="left" w:pos="1440"/>
          <w:tab w:val="left" w:pos="2160"/>
          <w:tab w:val="right" w:leader="dot" w:pos="9360"/>
        </w:tabs>
        <w:rPr>
          <w:rFonts w:eastAsia="Times New Roman" w:cs="Times New Roman"/>
          <w:bCs/>
          <w:szCs w:val="24"/>
        </w:rPr>
      </w:pPr>
    </w:p>
    <w:p w14:paraId="3CEF10A4" w14:textId="219EB629" w:rsidR="00BB65DC" w:rsidRPr="00546F21" w:rsidRDefault="00BB65DC" w:rsidP="00BB65DC">
      <w:pPr>
        <w:tabs>
          <w:tab w:val="left" w:pos="720"/>
          <w:tab w:val="left" w:pos="1440"/>
          <w:tab w:val="left" w:pos="2160"/>
          <w:tab w:val="right" w:leader="dot" w:pos="9360"/>
        </w:tabs>
        <w:rPr>
          <w:rFonts w:eastAsia="Times New Roman" w:cs="Times New Roman"/>
          <w:bCs/>
          <w:szCs w:val="24"/>
        </w:rPr>
      </w:pPr>
      <w:r w:rsidRPr="00546F21">
        <w:rPr>
          <w:rFonts w:eastAsia="Times New Roman" w:cs="Times New Roman"/>
          <w:bCs/>
          <w:szCs w:val="24"/>
        </w:rPr>
        <w:tab/>
      </w:r>
      <w:r w:rsidRPr="00546F21">
        <w:rPr>
          <w:rFonts w:eastAsia="Times New Roman" w:cs="Times New Roman"/>
          <w:bCs/>
          <w:szCs w:val="24"/>
        </w:rPr>
        <w:tab/>
        <w:t>1.</w:t>
      </w:r>
      <w:r w:rsidRPr="00546F21">
        <w:rPr>
          <w:rFonts w:eastAsia="Times New Roman" w:cs="Times New Roman"/>
          <w:bCs/>
          <w:szCs w:val="24"/>
        </w:rPr>
        <w:tab/>
        <w:t>The Regulatory Compact</w:t>
      </w:r>
      <w:r w:rsidRPr="00546F21">
        <w:rPr>
          <w:rFonts w:eastAsia="Times New Roman" w:cs="Times New Roman"/>
          <w:bCs/>
          <w:szCs w:val="24"/>
        </w:rPr>
        <w:tab/>
      </w:r>
      <w:r w:rsidR="00FB6AEB">
        <w:rPr>
          <w:rFonts w:eastAsia="Times New Roman" w:cs="Times New Roman"/>
          <w:bCs/>
          <w:szCs w:val="24"/>
        </w:rPr>
        <w:t>11</w:t>
      </w:r>
    </w:p>
    <w:p w14:paraId="3A5E3075" w14:textId="77777777" w:rsidR="00BB65DC" w:rsidRPr="00546F21" w:rsidRDefault="00BB65DC" w:rsidP="00BB65DC">
      <w:pPr>
        <w:tabs>
          <w:tab w:val="left" w:pos="720"/>
          <w:tab w:val="left" w:pos="1440"/>
          <w:tab w:val="left" w:pos="2160"/>
          <w:tab w:val="right" w:leader="dot" w:pos="9360"/>
        </w:tabs>
        <w:rPr>
          <w:rFonts w:eastAsia="Times New Roman" w:cs="Times New Roman"/>
          <w:bCs/>
          <w:szCs w:val="24"/>
        </w:rPr>
      </w:pPr>
    </w:p>
    <w:p w14:paraId="4A75B9EA" w14:textId="77777777" w:rsidR="00430D6A" w:rsidRPr="00546F21" w:rsidRDefault="00BB65DC" w:rsidP="00430D6A">
      <w:pPr>
        <w:tabs>
          <w:tab w:val="left" w:pos="720"/>
          <w:tab w:val="left" w:pos="1440"/>
          <w:tab w:val="left" w:pos="2160"/>
          <w:tab w:val="left" w:pos="2880"/>
          <w:tab w:val="right" w:leader="dot" w:pos="9360"/>
        </w:tabs>
        <w:ind w:left="2880" w:hanging="2880"/>
        <w:rPr>
          <w:rFonts w:eastAsia="Times New Roman" w:cs="Times New Roman"/>
          <w:bCs/>
          <w:szCs w:val="24"/>
        </w:rPr>
      </w:pP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t>a.</w:t>
      </w:r>
      <w:r w:rsidRPr="00546F21">
        <w:rPr>
          <w:rFonts w:eastAsia="Times New Roman" w:cs="Times New Roman"/>
          <w:bCs/>
          <w:szCs w:val="24"/>
        </w:rPr>
        <w:tab/>
        <w:t xml:space="preserve">Consistent with </w:t>
      </w:r>
      <w:r w:rsidR="00430D6A" w:rsidRPr="00546F21">
        <w:rPr>
          <w:rFonts w:eastAsia="Times New Roman" w:cs="Times New Roman"/>
          <w:bCs/>
          <w:i/>
          <w:szCs w:val="24"/>
        </w:rPr>
        <w:t xml:space="preserve">Hope </w:t>
      </w:r>
      <w:r w:rsidR="00430D6A" w:rsidRPr="00546F21">
        <w:rPr>
          <w:rFonts w:eastAsia="Times New Roman" w:cs="Times New Roman"/>
          <w:bCs/>
          <w:szCs w:val="24"/>
        </w:rPr>
        <w:t>and the Regulatory Compact</w:t>
      </w:r>
      <w:r w:rsidRPr="00546F21">
        <w:rPr>
          <w:rFonts w:eastAsia="Times New Roman" w:cs="Times New Roman"/>
          <w:bCs/>
          <w:szCs w:val="24"/>
        </w:rPr>
        <w:t>, the Commission Consistently</w:t>
      </w:r>
      <w:r w:rsidR="00430D6A" w:rsidRPr="00546F21">
        <w:rPr>
          <w:rFonts w:eastAsia="Times New Roman" w:cs="Times New Roman"/>
          <w:bCs/>
          <w:szCs w:val="24"/>
        </w:rPr>
        <w:t xml:space="preserve"> </w:t>
      </w:r>
      <w:r w:rsidRPr="00546F21">
        <w:rPr>
          <w:rFonts w:eastAsia="Times New Roman" w:cs="Times New Roman"/>
          <w:bCs/>
          <w:szCs w:val="24"/>
        </w:rPr>
        <w:t xml:space="preserve">Has Regulated PSE Based </w:t>
      </w:r>
    </w:p>
    <w:p w14:paraId="216A35CE" w14:textId="4DFDE802" w:rsidR="00BB65DC" w:rsidRPr="00546F21" w:rsidRDefault="00430D6A" w:rsidP="00430D6A">
      <w:pPr>
        <w:tabs>
          <w:tab w:val="left" w:pos="720"/>
          <w:tab w:val="left" w:pos="1440"/>
          <w:tab w:val="left" w:pos="2160"/>
          <w:tab w:val="left" w:pos="2880"/>
          <w:tab w:val="right" w:leader="dot" w:pos="9360"/>
        </w:tabs>
        <w:ind w:left="2880" w:hanging="2880"/>
        <w:rPr>
          <w:rFonts w:eastAsia="Times New Roman" w:cs="Times New Roman"/>
          <w:bCs/>
          <w:szCs w:val="24"/>
        </w:rPr>
      </w:pP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r>
      <w:r w:rsidR="00BB65DC" w:rsidRPr="00546F21">
        <w:rPr>
          <w:rFonts w:eastAsia="Times New Roman" w:cs="Times New Roman"/>
          <w:bCs/>
          <w:szCs w:val="24"/>
        </w:rPr>
        <w:t>on the Net Book Value of its</w:t>
      </w:r>
      <w:r w:rsidRPr="00546F21">
        <w:rPr>
          <w:rFonts w:eastAsia="Times New Roman" w:cs="Times New Roman"/>
          <w:bCs/>
          <w:szCs w:val="24"/>
        </w:rPr>
        <w:t xml:space="preserve"> </w:t>
      </w:r>
      <w:r w:rsidR="00BB65DC" w:rsidRPr="00546F21">
        <w:rPr>
          <w:rFonts w:eastAsia="Times New Roman" w:cs="Times New Roman"/>
          <w:bCs/>
          <w:szCs w:val="24"/>
        </w:rPr>
        <w:t>Utility Property</w:t>
      </w:r>
      <w:r w:rsidR="00BB65DC" w:rsidRPr="00546F21">
        <w:rPr>
          <w:rFonts w:eastAsia="Times New Roman" w:cs="Times New Roman"/>
          <w:bCs/>
          <w:szCs w:val="24"/>
        </w:rPr>
        <w:tab/>
      </w:r>
      <w:r w:rsidR="00FB6AEB">
        <w:rPr>
          <w:rFonts w:eastAsia="Times New Roman" w:cs="Times New Roman"/>
          <w:bCs/>
          <w:szCs w:val="24"/>
        </w:rPr>
        <w:t>13</w:t>
      </w:r>
    </w:p>
    <w:p w14:paraId="029ED39E" w14:textId="77777777" w:rsidR="00BB65DC" w:rsidRPr="00546F21" w:rsidRDefault="00BB65DC" w:rsidP="00BB65DC">
      <w:pPr>
        <w:tabs>
          <w:tab w:val="left" w:pos="720"/>
          <w:tab w:val="left" w:pos="1440"/>
          <w:tab w:val="left" w:pos="2160"/>
          <w:tab w:val="left" w:pos="2880"/>
          <w:tab w:val="right" w:leader="dot" w:pos="9360"/>
        </w:tabs>
        <w:rPr>
          <w:rFonts w:eastAsia="Times New Roman" w:cs="Times New Roman"/>
          <w:bCs/>
          <w:szCs w:val="24"/>
        </w:rPr>
      </w:pPr>
    </w:p>
    <w:p w14:paraId="2228F538" w14:textId="77777777" w:rsidR="00BB65DC" w:rsidRPr="00546F21" w:rsidRDefault="00BB65DC" w:rsidP="00BB65DC">
      <w:pPr>
        <w:tabs>
          <w:tab w:val="left" w:pos="720"/>
          <w:tab w:val="left" w:pos="1440"/>
          <w:tab w:val="left" w:pos="2160"/>
          <w:tab w:val="left" w:pos="2880"/>
          <w:tab w:val="right" w:leader="dot" w:pos="9360"/>
        </w:tabs>
        <w:rPr>
          <w:rFonts w:eastAsia="Times New Roman" w:cs="Times New Roman"/>
          <w:bCs/>
          <w:szCs w:val="24"/>
        </w:rPr>
      </w:pP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t>b.</w:t>
      </w:r>
      <w:r w:rsidRPr="00546F21">
        <w:rPr>
          <w:rFonts w:eastAsia="Times New Roman" w:cs="Times New Roman"/>
          <w:bCs/>
          <w:szCs w:val="24"/>
        </w:rPr>
        <w:tab/>
        <w:t>Shareholders are Not Harmed if they Receive the Net</w:t>
      </w:r>
    </w:p>
    <w:p w14:paraId="18542E41" w14:textId="77777777" w:rsidR="00BB65DC" w:rsidRPr="00546F21" w:rsidRDefault="00BB65DC" w:rsidP="00BB65DC">
      <w:pPr>
        <w:tabs>
          <w:tab w:val="left" w:pos="720"/>
          <w:tab w:val="left" w:pos="1440"/>
          <w:tab w:val="left" w:pos="2160"/>
          <w:tab w:val="left" w:pos="2880"/>
          <w:tab w:val="right" w:leader="dot" w:pos="9360"/>
        </w:tabs>
        <w:rPr>
          <w:rFonts w:eastAsia="Times New Roman" w:cs="Times New Roman"/>
          <w:bCs/>
          <w:szCs w:val="24"/>
        </w:rPr>
      </w:pP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t>Book Value of the Utility Property They Devoted to</w:t>
      </w:r>
    </w:p>
    <w:p w14:paraId="707F33F9" w14:textId="73953E6E" w:rsidR="00BB65DC" w:rsidRPr="00546F21" w:rsidRDefault="00BB65DC" w:rsidP="00BB65DC">
      <w:pPr>
        <w:tabs>
          <w:tab w:val="left" w:pos="720"/>
          <w:tab w:val="left" w:pos="1440"/>
          <w:tab w:val="left" w:pos="2160"/>
          <w:tab w:val="left" w:pos="2880"/>
          <w:tab w:val="right" w:leader="dot" w:pos="9360"/>
        </w:tabs>
        <w:rPr>
          <w:rFonts w:eastAsia="Times New Roman" w:cs="Times New Roman"/>
          <w:bCs/>
          <w:szCs w:val="24"/>
        </w:rPr>
      </w:pP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t>Serve Jefferson County Customers</w:t>
      </w:r>
      <w:r w:rsidRPr="00546F21">
        <w:rPr>
          <w:rFonts w:eastAsia="Times New Roman" w:cs="Times New Roman"/>
          <w:bCs/>
          <w:szCs w:val="24"/>
        </w:rPr>
        <w:tab/>
      </w:r>
      <w:r w:rsidR="00FB6AEB">
        <w:rPr>
          <w:rFonts w:eastAsia="Times New Roman" w:cs="Times New Roman"/>
          <w:bCs/>
          <w:szCs w:val="24"/>
        </w:rPr>
        <w:t>14</w:t>
      </w:r>
    </w:p>
    <w:p w14:paraId="5AF9D8C8" w14:textId="3B04FB2E" w:rsidR="003478BD" w:rsidRPr="00546F21" w:rsidRDefault="003478BD" w:rsidP="00BB65DC">
      <w:pPr>
        <w:tabs>
          <w:tab w:val="left" w:pos="720"/>
          <w:tab w:val="left" w:pos="1440"/>
          <w:tab w:val="left" w:pos="2160"/>
          <w:tab w:val="left" w:pos="2880"/>
          <w:tab w:val="right" w:leader="dot" w:pos="9360"/>
        </w:tabs>
        <w:rPr>
          <w:rFonts w:eastAsia="Times New Roman" w:cs="Times New Roman"/>
          <w:bCs/>
          <w:szCs w:val="24"/>
        </w:rPr>
      </w:pPr>
    </w:p>
    <w:p w14:paraId="3DFE5E47" w14:textId="77777777" w:rsidR="003478BD" w:rsidRPr="00546F21" w:rsidRDefault="003478BD" w:rsidP="00456DA6">
      <w:pPr>
        <w:tabs>
          <w:tab w:val="left" w:pos="720"/>
          <w:tab w:val="left" w:pos="1440"/>
          <w:tab w:val="left" w:pos="2160"/>
          <w:tab w:val="left" w:pos="2970"/>
          <w:tab w:val="right" w:leader="dot" w:pos="9360"/>
        </w:tabs>
        <w:ind w:left="2880" w:hanging="720"/>
        <w:rPr>
          <w:rFonts w:eastAsia="Times New Roman" w:cs="Times New Roman"/>
          <w:bCs/>
          <w:szCs w:val="24"/>
        </w:rPr>
      </w:pPr>
      <w:r w:rsidRPr="00546F21">
        <w:rPr>
          <w:rFonts w:eastAsia="Times New Roman" w:cs="Times New Roman"/>
          <w:bCs/>
          <w:szCs w:val="24"/>
        </w:rPr>
        <w:t>c.</w:t>
      </w:r>
      <w:r w:rsidRPr="00546F21">
        <w:rPr>
          <w:rFonts w:eastAsia="Times New Roman" w:cs="Times New Roman"/>
          <w:bCs/>
          <w:szCs w:val="24"/>
        </w:rPr>
        <w:tab/>
        <w:t>PSE’s Customers Have Compensated PSE’s Shareholders</w:t>
      </w:r>
    </w:p>
    <w:p w14:paraId="627399AA" w14:textId="77777777" w:rsidR="003478BD" w:rsidRPr="00546F21" w:rsidRDefault="003478BD" w:rsidP="003478BD">
      <w:pPr>
        <w:tabs>
          <w:tab w:val="left" w:pos="720"/>
          <w:tab w:val="left" w:pos="1440"/>
          <w:tab w:val="left" w:pos="2160"/>
          <w:tab w:val="left" w:pos="2970"/>
          <w:tab w:val="right" w:leader="dot" w:pos="9360"/>
        </w:tabs>
        <w:ind w:left="2880"/>
        <w:rPr>
          <w:rFonts w:eastAsia="Times New Roman" w:cs="Times New Roman"/>
          <w:bCs/>
          <w:szCs w:val="24"/>
        </w:rPr>
      </w:pPr>
      <w:r w:rsidRPr="00546F21">
        <w:rPr>
          <w:rFonts w:eastAsia="Times New Roman" w:cs="Times New Roman"/>
          <w:bCs/>
          <w:szCs w:val="24"/>
        </w:rPr>
        <w:t>for the Risks they have Undertaken; PSE Shareholders</w:t>
      </w:r>
    </w:p>
    <w:p w14:paraId="07DB00BA" w14:textId="77777777" w:rsidR="003478BD" w:rsidRPr="00546F21" w:rsidRDefault="003478BD" w:rsidP="003478BD">
      <w:pPr>
        <w:tabs>
          <w:tab w:val="left" w:pos="720"/>
          <w:tab w:val="left" w:pos="1440"/>
          <w:tab w:val="left" w:pos="2160"/>
          <w:tab w:val="left" w:pos="2970"/>
          <w:tab w:val="right" w:leader="dot" w:pos="9360"/>
        </w:tabs>
        <w:ind w:left="2880" w:hanging="2880"/>
        <w:rPr>
          <w:rFonts w:eastAsia="Times New Roman" w:cs="Times New Roman"/>
          <w:bCs/>
          <w:szCs w:val="24"/>
        </w:rPr>
      </w:pP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t>were Keenly Aware of the Specific Risks Associated with</w:t>
      </w:r>
    </w:p>
    <w:p w14:paraId="77B79D9C" w14:textId="225ADE40" w:rsidR="003478BD" w:rsidRPr="00546F21" w:rsidRDefault="003478BD" w:rsidP="00456DA6">
      <w:pPr>
        <w:tabs>
          <w:tab w:val="left" w:pos="720"/>
          <w:tab w:val="left" w:pos="1440"/>
          <w:tab w:val="left" w:pos="2160"/>
          <w:tab w:val="left" w:pos="2880"/>
          <w:tab w:val="right" w:leader="dot" w:pos="9360"/>
        </w:tabs>
        <w:ind w:left="2160"/>
        <w:rPr>
          <w:rFonts w:eastAsia="Times New Roman" w:cs="Times New Roman"/>
          <w:bCs/>
          <w:szCs w:val="24"/>
        </w:rPr>
      </w:pPr>
      <w:r w:rsidRPr="00546F21">
        <w:rPr>
          <w:rFonts w:eastAsia="Times New Roman" w:cs="Times New Roman"/>
          <w:bCs/>
          <w:szCs w:val="24"/>
        </w:rPr>
        <w:tab/>
      </w:r>
      <w:r w:rsidR="008F29F5" w:rsidRPr="00546F21">
        <w:rPr>
          <w:rFonts w:eastAsia="Times New Roman" w:cs="Times New Roman"/>
          <w:bCs/>
          <w:szCs w:val="24"/>
        </w:rPr>
        <w:t>t</w:t>
      </w:r>
      <w:r w:rsidRPr="00546F21">
        <w:rPr>
          <w:rFonts w:eastAsia="Times New Roman" w:cs="Times New Roman"/>
          <w:bCs/>
          <w:szCs w:val="24"/>
        </w:rPr>
        <w:t>he JPUD Sale</w:t>
      </w:r>
      <w:r w:rsidRPr="00546F21">
        <w:rPr>
          <w:rFonts w:eastAsia="Times New Roman" w:cs="Times New Roman"/>
          <w:bCs/>
          <w:szCs w:val="24"/>
        </w:rPr>
        <w:tab/>
      </w:r>
      <w:r w:rsidR="00FB6AEB">
        <w:rPr>
          <w:rFonts w:eastAsia="Times New Roman" w:cs="Times New Roman"/>
          <w:bCs/>
          <w:szCs w:val="24"/>
        </w:rPr>
        <w:t>15</w:t>
      </w:r>
    </w:p>
    <w:p w14:paraId="5A2652CC" w14:textId="77777777" w:rsidR="00BB65DC" w:rsidRPr="00546F21" w:rsidRDefault="00BB65DC" w:rsidP="00BB65DC">
      <w:pPr>
        <w:tabs>
          <w:tab w:val="left" w:pos="720"/>
          <w:tab w:val="left" w:pos="1440"/>
          <w:tab w:val="left" w:pos="2160"/>
          <w:tab w:val="left" w:pos="2880"/>
          <w:tab w:val="right" w:leader="dot" w:pos="9360"/>
        </w:tabs>
        <w:rPr>
          <w:rFonts w:eastAsia="Times New Roman" w:cs="Times New Roman"/>
          <w:bCs/>
          <w:szCs w:val="24"/>
        </w:rPr>
      </w:pPr>
    </w:p>
    <w:p w14:paraId="0B432FF5" w14:textId="77777777" w:rsidR="00BB65DC" w:rsidRPr="00546F21" w:rsidRDefault="00BB65DC" w:rsidP="00BB65DC">
      <w:pPr>
        <w:tabs>
          <w:tab w:val="left" w:pos="720"/>
          <w:tab w:val="left" w:pos="1440"/>
          <w:tab w:val="left" w:pos="2160"/>
          <w:tab w:val="left" w:pos="2880"/>
          <w:tab w:val="right" w:leader="dot" w:pos="9360"/>
        </w:tabs>
        <w:rPr>
          <w:rFonts w:eastAsia="Times New Roman" w:cs="Times New Roman"/>
          <w:bCs/>
          <w:szCs w:val="24"/>
        </w:rPr>
      </w:pP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r>
      <w:r w:rsidR="008F29F5" w:rsidRPr="00546F21">
        <w:rPr>
          <w:rFonts w:eastAsia="Times New Roman" w:cs="Times New Roman"/>
          <w:bCs/>
          <w:szCs w:val="24"/>
        </w:rPr>
        <w:t>d</w:t>
      </w:r>
      <w:r w:rsidRPr="00546F21">
        <w:rPr>
          <w:rFonts w:eastAsia="Times New Roman" w:cs="Times New Roman"/>
          <w:bCs/>
          <w:szCs w:val="24"/>
        </w:rPr>
        <w:t>.</w:t>
      </w:r>
      <w:r w:rsidRPr="00546F21">
        <w:rPr>
          <w:rFonts w:eastAsia="Times New Roman" w:cs="Times New Roman"/>
          <w:bCs/>
          <w:szCs w:val="24"/>
        </w:rPr>
        <w:tab/>
        <w:t>Shareholders are Not Entitled to Additional</w:t>
      </w:r>
    </w:p>
    <w:p w14:paraId="2B93874C" w14:textId="77777777" w:rsidR="00BB65DC" w:rsidRPr="00546F21" w:rsidRDefault="00BB65DC" w:rsidP="00BB65DC">
      <w:pPr>
        <w:tabs>
          <w:tab w:val="left" w:pos="720"/>
          <w:tab w:val="left" w:pos="1440"/>
          <w:tab w:val="left" w:pos="2160"/>
          <w:tab w:val="left" w:pos="2880"/>
          <w:tab w:val="right" w:leader="dot" w:pos="9360"/>
        </w:tabs>
        <w:rPr>
          <w:rFonts w:eastAsia="Times New Roman" w:cs="Times New Roman"/>
          <w:bCs/>
          <w:szCs w:val="24"/>
        </w:rPr>
      </w:pP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t>Compensation for the Loss of a Revenue Stream from</w:t>
      </w:r>
    </w:p>
    <w:p w14:paraId="55BA386A" w14:textId="62EFE633" w:rsidR="00BB65DC" w:rsidRPr="00546F21" w:rsidRDefault="00BB65DC" w:rsidP="00BB65DC">
      <w:pPr>
        <w:tabs>
          <w:tab w:val="left" w:pos="720"/>
          <w:tab w:val="left" w:pos="1440"/>
          <w:tab w:val="left" w:pos="2160"/>
          <w:tab w:val="left" w:pos="2880"/>
          <w:tab w:val="right" w:leader="dot" w:pos="9360"/>
        </w:tabs>
        <w:rPr>
          <w:rFonts w:eastAsia="Times New Roman" w:cs="Times New Roman"/>
          <w:bCs/>
          <w:szCs w:val="24"/>
        </w:rPr>
      </w:pP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t>Jefferson County Customers</w:t>
      </w:r>
      <w:r w:rsidRPr="00546F21">
        <w:rPr>
          <w:rFonts w:eastAsia="Times New Roman" w:cs="Times New Roman"/>
          <w:bCs/>
          <w:szCs w:val="24"/>
        </w:rPr>
        <w:tab/>
      </w:r>
      <w:r w:rsidR="00FB6AEB">
        <w:rPr>
          <w:rFonts w:eastAsia="Times New Roman" w:cs="Times New Roman"/>
          <w:bCs/>
          <w:szCs w:val="24"/>
        </w:rPr>
        <w:t>17</w:t>
      </w:r>
    </w:p>
    <w:p w14:paraId="6413111F" w14:textId="77777777" w:rsidR="00BB65DC" w:rsidRPr="00546F21" w:rsidRDefault="00BB65DC" w:rsidP="00BB65DC">
      <w:pPr>
        <w:tabs>
          <w:tab w:val="left" w:pos="720"/>
          <w:tab w:val="left" w:pos="1440"/>
          <w:tab w:val="left" w:pos="2160"/>
          <w:tab w:val="right" w:leader="dot" w:pos="9360"/>
        </w:tabs>
        <w:rPr>
          <w:rFonts w:eastAsia="Times New Roman" w:cs="Times New Roman"/>
          <w:bCs/>
          <w:szCs w:val="24"/>
        </w:rPr>
      </w:pPr>
    </w:p>
    <w:p w14:paraId="4A84D191" w14:textId="70895EB1" w:rsidR="00BB65DC" w:rsidRPr="00546F21" w:rsidRDefault="00BB65DC" w:rsidP="00430D6A">
      <w:pPr>
        <w:tabs>
          <w:tab w:val="left" w:pos="720"/>
          <w:tab w:val="left" w:pos="1440"/>
          <w:tab w:val="left" w:pos="2160"/>
          <w:tab w:val="left" w:pos="2880"/>
          <w:tab w:val="left" w:pos="3600"/>
          <w:tab w:val="right" w:leader="dot" w:pos="9360"/>
        </w:tabs>
        <w:ind w:left="3600" w:hanging="3600"/>
        <w:rPr>
          <w:rFonts w:eastAsia="Times New Roman" w:cs="Times New Roman"/>
          <w:bCs/>
          <w:szCs w:val="24"/>
        </w:rPr>
      </w:pP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t>i.</w:t>
      </w:r>
      <w:r w:rsidRPr="00546F21">
        <w:rPr>
          <w:rFonts w:eastAsia="Times New Roman" w:cs="Times New Roman"/>
          <w:bCs/>
          <w:szCs w:val="24"/>
        </w:rPr>
        <w:tab/>
      </w:r>
      <w:r w:rsidR="00430D6A" w:rsidRPr="00546F21">
        <w:rPr>
          <w:rFonts w:eastAsia="Times New Roman" w:cs="Times New Roman"/>
          <w:bCs/>
          <w:szCs w:val="24"/>
        </w:rPr>
        <w:t xml:space="preserve">In </w:t>
      </w:r>
      <w:r w:rsidR="006046FB">
        <w:rPr>
          <w:rFonts w:eastAsia="Times New Roman" w:cs="Times New Roman"/>
          <w:bCs/>
          <w:szCs w:val="24"/>
        </w:rPr>
        <w:t>A</w:t>
      </w:r>
      <w:r w:rsidR="00430D6A" w:rsidRPr="00546F21">
        <w:rPr>
          <w:rFonts w:eastAsia="Times New Roman" w:cs="Times New Roman"/>
          <w:bCs/>
          <w:szCs w:val="24"/>
        </w:rPr>
        <w:t xml:space="preserve">ny </w:t>
      </w:r>
      <w:r w:rsidR="006046FB">
        <w:rPr>
          <w:rFonts w:eastAsia="Times New Roman" w:cs="Times New Roman"/>
          <w:bCs/>
          <w:szCs w:val="24"/>
        </w:rPr>
        <w:t>E</w:t>
      </w:r>
      <w:r w:rsidR="00430D6A" w:rsidRPr="00546F21">
        <w:rPr>
          <w:rFonts w:eastAsia="Times New Roman" w:cs="Times New Roman"/>
          <w:bCs/>
          <w:szCs w:val="24"/>
        </w:rPr>
        <w:t xml:space="preserve">vent, </w:t>
      </w:r>
      <w:r w:rsidRPr="00546F21">
        <w:rPr>
          <w:rFonts w:eastAsia="Times New Roman" w:cs="Times New Roman"/>
          <w:bCs/>
          <w:szCs w:val="24"/>
        </w:rPr>
        <w:t xml:space="preserve">PSE’s Calculation of Lost Earnings is </w:t>
      </w:r>
      <w:r w:rsidR="00430D6A" w:rsidRPr="00546F21">
        <w:rPr>
          <w:rFonts w:eastAsia="Times New Roman" w:cs="Times New Roman"/>
          <w:bCs/>
          <w:szCs w:val="24"/>
        </w:rPr>
        <w:t>Based o</w:t>
      </w:r>
      <w:r w:rsidRPr="00546F21">
        <w:rPr>
          <w:rFonts w:eastAsia="Times New Roman" w:cs="Times New Roman"/>
          <w:bCs/>
          <w:szCs w:val="24"/>
        </w:rPr>
        <w:t>n a Flawed Assumption</w:t>
      </w:r>
      <w:r w:rsidRPr="00546F21">
        <w:rPr>
          <w:rFonts w:eastAsia="Times New Roman" w:cs="Times New Roman"/>
          <w:bCs/>
          <w:szCs w:val="24"/>
        </w:rPr>
        <w:tab/>
      </w:r>
      <w:r w:rsidR="00FB6AEB">
        <w:rPr>
          <w:rFonts w:eastAsia="Times New Roman" w:cs="Times New Roman"/>
          <w:bCs/>
          <w:szCs w:val="24"/>
        </w:rPr>
        <w:t>18</w:t>
      </w:r>
    </w:p>
    <w:p w14:paraId="64687274" w14:textId="77777777" w:rsidR="00BB65DC" w:rsidRPr="00546F21" w:rsidRDefault="00BB65DC" w:rsidP="00BB65DC">
      <w:pPr>
        <w:tabs>
          <w:tab w:val="left" w:pos="720"/>
          <w:tab w:val="left" w:pos="1440"/>
          <w:tab w:val="left" w:pos="2160"/>
          <w:tab w:val="right" w:leader="dot" w:pos="9360"/>
        </w:tabs>
        <w:ind w:left="2880" w:hanging="2880"/>
        <w:rPr>
          <w:rFonts w:eastAsia="Times New Roman" w:cs="Times New Roman"/>
          <w:bCs/>
          <w:szCs w:val="24"/>
        </w:rPr>
      </w:pPr>
    </w:p>
    <w:p w14:paraId="15FBB09F" w14:textId="77777777" w:rsidR="00BB65DC" w:rsidRPr="00546F21" w:rsidRDefault="00BB65DC" w:rsidP="00BB65DC">
      <w:pPr>
        <w:tabs>
          <w:tab w:val="left" w:pos="720"/>
          <w:tab w:val="left" w:pos="1440"/>
          <w:tab w:val="left" w:pos="2160"/>
          <w:tab w:val="left" w:pos="2880"/>
          <w:tab w:val="right" w:leader="dot" w:pos="9360"/>
        </w:tabs>
        <w:ind w:left="2880" w:hanging="2880"/>
        <w:rPr>
          <w:rFonts w:eastAsia="Times New Roman" w:cs="Times New Roman"/>
          <w:bCs/>
          <w:szCs w:val="24"/>
        </w:rPr>
      </w:pPr>
      <w:r w:rsidRPr="00546F21">
        <w:rPr>
          <w:rFonts w:eastAsia="Times New Roman" w:cs="Times New Roman"/>
          <w:bCs/>
          <w:szCs w:val="24"/>
        </w:rPr>
        <w:tab/>
      </w:r>
      <w:r w:rsidRPr="00546F21">
        <w:rPr>
          <w:rFonts w:eastAsia="Times New Roman" w:cs="Times New Roman"/>
          <w:bCs/>
          <w:szCs w:val="24"/>
        </w:rPr>
        <w:tab/>
      </w:r>
      <w:r w:rsidR="008F29F5" w:rsidRPr="00546F21">
        <w:rPr>
          <w:rFonts w:eastAsia="Times New Roman" w:cs="Times New Roman"/>
          <w:bCs/>
          <w:szCs w:val="24"/>
        </w:rPr>
        <w:t>2.</w:t>
      </w:r>
      <w:r w:rsidR="008F29F5" w:rsidRPr="00546F21">
        <w:rPr>
          <w:rFonts w:eastAsia="Times New Roman" w:cs="Times New Roman"/>
          <w:bCs/>
          <w:szCs w:val="24"/>
        </w:rPr>
        <w:tab/>
      </w:r>
      <w:r w:rsidRPr="00546F21">
        <w:rPr>
          <w:rFonts w:eastAsia="Times New Roman" w:cs="Times New Roman"/>
          <w:bCs/>
          <w:szCs w:val="24"/>
        </w:rPr>
        <w:t>A Risk/Reward Analysis Confirms Customers are Entitled</w:t>
      </w:r>
    </w:p>
    <w:p w14:paraId="73B38D7D" w14:textId="5249FED1" w:rsidR="00BB65DC" w:rsidRPr="00546F21" w:rsidRDefault="00BB65DC" w:rsidP="008F29F5">
      <w:pPr>
        <w:tabs>
          <w:tab w:val="left" w:pos="720"/>
          <w:tab w:val="left" w:pos="1440"/>
          <w:tab w:val="left" w:pos="2160"/>
          <w:tab w:val="right" w:leader="dot" w:pos="9360"/>
        </w:tabs>
        <w:ind w:left="2880" w:hanging="720"/>
        <w:rPr>
          <w:rFonts w:eastAsia="Times New Roman" w:cs="Times New Roman"/>
          <w:bCs/>
          <w:szCs w:val="24"/>
        </w:rPr>
      </w:pPr>
      <w:r w:rsidRPr="00546F21">
        <w:rPr>
          <w:rFonts w:eastAsia="Times New Roman" w:cs="Times New Roman"/>
          <w:bCs/>
          <w:szCs w:val="24"/>
        </w:rPr>
        <w:t>to the Gain on the JPUD Sale</w:t>
      </w:r>
      <w:r w:rsidRPr="00546F21">
        <w:rPr>
          <w:rFonts w:eastAsia="Times New Roman" w:cs="Times New Roman"/>
          <w:bCs/>
          <w:szCs w:val="24"/>
        </w:rPr>
        <w:tab/>
      </w:r>
      <w:r w:rsidR="00FB6AEB">
        <w:rPr>
          <w:rFonts w:eastAsia="Times New Roman" w:cs="Times New Roman"/>
          <w:bCs/>
          <w:szCs w:val="24"/>
        </w:rPr>
        <w:t>19</w:t>
      </w:r>
    </w:p>
    <w:p w14:paraId="4A47EA6C" w14:textId="38BB72EB" w:rsidR="00BB65DC" w:rsidRPr="00546F21" w:rsidRDefault="00BB65DC" w:rsidP="00BB65DC">
      <w:pPr>
        <w:tabs>
          <w:tab w:val="left" w:pos="720"/>
          <w:tab w:val="left" w:pos="1440"/>
          <w:tab w:val="left" w:pos="2160"/>
          <w:tab w:val="right" w:leader="dot" w:pos="9360"/>
        </w:tabs>
        <w:rPr>
          <w:rFonts w:eastAsia="Times New Roman" w:cs="Times New Roman"/>
          <w:bCs/>
          <w:szCs w:val="24"/>
        </w:rPr>
      </w:pPr>
    </w:p>
    <w:p w14:paraId="43F90E5F" w14:textId="52144B51" w:rsidR="008F29F5" w:rsidRPr="00546F21" w:rsidRDefault="008F29F5" w:rsidP="006A0D58">
      <w:pPr>
        <w:tabs>
          <w:tab w:val="left" w:pos="720"/>
          <w:tab w:val="left" w:pos="1440"/>
          <w:tab w:val="left" w:pos="2160"/>
          <w:tab w:val="left" w:pos="3600"/>
          <w:tab w:val="right" w:leader="dot" w:pos="9360"/>
        </w:tabs>
        <w:rPr>
          <w:rFonts w:eastAsia="Times New Roman" w:cs="Times New Roman"/>
          <w:bCs/>
          <w:szCs w:val="24"/>
        </w:rPr>
      </w:pPr>
    </w:p>
    <w:p w14:paraId="44A923E2" w14:textId="44CE2033" w:rsidR="00BB65DC" w:rsidRPr="00546F21" w:rsidRDefault="008F29F5" w:rsidP="00694C2A">
      <w:pPr>
        <w:tabs>
          <w:tab w:val="left" w:pos="720"/>
          <w:tab w:val="left" w:pos="1440"/>
          <w:tab w:val="left" w:pos="2160"/>
          <w:tab w:val="left" w:pos="3600"/>
          <w:tab w:val="right" w:leader="dot" w:pos="9360"/>
        </w:tabs>
        <w:ind w:left="2880" w:hanging="2880"/>
        <w:rPr>
          <w:rFonts w:eastAsia="Times New Roman" w:cs="Times New Roman"/>
          <w:bCs/>
          <w:szCs w:val="24"/>
        </w:rPr>
      </w:pP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r>
      <w:r w:rsidR="00F0396C" w:rsidRPr="00546F21">
        <w:rPr>
          <w:rFonts w:eastAsia="Times New Roman" w:cs="Times New Roman"/>
          <w:bCs/>
          <w:szCs w:val="24"/>
        </w:rPr>
        <w:t>a</w:t>
      </w:r>
      <w:r w:rsidR="00430D6A" w:rsidRPr="00546F21">
        <w:rPr>
          <w:rFonts w:eastAsia="Times New Roman" w:cs="Times New Roman"/>
          <w:bCs/>
          <w:szCs w:val="24"/>
        </w:rPr>
        <w:t>.</w:t>
      </w:r>
      <w:r w:rsidR="00430D6A" w:rsidRPr="00546F21">
        <w:rPr>
          <w:rFonts w:eastAsia="Times New Roman" w:cs="Times New Roman"/>
          <w:bCs/>
          <w:szCs w:val="24"/>
        </w:rPr>
        <w:tab/>
      </w:r>
      <w:r w:rsidR="00694C2A" w:rsidRPr="00546F21">
        <w:rPr>
          <w:rFonts w:eastAsia="Times New Roman" w:cs="Times New Roman"/>
          <w:bCs/>
          <w:szCs w:val="24"/>
        </w:rPr>
        <w:t xml:space="preserve">PSE </w:t>
      </w:r>
      <w:r w:rsidR="00BB65DC" w:rsidRPr="00546F21">
        <w:rPr>
          <w:rFonts w:eastAsia="Times New Roman" w:cs="Times New Roman"/>
          <w:bCs/>
          <w:szCs w:val="24"/>
        </w:rPr>
        <w:t xml:space="preserve">Customers Bear Risks Associated With </w:t>
      </w:r>
      <w:r w:rsidR="00694C2A" w:rsidRPr="00546F21">
        <w:rPr>
          <w:rFonts w:eastAsia="Times New Roman" w:cs="Times New Roman"/>
          <w:bCs/>
          <w:szCs w:val="24"/>
        </w:rPr>
        <w:t>Utility Asset Ownership</w:t>
      </w:r>
      <w:r w:rsidR="00BB65DC" w:rsidRPr="00546F21">
        <w:rPr>
          <w:rFonts w:eastAsia="Times New Roman" w:cs="Times New Roman"/>
          <w:bCs/>
          <w:szCs w:val="24"/>
        </w:rPr>
        <w:t>,</w:t>
      </w:r>
      <w:r w:rsidR="00694C2A" w:rsidRPr="00546F21">
        <w:rPr>
          <w:rFonts w:eastAsia="Times New Roman" w:cs="Times New Roman"/>
          <w:bCs/>
          <w:szCs w:val="24"/>
        </w:rPr>
        <w:t xml:space="preserve"> </w:t>
      </w:r>
      <w:r w:rsidR="007F5858">
        <w:rPr>
          <w:rFonts w:eastAsia="Times New Roman" w:cs="Times New Roman"/>
          <w:bCs/>
          <w:szCs w:val="24"/>
        </w:rPr>
        <w:t>a</w:t>
      </w:r>
      <w:r w:rsidR="00BB65DC" w:rsidRPr="00546F21">
        <w:rPr>
          <w:rFonts w:eastAsia="Times New Roman" w:cs="Times New Roman"/>
          <w:bCs/>
          <w:szCs w:val="24"/>
        </w:rPr>
        <w:t xml:space="preserve">s PSE Testified in the </w:t>
      </w:r>
      <w:r w:rsidR="00BB65DC" w:rsidRPr="00546F21">
        <w:rPr>
          <w:rFonts w:eastAsia="Times New Roman" w:cs="Times New Roman"/>
          <w:bCs/>
          <w:i/>
          <w:szCs w:val="24"/>
        </w:rPr>
        <w:t>Centralia</w:t>
      </w:r>
      <w:r w:rsidR="00BB65DC" w:rsidRPr="00546F21">
        <w:rPr>
          <w:rFonts w:eastAsia="Times New Roman" w:cs="Times New Roman"/>
          <w:bCs/>
          <w:szCs w:val="24"/>
        </w:rPr>
        <w:t xml:space="preserve"> </w:t>
      </w:r>
      <w:r w:rsidR="00BB65DC" w:rsidRPr="00546F21">
        <w:rPr>
          <w:rFonts w:eastAsia="Times New Roman" w:cs="Times New Roman"/>
          <w:bCs/>
          <w:i/>
          <w:szCs w:val="24"/>
        </w:rPr>
        <w:t>Case</w:t>
      </w:r>
      <w:r w:rsidR="00BB65DC" w:rsidRPr="00546F21">
        <w:rPr>
          <w:rFonts w:eastAsia="Times New Roman" w:cs="Times New Roman"/>
          <w:bCs/>
          <w:szCs w:val="24"/>
        </w:rPr>
        <w:tab/>
      </w:r>
      <w:r w:rsidR="009E1953">
        <w:rPr>
          <w:rFonts w:eastAsia="Times New Roman" w:cs="Times New Roman"/>
          <w:bCs/>
          <w:szCs w:val="24"/>
        </w:rPr>
        <w:t>20</w:t>
      </w:r>
    </w:p>
    <w:p w14:paraId="27D278FC" w14:textId="77777777" w:rsidR="00BB65DC" w:rsidRPr="00546F21" w:rsidRDefault="00BB65DC" w:rsidP="00BB65DC">
      <w:pPr>
        <w:tabs>
          <w:tab w:val="left" w:pos="720"/>
          <w:tab w:val="left" w:pos="1440"/>
          <w:tab w:val="left" w:pos="2160"/>
          <w:tab w:val="left" w:pos="3600"/>
          <w:tab w:val="right" w:leader="dot" w:pos="9360"/>
        </w:tabs>
        <w:ind w:left="3600" w:hanging="720"/>
        <w:rPr>
          <w:rFonts w:eastAsia="Times New Roman" w:cs="Times New Roman"/>
          <w:bCs/>
          <w:szCs w:val="24"/>
        </w:rPr>
      </w:pPr>
    </w:p>
    <w:p w14:paraId="507813E4" w14:textId="059712DA" w:rsidR="00BB65DC" w:rsidRPr="00546F21" w:rsidRDefault="008F29F5" w:rsidP="00430D6A">
      <w:pPr>
        <w:tabs>
          <w:tab w:val="left" w:pos="720"/>
          <w:tab w:val="left" w:pos="1440"/>
          <w:tab w:val="left" w:pos="2160"/>
          <w:tab w:val="left" w:pos="3600"/>
          <w:tab w:val="right" w:leader="dot" w:pos="9360"/>
        </w:tabs>
        <w:ind w:left="2880" w:hanging="2880"/>
        <w:rPr>
          <w:rFonts w:eastAsia="Times New Roman" w:cs="Times New Roman"/>
          <w:bCs/>
          <w:szCs w:val="24"/>
        </w:rPr>
      </w:pP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r>
      <w:r w:rsidR="00F0396C" w:rsidRPr="00546F21">
        <w:rPr>
          <w:rFonts w:eastAsia="Times New Roman" w:cs="Times New Roman"/>
          <w:bCs/>
          <w:szCs w:val="24"/>
        </w:rPr>
        <w:t>b</w:t>
      </w:r>
      <w:r w:rsidRPr="00546F21">
        <w:rPr>
          <w:rFonts w:eastAsia="Times New Roman" w:cs="Times New Roman"/>
          <w:bCs/>
          <w:szCs w:val="24"/>
        </w:rPr>
        <w:t>.</w:t>
      </w:r>
      <w:r w:rsidRPr="00546F21">
        <w:rPr>
          <w:rFonts w:eastAsia="Times New Roman" w:cs="Times New Roman"/>
          <w:bCs/>
          <w:szCs w:val="24"/>
        </w:rPr>
        <w:tab/>
      </w:r>
      <w:r w:rsidR="00BB65DC" w:rsidRPr="00546F21">
        <w:rPr>
          <w:rFonts w:eastAsia="Times New Roman" w:cs="Times New Roman"/>
          <w:bCs/>
          <w:szCs w:val="24"/>
        </w:rPr>
        <w:t>Experience in this State Proves the</w:t>
      </w:r>
      <w:r w:rsidR="00430D6A" w:rsidRPr="00546F21">
        <w:rPr>
          <w:rFonts w:eastAsia="Times New Roman" w:cs="Times New Roman"/>
          <w:bCs/>
          <w:szCs w:val="24"/>
        </w:rPr>
        <w:t xml:space="preserve"> Pervasive </w:t>
      </w:r>
      <w:r w:rsidR="00BB65DC" w:rsidRPr="00546F21">
        <w:rPr>
          <w:rFonts w:eastAsia="Times New Roman" w:cs="Times New Roman"/>
          <w:bCs/>
          <w:szCs w:val="24"/>
        </w:rPr>
        <w:t>Shift of Ownership Risk to PSE Customers</w:t>
      </w:r>
      <w:r w:rsidR="00BB65DC" w:rsidRPr="00546F21">
        <w:rPr>
          <w:rFonts w:eastAsia="Times New Roman" w:cs="Times New Roman"/>
          <w:bCs/>
          <w:szCs w:val="24"/>
        </w:rPr>
        <w:tab/>
      </w:r>
      <w:r w:rsidR="009E1953">
        <w:rPr>
          <w:rFonts w:eastAsia="Times New Roman" w:cs="Times New Roman"/>
          <w:bCs/>
          <w:szCs w:val="24"/>
        </w:rPr>
        <w:t>21</w:t>
      </w:r>
    </w:p>
    <w:p w14:paraId="29A00272" w14:textId="77777777" w:rsidR="00694C2A" w:rsidRPr="00546F21" w:rsidRDefault="00694C2A" w:rsidP="00430D6A">
      <w:pPr>
        <w:tabs>
          <w:tab w:val="left" w:pos="720"/>
          <w:tab w:val="left" w:pos="1440"/>
          <w:tab w:val="left" w:pos="2160"/>
          <w:tab w:val="left" w:pos="3600"/>
          <w:tab w:val="right" w:leader="dot" w:pos="9360"/>
        </w:tabs>
        <w:ind w:left="2880" w:hanging="2880"/>
        <w:rPr>
          <w:rFonts w:eastAsia="Times New Roman" w:cs="Times New Roman"/>
          <w:bCs/>
          <w:szCs w:val="24"/>
        </w:rPr>
      </w:pPr>
    </w:p>
    <w:p w14:paraId="7A8AA97A" w14:textId="4F9D135B" w:rsidR="00694C2A" w:rsidRPr="00546F21" w:rsidRDefault="00694C2A" w:rsidP="00430D6A">
      <w:pPr>
        <w:tabs>
          <w:tab w:val="left" w:pos="720"/>
          <w:tab w:val="left" w:pos="1440"/>
          <w:tab w:val="left" w:pos="2160"/>
          <w:tab w:val="left" w:pos="3600"/>
          <w:tab w:val="right" w:leader="dot" w:pos="9360"/>
        </w:tabs>
        <w:ind w:left="2880" w:hanging="2880"/>
        <w:rPr>
          <w:rFonts w:eastAsia="Times New Roman" w:cs="Times New Roman"/>
          <w:bCs/>
          <w:szCs w:val="24"/>
        </w:rPr>
      </w:pP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t>Example 1</w:t>
      </w:r>
      <w:r w:rsidR="00103E4C">
        <w:rPr>
          <w:rFonts w:eastAsia="Times New Roman" w:cs="Times New Roman"/>
          <w:bCs/>
          <w:szCs w:val="24"/>
        </w:rPr>
        <w:t>:</w:t>
      </w:r>
      <w:r w:rsidR="0084618B" w:rsidRPr="00546F21">
        <w:rPr>
          <w:rFonts w:eastAsia="Times New Roman" w:cs="Times New Roman"/>
          <w:bCs/>
          <w:szCs w:val="24"/>
        </w:rPr>
        <w:t xml:space="preserve">  $709 </w:t>
      </w:r>
      <w:r w:rsidR="00103E4C">
        <w:rPr>
          <w:rFonts w:eastAsia="Times New Roman" w:cs="Times New Roman"/>
          <w:bCs/>
          <w:szCs w:val="24"/>
        </w:rPr>
        <w:t>M</w:t>
      </w:r>
      <w:r w:rsidR="0084618B" w:rsidRPr="00546F21">
        <w:rPr>
          <w:rFonts w:eastAsia="Times New Roman" w:cs="Times New Roman"/>
          <w:bCs/>
          <w:szCs w:val="24"/>
        </w:rPr>
        <w:t xml:space="preserve">illion in </w:t>
      </w:r>
      <w:r w:rsidR="00103E4C">
        <w:rPr>
          <w:rFonts w:eastAsia="Times New Roman" w:cs="Times New Roman"/>
          <w:bCs/>
          <w:szCs w:val="24"/>
        </w:rPr>
        <w:t>R</w:t>
      </w:r>
      <w:r w:rsidR="0084618B" w:rsidRPr="00546F21">
        <w:rPr>
          <w:rFonts w:eastAsia="Times New Roman" w:cs="Times New Roman"/>
          <w:bCs/>
          <w:szCs w:val="24"/>
        </w:rPr>
        <w:t xml:space="preserve">egulatory </w:t>
      </w:r>
      <w:r w:rsidR="00103E4C">
        <w:rPr>
          <w:rFonts w:eastAsia="Times New Roman" w:cs="Times New Roman"/>
          <w:bCs/>
          <w:szCs w:val="24"/>
        </w:rPr>
        <w:t>A</w:t>
      </w:r>
      <w:r w:rsidR="0084618B" w:rsidRPr="00546F21">
        <w:rPr>
          <w:rFonts w:eastAsia="Times New Roman" w:cs="Times New Roman"/>
          <w:bCs/>
          <w:szCs w:val="24"/>
        </w:rPr>
        <w:t xml:space="preserve">ssets </w:t>
      </w:r>
      <w:r w:rsidR="0084618B" w:rsidRPr="00546F21">
        <w:rPr>
          <w:rFonts w:eastAsia="Times New Roman" w:cs="Times New Roman"/>
          <w:bCs/>
          <w:szCs w:val="24"/>
        </w:rPr>
        <w:tab/>
      </w:r>
      <w:r w:rsidR="009E1953">
        <w:rPr>
          <w:rFonts w:eastAsia="Times New Roman" w:cs="Times New Roman"/>
          <w:bCs/>
          <w:szCs w:val="24"/>
        </w:rPr>
        <w:t>21</w:t>
      </w:r>
    </w:p>
    <w:p w14:paraId="349493E6" w14:textId="77777777" w:rsidR="0084618B" w:rsidRPr="00546F21" w:rsidRDefault="0084618B" w:rsidP="00430D6A">
      <w:pPr>
        <w:tabs>
          <w:tab w:val="left" w:pos="720"/>
          <w:tab w:val="left" w:pos="1440"/>
          <w:tab w:val="left" w:pos="2160"/>
          <w:tab w:val="left" w:pos="3600"/>
          <w:tab w:val="right" w:leader="dot" w:pos="9360"/>
        </w:tabs>
        <w:ind w:left="2880" w:hanging="2880"/>
        <w:rPr>
          <w:rFonts w:eastAsia="Times New Roman" w:cs="Times New Roman"/>
          <w:bCs/>
          <w:szCs w:val="24"/>
        </w:rPr>
      </w:pPr>
    </w:p>
    <w:p w14:paraId="42FAABA8" w14:textId="194B750D" w:rsidR="0084618B" w:rsidRPr="00546F21" w:rsidRDefault="0084618B" w:rsidP="00430D6A">
      <w:pPr>
        <w:tabs>
          <w:tab w:val="left" w:pos="720"/>
          <w:tab w:val="left" w:pos="1440"/>
          <w:tab w:val="left" w:pos="2160"/>
          <w:tab w:val="left" w:pos="3600"/>
          <w:tab w:val="right" w:leader="dot" w:pos="9360"/>
        </w:tabs>
        <w:ind w:left="2880" w:hanging="2880"/>
        <w:rPr>
          <w:rFonts w:eastAsia="Times New Roman" w:cs="Times New Roman"/>
          <w:bCs/>
          <w:szCs w:val="24"/>
        </w:rPr>
      </w:pP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t xml:space="preserve">Example 2:  Obsolete plant </w:t>
      </w:r>
      <w:r w:rsidRPr="00546F21">
        <w:rPr>
          <w:rFonts w:eastAsia="Times New Roman" w:cs="Times New Roman"/>
          <w:bCs/>
          <w:szCs w:val="24"/>
        </w:rPr>
        <w:tab/>
      </w:r>
      <w:r w:rsidR="009E1953">
        <w:rPr>
          <w:rFonts w:eastAsia="Times New Roman" w:cs="Times New Roman"/>
          <w:bCs/>
          <w:szCs w:val="24"/>
        </w:rPr>
        <w:t>23</w:t>
      </w:r>
    </w:p>
    <w:p w14:paraId="2598225A" w14:textId="77777777" w:rsidR="0084618B" w:rsidRPr="00546F21" w:rsidRDefault="0084618B" w:rsidP="00430D6A">
      <w:pPr>
        <w:tabs>
          <w:tab w:val="left" w:pos="720"/>
          <w:tab w:val="left" w:pos="1440"/>
          <w:tab w:val="left" w:pos="2160"/>
          <w:tab w:val="left" w:pos="3600"/>
          <w:tab w:val="right" w:leader="dot" w:pos="9360"/>
        </w:tabs>
        <w:ind w:left="2880" w:hanging="2880"/>
        <w:rPr>
          <w:rFonts w:eastAsia="Times New Roman" w:cs="Times New Roman"/>
          <w:bCs/>
          <w:szCs w:val="24"/>
        </w:rPr>
      </w:pPr>
    </w:p>
    <w:p w14:paraId="586A93C3" w14:textId="6F9ADD86" w:rsidR="0084618B" w:rsidRPr="00546F21" w:rsidRDefault="0084618B" w:rsidP="00430D6A">
      <w:pPr>
        <w:tabs>
          <w:tab w:val="left" w:pos="720"/>
          <w:tab w:val="left" w:pos="1440"/>
          <w:tab w:val="left" w:pos="2160"/>
          <w:tab w:val="left" w:pos="3600"/>
          <w:tab w:val="right" w:leader="dot" w:pos="9360"/>
        </w:tabs>
        <w:ind w:left="2880" w:hanging="2880"/>
        <w:rPr>
          <w:rFonts w:eastAsia="Times New Roman" w:cs="Times New Roman"/>
          <w:bCs/>
          <w:szCs w:val="24"/>
        </w:rPr>
      </w:pP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t xml:space="preserve">Example 3:  </w:t>
      </w:r>
      <w:r w:rsidR="00BC17EE">
        <w:rPr>
          <w:rFonts w:eastAsia="Times New Roman" w:cs="Times New Roman"/>
          <w:bCs/>
          <w:szCs w:val="24"/>
        </w:rPr>
        <w:t xml:space="preserve">Extraordinary </w:t>
      </w:r>
      <w:r w:rsidRPr="00546F21">
        <w:rPr>
          <w:rFonts w:eastAsia="Times New Roman" w:cs="Times New Roman"/>
          <w:bCs/>
          <w:szCs w:val="24"/>
        </w:rPr>
        <w:t xml:space="preserve">Storm Damage </w:t>
      </w:r>
      <w:r w:rsidRPr="00546F21">
        <w:rPr>
          <w:rFonts w:eastAsia="Times New Roman" w:cs="Times New Roman"/>
          <w:bCs/>
          <w:szCs w:val="24"/>
        </w:rPr>
        <w:tab/>
      </w:r>
      <w:r w:rsidR="009E1953">
        <w:rPr>
          <w:rFonts w:eastAsia="Times New Roman" w:cs="Times New Roman"/>
          <w:bCs/>
          <w:szCs w:val="24"/>
        </w:rPr>
        <w:t>24</w:t>
      </w:r>
    </w:p>
    <w:p w14:paraId="0BB37B1B" w14:textId="77777777" w:rsidR="0084618B" w:rsidRPr="00546F21" w:rsidRDefault="0084618B" w:rsidP="00430D6A">
      <w:pPr>
        <w:tabs>
          <w:tab w:val="left" w:pos="720"/>
          <w:tab w:val="left" w:pos="1440"/>
          <w:tab w:val="left" w:pos="2160"/>
          <w:tab w:val="left" w:pos="3600"/>
          <w:tab w:val="right" w:leader="dot" w:pos="9360"/>
        </w:tabs>
        <w:ind w:left="2880" w:hanging="2880"/>
        <w:rPr>
          <w:rFonts w:eastAsia="Times New Roman" w:cs="Times New Roman"/>
          <w:bCs/>
          <w:szCs w:val="24"/>
        </w:rPr>
      </w:pPr>
    </w:p>
    <w:p w14:paraId="7F86776C" w14:textId="29397506" w:rsidR="0084618B" w:rsidRPr="00546F21" w:rsidRDefault="0084618B" w:rsidP="00430D6A">
      <w:pPr>
        <w:tabs>
          <w:tab w:val="left" w:pos="720"/>
          <w:tab w:val="left" w:pos="1440"/>
          <w:tab w:val="left" w:pos="2160"/>
          <w:tab w:val="left" w:pos="3600"/>
          <w:tab w:val="right" w:leader="dot" w:pos="9360"/>
        </w:tabs>
        <w:ind w:left="2880" w:hanging="2880"/>
        <w:rPr>
          <w:rFonts w:eastAsia="Times New Roman" w:cs="Times New Roman"/>
          <w:bCs/>
          <w:szCs w:val="24"/>
        </w:rPr>
      </w:pP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t xml:space="preserve">Example 4:  Abandoned Project Capital Losses </w:t>
      </w:r>
      <w:r w:rsidRPr="00546F21">
        <w:rPr>
          <w:rFonts w:eastAsia="Times New Roman" w:cs="Times New Roman"/>
          <w:bCs/>
          <w:szCs w:val="24"/>
        </w:rPr>
        <w:tab/>
      </w:r>
      <w:r w:rsidR="009E1953">
        <w:rPr>
          <w:rFonts w:eastAsia="Times New Roman" w:cs="Times New Roman"/>
          <w:bCs/>
          <w:szCs w:val="24"/>
        </w:rPr>
        <w:t>25</w:t>
      </w:r>
    </w:p>
    <w:p w14:paraId="64A06869" w14:textId="77777777" w:rsidR="0084618B" w:rsidRPr="00546F21" w:rsidRDefault="0084618B" w:rsidP="00430D6A">
      <w:pPr>
        <w:tabs>
          <w:tab w:val="left" w:pos="720"/>
          <w:tab w:val="left" w:pos="1440"/>
          <w:tab w:val="left" w:pos="2160"/>
          <w:tab w:val="left" w:pos="3600"/>
          <w:tab w:val="right" w:leader="dot" w:pos="9360"/>
        </w:tabs>
        <w:ind w:left="2880" w:hanging="2880"/>
        <w:rPr>
          <w:rFonts w:eastAsia="Times New Roman" w:cs="Times New Roman"/>
          <w:bCs/>
          <w:szCs w:val="24"/>
        </w:rPr>
      </w:pPr>
    </w:p>
    <w:p w14:paraId="78D27FD9" w14:textId="52EF069D" w:rsidR="0084618B" w:rsidRPr="00546F21" w:rsidRDefault="0084618B" w:rsidP="00430D6A">
      <w:pPr>
        <w:tabs>
          <w:tab w:val="left" w:pos="720"/>
          <w:tab w:val="left" w:pos="1440"/>
          <w:tab w:val="left" w:pos="2160"/>
          <w:tab w:val="left" w:pos="3600"/>
          <w:tab w:val="right" w:leader="dot" w:pos="9360"/>
        </w:tabs>
        <w:ind w:left="2880" w:hanging="2880"/>
        <w:rPr>
          <w:rFonts w:eastAsia="Times New Roman" w:cs="Times New Roman"/>
          <w:bCs/>
          <w:szCs w:val="24"/>
        </w:rPr>
      </w:pP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t xml:space="preserve">Example 5:  Environmental Remediation </w:t>
      </w:r>
      <w:r w:rsidRPr="00546F21">
        <w:rPr>
          <w:rFonts w:eastAsia="Times New Roman" w:cs="Times New Roman"/>
          <w:bCs/>
          <w:szCs w:val="24"/>
        </w:rPr>
        <w:tab/>
      </w:r>
      <w:r w:rsidR="009E1953">
        <w:rPr>
          <w:rFonts w:eastAsia="Times New Roman" w:cs="Times New Roman"/>
          <w:bCs/>
          <w:szCs w:val="24"/>
        </w:rPr>
        <w:t>27</w:t>
      </w:r>
    </w:p>
    <w:p w14:paraId="41BA5A77" w14:textId="77777777" w:rsidR="00BB65DC" w:rsidRPr="00546F21" w:rsidRDefault="00BB65DC" w:rsidP="00957F0F">
      <w:pPr>
        <w:tabs>
          <w:tab w:val="left" w:pos="720"/>
          <w:tab w:val="left" w:pos="1440"/>
          <w:tab w:val="left" w:pos="2160"/>
          <w:tab w:val="left" w:pos="3600"/>
          <w:tab w:val="right" w:leader="dot" w:pos="9360"/>
        </w:tabs>
        <w:rPr>
          <w:rFonts w:eastAsia="Times New Roman" w:cs="Times New Roman"/>
          <w:bCs/>
          <w:szCs w:val="24"/>
        </w:rPr>
      </w:pPr>
    </w:p>
    <w:p w14:paraId="315CF337" w14:textId="77777777" w:rsidR="009F370E" w:rsidRDefault="008F29F5" w:rsidP="009F370E">
      <w:pPr>
        <w:tabs>
          <w:tab w:val="left" w:pos="720"/>
          <w:tab w:val="left" w:pos="1440"/>
          <w:tab w:val="left" w:pos="2160"/>
          <w:tab w:val="left" w:pos="3600"/>
          <w:tab w:val="right" w:leader="dot" w:pos="9360"/>
        </w:tabs>
        <w:ind w:left="2880" w:hanging="2880"/>
        <w:rPr>
          <w:rFonts w:eastAsia="Times New Roman" w:cs="Times New Roman"/>
          <w:bCs/>
          <w:szCs w:val="24"/>
        </w:rPr>
      </w:pP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r>
      <w:r w:rsidR="00F0396C" w:rsidRPr="00546F21">
        <w:rPr>
          <w:rFonts w:eastAsia="Times New Roman" w:cs="Times New Roman"/>
          <w:bCs/>
          <w:szCs w:val="24"/>
        </w:rPr>
        <w:t>c</w:t>
      </w:r>
      <w:r w:rsidRPr="00546F21">
        <w:rPr>
          <w:rFonts w:eastAsia="Times New Roman" w:cs="Times New Roman"/>
          <w:bCs/>
          <w:szCs w:val="24"/>
        </w:rPr>
        <w:t>.</w:t>
      </w:r>
      <w:r w:rsidRPr="00546F21">
        <w:rPr>
          <w:rFonts w:eastAsia="Times New Roman" w:cs="Times New Roman"/>
          <w:bCs/>
          <w:szCs w:val="24"/>
        </w:rPr>
        <w:tab/>
      </w:r>
      <w:r w:rsidR="00BB65DC" w:rsidRPr="00546F21">
        <w:rPr>
          <w:rFonts w:eastAsia="Times New Roman" w:cs="Times New Roman"/>
          <w:bCs/>
          <w:szCs w:val="24"/>
        </w:rPr>
        <w:t>Conclusion:  Customers Bear the Risk of Ownership Related to PSE’s Utility Property, so They are Entitled</w:t>
      </w:r>
      <w:r w:rsidR="009F370E">
        <w:rPr>
          <w:rFonts w:eastAsia="Times New Roman" w:cs="Times New Roman"/>
          <w:bCs/>
          <w:szCs w:val="24"/>
        </w:rPr>
        <w:t xml:space="preserve"> </w:t>
      </w:r>
      <w:r w:rsidR="00BB65DC" w:rsidRPr="00546F21">
        <w:rPr>
          <w:rFonts w:eastAsia="Times New Roman" w:cs="Times New Roman"/>
          <w:bCs/>
          <w:szCs w:val="24"/>
        </w:rPr>
        <w:t xml:space="preserve">to the Gain </w:t>
      </w:r>
    </w:p>
    <w:p w14:paraId="6D90C96A" w14:textId="79CB93FE" w:rsidR="00BB65DC" w:rsidRPr="00546F21" w:rsidRDefault="009F370E" w:rsidP="009F370E">
      <w:pPr>
        <w:tabs>
          <w:tab w:val="left" w:pos="720"/>
          <w:tab w:val="left" w:pos="1440"/>
          <w:tab w:val="left" w:pos="2160"/>
          <w:tab w:val="left" w:pos="3600"/>
          <w:tab w:val="right" w:leader="dot" w:pos="9360"/>
        </w:tabs>
        <w:ind w:left="2880" w:hanging="2880"/>
        <w:rPr>
          <w:rFonts w:eastAsia="Times New Roman" w:cs="Times New Roman"/>
          <w:bCs/>
          <w:szCs w:val="24"/>
        </w:rPr>
      </w:pPr>
      <w:r>
        <w:rPr>
          <w:rFonts w:eastAsia="Times New Roman" w:cs="Times New Roman"/>
          <w:bCs/>
          <w:szCs w:val="24"/>
        </w:rPr>
        <w:tab/>
      </w:r>
      <w:r>
        <w:rPr>
          <w:rFonts w:eastAsia="Times New Roman" w:cs="Times New Roman"/>
          <w:bCs/>
          <w:szCs w:val="24"/>
        </w:rPr>
        <w:tab/>
      </w:r>
      <w:r>
        <w:rPr>
          <w:rFonts w:eastAsia="Times New Roman" w:cs="Times New Roman"/>
          <w:bCs/>
          <w:szCs w:val="24"/>
        </w:rPr>
        <w:tab/>
      </w:r>
      <w:r>
        <w:rPr>
          <w:rFonts w:eastAsia="Times New Roman" w:cs="Times New Roman"/>
          <w:bCs/>
          <w:szCs w:val="24"/>
        </w:rPr>
        <w:tab/>
      </w:r>
      <w:r w:rsidR="00BB65DC" w:rsidRPr="00546F21">
        <w:rPr>
          <w:rFonts w:eastAsia="Times New Roman" w:cs="Times New Roman"/>
          <w:bCs/>
          <w:szCs w:val="24"/>
        </w:rPr>
        <w:t>on the Sale of PSE’s Jefferson County</w:t>
      </w:r>
      <w:r>
        <w:rPr>
          <w:rFonts w:eastAsia="Times New Roman" w:cs="Times New Roman"/>
          <w:bCs/>
          <w:szCs w:val="24"/>
        </w:rPr>
        <w:t xml:space="preserve"> </w:t>
      </w:r>
      <w:r w:rsidR="00BB65DC" w:rsidRPr="00546F21">
        <w:rPr>
          <w:rFonts w:eastAsia="Times New Roman" w:cs="Times New Roman"/>
          <w:bCs/>
          <w:szCs w:val="24"/>
        </w:rPr>
        <w:t>Distribution System</w:t>
      </w:r>
      <w:r w:rsidR="00BB65DC" w:rsidRPr="00546F21">
        <w:rPr>
          <w:rFonts w:eastAsia="Times New Roman" w:cs="Times New Roman"/>
          <w:bCs/>
          <w:szCs w:val="24"/>
        </w:rPr>
        <w:tab/>
      </w:r>
      <w:r w:rsidR="009E1953">
        <w:rPr>
          <w:rFonts w:eastAsia="Times New Roman" w:cs="Times New Roman"/>
          <w:bCs/>
          <w:szCs w:val="24"/>
        </w:rPr>
        <w:t>28</w:t>
      </w:r>
    </w:p>
    <w:p w14:paraId="668BEA68" w14:textId="77777777" w:rsidR="00BB65DC" w:rsidRPr="00546F21" w:rsidRDefault="00BB65DC" w:rsidP="00BB65DC">
      <w:pPr>
        <w:tabs>
          <w:tab w:val="left" w:pos="720"/>
          <w:tab w:val="left" w:pos="1440"/>
          <w:tab w:val="left" w:pos="2160"/>
          <w:tab w:val="right" w:leader="dot" w:pos="9360"/>
        </w:tabs>
        <w:rPr>
          <w:rFonts w:eastAsia="Times New Roman" w:cs="Times New Roman"/>
          <w:bCs/>
          <w:szCs w:val="24"/>
        </w:rPr>
      </w:pPr>
    </w:p>
    <w:p w14:paraId="20AC7E36" w14:textId="77777777" w:rsidR="00BB65DC" w:rsidRPr="00546F21" w:rsidRDefault="008F29F5" w:rsidP="00BB65DC">
      <w:pPr>
        <w:tabs>
          <w:tab w:val="left" w:pos="720"/>
          <w:tab w:val="left" w:pos="1440"/>
          <w:tab w:val="left" w:pos="2160"/>
          <w:tab w:val="left" w:pos="2880"/>
          <w:tab w:val="right" w:leader="dot" w:pos="9360"/>
        </w:tabs>
        <w:rPr>
          <w:rFonts w:eastAsia="Times New Roman" w:cs="Times New Roman"/>
          <w:bCs/>
          <w:szCs w:val="24"/>
        </w:rPr>
      </w:pPr>
      <w:r w:rsidRPr="00546F21">
        <w:rPr>
          <w:rFonts w:eastAsia="Times New Roman" w:cs="Times New Roman"/>
          <w:bCs/>
          <w:szCs w:val="24"/>
        </w:rPr>
        <w:tab/>
      </w:r>
      <w:r w:rsidRPr="00546F21">
        <w:rPr>
          <w:rFonts w:eastAsia="Times New Roman" w:cs="Times New Roman"/>
          <w:bCs/>
          <w:szCs w:val="24"/>
        </w:rPr>
        <w:tab/>
        <w:t>3.</w:t>
      </w:r>
      <w:r w:rsidRPr="00546F21">
        <w:rPr>
          <w:rFonts w:eastAsia="Times New Roman" w:cs="Times New Roman"/>
          <w:bCs/>
          <w:szCs w:val="24"/>
        </w:rPr>
        <w:tab/>
      </w:r>
      <w:r w:rsidR="00BB65DC" w:rsidRPr="00546F21">
        <w:rPr>
          <w:rFonts w:eastAsia="Times New Roman" w:cs="Times New Roman"/>
          <w:bCs/>
          <w:szCs w:val="24"/>
        </w:rPr>
        <w:t>Giving Customers the Gain on Sale is Also Appropriate Because</w:t>
      </w:r>
    </w:p>
    <w:p w14:paraId="14729CB6" w14:textId="1F15A152" w:rsidR="00BB65DC" w:rsidRPr="00546F21" w:rsidRDefault="00BB65DC" w:rsidP="00BB65DC">
      <w:pPr>
        <w:tabs>
          <w:tab w:val="left" w:pos="720"/>
          <w:tab w:val="left" w:pos="1440"/>
          <w:tab w:val="left" w:pos="2160"/>
          <w:tab w:val="left" w:pos="2880"/>
          <w:tab w:val="right" w:leader="dot" w:pos="9360"/>
        </w:tabs>
        <w:rPr>
          <w:rFonts w:eastAsia="Times New Roman" w:cs="Times New Roman"/>
          <w:bCs/>
          <w:szCs w:val="24"/>
        </w:rPr>
      </w:pP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t>the Transaction Harms Customers</w:t>
      </w:r>
      <w:r w:rsidRPr="00546F21">
        <w:rPr>
          <w:rFonts w:eastAsia="Times New Roman" w:cs="Times New Roman"/>
          <w:bCs/>
          <w:szCs w:val="24"/>
        </w:rPr>
        <w:tab/>
      </w:r>
      <w:r w:rsidR="009E1953">
        <w:rPr>
          <w:rFonts w:eastAsia="Times New Roman" w:cs="Times New Roman"/>
          <w:bCs/>
          <w:szCs w:val="24"/>
        </w:rPr>
        <w:t>29</w:t>
      </w:r>
    </w:p>
    <w:p w14:paraId="0BF2A359" w14:textId="77777777" w:rsidR="00BB65DC" w:rsidRPr="00546F21" w:rsidRDefault="00BB65DC" w:rsidP="00BB65DC">
      <w:pPr>
        <w:tabs>
          <w:tab w:val="left" w:pos="720"/>
          <w:tab w:val="left" w:pos="1440"/>
          <w:tab w:val="left" w:pos="2160"/>
          <w:tab w:val="right" w:leader="dot" w:pos="9360"/>
        </w:tabs>
        <w:rPr>
          <w:rFonts w:eastAsia="Times New Roman" w:cs="Times New Roman"/>
          <w:bCs/>
          <w:szCs w:val="24"/>
        </w:rPr>
      </w:pPr>
    </w:p>
    <w:p w14:paraId="76714DC4" w14:textId="77777777" w:rsidR="00BB65DC" w:rsidRPr="00546F21" w:rsidRDefault="00BB65DC" w:rsidP="00BB65DC">
      <w:pPr>
        <w:tabs>
          <w:tab w:val="left" w:pos="720"/>
          <w:tab w:val="left" w:pos="1440"/>
          <w:tab w:val="left" w:pos="2160"/>
          <w:tab w:val="left" w:pos="2880"/>
          <w:tab w:val="left" w:pos="3600"/>
          <w:tab w:val="right" w:leader="dot" w:pos="9360"/>
        </w:tabs>
        <w:rPr>
          <w:rFonts w:eastAsia="Times New Roman" w:cs="Times New Roman"/>
          <w:bCs/>
          <w:szCs w:val="24"/>
        </w:rPr>
      </w:pP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r>
      <w:r w:rsidR="008F29F5" w:rsidRPr="00546F21">
        <w:rPr>
          <w:rFonts w:eastAsia="Times New Roman" w:cs="Times New Roman"/>
          <w:bCs/>
          <w:szCs w:val="24"/>
        </w:rPr>
        <w:t>a.</w:t>
      </w:r>
      <w:r w:rsidRPr="00546F21">
        <w:rPr>
          <w:rFonts w:eastAsia="Times New Roman" w:cs="Times New Roman"/>
          <w:bCs/>
          <w:szCs w:val="24"/>
        </w:rPr>
        <w:tab/>
        <w:t>PSE’s Contention that Jefferson County Ratepayers</w:t>
      </w:r>
    </w:p>
    <w:p w14:paraId="73C1607F" w14:textId="77777777" w:rsidR="00BB65DC" w:rsidRPr="00546F21" w:rsidRDefault="00BB65DC" w:rsidP="00BB65DC">
      <w:pPr>
        <w:tabs>
          <w:tab w:val="left" w:pos="720"/>
          <w:tab w:val="left" w:pos="1440"/>
          <w:tab w:val="left" w:pos="2160"/>
          <w:tab w:val="left" w:pos="2880"/>
          <w:tab w:val="left" w:pos="3600"/>
          <w:tab w:val="right" w:leader="dot" w:pos="9360"/>
        </w:tabs>
        <w:rPr>
          <w:rFonts w:eastAsia="Times New Roman" w:cs="Times New Roman"/>
          <w:bCs/>
          <w:szCs w:val="24"/>
        </w:rPr>
      </w:pP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t>Paid their cost of Service is Contradicted by the Fact</w:t>
      </w:r>
    </w:p>
    <w:p w14:paraId="5C9FD18F" w14:textId="77777777" w:rsidR="00BB65DC" w:rsidRPr="00546F21" w:rsidRDefault="00BB65DC" w:rsidP="00BB65DC">
      <w:pPr>
        <w:tabs>
          <w:tab w:val="left" w:pos="720"/>
          <w:tab w:val="left" w:pos="1440"/>
          <w:tab w:val="left" w:pos="2160"/>
          <w:tab w:val="left" w:pos="2880"/>
          <w:tab w:val="left" w:pos="3600"/>
          <w:tab w:val="right" w:leader="dot" w:pos="9360"/>
        </w:tabs>
        <w:rPr>
          <w:rFonts w:eastAsia="Times New Roman" w:cs="Times New Roman"/>
          <w:bCs/>
          <w:szCs w:val="24"/>
        </w:rPr>
      </w:pP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t>that the Commission Sets Uniform Rates, and Jefferson</w:t>
      </w:r>
    </w:p>
    <w:p w14:paraId="7A374AAA" w14:textId="0AEF470B" w:rsidR="00BB65DC" w:rsidRPr="00546F21" w:rsidRDefault="00BB65DC" w:rsidP="00BB65DC">
      <w:pPr>
        <w:tabs>
          <w:tab w:val="left" w:pos="720"/>
          <w:tab w:val="left" w:pos="1440"/>
          <w:tab w:val="left" w:pos="2160"/>
          <w:tab w:val="left" w:pos="2880"/>
          <w:tab w:val="left" w:pos="3600"/>
          <w:tab w:val="right" w:leader="dot" w:pos="9360"/>
        </w:tabs>
        <w:rPr>
          <w:rFonts w:eastAsia="Times New Roman" w:cs="Times New Roman"/>
          <w:bCs/>
          <w:szCs w:val="24"/>
        </w:rPr>
      </w:pP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t>County was a “High Cost” Area</w:t>
      </w:r>
      <w:r w:rsidRPr="00546F21">
        <w:rPr>
          <w:rFonts w:eastAsia="Times New Roman" w:cs="Times New Roman"/>
          <w:bCs/>
          <w:szCs w:val="24"/>
        </w:rPr>
        <w:tab/>
      </w:r>
      <w:r w:rsidR="009E1953">
        <w:rPr>
          <w:rFonts w:eastAsia="Times New Roman" w:cs="Times New Roman"/>
          <w:bCs/>
          <w:szCs w:val="24"/>
        </w:rPr>
        <w:t>30</w:t>
      </w:r>
    </w:p>
    <w:p w14:paraId="3638554B" w14:textId="77777777" w:rsidR="00BB65DC" w:rsidRPr="00546F21" w:rsidRDefault="00BB65DC" w:rsidP="00BB65DC">
      <w:pPr>
        <w:tabs>
          <w:tab w:val="left" w:pos="720"/>
          <w:tab w:val="left" w:pos="1440"/>
          <w:tab w:val="left" w:pos="2160"/>
          <w:tab w:val="left" w:pos="2880"/>
          <w:tab w:val="left" w:pos="3600"/>
          <w:tab w:val="right" w:leader="dot" w:pos="9360"/>
        </w:tabs>
        <w:rPr>
          <w:rFonts w:eastAsia="Times New Roman" w:cs="Times New Roman"/>
          <w:bCs/>
          <w:szCs w:val="24"/>
        </w:rPr>
      </w:pPr>
    </w:p>
    <w:p w14:paraId="2A2CE9B3" w14:textId="77777777" w:rsidR="00BB65DC" w:rsidRPr="00546F21" w:rsidRDefault="00BB65DC" w:rsidP="00BB65DC">
      <w:pPr>
        <w:tabs>
          <w:tab w:val="left" w:pos="720"/>
          <w:tab w:val="left" w:pos="1440"/>
          <w:tab w:val="left" w:pos="2160"/>
          <w:tab w:val="left" w:pos="2880"/>
          <w:tab w:val="left" w:pos="3600"/>
          <w:tab w:val="right" w:leader="dot" w:pos="9360"/>
        </w:tabs>
        <w:rPr>
          <w:rFonts w:eastAsia="Times New Roman" w:cs="Times New Roman"/>
          <w:bCs/>
          <w:szCs w:val="24"/>
        </w:rPr>
      </w:pPr>
      <w:r w:rsidRPr="00546F21">
        <w:rPr>
          <w:rFonts w:eastAsia="Times New Roman" w:cs="Times New Roman"/>
          <w:bCs/>
          <w:szCs w:val="24"/>
        </w:rPr>
        <w:tab/>
      </w:r>
      <w:r w:rsidRPr="00546F21">
        <w:rPr>
          <w:rFonts w:eastAsia="Times New Roman" w:cs="Times New Roman"/>
          <w:bCs/>
          <w:szCs w:val="24"/>
        </w:rPr>
        <w:tab/>
      </w:r>
      <w:r w:rsidRPr="00546F21">
        <w:rPr>
          <w:rFonts w:eastAsia="Times New Roman" w:cs="Times New Roman"/>
          <w:bCs/>
          <w:szCs w:val="24"/>
        </w:rPr>
        <w:tab/>
      </w:r>
      <w:r w:rsidR="008F29F5" w:rsidRPr="00546F21">
        <w:rPr>
          <w:rFonts w:eastAsia="Times New Roman" w:cs="Times New Roman"/>
          <w:bCs/>
          <w:szCs w:val="24"/>
        </w:rPr>
        <w:t>b.</w:t>
      </w:r>
      <w:r w:rsidRPr="00546F21">
        <w:rPr>
          <w:rFonts w:eastAsia="Times New Roman" w:cs="Times New Roman"/>
          <w:bCs/>
          <w:szCs w:val="24"/>
        </w:rPr>
        <w:t>.</w:t>
      </w:r>
      <w:r w:rsidRPr="00546F21">
        <w:rPr>
          <w:rFonts w:eastAsia="Times New Roman" w:cs="Times New Roman"/>
          <w:bCs/>
          <w:szCs w:val="24"/>
        </w:rPr>
        <w:tab/>
        <w:t>PSE’s Critique of Staff’s Harm to Customers Analysis</w:t>
      </w:r>
    </w:p>
    <w:p w14:paraId="584017E8" w14:textId="77777777" w:rsidR="009F370E" w:rsidRDefault="00BB65DC" w:rsidP="009F370E">
      <w:pPr>
        <w:tabs>
          <w:tab w:val="left" w:pos="720"/>
          <w:tab w:val="left" w:pos="1440"/>
          <w:tab w:val="left" w:pos="2160"/>
          <w:tab w:val="left" w:pos="2880"/>
          <w:tab w:val="left" w:pos="3600"/>
          <w:tab w:val="right" w:leader="dot" w:pos="9360"/>
        </w:tabs>
        <w:ind w:left="1440"/>
        <w:rPr>
          <w:rFonts w:eastAsia="Times New Roman" w:cs="Times New Roman"/>
          <w:bCs/>
          <w:szCs w:val="24"/>
        </w:rPr>
      </w:pPr>
      <w:r w:rsidRPr="00546F21">
        <w:rPr>
          <w:rFonts w:eastAsia="Times New Roman" w:cs="Times New Roman"/>
          <w:bCs/>
          <w:szCs w:val="24"/>
        </w:rPr>
        <w:tab/>
      </w:r>
      <w:r w:rsidRPr="00546F21">
        <w:rPr>
          <w:rFonts w:eastAsia="Times New Roman" w:cs="Times New Roman"/>
          <w:bCs/>
          <w:szCs w:val="24"/>
        </w:rPr>
        <w:tab/>
      </w:r>
      <w:r w:rsidR="00B76C50" w:rsidRPr="00546F21">
        <w:rPr>
          <w:rFonts w:eastAsia="Times New Roman" w:cs="Times New Roman"/>
          <w:bCs/>
          <w:szCs w:val="24"/>
        </w:rPr>
        <w:t xml:space="preserve">Once Again </w:t>
      </w:r>
      <w:r w:rsidRPr="00546F21">
        <w:rPr>
          <w:rFonts w:eastAsia="Times New Roman" w:cs="Times New Roman"/>
          <w:bCs/>
          <w:szCs w:val="24"/>
        </w:rPr>
        <w:t>Contradicts PSE</w:t>
      </w:r>
      <w:r w:rsidR="00694C2A" w:rsidRPr="00546F21">
        <w:rPr>
          <w:rFonts w:eastAsia="Times New Roman" w:cs="Times New Roman"/>
          <w:bCs/>
          <w:szCs w:val="24"/>
        </w:rPr>
        <w:t>’s Testimony</w:t>
      </w:r>
      <w:r w:rsidR="009F370E">
        <w:rPr>
          <w:rFonts w:eastAsia="Times New Roman" w:cs="Times New Roman"/>
          <w:bCs/>
          <w:szCs w:val="24"/>
        </w:rPr>
        <w:t xml:space="preserve"> </w:t>
      </w:r>
      <w:r w:rsidRPr="00546F21">
        <w:rPr>
          <w:rFonts w:eastAsia="Times New Roman" w:cs="Times New Roman"/>
          <w:bCs/>
          <w:szCs w:val="24"/>
        </w:rPr>
        <w:t xml:space="preserve">in the </w:t>
      </w:r>
    </w:p>
    <w:p w14:paraId="77E62923" w14:textId="62CC1F3D" w:rsidR="00BB65DC" w:rsidRPr="00546F21" w:rsidRDefault="009F370E" w:rsidP="009F370E">
      <w:pPr>
        <w:tabs>
          <w:tab w:val="left" w:pos="720"/>
          <w:tab w:val="left" w:pos="1440"/>
          <w:tab w:val="left" w:pos="2160"/>
          <w:tab w:val="left" w:pos="2880"/>
          <w:tab w:val="left" w:pos="3600"/>
          <w:tab w:val="right" w:leader="dot" w:pos="9360"/>
        </w:tabs>
        <w:ind w:left="1440"/>
        <w:rPr>
          <w:rFonts w:eastAsia="Times New Roman" w:cs="Times New Roman"/>
          <w:bCs/>
          <w:szCs w:val="24"/>
        </w:rPr>
      </w:pPr>
      <w:r>
        <w:rPr>
          <w:rFonts w:eastAsia="Times New Roman" w:cs="Times New Roman"/>
          <w:bCs/>
          <w:szCs w:val="24"/>
        </w:rPr>
        <w:tab/>
      </w:r>
      <w:r>
        <w:rPr>
          <w:rFonts w:eastAsia="Times New Roman" w:cs="Times New Roman"/>
          <w:bCs/>
          <w:szCs w:val="24"/>
        </w:rPr>
        <w:tab/>
      </w:r>
      <w:r w:rsidR="00BB65DC" w:rsidRPr="00546F21">
        <w:rPr>
          <w:rFonts w:eastAsia="Times New Roman" w:cs="Times New Roman"/>
          <w:bCs/>
          <w:i/>
          <w:szCs w:val="24"/>
        </w:rPr>
        <w:t>Centralia Case</w:t>
      </w:r>
      <w:r w:rsidR="00BB65DC" w:rsidRPr="00546F21">
        <w:rPr>
          <w:rFonts w:eastAsia="Times New Roman" w:cs="Times New Roman"/>
          <w:bCs/>
          <w:szCs w:val="24"/>
        </w:rPr>
        <w:tab/>
      </w:r>
      <w:r w:rsidR="009E1953">
        <w:rPr>
          <w:rFonts w:eastAsia="Times New Roman" w:cs="Times New Roman"/>
          <w:bCs/>
          <w:szCs w:val="24"/>
        </w:rPr>
        <w:t>31</w:t>
      </w:r>
    </w:p>
    <w:p w14:paraId="53C51D19" w14:textId="77777777" w:rsidR="00BB65DC" w:rsidRPr="00546F21" w:rsidRDefault="00BB65DC" w:rsidP="00BB65DC">
      <w:pPr>
        <w:tabs>
          <w:tab w:val="left" w:pos="720"/>
          <w:tab w:val="left" w:pos="1440"/>
          <w:tab w:val="left" w:pos="2160"/>
          <w:tab w:val="right" w:leader="dot" w:pos="9360"/>
        </w:tabs>
        <w:rPr>
          <w:rFonts w:eastAsia="Times New Roman" w:cs="Times New Roman"/>
          <w:bCs/>
          <w:szCs w:val="24"/>
        </w:rPr>
      </w:pPr>
    </w:p>
    <w:p w14:paraId="4BFA2BD0" w14:textId="356460FD" w:rsidR="008F29F5" w:rsidRDefault="008F29F5" w:rsidP="008F29F5">
      <w:pPr>
        <w:tabs>
          <w:tab w:val="left" w:pos="720"/>
          <w:tab w:val="left" w:pos="1440"/>
          <w:tab w:val="left" w:pos="2160"/>
          <w:tab w:val="right" w:leader="dot" w:pos="9360"/>
        </w:tabs>
        <w:rPr>
          <w:rFonts w:cs="Times New Roman"/>
          <w:szCs w:val="24"/>
        </w:rPr>
      </w:pPr>
      <w:r w:rsidRPr="00546F21">
        <w:rPr>
          <w:rFonts w:eastAsia="Times New Roman" w:cs="Times New Roman"/>
          <w:bCs/>
          <w:szCs w:val="24"/>
        </w:rPr>
        <w:tab/>
      </w:r>
      <w:r w:rsidR="00B76C50" w:rsidRPr="00546F21">
        <w:rPr>
          <w:rFonts w:eastAsia="Times New Roman" w:cs="Times New Roman"/>
          <w:bCs/>
          <w:szCs w:val="24"/>
        </w:rPr>
        <w:t>D</w:t>
      </w:r>
      <w:r w:rsidRPr="00546F21">
        <w:rPr>
          <w:rFonts w:cs="Times New Roman"/>
          <w:szCs w:val="24"/>
        </w:rPr>
        <w:t>.</w:t>
      </w:r>
      <w:r w:rsidRPr="00546F21">
        <w:rPr>
          <w:rFonts w:cs="Times New Roman"/>
          <w:szCs w:val="24"/>
        </w:rPr>
        <w:tab/>
        <w:t xml:space="preserve">Allocation of Sales Proceeds Between Shareholders and Customers </w:t>
      </w:r>
      <w:r w:rsidR="00E16C42" w:rsidRPr="00546F21">
        <w:rPr>
          <w:rFonts w:cs="Times New Roman"/>
          <w:szCs w:val="24"/>
        </w:rPr>
        <w:tab/>
      </w:r>
      <w:r w:rsidR="009E1953">
        <w:rPr>
          <w:rFonts w:cs="Times New Roman"/>
          <w:szCs w:val="24"/>
        </w:rPr>
        <w:t>32</w:t>
      </w:r>
    </w:p>
    <w:p w14:paraId="73B9AE65" w14:textId="77777777" w:rsidR="009E1953" w:rsidRDefault="009E1953" w:rsidP="008F29F5">
      <w:pPr>
        <w:tabs>
          <w:tab w:val="left" w:pos="720"/>
          <w:tab w:val="left" w:pos="1440"/>
          <w:tab w:val="left" w:pos="2160"/>
          <w:tab w:val="right" w:leader="dot" w:pos="9360"/>
        </w:tabs>
        <w:rPr>
          <w:rFonts w:cs="Times New Roman"/>
          <w:szCs w:val="24"/>
        </w:rPr>
      </w:pPr>
    </w:p>
    <w:p w14:paraId="6D4C30B5" w14:textId="6C9C3038" w:rsidR="009E1953" w:rsidRDefault="009E1953" w:rsidP="008F29F5">
      <w:pPr>
        <w:tabs>
          <w:tab w:val="left" w:pos="720"/>
          <w:tab w:val="left" w:pos="1440"/>
          <w:tab w:val="left" w:pos="2160"/>
          <w:tab w:val="right" w:leader="dot" w:pos="9360"/>
        </w:tabs>
        <w:rPr>
          <w:rFonts w:cs="Times New Roman"/>
          <w:szCs w:val="24"/>
        </w:rPr>
      </w:pPr>
      <w:r>
        <w:rPr>
          <w:rFonts w:cs="Times New Roman"/>
          <w:szCs w:val="24"/>
        </w:rPr>
        <w:tab/>
      </w:r>
      <w:r>
        <w:rPr>
          <w:rFonts w:cs="Times New Roman"/>
          <w:szCs w:val="24"/>
        </w:rPr>
        <w:tab/>
      </w:r>
      <w:r w:rsidRPr="00546F21">
        <w:rPr>
          <w:rFonts w:cs="Times New Roman"/>
          <w:szCs w:val="24"/>
        </w:rPr>
        <w:t>1.</w:t>
      </w:r>
      <w:r w:rsidRPr="00546F21">
        <w:rPr>
          <w:rFonts w:cs="Times New Roman"/>
          <w:szCs w:val="24"/>
        </w:rPr>
        <w:tab/>
        <w:t>Proven Transaction Costs are $2,404,643</w:t>
      </w:r>
      <w:r>
        <w:rPr>
          <w:rFonts w:cs="Times New Roman"/>
          <w:szCs w:val="24"/>
        </w:rPr>
        <w:t xml:space="preserve"> </w:t>
      </w:r>
      <w:r>
        <w:rPr>
          <w:rFonts w:cs="Times New Roman"/>
          <w:szCs w:val="24"/>
        </w:rPr>
        <w:tab/>
        <w:t>33</w:t>
      </w:r>
    </w:p>
    <w:p w14:paraId="1BA0384A" w14:textId="77777777" w:rsidR="009E1953" w:rsidRDefault="009E1953" w:rsidP="008F29F5">
      <w:pPr>
        <w:tabs>
          <w:tab w:val="left" w:pos="720"/>
          <w:tab w:val="left" w:pos="1440"/>
          <w:tab w:val="left" w:pos="2160"/>
          <w:tab w:val="right" w:leader="dot" w:pos="9360"/>
        </w:tabs>
        <w:rPr>
          <w:rFonts w:cs="Times New Roman"/>
          <w:szCs w:val="24"/>
        </w:rPr>
      </w:pPr>
    </w:p>
    <w:p w14:paraId="3CBF4DDE" w14:textId="77777777" w:rsidR="009E1953" w:rsidRDefault="009E1953" w:rsidP="008F29F5">
      <w:pPr>
        <w:tabs>
          <w:tab w:val="left" w:pos="720"/>
          <w:tab w:val="left" w:pos="1440"/>
          <w:tab w:val="left" w:pos="2160"/>
          <w:tab w:val="right" w:leader="dot" w:pos="9360"/>
        </w:tabs>
        <w:rPr>
          <w:rFonts w:cs="Times New Roman"/>
          <w:szCs w:val="24"/>
        </w:rPr>
      </w:pPr>
      <w:r>
        <w:rPr>
          <w:rFonts w:cs="Times New Roman"/>
          <w:szCs w:val="24"/>
        </w:rPr>
        <w:tab/>
      </w:r>
      <w:r>
        <w:rPr>
          <w:rFonts w:cs="Times New Roman"/>
          <w:szCs w:val="24"/>
        </w:rPr>
        <w:tab/>
      </w:r>
      <w:r w:rsidRPr="00546F21">
        <w:rPr>
          <w:rFonts w:cs="Times New Roman"/>
          <w:szCs w:val="24"/>
        </w:rPr>
        <w:t>2.</w:t>
      </w:r>
      <w:r w:rsidRPr="00546F21">
        <w:rPr>
          <w:rFonts w:cs="Times New Roman"/>
          <w:szCs w:val="24"/>
        </w:rPr>
        <w:tab/>
        <w:t xml:space="preserve">Using the Allocation Formula From the </w:t>
      </w:r>
      <w:r w:rsidRPr="00546F21">
        <w:rPr>
          <w:rFonts w:cs="Times New Roman"/>
          <w:i/>
          <w:szCs w:val="24"/>
        </w:rPr>
        <w:t>Centralia Case</w:t>
      </w:r>
      <w:r w:rsidRPr="00546F21">
        <w:rPr>
          <w:rFonts w:cs="Times New Roman"/>
          <w:szCs w:val="24"/>
        </w:rPr>
        <w:t xml:space="preserve">, </w:t>
      </w:r>
    </w:p>
    <w:p w14:paraId="74CD610B" w14:textId="77777777" w:rsidR="009E1953" w:rsidRDefault="009E1953" w:rsidP="008F29F5">
      <w:pPr>
        <w:tabs>
          <w:tab w:val="left" w:pos="720"/>
          <w:tab w:val="left" w:pos="1440"/>
          <w:tab w:val="left" w:pos="2160"/>
          <w:tab w:val="right" w:leader="dot" w:pos="9360"/>
        </w:tabs>
        <w:rPr>
          <w:rFonts w:cs="Times New Roman"/>
          <w:szCs w:val="24"/>
        </w:rPr>
      </w:pPr>
      <w:r>
        <w:rPr>
          <w:rFonts w:cs="Times New Roman"/>
          <w:szCs w:val="24"/>
        </w:rPr>
        <w:tab/>
      </w:r>
      <w:r>
        <w:rPr>
          <w:rFonts w:cs="Times New Roman"/>
          <w:szCs w:val="24"/>
        </w:rPr>
        <w:tab/>
      </w:r>
      <w:r>
        <w:rPr>
          <w:rFonts w:cs="Times New Roman"/>
          <w:szCs w:val="24"/>
        </w:rPr>
        <w:tab/>
      </w:r>
      <w:r w:rsidRPr="00546F21">
        <w:rPr>
          <w:rFonts w:cs="Times New Roman"/>
          <w:szCs w:val="24"/>
        </w:rPr>
        <w:t>Staff Ascribed to Ratepayers $29,938,735, Which is Equal</w:t>
      </w:r>
    </w:p>
    <w:p w14:paraId="47266334" w14:textId="6F1E5FBC" w:rsidR="009E1953" w:rsidRPr="00546F21" w:rsidRDefault="009E1953" w:rsidP="008F29F5">
      <w:pPr>
        <w:tabs>
          <w:tab w:val="left" w:pos="720"/>
          <w:tab w:val="left" w:pos="1440"/>
          <w:tab w:val="left" w:pos="2160"/>
          <w:tab w:val="right" w:leader="dot" w:pos="9360"/>
        </w:tabs>
        <w:rPr>
          <w:rFonts w:cs="Times New Roman"/>
          <w:szCs w:val="24"/>
        </w:rPr>
      </w:pPr>
      <w:r>
        <w:rPr>
          <w:rFonts w:cs="Times New Roman"/>
          <w:szCs w:val="24"/>
        </w:rPr>
        <w:tab/>
      </w:r>
      <w:r>
        <w:rPr>
          <w:rFonts w:cs="Times New Roman"/>
          <w:szCs w:val="24"/>
        </w:rPr>
        <w:tab/>
      </w:r>
      <w:r>
        <w:rPr>
          <w:rFonts w:cs="Times New Roman"/>
          <w:szCs w:val="24"/>
        </w:rPr>
        <w:tab/>
      </w:r>
      <w:r w:rsidRPr="00546F21">
        <w:rPr>
          <w:rFonts w:cs="Times New Roman"/>
          <w:szCs w:val="24"/>
        </w:rPr>
        <w:t>to the Accumulated Depreciation of the Sold Assets</w:t>
      </w:r>
      <w:r>
        <w:rPr>
          <w:rFonts w:cs="Times New Roman"/>
          <w:szCs w:val="24"/>
        </w:rPr>
        <w:t xml:space="preserve"> </w:t>
      </w:r>
      <w:r>
        <w:rPr>
          <w:rFonts w:cs="Times New Roman"/>
          <w:szCs w:val="24"/>
        </w:rPr>
        <w:tab/>
        <w:t>33</w:t>
      </w:r>
    </w:p>
    <w:p w14:paraId="576F9B56" w14:textId="77777777" w:rsidR="008F29F5" w:rsidRPr="00546F21" w:rsidRDefault="008F29F5" w:rsidP="008F29F5">
      <w:pPr>
        <w:tabs>
          <w:tab w:val="left" w:pos="720"/>
          <w:tab w:val="left" w:pos="1440"/>
          <w:tab w:val="left" w:pos="2160"/>
          <w:tab w:val="right" w:leader="dot" w:pos="9360"/>
        </w:tabs>
        <w:rPr>
          <w:rFonts w:cs="Times New Roman"/>
          <w:szCs w:val="24"/>
        </w:rPr>
      </w:pPr>
    </w:p>
    <w:p w14:paraId="33F92C37" w14:textId="1564B5EC" w:rsidR="008F29F5" w:rsidRPr="00546F21" w:rsidRDefault="008F29F5" w:rsidP="008F29F5">
      <w:pPr>
        <w:tabs>
          <w:tab w:val="left" w:pos="720"/>
          <w:tab w:val="left" w:pos="1440"/>
          <w:tab w:val="left" w:pos="2160"/>
          <w:tab w:val="right" w:leader="dot" w:pos="9360"/>
        </w:tabs>
        <w:rPr>
          <w:rFonts w:cs="Times New Roman"/>
          <w:szCs w:val="24"/>
        </w:rPr>
      </w:pPr>
      <w:r w:rsidRPr="00546F21">
        <w:rPr>
          <w:rFonts w:cs="Times New Roman"/>
          <w:szCs w:val="24"/>
        </w:rPr>
        <w:tab/>
      </w:r>
      <w:r w:rsidRPr="00546F21">
        <w:rPr>
          <w:rFonts w:cs="Times New Roman"/>
          <w:szCs w:val="24"/>
        </w:rPr>
        <w:tab/>
        <w:t>3.</w:t>
      </w:r>
      <w:r w:rsidRPr="00546F21">
        <w:rPr>
          <w:rFonts w:cs="Times New Roman"/>
          <w:szCs w:val="24"/>
        </w:rPr>
        <w:tab/>
        <w:t>PSE Should be Allocated an Incentive Amount of $7,</w:t>
      </w:r>
      <w:r w:rsidR="003F7CFC" w:rsidRPr="00546F21">
        <w:rPr>
          <w:rFonts w:cs="Times New Roman"/>
          <w:szCs w:val="24"/>
        </w:rPr>
        <w:t>481,394</w:t>
      </w:r>
      <w:r w:rsidR="00E16C42" w:rsidRPr="00546F21">
        <w:rPr>
          <w:rFonts w:cs="Times New Roman"/>
          <w:szCs w:val="24"/>
        </w:rPr>
        <w:t xml:space="preserve"> </w:t>
      </w:r>
      <w:r w:rsidR="00E16C42" w:rsidRPr="00546F21">
        <w:rPr>
          <w:rFonts w:cs="Times New Roman"/>
          <w:szCs w:val="24"/>
        </w:rPr>
        <w:tab/>
      </w:r>
      <w:r w:rsidR="009E1953">
        <w:rPr>
          <w:rFonts w:cs="Times New Roman"/>
          <w:szCs w:val="24"/>
        </w:rPr>
        <w:t>35</w:t>
      </w:r>
    </w:p>
    <w:p w14:paraId="79220C8C" w14:textId="77777777" w:rsidR="008F29F5" w:rsidRPr="00546F21" w:rsidRDefault="008F29F5" w:rsidP="00BB65DC">
      <w:pPr>
        <w:tabs>
          <w:tab w:val="left" w:pos="720"/>
          <w:tab w:val="left" w:pos="1440"/>
          <w:tab w:val="left" w:pos="2160"/>
          <w:tab w:val="right" w:leader="dot" w:pos="9360"/>
        </w:tabs>
        <w:rPr>
          <w:rFonts w:cs="Times New Roman"/>
          <w:szCs w:val="24"/>
        </w:rPr>
      </w:pPr>
    </w:p>
    <w:p w14:paraId="5183CB46" w14:textId="77777777" w:rsidR="009E1953" w:rsidRDefault="009E1953" w:rsidP="00BB65DC">
      <w:pPr>
        <w:tabs>
          <w:tab w:val="left" w:pos="720"/>
          <w:tab w:val="left" w:pos="1440"/>
          <w:tab w:val="left" w:pos="2160"/>
          <w:tab w:val="right" w:leader="dot" w:pos="9360"/>
        </w:tabs>
        <w:rPr>
          <w:rFonts w:cs="Times New Roman"/>
          <w:szCs w:val="24"/>
        </w:rPr>
      </w:pPr>
    </w:p>
    <w:p w14:paraId="2CDD9AD7" w14:textId="77777777" w:rsidR="009E1953" w:rsidRDefault="009E1953">
      <w:pPr>
        <w:rPr>
          <w:rFonts w:cs="Times New Roman"/>
          <w:szCs w:val="24"/>
        </w:rPr>
      </w:pPr>
      <w:r>
        <w:rPr>
          <w:rFonts w:cs="Times New Roman"/>
          <w:szCs w:val="24"/>
        </w:rPr>
        <w:br w:type="page"/>
      </w:r>
    </w:p>
    <w:p w14:paraId="2A485D82" w14:textId="481A1D29" w:rsidR="006C63F8" w:rsidRDefault="008F29F5" w:rsidP="00BB65DC">
      <w:pPr>
        <w:tabs>
          <w:tab w:val="left" w:pos="720"/>
          <w:tab w:val="left" w:pos="1440"/>
          <w:tab w:val="left" w:pos="2160"/>
          <w:tab w:val="right" w:leader="dot" w:pos="9360"/>
        </w:tabs>
        <w:rPr>
          <w:rFonts w:cs="Times New Roman"/>
          <w:szCs w:val="24"/>
        </w:rPr>
      </w:pPr>
      <w:r w:rsidRPr="00546F21">
        <w:rPr>
          <w:rFonts w:cs="Times New Roman"/>
          <w:szCs w:val="24"/>
        </w:rPr>
        <w:lastRenderedPageBreak/>
        <w:tab/>
      </w:r>
      <w:r w:rsidR="00B76C50" w:rsidRPr="00546F21">
        <w:rPr>
          <w:rFonts w:cs="Times New Roman"/>
          <w:szCs w:val="24"/>
        </w:rPr>
        <w:t>E</w:t>
      </w:r>
      <w:r w:rsidRPr="00546F21">
        <w:rPr>
          <w:rFonts w:cs="Times New Roman"/>
          <w:szCs w:val="24"/>
        </w:rPr>
        <w:t>.</w:t>
      </w:r>
      <w:r w:rsidRPr="00546F21">
        <w:rPr>
          <w:rFonts w:cs="Times New Roman"/>
          <w:szCs w:val="24"/>
        </w:rPr>
        <w:tab/>
      </w:r>
      <w:r w:rsidR="006C63F8" w:rsidRPr="00546F21">
        <w:rPr>
          <w:rFonts w:cs="Times New Roman"/>
          <w:szCs w:val="24"/>
        </w:rPr>
        <w:t>Tariff Mechanics for Distributing Sales Proceeds to Customers</w:t>
      </w:r>
      <w:r w:rsidR="00E16C42" w:rsidRPr="00546F21">
        <w:rPr>
          <w:rFonts w:cs="Times New Roman"/>
          <w:szCs w:val="24"/>
        </w:rPr>
        <w:t xml:space="preserve"> </w:t>
      </w:r>
      <w:r w:rsidR="00E16C42" w:rsidRPr="00546F21">
        <w:rPr>
          <w:rFonts w:cs="Times New Roman"/>
          <w:szCs w:val="24"/>
        </w:rPr>
        <w:tab/>
      </w:r>
      <w:r w:rsidR="009E1953">
        <w:rPr>
          <w:rFonts w:cs="Times New Roman"/>
          <w:szCs w:val="24"/>
        </w:rPr>
        <w:t>36</w:t>
      </w:r>
    </w:p>
    <w:p w14:paraId="6890F0CF" w14:textId="77777777" w:rsidR="009E1953" w:rsidRPr="00546F21" w:rsidRDefault="009E1953" w:rsidP="00BB65DC">
      <w:pPr>
        <w:tabs>
          <w:tab w:val="left" w:pos="720"/>
          <w:tab w:val="left" w:pos="1440"/>
          <w:tab w:val="left" w:pos="2160"/>
          <w:tab w:val="right" w:leader="dot" w:pos="9360"/>
        </w:tabs>
        <w:rPr>
          <w:rFonts w:cs="Times New Roman"/>
          <w:szCs w:val="24"/>
        </w:rPr>
      </w:pPr>
    </w:p>
    <w:p w14:paraId="41822AE7" w14:textId="7AD11114" w:rsidR="006C63F8" w:rsidRPr="00546F21" w:rsidRDefault="006A0D58" w:rsidP="006A0D58">
      <w:pPr>
        <w:tabs>
          <w:tab w:val="left" w:pos="720"/>
          <w:tab w:val="left" w:pos="1440"/>
          <w:tab w:val="left" w:pos="2160"/>
          <w:tab w:val="right" w:leader="dot" w:pos="9360"/>
        </w:tabs>
        <w:ind w:left="720" w:firstLine="720"/>
        <w:rPr>
          <w:rFonts w:cs="Times New Roman"/>
          <w:szCs w:val="24"/>
        </w:rPr>
      </w:pPr>
      <w:r w:rsidRPr="00546F21">
        <w:rPr>
          <w:rFonts w:cs="Times New Roman"/>
          <w:szCs w:val="24"/>
        </w:rPr>
        <w:t>1.</w:t>
      </w:r>
      <w:r w:rsidRPr="00546F21">
        <w:rPr>
          <w:rFonts w:cs="Times New Roman"/>
          <w:szCs w:val="24"/>
        </w:rPr>
        <w:tab/>
        <w:t xml:space="preserve">Special Contract Customers Should be Included </w:t>
      </w:r>
      <w:r w:rsidRPr="00546F21">
        <w:rPr>
          <w:rFonts w:cs="Times New Roman"/>
          <w:szCs w:val="24"/>
        </w:rPr>
        <w:tab/>
      </w:r>
      <w:r w:rsidR="009E1953">
        <w:rPr>
          <w:rFonts w:cs="Times New Roman"/>
          <w:szCs w:val="24"/>
        </w:rPr>
        <w:t>37</w:t>
      </w:r>
    </w:p>
    <w:p w14:paraId="4B175A35" w14:textId="77777777" w:rsidR="006A0D58" w:rsidRPr="00546F21" w:rsidRDefault="006A0D58" w:rsidP="006A0D58">
      <w:pPr>
        <w:tabs>
          <w:tab w:val="left" w:pos="720"/>
          <w:tab w:val="left" w:pos="1440"/>
          <w:tab w:val="left" w:pos="2160"/>
          <w:tab w:val="right" w:leader="dot" w:pos="9360"/>
        </w:tabs>
        <w:rPr>
          <w:rFonts w:cs="Times New Roman"/>
          <w:szCs w:val="24"/>
        </w:rPr>
      </w:pPr>
    </w:p>
    <w:p w14:paraId="39B4CA3E" w14:textId="2BC4034B" w:rsidR="006C63F8" w:rsidRPr="00546F21" w:rsidRDefault="00B76C50" w:rsidP="006C63F8">
      <w:pPr>
        <w:tabs>
          <w:tab w:val="left" w:pos="720"/>
          <w:tab w:val="left" w:pos="1440"/>
          <w:tab w:val="left" w:pos="2160"/>
          <w:tab w:val="right" w:leader="dot" w:pos="9360"/>
        </w:tabs>
        <w:rPr>
          <w:rFonts w:eastAsia="Times New Roman" w:cs="Times New Roman"/>
          <w:bCs/>
          <w:szCs w:val="24"/>
        </w:rPr>
      </w:pPr>
      <w:r w:rsidRPr="00546F21">
        <w:rPr>
          <w:rFonts w:eastAsia="Times New Roman" w:cs="Times New Roman"/>
          <w:bCs/>
          <w:szCs w:val="24"/>
        </w:rPr>
        <w:t>V.</w:t>
      </w:r>
      <w:r w:rsidRPr="00546F21">
        <w:rPr>
          <w:rFonts w:eastAsia="Times New Roman" w:cs="Times New Roman"/>
          <w:bCs/>
          <w:szCs w:val="24"/>
        </w:rPr>
        <w:tab/>
        <w:t>CONCLUSION</w:t>
      </w:r>
      <w:r w:rsidR="00E16C42" w:rsidRPr="00546F21">
        <w:rPr>
          <w:rFonts w:eastAsia="Times New Roman" w:cs="Times New Roman"/>
          <w:bCs/>
          <w:szCs w:val="24"/>
        </w:rPr>
        <w:t xml:space="preserve"> </w:t>
      </w:r>
      <w:r w:rsidR="00E16C42" w:rsidRPr="00546F21">
        <w:rPr>
          <w:rFonts w:eastAsia="Times New Roman" w:cs="Times New Roman"/>
          <w:bCs/>
          <w:szCs w:val="24"/>
        </w:rPr>
        <w:tab/>
      </w:r>
      <w:r w:rsidR="009E1953">
        <w:rPr>
          <w:rFonts w:eastAsia="Times New Roman" w:cs="Times New Roman"/>
          <w:bCs/>
          <w:szCs w:val="24"/>
        </w:rPr>
        <w:t>38</w:t>
      </w:r>
    </w:p>
    <w:p w14:paraId="67BF7CB2" w14:textId="77777777" w:rsidR="006C63F8" w:rsidRPr="00546F21" w:rsidRDefault="006C63F8" w:rsidP="00BB65DC">
      <w:pPr>
        <w:tabs>
          <w:tab w:val="left" w:pos="720"/>
          <w:tab w:val="left" w:pos="1440"/>
          <w:tab w:val="left" w:pos="2160"/>
          <w:tab w:val="right" w:leader="dot" w:pos="9360"/>
        </w:tabs>
        <w:rPr>
          <w:rFonts w:eastAsia="Times New Roman" w:cs="Times New Roman"/>
          <w:bCs/>
          <w:szCs w:val="24"/>
        </w:rPr>
      </w:pPr>
    </w:p>
    <w:p w14:paraId="381FA024" w14:textId="77777777" w:rsidR="00B802A6" w:rsidRPr="00546F21" w:rsidRDefault="00B802A6" w:rsidP="00B802A6">
      <w:pPr>
        <w:tabs>
          <w:tab w:val="left" w:pos="720"/>
          <w:tab w:val="left" w:pos="1440"/>
          <w:tab w:val="left" w:pos="2160"/>
          <w:tab w:val="right" w:leader="dot" w:pos="9360"/>
        </w:tabs>
        <w:rPr>
          <w:rFonts w:eastAsia="Times New Roman" w:cs="Times New Roman"/>
          <w:bCs/>
          <w:szCs w:val="24"/>
        </w:rPr>
      </w:pPr>
    </w:p>
    <w:p w14:paraId="304F5900" w14:textId="77777777" w:rsidR="00B802A6" w:rsidRPr="00546F21" w:rsidRDefault="00B802A6" w:rsidP="00B802A6">
      <w:pPr>
        <w:tabs>
          <w:tab w:val="left" w:pos="720"/>
          <w:tab w:val="left" w:pos="1440"/>
          <w:tab w:val="left" w:pos="2160"/>
          <w:tab w:val="right" w:leader="dot" w:pos="9360"/>
        </w:tabs>
        <w:rPr>
          <w:rFonts w:eastAsia="Times New Roman" w:cs="Times New Roman"/>
          <w:szCs w:val="24"/>
        </w:rPr>
      </w:pPr>
    </w:p>
    <w:p w14:paraId="6F161942" w14:textId="77777777" w:rsidR="002F15AA" w:rsidRPr="00546F21" w:rsidRDefault="002F15AA">
      <w:pPr>
        <w:rPr>
          <w:rFonts w:eastAsia="Times New Roman" w:cs="Times New Roman"/>
          <w:b/>
          <w:szCs w:val="24"/>
        </w:rPr>
      </w:pPr>
      <w:r w:rsidRPr="00546F21">
        <w:rPr>
          <w:rFonts w:cs="Times New Roman"/>
          <w:b/>
          <w:szCs w:val="24"/>
        </w:rPr>
        <w:br w:type="page"/>
      </w:r>
    </w:p>
    <w:p w14:paraId="3DD3E506" w14:textId="77777777" w:rsidR="002F15AA" w:rsidRPr="00546F21" w:rsidRDefault="002F15AA" w:rsidP="002F15AA">
      <w:pPr>
        <w:jc w:val="center"/>
        <w:rPr>
          <w:rFonts w:eastAsia="Times New Roman" w:cs="Times New Roman"/>
          <w:b/>
          <w:szCs w:val="24"/>
        </w:rPr>
      </w:pPr>
      <w:r w:rsidRPr="00546F21">
        <w:rPr>
          <w:rFonts w:eastAsia="Times New Roman" w:cs="Times New Roman"/>
          <w:b/>
          <w:szCs w:val="24"/>
        </w:rPr>
        <w:lastRenderedPageBreak/>
        <w:t>TABLE OF AUTHORITIES</w:t>
      </w:r>
    </w:p>
    <w:p w14:paraId="0505EE53" w14:textId="77777777" w:rsidR="002F15AA" w:rsidRPr="00546F21" w:rsidRDefault="002F15AA" w:rsidP="002F15AA">
      <w:pPr>
        <w:rPr>
          <w:rFonts w:eastAsia="Times New Roman" w:cs="Times New Roman"/>
          <w:szCs w:val="24"/>
        </w:rPr>
      </w:pPr>
    </w:p>
    <w:p w14:paraId="4F94A325" w14:textId="77777777" w:rsidR="002F15AA" w:rsidRPr="00546F21" w:rsidRDefault="002F15AA" w:rsidP="002F15AA">
      <w:pPr>
        <w:jc w:val="center"/>
        <w:rPr>
          <w:rFonts w:eastAsia="Times New Roman" w:cs="Times New Roman"/>
          <w:b/>
          <w:szCs w:val="24"/>
        </w:rPr>
      </w:pPr>
      <w:r w:rsidRPr="00546F21">
        <w:rPr>
          <w:rFonts w:eastAsia="Times New Roman" w:cs="Times New Roman"/>
          <w:b/>
          <w:szCs w:val="24"/>
        </w:rPr>
        <w:t>Table of Cases</w:t>
      </w:r>
    </w:p>
    <w:p w14:paraId="144396BD" w14:textId="77777777" w:rsidR="002F15AA" w:rsidRPr="00546F21" w:rsidRDefault="002F15AA" w:rsidP="002F15AA">
      <w:pPr>
        <w:rPr>
          <w:rFonts w:eastAsia="Times New Roman" w:cs="Times New Roman"/>
          <w:szCs w:val="24"/>
        </w:rPr>
      </w:pPr>
    </w:p>
    <w:p w14:paraId="7FFA9165" w14:textId="7BDFE1A9" w:rsidR="00B009BC" w:rsidRPr="00546F21" w:rsidRDefault="00B009BC" w:rsidP="00B009BC">
      <w:pPr>
        <w:tabs>
          <w:tab w:val="left" w:pos="720"/>
          <w:tab w:val="right" w:leader="dot" w:pos="9360"/>
        </w:tabs>
        <w:rPr>
          <w:rFonts w:eastAsia="Times New Roman" w:cs="Times New Roman"/>
          <w:szCs w:val="24"/>
        </w:rPr>
      </w:pPr>
      <w:r w:rsidRPr="00546F21">
        <w:rPr>
          <w:rFonts w:eastAsia="Times New Roman" w:cs="Times New Roman"/>
          <w:i/>
          <w:szCs w:val="24"/>
        </w:rPr>
        <w:t>Bluefield Water Works &amp; Impr</w:t>
      </w:r>
      <w:r w:rsidR="00103E4C">
        <w:rPr>
          <w:rFonts w:eastAsia="Times New Roman" w:cs="Times New Roman"/>
          <w:i/>
          <w:szCs w:val="24"/>
        </w:rPr>
        <w:t>v.</w:t>
      </w:r>
      <w:r w:rsidRPr="00546F21">
        <w:rPr>
          <w:rFonts w:eastAsia="Times New Roman" w:cs="Times New Roman"/>
          <w:i/>
          <w:szCs w:val="24"/>
        </w:rPr>
        <w:t xml:space="preserve"> Co. v. Pub</w:t>
      </w:r>
      <w:r w:rsidR="008F29F5" w:rsidRPr="00546F21">
        <w:rPr>
          <w:rFonts w:eastAsia="Times New Roman" w:cs="Times New Roman"/>
          <w:i/>
          <w:szCs w:val="24"/>
        </w:rPr>
        <w:t>.</w:t>
      </w:r>
      <w:r w:rsidRPr="00546F21">
        <w:rPr>
          <w:rFonts w:eastAsia="Times New Roman" w:cs="Times New Roman"/>
          <w:i/>
          <w:szCs w:val="24"/>
        </w:rPr>
        <w:t xml:space="preserve"> Serv</w:t>
      </w:r>
      <w:r w:rsidR="008F29F5" w:rsidRPr="00546F21">
        <w:rPr>
          <w:rFonts w:eastAsia="Times New Roman" w:cs="Times New Roman"/>
          <w:i/>
          <w:szCs w:val="24"/>
        </w:rPr>
        <w:t>.</w:t>
      </w:r>
      <w:r w:rsidRPr="00546F21">
        <w:rPr>
          <w:rFonts w:eastAsia="Times New Roman" w:cs="Times New Roman"/>
          <w:i/>
          <w:szCs w:val="24"/>
        </w:rPr>
        <w:t xml:space="preserve"> Comm</w:t>
      </w:r>
      <w:r w:rsidR="008F29F5" w:rsidRPr="00546F21">
        <w:rPr>
          <w:rFonts w:eastAsia="Times New Roman" w:cs="Times New Roman"/>
          <w:i/>
          <w:szCs w:val="24"/>
        </w:rPr>
        <w:t>’s</w:t>
      </w:r>
      <w:r w:rsidRPr="00546F21">
        <w:rPr>
          <w:rFonts w:eastAsia="Times New Roman" w:cs="Times New Roman"/>
          <w:szCs w:val="24"/>
        </w:rPr>
        <w:t>,</w:t>
      </w:r>
    </w:p>
    <w:p w14:paraId="4AA8CD7F" w14:textId="77777777" w:rsidR="00B009BC" w:rsidRPr="00546F21" w:rsidRDefault="00B009BC" w:rsidP="00B009BC">
      <w:pPr>
        <w:tabs>
          <w:tab w:val="left" w:pos="720"/>
          <w:tab w:val="left" w:pos="1440"/>
          <w:tab w:val="left" w:pos="2160"/>
          <w:tab w:val="right" w:leader="dot" w:pos="9360"/>
        </w:tabs>
        <w:rPr>
          <w:rFonts w:eastAsia="Times New Roman" w:cs="Times New Roman"/>
          <w:szCs w:val="24"/>
        </w:rPr>
      </w:pPr>
      <w:r w:rsidRPr="00546F21">
        <w:rPr>
          <w:rFonts w:eastAsia="Times New Roman" w:cs="Times New Roman"/>
          <w:szCs w:val="24"/>
        </w:rPr>
        <w:tab/>
        <w:t>262 U.S. 679 (1923)</w:t>
      </w:r>
      <w:r w:rsidRPr="00546F21">
        <w:rPr>
          <w:rFonts w:eastAsia="Times New Roman" w:cs="Times New Roman"/>
          <w:szCs w:val="24"/>
        </w:rPr>
        <w:tab/>
      </w:r>
      <w:r w:rsidR="00694C2A" w:rsidRPr="00546F21">
        <w:rPr>
          <w:rFonts w:eastAsia="Times New Roman" w:cs="Times New Roman"/>
          <w:szCs w:val="24"/>
        </w:rPr>
        <w:t>11, 12</w:t>
      </w:r>
    </w:p>
    <w:p w14:paraId="48E05A14" w14:textId="77777777" w:rsidR="00B009BC" w:rsidRPr="00546F21" w:rsidRDefault="00B009BC" w:rsidP="00B009BC">
      <w:pPr>
        <w:tabs>
          <w:tab w:val="left" w:pos="720"/>
          <w:tab w:val="right" w:leader="dot" w:pos="9360"/>
        </w:tabs>
        <w:rPr>
          <w:rFonts w:eastAsia="Times New Roman" w:cs="Times New Roman"/>
          <w:szCs w:val="24"/>
        </w:rPr>
      </w:pPr>
    </w:p>
    <w:p w14:paraId="61EC7C0B" w14:textId="77777777" w:rsidR="00B009BC" w:rsidRPr="00546F21" w:rsidRDefault="00B009BC" w:rsidP="00B009BC">
      <w:pPr>
        <w:tabs>
          <w:tab w:val="left" w:pos="720"/>
          <w:tab w:val="right" w:leader="dot" w:pos="9360"/>
        </w:tabs>
        <w:rPr>
          <w:rFonts w:eastAsia="Times New Roman" w:cs="Times New Roman"/>
          <w:szCs w:val="24"/>
        </w:rPr>
      </w:pPr>
      <w:r w:rsidRPr="00546F21">
        <w:rPr>
          <w:rFonts w:eastAsia="Times New Roman" w:cs="Times New Roman"/>
          <w:i/>
          <w:szCs w:val="24"/>
        </w:rPr>
        <w:t>Democratic Cent</w:t>
      </w:r>
      <w:r w:rsidR="008F29F5" w:rsidRPr="00546F21">
        <w:rPr>
          <w:rFonts w:eastAsia="Times New Roman" w:cs="Times New Roman"/>
          <w:i/>
          <w:szCs w:val="24"/>
        </w:rPr>
        <w:t>.</w:t>
      </w:r>
      <w:r w:rsidRPr="00546F21">
        <w:rPr>
          <w:rFonts w:eastAsia="Times New Roman" w:cs="Times New Roman"/>
          <w:i/>
          <w:szCs w:val="24"/>
        </w:rPr>
        <w:t xml:space="preserve"> Comm</w:t>
      </w:r>
      <w:r w:rsidR="008F29F5" w:rsidRPr="00546F21">
        <w:rPr>
          <w:rFonts w:eastAsia="Times New Roman" w:cs="Times New Roman"/>
          <w:i/>
          <w:szCs w:val="24"/>
        </w:rPr>
        <w:t>.</w:t>
      </w:r>
      <w:r w:rsidRPr="00546F21">
        <w:rPr>
          <w:rFonts w:eastAsia="Times New Roman" w:cs="Times New Roman"/>
          <w:i/>
          <w:szCs w:val="24"/>
        </w:rPr>
        <w:t xml:space="preserve"> v. Wash</w:t>
      </w:r>
      <w:r w:rsidR="008F29F5" w:rsidRPr="00546F21">
        <w:rPr>
          <w:rFonts w:eastAsia="Times New Roman" w:cs="Times New Roman"/>
          <w:i/>
          <w:szCs w:val="24"/>
        </w:rPr>
        <w:t>.</w:t>
      </w:r>
      <w:r w:rsidRPr="00546F21">
        <w:rPr>
          <w:rFonts w:eastAsia="Times New Roman" w:cs="Times New Roman"/>
          <w:i/>
          <w:szCs w:val="24"/>
        </w:rPr>
        <w:t xml:space="preserve"> Metro</w:t>
      </w:r>
      <w:r w:rsidR="008F29F5" w:rsidRPr="00546F21">
        <w:rPr>
          <w:rFonts w:eastAsia="Times New Roman" w:cs="Times New Roman"/>
          <w:i/>
          <w:szCs w:val="24"/>
        </w:rPr>
        <w:t>.</w:t>
      </w:r>
      <w:r w:rsidRPr="00546F21">
        <w:rPr>
          <w:rFonts w:eastAsia="Times New Roman" w:cs="Times New Roman"/>
          <w:i/>
          <w:szCs w:val="24"/>
        </w:rPr>
        <w:t xml:space="preserve"> Transit Area</w:t>
      </w:r>
      <w:r w:rsidR="00E16C42" w:rsidRPr="00546F21">
        <w:rPr>
          <w:rFonts w:eastAsia="Times New Roman" w:cs="Times New Roman"/>
          <w:i/>
          <w:szCs w:val="24"/>
        </w:rPr>
        <w:t xml:space="preserve"> </w:t>
      </w:r>
      <w:r w:rsidRPr="00546F21">
        <w:rPr>
          <w:rFonts w:eastAsia="Times New Roman" w:cs="Times New Roman"/>
          <w:i/>
          <w:szCs w:val="24"/>
        </w:rPr>
        <w:t>Auth</w:t>
      </w:r>
      <w:r w:rsidR="008F29F5" w:rsidRPr="00546F21">
        <w:rPr>
          <w:rFonts w:eastAsia="Times New Roman" w:cs="Times New Roman"/>
          <w:i/>
          <w:szCs w:val="24"/>
        </w:rPr>
        <w:t>.</w:t>
      </w:r>
      <w:r w:rsidRPr="00546F21">
        <w:rPr>
          <w:rFonts w:eastAsia="Times New Roman" w:cs="Times New Roman"/>
          <w:i/>
          <w:szCs w:val="24"/>
        </w:rPr>
        <w:t xml:space="preserve"> Comm</w:t>
      </w:r>
      <w:r w:rsidR="008F29F5" w:rsidRPr="00546F21">
        <w:rPr>
          <w:rFonts w:eastAsia="Times New Roman" w:cs="Times New Roman"/>
          <w:i/>
          <w:szCs w:val="24"/>
        </w:rPr>
        <w:t>’n</w:t>
      </w:r>
      <w:r w:rsidRPr="00546F21">
        <w:rPr>
          <w:rFonts w:eastAsia="Times New Roman" w:cs="Times New Roman"/>
          <w:szCs w:val="24"/>
        </w:rPr>
        <w:t>,</w:t>
      </w:r>
    </w:p>
    <w:p w14:paraId="485F967A" w14:textId="58EF1862" w:rsidR="00B009BC" w:rsidRPr="00546F21" w:rsidRDefault="00DE48FA" w:rsidP="00B009BC">
      <w:pPr>
        <w:tabs>
          <w:tab w:val="left" w:pos="720"/>
          <w:tab w:val="left" w:pos="1440"/>
          <w:tab w:val="left" w:pos="2160"/>
          <w:tab w:val="left" w:pos="2880"/>
          <w:tab w:val="left" w:pos="3600"/>
          <w:tab w:val="right" w:leader="dot" w:pos="9360"/>
        </w:tabs>
        <w:rPr>
          <w:rFonts w:eastAsia="Times New Roman" w:cs="Times New Roman"/>
          <w:szCs w:val="24"/>
        </w:rPr>
      </w:pPr>
      <w:r>
        <w:rPr>
          <w:rFonts w:eastAsia="Times New Roman" w:cs="Times New Roman"/>
          <w:szCs w:val="24"/>
        </w:rPr>
        <w:tab/>
        <w:t>485 F.2d 786</w:t>
      </w:r>
      <w:r w:rsidR="00B009BC" w:rsidRPr="00546F21">
        <w:rPr>
          <w:rFonts w:eastAsia="Times New Roman" w:cs="Times New Roman"/>
          <w:szCs w:val="24"/>
        </w:rPr>
        <w:t xml:space="preserve"> (D.C. Cir. 1973)</w:t>
      </w:r>
      <w:r w:rsidR="00B009BC" w:rsidRPr="00546F21">
        <w:rPr>
          <w:rFonts w:eastAsia="Times New Roman" w:cs="Times New Roman"/>
          <w:szCs w:val="24"/>
        </w:rPr>
        <w:tab/>
      </w:r>
      <w:r w:rsidR="00151EAE">
        <w:rPr>
          <w:rFonts w:eastAsia="Times New Roman" w:cs="Times New Roman"/>
          <w:szCs w:val="24"/>
        </w:rPr>
        <w:t>11</w:t>
      </w:r>
      <w:r w:rsidR="00694C2A" w:rsidRPr="00546F21">
        <w:rPr>
          <w:rFonts w:eastAsia="Times New Roman" w:cs="Times New Roman"/>
          <w:szCs w:val="24"/>
        </w:rPr>
        <w:t>, 13, 14, 2</w:t>
      </w:r>
      <w:r w:rsidR="00151EAE">
        <w:rPr>
          <w:rFonts w:eastAsia="Times New Roman" w:cs="Times New Roman"/>
          <w:szCs w:val="24"/>
        </w:rPr>
        <w:t>1</w:t>
      </w:r>
      <w:r w:rsidR="00694C2A" w:rsidRPr="00546F21">
        <w:rPr>
          <w:rFonts w:eastAsia="Times New Roman" w:cs="Times New Roman"/>
          <w:szCs w:val="24"/>
        </w:rPr>
        <w:t>, 2</w:t>
      </w:r>
      <w:r w:rsidR="00151EAE">
        <w:rPr>
          <w:rFonts w:eastAsia="Times New Roman" w:cs="Times New Roman"/>
          <w:szCs w:val="24"/>
        </w:rPr>
        <w:t>3</w:t>
      </w:r>
      <w:r w:rsidR="00694C2A" w:rsidRPr="00546F21">
        <w:rPr>
          <w:rFonts w:eastAsia="Times New Roman" w:cs="Times New Roman"/>
          <w:szCs w:val="24"/>
        </w:rPr>
        <w:t>, 24</w:t>
      </w:r>
    </w:p>
    <w:p w14:paraId="161C900D" w14:textId="77777777" w:rsidR="00B009BC" w:rsidRPr="00546F21" w:rsidRDefault="00B009BC" w:rsidP="00B009BC">
      <w:pPr>
        <w:tabs>
          <w:tab w:val="left" w:pos="720"/>
          <w:tab w:val="right" w:leader="dot" w:pos="9360"/>
        </w:tabs>
        <w:rPr>
          <w:rFonts w:eastAsia="Times New Roman" w:cs="Times New Roman"/>
          <w:szCs w:val="24"/>
        </w:rPr>
      </w:pPr>
    </w:p>
    <w:p w14:paraId="60CF125F" w14:textId="77777777" w:rsidR="0081562C" w:rsidRPr="00546F21" w:rsidRDefault="0081562C" w:rsidP="0081562C">
      <w:pPr>
        <w:tabs>
          <w:tab w:val="left" w:pos="720"/>
          <w:tab w:val="right" w:pos="9360"/>
        </w:tabs>
        <w:rPr>
          <w:rFonts w:eastAsia="Times New Roman" w:cs="Times New Roman"/>
          <w:i/>
          <w:szCs w:val="24"/>
        </w:rPr>
      </w:pPr>
      <w:r w:rsidRPr="00546F21">
        <w:rPr>
          <w:rFonts w:eastAsia="Times New Roman" w:cs="Times New Roman"/>
          <w:i/>
          <w:szCs w:val="24"/>
        </w:rPr>
        <w:t>Fed</w:t>
      </w:r>
      <w:r w:rsidR="008F29F5" w:rsidRPr="00546F21">
        <w:rPr>
          <w:rFonts w:eastAsia="Times New Roman" w:cs="Times New Roman"/>
          <w:i/>
          <w:szCs w:val="24"/>
        </w:rPr>
        <w:t>.</w:t>
      </w:r>
      <w:r w:rsidRPr="00546F21">
        <w:rPr>
          <w:rFonts w:eastAsia="Times New Roman" w:cs="Times New Roman"/>
          <w:i/>
          <w:szCs w:val="24"/>
        </w:rPr>
        <w:t xml:space="preserve"> Power Comm</w:t>
      </w:r>
      <w:r w:rsidR="008F29F5" w:rsidRPr="00546F21">
        <w:rPr>
          <w:rFonts w:eastAsia="Times New Roman" w:cs="Times New Roman"/>
          <w:i/>
          <w:szCs w:val="24"/>
        </w:rPr>
        <w:t>’n</w:t>
      </w:r>
      <w:r w:rsidRPr="00546F21">
        <w:rPr>
          <w:rFonts w:eastAsia="Times New Roman" w:cs="Times New Roman"/>
          <w:i/>
          <w:szCs w:val="24"/>
        </w:rPr>
        <w:t xml:space="preserve"> v. Hope Natural Gas Co.</w:t>
      </w:r>
      <w:r w:rsidRPr="00546F21">
        <w:rPr>
          <w:rFonts w:eastAsia="Times New Roman" w:cs="Times New Roman"/>
          <w:szCs w:val="24"/>
        </w:rPr>
        <w:t>,</w:t>
      </w:r>
    </w:p>
    <w:p w14:paraId="0300A394" w14:textId="77777777" w:rsidR="0081562C" w:rsidRPr="00546F21" w:rsidRDefault="0081562C" w:rsidP="00146B40">
      <w:pPr>
        <w:tabs>
          <w:tab w:val="left" w:pos="720"/>
          <w:tab w:val="left" w:pos="1440"/>
          <w:tab w:val="left" w:pos="2160"/>
          <w:tab w:val="right" w:leader="dot" w:pos="9360"/>
        </w:tabs>
        <w:rPr>
          <w:rFonts w:eastAsia="Times New Roman" w:cs="Times New Roman"/>
          <w:szCs w:val="24"/>
        </w:rPr>
      </w:pPr>
      <w:r w:rsidRPr="00546F21">
        <w:rPr>
          <w:rFonts w:eastAsia="Times New Roman" w:cs="Times New Roman"/>
          <w:i/>
          <w:szCs w:val="24"/>
        </w:rPr>
        <w:tab/>
      </w:r>
      <w:r w:rsidRPr="00546F21">
        <w:rPr>
          <w:rFonts w:eastAsia="Times New Roman" w:cs="Times New Roman"/>
          <w:szCs w:val="24"/>
        </w:rPr>
        <w:t>320 U.S. 591 (1944)</w:t>
      </w:r>
      <w:r w:rsidRPr="00546F21">
        <w:rPr>
          <w:rFonts w:eastAsia="Times New Roman" w:cs="Times New Roman"/>
          <w:szCs w:val="24"/>
        </w:rPr>
        <w:tab/>
      </w:r>
      <w:r w:rsidR="00694C2A" w:rsidRPr="00546F21">
        <w:rPr>
          <w:rFonts w:eastAsia="Times New Roman" w:cs="Times New Roman"/>
          <w:szCs w:val="24"/>
        </w:rPr>
        <w:t>11, 12, 15</w:t>
      </w:r>
    </w:p>
    <w:p w14:paraId="4A9008CE" w14:textId="77777777" w:rsidR="0081562C" w:rsidRPr="00546F21" w:rsidRDefault="0081562C" w:rsidP="00146B40">
      <w:pPr>
        <w:tabs>
          <w:tab w:val="left" w:pos="720"/>
          <w:tab w:val="right" w:leader="dot" w:pos="9360"/>
        </w:tabs>
        <w:rPr>
          <w:rFonts w:eastAsia="Times New Roman" w:cs="Times New Roman"/>
          <w:szCs w:val="24"/>
        </w:rPr>
      </w:pPr>
    </w:p>
    <w:p w14:paraId="12AEAED8" w14:textId="12534333" w:rsidR="00B009BC" w:rsidRPr="00546F21" w:rsidRDefault="00B009BC" w:rsidP="00B009BC">
      <w:pPr>
        <w:tabs>
          <w:tab w:val="left" w:pos="720"/>
          <w:tab w:val="right" w:pos="9360"/>
        </w:tabs>
        <w:rPr>
          <w:rFonts w:eastAsia="Times New Roman" w:cs="Times New Roman"/>
          <w:szCs w:val="24"/>
        </w:rPr>
      </w:pPr>
      <w:r w:rsidRPr="00546F21">
        <w:rPr>
          <w:rFonts w:eastAsia="Times New Roman" w:cs="Times New Roman"/>
          <w:i/>
          <w:szCs w:val="24"/>
        </w:rPr>
        <w:t>Maine Water Co</w:t>
      </w:r>
      <w:r w:rsidR="008F29F5" w:rsidRPr="00546F21">
        <w:rPr>
          <w:rFonts w:eastAsia="Times New Roman" w:cs="Times New Roman"/>
          <w:i/>
          <w:szCs w:val="24"/>
        </w:rPr>
        <w:t>.</w:t>
      </w:r>
      <w:r w:rsidR="00DB5C97">
        <w:rPr>
          <w:rFonts w:eastAsia="Times New Roman" w:cs="Times New Roman"/>
          <w:i/>
          <w:szCs w:val="24"/>
        </w:rPr>
        <w:t xml:space="preserve"> v. Public</w:t>
      </w:r>
      <w:r w:rsidRPr="00546F21">
        <w:rPr>
          <w:rFonts w:eastAsia="Times New Roman" w:cs="Times New Roman"/>
          <w:i/>
          <w:szCs w:val="24"/>
        </w:rPr>
        <w:t xml:space="preserve"> Utilities Comm</w:t>
      </w:r>
      <w:r w:rsidR="008F29F5" w:rsidRPr="00546F21">
        <w:rPr>
          <w:rFonts w:eastAsia="Times New Roman" w:cs="Times New Roman"/>
          <w:i/>
          <w:szCs w:val="24"/>
        </w:rPr>
        <w:t>’n</w:t>
      </w:r>
      <w:r w:rsidRPr="00546F21">
        <w:rPr>
          <w:rFonts w:eastAsia="Times New Roman" w:cs="Times New Roman"/>
          <w:szCs w:val="24"/>
        </w:rPr>
        <w:t>,</w:t>
      </w:r>
    </w:p>
    <w:p w14:paraId="52763D14" w14:textId="77777777" w:rsidR="00B009BC" w:rsidRPr="00546F21" w:rsidRDefault="00B009BC" w:rsidP="00B009BC">
      <w:pPr>
        <w:tabs>
          <w:tab w:val="left" w:pos="720"/>
          <w:tab w:val="left" w:pos="1440"/>
          <w:tab w:val="left" w:pos="2160"/>
          <w:tab w:val="right" w:leader="dot" w:pos="9360"/>
        </w:tabs>
        <w:rPr>
          <w:rFonts w:eastAsia="Times New Roman" w:cs="Times New Roman"/>
          <w:szCs w:val="24"/>
        </w:rPr>
      </w:pPr>
      <w:r w:rsidRPr="00546F21">
        <w:rPr>
          <w:rFonts w:eastAsia="Times New Roman" w:cs="Times New Roman"/>
          <w:szCs w:val="24"/>
        </w:rPr>
        <w:tab/>
        <w:t>482 A.2d 443 (</w:t>
      </w:r>
      <w:r w:rsidR="008F29F5" w:rsidRPr="00546F21">
        <w:rPr>
          <w:rFonts w:eastAsia="Times New Roman" w:cs="Times New Roman"/>
          <w:szCs w:val="24"/>
        </w:rPr>
        <w:t xml:space="preserve">Maine </w:t>
      </w:r>
      <w:r w:rsidRPr="00546F21">
        <w:rPr>
          <w:rFonts w:eastAsia="Times New Roman" w:cs="Times New Roman"/>
          <w:szCs w:val="24"/>
        </w:rPr>
        <w:t>1984)</w:t>
      </w:r>
      <w:r w:rsidRPr="00546F21">
        <w:rPr>
          <w:rFonts w:eastAsia="Times New Roman" w:cs="Times New Roman"/>
          <w:szCs w:val="24"/>
        </w:rPr>
        <w:tab/>
      </w:r>
      <w:r w:rsidR="00694C2A" w:rsidRPr="00546F21">
        <w:rPr>
          <w:rFonts w:eastAsia="Times New Roman" w:cs="Times New Roman"/>
          <w:szCs w:val="24"/>
        </w:rPr>
        <w:t>9</w:t>
      </w:r>
    </w:p>
    <w:p w14:paraId="1D121357" w14:textId="77777777" w:rsidR="00B009BC" w:rsidRPr="00546F21" w:rsidRDefault="00B009BC" w:rsidP="00B009BC">
      <w:pPr>
        <w:tabs>
          <w:tab w:val="left" w:pos="720"/>
          <w:tab w:val="left" w:pos="1440"/>
          <w:tab w:val="left" w:pos="2160"/>
          <w:tab w:val="right" w:pos="9360"/>
        </w:tabs>
        <w:rPr>
          <w:rFonts w:eastAsia="Times New Roman" w:cs="Times New Roman"/>
          <w:szCs w:val="24"/>
        </w:rPr>
      </w:pPr>
    </w:p>
    <w:p w14:paraId="597CB9BC" w14:textId="6F09BCA8" w:rsidR="0081562C" w:rsidRPr="00546F21" w:rsidRDefault="0081562C" w:rsidP="00146B40">
      <w:pPr>
        <w:tabs>
          <w:tab w:val="left" w:pos="720"/>
          <w:tab w:val="right" w:leader="dot" w:pos="9360"/>
        </w:tabs>
        <w:rPr>
          <w:rFonts w:eastAsia="Times New Roman" w:cs="Times New Roman"/>
          <w:szCs w:val="24"/>
          <w:lang w:val="en"/>
        </w:rPr>
      </w:pPr>
      <w:r w:rsidRPr="00546F21">
        <w:rPr>
          <w:rFonts w:eastAsia="Times New Roman" w:cs="Times New Roman"/>
          <w:i/>
          <w:szCs w:val="24"/>
          <w:lang w:val="en"/>
        </w:rPr>
        <w:t>Pac</w:t>
      </w:r>
      <w:r w:rsidR="00DB5C97">
        <w:rPr>
          <w:rFonts w:eastAsia="Times New Roman" w:cs="Times New Roman"/>
          <w:i/>
          <w:szCs w:val="24"/>
          <w:lang w:val="en"/>
        </w:rPr>
        <w:t>ific</w:t>
      </w:r>
      <w:r w:rsidRPr="00546F21">
        <w:rPr>
          <w:rFonts w:eastAsia="Times New Roman" w:cs="Times New Roman"/>
          <w:i/>
          <w:szCs w:val="24"/>
          <w:lang w:val="en"/>
        </w:rPr>
        <w:t xml:space="preserve"> Tel</w:t>
      </w:r>
      <w:r w:rsidR="00103E4C">
        <w:rPr>
          <w:rFonts w:eastAsia="Times New Roman" w:cs="Times New Roman"/>
          <w:i/>
          <w:szCs w:val="24"/>
          <w:lang w:val="en"/>
        </w:rPr>
        <w:t>.</w:t>
      </w:r>
      <w:r w:rsidRPr="00546F21">
        <w:rPr>
          <w:rFonts w:eastAsia="Times New Roman" w:cs="Times New Roman"/>
          <w:i/>
          <w:szCs w:val="24"/>
          <w:lang w:val="en"/>
        </w:rPr>
        <w:t xml:space="preserve"> &amp; Tel</w:t>
      </w:r>
      <w:r w:rsidR="00103E4C">
        <w:rPr>
          <w:rFonts w:eastAsia="Times New Roman" w:cs="Times New Roman"/>
          <w:i/>
          <w:szCs w:val="24"/>
          <w:lang w:val="en"/>
        </w:rPr>
        <w:t>.</w:t>
      </w:r>
      <w:r w:rsidRPr="00546F21">
        <w:rPr>
          <w:rFonts w:eastAsia="Times New Roman" w:cs="Times New Roman"/>
          <w:i/>
          <w:szCs w:val="24"/>
          <w:lang w:val="en"/>
        </w:rPr>
        <w:t xml:space="preserve"> Co. v. Dep</w:t>
      </w:r>
      <w:r w:rsidR="008F29F5" w:rsidRPr="00546F21">
        <w:rPr>
          <w:rFonts w:eastAsia="Times New Roman" w:cs="Times New Roman"/>
          <w:i/>
          <w:szCs w:val="24"/>
          <w:lang w:val="en"/>
        </w:rPr>
        <w:t>’t</w:t>
      </w:r>
      <w:r w:rsidRPr="00546F21">
        <w:rPr>
          <w:rFonts w:eastAsia="Times New Roman" w:cs="Times New Roman"/>
          <w:i/>
          <w:szCs w:val="24"/>
          <w:lang w:val="en"/>
        </w:rPr>
        <w:t xml:space="preserve"> of Pub</w:t>
      </w:r>
      <w:r w:rsidR="00103E4C">
        <w:rPr>
          <w:rFonts w:eastAsia="Times New Roman" w:cs="Times New Roman"/>
          <w:i/>
          <w:szCs w:val="24"/>
          <w:lang w:val="en"/>
        </w:rPr>
        <w:t>.</w:t>
      </w:r>
      <w:r w:rsidRPr="00546F21">
        <w:rPr>
          <w:rFonts w:eastAsia="Times New Roman" w:cs="Times New Roman"/>
          <w:i/>
          <w:szCs w:val="24"/>
          <w:lang w:val="en"/>
        </w:rPr>
        <w:t xml:space="preserve"> Serv</w:t>
      </w:r>
      <w:r w:rsidR="00103E4C">
        <w:rPr>
          <w:rFonts w:eastAsia="Times New Roman" w:cs="Times New Roman"/>
          <w:i/>
          <w:szCs w:val="24"/>
          <w:lang w:val="en"/>
        </w:rPr>
        <w:t>.</w:t>
      </w:r>
      <w:r w:rsidRPr="00546F21">
        <w:rPr>
          <w:rFonts w:eastAsia="Times New Roman" w:cs="Times New Roman"/>
          <w:szCs w:val="24"/>
          <w:lang w:val="en"/>
        </w:rPr>
        <w:t>,</w:t>
      </w:r>
    </w:p>
    <w:p w14:paraId="20EE45EE" w14:textId="59E447DC" w:rsidR="0081562C" w:rsidRPr="00546F21" w:rsidRDefault="0081562C" w:rsidP="00146B40">
      <w:pPr>
        <w:tabs>
          <w:tab w:val="left" w:pos="720"/>
          <w:tab w:val="left" w:pos="1440"/>
          <w:tab w:val="left" w:pos="2160"/>
          <w:tab w:val="left" w:pos="2880"/>
          <w:tab w:val="left" w:pos="3600"/>
          <w:tab w:val="right" w:leader="dot" w:pos="9360"/>
        </w:tabs>
        <w:rPr>
          <w:rFonts w:eastAsia="Times New Roman" w:cs="Times New Roman"/>
          <w:szCs w:val="24"/>
          <w:lang w:val="en"/>
        </w:rPr>
      </w:pPr>
      <w:r w:rsidRPr="00546F21">
        <w:rPr>
          <w:rFonts w:eastAsia="Times New Roman" w:cs="Times New Roman"/>
          <w:szCs w:val="24"/>
          <w:lang w:val="en"/>
        </w:rPr>
        <w:tab/>
        <w:t>19 Wn.2d 200, 142 P.2d 498 (1943)</w:t>
      </w:r>
      <w:r w:rsidRPr="00546F21">
        <w:rPr>
          <w:rFonts w:eastAsia="Times New Roman" w:cs="Times New Roman"/>
          <w:szCs w:val="24"/>
          <w:lang w:val="en"/>
        </w:rPr>
        <w:tab/>
      </w:r>
      <w:r w:rsidR="00694C2A" w:rsidRPr="00546F21">
        <w:rPr>
          <w:rFonts w:eastAsia="Times New Roman" w:cs="Times New Roman"/>
          <w:szCs w:val="24"/>
          <w:lang w:val="en"/>
        </w:rPr>
        <w:t>12</w:t>
      </w:r>
    </w:p>
    <w:p w14:paraId="6FFD6CC3" w14:textId="77777777" w:rsidR="0081562C" w:rsidRPr="00546F21" w:rsidRDefault="0081562C" w:rsidP="00146B40">
      <w:pPr>
        <w:tabs>
          <w:tab w:val="left" w:pos="720"/>
          <w:tab w:val="right" w:leader="dot" w:pos="9360"/>
        </w:tabs>
        <w:rPr>
          <w:rFonts w:eastAsia="Times New Roman" w:cs="Times New Roman"/>
          <w:szCs w:val="24"/>
          <w:lang w:val="en"/>
        </w:rPr>
      </w:pPr>
    </w:p>
    <w:p w14:paraId="6842629C" w14:textId="2B64285F" w:rsidR="0081562C" w:rsidRPr="00546F21" w:rsidRDefault="0081562C" w:rsidP="00146B40">
      <w:pPr>
        <w:tabs>
          <w:tab w:val="left" w:pos="720"/>
          <w:tab w:val="right" w:leader="dot" w:pos="9360"/>
        </w:tabs>
        <w:rPr>
          <w:rFonts w:eastAsia="Times New Roman" w:cs="Times New Roman"/>
          <w:szCs w:val="24"/>
          <w:lang w:val="en"/>
        </w:rPr>
      </w:pPr>
      <w:r w:rsidRPr="00546F21">
        <w:rPr>
          <w:rFonts w:eastAsia="Times New Roman" w:cs="Times New Roman"/>
          <w:i/>
          <w:szCs w:val="24"/>
          <w:lang w:val="en"/>
        </w:rPr>
        <w:t>People’s Org</w:t>
      </w:r>
      <w:r w:rsidR="00103E4C">
        <w:rPr>
          <w:rFonts w:eastAsia="Times New Roman" w:cs="Times New Roman"/>
          <w:i/>
          <w:szCs w:val="24"/>
          <w:lang w:val="en"/>
        </w:rPr>
        <w:t>.</w:t>
      </w:r>
      <w:r w:rsidRPr="00546F21">
        <w:rPr>
          <w:rFonts w:eastAsia="Times New Roman" w:cs="Times New Roman"/>
          <w:i/>
          <w:szCs w:val="24"/>
          <w:lang w:val="en"/>
        </w:rPr>
        <w:t xml:space="preserve"> for Wash</w:t>
      </w:r>
      <w:r w:rsidR="00103E4C">
        <w:rPr>
          <w:rFonts w:eastAsia="Times New Roman" w:cs="Times New Roman"/>
          <w:i/>
          <w:szCs w:val="24"/>
          <w:lang w:val="en"/>
        </w:rPr>
        <w:t>.</w:t>
      </w:r>
      <w:r w:rsidRPr="00546F21">
        <w:rPr>
          <w:rFonts w:eastAsia="Times New Roman" w:cs="Times New Roman"/>
          <w:i/>
          <w:szCs w:val="24"/>
          <w:lang w:val="en"/>
        </w:rPr>
        <w:t xml:space="preserve"> Energy Res</w:t>
      </w:r>
      <w:r w:rsidR="00103E4C">
        <w:rPr>
          <w:rFonts w:eastAsia="Times New Roman" w:cs="Times New Roman"/>
          <w:i/>
          <w:szCs w:val="24"/>
          <w:lang w:val="en"/>
        </w:rPr>
        <w:t>.</w:t>
      </w:r>
      <w:r w:rsidRPr="00546F21">
        <w:rPr>
          <w:rFonts w:eastAsia="Times New Roman" w:cs="Times New Roman"/>
          <w:i/>
          <w:szCs w:val="24"/>
          <w:lang w:val="en"/>
        </w:rPr>
        <w:t xml:space="preserve"> v. Utilities</w:t>
      </w:r>
      <w:r w:rsidR="00E16C42" w:rsidRPr="00546F21">
        <w:rPr>
          <w:rFonts w:eastAsia="Times New Roman" w:cs="Times New Roman"/>
          <w:i/>
          <w:szCs w:val="24"/>
          <w:lang w:val="en"/>
        </w:rPr>
        <w:t xml:space="preserve"> </w:t>
      </w:r>
      <w:r w:rsidRPr="00546F21">
        <w:rPr>
          <w:rFonts w:eastAsia="Times New Roman" w:cs="Times New Roman"/>
          <w:i/>
          <w:szCs w:val="24"/>
          <w:lang w:val="en"/>
        </w:rPr>
        <w:t>&amp; Transp</w:t>
      </w:r>
      <w:r w:rsidR="00F47883" w:rsidRPr="00546F21">
        <w:rPr>
          <w:rFonts w:eastAsia="Times New Roman" w:cs="Times New Roman"/>
          <w:i/>
          <w:szCs w:val="24"/>
          <w:lang w:val="en"/>
        </w:rPr>
        <w:t>.</w:t>
      </w:r>
      <w:r w:rsidRPr="00546F21">
        <w:rPr>
          <w:rFonts w:eastAsia="Times New Roman" w:cs="Times New Roman"/>
          <w:i/>
          <w:szCs w:val="24"/>
          <w:lang w:val="en"/>
        </w:rPr>
        <w:t xml:space="preserve"> Comm</w:t>
      </w:r>
      <w:r w:rsidR="00F47883" w:rsidRPr="00546F21">
        <w:rPr>
          <w:rFonts w:eastAsia="Times New Roman" w:cs="Times New Roman"/>
          <w:i/>
          <w:szCs w:val="24"/>
          <w:lang w:val="en"/>
        </w:rPr>
        <w:t>’n</w:t>
      </w:r>
      <w:r w:rsidRPr="00546F21">
        <w:rPr>
          <w:rFonts w:eastAsia="Times New Roman" w:cs="Times New Roman"/>
          <w:szCs w:val="24"/>
          <w:lang w:val="en"/>
        </w:rPr>
        <w:t>,</w:t>
      </w:r>
    </w:p>
    <w:p w14:paraId="55CDD88E" w14:textId="5D5650F5" w:rsidR="0081562C" w:rsidRPr="00546F21" w:rsidRDefault="0081562C" w:rsidP="00146B40">
      <w:pPr>
        <w:tabs>
          <w:tab w:val="left" w:pos="720"/>
          <w:tab w:val="left" w:pos="1440"/>
          <w:tab w:val="left" w:pos="2160"/>
          <w:tab w:val="left" w:pos="2880"/>
          <w:tab w:val="left" w:pos="3600"/>
          <w:tab w:val="right" w:leader="dot" w:pos="9360"/>
        </w:tabs>
        <w:rPr>
          <w:rFonts w:eastAsia="Times New Roman" w:cs="Times New Roman"/>
          <w:szCs w:val="24"/>
          <w:lang w:val="en"/>
        </w:rPr>
      </w:pPr>
      <w:r w:rsidRPr="00546F21">
        <w:rPr>
          <w:rFonts w:eastAsia="Times New Roman" w:cs="Times New Roman"/>
          <w:szCs w:val="24"/>
          <w:lang w:val="en"/>
        </w:rPr>
        <w:tab/>
        <w:t>104 Wn.2d 798, 711 P.2d 319 (1985)</w:t>
      </w:r>
      <w:r w:rsidR="00694C2A" w:rsidRPr="00546F21">
        <w:rPr>
          <w:rFonts w:eastAsia="Times New Roman" w:cs="Times New Roman"/>
          <w:szCs w:val="24"/>
          <w:lang w:val="en"/>
        </w:rPr>
        <w:t xml:space="preserve"> (</w:t>
      </w:r>
      <w:r w:rsidR="00694C2A" w:rsidRPr="00546F21">
        <w:rPr>
          <w:rFonts w:eastAsia="Times New Roman" w:cs="Times New Roman"/>
          <w:i/>
          <w:szCs w:val="24"/>
          <w:lang w:val="en"/>
        </w:rPr>
        <w:t>POWER</w:t>
      </w:r>
      <w:r w:rsidR="00694C2A" w:rsidRPr="00546F21">
        <w:rPr>
          <w:rFonts w:eastAsia="Times New Roman" w:cs="Times New Roman"/>
          <w:szCs w:val="24"/>
          <w:lang w:val="en"/>
        </w:rPr>
        <w:t>)</w:t>
      </w:r>
      <w:r w:rsidRPr="00546F21">
        <w:rPr>
          <w:rFonts w:eastAsia="Times New Roman" w:cs="Times New Roman"/>
          <w:szCs w:val="24"/>
          <w:lang w:val="en"/>
        </w:rPr>
        <w:tab/>
      </w:r>
      <w:r w:rsidR="00694C2A" w:rsidRPr="00546F21">
        <w:rPr>
          <w:rFonts w:eastAsia="Times New Roman" w:cs="Times New Roman"/>
          <w:szCs w:val="24"/>
          <w:lang w:val="en"/>
        </w:rPr>
        <w:t>12</w:t>
      </w:r>
      <w:r w:rsidR="00151EAE">
        <w:rPr>
          <w:rFonts w:eastAsia="Times New Roman" w:cs="Times New Roman"/>
          <w:szCs w:val="24"/>
          <w:lang w:val="en"/>
        </w:rPr>
        <w:t>, 25</w:t>
      </w:r>
    </w:p>
    <w:p w14:paraId="54F9B047" w14:textId="77777777" w:rsidR="0081562C" w:rsidRPr="00546F21" w:rsidRDefault="0081562C" w:rsidP="00146B40">
      <w:pPr>
        <w:tabs>
          <w:tab w:val="left" w:pos="720"/>
          <w:tab w:val="right" w:leader="dot" w:pos="9360"/>
        </w:tabs>
        <w:rPr>
          <w:rFonts w:eastAsia="Times New Roman" w:cs="Times New Roman"/>
          <w:szCs w:val="24"/>
          <w:lang w:val="en"/>
        </w:rPr>
      </w:pPr>
    </w:p>
    <w:p w14:paraId="09EC74D4" w14:textId="77777777" w:rsidR="002F15AA" w:rsidRPr="00546F21" w:rsidRDefault="002F15AA" w:rsidP="0081562C">
      <w:pPr>
        <w:tabs>
          <w:tab w:val="left" w:pos="720"/>
          <w:tab w:val="right" w:pos="9360"/>
        </w:tabs>
        <w:rPr>
          <w:rFonts w:eastAsia="Times New Roman" w:cs="Times New Roman"/>
          <w:szCs w:val="24"/>
        </w:rPr>
      </w:pPr>
    </w:p>
    <w:p w14:paraId="4F4AA51C" w14:textId="77777777" w:rsidR="002F15AA" w:rsidRPr="00546F21" w:rsidRDefault="002F15AA" w:rsidP="0081562C">
      <w:pPr>
        <w:tabs>
          <w:tab w:val="left" w:pos="720"/>
          <w:tab w:val="right" w:pos="9360"/>
        </w:tabs>
        <w:jc w:val="center"/>
        <w:rPr>
          <w:rFonts w:eastAsia="Times New Roman" w:cs="Times New Roman"/>
          <w:b/>
          <w:szCs w:val="24"/>
        </w:rPr>
      </w:pPr>
      <w:r w:rsidRPr="00546F21">
        <w:rPr>
          <w:rFonts w:eastAsia="Times New Roman" w:cs="Times New Roman"/>
          <w:b/>
          <w:szCs w:val="24"/>
        </w:rPr>
        <w:t>Table of Administrative Cases</w:t>
      </w:r>
    </w:p>
    <w:p w14:paraId="7DACF092" w14:textId="77777777" w:rsidR="002F15AA" w:rsidRPr="00546F21" w:rsidRDefault="002F15AA" w:rsidP="0081562C">
      <w:pPr>
        <w:tabs>
          <w:tab w:val="left" w:pos="720"/>
          <w:tab w:val="right" w:pos="9360"/>
        </w:tabs>
        <w:rPr>
          <w:rFonts w:eastAsia="Times New Roman" w:cs="Times New Roman"/>
          <w:szCs w:val="24"/>
        </w:rPr>
      </w:pPr>
    </w:p>
    <w:p w14:paraId="6E96033A" w14:textId="357ADB63" w:rsidR="00694C2A" w:rsidRPr="00546F21" w:rsidRDefault="00694C2A" w:rsidP="00B009BC">
      <w:pPr>
        <w:pStyle w:val="BodyTextIndent2"/>
        <w:tabs>
          <w:tab w:val="left" w:pos="720"/>
          <w:tab w:val="left" w:pos="1440"/>
          <w:tab w:val="left" w:pos="2160"/>
          <w:tab w:val="left" w:pos="2880"/>
          <w:tab w:val="left" w:pos="3600"/>
          <w:tab w:val="right" w:leader="dot" w:pos="9360"/>
        </w:tabs>
        <w:spacing w:line="240" w:lineRule="exact"/>
        <w:ind w:left="0"/>
        <w:rPr>
          <w:rFonts w:ascii="Times New Roman" w:hAnsi="Times New Roman"/>
          <w:i/>
        </w:rPr>
      </w:pPr>
      <w:r w:rsidRPr="00546F21">
        <w:rPr>
          <w:rFonts w:ascii="Times New Roman" w:hAnsi="Times New Roman"/>
          <w:i/>
        </w:rPr>
        <w:t>Amended Petition of Puget Sound Energy, Inc. for an Order Authorizing the Use of the Proceeds From the Sale of Renewable Energy Credits and Carbon Financial Instruments,</w:t>
      </w:r>
      <w:r w:rsidR="003E4751">
        <w:rPr>
          <w:rFonts w:ascii="Times New Roman" w:hAnsi="Times New Roman"/>
          <w:i/>
        </w:rPr>
        <w:t xml:space="preserve"> </w:t>
      </w:r>
    </w:p>
    <w:p w14:paraId="0C06C162" w14:textId="6B70F1C5" w:rsidR="000F450B" w:rsidRPr="00551222" w:rsidRDefault="00694C2A" w:rsidP="00694C2A">
      <w:pPr>
        <w:pStyle w:val="BodyTextIndent2"/>
        <w:tabs>
          <w:tab w:val="left" w:pos="720"/>
          <w:tab w:val="left" w:pos="1440"/>
          <w:tab w:val="left" w:pos="2160"/>
          <w:tab w:val="left" w:pos="2880"/>
          <w:tab w:val="left" w:pos="3600"/>
          <w:tab w:val="right" w:leader="dot" w:pos="9360"/>
        </w:tabs>
        <w:spacing w:line="240" w:lineRule="exact"/>
        <w:ind w:left="720" w:hanging="720"/>
        <w:rPr>
          <w:rFonts w:ascii="Times New Roman" w:hAnsi="Times New Roman"/>
        </w:rPr>
      </w:pPr>
      <w:r w:rsidRPr="00546F21">
        <w:rPr>
          <w:rFonts w:ascii="Times New Roman" w:hAnsi="Times New Roman"/>
          <w:i/>
        </w:rPr>
        <w:tab/>
      </w:r>
      <w:r w:rsidRPr="00546F21">
        <w:rPr>
          <w:rFonts w:ascii="Times New Roman" w:hAnsi="Times New Roman"/>
        </w:rPr>
        <w:t>Docket UE-070725, Order 03</w:t>
      </w:r>
      <w:r w:rsidR="000F450B" w:rsidRPr="00546F21">
        <w:rPr>
          <w:rFonts w:ascii="Times New Roman" w:hAnsi="Times New Roman"/>
        </w:rPr>
        <w:t xml:space="preserve">, Final </w:t>
      </w:r>
      <w:r w:rsidR="000F450B" w:rsidRPr="00551222">
        <w:rPr>
          <w:rFonts w:ascii="Times New Roman" w:hAnsi="Times New Roman"/>
        </w:rPr>
        <w:t>Order</w:t>
      </w:r>
      <w:r w:rsidR="00551222" w:rsidRPr="00551222">
        <w:rPr>
          <w:rFonts w:ascii="Times New Roman" w:hAnsi="Times New Roman"/>
        </w:rPr>
        <w:t xml:space="preserve"> Granting, in Part, and Denying, in Part, Amended Petition; Determining Appropriate Accounting and Use of Net Proceeds From the Sales of Renewable Energy Credits and Carbon Financial Instruments</w:t>
      </w:r>
    </w:p>
    <w:p w14:paraId="7A358312" w14:textId="16809280" w:rsidR="00694C2A" w:rsidRPr="00546F21" w:rsidRDefault="000F450B" w:rsidP="00694C2A">
      <w:pPr>
        <w:pStyle w:val="BodyTextIndent2"/>
        <w:tabs>
          <w:tab w:val="left" w:pos="720"/>
          <w:tab w:val="left" w:pos="1440"/>
          <w:tab w:val="left" w:pos="2160"/>
          <w:tab w:val="left" w:pos="2880"/>
          <w:tab w:val="left" w:pos="3600"/>
          <w:tab w:val="right" w:leader="dot" w:pos="9360"/>
        </w:tabs>
        <w:spacing w:line="240" w:lineRule="exact"/>
        <w:ind w:left="720" w:hanging="720"/>
        <w:rPr>
          <w:rFonts w:ascii="Times New Roman" w:hAnsi="Times New Roman"/>
          <w:i/>
        </w:rPr>
      </w:pPr>
      <w:r w:rsidRPr="00546F21">
        <w:rPr>
          <w:rFonts w:ascii="Times New Roman" w:hAnsi="Times New Roman"/>
        </w:rPr>
        <w:tab/>
        <w:t>282</w:t>
      </w:r>
      <w:r w:rsidR="00D21A20" w:rsidRPr="00546F21">
        <w:rPr>
          <w:rFonts w:ascii="Times New Roman" w:hAnsi="Times New Roman"/>
        </w:rPr>
        <w:t xml:space="preserve"> PUR</w:t>
      </w:r>
      <w:r w:rsidRPr="00546F21">
        <w:rPr>
          <w:rFonts w:ascii="Times New Roman" w:hAnsi="Times New Roman"/>
        </w:rPr>
        <w:t xml:space="preserve"> 4</w:t>
      </w:r>
      <w:r w:rsidRPr="00546F21">
        <w:rPr>
          <w:rFonts w:ascii="Times New Roman" w:hAnsi="Times New Roman"/>
          <w:vertAlign w:val="superscript"/>
        </w:rPr>
        <w:t>th</w:t>
      </w:r>
      <w:r w:rsidRPr="00546F21">
        <w:rPr>
          <w:rFonts w:ascii="Times New Roman" w:hAnsi="Times New Roman"/>
        </w:rPr>
        <w:t xml:space="preserve"> 303 (</w:t>
      </w:r>
      <w:r w:rsidR="00694C2A" w:rsidRPr="00546F21">
        <w:rPr>
          <w:rFonts w:ascii="Times New Roman" w:hAnsi="Times New Roman"/>
        </w:rPr>
        <w:t>2010) (</w:t>
      </w:r>
      <w:r w:rsidR="00694C2A" w:rsidRPr="00546F21">
        <w:rPr>
          <w:rFonts w:ascii="Times New Roman" w:hAnsi="Times New Roman"/>
          <w:i/>
        </w:rPr>
        <w:t>PSE REC Case</w:t>
      </w:r>
      <w:r w:rsidR="00694C2A" w:rsidRPr="00546F21">
        <w:rPr>
          <w:rFonts w:ascii="Times New Roman" w:hAnsi="Times New Roman"/>
        </w:rPr>
        <w:t>)</w:t>
      </w:r>
      <w:r w:rsidR="00151EAE">
        <w:rPr>
          <w:rFonts w:ascii="Times New Roman" w:hAnsi="Times New Roman"/>
        </w:rPr>
        <w:t xml:space="preserve"> </w:t>
      </w:r>
      <w:r w:rsidR="00151EAE">
        <w:rPr>
          <w:rFonts w:ascii="Times New Roman" w:hAnsi="Times New Roman"/>
        </w:rPr>
        <w:tab/>
        <w:t>5, 6</w:t>
      </w:r>
    </w:p>
    <w:p w14:paraId="71F24BC3" w14:textId="77777777" w:rsidR="00694C2A" w:rsidRPr="00546F21" w:rsidRDefault="00694C2A" w:rsidP="00B009BC">
      <w:pPr>
        <w:pStyle w:val="BodyTextIndent2"/>
        <w:tabs>
          <w:tab w:val="left" w:pos="720"/>
          <w:tab w:val="left" w:pos="1440"/>
          <w:tab w:val="left" w:pos="2160"/>
          <w:tab w:val="left" w:pos="2880"/>
          <w:tab w:val="left" w:pos="3600"/>
          <w:tab w:val="right" w:leader="dot" w:pos="9360"/>
        </w:tabs>
        <w:spacing w:line="240" w:lineRule="exact"/>
        <w:ind w:left="0"/>
        <w:rPr>
          <w:rFonts w:ascii="Times New Roman" w:hAnsi="Times New Roman"/>
          <w:i/>
        </w:rPr>
      </w:pPr>
    </w:p>
    <w:p w14:paraId="0EB18545" w14:textId="77777777" w:rsidR="003E4751" w:rsidRDefault="003E4751" w:rsidP="00B009BC">
      <w:pPr>
        <w:pStyle w:val="BodyTextIndent2"/>
        <w:tabs>
          <w:tab w:val="left" w:pos="720"/>
          <w:tab w:val="left" w:pos="1440"/>
          <w:tab w:val="left" w:pos="2160"/>
          <w:tab w:val="left" w:pos="2880"/>
          <w:tab w:val="left" w:pos="3600"/>
          <w:tab w:val="right" w:leader="dot" w:pos="9360"/>
        </w:tabs>
        <w:spacing w:line="240" w:lineRule="exact"/>
        <w:ind w:left="0"/>
        <w:rPr>
          <w:rFonts w:ascii="Times New Roman" w:hAnsi="Times New Roman"/>
          <w:i/>
        </w:rPr>
      </w:pPr>
      <w:r w:rsidRPr="003E4751">
        <w:rPr>
          <w:rFonts w:ascii="Times New Roman" w:hAnsi="Times New Roman"/>
          <w:i/>
        </w:rPr>
        <w:t xml:space="preserve">Application of Avista Corp. for Authority to Sell its Interest in the Coal-Fired Centralia </w:t>
      </w:r>
    </w:p>
    <w:p w14:paraId="7A98D6C7" w14:textId="4B526A74" w:rsidR="003E4751" w:rsidRDefault="003E4751" w:rsidP="00B009BC">
      <w:pPr>
        <w:pStyle w:val="BodyTextIndent2"/>
        <w:tabs>
          <w:tab w:val="left" w:pos="720"/>
          <w:tab w:val="left" w:pos="1440"/>
          <w:tab w:val="left" w:pos="2160"/>
          <w:tab w:val="left" w:pos="2880"/>
          <w:tab w:val="left" w:pos="3600"/>
          <w:tab w:val="right" w:leader="dot" w:pos="9360"/>
        </w:tabs>
        <w:spacing w:line="240" w:lineRule="exact"/>
        <w:ind w:left="0"/>
        <w:rPr>
          <w:rFonts w:ascii="Times New Roman" w:hAnsi="Times New Roman"/>
        </w:rPr>
      </w:pPr>
      <w:r w:rsidRPr="003E4751">
        <w:rPr>
          <w:rFonts w:ascii="Times New Roman" w:hAnsi="Times New Roman"/>
          <w:i/>
        </w:rPr>
        <w:t>Power Plant</w:t>
      </w:r>
      <w:r w:rsidRPr="003E4751">
        <w:rPr>
          <w:rFonts w:ascii="Times New Roman" w:hAnsi="Times New Roman"/>
        </w:rPr>
        <w:t xml:space="preserve">, </w:t>
      </w:r>
    </w:p>
    <w:p w14:paraId="11AAB6D7" w14:textId="5ECCCB12" w:rsidR="003E4751" w:rsidRDefault="003E4751" w:rsidP="00B009BC">
      <w:pPr>
        <w:pStyle w:val="BodyTextIndent2"/>
        <w:tabs>
          <w:tab w:val="left" w:pos="720"/>
          <w:tab w:val="left" w:pos="1440"/>
          <w:tab w:val="left" w:pos="2160"/>
          <w:tab w:val="left" w:pos="2880"/>
          <w:tab w:val="left" w:pos="3600"/>
          <w:tab w:val="right" w:leader="dot" w:pos="9360"/>
        </w:tabs>
        <w:spacing w:line="240" w:lineRule="exact"/>
        <w:ind w:left="0"/>
        <w:rPr>
          <w:rFonts w:ascii="Times New Roman" w:hAnsi="Times New Roman"/>
        </w:rPr>
      </w:pPr>
      <w:r>
        <w:rPr>
          <w:rFonts w:ascii="Times New Roman" w:hAnsi="Times New Roman"/>
        </w:rPr>
        <w:tab/>
      </w:r>
      <w:r w:rsidRPr="003E4751">
        <w:rPr>
          <w:rFonts w:ascii="Times New Roman" w:hAnsi="Times New Roman"/>
        </w:rPr>
        <w:t xml:space="preserve">Docket No. UE-991255, </w:t>
      </w:r>
      <w:r w:rsidRPr="003E4751">
        <w:rPr>
          <w:rFonts w:ascii="Times New Roman" w:hAnsi="Times New Roman"/>
          <w:i/>
        </w:rPr>
        <w:t>et al.</w:t>
      </w:r>
      <w:r w:rsidRPr="003E4751">
        <w:rPr>
          <w:rFonts w:ascii="Times New Roman" w:hAnsi="Times New Roman"/>
        </w:rPr>
        <w:t xml:space="preserve">, </w:t>
      </w:r>
      <w:r>
        <w:rPr>
          <w:rFonts w:ascii="Times New Roman" w:hAnsi="Times New Roman"/>
        </w:rPr>
        <w:t>2</w:t>
      </w:r>
      <w:r w:rsidRPr="003E4751">
        <w:rPr>
          <w:rFonts w:ascii="Times New Roman" w:hAnsi="Times New Roman"/>
          <w:vertAlign w:val="superscript"/>
        </w:rPr>
        <w:t>nd</w:t>
      </w:r>
      <w:r>
        <w:rPr>
          <w:rFonts w:ascii="Times New Roman" w:hAnsi="Times New Roman"/>
        </w:rPr>
        <w:t xml:space="preserve"> </w:t>
      </w:r>
      <w:r w:rsidRPr="003E4751">
        <w:rPr>
          <w:rFonts w:ascii="Times New Roman" w:hAnsi="Times New Roman"/>
        </w:rPr>
        <w:t>Supplemental Order (March 6, 2000)</w:t>
      </w:r>
      <w:r>
        <w:rPr>
          <w:rFonts w:ascii="Times New Roman" w:hAnsi="Times New Roman"/>
        </w:rPr>
        <w:t xml:space="preserve"> </w:t>
      </w:r>
      <w:r>
        <w:rPr>
          <w:rFonts w:ascii="Times New Roman" w:hAnsi="Times New Roman"/>
        </w:rPr>
        <w:tab/>
        <w:t>6</w:t>
      </w:r>
    </w:p>
    <w:p w14:paraId="54FCFEFA" w14:textId="77777777" w:rsidR="003E4751" w:rsidRDefault="003E4751" w:rsidP="00B009BC">
      <w:pPr>
        <w:pStyle w:val="BodyTextIndent2"/>
        <w:tabs>
          <w:tab w:val="left" w:pos="720"/>
          <w:tab w:val="left" w:pos="1440"/>
          <w:tab w:val="left" w:pos="2160"/>
          <w:tab w:val="left" w:pos="2880"/>
          <w:tab w:val="left" w:pos="3600"/>
          <w:tab w:val="right" w:leader="dot" w:pos="9360"/>
        </w:tabs>
        <w:spacing w:line="240" w:lineRule="exact"/>
        <w:ind w:left="0"/>
        <w:rPr>
          <w:rFonts w:ascii="Times New Roman" w:hAnsi="Times New Roman"/>
        </w:rPr>
      </w:pPr>
    </w:p>
    <w:p w14:paraId="77516C5A" w14:textId="08CE8CEC" w:rsidR="00E16C42" w:rsidRPr="00546F21" w:rsidRDefault="00B009BC" w:rsidP="00B009BC">
      <w:pPr>
        <w:pStyle w:val="BodyTextIndent2"/>
        <w:tabs>
          <w:tab w:val="left" w:pos="720"/>
          <w:tab w:val="left" w:pos="1440"/>
          <w:tab w:val="left" w:pos="2160"/>
          <w:tab w:val="left" w:pos="2880"/>
          <w:tab w:val="left" w:pos="3600"/>
          <w:tab w:val="right" w:leader="dot" w:pos="9360"/>
        </w:tabs>
        <w:spacing w:line="240" w:lineRule="exact"/>
        <w:ind w:left="0"/>
        <w:rPr>
          <w:rFonts w:ascii="Times New Roman" w:hAnsi="Times New Roman"/>
        </w:rPr>
      </w:pPr>
      <w:r w:rsidRPr="00546F21">
        <w:rPr>
          <w:rFonts w:ascii="Times New Roman" w:hAnsi="Times New Roman"/>
          <w:i/>
        </w:rPr>
        <w:t>Application of PacifiCorp</w:t>
      </w:r>
      <w:r w:rsidRPr="00546F21">
        <w:rPr>
          <w:rFonts w:ascii="Times New Roman" w:hAnsi="Times New Roman"/>
        </w:rPr>
        <w:t xml:space="preserve">, </w:t>
      </w:r>
    </w:p>
    <w:p w14:paraId="09B6A3EC" w14:textId="35A61D78" w:rsidR="00B009BC" w:rsidRPr="00546F21" w:rsidRDefault="00E16C42" w:rsidP="00B009BC">
      <w:pPr>
        <w:pStyle w:val="BodyTextIndent2"/>
        <w:tabs>
          <w:tab w:val="left" w:pos="720"/>
          <w:tab w:val="left" w:pos="1440"/>
          <w:tab w:val="left" w:pos="2160"/>
          <w:tab w:val="left" w:pos="2880"/>
          <w:tab w:val="left" w:pos="3600"/>
          <w:tab w:val="right" w:leader="dot" w:pos="9360"/>
        </w:tabs>
        <w:spacing w:line="240" w:lineRule="exact"/>
        <w:ind w:left="0"/>
        <w:rPr>
          <w:rFonts w:ascii="Times New Roman" w:hAnsi="Times New Roman"/>
        </w:rPr>
      </w:pPr>
      <w:r w:rsidRPr="00546F21">
        <w:rPr>
          <w:rFonts w:ascii="Times New Roman" w:hAnsi="Times New Roman"/>
        </w:rPr>
        <w:tab/>
      </w:r>
      <w:r w:rsidR="00B009BC" w:rsidRPr="00546F21">
        <w:rPr>
          <w:rFonts w:ascii="Times New Roman" w:hAnsi="Times New Roman"/>
        </w:rPr>
        <w:t>68</w:t>
      </w:r>
      <w:r w:rsidR="008C67D6" w:rsidRPr="00546F21">
        <w:rPr>
          <w:rFonts w:ascii="Times New Roman" w:hAnsi="Times New Roman"/>
        </w:rPr>
        <w:t xml:space="preserve"> </w:t>
      </w:r>
      <w:r w:rsidR="00D21A20" w:rsidRPr="00546F21">
        <w:rPr>
          <w:rFonts w:ascii="Times New Roman" w:hAnsi="Times New Roman"/>
        </w:rPr>
        <w:t>PUR</w:t>
      </w:r>
      <w:r w:rsidR="008C67D6" w:rsidRPr="00546F21">
        <w:rPr>
          <w:rFonts w:ascii="Times New Roman" w:hAnsi="Times New Roman"/>
        </w:rPr>
        <w:t xml:space="preserve"> </w:t>
      </w:r>
      <w:r w:rsidR="00D21A20" w:rsidRPr="00546F21">
        <w:rPr>
          <w:rFonts w:ascii="Times New Roman" w:hAnsi="Times New Roman"/>
        </w:rPr>
        <w:t>4th 573</w:t>
      </w:r>
      <w:r w:rsidR="00B009BC" w:rsidRPr="00546F21">
        <w:rPr>
          <w:rFonts w:ascii="Times New Roman" w:hAnsi="Times New Roman"/>
        </w:rPr>
        <w:t xml:space="preserve"> (Wyo. PSC 1985)</w:t>
      </w:r>
      <w:r w:rsidR="00B009BC" w:rsidRPr="00546F21">
        <w:rPr>
          <w:rFonts w:ascii="Times New Roman" w:hAnsi="Times New Roman"/>
        </w:rPr>
        <w:tab/>
      </w:r>
      <w:r w:rsidR="00694C2A" w:rsidRPr="00546F21">
        <w:rPr>
          <w:rFonts w:ascii="Times New Roman" w:hAnsi="Times New Roman"/>
        </w:rPr>
        <w:t>8</w:t>
      </w:r>
      <w:r w:rsidR="00151EAE">
        <w:rPr>
          <w:rFonts w:ascii="Times New Roman" w:hAnsi="Times New Roman"/>
        </w:rPr>
        <w:t>, 31</w:t>
      </w:r>
    </w:p>
    <w:p w14:paraId="3EBB4583" w14:textId="77777777" w:rsidR="00B009BC" w:rsidRPr="00546F21" w:rsidRDefault="00B009BC" w:rsidP="00B009BC">
      <w:pPr>
        <w:pStyle w:val="BodyTextIndent2"/>
        <w:tabs>
          <w:tab w:val="left" w:pos="720"/>
          <w:tab w:val="left" w:pos="1440"/>
          <w:tab w:val="left" w:pos="2160"/>
          <w:tab w:val="right" w:leader="dot" w:pos="9360"/>
        </w:tabs>
        <w:spacing w:line="240" w:lineRule="exact"/>
        <w:ind w:left="0"/>
        <w:rPr>
          <w:rFonts w:ascii="Times New Roman" w:hAnsi="Times New Roman"/>
        </w:rPr>
      </w:pPr>
    </w:p>
    <w:p w14:paraId="316695F2" w14:textId="77777777" w:rsidR="00E16C42" w:rsidRPr="00546F21" w:rsidRDefault="00B009BC" w:rsidP="00B009BC">
      <w:pPr>
        <w:pStyle w:val="BodyTextIndent2"/>
        <w:tabs>
          <w:tab w:val="left" w:pos="720"/>
          <w:tab w:val="left" w:pos="1440"/>
          <w:tab w:val="left" w:pos="2160"/>
          <w:tab w:val="left" w:pos="2880"/>
          <w:tab w:val="left" w:pos="3600"/>
          <w:tab w:val="right" w:leader="dot" w:pos="9360"/>
        </w:tabs>
        <w:spacing w:line="240" w:lineRule="exact"/>
        <w:ind w:left="0"/>
        <w:rPr>
          <w:rFonts w:ascii="Times New Roman" w:hAnsi="Times New Roman"/>
        </w:rPr>
      </w:pPr>
      <w:r w:rsidRPr="00546F21">
        <w:rPr>
          <w:rFonts w:ascii="Times New Roman" w:hAnsi="Times New Roman"/>
          <w:i/>
        </w:rPr>
        <w:t>Application of PacifiCorp</w:t>
      </w:r>
      <w:r w:rsidRPr="00546F21">
        <w:rPr>
          <w:rFonts w:ascii="Times New Roman" w:hAnsi="Times New Roman"/>
        </w:rPr>
        <w:t xml:space="preserve">, </w:t>
      </w:r>
    </w:p>
    <w:p w14:paraId="47933935" w14:textId="77777777" w:rsidR="00E16C42" w:rsidRPr="00546F21" w:rsidRDefault="00E16C42" w:rsidP="00B009BC">
      <w:pPr>
        <w:pStyle w:val="BodyTextIndent2"/>
        <w:tabs>
          <w:tab w:val="left" w:pos="720"/>
          <w:tab w:val="left" w:pos="1440"/>
          <w:tab w:val="left" w:pos="2160"/>
          <w:tab w:val="left" w:pos="2880"/>
          <w:tab w:val="left" w:pos="3600"/>
          <w:tab w:val="right" w:leader="dot" w:pos="9360"/>
        </w:tabs>
        <w:spacing w:line="240" w:lineRule="exact"/>
        <w:ind w:left="0"/>
        <w:rPr>
          <w:rFonts w:ascii="Times New Roman" w:hAnsi="Times New Roman"/>
        </w:rPr>
      </w:pPr>
      <w:r w:rsidRPr="00546F21">
        <w:rPr>
          <w:rFonts w:ascii="Times New Roman" w:hAnsi="Times New Roman"/>
        </w:rPr>
        <w:tab/>
      </w:r>
      <w:r w:rsidR="00B009BC" w:rsidRPr="00546F21">
        <w:rPr>
          <w:rFonts w:ascii="Times New Roman" w:hAnsi="Times New Roman"/>
        </w:rPr>
        <w:t xml:space="preserve">Docket UP-187, </w:t>
      </w:r>
      <w:r w:rsidR="00092555" w:rsidRPr="00546F21">
        <w:rPr>
          <w:rFonts w:ascii="Times New Roman" w:hAnsi="Times New Roman"/>
        </w:rPr>
        <w:t xml:space="preserve">Order 01-830, </w:t>
      </w:r>
      <w:r w:rsidR="00B009BC" w:rsidRPr="00546F21">
        <w:rPr>
          <w:rFonts w:ascii="Times New Roman" w:hAnsi="Times New Roman"/>
        </w:rPr>
        <w:t>2001 WL 1335742</w:t>
      </w:r>
    </w:p>
    <w:p w14:paraId="76068D5A" w14:textId="77777777" w:rsidR="00B009BC" w:rsidRPr="00546F21" w:rsidRDefault="00E16C42" w:rsidP="00B009BC">
      <w:pPr>
        <w:pStyle w:val="BodyTextIndent2"/>
        <w:tabs>
          <w:tab w:val="left" w:pos="720"/>
          <w:tab w:val="left" w:pos="1440"/>
          <w:tab w:val="left" w:pos="2160"/>
          <w:tab w:val="left" w:pos="2880"/>
          <w:tab w:val="left" w:pos="3600"/>
          <w:tab w:val="right" w:leader="dot" w:pos="9360"/>
        </w:tabs>
        <w:spacing w:line="240" w:lineRule="exact"/>
        <w:ind w:left="0"/>
        <w:rPr>
          <w:rFonts w:ascii="Times New Roman" w:hAnsi="Times New Roman"/>
        </w:rPr>
      </w:pPr>
      <w:r w:rsidRPr="00546F21">
        <w:rPr>
          <w:rFonts w:ascii="Times New Roman" w:hAnsi="Times New Roman"/>
        </w:rPr>
        <w:tab/>
      </w:r>
      <w:r w:rsidR="00B009BC" w:rsidRPr="00546F21">
        <w:rPr>
          <w:rFonts w:ascii="Times New Roman" w:hAnsi="Times New Roman"/>
        </w:rPr>
        <w:t>(Or. PUC Sept. 26, 2001)</w:t>
      </w:r>
      <w:r w:rsidR="00B009BC" w:rsidRPr="00546F21">
        <w:rPr>
          <w:rFonts w:ascii="Times New Roman" w:hAnsi="Times New Roman"/>
        </w:rPr>
        <w:tab/>
      </w:r>
      <w:r w:rsidR="00694C2A" w:rsidRPr="00546F21">
        <w:rPr>
          <w:rFonts w:ascii="Times New Roman" w:hAnsi="Times New Roman"/>
        </w:rPr>
        <w:tab/>
        <w:t>8</w:t>
      </w:r>
    </w:p>
    <w:p w14:paraId="7469B37F" w14:textId="77777777" w:rsidR="00B009BC" w:rsidRPr="00546F21" w:rsidRDefault="00B009BC" w:rsidP="00B009BC">
      <w:pPr>
        <w:pStyle w:val="BodyTextIndent2"/>
        <w:tabs>
          <w:tab w:val="left" w:pos="720"/>
          <w:tab w:val="right" w:leader="dot" w:pos="9360"/>
        </w:tabs>
        <w:spacing w:line="240" w:lineRule="exact"/>
        <w:ind w:left="0"/>
        <w:rPr>
          <w:rFonts w:ascii="Times New Roman" w:hAnsi="Times New Roman"/>
        </w:rPr>
      </w:pPr>
    </w:p>
    <w:p w14:paraId="16180E71" w14:textId="77777777" w:rsidR="00E16C42" w:rsidRPr="00546F21" w:rsidRDefault="00B009BC" w:rsidP="00B009BC">
      <w:pPr>
        <w:pStyle w:val="BodyTextIndent2"/>
        <w:tabs>
          <w:tab w:val="left" w:pos="720"/>
          <w:tab w:val="right" w:leader="dot" w:pos="9360"/>
        </w:tabs>
        <w:spacing w:line="240" w:lineRule="exact"/>
        <w:ind w:left="0"/>
        <w:rPr>
          <w:rFonts w:ascii="Times New Roman" w:hAnsi="Times New Roman"/>
          <w:i/>
        </w:rPr>
      </w:pPr>
      <w:r w:rsidRPr="00546F21">
        <w:rPr>
          <w:rFonts w:ascii="Times New Roman" w:hAnsi="Times New Roman"/>
          <w:i/>
        </w:rPr>
        <w:t>Application of Puget Sound Energy, Inc. for Approval of the Proposed</w:t>
      </w:r>
      <w:r w:rsidR="00E16C42" w:rsidRPr="00546F21">
        <w:rPr>
          <w:rFonts w:ascii="Times New Roman" w:hAnsi="Times New Roman"/>
          <w:i/>
        </w:rPr>
        <w:t xml:space="preserve"> </w:t>
      </w:r>
      <w:r w:rsidRPr="00546F21">
        <w:rPr>
          <w:rFonts w:ascii="Times New Roman" w:hAnsi="Times New Roman"/>
          <w:i/>
        </w:rPr>
        <w:t xml:space="preserve">Sale of PSE’s Share </w:t>
      </w:r>
    </w:p>
    <w:p w14:paraId="33EECFE8" w14:textId="77777777" w:rsidR="008C67D6" w:rsidRPr="00546F21" w:rsidRDefault="00B009BC" w:rsidP="00B009BC">
      <w:pPr>
        <w:pStyle w:val="BodyTextIndent2"/>
        <w:tabs>
          <w:tab w:val="left" w:pos="720"/>
          <w:tab w:val="right" w:leader="dot" w:pos="9360"/>
        </w:tabs>
        <w:spacing w:line="240" w:lineRule="exact"/>
        <w:ind w:left="0"/>
        <w:rPr>
          <w:rFonts w:ascii="Times New Roman" w:hAnsi="Times New Roman"/>
        </w:rPr>
      </w:pPr>
      <w:r w:rsidRPr="00546F21">
        <w:rPr>
          <w:rFonts w:ascii="Times New Roman" w:hAnsi="Times New Roman"/>
          <w:i/>
        </w:rPr>
        <w:t>of the Centralia Facilities, and Authorization to</w:t>
      </w:r>
      <w:r w:rsidR="00E16C42" w:rsidRPr="00546F21">
        <w:rPr>
          <w:rFonts w:ascii="Times New Roman" w:hAnsi="Times New Roman"/>
          <w:i/>
        </w:rPr>
        <w:t xml:space="preserve"> </w:t>
      </w:r>
      <w:r w:rsidRPr="00546F21">
        <w:rPr>
          <w:rFonts w:ascii="Times New Roman" w:hAnsi="Times New Roman"/>
          <w:i/>
        </w:rPr>
        <w:t>Amortize Gain Over a Five-Year Period</w:t>
      </w:r>
      <w:r w:rsidRPr="00546F21">
        <w:rPr>
          <w:rFonts w:ascii="Times New Roman" w:hAnsi="Times New Roman"/>
        </w:rPr>
        <w:t xml:space="preserve"> </w:t>
      </w:r>
    </w:p>
    <w:p w14:paraId="0022F931" w14:textId="17811EAC" w:rsidR="00551222" w:rsidRDefault="008C67D6" w:rsidP="00B009BC">
      <w:pPr>
        <w:pStyle w:val="BodyTextIndent2"/>
        <w:tabs>
          <w:tab w:val="left" w:pos="720"/>
          <w:tab w:val="right" w:leader="dot" w:pos="9360"/>
        </w:tabs>
        <w:spacing w:line="240" w:lineRule="exact"/>
        <w:ind w:left="0"/>
        <w:rPr>
          <w:rFonts w:ascii="Times New Roman" w:hAnsi="Times New Roman"/>
        </w:rPr>
      </w:pPr>
      <w:r w:rsidRPr="00546F21">
        <w:rPr>
          <w:rFonts w:ascii="Times New Roman" w:hAnsi="Times New Roman"/>
        </w:rPr>
        <w:tab/>
      </w:r>
      <w:r w:rsidR="00B009BC" w:rsidRPr="00546F21">
        <w:rPr>
          <w:rFonts w:ascii="Times New Roman" w:hAnsi="Times New Roman"/>
        </w:rPr>
        <w:t>Docket UE-991409</w:t>
      </w:r>
      <w:r w:rsidR="00694C2A" w:rsidRPr="00546F21">
        <w:rPr>
          <w:rFonts w:ascii="Times New Roman" w:hAnsi="Times New Roman"/>
        </w:rPr>
        <w:t xml:space="preserve"> et al.</w:t>
      </w:r>
      <w:r w:rsidR="00551222">
        <w:rPr>
          <w:rFonts w:ascii="Times New Roman" w:hAnsi="Times New Roman"/>
        </w:rPr>
        <w:t xml:space="preserve">, </w:t>
      </w:r>
      <w:r w:rsidR="00975A89">
        <w:rPr>
          <w:rFonts w:ascii="Times New Roman" w:hAnsi="Times New Roman"/>
        </w:rPr>
        <w:t>2</w:t>
      </w:r>
      <w:r w:rsidR="00975A89" w:rsidRPr="00975A89">
        <w:rPr>
          <w:rFonts w:ascii="Times New Roman" w:hAnsi="Times New Roman"/>
          <w:vertAlign w:val="superscript"/>
        </w:rPr>
        <w:t>nd</w:t>
      </w:r>
      <w:r w:rsidR="00975A89">
        <w:rPr>
          <w:rFonts w:ascii="Times New Roman" w:hAnsi="Times New Roman"/>
        </w:rPr>
        <w:t xml:space="preserve"> </w:t>
      </w:r>
      <w:r w:rsidR="00551222">
        <w:rPr>
          <w:rFonts w:ascii="Times New Roman" w:hAnsi="Times New Roman"/>
        </w:rPr>
        <w:t xml:space="preserve">Supplemental Order, Order Approving Sale </w:t>
      </w:r>
    </w:p>
    <w:p w14:paraId="6BAABC5D" w14:textId="0D686086" w:rsidR="00B009BC" w:rsidRPr="00546F21" w:rsidRDefault="00551222" w:rsidP="00B009BC">
      <w:pPr>
        <w:pStyle w:val="BodyTextIndent2"/>
        <w:tabs>
          <w:tab w:val="left" w:pos="720"/>
          <w:tab w:val="right" w:leader="dot" w:pos="9360"/>
        </w:tabs>
        <w:spacing w:line="240" w:lineRule="exact"/>
        <w:ind w:left="0"/>
        <w:rPr>
          <w:rFonts w:ascii="Times New Roman" w:hAnsi="Times New Roman"/>
        </w:rPr>
      </w:pPr>
      <w:r>
        <w:rPr>
          <w:rFonts w:ascii="Times New Roman" w:hAnsi="Times New Roman"/>
        </w:rPr>
        <w:tab/>
        <w:t>with Conditions (March 6, 2000)</w:t>
      </w:r>
      <w:r w:rsidR="00694C2A" w:rsidRPr="00546F21">
        <w:rPr>
          <w:rFonts w:ascii="Times New Roman" w:hAnsi="Times New Roman"/>
        </w:rPr>
        <w:t xml:space="preserve"> (</w:t>
      </w:r>
      <w:r w:rsidR="00694C2A" w:rsidRPr="00546F21">
        <w:rPr>
          <w:rFonts w:ascii="Times New Roman" w:hAnsi="Times New Roman"/>
          <w:i/>
        </w:rPr>
        <w:t>Centralia Case</w:t>
      </w:r>
      <w:r w:rsidR="00694C2A" w:rsidRPr="00546F21">
        <w:rPr>
          <w:rFonts w:ascii="Times New Roman" w:hAnsi="Times New Roman"/>
        </w:rPr>
        <w:t>)</w:t>
      </w:r>
      <w:r w:rsidR="00B009BC" w:rsidRPr="00546F21">
        <w:rPr>
          <w:rFonts w:ascii="Times New Roman" w:hAnsi="Times New Roman"/>
        </w:rPr>
        <w:tab/>
      </w:r>
      <w:r w:rsidR="00151EAE">
        <w:rPr>
          <w:rFonts w:ascii="Times New Roman" w:hAnsi="Times New Roman"/>
        </w:rPr>
        <w:t>19-</w:t>
      </w:r>
      <w:r w:rsidR="00694C2A" w:rsidRPr="00546F21">
        <w:rPr>
          <w:rFonts w:ascii="Times New Roman" w:hAnsi="Times New Roman"/>
        </w:rPr>
        <w:t>21,</w:t>
      </w:r>
      <w:r w:rsidR="00151EAE">
        <w:rPr>
          <w:rFonts w:ascii="Times New Roman" w:hAnsi="Times New Roman"/>
        </w:rPr>
        <w:t>31-</w:t>
      </w:r>
      <w:r w:rsidR="00694C2A" w:rsidRPr="00546F21">
        <w:rPr>
          <w:rFonts w:ascii="Times New Roman" w:hAnsi="Times New Roman"/>
        </w:rPr>
        <w:t>33</w:t>
      </w:r>
      <w:r w:rsidR="00151EAE">
        <w:rPr>
          <w:rFonts w:ascii="Times New Roman" w:hAnsi="Times New Roman"/>
        </w:rPr>
        <w:t>, 35</w:t>
      </w:r>
    </w:p>
    <w:p w14:paraId="100927C3" w14:textId="77777777" w:rsidR="00B009BC" w:rsidRDefault="00B009BC" w:rsidP="00B009BC">
      <w:pPr>
        <w:pStyle w:val="BodyTextIndent2"/>
        <w:tabs>
          <w:tab w:val="left" w:pos="720"/>
          <w:tab w:val="left" w:pos="1440"/>
          <w:tab w:val="left" w:pos="2160"/>
          <w:tab w:val="right" w:leader="dot" w:pos="9360"/>
        </w:tabs>
        <w:spacing w:line="240" w:lineRule="exact"/>
        <w:ind w:left="0"/>
        <w:rPr>
          <w:rFonts w:ascii="Times New Roman" w:hAnsi="Times New Roman"/>
        </w:rPr>
      </w:pPr>
    </w:p>
    <w:p w14:paraId="75FA4F0D" w14:textId="30E63296" w:rsidR="00151EAE" w:rsidRPr="00546F21" w:rsidRDefault="00151EAE" w:rsidP="00151EAE">
      <w:pPr>
        <w:pStyle w:val="BodyTextIndent2"/>
        <w:keepNext/>
        <w:tabs>
          <w:tab w:val="left" w:pos="720"/>
          <w:tab w:val="left" w:pos="1440"/>
          <w:tab w:val="right" w:leader="dot" w:pos="9360"/>
        </w:tabs>
        <w:spacing w:line="240" w:lineRule="exact"/>
        <w:ind w:left="0"/>
        <w:rPr>
          <w:rFonts w:ascii="Times New Roman" w:hAnsi="Times New Roman"/>
          <w:i/>
        </w:rPr>
      </w:pPr>
      <w:r w:rsidRPr="00546F21">
        <w:rPr>
          <w:rFonts w:ascii="Times New Roman" w:hAnsi="Times New Roman"/>
          <w:i/>
        </w:rPr>
        <w:lastRenderedPageBreak/>
        <w:t xml:space="preserve">Application of Puget Sound Energy, Inc. for an Order Authorizing the Sale of the Water Rights and Associated Assets of the Electron Hydroelectric Project </w:t>
      </w:r>
    </w:p>
    <w:p w14:paraId="1EB791D9" w14:textId="77777777" w:rsidR="00151EAE" w:rsidRDefault="00151EAE" w:rsidP="00151EAE">
      <w:pPr>
        <w:pStyle w:val="BodyTextIndent2"/>
        <w:tabs>
          <w:tab w:val="left" w:pos="720"/>
          <w:tab w:val="left" w:pos="1440"/>
          <w:tab w:val="right" w:leader="dot" w:pos="9360"/>
        </w:tabs>
        <w:spacing w:line="240" w:lineRule="exact"/>
        <w:ind w:left="0"/>
        <w:rPr>
          <w:rFonts w:ascii="Times New Roman" w:hAnsi="Times New Roman"/>
        </w:rPr>
      </w:pPr>
      <w:r w:rsidRPr="00546F21">
        <w:rPr>
          <w:rFonts w:ascii="Times New Roman" w:hAnsi="Times New Roman"/>
        </w:rPr>
        <w:tab/>
        <w:t xml:space="preserve">Docket UE-131099 et al., Final </w:t>
      </w:r>
      <w:r w:rsidRPr="00551222">
        <w:rPr>
          <w:rFonts w:ascii="Times New Roman" w:hAnsi="Times New Roman"/>
        </w:rPr>
        <w:t xml:space="preserve">Order Approving and Adopting Settlement </w:t>
      </w:r>
    </w:p>
    <w:p w14:paraId="0362E982" w14:textId="7E25ABC9" w:rsidR="00151EAE" w:rsidRPr="00546F21" w:rsidRDefault="00151EAE" w:rsidP="00151EAE">
      <w:pPr>
        <w:pStyle w:val="BodyTextIndent2"/>
        <w:tabs>
          <w:tab w:val="left" w:pos="720"/>
          <w:tab w:val="left" w:pos="1440"/>
          <w:tab w:val="right" w:leader="dot" w:pos="9360"/>
        </w:tabs>
        <w:spacing w:line="240" w:lineRule="exact"/>
        <w:ind w:left="0"/>
        <w:rPr>
          <w:rFonts w:ascii="Times New Roman" w:hAnsi="Times New Roman"/>
        </w:rPr>
      </w:pPr>
      <w:r>
        <w:rPr>
          <w:rFonts w:ascii="Times New Roman" w:hAnsi="Times New Roman"/>
        </w:rPr>
        <w:tab/>
      </w:r>
      <w:r w:rsidRPr="00551222">
        <w:rPr>
          <w:rFonts w:ascii="Times New Roman" w:hAnsi="Times New Roman"/>
        </w:rPr>
        <w:t xml:space="preserve">Agreement </w:t>
      </w:r>
      <w:r w:rsidRPr="00546F21">
        <w:rPr>
          <w:rFonts w:ascii="Times New Roman" w:hAnsi="Times New Roman"/>
        </w:rPr>
        <w:t>(October 23, 2013) (</w:t>
      </w:r>
      <w:r w:rsidRPr="00546F21">
        <w:rPr>
          <w:rFonts w:ascii="Times New Roman" w:hAnsi="Times New Roman"/>
          <w:i/>
        </w:rPr>
        <w:t>PSE Electron Case</w:t>
      </w:r>
      <w:r w:rsidRPr="00546F21">
        <w:rPr>
          <w:rFonts w:ascii="Times New Roman" w:hAnsi="Times New Roman"/>
        </w:rPr>
        <w:t>)</w:t>
      </w:r>
      <w:r w:rsidRPr="00546F21">
        <w:rPr>
          <w:rFonts w:ascii="Times New Roman" w:hAnsi="Times New Roman"/>
        </w:rPr>
        <w:tab/>
      </w:r>
      <w:r>
        <w:rPr>
          <w:rFonts w:ascii="Times New Roman" w:hAnsi="Times New Roman"/>
        </w:rPr>
        <w:t xml:space="preserve">25, </w:t>
      </w:r>
      <w:r w:rsidRPr="00546F21">
        <w:rPr>
          <w:rFonts w:ascii="Times New Roman" w:hAnsi="Times New Roman"/>
        </w:rPr>
        <w:t>26, 27</w:t>
      </w:r>
    </w:p>
    <w:p w14:paraId="04A4D222" w14:textId="77777777" w:rsidR="00151EAE" w:rsidRPr="00546F21" w:rsidRDefault="00151EAE" w:rsidP="00151EAE">
      <w:pPr>
        <w:pStyle w:val="BodyTextIndent2"/>
        <w:tabs>
          <w:tab w:val="left" w:pos="720"/>
          <w:tab w:val="left" w:pos="1440"/>
          <w:tab w:val="right" w:leader="dot" w:pos="9360"/>
        </w:tabs>
        <w:spacing w:line="240" w:lineRule="exact"/>
        <w:ind w:left="0"/>
        <w:rPr>
          <w:rFonts w:ascii="Times New Roman" w:hAnsi="Times New Roman"/>
        </w:rPr>
      </w:pPr>
    </w:p>
    <w:p w14:paraId="4A470D93" w14:textId="77777777" w:rsidR="0081562C" w:rsidRPr="00546F21" w:rsidRDefault="0081562C" w:rsidP="00DB38AF">
      <w:pPr>
        <w:pStyle w:val="BodyTextIndent2"/>
        <w:keepNext/>
        <w:tabs>
          <w:tab w:val="left" w:pos="720"/>
          <w:tab w:val="left" w:pos="1440"/>
          <w:tab w:val="left" w:pos="2160"/>
          <w:tab w:val="right" w:pos="9360"/>
        </w:tabs>
        <w:spacing w:line="240" w:lineRule="exact"/>
        <w:ind w:left="0"/>
        <w:rPr>
          <w:rFonts w:ascii="Times New Roman" w:hAnsi="Times New Roman"/>
        </w:rPr>
      </w:pPr>
      <w:r w:rsidRPr="00546F21">
        <w:rPr>
          <w:rFonts w:ascii="Times New Roman" w:hAnsi="Times New Roman"/>
          <w:i/>
        </w:rPr>
        <w:t>Petition of Puget Sound Energy, Inc. for an Accounting Order Approving the Allocation of Proceeds if the Sale of Certain Assets to Public Utility District #1 of Jefferson County</w:t>
      </w:r>
      <w:r w:rsidRPr="00546F21">
        <w:rPr>
          <w:rFonts w:ascii="Times New Roman" w:hAnsi="Times New Roman"/>
        </w:rPr>
        <w:t>,</w:t>
      </w:r>
    </w:p>
    <w:p w14:paraId="22E0A0E9" w14:textId="5EBA9822" w:rsidR="0081562C" w:rsidRPr="00546F21" w:rsidRDefault="0081562C" w:rsidP="0081562C">
      <w:pPr>
        <w:pStyle w:val="BodyTextIndent2"/>
        <w:tabs>
          <w:tab w:val="left" w:pos="720"/>
          <w:tab w:val="left" w:pos="1440"/>
          <w:tab w:val="left" w:pos="2160"/>
          <w:tab w:val="left" w:pos="2880"/>
          <w:tab w:val="left" w:pos="3600"/>
          <w:tab w:val="right" w:leader="dot" w:pos="9360"/>
        </w:tabs>
        <w:spacing w:line="240" w:lineRule="exact"/>
        <w:ind w:left="0"/>
        <w:rPr>
          <w:rFonts w:ascii="Times New Roman" w:hAnsi="Times New Roman"/>
        </w:rPr>
      </w:pPr>
      <w:r w:rsidRPr="00546F21">
        <w:rPr>
          <w:rFonts w:ascii="Times New Roman" w:hAnsi="Times New Roman"/>
        </w:rPr>
        <w:tab/>
        <w:t>Docket UE-132027, Petition for Accounting Order (</w:t>
      </w:r>
      <w:r w:rsidR="00551222">
        <w:rPr>
          <w:rFonts w:ascii="Times New Roman" w:hAnsi="Times New Roman"/>
        </w:rPr>
        <w:t xml:space="preserve">filed </w:t>
      </w:r>
      <w:r w:rsidRPr="00546F21">
        <w:rPr>
          <w:rFonts w:ascii="Times New Roman" w:hAnsi="Times New Roman"/>
        </w:rPr>
        <w:t>October 31, 2013)</w:t>
      </w:r>
      <w:r w:rsidRPr="00546F21">
        <w:rPr>
          <w:rFonts w:ascii="Times New Roman" w:hAnsi="Times New Roman"/>
        </w:rPr>
        <w:tab/>
      </w:r>
      <w:r w:rsidR="00694C2A" w:rsidRPr="00546F21">
        <w:rPr>
          <w:rFonts w:ascii="Times New Roman" w:hAnsi="Times New Roman"/>
        </w:rPr>
        <w:t>1</w:t>
      </w:r>
    </w:p>
    <w:p w14:paraId="1E89E2B0" w14:textId="77777777" w:rsidR="0081562C" w:rsidRDefault="0081562C" w:rsidP="0081562C">
      <w:pPr>
        <w:pStyle w:val="BodyTextIndent2"/>
        <w:tabs>
          <w:tab w:val="left" w:pos="720"/>
          <w:tab w:val="left" w:pos="1440"/>
          <w:tab w:val="left" w:pos="2160"/>
          <w:tab w:val="right" w:pos="9360"/>
        </w:tabs>
        <w:spacing w:line="240" w:lineRule="exact"/>
        <w:ind w:left="0"/>
        <w:rPr>
          <w:rFonts w:ascii="Times New Roman" w:hAnsi="Times New Roman"/>
        </w:rPr>
      </w:pPr>
    </w:p>
    <w:p w14:paraId="2ACA3DD3" w14:textId="77777777" w:rsidR="008C67D6" w:rsidRPr="00546F21" w:rsidRDefault="00B009BC" w:rsidP="00E16C42">
      <w:pPr>
        <w:pStyle w:val="BodyTextIndent2"/>
        <w:keepNext/>
        <w:tabs>
          <w:tab w:val="left" w:pos="720"/>
          <w:tab w:val="left" w:pos="1440"/>
          <w:tab w:val="left" w:pos="2160"/>
          <w:tab w:val="right" w:pos="9360"/>
        </w:tabs>
        <w:spacing w:line="240" w:lineRule="exact"/>
        <w:ind w:left="0"/>
        <w:rPr>
          <w:rFonts w:ascii="Times New Roman" w:hAnsi="Times New Roman"/>
          <w:i/>
        </w:rPr>
      </w:pPr>
      <w:r w:rsidRPr="00546F21">
        <w:rPr>
          <w:rFonts w:ascii="Times New Roman" w:hAnsi="Times New Roman"/>
          <w:i/>
        </w:rPr>
        <w:t xml:space="preserve">Petition of Puget Sound Energy, Inc., for a Declaratory Order Regarding the Transfer of Assets to Jefferson County Public Utility District, </w:t>
      </w:r>
    </w:p>
    <w:p w14:paraId="2BB290DC" w14:textId="77777777" w:rsidR="0013193C" w:rsidRPr="00546F21" w:rsidRDefault="008C67D6" w:rsidP="0013193C">
      <w:pPr>
        <w:pStyle w:val="BodyTextIndent2"/>
        <w:tabs>
          <w:tab w:val="left" w:pos="720"/>
          <w:tab w:val="left" w:pos="1440"/>
          <w:tab w:val="left" w:pos="2160"/>
          <w:tab w:val="right" w:pos="9360"/>
        </w:tabs>
        <w:spacing w:line="240" w:lineRule="exact"/>
        <w:ind w:left="0"/>
        <w:rPr>
          <w:rFonts w:ascii="Times New Roman" w:hAnsi="Times New Roman"/>
        </w:rPr>
      </w:pPr>
      <w:r w:rsidRPr="00546F21">
        <w:rPr>
          <w:rFonts w:ascii="Times New Roman" w:hAnsi="Times New Roman"/>
          <w:i/>
        </w:rPr>
        <w:tab/>
      </w:r>
      <w:r w:rsidRPr="00546F21">
        <w:rPr>
          <w:rFonts w:ascii="Times New Roman" w:hAnsi="Times New Roman"/>
        </w:rPr>
        <w:t xml:space="preserve">Docket </w:t>
      </w:r>
      <w:r w:rsidR="00EB57E1" w:rsidRPr="00546F21">
        <w:rPr>
          <w:rFonts w:ascii="Times New Roman" w:hAnsi="Times New Roman"/>
        </w:rPr>
        <w:t>U-</w:t>
      </w:r>
      <w:r w:rsidRPr="00546F21">
        <w:rPr>
          <w:rFonts w:ascii="Times New Roman" w:hAnsi="Times New Roman"/>
        </w:rPr>
        <w:t xml:space="preserve">101217, </w:t>
      </w:r>
      <w:r w:rsidR="00B009BC" w:rsidRPr="00546F21">
        <w:rPr>
          <w:rFonts w:ascii="Times New Roman" w:hAnsi="Times New Roman"/>
        </w:rPr>
        <w:t>Final Order Approving and Adopting</w:t>
      </w:r>
      <w:r w:rsidRPr="00546F21">
        <w:rPr>
          <w:rFonts w:ascii="Times New Roman" w:hAnsi="Times New Roman"/>
        </w:rPr>
        <w:t xml:space="preserve"> </w:t>
      </w:r>
      <w:r w:rsidR="00B009BC" w:rsidRPr="00546F21">
        <w:rPr>
          <w:rFonts w:ascii="Times New Roman" w:hAnsi="Times New Roman"/>
        </w:rPr>
        <w:t xml:space="preserve">Settlement Agreement; </w:t>
      </w:r>
    </w:p>
    <w:p w14:paraId="7C6C0D27" w14:textId="77777777" w:rsidR="00B009BC" w:rsidRPr="00546F21" w:rsidRDefault="0013193C" w:rsidP="0013193C">
      <w:pPr>
        <w:pStyle w:val="BodyTextIndent2"/>
        <w:tabs>
          <w:tab w:val="left" w:pos="720"/>
          <w:tab w:val="left" w:pos="1440"/>
          <w:tab w:val="left" w:pos="2160"/>
          <w:tab w:val="right" w:leader="dot" w:pos="9360"/>
        </w:tabs>
        <w:spacing w:line="240" w:lineRule="exact"/>
        <w:ind w:left="0"/>
        <w:rPr>
          <w:rFonts w:ascii="Times New Roman" w:hAnsi="Times New Roman"/>
        </w:rPr>
      </w:pPr>
      <w:r w:rsidRPr="00546F21">
        <w:rPr>
          <w:rFonts w:ascii="Times New Roman" w:hAnsi="Times New Roman"/>
        </w:rPr>
        <w:tab/>
      </w:r>
      <w:r w:rsidR="00B009BC" w:rsidRPr="00546F21">
        <w:rPr>
          <w:rFonts w:ascii="Times New Roman" w:hAnsi="Times New Roman"/>
        </w:rPr>
        <w:t>Granting Petition of Declaratory Judgment (February 1, 2011)</w:t>
      </w:r>
      <w:r w:rsidR="00E16C42" w:rsidRPr="00546F21">
        <w:rPr>
          <w:rFonts w:ascii="Times New Roman" w:hAnsi="Times New Roman"/>
        </w:rPr>
        <w:tab/>
      </w:r>
      <w:r w:rsidR="00694C2A" w:rsidRPr="00546F21">
        <w:rPr>
          <w:rFonts w:ascii="Times New Roman" w:hAnsi="Times New Roman"/>
        </w:rPr>
        <w:t>6</w:t>
      </w:r>
    </w:p>
    <w:p w14:paraId="58418B13" w14:textId="77777777" w:rsidR="00B009BC" w:rsidRPr="00546F21" w:rsidRDefault="00B009BC" w:rsidP="00B009BC">
      <w:pPr>
        <w:pStyle w:val="BodyTextIndent2"/>
        <w:tabs>
          <w:tab w:val="left" w:pos="720"/>
          <w:tab w:val="left" w:pos="1440"/>
          <w:tab w:val="left" w:pos="2160"/>
          <w:tab w:val="right" w:pos="9360"/>
        </w:tabs>
        <w:spacing w:line="240" w:lineRule="exact"/>
        <w:ind w:left="0"/>
        <w:rPr>
          <w:rFonts w:ascii="Times New Roman" w:hAnsi="Times New Roman"/>
        </w:rPr>
      </w:pPr>
    </w:p>
    <w:p w14:paraId="7CC6CD11" w14:textId="77777777" w:rsidR="00151EAE" w:rsidRDefault="00151EAE" w:rsidP="00151EAE">
      <w:pPr>
        <w:pStyle w:val="BodyTextIndent2"/>
        <w:tabs>
          <w:tab w:val="left" w:pos="720"/>
          <w:tab w:val="left" w:pos="1440"/>
          <w:tab w:val="left" w:pos="2160"/>
          <w:tab w:val="right" w:leader="dot" w:pos="9360"/>
        </w:tabs>
        <w:spacing w:line="240" w:lineRule="exact"/>
        <w:ind w:left="0"/>
        <w:rPr>
          <w:rFonts w:ascii="Times New Roman" w:hAnsi="Times New Roman"/>
        </w:rPr>
      </w:pPr>
      <w:r w:rsidRPr="00DB38AF">
        <w:rPr>
          <w:rFonts w:ascii="Times New Roman" w:hAnsi="Times New Roman"/>
          <w:i/>
        </w:rPr>
        <w:t>Petition of Puget Sound Power &amp; Light Company for an Order Regarding the Accounting Treatment for Costs of its Environmental Remediation Program,</w:t>
      </w:r>
      <w:r w:rsidRPr="00DB38AF">
        <w:rPr>
          <w:rFonts w:ascii="Times New Roman" w:hAnsi="Times New Roman"/>
        </w:rPr>
        <w:t xml:space="preserve"> </w:t>
      </w:r>
    </w:p>
    <w:p w14:paraId="71B5FDCF" w14:textId="77777777" w:rsidR="00151EAE" w:rsidRPr="00DB38AF" w:rsidRDefault="00151EAE" w:rsidP="00151EAE">
      <w:pPr>
        <w:pStyle w:val="BodyTextIndent2"/>
        <w:tabs>
          <w:tab w:val="left" w:pos="720"/>
          <w:tab w:val="left" w:pos="1440"/>
          <w:tab w:val="left" w:pos="2160"/>
          <w:tab w:val="right" w:leader="dot" w:pos="9360"/>
        </w:tabs>
        <w:spacing w:line="240" w:lineRule="exact"/>
        <w:ind w:left="0"/>
        <w:rPr>
          <w:rFonts w:ascii="Times New Roman" w:hAnsi="Times New Roman"/>
        </w:rPr>
      </w:pPr>
      <w:r>
        <w:rPr>
          <w:rFonts w:ascii="Times New Roman" w:hAnsi="Times New Roman"/>
        </w:rPr>
        <w:tab/>
      </w:r>
      <w:r w:rsidRPr="00DB38AF">
        <w:rPr>
          <w:rFonts w:ascii="Times New Roman" w:hAnsi="Times New Roman"/>
        </w:rPr>
        <w:t>Docket UE-911476, Order Authorizing Accounting Treatment (April 1, 1992)</w:t>
      </w:r>
      <w:r w:rsidRPr="00DB38AF">
        <w:rPr>
          <w:rFonts w:ascii="Times New Roman" w:hAnsi="Times New Roman"/>
        </w:rPr>
        <w:tab/>
      </w:r>
      <w:r>
        <w:rPr>
          <w:rFonts w:ascii="Times New Roman" w:hAnsi="Times New Roman"/>
        </w:rPr>
        <w:t>27</w:t>
      </w:r>
    </w:p>
    <w:p w14:paraId="6DD6D91F" w14:textId="77777777" w:rsidR="00151EAE" w:rsidRPr="00546F21" w:rsidRDefault="00151EAE" w:rsidP="00151EAE">
      <w:pPr>
        <w:pStyle w:val="BodyTextIndent2"/>
        <w:tabs>
          <w:tab w:val="left" w:pos="720"/>
          <w:tab w:val="left" w:pos="1440"/>
          <w:tab w:val="left" w:pos="2160"/>
          <w:tab w:val="right" w:pos="9360"/>
        </w:tabs>
        <w:spacing w:line="240" w:lineRule="exact"/>
        <w:ind w:left="0"/>
        <w:rPr>
          <w:rFonts w:ascii="Times New Roman" w:hAnsi="Times New Roman"/>
        </w:rPr>
      </w:pPr>
    </w:p>
    <w:p w14:paraId="6581461F" w14:textId="77777777" w:rsidR="000536B0" w:rsidRPr="00546F21" w:rsidRDefault="0081562C" w:rsidP="0081562C">
      <w:pPr>
        <w:pStyle w:val="BodyTextIndent2"/>
        <w:tabs>
          <w:tab w:val="left" w:pos="720"/>
          <w:tab w:val="left" w:pos="1440"/>
          <w:tab w:val="left" w:pos="2160"/>
          <w:tab w:val="right" w:pos="9360"/>
        </w:tabs>
        <w:spacing w:line="240" w:lineRule="exact"/>
        <w:ind w:left="0"/>
        <w:rPr>
          <w:rFonts w:ascii="Times New Roman" w:hAnsi="Times New Roman"/>
          <w:i/>
        </w:rPr>
      </w:pPr>
      <w:r w:rsidRPr="00546F21">
        <w:rPr>
          <w:rFonts w:ascii="Times New Roman" w:hAnsi="Times New Roman"/>
          <w:i/>
        </w:rPr>
        <w:t xml:space="preserve">Ratemaking Treatment of Capital Gains from the Sale of a Public Utility Distribution </w:t>
      </w:r>
    </w:p>
    <w:p w14:paraId="2B6BF485" w14:textId="77777777" w:rsidR="0081562C" w:rsidRPr="00546F21" w:rsidRDefault="0081562C" w:rsidP="0081562C">
      <w:pPr>
        <w:pStyle w:val="BodyTextIndent2"/>
        <w:tabs>
          <w:tab w:val="left" w:pos="720"/>
          <w:tab w:val="left" w:pos="1440"/>
          <w:tab w:val="left" w:pos="2160"/>
          <w:tab w:val="right" w:pos="9360"/>
        </w:tabs>
        <w:spacing w:line="240" w:lineRule="exact"/>
        <w:ind w:left="0"/>
        <w:rPr>
          <w:rFonts w:ascii="Times New Roman" w:hAnsi="Times New Roman"/>
        </w:rPr>
      </w:pPr>
      <w:r w:rsidRPr="00546F21">
        <w:rPr>
          <w:rFonts w:ascii="Times New Roman" w:hAnsi="Times New Roman"/>
          <w:i/>
        </w:rPr>
        <w:t>System Serving an Area Annexed by a Municipality or Public Entity</w:t>
      </w:r>
      <w:r w:rsidRPr="00546F21">
        <w:rPr>
          <w:rFonts w:ascii="Times New Roman" w:hAnsi="Times New Roman"/>
        </w:rPr>
        <w:t>,</w:t>
      </w:r>
    </w:p>
    <w:p w14:paraId="67906350" w14:textId="724E0CA3" w:rsidR="0081562C" w:rsidRPr="00546F21" w:rsidRDefault="0081562C" w:rsidP="0081562C">
      <w:pPr>
        <w:pStyle w:val="BodyTextIndent2"/>
        <w:tabs>
          <w:tab w:val="left" w:pos="720"/>
          <w:tab w:val="left" w:pos="1440"/>
          <w:tab w:val="left" w:pos="2160"/>
          <w:tab w:val="left" w:pos="2880"/>
          <w:tab w:val="left" w:pos="3600"/>
          <w:tab w:val="right" w:leader="dot" w:pos="9360"/>
        </w:tabs>
        <w:spacing w:line="240" w:lineRule="exact"/>
        <w:ind w:left="0"/>
        <w:rPr>
          <w:rFonts w:ascii="Times New Roman" w:hAnsi="Times New Roman"/>
        </w:rPr>
      </w:pPr>
      <w:r w:rsidRPr="00546F21">
        <w:rPr>
          <w:rFonts w:ascii="Times New Roman" w:hAnsi="Times New Roman"/>
        </w:rPr>
        <w:tab/>
        <w:t>104 PUR 4th 157 (Cal. PUC 1989)</w:t>
      </w:r>
      <w:r w:rsidR="004455D9" w:rsidRPr="00546F21">
        <w:rPr>
          <w:rFonts w:ascii="Times New Roman" w:hAnsi="Times New Roman"/>
        </w:rPr>
        <w:t xml:space="preserve"> (</w:t>
      </w:r>
      <w:r w:rsidR="004455D9" w:rsidRPr="00546F21">
        <w:rPr>
          <w:rFonts w:ascii="Times New Roman" w:hAnsi="Times New Roman"/>
          <w:i/>
        </w:rPr>
        <w:t>City of Redding II</w:t>
      </w:r>
      <w:r w:rsidR="004455D9" w:rsidRPr="00546F21">
        <w:rPr>
          <w:rFonts w:ascii="Times New Roman" w:hAnsi="Times New Roman"/>
        </w:rPr>
        <w:t>)</w:t>
      </w:r>
      <w:r w:rsidRPr="00546F21">
        <w:rPr>
          <w:rFonts w:ascii="Times New Roman" w:hAnsi="Times New Roman"/>
        </w:rPr>
        <w:tab/>
      </w:r>
      <w:r w:rsidR="00151EAE">
        <w:rPr>
          <w:rFonts w:ascii="Times New Roman" w:hAnsi="Times New Roman"/>
        </w:rPr>
        <w:t>2, 6, 8, 10</w:t>
      </w:r>
    </w:p>
    <w:p w14:paraId="293EDB77" w14:textId="77777777" w:rsidR="0081562C" w:rsidRPr="00546F21" w:rsidRDefault="0081562C" w:rsidP="0081562C">
      <w:pPr>
        <w:pStyle w:val="BodyTextIndent2"/>
        <w:tabs>
          <w:tab w:val="left" w:pos="720"/>
          <w:tab w:val="left" w:pos="1440"/>
          <w:tab w:val="left" w:pos="2160"/>
          <w:tab w:val="right" w:pos="9360"/>
        </w:tabs>
        <w:spacing w:line="240" w:lineRule="exact"/>
        <w:ind w:left="0"/>
        <w:rPr>
          <w:rFonts w:ascii="Times New Roman" w:hAnsi="Times New Roman"/>
        </w:rPr>
      </w:pPr>
    </w:p>
    <w:p w14:paraId="529259B5" w14:textId="56E76C8D" w:rsidR="006D11D7" w:rsidRPr="00546F21" w:rsidRDefault="00151EAE" w:rsidP="006D11D7">
      <w:pPr>
        <w:pStyle w:val="BodyTextIndent2"/>
        <w:tabs>
          <w:tab w:val="left" w:pos="720"/>
          <w:tab w:val="left" w:pos="1440"/>
          <w:tab w:val="left" w:pos="2160"/>
          <w:tab w:val="right" w:leader="dot" w:pos="9360"/>
        </w:tabs>
        <w:spacing w:line="240" w:lineRule="exact"/>
        <w:ind w:left="0"/>
        <w:rPr>
          <w:rFonts w:ascii="Times New Roman" w:hAnsi="Times New Roman"/>
          <w:i/>
        </w:rPr>
      </w:pPr>
      <w:r>
        <w:rPr>
          <w:rFonts w:ascii="Times New Roman" w:hAnsi="Times New Roman"/>
          <w:i/>
        </w:rPr>
        <w:t>Utilities</w:t>
      </w:r>
      <w:r w:rsidR="006D11D7" w:rsidRPr="00546F21">
        <w:rPr>
          <w:rFonts w:ascii="Times New Roman" w:hAnsi="Times New Roman"/>
          <w:i/>
        </w:rPr>
        <w:t xml:space="preserve"> &amp; Transp. Comm’n v. Am. Water Res.,</w:t>
      </w:r>
    </w:p>
    <w:p w14:paraId="5388502A" w14:textId="77777777" w:rsidR="000536B0" w:rsidRPr="00546F21" w:rsidRDefault="006D11D7" w:rsidP="000536B0">
      <w:pPr>
        <w:pStyle w:val="BodyTextIndent2"/>
        <w:tabs>
          <w:tab w:val="left" w:pos="720"/>
          <w:tab w:val="left" w:pos="1440"/>
          <w:tab w:val="left" w:pos="2160"/>
          <w:tab w:val="right" w:leader="dot" w:pos="9360"/>
        </w:tabs>
        <w:spacing w:line="240" w:lineRule="exact"/>
        <w:ind w:left="0"/>
        <w:rPr>
          <w:rFonts w:ascii="Times New Roman" w:hAnsi="Times New Roman"/>
        </w:rPr>
      </w:pPr>
      <w:r w:rsidRPr="00546F21">
        <w:rPr>
          <w:rFonts w:ascii="Times New Roman" w:hAnsi="Times New Roman"/>
          <w:i/>
        </w:rPr>
        <w:tab/>
      </w:r>
      <w:r w:rsidRPr="00546F21">
        <w:rPr>
          <w:rFonts w:ascii="Times New Roman" w:hAnsi="Times New Roman"/>
        </w:rPr>
        <w:t xml:space="preserve">Docket UW-031284, </w:t>
      </w:r>
      <w:r w:rsidRPr="00546F21">
        <w:rPr>
          <w:rFonts w:ascii="Times New Roman" w:hAnsi="Times New Roman"/>
          <w:i/>
        </w:rPr>
        <w:t>et al</w:t>
      </w:r>
      <w:r w:rsidR="000536B0" w:rsidRPr="00546F21">
        <w:rPr>
          <w:rFonts w:ascii="Times New Roman" w:hAnsi="Times New Roman"/>
        </w:rPr>
        <w:t xml:space="preserve">., </w:t>
      </w:r>
      <w:r w:rsidRPr="00546F21">
        <w:rPr>
          <w:rFonts w:ascii="Times New Roman" w:hAnsi="Times New Roman"/>
        </w:rPr>
        <w:t xml:space="preserve">Order 08, Final Order Dismissing Complaint </w:t>
      </w:r>
    </w:p>
    <w:p w14:paraId="2F784C2D" w14:textId="77777777" w:rsidR="000536B0" w:rsidRPr="00546F21" w:rsidRDefault="000536B0" w:rsidP="000536B0">
      <w:pPr>
        <w:pStyle w:val="BodyTextIndent2"/>
        <w:tabs>
          <w:tab w:val="left" w:pos="720"/>
          <w:tab w:val="left" w:pos="1440"/>
          <w:tab w:val="left" w:pos="2160"/>
          <w:tab w:val="right" w:leader="dot" w:pos="9360"/>
        </w:tabs>
        <w:spacing w:line="240" w:lineRule="exact"/>
        <w:ind w:left="0"/>
        <w:rPr>
          <w:rFonts w:ascii="Times New Roman" w:hAnsi="Times New Roman"/>
        </w:rPr>
      </w:pPr>
      <w:r w:rsidRPr="00546F21">
        <w:rPr>
          <w:rFonts w:ascii="Times New Roman" w:hAnsi="Times New Roman"/>
        </w:rPr>
        <w:tab/>
      </w:r>
      <w:r w:rsidR="006D11D7" w:rsidRPr="00546F21">
        <w:rPr>
          <w:rFonts w:ascii="Times New Roman" w:hAnsi="Times New Roman"/>
        </w:rPr>
        <w:t xml:space="preserve">Against Rates in Part, Ordering Refund of “Docket Account” Set Aside, </w:t>
      </w:r>
    </w:p>
    <w:p w14:paraId="350F29EC" w14:textId="74620BBF" w:rsidR="006D11D7" w:rsidRPr="00546F21" w:rsidRDefault="000536B0" w:rsidP="000536B0">
      <w:pPr>
        <w:pStyle w:val="BodyTextIndent2"/>
        <w:tabs>
          <w:tab w:val="left" w:pos="720"/>
          <w:tab w:val="left" w:pos="1440"/>
          <w:tab w:val="left" w:pos="2160"/>
          <w:tab w:val="right" w:leader="dot" w:pos="9360"/>
        </w:tabs>
        <w:spacing w:line="240" w:lineRule="exact"/>
        <w:ind w:left="0"/>
        <w:rPr>
          <w:rFonts w:ascii="Times New Roman" w:hAnsi="Times New Roman"/>
        </w:rPr>
      </w:pPr>
      <w:r w:rsidRPr="00546F21">
        <w:rPr>
          <w:rFonts w:ascii="Times New Roman" w:hAnsi="Times New Roman"/>
        </w:rPr>
        <w:tab/>
      </w:r>
      <w:r w:rsidR="006D11D7" w:rsidRPr="00546F21">
        <w:rPr>
          <w:rFonts w:ascii="Times New Roman" w:hAnsi="Times New Roman"/>
        </w:rPr>
        <w:t>and Denying Application for Mitigation o</w:t>
      </w:r>
      <w:r w:rsidR="00151EAE">
        <w:rPr>
          <w:rFonts w:ascii="Times New Roman" w:hAnsi="Times New Roman"/>
        </w:rPr>
        <w:t>f Penalties (November 1, 2004)</w:t>
      </w:r>
      <w:r w:rsidR="00151EAE">
        <w:rPr>
          <w:rFonts w:ascii="Times New Roman" w:hAnsi="Times New Roman"/>
        </w:rPr>
        <w:tab/>
        <w:t>6, 28</w:t>
      </w:r>
    </w:p>
    <w:p w14:paraId="21C818D4" w14:textId="77777777" w:rsidR="006D11D7" w:rsidRPr="00546F21" w:rsidRDefault="006D11D7" w:rsidP="006D11D7">
      <w:pPr>
        <w:pStyle w:val="BodyTextIndent2"/>
        <w:tabs>
          <w:tab w:val="left" w:pos="720"/>
          <w:tab w:val="left" w:pos="1440"/>
          <w:tab w:val="left" w:pos="2160"/>
          <w:tab w:val="right" w:leader="dot" w:pos="9360"/>
        </w:tabs>
        <w:spacing w:line="240" w:lineRule="exact"/>
        <w:ind w:left="0"/>
        <w:rPr>
          <w:rFonts w:ascii="Times New Roman" w:hAnsi="Times New Roman"/>
          <w:i/>
        </w:rPr>
      </w:pPr>
    </w:p>
    <w:p w14:paraId="146D4B8B" w14:textId="1FAD7451" w:rsidR="006D11D7" w:rsidRPr="00546F21" w:rsidRDefault="00151EAE" w:rsidP="006D11D7">
      <w:pPr>
        <w:pStyle w:val="BodyTextIndent2"/>
        <w:tabs>
          <w:tab w:val="left" w:pos="720"/>
          <w:tab w:val="left" w:pos="1440"/>
          <w:tab w:val="left" w:pos="2160"/>
          <w:tab w:val="right" w:leader="dot" w:pos="9360"/>
        </w:tabs>
        <w:spacing w:line="240" w:lineRule="exact"/>
        <w:ind w:left="0"/>
        <w:rPr>
          <w:rFonts w:ascii="Times New Roman" w:hAnsi="Times New Roman"/>
        </w:rPr>
      </w:pPr>
      <w:r>
        <w:rPr>
          <w:rFonts w:ascii="Times New Roman" w:hAnsi="Times New Roman"/>
          <w:i/>
        </w:rPr>
        <w:t>Utilities</w:t>
      </w:r>
      <w:r w:rsidR="006D11D7" w:rsidRPr="00546F21">
        <w:rPr>
          <w:rFonts w:ascii="Times New Roman" w:hAnsi="Times New Roman"/>
          <w:i/>
        </w:rPr>
        <w:t xml:space="preserve"> &amp; Transp. Comm’n v. Pacific Power &amp; Light Co.</w:t>
      </w:r>
      <w:r w:rsidR="006D11D7" w:rsidRPr="00546F21">
        <w:rPr>
          <w:rFonts w:ascii="Times New Roman" w:hAnsi="Times New Roman"/>
        </w:rPr>
        <w:t>,</w:t>
      </w:r>
    </w:p>
    <w:p w14:paraId="3FF7D4C2" w14:textId="3C5B7E1D" w:rsidR="006D11D7" w:rsidRDefault="006D11D7" w:rsidP="006D11D7">
      <w:pPr>
        <w:pStyle w:val="BodyTextIndent2"/>
        <w:tabs>
          <w:tab w:val="left" w:pos="720"/>
          <w:tab w:val="left" w:pos="1440"/>
          <w:tab w:val="left" w:pos="2160"/>
          <w:tab w:val="left" w:pos="2880"/>
          <w:tab w:val="left" w:pos="3600"/>
          <w:tab w:val="right" w:leader="dot" w:pos="9360"/>
        </w:tabs>
        <w:spacing w:line="240" w:lineRule="exact"/>
        <w:ind w:left="0"/>
        <w:rPr>
          <w:rFonts w:ascii="Times New Roman" w:hAnsi="Times New Roman"/>
        </w:rPr>
      </w:pPr>
      <w:r w:rsidRPr="00546F21">
        <w:rPr>
          <w:rFonts w:ascii="Times New Roman" w:hAnsi="Times New Roman"/>
        </w:rPr>
        <w:tab/>
        <w:t>Cause U-84-65, 4</w:t>
      </w:r>
      <w:r w:rsidRPr="00546F21">
        <w:rPr>
          <w:rFonts w:ascii="Times New Roman" w:hAnsi="Times New Roman"/>
          <w:vertAlign w:val="superscript"/>
        </w:rPr>
        <w:t>th</w:t>
      </w:r>
      <w:r w:rsidR="00551222">
        <w:rPr>
          <w:rFonts w:ascii="Times New Roman" w:hAnsi="Times New Roman"/>
        </w:rPr>
        <w:t xml:space="preserve"> Supplemental Order, Commission Order Modifying</w:t>
      </w:r>
    </w:p>
    <w:p w14:paraId="2781DF2D" w14:textId="73C478BE" w:rsidR="00551222" w:rsidRPr="00546F21" w:rsidRDefault="00551222" w:rsidP="006D11D7">
      <w:pPr>
        <w:pStyle w:val="BodyTextIndent2"/>
        <w:tabs>
          <w:tab w:val="left" w:pos="720"/>
          <w:tab w:val="left" w:pos="1440"/>
          <w:tab w:val="left" w:pos="2160"/>
          <w:tab w:val="left" w:pos="2880"/>
          <w:tab w:val="left" w:pos="3600"/>
          <w:tab w:val="right" w:leader="dot" w:pos="9360"/>
        </w:tabs>
        <w:spacing w:line="240" w:lineRule="exact"/>
        <w:ind w:left="0"/>
        <w:rPr>
          <w:rFonts w:ascii="Times New Roman" w:hAnsi="Times New Roman"/>
        </w:rPr>
      </w:pPr>
      <w:r>
        <w:rPr>
          <w:rFonts w:ascii="Times New Roman" w:hAnsi="Times New Roman"/>
        </w:rPr>
        <w:tab/>
        <w:t>Proposed Order</w:t>
      </w:r>
    </w:p>
    <w:p w14:paraId="21A9F856" w14:textId="77F52BE6" w:rsidR="006D11D7" w:rsidRPr="00546F21" w:rsidRDefault="006D11D7" w:rsidP="00D21A20">
      <w:pPr>
        <w:pStyle w:val="BodyTextIndent2"/>
        <w:tabs>
          <w:tab w:val="left" w:pos="720"/>
          <w:tab w:val="left" w:pos="1440"/>
          <w:tab w:val="left" w:pos="2160"/>
          <w:tab w:val="left" w:pos="2880"/>
          <w:tab w:val="right" w:leader="dot" w:pos="9360"/>
        </w:tabs>
        <w:spacing w:line="240" w:lineRule="exact"/>
        <w:ind w:left="0"/>
        <w:rPr>
          <w:rFonts w:ascii="Times New Roman" w:hAnsi="Times New Roman"/>
        </w:rPr>
      </w:pPr>
      <w:r w:rsidRPr="00546F21">
        <w:rPr>
          <w:rFonts w:ascii="Times New Roman" w:hAnsi="Times New Roman"/>
        </w:rPr>
        <w:tab/>
        <w:t>68 PUR 4th 396 (1984)</w:t>
      </w:r>
      <w:r w:rsidR="00D21A20" w:rsidRPr="00546F21">
        <w:rPr>
          <w:rFonts w:ascii="Times New Roman" w:hAnsi="Times New Roman"/>
        </w:rPr>
        <w:t xml:space="preserve"> </w:t>
      </w:r>
      <w:r w:rsidR="00151EAE">
        <w:rPr>
          <w:rFonts w:ascii="Times New Roman" w:hAnsi="Times New Roman"/>
        </w:rPr>
        <w:tab/>
        <w:t>25</w:t>
      </w:r>
    </w:p>
    <w:p w14:paraId="10A8B743" w14:textId="77777777" w:rsidR="006D11D7" w:rsidRPr="00546F21" w:rsidRDefault="006D11D7" w:rsidP="0081562C">
      <w:pPr>
        <w:pStyle w:val="BodyTextIndent2"/>
        <w:tabs>
          <w:tab w:val="left" w:pos="720"/>
          <w:tab w:val="left" w:pos="1440"/>
          <w:tab w:val="left" w:pos="2160"/>
          <w:tab w:val="right" w:pos="9360"/>
        </w:tabs>
        <w:spacing w:line="240" w:lineRule="exact"/>
        <w:ind w:left="0"/>
        <w:rPr>
          <w:rFonts w:ascii="Times New Roman" w:hAnsi="Times New Roman"/>
          <w:i/>
        </w:rPr>
      </w:pPr>
    </w:p>
    <w:p w14:paraId="338B4BC6" w14:textId="77777777" w:rsidR="0081562C" w:rsidRPr="00546F21" w:rsidRDefault="0081562C" w:rsidP="0081562C">
      <w:pPr>
        <w:pStyle w:val="BodyTextIndent2"/>
        <w:tabs>
          <w:tab w:val="left" w:pos="720"/>
          <w:tab w:val="left" w:pos="1440"/>
          <w:tab w:val="left" w:pos="2160"/>
          <w:tab w:val="right" w:pos="9360"/>
        </w:tabs>
        <w:spacing w:line="240" w:lineRule="exact"/>
        <w:ind w:left="0"/>
        <w:rPr>
          <w:rFonts w:ascii="Times New Roman" w:hAnsi="Times New Roman"/>
        </w:rPr>
      </w:pPr>
      <w:r w:rsidRPr="00546F21">
        <w:rPr>
          <w:rFonts w:ascii="Times New Roman" w:hAnsi="Times New Roman"/>
          <w:i/>
        </w:rPr>
        <w:t>Utilities &amp; Transp. Comm’n v. Puget Sound Energy, Inc.</w:t>
      </w:r>
      <w:r w:rsidRPr="00546F21">
        <w:rPr>
          <w:rFonts w:ascii="Times New Roman" w:hAnsi="Times New Roman"/>
        </w:rPr>
        <w:t>,</w:t>
      </w:r>
    </w:p>
    <w:p w14:paraId="15CCB9BF" w14:textId="77777777" w:rsidR="001C5A85" w:rsidRDefault="0081562C" w:rsidP="0081562C">
      <w:pPr>
        <w:pStyle w:val="BodyTextIndent2"/>
        <w:tabs>
          <w:tab w:val="left" w:pos="720"/>
          <w:tab w:val="left" w:pos="1440"/>
          <w:tab w:val="left" w:pos="2160"/>
          <w:tab w:val="right" w:pos="9360"/>
        </w:tabs>
        <w:spacing w:line="240" w:lineRule="exact"/>
        <w:ind w:left="0"/>
        <w:rPr>
          <w:rFonts w:ascii="Times New Roman" w:hAnsi="Times New Roman"/>
        </w:rPr>
      </w:pPr>
      <w:r w:rsidRPr="00546F21">
        <w:rPr>
          <w:rFonts w:ascii="Times New Roman" w:hAnsi="Times New Roman"/>
        </w:rPr>
        <w:tab/>
        <w:t>Dockets UE-111048 and UG-111049, Order 08</w:t>
      </w:r>
      <w:r w:rsidR="001C5A85" w:rsidRPr="001C5A85">
        <w:rPr>
          <w:rFonts w:ascii="Times New Roman" w:hAnsi="Times New Roman"/>
        </w:rPr>
        <w:t xml:space="preserve">, Rejecting Tariff Sheets; </w:t>
      </w:r>
    </w:p>
    <w:p w14:paraId="01E6BAE2" w14:textId="636FE94F" w:rsidR="0081562C" w:rsidRPr="001C5A85" w:rsidRDefault="001C5A85" w:rsidP="0081562C">
      <w:pPr>
        <w:pStyle w:val="BodyTextIndent2"/>
        <w:tabs>
          <w:tab w:val="left" w:pos="720"/>
          <w:tab w:val="left" w:pos="1440"/>
          <w:tab w:val="left" w:pos="2160"/>
          <w:tab w:val="right" w:pos="9360"/>
        </w:tabs>
        <w:spacing w:line="240" w:lineRule="exact"/>
        <w:ind w:left="0"/>
        <w:rPr>
          <w:rFonts w:ascii="Times New Roman" w:hAnsi="Times New Roman"/>
        </w:rPr>
      </w:pPr>
      <w:r>
        <w:rPr>
          <w:rFonts w:ascii="Times New Roman" w:hAnsi="Times New Roman"/>
        </w:rPr>
        <w:tab/>
      </w:r>
      <w:r w:rsidRPr="001C5A85">
        <w:rPr>
          <w:rFonts w:ascii="Times New Roman" w:hAnsi="Times New Roman"/>
        </w:rPr>
        <w:t>Authorizing and Requiring Compliance Filing</w:t>
      </w:r>
    </w:p>
    <w:p w14:paraId="0B9C1C50" w14:textId="34D98367" w:rsidR="0081562C" w:rsidRPr="00546F21" w:rsidRDefault="0081562C" w:rsidP="00D21A20">
      <w:pPr>
        <w:pStyle w:val="BodyTextIndent2"/>
        <w:tabs>
          <w:tab w:val="left" w:pos="720"/>
          <w:tab w:val="left" w:pos="1440"/>
          <w:tab w:val="left" w:pos="2160"/>
          <w:tab w:val="right" w:leader="dot" w:pos="9360"/>
        </w:tabs>
        <w:spacing w:line="240" w:lineRule="exact"/>
        <w:ind w:left="0"/>
        <w:rPr>
          <w:rFonts w:ascii="Times New Roman" w:hAnsi="Times New Roman"/>
        </w:rPr>
      </w:pPr>
      <w:r w:rsidRPr="00546F21">
        <w:rPr>
          <w:rFonts w:ascii="Times New Roman" w:hAnsi="Times New Roman"/>
        </w:rPr>
        <w:tab/>
      </w:r>
      <w:r w:rsidR="006D11D7" w:rsidRPr="00546F21">
        <w:rPr>
          <w:rFonts w:ascii="Times New Roman" w:hAnsi="Times New Roman"/>
        </w:rPr>
        <w:t>297</w:t>
      </w:r>
      <w:r w:rsidR="000F450B" w:rsidRPr="00546F21">
        <w:rPr>
          <w:rFonts w:ascii="Times New Roman" w:hAnsi="Times New Roman"/>
        </w:rPr>
        <w:t xml:space="preserve"> PUR</w:t>
      </w:r>
      <w:r w:rsidR="006D11D7" w:rsidRPr="00546F21">
        <w:rPr>
          <w:rFonts w:ascii="Times New Roman" w:hAnsi="Times New Roman"/>
        </w:rPr>
        <w:t xml:space="preserve"> 1</w:t>
      </w:r>
      <w:r w:rsidR="000F450B" w:rsidRPr="00546F21">
        <w:rPr>
          <w:rFonts w:ascii="Times New Roman" w:hAnsi="Times New Roman"/>
        </w:rPr>
        <w:t xml:space="preserve"> </w:t>
      </w:r>
      <w:r w:rsidR="006D11D7" w:rsidRPr="00546F21">
        <w:rPr>
          <w:rFonts w:ascii="Times New Roman" w:hAnsi="Times New Roman"/>
        </w:rPr>
        <w:t>(</w:t>
      </w:r>
      <w:r w:rsidRPr="00546F21">
        <w:rPr>
          <w:rFonts w:ascii="Times New Roman" w:hAnsi="Times New Roman"/>
        </w:rPr>
        <w:t>2012)</w:t>
      </w:r>
      <w:r w:rsidR="00D21A20" w:rsidRPr="00546F21">
        <w:rPr>
          <w:rFonts w:ascii="Times New Roman" w:hAnsi="Times New Roman"/>
        </w:rPr>
        <w:t xml:space="preserve"> </w:t>
      </w:r>
      <w:r w:rsidRPr="00546F21">
        <w:rPr>
          <w:rFonts w:ascii="Times New Roman" w:hAnsi="Times New Roman"/>
        </w:rPr>
        <w:tab/>
      </w:r>
      <w:r w:rsidR="00151EAE">
        <w:rPr>
          <w:rFonts w:ascii="Times New Roman" w:hAnsi="Times New Roman"/>
        </w:rPr>
        <w:t>17</w:t>
      </w:r>
    </w:p>
    <w:p w14:paraId="7EF6E2FB" w14:textId="77777777" w:rsidR="0081562C" w:rsidRPr="00546F21" w:rsidRDefault="0081562C" w:rsidP="0081562C">
      <w:pPr>
        <w:pStyle w:val="BodyTextIndent2"/>
        <w:tabs>
          <w:tab w:val="left" w:pos="720"/>
          <w:tab w:val="left" w:pos="1440"/>
          <w:tab w:val="left" w:pos="2160"/>
          <w:tab w:val="right" w:pos="9360"/>
        </w:tabs>
        <w:spacing w:line="240" w:lineRule="exact"/>
        <w:ind w:left="0"/>
        <w:rPr>
          <w:rFonts w:ascii="Times New Roman" w:hAnsi="Times New Roman"/>
        </w:rPr>
      </w:pPr>
    </w:p>
    <w:p w14:paraId="606EB7AD" w14:textId="77777777" w:rsidR="0081562C" w:rsidRPr="00546F21" w:rsidRDefault="0081562C" w:rsidP="0081562C">
      <w:pPr>
        <w:pStyle w:val="BodyTextIndent2"/>
        <w:tabs>
          <w:tab w:val="left" w:pos="720"/>
          <w:tab w:val="left" w:pos="1440"/>
          <w:tab w:val="left" w:pos="2160"/>
          <w:tab w:val="right" w:leader="dot" w:pos="9360"/>
        </w:tabs>
        <w:spacing w:line="240" w:lineRule="exact"/>
        <w:ind w:left="0"/>
        <w:rPr>
          <w:rFonts w:ascii="Times New Roman" w:hAnsi="Times New Roman"/>
        </w:rPr>
      </w:pPr>
      <w:r w:rsidRPr="00546F21">
        <w:rPr>
          <w:rFonts w:ascii="Times New Roman" w:hAnsi="Times New Roman"/>
          <w:i/>
        </w:rPr>
        <w:t>Utilities &amp; Transp. Comm’n v. Puget Sound Power &amp; Light Co.</w:t>
      </w:r>
      <w:r w:rsidRPr="00546F21">
        <w:rPr>
          <w:rFonts w:ascii="Times New Roman" w:hAnsi="Times New Roman"/>
        </w:rPr>
        <w:t>,</w:t>
      </w:r>
    </w:p>
    <w:p w14:paraId="1289462F" w14:textId="77777777" w:rsidR="006D11D7" w:rsidRPr="00546F21" w:rsidRDefault="006D11D7" w:rsidP="008C67D6">
      <w:pPr>
        <w:pStyle w:val="BodyTextIndent2"/>
        <w:tabs>
          <w:tab w:val="left" w:pos="720"/>
          <w:tab w:val="left" w:pos="1440"/>
          <w:tab w:val="left" w:pos="2160"/>
          <w:tab w:val="right" w:leader="dot" w:pos="9360"/>
        </w:tabs>
        <w:spacing w:line="240" w:lineRule="exact"/>
        <w:ind w:left="720"/>
        <w:rPr>
          <w:rFonts w:ascii="Times New Roman" w:hAnsi="Times New Roman"/>
        </w:rPr>
      </w:pPr>
      <w:r w:rsidRPr="00546F21">
        <w:rPr>
          <w:rFonts w:ascii="Times New Roman" w:hAnsi="Times New Roman"/>
        </w:rPr>
        <w:t>Cause U-82-38, 3</w:t>
      </w:r>
      <w:r w:rsidRPr="00546F21">
        <w:rPr>
          <w:rFonts w:ascii="Times New Roman" w:hAnsi="Times New Roman"/>
          <w:vertAlign w:val="superscript"/>
        </w:rPr>
        <w:t>rd</w:t>
      </w:r>
      <w:r w:rsidRPr="00546F21">
        <w:rPr>
          <w:rFonts w:ascii="Times New Roman" w:hAnsi="Times New Roman"/>
        </w:rPr>
        <w:t xml:space="preserve"> Supplemental Order</w:t>
      </w:r>
    </w:p>
    <w:p w14:paraId="375646DA" w14:textId="25A6421F" w:rsidR="008C67D6" w:rsidRPr="00546F21" w:rsidRDefault="0081562C" w:rsidP="008C67D6">
      <w:pPr>
        <w:pStyle w:val="BodyTextIndent2"/>
        <w:tabs>
          <w:tab w:val="left" w:pos="720"/>
          <w:tab w:val="left" w:pos="1440"/>
          <w:tab w:val="left" w:pos="2160"/>
          <w:tab w:val="right" w:leader="dot" w:pos="9360"/>
        </w:tabs>
        <w:spacing w:line="240" w:lineRule="exact"/>
        <w:ind w:left="720"/>
        <w:rPr>
          <w:rFonts w:ascii="Times New Roman" w:hAnsi="Times New Roman"/>
          <w:i/>
        </w:rPr>
      </w:pPr>
      <w:r w:rsidRPr="00546F21">
        <w:rPr>
          <w:rFonts w:ascii="Times New Roman" w:hAnsi="Times New Roman"/>
        </w:rPr>
        <w:t>54</w:t>
      </w:r>
      <w:r w:rsidR="00D21A20" w:rsidRPr="00546F21">
        <w:rPr>
          <w:rFonts w:ascii="Times New Roman" w:hAnsi="Times New Roman"/>
        </w:rPr>
        <w:t xml:space="preserve"> </w:t>
      </w:r>
      <w:r w:rsidRPr="00546F21">
        <w:rPr>
          <w:rFonts w:ascii="Times New Roman" w:hAnsi="Times New Roman"/>
        </w:rPr>
        <w:t>PUR</w:t>
      </w:r>
      <w:r w:rsidR="008C67D6" w:rsidRPr="00546F21">
        <w:rPr>
          <w:rFonts w:ascii="Times New Roman" w:hAnsi="Times New Roman"/>
        </w:rPr>
        <w:t xml:space="preserve"> </w:t>
      </w:r>
      <w:r w:rsidRPr="00546F21">
        <w:rPr>
          <w:rFonts w:ascii="Times New Roman" w:hAnsi="Times New Roman"/>
        </w:rPr>
        <w:t xml:space="preserve">4th 480 (1983), </w:t>
      </w:r>
      <w:r w:rsidR="001446FB" w:rsidRPr="00546F21">
        <w:rPr>
          <w:rFonts w:ascii="Times New Roman" w:hAnsi="Times New Roman"/>
          <w:i/>
        </w:rPr>
        <w:t>a</w:t>
      </w:r>
      <w:r w:rsidR="001C5A85">
        <w:rPr>
          <w:rFonts w:ascii="Times New Roman" w:hAnsi="Times New Roman"/>
          <w:i/>
        </w:rPr>
        <w:t>ff’d</w:t>
      </w:r>
      <w:r w:rsidRPr="00546F21">
        <w:rPr>
          <w:rFonts w:ascii="Times New Roman" w:hAnsi="Times New Roman"/>
        </w:rPr>
        <w:t xml:space="preserve">, </w:t>
      </w:r>
      <w:r w:rsidRPr="00546F21">
        <w:rPr>
          <w:rFonts w:ascii="Times New Roman" w:hAnsi="Times New Roman"/>
          <w:i/>
        </w:rPr>
        <w:t xml:space="preserve">People’s Org. for Wash. Energy </w:t>
      </w:r>
    </w:p>
    <w:p w14:paraId="03E8E181" w14:textId="1A61B55F" w:rsidR="0081562C" w:rsidRPr="00546F21" w:rsidRDefault="0081562C" w:rsidP="008C67D6">
      <w:pPr>
        <w:pStyle w:val="BodyTextIndent2"/>
        <w:tabs>
          <w:tab w:val="left" w:pos="720"/>
          <w:tab w:val="left" w:pos="1440"/>
          <w:tab w:val="left" w:pos="2160"/>
          <w:tab w:val="right" w:leader="dot" w:pos="9360"/>
        </w:tabs>
        <w:spacing w:line="240" w:lineRule="exact"/>
        <w:ind w:left="720"/>
        <w:rPr>
          <w:rFonts w:ascii="Times New Roman" w:hAnsi="Times New Roman"/>
        </w:rPr>
      </w:pPr>
      <w:r w:rsidRPr="00546F21">
        <w:rPr>
          <w:rFonts w:ascii="Times New Roman" w:hAnsi="Times New Roman"/>
          <w:i/>
        </w:rPr>
        <w:t>Res. v.</w:t>
      </w:r>
      <w:r w:rsidR="008C67D6" w:rsidRPr="00546F21">
        <w:rPr>
          <w:rFonts w:ascii="Times New Roman" w:hAnsi="Times New Roman"/>
          <w:i/>
        </w:rPr>
        <w:t xml:space="preserve"> </w:t>
      </w:r>
      <w:r w:rsidRPr="00546F21">
        <w:rPr>
          <w:rFonts w:ascii="Times New Roman" w:hAnsi="Times New Roman"/>
          <w:i/>
        </w:rPr>
        <w:t>Utilities &amp; Transp. Comm’n</w:t>
      </w:r>
      <w:r w:rsidRPr="00546F21">
        <w:rPr>
          <w:rFonts w:ascii="Times New Roman" w:hAnsi="Times New Roman"/>
        </w:rPr>
        <w:t>, 104 Wn.2d 798</w:t>
      </w:r>
      <w:r w:rsidR="00D21A20" w:rsidRPr="00546F21">
        <w:rPr>
          <w:rFonts w:ascii="Times New Roman" w:hAnsi="Times New Roman"/>
        </w:rPr>
        <w:t>,</w:t>
      </w:r>
      <w:r w:rsidRPr="00546F21">
        <w:rPr>
          <w:rFonts w:ascii="Times New Roman" w:hAnsi="Times New Roman"/>
        </w:rPr>
        <w:t xml:space="preserve"> 711 P.2d 319 (1985)</w:t>
      </w:r>
      <w:r w:rsidRPr="00546F21">
        <w:rPr>
          <w:rFonts w:ascii="Times New Roman" w:hAnsi="Times New Roman"/>
        </w:rPr>
        <w:tab/>
      </w:r>
      <w:r w:rsidR="00151EAE">
        <w:rPr>
          <w:rFonts w:ascii="Times New Roman" w:hAnsi="Times New Roman"/>
        </w:rPr>
        <w:t>25</w:t>
      </w:r>
    </w:p>
    <w:p w14:paraId="181FD035" w14:textId="77777777" w:rsidR="0081562C" w:rsidRPr="00546F21" w:rsidRDefault="0081562C" w:rsidP="0081562C">
      <w:pPr>
        <w:pStyle w:val="BodyTextIndent2"/>
        <w:tabs>
          <w:tab w:val="left" w:pos="720"/>
          <w:tab w:val="left" w:pos="1440"/>
          <w:tab w:val="left" w:pos="2160"/>
          <w:tab w:val="right" w:leader="dot" w:pos="9360"/>
        </w:tabs>
        <w:spacing w:line="240" w:lineRule="exact"/>
        <w:ind w:left="0"/>
        <w:rPr>
          <w:rFonts w:ascii="Times New Roman" w:hAnsi="Times New Roman"/>
        </w:rPr>
      </w:pPr>
    </w:p>
    <w:p w14:paraId="17833987" w14:textId="77777777" w:rsidR="0081562C" w:rsidRPr="00546F21" w:rsidRDefault="0081562C" w:rsidP="0081562C">
      <w:pPr>
        <w:pStyle w:val="BodyTextIndent2"/>
        <w:tabs>
          <w:tab w:val="left" w:pos="720"/>
          <w:tab w:val="left" w:pos="1440"/>
          <w:tab w:val="left" w:pos="2160"/>
          <w:tab w:val="right" w:leader="dot" w:pos="9360"/>
        </w:tabs>
        <w:spacing w:line="240" w:lineRule="exact"/>
        <w:ind w:left="0"/>
        <w:rPr>
          <w:rFonts w:ascii="Times New Roman" w:hAnsi="Times New Roman"/>
        </w:rPr>
      </w:pPr>
      <w:r w:rsidRPr="00546F21">
        <w:rPr>
          <w:rFonts w:ascii="Times New Roman" w:hAnsi="Times New Roman"/>
          <w:i/>
        </w:rPr>
        <w:t>Utilities &amp; Transp. Comm’n v. Puget Sound Power &amp; Light Co</w:t>
      </w:r>
      <w:r w:rsidRPr="00546F21">
        <w:rPr>
          <w:rFonts w:ascii="Times New Roman" w:hAnsi="Times New Roman"/>
        </w:rPr>
        <w:t>.,</w:t>
      </w:r>
    </w:p>
    <w:p w14:paraId="2042B355" w14:textId="77777777" w:rsidR="006D11D7" w:rsidRPr="00546F21" w:rsidRDefault="0081562C" w:rsidP="0081562C">
      <w:pPr>
        <w:pStyle w:val="BodyTextIndent2"/>
        <w:tabs>
          <w:tab w:val="left" w:pos="720"/>
          <w:tab w:val="left" w:pos="1440"/>
          <w:tab w:val="left" w:pos="2160"/>
          <w:tab w:val="left" w:pos="2880"/>
          <w:tab w:val="right" w:leader="dot" w:pos="9360"/>
        </w:tabs>
        <w:spacing w:line="240" w:lineRule="exact"/>
        <w:ind w:left="0"/>
        <w:rPr>
          <w:rFonts w:ascii="Times New Roman" w:hAnsi="Times New Roman"/>
        </w:rPr>
      </w:pPr>
      <w:r w:rsidRPr="00546F21">
        <w:rPr>
          <w:rFonts w:ascii="Times New Roman" w:hAnsi="Times New Roman"/>
        </w:rPr>
        <w:tab/>
      </w:r>
      <w:r w:rsidR="006D11D7" w:rsidRPr="00546F21">
        <w:rPr>
          <w:rFonts w:ascii="Times New Roman" w:hAnsi="Times New Roman"/>
        </w:rPr>
        <w:t>Cause U-83-54, 4</w:t>
      </w:r>
      <w:r w:rsidR="006D11D7" w:rsidRPr="00546F21">
        <w:rPr>
          <w:rFonts w:ascii="Times New Roman" w:hAnsi="Times New Roman"/>
          <w:vertAlign w:val="superscript"/>
        </w:rPr>
        <w:t>th</w:t>
      </w:r>
      <w:r w:rsidR="006D11D7" w:rsidRPr="00546F21">
        <w:rPr>
          <w:rFonts w:ascii="Times New Roman" w:hAnsi="Times New Roman"/>
        </w:rPr>
        <w:t xml:space="preserve"> Supplemental Order</w:t>
      </w:r>
    </w:p>
    <w:p w14:paraId="39E67BB4" w14:textId="318AA984" w:rsidR="0081562C" w:rsidRPr="00546F21" w:rsidRDefault="006D11D7" w:rsidP="0081562C">
      <w:pPr>
        <w:pStyle w:val="BodyTextIndent2"/>
        <w:tabs>
          <w:tab w:val="left" w:pos="720"/>
          <w:tab w:val="left" w:pos="1440"/>
          <w:tab w:val="left" w:pos="2160"/>
          <w:tab w:val="left" w:pos="2880"/>
          <w:tab w:val="right" w:leader="dot" w:pos="9360"/>
        </w:tabs>
        <w:spacing w:line="240" w:lineRule="exact"/>
        <w:ind w:left="0"/>
        <w:rPr>
          <w:rFonts w:ascii="Times New Roman" w:hAnsi="Times New Roman"/>
        </w:rPr>
      </w:pPr>
      <w:r w:rsidRPr="00546F21">
        <w:rPr>
          <w:rFonts w:ascii="Times New Roman" w:hAnsi="Times New Roman"/>
        </w:rPr>
        <w:tab/>
      </w:r>
      <w:r w:rsidR="0081562C" w:rsidRPr="00546F21">
        <w:rPr>
          <w:rFonts w:ascii="Times New Roman" w:hAnsi="Times New Roman"/>
        </w:rPr>
        <w:t>62</w:t>
      </w:r>
      <w:r w:rsidR="008C67D6" w:rsidRPr="00546F21">
        <w:rPr>
          <w:rFonts w:ascii="Times New Roman" w:hAnsi="Times New Roman"/>
        </w:rPr>
        <w:t xml:space="preserve"> P</w:t>
      </w:r>
      <w:r w:rsidR="0081562C" w:rsidRPr="00546F21">
        <w:rPr>
          <w:rFonts w:ascii="Times New Roman" w:hAnsi="Times New Roman"/>
        </w:rPr>
        <w:t>UR</w:t>
      </w:r>
      <w:r w:rsidR="008C67D6" w:rsidRPr="00546F21">
        <w:rPr>
          <w:rFonts w:ascii="Times New Roman" w:hAnsi="Times New Roman"/>
        </w:rPr>
        <w:t xml:space="preserve"> </w:t>
      </w:r>
      <w:r w:rsidR="0081562C" w:rsidRPr="00546F21">
        <w:rPr>
          <w:rFonts w:ascii="Times New Roman" w:hAnsi="Times New Roman"/>
        </w:rPr>
        <w:t>4th 557 (1984)</w:t>
      </w:r>
      <w:r w:rsidR="0081562C" w:rsidRPr="00546F21">
        <w:rPr>
          <w:rFonts w:ascii="Times New Roman" w:hAnsi="Times New Roman"/>
        </w:rPr>
        <w:tab/>
      </w:r>
      <w:r w:rsidR="00151EAE">
        <w:rPr>
          <w:rFonts w:ascii="Times New Roman" w:hAnsi="Times New Roman"/>
        </w:rPr>
        <w:t>25</w:t>
      </w:r>
    </w:p>
    <w:p w14:paraId="5A24683A" w14:textId="77777777" w:rsidR="0081562C" w:rsidRPr="00546F21" w:rsidRDefault="0081562C" w:rsidP="0081562C">
      <w:pPr>
        <w:pStyle w:val="BodyTextIndent2"/>
        <w:tabs>
          <w:tab w:val="left" w:pos="720"/>
          <w:tab w:val="left" w:pos="1440"/>
          <w:tab w:val="left" w:pos="2160"/>
          <w:tab w:val="right" w:leader="dot" w:pos="9360"/>
        </w:tabs>
        <w:spacing w:line="240" w:lineRule="exact"/>
        <w:ind w:left="0"/>
        <w:rPr>
          <w:rFonts w:ascii="Times New Roman" w:hAnsi="Times New Roman"/>
        </w:rPr>
      </w:pPr>
    </w:p>
    <w:p w14:paraId="41BF6FFB" w14:textId="77777777" w:rsidR="00B009BC" w:rsidRPr="00546F21" w:rsidRDefault="00B009BC" w:rsidP="00B009BC">
      <w:pPr>
        <w:pStyle w:val="BodyTextIndent2"/>
        <w:tabs>
          <w:tab w:val="left" w:pos="720"/>
          <w:tab w:val="left" w:pos="1440"/>
          <w:tab w:val="left" w:pos="2160"/>
          <w:tab w:val="right" w:pos="9360"/>
        </w:tabs>
        <w:spacing w:line="240" w:lineRule="exact"/>
        <w:ind w:left="0"/>
        <w:rPr>
          <w:rFonts w:ascii="Times New Roman" w:hAnsi="Times New Roman"/>
        </w:rPr>
      </w:pPr>
      <w:r w:rsidRPr="00546F21">
        <w:rPr>
          <w:rFonts w:ascii="Times New Roman" w:hAnsi="Times New Roman"/>
          <w:i/>
        </w:rPr>
        <w:t>Wash. Pub. Service Comm’n v. Puget Sound Power &amp; Light Co</w:t>
      </w:r>
      <w:r w:rsidRPr="00546F21">
        <w:rPr>
          <w:rFonts w:ascii="Times New Roman" w:hAnsi="Times New Roman"/>
        </w:rPr>
        <w:t>.,</w:t>
      </w:r>
    </w:p>
    <w:p w14:paraId="6837D423" w14:textId="77777777" w:rsidR="006D11D7" w:rsidRPr="00546F21" w:rsidRDefault="00B009BC" w:rsidP="00B009BC">
      <w:pPr>
        <w:pStyle w:val="BodyTextIndent2"/>
        <w:tabs>
          <w:tab w:val="left" w:pos="720"/>
          <w:tab w:val="left" w:pos="1440"/>
          <w:tab w:val="left" w:pos="2160"/>
          <w:tab w:val="left" w:pos="2880"/>
          <w:tab w:val="right" w:leader="dot" w:pos="9360"/>
        </w:tabs>
        <w:spacing w:line="240" w:lineRule="exact"/>
        <w:ind w:left="0"/>
        <w:rPr>
          <w:rFonts w:ascii="Times New Roman" w:hAnsi="Times New Roman"/>
        </w:rPr>
      </w:pPr>
      <w:r w:rsidRPr="00546F21">
        <w:rPr>
          <w:rFonts w:ascii="Times New Roman" w:hAnsi="Times New Roman"/>
        </w:rPr>
        <w:tab/>
      </w:r>
      <w:r w:rsidR="006D11D7" w:rsidRPr="00546F21">
        <w:rPr>
          <w:rFonts w:ascii="Times New Roman" w:hAnsi="Times New Roman"/>
        </w:rPr>
        <w:t>Cause U-9150</w:t>
      </w:r>
    </w:p>
    <w:p w14:paraId="40D22865" w14:textId="77777777" w:rsidR="00B009BC" w:rsidRPr="00546F21" w:rsidRDefault="006D11D7" w:rsidP="00B009BC">
      <w:pPr>
        <w:pStyle w:val="BodyTextIndent2"/>
        <w:tabs>
          <w:tab w:val="left" w:pos="720"/>
          <w:tab w:val="left" w:pos="1440"/>
          <w:tab w:val="left" w:pos="2160"/>
          <w:tab w:val="left" w:pos="2880"/>
          <w:tab w:val="right" w:leader="dot" w:pos="9360"/>
        </w:tabs>
        <w:spacing w:line="240" w:lineRule="exact"/>
        <w:ind w:left="0"/>
        <w:rPr>
          <w:rFonts w:ascii="Times New Roman" w:hAnsi="Times New Roman"/>
        </w:rPr>
      </w:pPr>
      <w:r w:rsidRPr="00546F21">
        <w:rPr>
          <w:rFonts w:ascii="Times New Roman" w:hAnsi="Times New Roman"/>
        </w:rPr>
        <w:tab/>
      </w:r>
      <w:r w:rsidR="00B009BC" w:rsidRPr="00546F21">
        <w:rPr>
          <w:rFonts w:ascii="Times New Roman" w:hAnsi="Times New Roman"/>
        </w:rPr>
        <w:t>33</w:t>
      </w:r>
      <w:r w:rsidR="008C67D6" w:rsidRPr="00546F21">
        <w:rPr>
          <w:rFonts w:ascii="Times New Roman" w:hAnsi="Times New Roman"/>
        </w:rPr>
        <w:t xml:space="preserve"> </w:t>
      </w:r>
      <w:r w:rsidR="00B009BC" w:rsidRPr="00546F21">
        <w:rPr>
          <w:rFonts w:ascii="Times New Roman" w:hAnsi="Times New Roman"/>
        </w:rPr>
        <w:t>PUR 3rd 113 (1960)</w:t>
      </w:r>
      <w:r w:rsidR="00B009BC" w:rsidRPr="00546F21">
        <w:rPr>
          <w:rFonts w:ascii="Times New Roman" w:hAnsi="Times New Roman"/>
        </w:rPr>
        <w:tab/>
      </w:r>
      <w:r w:rsidRPr="00546F21">
        <w:rPr>
          <w:rFonts w:ascii="Times New Roman" w:hAnsi="Times New Roman"/>
        </w:rPr>
        <w:t>13</w:t>
      </w:r>
    </w:p>
    <w:p w14:paraId="596470D3" w14:textId="77777777" w:rsidR="00B009BC" w:rsidRPr="00546F21" w:rsidRDefault="00B009BC" w:rsidP="00B009BC">
      <w:pPr>
        <w:pStyle w:val="BodyTextIndent2"/>
        <w:tabs>
          <w:tab w:val="left" w:pos="720"/>
          <w:tab w:val="left" w:pos="1440"/>
          <w:tab w:val="left" w:pos="2160"/>
          <w:tab w:val="right" w:pos="9360"/>
        </w:tabs>
        <w:spacing w:line="240" w:lineRule="exact"/>
        <w:ind w:left="0"/>
        <w:rPr>
          <w:rFonts w:ascii="Times New Roman" w:hAnsi="Times New Roman"/>
        </w:rPr>
      </w:pPr>
    </w:p>
    <w:p w14:paraId="7D492916" w14:textId="77777777" w:rsidR="0081562C" w:rsidRPr="00546F21" w:rsidRDefault="0081562C" w:rsidP="0081562C">
      <w:pPr>
        <w:pStyle w:val="BodyTextIndent2"/>
        <w:tabs>
          <w:tab w:val="left" w:pos="720"/>
          <w:tab w:val="left" w:pos="1440"/>
          <w:tab w:val="left" w:pos="2160"/>
          <w:tab w:val="right" w:leader="dot" w:pos="9360"/>
        </w:tabs>
        <w:spacing w:line="240" w:lineRule="exact"/>
        <w:ind w:left="0"/>
        <w:rPr>
          <w:rFonts w:ascii="Times New Roman" w:hAnsi="Times New Roman"/>
        </w:rPr>
      </w:pPr>
    </w:p>
    <w:p w14:paraId="03354BC3" w14:textId="77777777" w:rsidR="00DE48FA" w:rsidRDefault="00DE48FA">
      <w:pPr>
        <w:rPr>
          <w:rFonts w:eastAsia="Times New Roman" w:cs="Times New Roman"/>
          <w:b/>
          <w:szCs w:val="24"/>
        </w:rPr>
      </w:pPr>
      <w:r>
        <w:rPr>
          <w:b/>
        </w:rPr>
        <w:br w:type="page"/>
      </w:r>
    </w:p>
    <w:p w14:paraId="555FAD14" w14:textId="56F8006D" w:rsidR="0081562C" w:rsidRPr="00546F21" w:rsidRDefault="0081562C" w:rsidP="0081562C">
      <w:pPr>
        <w:pStyle w:val="BodyTextIndent2"/>
        <w:tabs>
          <w:tab w:val="left" w:pos="720"/>
          <w:tab w:val="left" w:pos="1440"/>
          <w:tab w:val="left" w:pos="2160"/>
          <w:tab w:val="right" w:leader="dot" w:pos="9360"/>
        </w:tabs>
        <w:spacing w:line="240" w:lineRule="exact"/>
        <w:ind w:left="0"/>
        <w:jc w:val="center"/>
        <w:rPr>
          <w:rFonts w:ascii="Times New Roman" w:hAnsi="Times New Roman"/>
          <w:b/>
        </w:rPr>
      </w:pPr>
      <w:r w:rsidRPr="00546F21">
        <w:rPr>
          <w:rFonts w:ascii="Times New Roman" w:hAnsi="Times New Roman"/>
          <w:b/>
        </w:rPr>
        <w:lastRenderedPageBreak/>
        <w:t>Statutes</w:t>
      </w:r>
    </w:p>
    <w:p w14:paraId="527FB780" w14:textId="77777777" w:rsidR="0081562C" w:rsidRPr="00546F21" w:rsidRDefault="0081562C" w:rsidP="0081562C">
      <w:pPr>
        <w:pStyle w:val="BodyTextIndent2"/>
        <w:tabs>
          <w:tab w:val="left" w:pos="720"/>
          <w:tab w:val="left" w:pos="1440"/>
          <w:tab w:val="left" w:pos="2160"/>
          <w:tab w:val="right" w:leader="dot" w:pos="9360"/>
        </w:tabs>
        <w:spacing w:line="240" w:lineRule="exact"/>
        <w:ind w:left="0"/>
        <w:rPr>
          <w:rFonts w:ascii="Times New Roman" w:hAnsi="Times New Roman"/>
        </w:rPr>
      </w:pPr>
    </w:p>
    <w:p w14:paraId="08AF7E2C" w14:textId="7C14DA2A" w:rsidR="00807F90" w:rsidRPr="00546F21" w:rsidRDefault="00807F90" w:rsidP="00807F90">
      <w:pPr>
        <w:pStyle w:val="BodyTextIndent2"/>
        <w:tabs>
          <w:tab w:val="left" w:pos="720"/>
          <w:tab w:val="left" w:pos="1440"/>
          <w:tab w:val="right" w:leader="dot" w:pos="9360"/>
        </w:tabs>
        <w:spacing w:line="240" w:lineRule="exact"/>
        <w:ind w:left="0"/>
        <w:rPr>
          <w:rFonts w:ascii="Times New Roman" w:hAnsi="Times New Roman"/>
        </w:rPr>
      </w:pPr>
      <w:r w:rsidRPr="00DE48FA">
        <w:rPr>
          <w:rFonts w:ascii="Times New Roman" w:hAnsi="Times New Roman"/>
        </w:rPr>
        <w:t>RCW 36.96.010</w:t>
      </w:r>
      <w:r w:rsidRPr="00DE48FA">
        <w:rPr>
          <w:rFonts w:ascii="Times New Roman" w:hAnsi="Times New Roman"/>
        </w:rPr>
        <w:tab/>
      </w:r>
      <w:r w:rsidR="00DE48FA" w:rsidRPr="00DE48FA">
        <w:rPr>
          <w:rFonts w:ascii="Times New Roman" w:hAnsi="Times New Roman"/>
        </w:rPr>
        <w:t>6</w:t>
      </w:r>
    </w:p>
    <w:p w14:paraId="4F881B33" w14:textId="77777777" w:rsidR="00807F90" w:rsidRPr="00546F21" w:rsidRDefault="00807F90" w:rsidP="00807F90">
      <w:pPr>
        <w:pStyle w:val="BodyTextIndent2"/>
        <w:tabs>
          <w:tab w:val="left" w:pos="720"/>
          <w:tab w:val="left" w:pos="1440"/>
          <w:tab w:val="left" w:pos="2160"/>
          <w:tab w:val="right" w:leader="dot" w:pos="9360"/>
        </w:tabs>
        <w:spacing w:line="240" w:lineRule="exact"/>
        <w:ind w:left="0"/>
        <w:rPr>
          <w:rFonts w:ascii="Times New Roman" w:hAnsi="Times New Roman"/>
        </w:rPr>
      </w:pPr>
    </w:p>
    <w:p w14:paraId="33885CBA" w14:textId="48E792D1" w:rsidR="00807F90" w:rsidRPr="00546F21" w:rsidRDefault="00807F90" w:rsidP="00807F90">
      <w:pPr>
        <w:pStyle w:val="BodyTextIndent2"/>
        <w:tabs>
          <w:tab w:val="left" w:pos="720"/>
          <w:tab w:val="left" w:pos="1440"/>
          <w:tab w:val="right" w:leader="dot" w:pos="9360"/>
        </w:tabs>
        <w:spacing w:line="240" w:lineRule="exact"/>
        <w:ind w:left="0"/>
        <w:rPr>
          <w:rFonts w:ascii="Times New Roman" w:hAnsi="Times New Roman"/>
        </w:rPr>
      </w:pPr>
      <w:r w:rsidRPr="00546F21">
        <w:rPr>
          <w:rFonts w:ascii="Times New Roman" w:hAnsi="Times New Roman"/>
        </w:rPr>
        <w:t xml:space="preserve">RCW 70.105D </w:t>
      </w:r>
      <w:r w:rsidRPr="00546F21">
        <w:rPr>
          <w:rFonts w:ascii="Times New Roman" w:hAnsi="Times New Roman"/>
        </w:rPr>
        <w:tab/>
        <w:t>2</w:t>
      </w:r>
      <w:r w:rsidR="00DE48FA">
        <w:rPr>
          <w:rFonts w:ascii="Times New Roman" w:hAnsi="Times New Roman"/>
        </w:rPr>
        <w:t>7</w:t>
      </w:r>
    </w:p>
    <w:p w14:paraId="115A2650" w14:textId="77777777" w:rsidR="00807F90" w:rsidRPr="00546F21" w:rsidRDefault="00807F90" w:rsidP="0081562C">
      <w:pPr>
        <w:pStyle w:val="BodyTextIndent2"/>
        <w:tabs>
          <w:tab w:val="left" w:pos="720"/>
          <w:tab w:val="left" w:pos="1440"/>
          <w:tab w:val="right" w:leader="dot" w:pos="9360"/>
        </w:tabs>
        <w:spacing w:line="240" w:lineRule="exact"/>
        <w:ind w:left="0"/>
        <w:rPr>
          <w:rFonts w:ascii="Times New Roman" w:hAnsi="Times New Roman"/>
        </w:rPr>
      </w:pPr>
    </w:p>
    <w:p w14:paraId="4A7C7D44" w14:textId="113E31AA" w:rsidR="006466D8" w:rsidRPr="00546F21" w:rsidRDefault="0081562C" w:rsidP="0081562C">
      <w:pPr>
        <w:pStyle w:val="BodyTextIndent2"/>
        <w:tabs>
          <w:tab w:val="left" w:pos="720"/>
          <w:tab w:val="left" w:pos="1440"/>
          <w:tab w:val="right" w:leader="dot" w:pos="9360"/>
        </w:tabs>
        <w:spacing w:line="240" w:lineRule="exact"/>
        <w:ind w:left="0"/>
        <w:rPr>
          <w:rFonts w:ascii="Times New Roman" w:hAnsi="Times New Roman"/>
        </w:rPr>
      </w:pPr>
      <w:r w:rsidRPr="00546F21">
        <w:rPr>
          <w:rFonts w:ascii="Times New Roman" w:hAnsi="Times New Roman"/>
        </w:rPr>
        <w:t>RCW 80.01.040(3)</w:t>
      </w:r>
      <w:r w:rsidR="00DE48FA">
        <w:rPr>
          <w:rFonts w:ascii="Times New Roman" w:hAnsi="Times New Roman"/>
        </w:rPr>
        <w:tab/>
        <w:t>5</w:t>
      </w:r>
    </w:p>
    <w:p w14:paraId="24DE6801" w14:textId="77777777" w:rsidR="006466D8" w:rsidRPr="00546F21" w:rsidRDefault="006466D8" w:rsidP="0081562C">
      <w:pPr>
        <w:pStyle w:val="BodyTextIndent2"/>
        <w:tabs>
          <w:tab w:val="left" w:pos="720"/>
          <w:tab w:val="left" w:pos="1440"/>
          <w:tab w:val="right" w:leader="dot" w:pos="9360"/>
        </w:tabs>
        <w:spacing w:line="240" w:lineRule="exact"/>
        <w:ind w:left="0"/>
        <w:rPr>
          <w:rFonts w:ascii="Times New Roman" w:hAnsi="Times New Roman"/>
        </w:rPr>
      </w:pPr>
    </w:p>
    <w:p w14:paraId="5B7094C5" w14:textId="77777777" w:rsidR="006466D8" w:rsidRPr="00546F21" w:rsidRDefault="0081562C" w:rsidP="0081562C">
      <w:pPr>
        <w:pStyle w:val="BodyTextIndent2"/>
        <w:tabs>
          <w:tab w:val="left" w:pos="720"/>
          <w:tab w:val="left" w:pos="1440"/>
          <w:tab w:val="right" w:leader="dot" w:pos="9360"/>
        </w:tabs>
        <w:spacing w:line="240" w:lineRule="exact"/>
        <w:ind w:left="0"/>
        <w:rPr>
          <w:rFonts w:ascii="Times New Roman" w:hAnsi="Times New Roman"/>
        </w:rPr>
      </w:pPr>
      <w:r w:rsidRPr="00546F21">
        <w:rPr>
          <w:rFonts w:ascii="Times New Roman" w:hAnsi="Times New Roman"/>
        </w:rPr>
        <w:t>RCW 80.04.090</w:t>
      </w:r>
      <w:r w:rsidR="006D11D7" w:rsidRPr="00546F21">
        <w:rPr>
          <w:rFonts w:ascii="Times New Roman" w:hAnsi="Times New Roman"/>
        </w:rPr>
        <w:tab/>
        <w:t>5</w:t>
      </w:r>
    </w:p>
    <w:p w14:paraId="09082A28" w14:textId="77777777" w:rsidR="006466D8" w:rsidRPr="00546F21" w:rsidRDefault="006466D8" w:rsidP="0081562C">
      <w:pPr>
        <w:pStyle w:val="BodyTextIndent2"/>
        <w:tabs>
          <w:tab w:val="left" w:pos="720"/>
          <w:tab w:val="left" w:pos="1440"/>
          <w:tab w:val="right" w:leader="dot" w:pos="9360"/>
        </w:tabs>
        <w:spacing w:line="240" w:lineRule="exact"/>
        <w:ind w:left="0"/>
        <w:rPr>
          <w:rFonts w:ascii="Times New Roman" w:hAnsi="Times New Roman"/>
        </w:rPr>
      </w:pPr>
    </w:p>
    <w:p w14:paraId="2258BFDC" w14:textId="77777777" w:rsidR="004212A3" w:rsidRPr="00546F21" w:rsidRDefault="004212A3" w:rsidP="004212A3">
      <w:pPr>
        <w:pStyle w:val="BodyTextIndent2"/>
        <w:tabs>
          <w:tab w:val="left" w:pos="720"/>
          <w:tab w:val="left" w:pos="1440"/>
          <w:tab w:val="right" w:leader="dot" w:pos="9360"/>
        </w:tabs>
        <w:spacing w:line="240" w:lineRule="exact"/>
        <w:ind w:left="0"/>
        <w:rPr>
          <w:rFonts w:ascii="Times New Roman" w:hAnsi="Times New Roman"/>
        </w:rPr>
      </w:pPr>
      <w:r w:rsidRPr="00DE48FA">
        <w:rPr>
          <w:rFonts w:ascii="Times New Roman" w:hAnsi="Times New Roman"/>
        </w:rPr>
        <w:t>RCW 80.04.250</w:t>
      </w:r>
      <w:r w:rsidRPr="00DE48FA">
        <w:rPr>
          <w:rFonts w:ascii="Times New Roman" w:hAnsi="Times New Roman"/>
        </w:rPr>
        <w:tab/>
        <w:t>10</w:t>
      </w:r>
    </w:p>
    <w:p w14:paraId="41C5221B" w14:textId="77777777" w:rsidR="004212A3" w:rsidRPr="00546F21" w:rsidRDefault="004212A3" w:rsidP="004212A3">
      <w:pPr>
        <w:pStyle w:val="BodyTextIndent2"/>
        <w:tabs>
          <w:tab w:val="left" w:pos="720"/>
          <w:tab w:val="left" w:pos="1440"/>
          <w:tab w:val="right" w:leader="dot" w:pos="9360"/>
        </w:tabs>
        <w:spacing w:line="240" w:lineRule="exact"/>
        <w:ind w:left="0"/>
        <w:rPr>
          <w:rFonts w:ascii="Times New Roman" w:hAnsi="Times New Roman"/>
        </w:rPr>
      </w:pPr>
    </w:p>
    <w:p w14:paraId="1945E9D2" w14:textId="249A886A" w:rsidR="006D11D7" w:rsidRPr="00546F21" w:rsidRDefault="00546F21" w:rsidP="00D21A20">
      <w:pPr>
        <w:pStyle w:val="BodyTextIndent2"/>
        <w:tabs>
          <w:tab w:val="left" w:pos="720"/>
          <w:tab w:val="right" w:leader="dot" w:pos="9360"/>
        </w:tabs>
        <w:spacing w:line="240" w:lineRule="exact"/>
        <w:ind w:left="0"/>
        <w:rPr>
          <w:rFonts w:ascii="Times New Roman" w:hAnsi="Times New Roman"/>
        </w:rPr>
      </w:pPr>
      <w:r>
        <w:rPr>
          <w:rFonts w:ascii="Times New Roman" w:hAnsi="Times New Roman"/>
        </w:rPr>
        <w:t>RCW 80.12</w:t>
      </w:r>
      <w:r>
        <w:rPr>
          <w:rFonts w:ascii="Times New Roman" w:hAnsi="Times New Roman"/>
        </w:rPr>
        <w:tab/>
      </w:r>
      <w:r w:rsidR="00DE48FA">
        <w:rPr>
          <w:rFonts w:ascii="Times New Roman" w:hAnsi="Times New Roman"/>
        </w:rPr>
        <w:t xml:space="preserve">5, </w:t>
      </w:r>
      <w:r w:rsidR="006D11D7" w:rsidRPr="00546F21">
        <w:rPr>
          <w:rFonts w:ascii="Times New Roman" w:hAnsi="Times New Roman"/>
        </w:rPr>
        <w:t>6</w:t>
      </w:r>
    </w:p>
    <w:p w14:paraId="2A27D3FD" w14:textId="77777777" w:rsidR="006D11D7" w:rsidRPr="00546F21" w:rsidRDefault="006D11D7" w:rsidP="0081562C">
      <w:pPr>
        <w:pStyle w:val="BodyTextIndent2"/>
        <w:tabs>
          <w:tab w:val="left" w:pos="720"/>
          <w:tab w:val="left" w:pos="1440"/>
          <w:tab w:val="right" w:leader="dot" w:pos="9360"/>
        </w:tabs>
        <w:spacing w:line="240" w:lineRule="exact"/>
        <w:ind w:left="0"/>
        <w:rPr>
          <w:rFonts w:ascii="Times New Roman" w:hAnsi="Times New Roman"/>
        </w:rPr>
      </w:pPr>
    </w:p>
    <w:p w14:paraId="54FC5B50" w14:textId="4E34CF2B" w:rsidR="0081562C" w:rsidRPr="00546F21" w:rsidRDefault="0081562C" w:rsidP="0081562C">
      <w:pPr>
        <w:pStyle w:val="BodyTextIndent2"/>
        <w:tabs>
          <w:tab w:val="left" w:pos="720"/>
          <w:tab w:val="left" w:pos="1440"/>
          <w:tab w:val="right" w:leader="dot" w:pos="9360"/>
        </w:tabs>
        <w:spacing w:line="240" w:lineRule="exact"/>
        <w:ind w:left="0"/>
        <w:rPr>
          <w:rFonts w:ascii="Times New Roman" w:hAnsi="Times New Roman"/>
        </w:rPr>
      </w:pPr>
      <w:r w:rsidRPr="00DE48FA">
        <w:rPr>
          <w:rFonts w:ascii="Times New Roman" w:hAnsi="Times New Roman"/>
        </w:rPr>
        <w:t>RCW 80.12.020</w:t>
      </w:r>
      <w:r w:rsidRPr="00DE48FA">
        <w:rPr>
          <w:rFonts w:ascii="Times New Roman" w:hAnsi="Times New Roman"/>
        </w:rPr>
        <w:tab/>
      </w:r>
      <w:r w:rsidR="00DE48FA" w:rsidRPr="00DE48FA">
        <w:rPr>
          <w:rFonts w:ascii="Times New Roman" w:hAnsi="Times New Roman"/>
        </w:rPr>
        <w:t>6</w:t>
      </w:r>
    </w:p>
    <w:p w14:paraId="7047F40F" w14:textId="77777777" w:rsidR="0036045D" w:rsidRPr="00546F21" w:rsidRDefault="0036045D" w:rsidP="0081562C">
      <w:pPr>
        <w:pStyle w:val="BodyTextIndent2"/>
        <w:tabs>
          <w:tab w:val="left" w:pos="720"/>
          <w:tab w:val="left" w:pos="1440"/>
          <w:tab w:val="right" w:leader="dot" w:pos="9360"/>
        </w:tabs>
        <w:spacing w:line="240" w:lineRule="exact"/>
        <w:ind w:left="0"/>
        <w:rPr>
          <w:rFonts w:ascii="Times New Roman" w:hAnsi="Times New Roman"/>
        </w:rPr>
      </w:pPr>
    </w:p>
    <w:p w14:paraId="785101A7" w14:textId="77777777" w:rsidR="004212A3" w:rsidRPr="00546F21" w:rsidRDefault="004212A3" w:rsidP="004212A3">
      <w:pPr>
        <w:pStyle w:val="BodyTextIndent2"/>
        <w:tabs>
          <w:tab w:val="left" w:pos="720"/>
          <w:tab w:val="left" w:pos="1440"/>
          <w:tab w:val="right" w:leader="dot" w:pos="9360"/>
        </w:tabs>
        <w:spacing w:line="240" w:lineRule="exact"/>
        <w:ind w:left="0"/>
        <w:rPr>
          <w:rFonts w:ascii="Times New Roman" w:hAnsi="Times New Roman"/>
        </w:rPr>
      </w:pPr>
      <w:r w:rsidRPr="00546F21">
        <w:rPr>
          <w:rFonts w:ascii="Times New Roman" w:hAnsi="Times New Roman"/>
        </w:rPr>
        <w:t>RCW 80.28.040</w:t>
      </w:r>
      <w:r w:rsidRPr="00546F21">
        <w:rPr>
          <w:rFonts w:ascii="Times New Roman" w:hAnsi="Times New Roman"/>
        </w:rPr>
        <w:tab/>
        <w:t>5</w:t>
      </w:r>
    </w:p>
    <w:p w14:paraId="56B95542" w14:textId="77777777" w:rsidR="004212A3" w:rsidRPr="00546F21" w:rsidRDefault="004212A3" w:rsidP="004212A3">
      <w:pPr>
        <w:pStyle w:val="BodyTextIndent2"/>
        <w:tabs>
          <w:tab w:val="left" w:pos="720"/>
          <w:tab w:val="left" w:pos="1440"/>
          <w:tab w:val="right" w:leader="dot" w:pos="9360"/>
        </w:tabs>
        <w:spacing w:line="240" w:lineRule="exact"/>
        <w:ind w:left="0"/>
        <w:rPr>
          <w:rFonts w:ascii="Times New Roman" w:hAnsi="Times New Roman"/>
        </w:rPr>
      </w:pPr>
    </w:p>
    <w:p w14:paraId="136AE826" w14:textId="7D9932D7" w:rsidR="006D11D7" w:rsidRPr="00546F21" w:rsidRDefault="006D11D7" w:rsidP="0081562C">
      <w:pPr>
        <w:pStyle w:val="BodyTextIndent2"/>
        <w:tabs>
          <w:tab w:val="left" w:pos="720"/>
          <w:tab w:val="left" w:pos="1440"/>
          <w:tab w:val="left" w:pos="2160"/>
          <w:tab w:val="right" w:leader="dot" w:pos="9360"/>
        </w:tabs>
        <w:spacing w:line="240" w:lineRule="exact"/>
        <w:ind w:left="0"/>
        <w:rPr>
          <w:rFonts w:ascii="Times New Roman" w:hAnsi="Times New Roman"/>
        </w:rPr>
      </w:pPr>
      <w:r w:rsidRPr="00546F21">
        <w:rPr>
          <w:rFonts w:ascii="Times New Roman" w:hAnsi="Times New Roman"/>
        </w:rPr>
        <w:t xml:space="preserve">49 U.S.C. § 9601 </w:t>
      </w:r>
      <w:r w:rsidRPr="00546F21">
        <w:rPr>
          <w:rFonts w:ascii="Times New Roman" w:hAnsi="Times New Roman"/>
          <w:i/>
        </w:rPr>
        <w:t xml:space="preserve">et </w:t>
      </w:r>
      <w:r w:rsidR="001446FB" w:rsidRPr="00546F21">
        <w:rPr>
          <w:rFonts w:ascii="Times New Roman" w:hAnsi="Times New Roman"/>
          <w:i/>
        </w:rPr>
        <w:t>s</w:t>
      </w:r>
      <w:r w:rsidRPr="00546F21">
        <w:rPr>
          <w:rFonts w:ascii="Times New Roman" w:hAnsi="Times New Roman"/>
          <w:i/>
        </w:rPr>
        <w:t>eq</w:t>
      </w:r>
      <w:r w:rsidR="001446FB" w:rsidRPr="00546F21">
        <w:rPr>
          <w:rFonts w:ascii="Times New Roman" w:hAnsi="Times New Roman"/>
          <w:i/>
        </w:rPr>
        <w:t>.</w:t>
      </w:r>
      <w:r w:rsidR="004212A3">
        <w:rPr>
          <w:rFonts w:ascii="Times New Roman" w:hAnsi="Times New Roman"/>
        </w:rPr>
        <w:t xml:space="preserve"> </w:t>
      </w:r>
      <w:r w:rsidR="00DE48FA">
        <w:rPr>
          <w:rFonts w:ascii="Times New Roman" w:hAnsi="Times New Roman"/>
        </w:rPr>
        <w:tab/>
        <w:t>27</w:t>
      </w:r>
    </w:p>
    <w:p w14:paraId="0758C7A9" w14:textId="77777777" w:rsidR="006D11D7" w:rsidRPr="00546F21" w:rsidRDefault="006D11D7" w:rsidP="0081562C">
      <w:pPr>
        <w:pStyle w:val="BodyTextIndent2"/>
        <w:tabs>
          <w:tab w:val="left" w:pos="720"/>
          <w:tab w:val="left" w:pos="1440"/>
          <w:tab w:val="left" w:pos="2160"/>
          <w:tab w:val="right" w:leader="dot" w:pos="9360"/>
        </w:tabs>
        <w:spacing w:line="240" w:lineRule="exact"/>
        <w:ind w:left="0"/>
        <w:rPr>
          <w:rFonts w:ascii="Times New Roman" w:hAnsi="Times New Roman"/>
        </w:rPr>
      </w:pPr>
    </w:p>
    <w:p w14:paraId="73F0474D" w14:textId="77777777" w:rsidR="00E16C42" w:rsidRPr="00546F21" w:rsidRDefault="00E16C42" w:rsidP="0081562C">
      <w:pPr>
        <w:pStyle w:val="BodyTextIndent2"/>
        <w:tabs>
          <w:tab w:val="left" w:pos="720"/>
          <w:tab w:val="left" w:pos="1440"/>
          <w:tab w:val="left" w:pos="2160"/>
          <w:tab w:val="right" w:leader="dot" w:pos="9360"/>
        </w:tabs>
        <w:spacing w:line="240" w:lineRule="exact"/>
        <w:ind w:left="0"/>
        <w:rPr>
          <w:rFonts w:ascii="Times New Roman" w:hAnsi="Times New Roman"/>
        </w:rPr>
      </w:pPr>
    </w:p>
    <w:p w14:paraId="63EC5BEB" w14:textId="77777777" w:rsidR="0081562C" w:rsidRPr="00546F21" w:rsidRDefault="0081562C" w:rsidP="0081562C">
      <w:pPr>
        <w:pStyle w:val="BodyTextIndent2"/>
        <w:tabs>
          <w:tab w:val="left" w:pos="720"/>
          <w:tab w:val="left" w:pos="1440"/>
          <w:tab w:val="left" w:pos="2160"/>
          <w:tab w:val="right" w:leader="dot" w:pos="9360"/>
        </w:tabs>
        <w:spacing w:line="240" w:lineRule="exact"/>
        <w:ind w:left="0"/>
        <w:jc w:val="center"/>
        <w:rPr>
          <w:rFonts w:ascii="Times New Roman" w:hAnsi="Times New Roman"/>
          <w:b/>
        </w:rPr>
      </w:pPr>
      <w:r w:rsidRPr="00546F21">
        <w:rPr>
          <w:rFonts w:ascii="Times New Roman" w:hAnsi="Times New Roman"/>
          <w:b/>
        </w:rPr>
        <w:t>Secondary Sources</w:t>
      </w:r>
    </w:p>
    <w:p w14:paraId="7D8F2574" w14:textId="77777777" w:rsidR="0081562C" w:rsidRPr="00546F21" w:rsidRDefault="0081562C" w:rsidP="0081562C">
      <w:pPr>
        <w:pStyle w:val="BodyTextIndent2"/>
        <w:tabs>
          <w:tab w:val="left" w:pos="720"/>
          <w:tab w:val="left" w:pos="1440"/>
          <w:tab w:val="left" w:pos="2160"/>
          <w:tab w:val="right" w:leader="dot" w:pos="9360"/>
        </w:tabs>
        <w:spacing w:line="240" w:lineRule="exact"/>
        <w:ind w:left="0"/>
        <w:rPr>
          <w:rFonts w:ascii="Times New Roman" w:hAnsi="Times New Roman"/>
        </w:rPr>
      </w:pPr>
    </w:p>
    <w:p w14:paraId="779CC03C" w14:textId="3B226B24" w:rsidR="009E1B83" w:rsidRPr="00546F21" w:rsidRDefault="0081562C" w:rsidP="0081562C">
      <w:pPr>
        <w:pStyle w:val="BodyTextIndent2"/>
        <w:tabs>
          <w:tab w:val="left" w:pos="720"/>
          <w:tab w:val="left" w:pos="1440"/>
          <w:tab w:val="left" w:pos="2160"/>
          <w:tab w:val="left" w:pos="2880"/>
          <w:tab w:val="left" w:pos="3600"/>
          <w:tab w:val="right" w:leader="dot" w:pos="9360"/>
        </w:tabs>
        <w:spacing w:line="240" w:lineRule="exact"/>
        <w:ind w:left="0"/>
        <w:rPr>
          <w:rFonts w:ascii="Times New Roman" w:hAnsi="Times New Roman"/>
        </w:rPr>
      </w:pPr>
      <w:r w:rsidRPr="00546F21">
        <w:rPr>
          <w:rFonts w:ascii="Times New Roman" w:hAnsi="Times New Roman"/>
          <w:i/>
        </w:rPr>
        <w:t>Accounting Standards Codification</w:t>
      </w:r>
      <w:r w:rsidRPr="00546F21">
        <w:rPr>
          <w:rFonts w:ascii="Times New Roman" w:hAnsi="Times New Roman"/>
        </w:rPr>
        <w:t xml:space="preserve">, ¶ 980-340-25 – </w:t>
      </w:r>
      <w:r w:rsidRPr="004212A3">
        <w:rPr>
          <w:rFonts w:ascii="Times New Roman" w:hAnsi="Times New Roman"/>
          <w:i/>
        </w:rPr>
        <w:t>Recognition - General</w:t>
      </w:r>
      <w:r w:rsidRPr="00546F21">
        <w:rPr>
          <w:rFonts w:ascii="Times New Roman" w:hAnsi="Times New Roman"/>
        </w:rPr>
        <w:t>, v. 4, page 2377, Financial Accounting Sta</w:t>
      </w:r>
      <w:r w:rsidR="00DE48FA">
        <w:rPr>
          <w:rFonts w:ascii="Times New Roman" w:hAnsi="Times New Roman"/>
        </w:rPr>
        <w:t>ndards Board (October 31, 2012)</w:t>
      </w:r>
      <w:r w:rsidR="00DE48FA">
        <w:rPr>
          <w:rFonts w:ascii="Times New Roman" w:hAnsi="Times New Roman"/>
        </w:rPr>
        <w:tab/>
        <w:t>22</w:t>
      </w:r>
    </w:p>
    <w:p w14:paraId="5387A99E" w14:textId="77777777" w:rsidR="009E1B83" w:rsidRPr="00546F21" w:rsidRDefault="009E1B83" w:rsidP="0081562C">
      <w:pPr>
        <w:pStyle w:val="BodyTextIndent2"/>
        <w:tabs>
          <w:tab w:val="left" w:pos="720"/>
          <w:tab w:val="left" w:pos="1440"/>
          <w:tab w:val="left" w:pos="2160"/>
          <w:tab w:val="right" w:pos="9360"/>
        </w:tabs>
        <w:spacing w:line="240" w:lineRule="exact"/>
        <w:ind w:left="0"/>
        <w:rPr>
          <w:rFonts w:ascii="Times New Roman" w:hAnsi="Times New Roman"/>
        </w:rPr>
      </w:pPr>
    </w:p>
    <w:p w14:paraId="1682FAED" w14:textId="2A07B3BC" w:rsidR="0095545C" w:rsidRPr="00546F21" w:rsidRDefault="0095545C" w:rsidP="003F7CFC">
      <w:pPr>
        <w:pStyle w:val="BodyTextIndent2"/>
        <w:tabs>
          <w:tab w:val="left" w:pos="720"/>
          <w:tab w:val="left" w:pos="1440"/>
          <w:tab w:val="left" w:pos="2160"/>
          <w:tab w:val="left" w:pos="2880"/>
          <w:tab w:val="left" w:pos="3600"/>
          <w:tab w:val="right" w:leader="dot" w:pos="9360"/>
        </w:tabs>
        <w:spacing w:line="240" w:lineRule="exact"/>
        <w:ind w:left="0"/>
        <w:rPr>
          <w:rFonts w:ascii="Times New Roman" w:hAnsi="Times New Roman"/>
        </w:rPr>
      </w:pPr>
      <w:r w:rsidRPr="00546F21">
        <w:rPr>
          <w:rFonts w:ascii="Times New Roman" w:hAnsi="Times New Roman"/>
        </w:rPr>
        <w:t xml:space="preserve">Leonard Saul Goodman, </w:t>
      </w:r>
      <w:r w:rsidRPr="00546F21">
        <w:rPr>
          <w:rFonts w:ascii="Times New Roman" w:hAnsi="Times New Roman"/>
          <w:i/>
        </w:rPr>
        <w:t>The Process of Ratemaking</w:t>
      </w:r>
      <w:r w:rsidRPr="00546F21">
        <w:rPr>
          <w:rFonts w:ascii="Times New Roman" w:hAnsi="Times New Roman"/>
        </w:rPr>
        <w:t xml:space="preserve"> (1998)</w:t>
      </w:r>
      <w:r w:rsidRPr="00546F21">
        <w:rPr>
          <w:rFonts w:ascii="Times New Roman" w:hAnsi="Times New Roman"/>
        </w:rPr>
        <w:tab/>
      </w:r>
      <w:r w:rsidR="00DE48FA">
        <w:rPr>
          <w:rFonts w:ascii="Times New Roman" w:hAnsi="Times New Roman"/>
        </w:rPr>
        <w:t>12</w:t>
      </w:r>
    </w:p>
    <w:p w14:paraId="39E1187C" w14:textId="77777777" w:rsidR="0095545C" w:rsidRPr="00546F21" w:rsidRDefault="0095545C" w:rsidP="0095545C">
      <w:pPr>
        <w:pStyle w:val="BodyTextIndent2"/>
        <w:tabs>
          <w:tab w:val="left" w:pos="720"/>
          <w:tab w:val="left" w:pos="1440"/>
          <w:tab w:val="right" w:leader="dot" w:pos="9360"/>
        </w:tabs>
        <w:spacing w:line="240" w:lineRule="exact"/>
        <w:ind w:left="0"/>
        <w:rPr>
          <w:rFonts w:ascii="Times New Roman" w:hAnsi="Times New Roman"/>
        </w:rPr>
      </w:pPr>
    </w:p>
    <w:p w14:paraId="0B752458" w14:textId="77777777" w:rsidR="0095545C" w:rsidRPr="00546F21" w:rsidRDefault="0095545C" w:rsidP="0095545C">
      <w:pPr>
        <w:pStyle w:val="BodyTextIndent2"/>
        <w:tabs>
          <w:tab w:val="left" w:pos="720"/>
          <w:tab w:val="left" w:pos="1440"/>
          <w:tab w:val="left" w:pos="2160"/>
          <w:tab w:val="right" w:leader="dot" w:pos="9360"/>
        </w:tabs>
        <w:spacing w:line="240" w:lineRule="exact"/>
        <w:ind w:left="0"/>
        <w:rPr>
          <w:rFonts w:ascii="Times New Roman" w:hAnsi="Times New Roman"/>
        </w:rPr>
      </w:pPr>
    </w:p>
    <w:p w14:paraId="27FFE889" w14:textId="77777777" w:rsidR="00D634E6" w:rsidRPr="00546F21" w:rsidRDefault="00D634E6">
      <w:pPr>
        <w:rPr>
          <w:rFonts w:eastAsia="Times New Roman" w:cs="Times New Roman"/>
          <w:szCs w:val="24"/>
        </w:rPr>
      </w:pPr>
    </w:p>
    <w:p w14:paraId="1F889BD3" w14:textId="07FC68D5" w:rsidR="00D634E6" w:rsidRPr="00546F21" w:rsidRDefault="00DE48FA" w:rsidP="00D634E6">
      <w:pPr>
        <w:pStyle w:val="BodyTextIndent2"/>
        <w:tabs>
          <w:tab w:val="left" w:pos="720"/>
          <w:tab w:val="left" w:pos="1440"/>
          <w:tab w:val="left" w:pos="2160"/>
          <w:tab w:val="right" w:leader="dot" w:pos="9360"/>
        </w:tabs>
        <w:spacing w:line="240" w:lineRule="exact"/>
        <w:ind w:left="0"/>
        <w:jc w:val="center"/>
        <w:rPr>
          <w:rFonts w:ascii="Times New Roman" w:hAnsi="Times New Roman"/>
        </w:rPr>
      </w:pPr>
      <w:r>
        <w:rPr>
          <w:rFonts w:ascii="Times New Roman" w:hAnsi="Times New Roman"/>
          <w:b/>
        </w:rPr>
        <w:t xml:space="preserve">LIST OF </w:t>
      </w:r>
      <w:r w:rsidR="00D634E6" w:rsidRPr="00546F21">
        <w:rPr>
          <w:rFonts w:ascii="Times New Roman" w:hAnsi="Times New Roman"/>
          <w:b/>
        </w:rPr>
        <w:t>ATTACHMENTS</w:t>
      </w:r>
    </w:p>
    <w:p w14:paraId="56CEAF23" w14:textId="77777777" w:rsidR="00456DA6" w:rsidRPr="00546F21" w:rsidRDefault="00456DA6" w:rsidP="0095545C">
      <w:pPr>
        <w:pStyle w:val="BodyTextIndent2"/>
        <w:tabs>
          <w:tab w:val="left" w:pos="720"/>
          <w:tab w:val="left" w:pos="1440"/>
          <w:tab w:val="left" w:pos="2160"/>
          <w:tab w:val="right" w:leader="dot" w:pos="9360"/>
        </w:tabs>
        <w:spacing w:line="240" w:lineRule="exact"/>
        <w:ind w:left="0"/>
        <w:rPr>
          <w:rFonts w:ascii="Times New Roman" w:hAnsi="Times New Roman"/>
        </w:rPr>
      </w:pPr>
    </w:p>
    <w:p w14:paraId="7CDC0EBD" w14:textId="77777777" w:rsidR="00325FE1" w:rsidRDefault="00D634E6" w:rsidP="00D634E6">
      <w:pPr>
        <w:pStyle w:val="BodyTextIndent2"/>
        <w:tabs>
          <w:tab w:val="left" w:pos="720"/>
          <w:tab w:val="left" w:pos="1440"/>
          <w:tab w:val="left" w:pos="2160"/>
          <w:tab w:val="right" w:leader="dot" w:pos="9360"/>
        </w:tabs>
        <w:spacing w:line="240" w:lineRule="exact"/>
        <w:ind w:left="2160" w:hanging="2160"/>
        <w:rPr>
          <w:rFonts w:ascii="Times New Roman" w:hAnsi="Times New Roman"/>
        </w:rPr>
      </w:pPr>
      <w:r w:rsidRPr="00546F21">
        <w:rPr>
          <w:rFonts w:ascii="Times New Roman" w:hAnsi="Times New Roman"/>
        </w:rPr>
        <w:t>Attachment 1:</w:t>
      </w:r>
      <w:r w:rsidRPr="00546F21">
        <w:rPr>
          <w:rFonts w:ascii="Times New Roman" w:hAnsi="Times New Roman"/>
        </w:rPr>
        <w:tab/>
      </w:r>
      <w:r w:rsidRPr="00546F21">
        <w:rPr>
          <w:rFonts w:ascii="Times New Roman" w:hAnsi="Times New Roman"/>
        </w:rPr>
        <w:tab/>
        <w:t xml:space="preserve">Updated Staff Exhibit No. </w:t>
      </w:r>
      <w:r w:rsidR="00480468" w:rsidRPr="00546F21">
        <w:rPr>
          <w:rFonts w:ascii="Times New Roman" w:hAnsi="Times New Roman"/>
        </w:rPr>
        <w:t>EJK-3</w:t>
      </w:r>
      <w:r w:rsidR="00325FE1">
        <w:rPr>
          <w:rFonts w:ascii="Times New Roman" w:hAnsi="Times New Roman"/>
        </w:rPr>
        <w:t xml:space="preserve">, PSE and Staff </w:t>
      </w:r>
    </w:p>
    <w:p w14:paraId="66D92F38" w14:textId="18AAEBA7" w:rsidR="00957F0F" w:rsidRPr="00546F21" w:rsidRDefault="00325FE1" w:rsidP="00D634E6">
      <w:pPr>
        <w:pStyle w:val="BodyTextIndent2"/>
        <w:tabs>
          <w:tab w:val="left" w:pos="720"/>
          <w:tab w:val="left" w:pos="1440"/>
          <w:tab w:val="left" w:pos="2160"/>
          <w:tab w:val="right" w:leader="dot" w:pos="9360"/>
        </w:tabs>
        <w:spacing w:line="240" w:lineRule="exact"/>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Proposed Allocation of JPUD Sale Proceeds </w:t>
      </w:r>
    </w:p>
    <w:p w14:paraId="508BD28D" w14:textId="77777777" w:rsidR="00957F0F" w:rsidRPr="00546F21" w:rsidRDefault="00957F0F" w:rsidP="00D634E6">
      <w:pPr>
        <w:pStyle w:val="BodyTextIndent2"/>
        <w:tabs>
          <w:tab w:val="left" w:pos="720"/>
          <w:tab w:val="left" w:pos="1440"/>
          <w:tab w:val="left" w:pos="2160"/>
          <w:tab w:val="right" w:leader="dot" w:pos="9360"/>
        </w:tabs>
        <w:spacing w:line="240" w:lineRule="exact"/>
        <w:ind w:left="2160" w:hanging="2160"/>
        <w:rPr>
          <w:rFonts w:ascii="Times New Roman" w:hAnsi="Times New Roman"/>
        </w:rPr>
      </w:pPr>
    </w:p>
    <w:p w14:paraId="71F64AC6" w14:textId="797646AE" w:rsidR="00546F21" w:rsidRDefault="00957F0F" w:rsidP="00D634E6">
      <w:pPr>
        <w:pStyle w:val="BodyTextIndent2"/>
        <w:tabs>
          <w:tab w:val="left" w:pos="720"/>
          <w:tab w:val="left" w:pos="1440"/>
          <w:tab w:val="left" w:pos="2160"/>
          <w:tab w:val="right" w:leader="dot" w:pos="9360"/>
        </w:tabs>
        <w:spacing w:line="240" w:lineRule="exact"/>
        <w:ind w:left="2160" w:hanging="2160"/>
        <w:rPr>
          <w:rFonts w:ascii="Times New Roman" w:hAnsi="Times New Roman"/>
          <w:i/>
        </w:rPr>
      </w:pPr>
      <w:r w:rsidRPr="00546F21">
        <w:rPr>
          <w:rFonts w:ascii="Times New Roman" w:hAnsi="Times New Roman"/>
        </w:rPr>
        <w:t xml:space="preserve">Attachment 2: </w:t>
      </w:r>
      <w:r w:rsidRPr="00546F21">
        <w:rPr>
          <w:rFonts w:ascii="Times New Roman" w:hAnsi="Times New Roman"/>
        </w:rPr>
        <w:tab/>
      </w:r>
      <w:r w:rsidR="00D634E6" w:rsidRPr="00546F21">
        <w:rPr>
          <w:rFonts w:ascii="Times New Roman" w:hAnsi="Times New Roman"/>
        </w:rPr>
        <w:tab/>
      </w:r>
      <w:r w:rsidR="00D634E6" w:rsidRPr="00546F21">
        <w:rPr>
          <w:rFonts w:ascii="Times New Roman" w:hAnsi="Times New Roman"/>
          <w:i/>
        </w:rPr>
        <w:t xml:space="preserve">Accounting Standards Codification, </w:t>
      </w:r>
      <w:r w:rsidR="00D634E6" w:rsidRPr="00546F21">
        <w:rPr>
          <w:rFonts w:ascii="Times New Roman" w:hAnsi="Times New Roman"/>
        </w:rPr>
        <w:t xml:space="preserve">¶ 980-340-25 </w:t>
      </w:r>
      <w:r w:rsidR="00D634E6" w:rsidRPr="00546F21">
        <w:rPr>
          <w:rFonts w:ascii="Times New Roman" w:hAnsi="Times New Roman"/>
          <w:i/>
        </w:rPr>
        <w:t xml:space="preserve">– </w:t>
      </w:r>
    </w:p>
    <w:p w14:paraId="1EC109E1" w14:textId="77777777" w:rsidR="00546F21" w:rsidRDefault="00546F21" w:rsidP="00D634E6">
      <w:pPr>
        <w:pStyle w:val="BodyTextIndent2"/>
        <w:tabs>
          <w:tab w:val="left" w:pos="720"/>
          <w:tab w:val="left" w:pos="1440"/>
          <w:tab w:val="left" w:pos="2160"/>
          <w:tab w:val="right" w:leader="dot" w:pos="9360"/>
        </w:tabs>
        <w:spacing w:line="240" w:lineRule="exact"/>
        <w:ind w:left="2160" w:hanging="2160"/>
        <w:rPr>
          <w:rFonts w:ascii="Times New Roman" w:hAnsi="Times New Roman"/>
        </w:rPr>
      </w:pPr>
      <w:r>
        <w:rPr>
          <w:rFonts w:ascii="Times New Roman" w:hAnsi="Times New Roman"/>
          <w:i/>
        </w:rPr>
        <w:tab/>
      </w:r>
      <w:r>
        <w:rPr>
          <w:rFonts w:ascii="Times New Roman" w:hAnsi="Times New Roman"/>
          <w:i/>
        </w:rPr>
        <w:tab/>
      </w:r>
      <w:r>
        <w:rPr>
          <w:rFonts w:ascii="Times New Roman" w:hAnsi="Times New Roman"/>
          <w:i/>
        </w:rPr>
        <w:tab/>
      </w:r>
      <w:r w:rsidR="00D634E6" w:rsidRPr="00546F21">
        <w:rPr>
          <w:rFonts w:ascii="Times New Roman" w:hAnsi="Times New Roman"/>
          <w:i/>
        </w:rPr>
        <w:t xml:space="preserve">Recognition - General, </w:t>
      </w:r>
      <w:r w:rsidR="00D634E6" w:rsidRPr="00546F21">
        <w:rPr>
          <w:rFonts w:ascii="Times New Roman" w:hAnsi="Times New Roman"/>
        </w:rPr>
        <w:t xml:space="preserve">v. 4, page 2377 (Financial </w:t>
      </w:r>
    </w:p>
    <w:p w14:paraId="411F1BEE" w14:textId="7B7F9B91" w:rsidR="00D634E6" w:rsidRPr="00546F21" w:rsidRDefault="00546F21" w:rsidP="00D634E6">
      <w:pPr>
        <w:pStyle w:val="BodyTextIndent2"/>
        <w:tabs>
          <w:tab w:val="left" w:pos="720"/>
          <w:tab w:val="left" w:pos="1440"/>
          <w:tab w:val="left" w:pos="2160"/>
          <w:tab w:val="right" w:leader="dot" w:pos="9360"/>
        </w:tabs>
        <w:spacing w:line="240" w:lineRule="exact"/>
        <w:ind w:left="2160" w:hanging="2160"/>
        <w:rPr>
          <w:rFonts w:ascii="Times New Roman" w:hAnsi="Times New Roman"/>
        </w:rPr>
      </w:pPr>
      <w:r>
        <w:rPr>
          <w:rFonts w:ascii="Times New Roman" w:hAnsi="Times New Roman"/>
          <w:i/>
        </w:rPr>
        <w:tab/>
      </w:r>
      <w:r>
        <w:rPr>
          <w:rFonts w:ascii="Times New Roman" w:hAnsi="Times New Roman"/>
          <w:i/>
        </w:rPr>
        <w:tab/>
      </w:r>
      <w:r>
        <w:rPr>
          <w:rFonts w:ascii="Times New Roman" w:hAnsi="Times New Roman"/>
          <w:i/>
        </w:rPr>
        <w:tab/>
      </w:r>
      <w:r w:rsidR="00D634E6" w:rsidRPr="00546F21">
        <w:rPr>
          <w:rFonts w:ascii="Times New Roman" w:hAnsi="Times New Roman"/>
        </w:rPr>
        <w:t>Accounting Standards Board (October 31, 2012)).</w:t>
      </w:r>
    </w:p>
    <w:p w14:paraId="617F5B3E" w14:textId="77777777" w:rsidR="00456DA6" w:rsidRPr="00D634E6" w:rsidRDefault="00456DA6" w:rsidP="0095545C">
      <w:pPr>
        <w:pStyle w:val="BodyTextIndent2"/>
        <w:tabs>
          <w:tab w:val="left" w:pos="720"/>
          <w:tab w:val="left" w:pos="1440"/>
          <w:tab w:val="left" w:pos="2160"/>
          <w:tab w:val="right" w:leader="dot" w:pos="9360"/>
        </w:tabs>
        <w:spacing w:line="240" w:lineRule="exact"/>
        <w:ind w:left="0"/>
        <w:rPr>
          <w:rFonts w:ascii="Times New Roman" w:hAnsi="Times New Roman"/>
        </w:rPr>
      </w:pPr>
    </w:p>
    <w:p w14:paraId="6DDC34EF" w14:textId="77777777" w:rsidR="00456DA6" w:rsidRPr="00D634E6" w:rsidRDefault="00456DA6" w:rsidP="0095545C">
      <w:pPr>
        <w:pStyle w:val="BodyTextIndent2"/>
        <w:tabs>
          <w:tab w:val="left" w:pos="720"/>
          <w:tab w:val="left" w:pos="1440"/>
          <w:tab w:val="left" w:pos="2160"/>
          <w:tab w:val="right" w:leader="dot" w:pos="9360"/>
        </w:tabs>
        <w:spacing w:line="240" w:lineRule="exact"/>
        <w:ind w:left="0"/>
        <w:rPr>
          <w:rFonts w:ascii="Times New Roman" w:hAnsi="Times New Roman"/>
        </w:rPr>
      </w:pPr>
    </w:p>
    <w:p w14:paraId="33E7A5BE" w14:textId="77777777" w:rsidR="00B009BC" w:rsidRPr="00D634E6" w:rsidRDefault="00B009BC" w:rsidP="0081562C">
      <w:pPr>
        <w:pStyle w:val="BodyTextIndent2"/>
        <w:tabs>
          <w:tab w:val="left" w:pos="720"/>
          <w:tab w:val="left" w:pos="1440"/>
          <w:tab w:val="left" w:pos="2160"/>
          <w:tab w:val="right" w:pos="9360"/>
        </w:tabs>
        <w:spacing w:line="240" w:lineRule="exact"/>
        <w:ind w:left="0"/>
        <w:rPr>
          <w:rFonts w:ascii="Times New Roman" w:hAnsi="Times New Roman"/>
        </w:rPr>
        <w:sectPr w:rsidR="00B009BC" w:rsidRPr="00D634E6" w:rsidSect="00B009BC">
          <w:footerReference w:type="default" r:id="rId13"/>
          <w:pgSz w:w="12240" w:h="15840"/>
          <w:pgMar w:top="1440" w:right="1440" w:bottom="1440" w:left="1440" w:header="720" w:footer="720" w:gutter="0"/>
          <w:pgNumType w:fmt="lowerRoman" w:start="1"/>
          <w:cols w:space="720"/>
          <w:docGrid w:linePitch="360"/>
        </w:sectPr>
      </w:pPr>
    </w:p>
    <w:p w14:paraId="58CE39AC" w14:textId="77777777" w:rsidR="00AE07C7" w:rsidRPr="0009501D" w:rsidRDefault="00AE07C7" w:rsidP="00797C4F">
      <w:pPr>
        <w:pStyle w:val="ListParagraph"/>
        <w:numPr>
          <w:ilvl w:val="0"/>
          <w:numId w:val="7"/>
        </w:numPr>
        <w:spacing w:line="480" w:lineRule="auto"/>
        <w:ind w:left="0" w:firstLine="0"/>
        <w:jc w:val="center"/>
        <w:rPr>
          <w:b/>
        </w:rPr>
      </w:pPr>
      <w:r w:rsidRPr="0009501D">
        <w:rPr>
          <w:b/>
        </w:rPr>
        <w:lastRenderedPageBreak/>
        <w:t>INTRODUCTION</w:t>
      </w:r>
    </w:p>
    <w:p w14:paraId="7A87588B" w14:textId="77777777" w:rsidR="004B4A70" w:rsidRDefault="00797C4F" w:rsidP="004B4A70">
      <w:pPr>
        <w:pStyle w:val="ListParagraph"/>
        <w:numPr>
          <w:ilvl w:val="0"/>
          <w:numId w:val="25"/>
        </w:numPr>
        <w:spacing w:line="480" w:lineRule="auto"/>
      </w:pPr>
      <w:r>
        <w:tab/>
      </w:r>
      <w:r w:rsidR="00767B4F">
        <w:t>This case arises from a petitio</w:t>
      </w:r>
      <w:r w:rsidR="00385F95">
        <w:t>n</w:t>
      </w:r>
      <w:r w:rsidR="00385F95">
        <w:rPr>
          <w:rStyle w:val="FootnoteReference"/>
        </w:rPr>
        <w:footnoteReference w:id="1"/>
      </w:r>
      <w:r w:rsidR="00767B4F">
        <w:t xml:space="preserve"> of Puget Sound Energy, Inc.</w:t>
      </w:r>
      <w:r w:rsidR="00385F95">
        <w:t xml:space="preserve"> (PSE or Company)</w:t>
      </w:r>
      <w:r w:rsidR="00767B4F">
        <w:t>, asking the</w:t>
      </w:r>
      <w:r w:rsidR="00AE07C7">
        <w:t xml:space="preserve"> Commission </w:t>
      </w:r>
      <w:r w:rsidR="00767B4F">
        <w:t>to</w:t>
      </w:r>
      <w:r w:rsidR="00AE07C7">
        <w:t xml:space="preserve"> </w:t>
      </w:r>
      <w:r w:rsidR="00833EA6">
        <w:t xml:space="preserve">determine that </w:t>
      </w:r>
      <w:r w:rsidR="00385F95">
        <w:t xml:space="preserve">PSE </w:t>
      </w:r>
      <w:r w:rsidR="00833EA6">
        <w:t>is entitled</w:t>
      </w:r>
      <w:r w:rsidR="00385F95">
        <w:t xml:space="preserve">, as a matter of law, </w:t>
      </w:r>
      <w:r w:rsidR="00833EA6">
        <w:t>to all of the gain</w:t>
      </w:r>
      <w:r w:rsidR="00385F95">
        <w:t xml:space="preserve"> </w:t>
      </w:r>
      <w:r w:rsidR="00AE07C7">
        <w:t xml:space="preserve">on the sale of </w:t>
      </w:r>
      <w:r w:rsidR="00385F95">
        <w:t xml:space="preserve">part of </w:t>
      </w:r>
      <w:r w:rsidR="00AE07C7">
        <w:t>PSE’s distribution system</w:t>
      </w:r>
      <w:r w:rsidR="002C2782">
        <w:rPr>
          <w:rStyle w:val="FootnoteReference"/>
        </w:rPr>
        <w:footnoteReference w:id="2"/>
      </w:r>
      <w:r w:rsidR="00AE07C7">
        <w:t xml:space="preserve"> to Public Utility District No. 1 of Jefferson County (JPUD).  </w:t>
      </w:r>
      <w:r w:rsidR="00385F95">
        <w:t xml:space="preserve">At stake is </w:t>
      </w:r>
      <w:r w:rsidR="00F84231">
        <w:t>in this case is</w:t>
      </w:r>
      <w:r w:rsidR="00F47883">
        <w:t xml:space="preserve"> </w:t>
      </w:r>
      <w:r w:rsidR="00AE07C7">
        <w:t xml:space="preserve">whether the Commission </w:t>
      </w:r>
      <w:r w:rsidR="009055FA">
        <w:t xml:space="preserve">may </w:t>
      </w:r>
      <w:r w:rsidR="00AE07C7">
        <w:t xml:space="preserve">continue to give </w:t>
      </w:r>
      <w:r w:rsidR="00BA3599">
        <w:t>customer</w:t>
      </w:r>
      <w:r w:rsidR="00AE07C7">
        <w:t xml:space="preserve">s the gain on the sale of utility assets, or whether </w:t>
      </w:r>
      <w:r w:rsidR="009055FA">
        <w:t>the Commission must give</w:t>
      </w:r>
      <w:r w:rsidR="004B4A70">
        <w:t xml:space="preserve"> shareholders that money</w:t>
      </w:r>
      <w:r w:rsidR="00E77C13">
        <w:t>.</w:t>
      </w:r>
    </w:p>
    <w:p w14:paraId="355CBD44" w14:textId="3C6D8B9F" w:rsidR="00385F95" w:rsidRDefault="004B4A70" w:rsidP="00AE07C7">
      <w:pPr>
        <w:pStyle w:val="ListParagraph"/>
        <w:numPr>
          <w:ilvl w:val="0"/>
          <w:numId w:val="25"/>
        </w:numPr>
        <w:spacing w:line="480" w:lineRule="auto"/>
      </w:pPr>
      <w:r>
        <w:tab/>
      </w:r>
      <w:r w:rsidR="00343CCB">
        <w:t>In making its decision, t</w:t>
      </w:r>
      <w:r w:rsidR="00AE07C7">
        <w:t xml:space="preserve">he Commission should apply the “regulatory compact,” as PSE </w:t>
      </w:r>
      <w:r w:rsidR="00385F95">
        <w:t>suggests</w:t>
      </w:r>
      <w:r w:rsidR="005D4798">
        <w:t xml:space="preserve">. </w:t>
      </w:r>
      <w:r w:rsidR="00385F95">
        <w:t xml:space="preserve"> However, t</w:t>
      </w:r>
      <w:r w:rsidR="00AE07C7">
        <w:t>he Commission should apply th</w:t>
      </w:r>
      <w:r w:rsidR="00E36086">
        <w:t>at</w:t>
      </w:r>
      <w:r w:rsidR="00AE07C7">
        <w:t xml:space="preserve"> compact correctly</w:t>
      </w:r>
      <w:r w:rsidR="00F47883">
        <w:t>,</w:t>
      </w:r>
      <w:r w:rsidR="005D4798">
        <w:t xml:space="preserve"> and </w:t>
      </w:r>
      <w:r w:rsidR="00F84231">
        <w:t>disregard</w:t>
      </w:r>
      <w:r w:rsidR="005D4798">
        <w:t xml:space="preserve"> the </w:t>
      </w:r>
      <w:r w:rsidR="00F84231">
        <w:t xml:space="preserve">many </w:t>
      </w:r>
      <w:r w:rsidR="005D4798">
        <w:t xml:space="preserve">ancillary arguments that </w:t>
      </w:r>
      <w:r w:rsidR="00F84231">
        <w:t xml:space="preserve">detract from </w:t>
      </w:r>
      <w:r w:rsidR="005D4798">
        <w:t xml:space="preserve">the core issue </w:t>
      </w:r>
      <w:r w:rsidR="00F84231">
        <w:t>in this case</w:t>
      </w:r>
      <w:r w:rsidR="00385F95">
        <w:t>:  whether shareholders are harmed if they receive back the value of the money they invested in the assets being sold</w:t>
      </w:r>
      <w:r w:rsidR="00103E4C">
        <w:t>,</w:t>
      </w:r>
      <w:r w:rsidR="00F91613">
        <w:t xml:space="preserve"> and nothing more</w:t>
      </w:r>
      <w:r w:rsidR="00385F95">
        <w:t>?</w:t>
      </w:r>
      <w:r w:rsidR="005D4798">
        <w:t xml:space="preserve">  </w:t>
      </w:r>
    </w:p>
    <w:p w14:paraId="41D59B6A" w14:textId="2BAF50AB" w:rsidR="004B4A70" w:rsidRDefault="00385F95" w:rsidP="00AE07C7">
      <w:pPr>
        <w:pStyle w:val="ListParagraph"/>
        <w:numPr>
          <w:ilvl w:val="0"/>
          <w:numId w:val="25"/>
        </w:numPr>
        <w:spacing w:line="480" w:lineRule="auto"/>
      </w:pPr>
      <w:r>
        <w:tab/>
      </w:r>
      <w:r w:rsidR="00AE07C7">
        <w:t xml:space="preserve">As we explain, the </w:t>
      </w:r>
      <w:r w:rsidR="00F84231">
        <w:t>answer to th</w:t>
      </w:r>
      <w:r w:rsidR="00F47883">
        <w:t>at</w:t>
      </w:r>
      <w:r w:rsidR="00F84231">
        <w:t xml:space="preserve"> question is No.  The </w:t>
      </w:r>
      <w:r w:rsidR="00F47883">
        <w:t>“</w:t>
      </w:r>
      <w:r w:rsidR="00AE07C7">
        <w:t>regulatory compact</w:t>
      </w:r>
      <w:r w:rsidR="00F47883">
        <w:t>”</w:t>
      </w:r>
      <w:r w:rsidR="00AE07C7">
        <w:t xml:space="preserve"> requires only that the Commission </w:t>
      </w:r>
      <w:r w:rsidR="00CA66CE">
        <w:t xml:space="preserve">return to </w:t>
      </w:r>
      <w:r w:rsidR="00AE07C7">
        <w:t>PSE</w:t>
      </w:r>
      <w:r w:rsidR="00CA66CE">
        <w:t xml:space="preserve"> shareholders the unamortized balance of utility plant on PSE’s books</w:t>
      </w:r>
      <w:r w:rsidR="000A05A2">
        <w:t xml:space="preserve"> </w:t>
      </w:r>
      <w:r w:rsidR="00CA66CE">
        <w:t>(</w:t>
      </w:r>
      <w:r w:rsidR="000A05A2" w:rsidRPr="004B4A70">
        <w:rPr>
          <w:i/>
        </w:rPr>
        <w:t>i.e.</w:t>
      </w:r>
      <w:r w:rsidR="000A05A2" w:rsidRPr="00B409F8">
        <w:t>,</w:t>
      </w:r>
      <w:r w:rsidR="000A05A2" w:rsidRPr="004B4A70">
        <w:rPr>
          <w:i/>
        </w:rPr>
        <w:t xml:space="preserve"> </w:t>
      </w:r>
      <w:r w:rsidR="00AE07C7">
        <w:t>the net book value of the assets sold</w:t>
      </w:r>
      <w:r w:rsidR="00F47883">
        <w:t>)</w:t>
      </w:r>
      <w:r w:rsidR="00103E4C">
        <w:t>,</w:t>
      </w:r>
      <w:r w:rsidR="00F47883">
        <w:t xml:space="preserve"> and n</w:t>
      </w:r>
      <w:r w:rsidR="00CA66CE">
        <w:t>othing more.</w:t>
      </w:r>
      <w:r w:rsidR="000A05A2">
        <w:t xml:space="preserve">  </w:t>
      </w:r>
      <w:r w:rsidR="00CA66CE">
        <w:t xml:space="preserve">This treatment is fair and </w:t>
      </w:r>
      <w:r w:rsidR="00F84231">
        <w:t xml:space="preserve">it </w:t>
      </w:r>
      <w:r w:rsidR="00CA66CE">
        <w:t>does not harm PSE’s owners</w:t>
      </w:r>
      <w:r>
        <w:t xml:space="preserve">.  Net </w:t>
      </w:r>
      <w:r w:rsidR="00AE07C7">
        <w:t>book value is the foundation of Commission regulation and investor expectations</w:t>
      </w:r>
      <w:r w:rsidR="00343CCB">
        <w:t xml:space="preserve"> in this state</w:t>
      </w:r>
      <w:r w:rsidR="00164273">
        <w:t>.</w:t>
      </w:r>
      <w:r w:rsidR="004F1FEE">
        <w:t xml:space="preserve"> </w:t>
      </w:r>
      <w:r w:rsidR="00164273">
        <w:t xml:space="preserve"> </w:t>
      </w:r>
      <w:r w:rsidR="001B4945">
        <w:t>That</w:t>
      </w:r>
      <w:r w:rsidR="00164273">
        <w:t xml:space="preserve"> </w:t>
      </w:r>
      <w:r>
        <w:t xml:space="preserve">is </w:t>
      </w:r>
      <w:r w:rsidR="004F1FEE">
        <w:t xml:space="preserve">all that </w:t>
      </w:r>
      <w:r w:rsidR="00AE07C7">
        <w:t>PSE</w:t>
      </w:r>
      <w:r w:rsidR="005D4798">
        <w:t xml:space="preserve"> shareholders </w:t>
      </w:r>
      <w:r w:rsidR="004F1FEE">
        <w:t xml:space="preserve">may </w:t>
      </w:r>
      <w:r>
        <w:t xml:space="preserve">reasonably </w:t>
      </w:r>
      <w:r w:rsidR="005D4798">
        <w:t>expect</w:t>
      </w:r>
      <w:r w:rsidR="004F1FEE">
        <w:t xml:space="preserve">.  </w:t>
      </w:r>
      <w:r w:rsidR="001B4945">
        <w:t>T</w:t>
      </w:r>
      <w:r w:rsidR="005D4798">
        <w:t>he</w:t>
      </w:r>
      <w:r>
        <w:t xml:space="preserve">y have </w:t>
      </w:r>
      <w:r w:rsidR="00AE07C7">
        <w:t>no leg</w:t>
      </w:r>
      <w:r w:rsidR="004B4A70">
        <w:t>al claim to any more than that.</w:t>
      </w:r>
    </w:p>
    <w:p w14:paraId="3AB816D0" w14:textId="77777777" w:rsidR="004B4A70" w:rsidRDefault="004B4A70" w:rsidP="00AE07C7">
      <w:pPr>
        <w:pStyle w:val="ListParagraph"/>
        <w:numPr>
          <w:ilvl w:val="0"/>
          <w:numId w:val="25"/>
        </w:numPr>
        <w:spacing w:line="480" w:lineRule="auto"/>
      </w:pPr>
      <w:r>
        <w:tab/>
      </w:r>
      <w:r w:rsidR="00E36086">
        <w:t>Nonetheless, in</w:t>
      </w:r>
      <w:r w:rsidR="00AE07C7">
        <w:t xml:space="preserve"> addition to </w:t>
      </w:r>
      <w:r w:rsidR="00CA66CE">
        <w:t xml:space="preserve">returning to </w:t>
      </w:r>
      <w:r w:rsidR="00AE07C7">
        <w:t>investors the net book value of the assets (plus provable transaction costs), Commission Staff proposes that investors receive an additional amount ($</w:t>
      </w:r>
      <w:r w:rsidR="005A1887">
        <w:t>7,</w:t>
      </w:r>
      <w:r w:rsidR="002E5DEC">
        <w:t>481,394</w:t>
      </w:r>
      <w:r w:rsidR="00AE07C7">
        <w:t xml:space="preserve">) as an incentive to negotiate favorable sales prices in the future, and as an </w:t>
      </w:r>
      <w:r w:rsidR="00AE07C7">
        <w:lastRenderedPageBreak/>
        <w:t>award for negotiating a favorable sales price in this instance.</w:t>
      </w:r>
      <w:r w:rsidR="005A1887">
        <w:rPr>
          <w:rStyle w:val="FootnoteReference"/>
        </w:rPr>
        <w:footnoteReference w:id="3"/>
      </w:r>
      <w:r w:rsidR="00AE07C7">
        <w:t xml:space="preserve">  Public Counsel and ICNU take a similar approach.</w:t>
      </w:r>
    </w:p>
    <w:p w14:paraId="434FF338" w14:textId="77777777" w:rsidR="004B4A70" w:rsidRDefault="004B4A70" w:rsidP="004B4A70">
      <w:pPr>
        <w:pStyle w:val="ListParagraph"/>
        <w:numPr>
          <w:ilvl w:val="0"/>
          <w:numId w:val="25"/>
        </w:numPr>
        <w:spacing w:line="480" w:lineRule="auto"/>
      </w:pPr>
      <w:r>
        <w:tab/>
      </w:r>
      <w:r w:rsidR="00AE07C7" w:rsidRPr="00C32091">
        <w:t>PSE</w:t>
      </w:r>
      <w:r w:rsidR="00AE07C7">
        <w:t xml:space="preserve"> contends that shareholders are legally entitled to 100 percent of the gain</w:t>
      </w:r>
      <w:r w:rsidR="00385F95">
        <w:t xml:space="preserve">.  PSE </w:t>
      </w:r>
      <w:r w:rsidR="00AE07C7">
        <w:t xml:space="preserve">offers </w:t>
      </w:r>
      <w:r w:rsidR="00BA3599">
        <w:t>customer</w:t>
      </w:r>
      <w:r w:rsidR="00AE07C7">
        <w:t>s a portion of th</w:t>
      </w:r>
      <w:r w:rsidR="00343CCB">
        <w:t>at</w:t>
      </w:r>
      <w:r w:rsidR="00AE07C7">
        <w:t xml:space="preserve"> gain (25 percent)</w:t>
      </w:r>
      <w:r w:rsidR="00385F95">
        <w:t>, but only</w:t>
      </w:r>
      <w:r w:rsidR="00AE07C7">
        <w:t xml:space="preserve"> as a “voluntary sharing of the proceeds of this sale.”</w:t>
      </w:r>
      <w:r w:rsidR="00AE07C7">
        <w:rPr>
          <w:rStyle w:val="FootnoteReference"/>
        </w:rPr>
        <w:footnoteReference w:id="4"/>
      </w:r>
      <w:r w:rsidR="00AE07C7">
        <w:t xml:space="preserve">  </w:t>
      </w:r>
      <w:r w:rsidR="009055FA">
        <w:t>PSE’s</w:t>
      </w:r>
      <w:r w:rsidR="00F47883">
        <w:t xml:space="preserve"> case</w:t>
      </w:r>
      <w:r w:rsidR="00F84231">
        <w:t xml:space="preserve"> </w:t>
      </w:r>
      <w:r w:rsidR="009055FA">
        <w:t>is premised on the assertion that shareholders alone bear the “risk of ownership” in the facilities.</w:t>
      </w:r>
      <w:r w:rsidR="009055FA">
        <w:rPr>
          <w:rStyle w:val="FootnoteReference"/>
        </w:rPr>
        <w:footnoteReference w:id="5"/>
      </w:r>
      <w:r w:rsidR="009055FA">
        <w:t xml:space="preserve">  However, that is a false premise</w:t>
      </w:r>
      <w:r w:rsidR="005D4798">
        <w:t>.  I</w:t>
      </w:r>
      <w:r w:rsidR="009055FA">
        <w:t xml:space="preserve">n this state, PSE customers </w:t>
      </w:r>
      <w:r w:rsidR="00833EA6">
        <w:t>bear</w:t>
      </w:r>
      <w:r w:rsidR="009055FA">
        <w:t xml:space="preserve"> the risk of ownership, and remaining customers continue to bear that risk through the rate setting process.  This confirms that customers are entitled to receive the ga</w:t>
      </w:r>
      <w:r>
        <w:t>in on sale of the JPUD assets.</w:t>
      </w:r>
    </w:p>
    <w:p w14:paraId="6D327406" w14:textId="6FCE4420" w:rsidR="004B4A70" w:rsidRDefault="004B4A70" w:rsidP="004B4A70">
      <w:pPr>
        <w:pStyle w:val="ListParagraph"/>
        <w:numPr>
          <w:ilvl w:val="0"/>
          <w:numId w:val="25"/>
        </w:numPr>
        <w:spacing w:line="480" w:lineRule="auto"/>
      </w:pPr>
      <w:r>
        <w:tab/>
      </w:r>
      <w:r w:rsidR="009055FA">
        <w:t>PSE</w:t>
      </w:r>
      <w:r w:rsidR="005D4798">
        <w:t>’s theory of risk</w:t>
      </w:r>
      <w:r w:rsidR="00385F95">
        <w:t>/</w:t>
      </w:r>
      <w:r w:rsidR="005D4798">
        <w:t>reward</w:t>
      </w:r>
      <w:r w:rsidR="009055FA">
        <w:t xml:space="preserve"> heavily relies on a decision of the California commission in </w:t>
      </w:r>
      <w:r w:rsidR="00AE07C7" w:rsidRPr="004B4A70">
        <w:rPr>
          <w:i/>
        </w:rPr>
        <w:t>City of Redding II</w:t>
      </w:r>
      <w:r w:rsidR="00F84231">
        <w:t>.</w:t>
      </w:r>
      <w:r w:rsidR="009055FA">
        <w:rPr>
          <w:rStyle w:val="FootnoteReference"/>
        </w:rPr>
        <w:footnoteReference w:id="6"/>
      </w:r>
      <w:r w:rsidR="00AE07C7" w:rsidRPr="004B4A70">
        <w:rPr>
          <w:i/>
        </w:rPr>
        <w:t xml:space="preserve"> </w:t>
      </w:r>
      <w:r w:rsidR="00F84231">
        <w:rPr>
          <w:i/>
        </w:rPr>
        <w:t xml:space="preserve"> </w:t>
      </w:r>
      <w:r w:rsidR="00F84231">
        <w:t xml:space="preserve">However, </w:t>
      </w:r>
      <w:r w:rsidR="009055FA">
        <w:t>like PSE</w:t>
      </w:r>
      <w:r w:rsidR="00F84231">
        <w:t xml:space="preserve"> here</w:t>
      </w:r>
      <w:r w:rsidR="009055FA">
        <w:t xml:space="preserve">, </w:t>
      </w:r>
      <w:r w:rsidR="009055FA" w:rsidRPr="004B4A70">
        <w:rPr>
          <w:i/>
        </w:rPr>
        <w:t xml:space="preserve">City of Redding II </w:t>
      </w:r>
      <w:r w:rsidR="009055FA">
        <w:t xml:space="preserve">was </w:t>
      </w:r>
      <w:r w:rsidR="00E36086">
        <w:t>based on the assumption that investors bear the risk of ownership</w:t>
      </w:r>
      <w:r w:rsidR="009055FA">
        <w:t xml:space="preserve">.  While that </w:t>
      </w:r>
      <w:r w:rsidR="00E36086">
        <w:t xml:space="preserve">may be </w:t>
      </w:r>
      <w:r w:rsidR="009055FA">
        <w:t xml:space="preserve">the situation </w:t>
      </w:r>
      <w:r w:rsidR="00E36086">
        <w:t xml:space="preserve">in California, </w:t>
      </w:r>
      <w:r w:rsidR="009055FA">
        <w:t>it is not the situation here</w:t>
      </w:r>
      <w:r w:rsidR="00E36086">
        <w:t xml:space="preserve">.  Here, </w:t>
      </w:r>
      <w:r w:rsidR="00BA3599">
        <w:t>customer</w:t>
      </w:r>
      <w:r w:rsidR="00E36086">
        <w:t>s bear that risk</w:t>
      </w:r>
      <w:r w:rsidR="005D4798">
        <w:t xml:space="preserve"> because the Commission’s rate setting pr</w:t>
      </w:r>
      <w:r w:rsidR="00F84231">
        <w:t>actices</w:t>
      </w:r>
      <w:r w:rsidR="005D4798">
        <w:t xml:space="preserve"> </w:t>
      </w:r>
      <w:r w:rsidR="004212A3">
        <w:t>place the risk of capital loss on</w:t>
      </w:r>
      <w:r w:rsidR="00451EEB">
        <w:t xml:space="preserve"> customers</w:t>
      </w:r>
      <w:r w:rsidR="00E36086">
        <w:t xml:space="preserve">.  </w:t>
      </w:r>
      <w:r w:rsidR="00385F95">
        <w:t>Accordingly</w:t>
      </w:r>
      <w:r w:rsidR="009055FA">
        <w:t xml:space="preserve">, </w:t>
      </w:r>
      <w:r w:rsidR="00385F95">
        <w:t xml:space="preserve">PSE’s </w:t>
      </w:r>
      <w:r w:rsidR="009055FA">
        <w:t>customers are entitled to the gain on sale of the JPUD assets.</w:t>
      </w:r>
    </w:p>
    <w:p w14:paraId="4399EB5D" w14:textId="77777777" w:rsidR="004B4A70" w:rsidRPr="00F055B9" w:rsidRDefault="004B4A70" w:rsidP="004B4A70">
      <w:pPr>
        <w:pStyle w:val="ListParagraph"/>
        <w:numPr>
          <w:ilvl w:val="0"/>
          <w:numId w:val="7"/>
        </w:numPr>
        <w:spacing w:line="480" w:lineRule="auto"/>
        <w:ind w:left="0" w:firstLine="0"/>
        <w:jc w:val="center"/>
        <w:rPr>
          <w:b/>
        </w:rPr>
      </w:pPr>
      <w:r w:rsidRPr="00F055B9">
        <w:rPr>
          <w:b/>
        </w:rPr>
        <w:t>FACTS</w:t>
      </w:r>
    </w:p>
    <w:p w14:paraId="02E718E5" w14:textId="4F9FD48A" w:rsidR="004B4A70" w:rsidRDefault="004B4A70" w:rsidP="006A0D58">
      <w:pPr>
        <w:pStyle w:val="ListParagraph"/>
        <w:numPr>
          <w:ilvl w:val="0"/>
          <w:numId w:val="25"/>
        </w:numPr>
        <w:spacing w:line="480" w:lineRule="auto"/>
      </w:pPr>
      <w:r>
        <w:tab/>
      </w:r>
      <w:r w:rsidR="00CD2750">
        <w:t xml:space="preserve">Jefferson County is </w:t>
      </w:r>
      <w:r w:rsidR="00385F95">
        <w:t xml:space="preserve">a rural, </w:t>
      </w:r>
      <w:r w:rsidR="00CD2750">
        <w:t>“sparsely populated”</w:t>
      </w:r>
      <w:r w:rsidR="00385F95">
        <w:t xml:space="preserve"> county,</w:t>
      </w:r>
      <w:r w:rsidR="00CD2750">
        <w:rPr>
          <w:rStyle w:val="FootnoteReference"/>
        </w:rPr>
        <w:footnoteReference w:id="7"/>
      </w:r>
      <w:r w:rsidR="00CD2750">
        <w:t xml:space="preserve"> </w:t>
      </w:r>
      <w:r w:rsidR="00F84231">
        <w:t>located on the Olympi</w:t>
      </w:r>
      <w:r w:rsidR="006466D8">
        <w:t>c</w:t>
      </w:r>
      <w:r w:rsidR="00F84231">
        <w:t xml:space="preserve"> Peninsula</w:t>
      </w:r>
      <w:r w:rsidR="00E50B09">
        <w:t>.</w:t>
      </w:r>
      <w:r w:rsidR="001B4945">
        <w:t xml:space="preserve">  </w:t>
      </w:r>
      <w:r w:rsidR="00CD2750">
        <w:t xml:space="preserve">As </w:t>
      </w:r>
      <w:r w:rsidR="001B4945">
        <w:t xml:space="preserve">the </w:t>
      </w:r>
      <w:r w:rsidR="00CD2750">
        <w:t xml:space="preserve">Company </w:t>
      </w:r>
      <w:r w:rsidR="00581145">
        <w:t>testified</w:t>
      </w:r>
      <w:r w:rsidR="001B4945">
        <w:t xml:space="preserve">:  </w:t>
      </w:r>
      <w:r w:rsidR="00CD2750">
        <w:t>“</w:t>
      </w:r>
      <w:r w:rsidR="001B4945">
        <w:t>T</w:t>
      </w:r>
      <w:r w:rsidR="00CD2750">
        <w:t>he high cost of serving Jefferson County in relation to the number of customers in the service territory limits its revenue potential,” and furthermore,</w:t>
      </w:r>
      <w:r w:rsidR="001B4945">
        <w:t xml:space="preserve"> </w:t>
      </w:r>
      <w:r w:rsidR="001B4945">
        <w:lastRenderedPageBreak/>
        <w:t xml:space="preserve">economic prospects are limited: </w:t>
      </w:r>
      <w:r w:rsidR="00CD2750">
        <w:t xml:space="preserve"> “</w:t>
      </w:r>
      <w:r w:rsidR="001B4945">
        <w:t>T</w:t>
      </w:r>
      <w:r w:rsidR="00CD2750">
        <w:t>here is no expectation of any significant load growth in the [Jefferson County] service territory in the for</w:t>
      </w:r>
      <w:r w:rsidR="00D53C7B">
        <w:t>e</w:t>
      </w:r>
      <w:r w:rsidR="00CD2750">
        <w:t>seeable future.”</w:t>
      </w:r>
      <w:r w:rsidR="00D53C7B">
        <w:rPr>
          <w:rStyle w:val="FootnoteReference"/>
        </w:rPr>
        <w:footnoteReference w:id="8"/>
      </w:r>
    </w:p>
    <w:p w14:paraId="76B2AEF4" w14:textId="77777777" w:rsidR="004B4A70" w:rsidRDefault="004B4A70" w:rsidP="004B4A70">
      <w:pPr>
        <w:pStyle w:val="ListParagraph"/>
        <w:numPr>
          <w:ilvl w:val="0"/>
          <w:numId w:val="25"/>
        </w:numPr>
        <w:spacing w:line="480" w:lineRule="auto"/>
      </w:pPr>
      <w:r>
        <w:tab/>
      </w:r>
      <w:r w:rsidR="00F84231">
        <w:t>PSE formerly provided electric service to customers located in the eastern part of Jefferson County.</w:t>
      </w:r>
      <w:r w:rsidR="00F84231">
        <w:rPr>
          <w:rStyle w:val="FootnoteReference"/>
        </w:rPr>
        <w:footnoteReference w:id="9"/>
      </w:r>
      <w:r w:rsidR="00F84231">
        <w:t xml:space="preserve">  In</w:t>
      </w:r>
      <w:r w:rsidR="00155815">
        <w:t xml:space="preserve"> 2008, </w:t>
      </w:r>
      <w:r w:rsidR="00253296">
        <w:t xml:space="preserve">Jefferson County voters approved </w:t>
      </w:r>
      <w:r w:rsidR="00155815">
        <w:t xml:space="preserve">a proposition </w:t>
      </w:r>
      <w:r w:rsidR="00253296">
        <w:t xml:space="preserve">that enabled </w:t>
      </w:r>
      <w:r w:rsidR="00155815">
        <w:t xml:space="preserve">JPUD to be formed, </w:t>
      </w:r>
      <w:r w:rsidR="009055FA">
        <w:t xml:space="preserve">with the authority </w:t>
      </w:r>
      <w:r w:rsidR="00155815">
        <w:t>to acquire PSE’s distribution system in that county.</w:t>
      </w:r>
      <w:r w:rsidR="00155815">
        <w:rPr>
          <w:rStyle w:val="FootnoteReference"/>
        </w:rPr>
        <w:footnoteReference w:id="10"/>
      </w:r>
      <w:r w:rsidR="00155815">
        <w:t xml:space="preserve">  </w:t>
      </w:r>
      <w:r w:rsidR="00D53C7B">
        <w:t>Under threat of condemnation, JPUD acquired PSE’s distribution system</w:t>
      </w:r>
      <w:r w:rsidR="00D610B8">
        <w:t xml:space="preserve"> in Jefferson County</w:t>
      </w:r>
      <w:r w:rsidR="00D53C7B">
        <w:t xml:space="preserve">, for an </w:t>
      </w:r>
      <w:r w:rsidR="00D610B8">
        <w:t>“</w:t>
      </w:r>
      <w:r w:rsidR="00D53C7B">
        <w:t>all-in</w:t>
      </w:r>
      <w:r w:rsidR="00D610B8">
        <w:t>”</w:t>
      </w:r>
      <w:r w:rsidR="00D53C7B">
        <w:t xml:space="preserve"> sales price of $109,</w:t>
      </w:r>
      <w:r w:rsidR="003F7CFC">
        <w:t>2</w:t>
      </w:r>
      <w:r w:rsidR="00D53C7B">
        <w:t>73,196.</w:t>
      </w:r>
      <w:r w:rsidR="00D53C7B">
        <w:rPr>
          <w:rStyle w:val="FootnoteReference"/>
        </w:rPr>
        <w:footnoteReference w:id="11"/>
      </w:r>
      <w:r w:rsidR="00D53C7B">
        <w:t xml:space="preserve">  </w:t>
      </w:r>
      <w:r w:rsidR="00253296" w:rsidDel="00253296">
        <w:t xml:space="preserve">  </w:t>
      </w:r>
    </w:p>
    <w:p w14:paraId="3FEEB576" w14:textId="77777777" w:rsidR="004B4A70" w:rsidRDefault="004B4A70" w:rsidP="00AE07C7">
      <w:pPr>
        <w:pStyle w:val="ListParagraph"/>
        <w:numPr>
          <w:ilvl w:val="0"/>
          <w:numId w:val="25"/>
        </w:numPr>
        <w:spacing w:line="480" w:lineRule="auto"/>
      </w:pPr>
      <w:r>
        <w:tab/>
      </w:r>
      <w:r w:rsidR="00D610B8">
        <w:t xml:space="preserve">As </w:t>
      </w:r>
      <w:r w:rsidR="00D53C7B">
        <w:t xml:space="preserve">a result of the sale, </w:t>
      </w:r>
      <w:r w:rsidR="00581145">
        <w:t xml:space="preserve">on April 1, 2013, </w:t>
      </w:r>
      <w:r w:rsidR="00D610B8">
        <w:t xml:space="preserve">the electric service customers in Jefferson County became </w:t>
      </w:r>
      <w:r w:rsidR="00D53C7B">
        <w:t>JPUD</w:t>
      </w:r>
      <w:r w:rsidR="00D610B8">
        <w:t xml:space="preserve"> customers; those customers are </w:t>
      </w:r>
      <w:r w:rsidR="00D53C7B">
        <w:t xml:space="preserve">no longer </w:t>
      </w:r>
      <w:r w:rsidR="00D610B8">
        <w:t xml:space="preserve">PSE </w:t>
      </w:r>
      <w:r>
        <w:t>customers.</w:t>
      </w:r>
      <w:r w:rsidR="00F20D81">
        <w:rPr>
          <w:rStyle w:val="FootnoteReference"/>
        </w:rPr>
        <w:footnoteReference w:id="12"/>
      </w:r>
    </w:p>
    <w:p w14:paraId="43B45326" w14:textId="77777777" w:rsidR="004B4A70" w:rsidRPr="00574DAD" w:rsidRDefault="004B4A70" w:rsidP="004B4A70">
      <w:pPr>
        <w:pStyle w:val="ListParagraph"/>
        <w:numPr>
          <w:ilvl w:val="0"/>
          <w:numId w:val="7"/>
        </w:numPr>
        <w:spacing w:line="480" w:lineRule="auto"/>
        <w:ind w:left="0" w:firstLine="0"/>
        <w:jc w:val="center"/>
        <w:rPr>
          <w:b/>
        </w:rPr>
      </w:pPr>
      <w:r>
        <w:rPr>
          <w:b/>
        </w:rPr>
        <w:t xml:space="preserve">TABLE SUMMARIZING THE PARTIES’ RECOMMENDATIONS </w:t>
      </w:r>
    </w:p>
    <w:p w14:paraId="77E6A621" w14:textId="41A98F92" w:rsidR="004B4A70" w:rsidRDefault="004B4A70" w:rsidP="004B4A70">
      <w:pPr>
        <w:pStyle w:val="ListParagraph"/>
        <w:numPr>
          <w:ilvl w:val="0"/>
          <w:numId w:val="25"/>
        </w:numPr>
        <w:spacing w:line="480" w:lineRule="auto"/>
      </w:pPr>
      <w:r>
        <w:tab/>
      </w:r>
      <w:r w:rsidR="00E36086">
        <w:t>T</w:t>
      </w:r>
      <w:r w:rsidR="00AE07C7">
        <w:t xml:space="preserve">here is no dispute about the </w:t>
      </w:r>
      <w:r w:rsidR="00E36086">
        <w:t xml:space="preserve">key </w:t>
      </w:r>
      <w:r w:rsidR="00AE07C7">
        <w:t>numbers in this case.  The following table shows the positions of the parties</w:t>
      </w:r>
      <w:r w:rsidR="003F7CFC">
        <w:t>.  As we explain</w:t>
      </w:r>
      <w:r w:rsidR="00F20D81">
        <w:t>ed</w:t>
      </w:r>
      <w:r w:rsidR="003F7CFC">
        <w:t xml:space="preserve"> in footnote </w:t>
      </w:r>
      <w:r w:rsidR="00F20D81">
        <w:t>11</w:t>
      </w:r>
      <w:r w:rsidR="003F7CFC">
        <w:t xml:space="preserve">, Staff’s figures change slightly due to </w:t>
      </w:r>
      <w:r w:rsidR="002E5DEC">
        <w:t>a</w:t>
      </w:r>
      <w:r w:rsidR="003F7CFC">
        <w:t xml:space="preserve"> $100,000 reduction in the total proceeds figure </w:t>
      </w:r>
      <w:r w:rsidR="002E5DEC">
        <w:t xml:space="preserve">in </w:t>
      </w:r>
      <w:r w:rsidR="003F7CFC">
        <w:t xml:space="preserve">PSE’s rebuttal testimony </w:t>
      </w:r>
      <w:r w:rsidR="002E5DEC">
        <w:t xml:space="preserve">($109,273,196) </w:t>
      </w:r>
      <w:r w:rsidR="003F7CFC">
        <w:t>compared to the figure used in PSE’s Petition</w:t>
      </w:r>
      <w:r w:rsidR="002E5DEC">
        <w:t xml:space="preserve"> ($109,373,196)</w:t>
      </w:r>
      <w:r w:rsidR="003F7CFC">
        <w:t xml:space="preserve">.  </w:t>
      </w:r>
      <w:r w:rsidR="002E5DEC">
        <w:t>An updated version of Staff’s Exhibit No. EJK-3 is Attachment A to this brief</w:t>
      </w:r>
      <w:r w:rsidR="00AE07C7">
        <w:t>:</w:t>
      </w:r>
    </w:p>
    <w:p w14:paraId="66802B35" w14:textId="77777777" w:rsidR="004B4A70" w:rsidRPr="00213686" w:rsidRDefault="008A4E01" w:rsidP="004B4A70">
      <w:pPr>
        <w:pStyle w:val="ListParagraph"/>
        <w:spacing w:line="480" w:lineRule="auto"/>
        <w:ind w:left="0"/>
        <w:rPr>
          <w:szCs w:val="24"/>
        </w:rPr>
      </w:pPr>
      <w:r>
        <w:rPr>
          <w:rFonts w:cs="Times New Roman"/>
          <w:noProof/>
          <w:szCs w:val="24"/>
        </w:rPr>
        <w:lastRenderedPageBreak/>
        <w:drawing>
          <wp:inline distT="0" distB="0" distL="0" distR="0" wp14:anchorId="4195BDC8" wp14:editId="289E7E45">
            <wp:extent cx="5943600" cy="33726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372637"/>
                    </a:xfrm>
                    <a:prstGeom prst="rect">
                      <a:avLst/>
                    </a:prstGeom>
                    <a:noFill/>
                  </pic:spPr>
                </pic:pic>
              </a:graphicData>
            </a:graphic>
          </wp:inline>
        </w:drawing>
      </w:r>
    </w:p>
    <w:p w14:paraId="3C792ED5" w14:textId="3CD3CF2D" w:rsidR="00213686" w:rsidRDefault="006668FB" w:rsidP="006668FB">
      <w:pPr>
        <w:pStyle w:val="ListParagraph"/>
        <w:numPr>
          <w:ilvl w:val="0"/>
          <w:numId w:val="25"/>
        </w:numPr>
        <w:spacing w:line="480" w:lineRule="auto"/>
        <w:rPr>
          <w:szCs w:val="24"/>
        </w:rPr>
      </w:pPr>
      <w:r>
        <w:rPr>
          <w:szCs w:val="24"/>
        </w:rPr>
        <w:tab/>
      </w:r>
      <w:r w:rsidR="00213686">
        <w:rPr>
          <w:szCs w:val="24"/>
        </w:rPr>
        <w:t>As the Commission can see from the above chart:</w:t>
      </w:r>
      <w:r w:rsidR="00F20D81">
        <w:rPr>
          <w:rStyle w:val="FootnoteReference"/>
          <w:szCs w:val="24"/>
        </w:rPr>
        <w:footnoteReference w:id="13"/>
      </w:r>
    </w:p>
    <w:p w14:paraId="100675AD" w14:textId="77777777" w:rsidR="00213686" w:rsidRDefault="00213686" w:rsidP="003478BD">
      <w:pPr>
        <w:pStyle w:val="ListParagraph"/>
        <w:numPr>
          <w:ilvl w:val="0"/>
          <w:numId w:val="28"/>
        </w:numPr>
        <w:spacing w:line="480" w:lineRule="auto"/>
        <w:rPr>
          <w:szCs w:val="24"/>
        </w:rPr>
      </w:pPr>
      <w:r>
        <w:rPr>
          <w:szCs w:val="24"/>
        </w:rPr>
        <w:t xml:space="preserve">All parties </w:t>
      </w:r>
      <w:r w:rsidR="00253296">
        <w:rPr>
          <w:szCs w:val="24"/>
        </w:rPr>
        <w:t>agree</w:t>
      </w:r>
      <w:r>
        <w:rPr>
          <w:szCs w:val="24"/>
        </w:rPr>
        <w:t xml:space="preserve"> PSE is entitled to the net book value of the JPUD assets ($46,686,436) plus </w:t>
      </w:r>
      <w:r w:rsidR="00253296">
        <w:rPr>
          <w:szCs w:val="24"/>
        </w:rPr>
        <w:t xml:space="preserve">appropriate </w:t>
      </w:r>
      <w:r>
        <w:rPr>
          <w:szCs w:val="24"/>
        </w:rPr>
        <w:t xml:space="preserve">transaction costs (bottom </w:t>
      </w:r>
      <w:r w:rsidR="004D2098">
        <w:rPr>
          <w:szCs w:val="24"/>
        </w:rPr>
        <w:t>section)</w:t>
      </w:r>
      <w:r>
        <w:rPr>
          <w:szCs w:val="24"/>
        </w:rPr>
        <w:t xml:space="preserve">.  </w:t>
      </w:r>
    </w:p>
    <w:p w14:paraId="62DD2E95" w14:textId="77777777" w:rsidR="004D2098" w:rsidRDefault="004D2098" w:rsidP="003478BD">
      <w:pPr>
        <w:pStyle w:val="ListParagraph"/>
        <w:numPr>
          <w:ilvl w:val="0"/>
          <w:numId w:val="28"/>
        </w:numPr>
        <w:spacing w:line="480" w:lineRule="auto"/>
        <w:rPr>
          <w:szCs w:val="24"/>
        </w:rPr>
      </w:pPr>
      <w:r>
        <w:rPr>
          <w:szCs w:val="24"/>
        </w:rPr>
        <w:t>Staff has an issue with the calculation of the transaction costs (bottom section, $2,404,643 versus $2,722,448).</w:t>
      </w:r>
    </w:p>
    <w:p w14:paraId="5A5107EF" w14:textId="3C618932" w:rsidR="00213686" w:rsidRDefault="00213686" w:rsidP="003478BD">
      <w:pPr>
        <w:pStyle w:val="ListParagraph"/>
        <w:numPr>
          <w:ilvl w:val="0"/>
          <w:numId w:val="28"/>
        </w:numPr>
        <w:spacing w:line="480" w:lineRule="auto"/>
        <w:rPr>
          <w:szCs w:val="24"/>
        </w:rPr>
      </w:pPr>
      <w:r>
        <w:rPr>
          <w:szCs w:val="24"/>
        </w:rPr>
        <w:t xml:space="preserve">Staff, Public Counsel and ICNU propose that PSE also receive an increment above net book value </w:t>
      </w:r>
      <w:r w:rsidR="004D2098">
        <w:rPr>
          <w:szCs w:val="24"/>
        </w:rPr>
        <w:t xml:space="preserve">and transaction costs </w:t>
      </w:r>
      <w:r>
        <w:rPr>
          <w:szCs w:val="24"/>
        </w:rPr>
        <w:t>(Staff: $7,</w:t>
      </w:r>
      <w:r w:rsidR="002E5DEC">
        <w:rPr>
          <w:szCs w:val="24"/>
        </w:rPr>
        <w:t>481</w:t>
      </w:r>
      <w:r>
        <w:rPr>
          <w:szCs w:val="24"/>
        </w:rPr>
        <w:t>,394; Public Counsel: $2,99</w:t>
      </w:r>
      <w:r w:rsidR="00F20D81">
        <w:rPr>
          <w:szCs w:val="24"/>
        </w:rPr>
        <w:t>3,</w:t>
      </w:r>
      <w:r w:rsidR="00E50B09">
        <w:rPr>
          <w:szCs w:val="24"/>
        </w:rPr>
        <w:t>216</w:t>
      </w:r>
      <w:r>
        <w:rPr>
          <w:szCs w:val="24"/>
        </w:rPr>
        <w:t>; ICNU: $</w:t>
      </w:r>
      <w:r w:rsidR="00F20D81">
        <w:rPr>
          <w:szCs w:val="24"/>
        </w:rPr>
        <w:t>2,99</w:t>
      </w:r>
      <w:r w:rsidR="00E50B09">
        <w:rPr>
          <w:szCs w:val="24"/>
        </w:rPr>
        <w:t>2</w:t>
      </w:r>
      <w:r w:rsidR="00F20D81">
        <w:rPr>
          <w:szCs w:val="24"/>
        </w:rPr>
        <w:t>,558</w:t>
      </w:r>
      <w:r w:rsidR="00F20D81" w:rsidDel="00F20D81">
        <w:rPr>
          <w:szCs w:val="24"/>
        </w:rPr>
        <w:t xml:space="preserve"> </w:t>
      </w:r>
      <w:r>
        <w:rPr>
          <w:szCs w:val="24"/>
        </w:rPr>
        <w:t>)</w:t>
      </w:r>
    </w:p>
    <w:p w14:paraId="71AA34B0" w14:textId="77777777" w:rsidR="00213686" w:rsidRDefault="004D2098" w:rsidP="003478BD">
      <w:pPr>
        <w:pStyle w:val="ListParagraph"/>
        <w:numPr>
          <w:ilvl w:val="0"/>
          <w:numId w:val="28"/>
        </w:numPr>
        <w:spacing w:line="480" w:lineRule="auto"/>
        <w:rPr>
          <w:szCs w:val="24"/>
        </w:rPr>
      </w:pPr>
      <w:r>
        <w:rPr>
          <w:szCs w:val="24"/>
        </w:rPr>
        <w:t xml:space="preserve">Staff, Public Counsel and ICNU propose that ratepayers receive the rest of the proceeds, while PSE wants </w:t>
      </w:r>
      <w:r w:rsidR="00F91613">
        <w:rPr>
          <w:szCs w:val="24"/>
        </w:rPr>
        <w:t xml:space="preserve">to </w:t>
      </w:r>
      <w:r>
        <w:rPr>
          <w:szCs w:val="24"/>
        </w:rPr>
        <w:t xml:space="preserve">keep the rest of the proceeds, except for </w:t>
      </w:r>
      <w:r>
        <w:rPr>
          <w:szCs w:val="24"/>
        </w:rPr>
        <w:lastRenderedPageBreak/>
        <w:t>$14,9</w:t>
      </w:r>
      <w:r w:rsidR="002E5DEC">
        <w:rPr>
          <w:szCs w:val="24"/>
        </w:rPr>
        <w:t>66</w:t>
      </w:r>
      <w:r>
        <w:rPr>
          <w:szCs w:val="24"/>
        </w:rPr>
        <w:t xml:space="preserve">,078, </w:t>
      </w:r>
      <w:r w:rsidR="00253296">
        <w:rPr>
          <w:szCs w:val="24"/>
        </w:rPr>
        <w:t xml:space="preserve">which PSE proposes to allocate to ratepayers as </w:t>
      </w:r>
      <w:r>
        <w:t>a “voluntary sharing of the proceeds of this sale.”</w:t>
      </w:r>
      <w:r>
        <w:rPr>
          <w:rStyle w:val="FootnoteReference"/>
        </w:rPr>
        <w:footnoteReference w:id="14"/>
      </w:r>
      <w:r>
        <w:rPr>
          <w:szCs w:val="24"/>
        </w:rPr>
        <w:t xml:space="preserve"> </w:t>
      </w:r>
      <w:r w:rsidR="00213686">
        <w:rPr>
          <w:szCs w:val="24"/>
        </w:rPr>
        <w:t xml:space="preserve"> </w:t>
      </w:r>
    </w:p>
    <w:p w14:paraId="29B42E1D" w14:textId="4A328A79" w:rsidR="00213686" w:rsidRDefault="006668FB" w:rsidP="006668FB">
      <w:pPr>
        <w:pStyle w:val="ListParagraph"/>
        <w:numPr>
          <w:ilvl w:val="0"/>
          <w:numId w:val="25"/>
        </w:numPr>
        <w:spacing w:line="480" w:lineRule="auto"/>
        <w:rPr>
          <w:szCs w:val="24"/>
        </w:rPr>
      </w:pPr>
      <w:r>
        <w:rPr>
          <w:szCs w:val="24"/>
        </w:rPr>
        <w:tab/>
      </w:r>
      <w:r w:rsidR="004D2098">
        <w:rPr>
          <w:szCs w:val="24"/>
        </w:rPr>
        <w:t>For the reasons stated in this brief, of the total sales proceeds of $109,</w:t>
      </w:r>
      <w:r w:rsidR="002E5DEC">
        <w:rPr>
          <w:szCs w:val="24"/>
        </w:rPr>
        <w:t>2</w:t>
      </w:r>
      <w:r w:rsidR="004D2098">
        <w:rPr>
          <w:szCs w:val="24"/>
        </w:rPr>
        <w:t>73,196, the Commission should accept Staff’s recommendation, and allocate to ratepayers $52,7</w:t>
      </w:r>
      <w:r w:rsidR="002E5DEC">
        <w:rPr>
          <w:szCs w:val="24"/>
        </w:rPr>
        <w:t>00</w:t>
      </w:r>
      <w:r w:rsidR="004D2098">
        <w:rPr>
          <w:szCs w:val="24"/>
        </w:rPr>
        <w:t>,723</w:t>
      </w:r>
      <w:r w:rsidR="00253296">
        <w:rPr>
          <w:szCs w:val="24"/>
        </w:rPr>
        <w:t xml:space="preserve"> </w:t>
      </w:r>
      <w:r w:rsidR="004D2098">
        <w:rPr>
          <w:szCs w:val="24"/>
        </w:rPr>
        <w:t>and to PSE $56,5</w:t>
      </w:r>
      <w:r w:rsidR="002E5DEC">
        <w:rPr>
          <w:szCs w:val="24"/>
        </w:rPr>
        <w:t>72</w:t>
      </w:r>
      <w:r w:rsidR="004D2098">
        <w:rPr>
          <w:szCs w:val="24"/>
        </w:rPr>
        <w:t xml:space="preserve">,473 </w:t>
      </w:r>
      <w:r w:rsidR="00253296">
        <w:rPr>
          <w:szCs w:val="24"/>
        </w:rPr>
        <w:t>(</w:t>
      </w:r>
      <w:r w:rsidR="00253296">
        <w:rPr>
          <w:i/>
          <w:szCs w:val="24"/>
        </w:rPr>
        <w:t xml:space="preserve">i.e., </w:t>
      </w:r>
      <w:r w:rsidR="004D2098">
        <w:rPr>
          <w:szCs w:val="24"/>
        </w:rPr>
        <w:t>the sum of the net book value ($46,686,436), provable transaction costs ($2,404,643) and the incentive amount ($7,</w:t>
      </w:r>
      <w:r w:rsidR="002E5DEC">
        <w:rPr>
          <w:szCs w:val="24"/>
        </w:rPr>
        <w:t>481,394</w:t>
      </w:r>
      <w:r w:rsidR="004D2098">
        <w:rPr>
          <w:szCs w:val="24"/>
        </w:rPr>
        <w:t>)</w:t>
      </w:r>
      <w:r w:rsidR="00253296">
        <w:rPr>
          <w:szCs w:val="24"/>
        </w:rPr>
        <w:t>)</w:t>
      </w:r>
      <w:r w:rsidR="004D2098">
        <w:rPr>
          <w:szCs w:val="24"/>
        </w:rPr>
        <w:t xml:space="preserve">. </w:t>
      </w:r>
    </w:p>
    <w:p w14:paraId="0059D0DA" w14:textId="77777777" w:rsidR="004B4A70" w:rsidRPr="00337089" w:rsidRDefault="004B4A70" w:rsidP="004B4A70">
      <w:pPr>
        <w:pStyle w:val="ListParagraph"/>
        <w:numPr>
          <w:ilvl w:val="0"/>
          <w:numId w:val="7"/>
        </w:numPr>
        <w:ind w:left="0" w:firstLine="0"/>
        <w:jc w:val="center"/>
        <w:rPr>
          <w:b/>
        </w:rPr>
      </w:pPr>
      <w:r>
        <w:rPr>
          <w:b/>
        </w:rPr>
        <w:t>ARGUMENT</w:t>
      </w:r>
    </w:p>
    <w:p w14:paraId="10ADE529" w14:textId="77777777" w:rsidR="004B4A70" w:rsidRDefault="004B4A70" w:rsidP="004B4A70">
      <w:pPr>
        <w:ind w:left="720"/>
        <w:jc w:val="center"/>
        <w:rPr>
          <w:b/>
        </w:rPr>
      </w:pPr>
    </w:p>
    <w:p w14:paraId="7A3CFE94" w14:textId="77777777" w:rsidR="004B4A70" w:rsidRPr="004B4A70" w:rsidRDefault="004B4A70" w:rsidP="004B4A70">
      <w:pPr>
        <w:pStyle w:val="ListParagraph"/>
        <w:numPr>
          <w:ilvl w:val="0"/>
          <w:numId w:val="16"/>
        </w:numPr>
        <w:ind w:hanging="720"/>
      </w:pPr>
      <w:r w:rsidRPr="004B4A70">
        <w:rPr>
          <w:b/>
        </w:rPr>
        <w:t>The Public Interest Standard Applies to the Commission’s Disposition of the Proceeds on the Sale of PSE’s Property to JPUD</w:t>
      </w:r>
    </w:p>
    <w:p w14:paraId="10FF742D" w14:textId="77777777" w:rsidR="004B4A70" w:rsidRDefault="004B4A70" w:rsidP="004B4A70">
      <w:pPr>
        <w:pStyle w:val="ListParagraph"/>
      </w:pPr>
    </w:p>
    <w:p w14:paraId="3318AA81" w14:textId="3A48FA4B" w:rsidR="003D32F6" w:rsidRDefault="006668FB" w:rsidP="006668FB">
      <w:pPr>
        <w:pStyle w:val="ListParagraph"/>
        <w:numPr>
          <w:ilvl w:val="0"/>
          <w:numId w:val="25"/>
        </w:numPr>
        <w:spacing w:line="480" w:lineRule="auto"/>
      </w:pPr>
      <w:r>
        <w:tab/>
      </w:r>
      <w:r w:rsidR="00337089">
        <w:t>The Legislature provided the Commission broad authority to “regulate in the public interest, as provided in the public service laws, the rates, service, facilities and practices” of electrical utilities such as PSE.  RCW 80.01.040(3).  More specifically, the Commission has authority to regulate the reasonableness of PSE’s practices and accounts.  RCW 80.28.040 &amp; RCW 80.04.090, respectively.  This case arises on a petition by PSE seeking Commission approval of accounting treatment of the proceeds from the JPUD sale.</w:t>
      </w:r>
      <w:r w:rsidR="003D32F6">
        <w:t xml:space="preserve">  Accordingly, the “public interest” standard applies.</w:t>
      </w:r>
      <w:r w:rsidR="003D32F6" w:rsidRPr="003D32F6">
        <w:t xml:space="preserve"> </w:t>
      </w:r>
    </w:p>
    <w:p w14:paraId="5451EDA1" w14:textId="45ED71F3" w:rsidR="003D32F6" w:rsidRDefault="006668FB" w:rsidP="006668FB">
      <w:pPr>
        <w:pStyle w:val="ListParagraph"/>
        <w:numPr>
          <w:ilvl w:val="0"/>
          <w:numId w:val="25"/>
        </w:numPr>
        <w:spacing w:line="480" w:lineRule="auto"/>
      </w:pPr>
      <w:r>
        <w:tab/>
      </w:r>
      <w:r w:rsidR="003D32F6">
        <w:t>Under the public interest standard, the Commission applies the risk/reward principle, even in case</w:t>
      </w:r>
      <w:r w:rsidR="00253296">
        <w:t>s</w:t>
      </w:r>
      <w:r w:rsidR="003D32F6">
        <w:t xml:space="preserve"> outside the context of the transfer of property statute, RCW 80.12.  For example, in </w:t>
      </w:r>
      <w:r w:rsidR="004455D9">
        <w:t>Docket UE-070725,</w:t>
      </w:r>
      <w:r w:rsidR="00694C2A">
        <w:rPr>
          <w:rStyle w:val="FootnoteReference"/>
        </w:rPr>
        <w:footnoteReference w:id="15"/>
      </w:r>
      <w:r w:rsidR="004455D9">
        <w:t xml:space="preserve"> </w:t>
      </w:r>
      <w:r w:rsidR="003D32F6">
        <w:t>at issue was the revenue PSE received from selling Renewable Energy Credits (RECs).  The Commission did not decide that case under RCW 80.12, but it did apply the risk/reward principle.</w:t>
      </w:r>
      <w:r w:rsidR="003D32F6">
        <w:rPr>
          <w:rStyle w:val="FootnoteReference"/>
        </w:rPr>
        <w:footnoteReference w:id="16"/>
      </w:r>
      <w:r w:rsidR="003D32F6">
        <w:t xml:space="preserve">  </w:t>
      </w:r>
    </w:p>
    <w:p w14:paraId="6616205D" w14:textId="5D6A4388" w:rsidR="003D32F6" w:rsidRDefault="006668FB" w:rsidP="006668FB">
      <w:pPr>
        <w:pStyle w:val="ListParagraph"/>
        <w:numPr>
          <w:ilvl w:val="0"/>
          <w:numId w:val="25"/>
        </w:numPr>
        <w:spacing w:line="480" w:lineRule="auto"/>
      </w:pPr>
      <w:r>
        <w:lastRenderedPageBreak/>
        <w:tab/>
      </w:r>
      <w:r w:rsidR="00253296">
        <w:t>Notably, in th</w:t>
      </w:r>
      <w:r w:rsidR="00694C2A">
        <w:t>at</w:t>
      </w:r>
      <w:r w:rsidR="00CF07A3">
        <w:t xml:space="preserve"> case</w:t>
      </w:r>
      <w:r w:rsidR="00253296" w:rsidRPr="006668FB">
        <w:rPr>
          <w:i/>
        </w:rPr>
        <w:t xml:space="preserve">, </w:t>
      </w:r>
      <w:r w:rsidR="003D32F6">
        <w:t xml:space="preserve">PSE </w:t>
      </w:r>
      <w:r w:rsidR="00441B96">
        <w:t xml:space="preserve">took the position that </w:t>
      </w:r>
      <w:r w:rsidR="003D32F6">
        <w:t xml:space="preserve">the </w:t>
      </w:r>
      <w:r w:rsidR="00441B96">
        <w:t xml:space="preserve">Commission should apply </w:t>
      </w:r>
      <w:r w:rsidR="003D32F6">
        <w:t>the “public interest” standard and the risk/reward principle:</w:t>
      </w:r>
      <w:r w:rsidR="003D32F6">
        <w:rPr>
          <w:rStyle w:val="FootnoteReference"/>
        </w:rPr>
        <w:footnoteReference w:id="17"/>
      </w:r>
      <w:r w:rsidR="003D32F6">
        <w:t xml:space="preserve"> </w:t>
      </w:r>
    </w:p>
    <w:p w14:paraId="79E478AE" w14:textId="77777777" w:rsidR="004B4A70" w:rsidRDefault="003D32F6" w:rsidP="003478BD">
      <w:pPr>
        <w:ind w:left="720"/>
      </w:pPr>
      <w:r w:rsidRPr="000954B3">
        <w:t>The Commission has broad general powers to “[r]egulate in the public interest, as provided by the public service laws, the rates, services, facilities, and practices of all persons engaging within this state in the business of supplying any utility service or commodity to the public for compensation.”</w:t>
      </w:r>
      <w:r w:rsidRPr="000954B3">
        <w:rPr>
          <w:rStyle w:val="FootnoteReference"/>
        </w:rPr>
        <w:footnoteReference w:id="18"/>
      </w:r>
      <w:r w:rsidRPr="000954B3">
        <w:t xml:space="preserve"> </w:t>
      </w:r>
      <w:r>
        <w:t>… [W]</w:t>
      </w:r>
      <w:r w:rsidRPr="000954B3">
        <w:t>hen determining the public interest, the Commission equitably balances the interests of ratepayers and shareholders in view of particular circumstances, relying on the broad general principle that “reward should follow risk and benefit should follow burden.”</w:t>
      </w:r>
      <w:r w:rsidRPr="000954B3">
        <w:rPr>
          <w:rStyle w:val="FootnoteReference"/>
        </w:rPr>
        <w:footnoteReference w:id="19"/>
      </w:r>
    </w:p>
    <w:p w14:paraId="4CF6B6CD" w14:textId="77777777" w:rsidR="004455D9" w:rsidRDefault="004455D9" w:rsidP="004455D9"/>
    <w:p w14:paraId="2FCFBF99" w14:textId="04F81CAF" w:rsidR="004B4A70" w:rsidRDefault="006668FB" w:rsidP="006668FB">
      <w:pPr>
        <w:pStyle w:val="ListParagraph"/>
        <w:numPr>
          <w:ilvl w:val="0"/>
          <w:numId w:val="25"/>
        </w:numPr>
        <w:spacing w:line="480" w:lineRule="auto"/>
      </w:pPr>
      <w:r>
        <w:tab/>
      </w:r>
      <w:r w:rsidR="00441B96">
        <w:t xml:space="preserve">The same applies here.  Like the </w:t>
      </w:r>
      <w:r w:rsidR="003D32F6" w:rsidRPr="006668FB">
        <w:rPr>
          <w:i/>
        </w:rPr>
        <w:t>PSE REC Case</w:t>
      </w:r>
      <w:r w:rsidR="00441B96">
        <w:t>, even though</w:t>
      </w:r>
      <w:r w:rsidR="003D32F6">
        <w:t xml:space="preserve"> this case does not involve </w:t>
      </w:r>
      <w:r w:rsidR="00337089">
        <w:t>RCW 80.12</w:t>
      </w:r>
      <w:r w:rsidR="000E3CEA">
        <w:t>,</w:t>
      </w:r>
      <w:r w:rsidR="00337089">
        <w:rPr>
          <w:rStyle w:val="FootnoteReference"/>
        </w:rPr>
        <w:footnoteReference w:id="20"/>
      </w:r>
      <w:r w:rsidR="00337089">
        <w:t xml:space="preserve"> the Commission still </w:t>
      </w:r>
      <w:r w:rsidR="000E3CEA">
        <w:t xml:space="preserve">is </w:t>
      </w:r>
      <w:r w:rsidR="00337089">
        <w:t>empowered to protect ratepayer interests in the proceeds of that sale</w:t>
      </w:r>
      <w:r w:rsidR="00441B96">
        <w:t xml:space="preserve"> by applying the public interest standard and the risk/reward principle.</w:t>
      </w:r>
      <w:r w:rsidR="00C676E7">
        <w:t xml:space="preserve">  </w:t>
      </w:r>
    </w:p>
    <w:p w14:paraId="4FF6245A" w14:textId="77777777" w:rsidR="005D31D1" w:rsidRPr="00430D6A" w:rsidRDefault="005D31D1" w:rsidP="005D31D1">
      <w:pPr>
        <w:ind w:left="720" w:hanging="720"/>
        <w:rPr>
          <w:b/>
        </w:rPr>
      </w:pPr>
      <w:r w:rsidRPr="00430D6A">
        <w:rPr>
          <w:b/>
        </w:rPr>
        <w:t>B.</w:t>
      </w:r>
      <w:r w:rsidRPr="00430D6A">
        <w:rPr>
          <w:b/>
        </w:rPr>
        <w:tab/>
      </w:r>
      <w:r w:rsidRPr="00430D6A">
        <w:rPr>
          <w:rFonts w:eastAsia="Times New Roman" w:cs="Times New Roman"/>
          <w:b/>
          <w:bCs/>
          <w:szCs w:val="24"/>
        </w:rPr>
        <w:t xml:space="preserve">The Commission Previously Has Provided Ratepayers a Share of Proceeds on Sales of Parts of a Utility’s System.  </w:t>
      </w:r>
      <w:r w:rsidRPr="00430D6A">
        <w:rPr>
          <w:rFonts w:eastAsia="Times New Roman" w:cs="Times New Roman"/>
          <w:b/>
          <w:bCs/>
          <w:i/>
          <w:szCs w:val="24"/>
        </w:rPr>
        <w:t>City of Redding II</w:t>
      </w:r>
      <w:r w:rsidRPr="00430D6A">
        <w:rPr>
          <w:rFonts w:eastAsia="Times New Roman" w:cs="Times New Roman"/>
          <w:b/>
          <w:bCs/>
          <w:szCs w:val="24"/>
        </w:rPr>
        <w:t xml:space="preserve"> Does Not State the “General Rule” and it is Not </w:t>
      </w:r>
      <w:r w:rsidR="00430D6A">
        <w:rPr>
          <w:rFonts w:eastAsia="Times New Roman" w:cs="Times New Roman"/>
          <w:b/>
          <w:bCs/>
          <w:szCs w:val="24"/>
        </w:rPr>
        <w:t xml:space="preserve">Otherwise </w:t>
      </w:r>
      <w:r w:rsidRPr="00430D6A">
        <w:rPr>
          <w:rFonts w:eastAsia="Times New Roman" w:cs="Times New Roman"/>
          <w:b/>
          <w:bCs/>
          <w:szCs w:val="24"/>
        </w:rPr>
        <w:t>Persuasive Authority Here</w:t>
      </w:r>
      <w:r w:rsidR="00430D6A">
        <w:rPr>
          <w:rFonts w:eastAsia="Times New Roman" w:cs="Times New Roman"/>
          <w:b/>
          <w:bCs/>
          <w:szCs w:val="24"/>
        </w:rPr>
        <w:t xml:space="preserve"> </w:t>
      </w:r>
    </w:p>
    <w:p w14:paraId="30DD6D62" w14:textId="77777777" w:rsidR="005D31D1" w:rsidRPr="00337089" w:rsidRDefault="005D31D1" w:rsidP="005D31D1">
      <w:pPr>
        <w:ind w:left="720"/>
        <w:rPr>
          <w:b/>
        </w:rPr>
      </w:pPr>
    </w:p>
    <w:p w14:paraId="39BA1687" w14:textId="77777777" w:rsidR="005D31D1" w:rsidRDefault="005D31D1" w:rsidP="005D31D1">
      <w:pPr>
        <w:pStyle w:val="ListParagraph"/>
        <w:numPr>
          <w:ilvl w:val="0"/>
          <w:numId w:val="25"/>
        </w:numPr>
        <w:spacing w:line="480" w:lineRule="auto"/>
        <w:contextualSpacing w:val="0"/>
      </w:pPr>
      <w:r>
        <w:tab/>
        <w:t>The Commission previously has provided ratepayers a share of the gain on sale of a part of a utility’s system.  In Docket UW-031284, involving American Water Resources (American Water), the Commission allocated a share of the gain on the sale of parts of American Water’s water system to</w:t>
      </w:r>
      <w:r w:rsidR="00441B96">
        <w:t xml:space="preserve"> a</w:t>
      </w:r>
      <w:r>
        <w:t xml:space="preserve"> water district and a water and sewer district.</w:t>
      </w:r>
      <w:r>
        <w:rPr>
          <w:rStyle w:val="FootnoteReference"/>
        </w:rPr>
        <w:footnoteReference w:id="21"/>
      </w:r>
      <w:r>
        <w:t xml:space="preserve">  The Commission stated: “the </w:t>
      </w:r>
      <w:r>
        <w:lastRenderedPageBreak/>
        <w:t>allocation between shareholders and ratepayers of the gain on sale of in-service utility assets rests essentially on equitable considerations.”</w:t>
      </w:r>
      <w:r>
        <w:rPr>
          <w:rStyle w:val="FootnoteReference"/>
        </w:rPr>
        <w:footnoteReference w:id="22"/>
      </w:r>
    </w:p>
    <w:p w14:paraId="32FF0F49" w14:textId="77777777" w:rsidR="005D31D1" w:rsidRDefault="005D31D1" w:rsidP="00821541">
      <w:pPr>
        <w:pStyle w:val="ListParagraph"/>
        <w:numPr>
          <w:ilvl w:val="0"/>
          <w:numId w:val="25"/>
        </w:numPr>
        <w:spacing w:line="480" w:lineRule="auto"/>
        <w:contextualSpacing w:val="0"/>
      </w:pPr>
      <w:r>
        <w:tab/>
        <w:t xml:space="preserve">PSE relies on a decision by the California Public Utilities Commission in </w:t>
      </w:r>
      <w:r w:rsidRPr="005D31D1">
        <w:rPr>
          <w:i/>
        </w:rPr>
        <w:t>City of Redding II</w:t>
      </w:r>
      <w:r>
        <w:t>, for what PSE calls the “rule generally applied” to the allocation of proceeds from the sale of a distribution system by an investor-owned utility to a public entity.  According to PSE, this “general rule” is that shareholders receive the gain or loss on sale of part of a utility’s system, so long as remaining customers are not harmed, and they have not contributed capital to the distribution system.</w:t>
      </w:r>
      <w:r>
        <w:rPr>
          <w:rStyle w:val="FootnoteReference"/>
        </w:rPr>
        <w:footnoteReference w:id="23"/>
      </w:r>
      <w:r>
        <w:t xml:space="preserve">  </w:t>
      </w:r>
    </w:p>
    <w:p w14:paraId="7DFA3FFA" w14:textId="51D4D96C" w:rsidR="00FE08CE" w:rsidRDefault="005D31D1" w:rsidP="005D31D1">
      <w:pPr>
        <w:pStyle w:val="ListParagraph"/>
        <w:numPr>
          <w:ilvl w:val="0"/>
          <w:numId w:val="25"/>
        </w:numPr>
        <w:spacing w:line="480" w:lineRule="auto"/>
        <w:contextualSpacing w:val="0"/>
      </w:pPr>
      <w:r>
        <w:rPr>
          <w:i/>
        </w:rPr>
        <w:tab/>
      </w:r>
      <w:r w:rsidR="00441B96">
        <w:t xml:space="preserve">Obviously, that is not the rule </w:t>
      </w:r>
      <w:r w:rsidR="00190B24">
        <w:t xml:space="preserve">applied </w:t>
      </w:r>
      <w:r w:rsidR="00441B96">
        <w:t xml:space="preserve">in this state, as the </w:t>
      </w:r>
      <w:r w:rsidR="00441B96">
        <w:rPr>
          <w:i/>
        </w:rPr>
        <w:t xml:space="preserve">American Water </w:t>
      </w:r>
      <w:r w:rsidR="00441B96">
        <w:t xml:space="preserve">case attests, but there </w:t>
      </w:r>
      <w:r>
        <w:t xml:space="preserve">are many </w:t>
      </w:r>
      <w:r w:rsidR="00CF07A3">
        <w:t xml:space="preserve">other </w:t>
      </w:r>
      <w:r>
        <w:t xml:space="preserve">reasons why the Commission should not consider </w:t>
      </w:r>
      <w:r>
        <w:rPr>
          <w:i/>
        </w:rPr>
        <w:t xml:space="preserve">City of Redding II </w:t>
      </w:r>
      <w:r>
        <w:t>as persuasive precedent.  A primary reason is that the California commission based its decision on the notion that shareholders “have assumed the general financial risk of making the investment.  Because they have assumed the risk, they should be assigned the rewards,” absent any adverse effect of the sale on customers, or capital contribution by customers.</w:t>
      </w:r>
      <w:r>
        <w:rPr>
          <w:rStyle w:val="FootnoteReference"/>
        </w:rPr>
        <w:footnoteReference w:id="24"/>
      </w:r>
      <w:r>
        <w:t xml:space="preserve">  As we explain in detail in a later section</w:t>
      </w:r>
      <w:r w:rsidR="00190B24">
        <w:t xml:space="preserve"> of this brief</w:t>
      </w:r>
      <w:r>
        <w:t xml:space="preserve">, PSE’s shareholders </w:t>
      </w:r>
      <w:r w:rsidR="00CF07A3">
        <w:t xml:space="preserve">did not bear the </w:t>
      </w:r>
      <w:r>
        <w:t xml:space="preserve">risk of ownership </w:t>
      </w:r>
      <w:r w:rsidR="00CF07A3">
        <w:t xml:space="preserve">related to </w:t>
      </w:r>
      <w:r>
        <w:t>the assets PSE sold to JPUD.  We address many of the other reasons in this section.</w:t>
      </w:r>
    </w:p>
    <w:p w14:paraId="6DA5E052" w14:textId="77777777" w:rsidR="00FE08CE" w:rsidRDefault="00FE08CE">
      <w:r>
        <w:br w:type="page"/>
      </w:r>
    </w:p>
    <w:p w14:paraId="04755F92" w14:textId="77777777" w:rsidR="005D31D1" w:rsidRDefault="005D31D1" w:rsidP="005D31D1">
      <w:pPr>
        <w:pStyle w:val="ListParagraph"/>
        <w:numPr>
          <w:ilvl w:val="0"/>
          <w:numId w:val="25"/>
        </w:numPr>
        <w:spacing w:line="480" w:lineRule="auto"/>
        <w:contextualSpacing w:val="0"/>
      </w:pPr>
      <w:r>
        <w:lastRenderedPageBreak/>
        <w:tab/>
        <w:t xml:space="preserve">First off, </w:t>
      </w:r>
      <w:r w:rsidR="00092555">
        <w:t xml:space="preserve">PSE is simply wrong to characterize </w:t>
      </w:r>
      <w:r w:rsidR="00092555">
        <w:rPr>
          <w:i/>
        </w:rPr>
        <w:t xml:space="preserve">City of Redding II </w:t>
      </w:r>
      <w:r w:rsidR="00092555">
        <w:t xml:space="preserve">as enunciating a “general rule,” because </w:t>
      </w:r>
      <w:r w:rsidR="00441B96">
        <w:t xml:space="preserve">in </w:t>
      </w:r>
      <w:r w:rsidR="00441B96" w:rsidRPr="00417F17">
        <w:rPr>
          <w:i/>
        </w:rPr>
        <w:t>City of Redding II</w:t>
      </w:r>
      <w:r w:rsidR="00441B96">
        <w:t>,</w:t>
      </w:r>
      <w:r w:rsidR="00441B96" w:rsidRPr="005314CB">
        <w:t xml:space="preserve"> </w:t>
      </w:r>
      <w:r>
        <w:t>the California PUC</w:t>
      </w:r>
      <w:r w:rsidR="00092555">
        <w:t xml:space="preserve"> itself found that </w:t>
      </w:r>
      <w:r>
        <w:t xml:space="preserve">treatment in other jurisdictions </w:t>
      </w:r>
      <w:r w:rsidR="00092555">
        <w:t>was “</w:t>
      </w:r>
      <w:r>
        <w:t>not consistent.”</w:t>
      </w:r>
      <w:r>
        <w:rPr>
          <w:rStyle w:val="FootnoteReference"/>
        </w:rPr>
        <w:footnoteReference w:id="25"/>
      </w:r>
      <w:r>
        <w:t xml:space="preserve">  </w:t>
      </w:r>
    </w:p>
    <w:p w14:paraId="25E0205C" w14:textId="77777777" w:rsidR="005D31D1" w:rsidRDefault="005D31D1" w:rsidP="005D31D1">
      <w:pPr>
        <w:pStyle w:val="ListParagraph"/>
        <w:numPr>
          <w:ilvl w:val="0"/>
          <w:numId w:val="25"/>
        </w:numPr>
        <w:spacing w:line="480" w:lineRule="auto"/>
        <w:contextualSpacing w:val="0"/>
      </w:pPr>
      <w:r>
        <w:tab/>
        <w:t xml:space="preserve">Second, commissions </w:t>
      </w:r>
      <w:r w:rsidR="00441B96">
        <w:t xml:space="preserve">other than Washington </w:t>
      </w:r>
      <w:r>
        <w:t xml:space="preserve">allocate to customers the gain on sale when a regulated utility sells part of its system to a governmental entity.  For example, </w:t>
      </w:r>
      <w:r w:rsidR="00092555">
        <w:t>t</w:t>
      </w:r>
      <w:r>
        <w:t>he Wyoming Public Service Commission gave customers the gain on sale when PacifiCorp sold its electric distribution system in Cody, Wyoming to the City of Cody.</w:t>
      </w:r>
      <w:r w:rsidR="00092555">
        <w:rPr>
          <w:rStyle w:val="FootnoteReference"/>
        </w:rPr>
        <w:footnoteReference w:id="26"/>
      </w:r>
      <w:r>
        <w:t xml:space="preserve">  These facilities were “in the rate base and were ‘used and useful’ to Pacific Power’s system and had been paid for by the ratepayers.”</w:t>
      </w:r>
      <w:r>
        <w:rPr>
          <w:rStyle w:val="FootnoteReference"/>
        </w:rPr>
        <w:footnoteReference w:id="27"/>
      </w:r>
      <w:r>
        <w:t xml:space="preserve">  The same was true of PSE’s Jefferson County assets.</w:t>
      </w:r>
    </w:p>
    <w:p w14:paraId="2246255E" w14:textId="77777777" w:rsidR="005D31D1" w:rsidRDefault="005D31D1" w:rsidP="005D31D1">
      <w:pPr>
        <w:pStyle w:val="ListParagraph"/>
        <w:numPr>
          <w:ilvl w:val="0"/>
          <w:numId w:val="25"/>
        </w:numPr>
        <w:spacing w:line="480" w:lineRule="auto"/>
        <w:contextualSpacing w:val="0"/>
      </w:pPr>
      <w:r>
        <w:tab/>
        <w:t xml:space="preserve">Notably, in the same case, the Wyoming commission gave PacifiCorp the gain on </w:t>
      </w:r>
      <w:r w:rsidR="00441B96">
        <w:t xml:space="preserve">the </w:t>
      </w:r>
      <w:r>
        <w:t>sale of transmission facilities to the City of Powell, because unlike the City of Cody, the City of Powell had paid under a wholesale tariff designed to cover the specific costs of the system PacifiCorp provided to serve the City of Powell.  No such situation applies to PSE and Jefferson County; PSE charged its Jefferson County customers rates based on total system costs, not Jefferson County-specific costs.  As Staff testified:  “… Jefferson County was not a stand-alone system for ratemaking purposes.”</w:t>
      </w:r>
      <w:r>
        <w:rPr>
          <w:rStyle w:val="FootnoteReference"/>
        </w:rPr>
        <w:footnoteReference w:id="28"/>
      </w:r>
    </w:p>
    <w:p w14:paraId="7814469C" w14:textId="77777777" w:rsidR="005D31D1" w:rsidRPr="00417F17" w:rsidRDefault="005D31D1" w:rsidP="005D31D1">
      <w:pPr>
        <w:pStyle w:val="ListParagraph"/>
        <w:numPr>
          <w:ilvl w:val="0"/>
          <w:numId w:val="25"/>
        </w:numPr>
        <w:spacing w:line="480" w:lineRule="auto"/>
        <w:contextualSpacing w:val="0"/>
      </w:pPr>
      <w:r>
        <w:tab/>
      </w:r>
      <w:r w:rsidR="00092555">
        <w:t xml:space="preserve">The Oregon Public Utility Commission, in approving </w:t>
      </w:r>
      <w:r>
        <w:t xml:space="preserve">PacifiCorp’s </w:t>
      </w:r>
      <w:r w:rsidR="00092555">
        <w:t xml:space="preserve">sale of its </w:t>
      </w:r>
      <w:r>
        <w:t>distribution system in the City of Hermiston to that city</w:t>
      </w:r>
      <w:r w:rsidR="00092555">
        <w:t xml:space="preserve">, </w:t>
      </w:r>
      <w:r>
        <w:t>accepted its Staff recommendation that customers receive 95 percent of the gain.</w:t>
      </w:r>
      <w:r>
        <w:rPr>
          <w:rStyle w:val="FootnoteReference"/>
        </w:rPr>
        <w:footnoteReference w:id="29"/>
      </w:r>
    </w:p>
    <w:p w14:paraId="3CE5C91B" w14:textId="77777777" w:rsidR="005D31D1" w:rsidRDefault="005D31D1" w:rsidP="005D31D1">
      <w:pPr>
        <w:pStyle w:val="ListParagraph"/>
        <w:numPr>
          <w:ilvl w:val="0"/>
          <w:numId w:val="25"/>
        </w:numPr>
        <w:spacing w:line="480" w:lineRule="auto"/>
        <w:contextualSpacing w:val="0"/>
      </w:pPr>
      <w:r>
        <w:rPr>
          <w:i/>
        </w:rPr>
        <w:lastRenderedPageBreak/>
        <w:tab/>
      </w:r>
      <w:r>
        <w:t xml:space="preserve">In its Petition, PSE cites a decision from the </w:t>
      </w:r>
      <w:r w:rsidR="00CF07A3">
        <w:t>Maine S</w:t>
      </w:r>
      <w:r>
        <w:t xml:space="preserve">upreme </w:t>
      </w:r>
      <w:r w:rsidR="00CF07A3">
        <w:t>C</w:t>
      </w:r>
      <w:r>
        <w:t xml:space="preserve">ourt, </w:t>
      </w:r>
      <w:r w:rsidRPr="00417F17">
        <w:rPr>
          <w:i/>
        </w:rPr>
        <w:t>Maine Water Company v. Public Utilities Commission</w:t>
      </w:r>
      <w:r w:rsidR="00CF07A3">
        <w:rPr>
          <w:i/>
        </w:rPr>
        <w:t>.</w:t>
      </w:r>
      <w:r>
        <w:rPr>
          <w:rStyle w:val="FootnoteReference"/>
        </w:rPr>
        <w:footnoteReference w:id="30"/>
      </w:r>
      <w:r>
        <w:t xml:space="preserve"> </w:t>
      </w:r>
      <w:r w:rsidRPr="00417F17">
        <w:rPr>
          <w:i/>
        </w:rPr>
        <w:t xml:space="preserve"> </w:t>
      </w:r>
      <w:r>
        <w:t>In that case, Maine Water Company sold two of its seven divisions to water districts, named “Newport” and “Wilton.”  482 A.2d at 443.  In providing the gain on sale solely to shareholders, the court reasoned that remaining customers could have no claim to the gain, because they did not pay rates to cover depreciation or maintenance on the Newport or Wilton service areas:</w:t>
      </w:r>
    </w:p>
    <w:p w14:paraId="5660E327" w14:textId="77777777" w:rsidR="005D31D1" w:rsidRDefault="005D31D1" w:rsidP="005D31D1">
      <w:pPr>
        <w:spacing w:after="120"/>
        <w:ind w:left="720"/>
      </w:pPr>
      <w:r>
        <w:t>Maine Water’s present customers have never paid any rates that have reflected any depreciation expense on the water systems in Newport and Wilton.  Over the years, the rates of each of those transferred divisions have been separately set to cover its individual cost of service, including the particular depreciation expense associated with its particular assets.</w:t>
      </w:r>
    </w:p>
    <w:p w14:paraId="5DF740E8" w14:textId="77777777" w:rsidR="005D31D1" w:rsidRDefault="005D31D1" w:rsidP="005D31D1">
      <w:pPr>
        <w:pStyle w:val="ListParagraph"/>
        <w:spacing w:line="480" w:lineRule="auto"/>
        <w:ind w:left="0"/>
        <w:contextualSpacing w:val="0"/>
      </w:pPr>
      <w:r>
        <w:t xml:space="preserve">482 A.2d at 449.  </w:t>
      </w:r>
    </w:p>
    <w:p w14:paraId="7181FA24" w14:textId="77777777" w:rsidR="005D31D1" w:rsidRPr="00417F17" w:rsidRDefault="005D31D1" w:rsidP="005D31D1">
      <w:pPr>
        <w:pStyle w:val="ListParagraph"/>
        <w:numPr>
          <w:ilvl w:val="0"/>
          <w:numId w:val="25"/>
        </w:numPr>
        <w:spacing w:line="480" w:lineRule="auto"/>
        <w:contextualSpacing w:val="0"/>
        <w:rPr>
          <w:i/>
        </w:rPr>
      </w:pPr>
      <w:r>
        <w:tab/>
        <w:t>Unlike the situation in Maine, PSE customers paid rates covering PSE’s costs of the entire system; the Commission has not set rates for Jefferson County separate and apart from the rest of PSE’s service territory.  As PSE put it:</w:t>
      </w:r>
    </w:p>
    <w:p w14:paraId="22662C91" w14:textId="77777777" w:rsidR="00CF07A3" w:rsidRDefault="005D31D1" w:rsidP="00CF07A3">
      <w:pPr>
        <w:spacing w:after="120"/>
        <w:ind w:left="720"/>
      </w:pPr>
      <w:r>
        <w:t>The Company’s rates are uniform throughout its service area.  As such all customers share in the recovery of PSE’s overall depreciation expense.  The amount paid by any given customer or group of customers is not tied to specific assets used to provide service within any particular city or county within PSE’s service area.</w:t>
      </w:r>
      <w:r>
        <w:rPr>
          <w:rStyle w:val="FootnoteReference"/>
        </w:rPr>
        <w:footnoteReference w:id="31"/>
      </w:r>
    </w:p>
    <w:p w14:paraId="44C88952" w14:textId="5E0227B2" w:rsidR="006466D8" w:rsidRDefault="006668FB" w:rsidP="006668FB">
      <w:pPr>
        <w:pStyle w:val="ListParagraph"/>
        <w:numPr>
          <w:ilvl w:val="0"/>
          <w:numId w:val="25"/>
        </w:numPr>
        <w:spacing w:line="480" w:lineRule="auto"/>
      </w:pPr>
      <w:r>
        <w:tab/>
      </w:r>
      <w:r w:rsidR="00CF07A3">
        <w:t>L</w:t>
      </w:r>
      <w:r w:rsidR="006466D8">
        <w:t xml:space="preserve">ogical </w:t>
      </w:r>
      <w:r w:rsidR="00CF07A3">
        <w:t>application of this decision</w:t>
      </w:r>
      <w:r w:rsidR="006466D8">
        <w:t xml:space="preserve"> </w:t>
      </w:r>
      <w:r w:rsidR="00CF07A3">
        <w:t xml:space="preserve">would be </w:t>
      </w:r>
      <w:r w:rsidR="006466D8">
        <w:t xml:space="preserve">to evaluate whether a sale of assets involves a separate system with a </w:t>
      </w:r>
      <w:r w:rsidR="00CF07A3">
        <w:t xml:space="preserve">separate </w:t>
      </w:r>
      <w:r w:rsidR="006466D8">
        <w:t>set of tariff</w:t>
      </w:r>
      <w:r w:rsidR="00CF07A3">
        <w:t xml:space="preserve"> </w:t>
      </w:r>
      <w:r w:rsidR="006466D8">
        <w:t>rates for service</w:t>
      </w:r>
      <w:r w:rsidR="00CF07A3">
        <w:t xml:space="preserve"> to customers served by that system</w:t>
      </w:r>
      <w:r w:rsidR="006466D8">
        <w:t xml:space="preserve">.  If so, then the remaining </w:t>
      </w:r>
      <w:r w:rsidR="00CF07A3">
        <w:t>customers</w:t>
      </w:r>
      <w:r w:rsidR="006466D8">
        <w:t xml:space="preserve"> served by other systems under common corporate ownership are not entitled to the proceeds of the sale.  The facts in this case do not support the application of the Maine decision.</w:t>
      </w:r>
    </w:p>
    <w:p w14:paraId="5C48F60A" w14:textId="1CFCB56A" w:rsidR="00092555" w:rsidRPr="00092555" w:rsidRDefault="006668FB" w:rsidP="006668FB">
      <w:pPr>
        <w:pStyle w:val="ListParagraph"/>
        <w:numPr>
          <w:ilvl w:val="0"/>
          <w:numId w:val="25"/>
        </w:numPr>
        <w:spacing w:line="480" w:lineRule="auto"/>
      </w:pPr>
      <w:r>
        <w:lastRenderedPageBreak/>
        <w:tab/>
      </w:r>
      <w:r w:rsidR="00092555" w:rsidRPr="00092555">
        <w:t xml:space="preserve">In </w:t>
      </w:r>
      <w:r w:rsidR="00092555">
        <w:t>short</w:t>
      </w:r>
      <w:r w:rsidR="00092555" w:rsidRPr="00092555">
        <w:t xml:space="preserve">, </w:t>
      </w:r>
      <w:r w:rsidR="00092555">
        <w:t xml:space="preserve">the </w:t>
      </w:r>
      <w:r w:rsidR="00092555" w:rsidRPr="006668FB">
        <w:rPr>
          <w:i/>
        </w:rPr>
        <w:t xml:space="preserve">City of Redding II </w:t>
      </w:r>
      <w:r w:rsidR="00092555">
        <w:t>case does not dictate the result here.  For the above reasons, and all of the other reasons stated in this brief, the Commission is on firm legal ground</w:t>
      </w:r>
      <w:r w:rsidR="00CF07A3">
        <w:t xml:space="preserve"> in</w:t>
      </w:r>
      <w:r w:rsidR="00092555">
        <w:t xml:space="preserve"> granting PSE customers a substantial share of the proceeds of the sale of PSE’s Jefferson County distribution system. </w:t>
      </w:r>
    </w:p>
    <w:p w14:paraId="7613C302" w14:textId="77777777" w:rsidR="004B4A70" w:rsidRDefault="005D31D1" w:rsidP="004B4A70">
      <w:pPr>
        <w:ind w:left="720" w:hanging="720"/>
        <w:rPr>
          <w:b/>
        </w:rPr>
      </w:pPr>
      <w:r>
        <w:rPr>
          <w:b/>
        </w:rPr>
        <w:t>C</w:t>
      </w:r>
      <w:r w:rsidR="004B4A70" w:rsidRPr="00B40868">
        <w:rPr>
          <w:b/>
        </w:rPr>
        <w:t>.</w:t>
      </w:r>
      <w:r w:rsidR="004B4A70" w:rsidRPr="00B40868">
        <w:rPr>
          <w:b/>
        </w:rPr>
        <w:tab/>
        <w:t xml:space="preserve">The </w:t>
      </w:r>
      <w:r w:rsidR="004B4A70">
        <w:rPr>
          <w:b/>
        </w:rPr>
        <w:t>Gain on Sale of PSE’s Jefferson County Distribution System Belongs to Remaining PSE Customers</w:t>
      </w:r>
    </w:p>
    <w:p w14:paraId="6F2D1AB6" w14:textId="77777777" w:rsidR="004B4A70" w:rsidRDefault="004B4A70" w:rsidP="004B4A70">
      <w:pPr>
        <w:ind w:left="720" w:hanging="720"/>
      </w:pPr>
    </w:p>
    <w:p w14:paraId="3066A30B" w14:textId="0E442EE1" w:rsidR="004B4A70" w:rsidRPr="004B4A70" w:rsidRDefault="004B4A70" w:rsidP="004B4A70">
      <w:pPr>
        <w:pStyle w:val="ListParagraph"/>
        <w:numPr>
          <w:ilvl w:val="0"/>
          <w:numId w:val="25"/>
        </w:numPr>
        <w:spacing w:line="480" w:lineRule="auto"/>
      </w:pPr>
      <w:r>
        <w:rPr>
          <w:rFonts w:cs="Times New Roman"/>
          <w:szCs w:val="24"/>
        </w:rPr>
        <w:tab/>
      </w:r>
      <w:r w:rsidR="00CB5B0E" w:rsidRPr="004B4A70">
        <w:rPr>
          <w:rFonts w:cs="Times New Roman"/>
          <w:szCs w:val="24"/>
        </w:rPr>
        <w:t xml:space="preserve">PSE </w:t>
      </w:r>
      <w:r w:rsidR="003D32F6">
        <w:rPr>
          <w:rFonts w:cs="Times New Roman"/>
          <w:szCs w:val="24"/>
        </w:rPr>
        <w:t xml:space="preserve">applied the </w:t>
      </w:r>
      <w:r w:rsidR="00CB5B0E" w:rsidRPr="004B4A70">
        <w:rPr>
          <w:rFonts w:cs="Times New Roman"/>
          <w:szCs w:val="24"/>
        </w:rPr>
        <w:t>“regulatory compact”</w:t>
      </w:r>
      <w:r w:rsidR="003D32F6">
        <w:rPr>
          <w:rFonts w:cs="Times New Roman"/>
          <w:szCs w:val="24"/>
        </w:rPr>
        <w:t xml:space="preserve"> to address the key issues in this case</w:t>
      </w:r>
      <w:r w:rsidR="00CB5B0E" w:rsidRPr="004B4A70">
        <w:rPr>
          <w:rFonts w:cs="Times New Roman"/>
          <w:szCs w:val="24"/>
        </w:rPr>
        <w:t>.</w:t>
      </w:r>
      <w:r w:rsidR="00CB5B0E">
        <w:rPr>
          <w:rStyle w:val="FootnoteReference"/>
          <w:rFonts w:cs="Times New Roman"/>
          <w:szCs w:val="24"/>
        </w:rPr>
        <w:footnoteReference w:id="32"/>
      </w:r>
      <w:r w:rsidR="00CB5B0E" w:rsidRPr="004B4A70">
        <w:rPr>
          <w:rFonts w:cs="Times New Roman"/>
          <w:szCs w:val="24"/>
        </w:rPr>
        <w:t xml:space="preserve">  Accordingly, Staff use</w:t>
      </w:r>
      <w:r w:rsidR="00253296">
        <w:rPr>
          <w:rFonts w:cs="Times New Roman"/>
          <w:szCs w:val="24"/>
        </w:rPr>
        <w:t>s</w:t>
      </w:r>
      <w:r w:rsidR="00CB5B0E" w:rsidRPr="004B4A70">
        <w:rPr>
          <w:rFonts w:cs="Times New Roman"/>
          <w:szCs w:val="24"/>
        </w:rPr>
        <w:t xml:space="preserve"> t</w:t>
      </w:r>
      <w:r w:rsidR="000E3CEA">
        <w:rPr>
          <w:rFonts w:cs="Times New Roman"/>
          <w:szCs w:val="24"/>
        </w:rPr>
        <w:t xml:space="preserve">he </w:t>
      </w:r>
      <w:r w:rsidR="00A70FE5" w:rsidRPr="004B4A70">
        <w:rPr>
          <w:rFonts w:cs="Times New Roman"/>
          <w:szCs w:val="24"/>
        </w:rPr>
        <w:t xml:space="preserve">regulatory compact </w:t>
      </w:r>
      <w:r w:rsidR="00CB5B0E" w:rsidRPr="004B4A70">
        <w:rPr>
          <w:rFonts w:cs="Times New Roman"/>
          <w:szCs w:val="24"/>
        </w:rPr>
        <w:t xml:space="preserve">as a </w:t>
      </w:r>
      <w:r w:rsidR="00A70FE5" w:rsidRPr="004B4A70">
        <w:rPr>
          <w:rFonts w:cs="Times New Roman"/>
          <w:szCs w:val="24"/>
        </w:rPr>
        <w:t xml:space="preserve">framework for </w:t>
      </w:r>
      <w:r w:rsidR="004455D9">
        <w:rPr>
          <w:rFonts w:cs="Times New Roman"/>
          <w:szCs w:val="24"/>
        </w:rPr>
        <w:t xml:space="preserve">its </w:t>
      </w:r>
      <w:r w:rsidR="00A70FE5" w:rsidRPr="004B4A70">
        <w:rPr>
          <w:rFonts w:cs="Times New Roman"/>
          <w:szCs w:val="24"/>
        </w:rPr>
        <w:t>analysis</w:t>
      </w:r>
      <w:r w:rsidR="00CB5B0E" w:rsidRPr="004B4A70">
        <w:rPr>
          <w:rFonts w:cs="Times New Roman"/>
          <w:szCs w:val="24"/>
        </w:rPr>
        <w:t xml:space="preserve"> in this brief, to </w:t>
      </w:r>
      <w:r w:rsidR="003D32F6">
        <w:rPr>
          <w:rFonts w:cs="Times New Roman"/>
          <w:szCs w:val="24"/>
        </w:rPr>
        <w:t xml:space="preserve">demonstrate </w:t>
      </w:r>
      <w:r w:rsidR="00CB5B0E" w:rsidRPr="004B4A70">
        <w:rPr>
          <w:rFonts w:cs="Times New Roman"/>
          <w:szCs w:val="24"/>
        </w:rPr>
        <w:t>how p</w:t>
      </w:r>
      <w:r w:rsidR="00AE07C7" w:rsidRPr="004B4A70">
        <w:rPr>
          <w:rFonts w:cs="Times New Roman"/>
          <w:szCs w:val="24"/>
        </w:rPr>
        <w:t>roper application of th</w:t>
      </w:r>
      <w:r w:rsidR="00CB5B0E" w:rsidRPr="004B4A70">
        <w:rPr>
          <w:rFonts w:cs="Times New Roman"/>
          <w:szCs w:val="24"/>
        </w:rPr>
        <w:t>at</w:t>
      </w:r>
      <w:r w:rsidR="00AE07C7" w:rsidRPr="004B4A70">
        <w:rPr>
          <w:rFonts w:cs="Times New Roman"/>
          <w:szCs w:val="24"/>
        </w:rPr>
        <w:t xml:space="preserve"> compact confirms Staff’s recommendation.</w:t>
      </w:r>
      <w:r w:rsidR="004438E6">
        <w:rPr>
          <w:rStyle w:val="FootnoteReference"/>
          <w:rFonts w:cs="Times New Roman"/>
          <w:szCs w:val="24"/>
        </w:rPr>
        <w:footnoteReference w:id="33"/>
      </w:r>
      <w:r w:rsidR="00AE07C7" w:rsidRPr="004B4A70">
        <w:rPr>
          <w:rFonts w:cs="Times New Roman"/>
          <w:szCs w:val="24"/>
        </w:rPr>
        <w:t xml:space="preserve">  </w:t>
      </w:r>
      <w:r w:rsidR="00CB5B0E" w:rsidRPr="004B4A70">
        <w:rPr>
          <w:rFonts w:cs="Times New Roman"/>
          <w:szCs w:val="24"/>
        </w:rPr>
        <w:t xml:space="preserve">By contrast, </w:t>
      </w:r>
      <w:r w:rsidR="00A70FE5" w:rsidRPr="004B4A70">
        <w:rPr>
          <w:rFonts w:cs="Times New Roman"/>
          <w:szCs w:val="24"/>
        </w:rPr>
        <w:t xml:space="preserve">PSE </w:t>
      </w:r>
      <w:r w:rsidR="00DF2B2E" w:rsidRPr="004B4A70">
        <w:rPr>
          <w:rFonts w:cs="Times New Roman"/>
          <w:szCs w:val="24"/>
        </w:rPr>
        <w:t xml:space="preserve">misinterprets and </w:t>
      </w:r>
      <w:r w:rsidR="00A70FE5" w:rsidRPr="004B4A70">
        <w:rPr>
          <w:rFonts w:cs="Times New Roman"/>
          <w:szCs w:val="24"/>
        </w:rPr>
        <w:t xml:space="preserve">misapplies the </w:t>
      </w:r>
      <w:r w:rsidR="00DF2B2E" w:rsidRPr="004B4A70">
        <w:rPr>
          <w:rFonts w:cs="Times New Roman"/>
          <w:szCs w:val="24"/>
        </w:rPr>
        <w:t xml:space="preserve">regulatory </w:t>
      </w:r>
      <w:r w:rsidR="00A70FE5" w:rsidRPr="004B4A70">
        <w:rPr>
          <w:rFonts w:cs="Times New Roman"/>
          <w:szCs w:val="24"/>
        </w:rPr>
        <w:t>co</w:t>
      </w:r>
      <w:r w:rsidR="00B40868" w:rsidRPr="004B4A70">
        <w:rPr>
          <w:rFonts w:cs="Times New Roman"/>
          <w:szCs w:val="24"/>
        </w:rPr>
        <w:t>mpact</w:t>
      </w:r>
      <w:r w:rsidR="000A05A2" w:rsidRPr="004B4A70">
        <w:rPr>
          <w:rFonts w:cs="Times New Roman"/>
          <w:szCs w:val="24"/>
        </w:rPr>
        <w:t>.</w:t>
      </w:r>
    </w:p>
    <w:p w14:paraId="6C899843" w14:textId="77777777" w:rsidR="004B4A70" w:rsidRPr="004B4A70" w:rsidRDefault="004B4A70" w:rsidP="004B4A70">
      <w:pPr>
        <w:pStyle w:val="ListParagraph"/>
        <w:numPr>
          <w:ilvl w:val="0"/>
          <w:numId w:val="25"/>
        </w:numPr>
        <w:spacing w:line="480" w:lineRule="auto"/>
      </w:pPr>
      <w:r>
        <w:rPr>
          <w:rFonts w:cs="Times New Roman"/>
          <w:szCs w:val="24"/>
        </w:rPr>
        <w:tab/>
      </w:r>
      <w:r w:rsidR="007C3E1C" w:rsidRPr="004B4A70">
        <w:rPr>
          <w:rFonts w:cs="Times New Roman"/>
          <w:szCs w:val="24"/>
        </w:rPr>
        <w:t>T</w:t>
      </w:r>
      <w:r w:rsidR="00A70FE5" w:rsidRPr="004B4A70">
        <w:rPr>
          <w:rFonts w:cs="Times New Roman"/>
          <w:szCs w:val="24"/>
        </w:rPr>
        <w:t xml:space="preserve">he regulatory compact inheres in the manner in which </w:t>
      </w:r>
      <w:r w:rsidR="00DF2B2E" w:rsidRPr="004B4A70">
        <w:rPr>
          <w:rFonts w:cs="Times New Roman"/>
          <w:szCs w:val="24"/>
        </w:rPr>
        <w:t>investor-owned electric utilities are regulated in this country in general</w:t>
      </w:r>
      <w:r w:rsidR="00E36086" w:rsidRPr="004B4A70">
        <w:rPr>
          <w:rFonts w:cs="Times New Roman"/>
          <w:szCs w:val="24"/>
        </w:rPr>
        <w:t>,</w:t>
      </w:r>
      <w:r w:rsidR="00DF2B2E" w:rsidRPr="004B4A70">
        <w:rPr>
          <w:rFonts w:cs="Times New Roman"/>
          <w:szCs w:val="24"/>
        </w:rPr>
        <w:t xml:space="preserve"> and </w:t>
      </w:r>
      <w:r w:rsidR="00E36086" w:rsidRPr="004B4A70">
        <w:rPr>
          <w:rFonts w:cs="Times New Roman"/>
          <w:szCs w:val="24"/>
        </w:rPr>
        <w:t xml:space="preserve">regulated </w:t>
      </w:r>
      <w:r w:rsidR="00DF2B2E" w:rsidRPr="004B4A70">
        <w:rPr>
          <w:rFonts w:cs="Times New Roman"/>
          <w:szCs w:val="24"/>
        </w:rPr>
        <w:t xml:space="preserve">by </w:t>
      </w:r>
      <w:r w:rsidR="00FC72E0" w:rsidRPr="004B4A70">
        <w:rPr>
          <w:rFonts w:cs="Times New Roman"/>
          <w:szCs w:val="24"/>
        </w:rPr>
        <w:t xml:space="preserve">the Commission </w:t>
      </w:r>
      <w:r w:rsidR="00DF2B2E" w:rsidRPr="004B4A70">
        <w:rPr>
          <w:rFonts w:cs="Times New Roman"/>
          <w:szCs w:val="24"/>
        </w:rPr>
        <w:t>in particular</w:t>
      </w:r>
      <w:r w:rsidR="00A70FE5" w:rsidRPr="004B4A70">
        <w:rPr>
          <w:rFonts w:cs="Times New Roman"/>
          <w:szCs w:val="24"/>
        </w:rPr>
        <w:t xml:space="preserve">.  </w:t>
      </w:r>
      <w:r w:rsidR="00DF2B2E" w:rsidRPr="004B4A70">
        <w:rPr>
          <w:rFonts w:cs="Times New Roman"/>
          <w:szCs w:val="24"/>
        </w:rPr>
        <w:t>Like almost every other regulatory commission, t</w:t>
      </w:r>
      <w:r w:rsidR="00A70FE5" w:rsidRPr="004B4A70">
        <w:rPr>
          <w:rFonts w:cs="Times New Roman"/>
          <w:szCs w:val="24"/>
        </w:rPr>
        <w:t xml:space="preserve">he Commission regulates PSE based on </w:t>
      </w:r>
      <w:r w:rsidR="006466D8">
        <w:rPr>
          <w:rFonts w:cs="Times New Roman"/>
          <w:szCs w:val="24"/>
        </w:rPr>
        <w:t xml:space="preserve">the value of its </w:t>
      </w:r>
      <w:r w:rsidR="00A70FE5" w:rsidRPr="004B4A70">
        <w:rPr>
          <w:rFonts w:cs="Times New Roman"/>
          <w:szCs w:val="24"/>
        </w:rPr>
        <w:t>property the Company devotes to public service</w:t>
      </w:r>
      <w:r w:rsidR="004455D9">
        <w:rPr>
          <w:rFonts w:cs="Times New Roman"/>
          <w:szCs w:val="24"/>
        </w:rPr>
        <w:t>.</w:t>
      </w:r>
      <w:r w:rsidR="003D32F6">
        <w:rPr>
          <w:rFonts w:cs="Times New Roman"/>
          <w:szCs w:val="24"/>
        </w:rPr>
        <w:t xml:space="preserve">  Pursuant to the Commission’s valuation statute, RCW 80.04.250, </w:t>
      </w:r>
      <w:r w:rsidR="00B40868" w:rsidRPr="004B4A70">
        <w:rPr>
          <w:rFonts w:cs="Times New Roman"/>
          <w:szCs w:val="24"/>
        </w:rPr>
        <w:t>th</w:t>
      </w:r>
      <w:r w:rsidR="00FC72E0" w:rsidRPr="004B4A70">
        <w:rPr>
          <w:rFonts w:cs="Times New Roman"/>
          <w:szCs w:val="24"/>
        </w:rPr>
        <w:t xml:space="preserve">e Commission values </w:t>
      </w:r>
      <w:r w:rsidR="003D32F6">
        <w:rPr>
          <w:rFonts w:cs="Times New Roman"/>
          <w:szCs w:val="24"/>
        </w:rPr>
        <w:t xml:space="preserve">PSE’s </w:t>
      </w:r>
      <w:r w:rsidR="004455D9">
        <w:rPr>
          <w:rFonts w:cs="Times New Roman"/>
          <w:szCs w:val="24"/>
        </w:rPr>
        <w:t xml:space="preserve">utility </w:t>
      </w:r>
      <w:r w:rsidR="00B40868" w:rsidRPr="004B4A70">
        <w:rPr>
          <w:rFonts w:cs="Times New Roman"/>
          <w:szCs w:val="24"/>
        </w:rPr>
        <w:t>property</w:t>
      </w:r>
      <w:r w:rsidR="00C676E7">
        <w:rPr>
          <w:rFonts w:cs="Times New Roman"/>
          <w:szCs w:val="24"/>
        </w:rPr>
        <w:t xml:space="preserve"> </w:t>
      </w:r>
      <w:r w:rsidR="006466D8">
        <w:rPr>
          <w:rFonts w:cs="Times New Roman"/>
          <w:szCs w:val="24"/>
        </w:rPr>
        <w:t xml:space="preserve">(rate base) </w:t>
      </w:r>
      <w:r w:rsidR="00A70FE5" w:rsidRPr="004B4A70">
        <w:rPr>
          <w:rFonts w:cs="Times New Roman"/>
          <w:szCs w:val="24"/>
        </w:rPr>
        <w:t xml:space="preserve">at its original cost less </w:t>
      </w:r>
      <w:r w:rsidR="00A17E7A" w:rsidRPr="004B4A70">
        <w:rPr>
          <w:rFonts w:cs="Times New Roman"/>
          <w:szCs w:val="24"/>
        </w:rPr>
        <w:t xml:space="preserve">accumulated </w:t>
      </w:r>
      <w:r w:rsidR="00A70FE5" w:rsidRPr="004B4A70">
        <w:rPr>
          <w:rFonts w:cs="Times New Roman"/>
          <w:szCs w:val="24"/>
        </w:rPr>
        <w:t xml:space="preserve">depreciation, otherwise </w:t>
      </w:r>
      <w:r w:rsidR="00FC72E0" w:rsidRPr="004B4A70">
        <w:rPr>
          <w:rFonts w:cs="Times New Roman"/>
          <w:szCs w:val="24"/>
        </w:rPr>
        <w:t xml:space="preserve">referred to as </w:t>
      </w:r>
      <w:r w:rsidR="00B40868" w:rsidRPr="004B4A70">
        <w:rPr>
          <w:rFonts w:cs="Times New Roman"/>
          <w:szCs w:val="24"/>
        </w:rPr>
        <w:t>“</w:t>
      </w:r>
      <w:r w:rsidR="00A70FE5" w:rsidRPr="004B4A70">
        <w:rPr>
          <w:rFonts w:cs="Times New Roman"/>
          <w:szCs w:val="24"/>
        </w:rPr>
        <w:t>net book value.</w:t>
      </w:r>
      <w:r w:rsidR="00B40868" w:rsidRPr="004B4A70">
        <w:rPr>
          <w:rFonts w:cs="Times New Roman"/>
          <w:szCs w:val="24"/>
        </w:rPr>
        <w:t>”</w:t>
      </w:r>
      <w:r w:rsidR="003D32F6" w:rsidDel="003D32F6">
        <w:rPr>
          <w:rFonts w:cs="Times New Roman"/>
          <w:szCs w:val="24"/>
        </w:rPr>
        <w:t xml:space="preserve"> </w:t>
      </w:r>
    </w:p>
    <w:p w14:paraId="75A3362D" w14:textId="77777777" w:rsidR="004B4A70" w:rsidRPr="004B4A70" w:rsidRDefault="004B4A70" w:rsidP="004B4A70">
      <w:pPr>
        <w:pStyle w:val="ListParagraph"/>
        <w:numPr>
          <w:ilvl w:val="0"/>
          <w:numId w:val="25"/>
        </w:numPr>
        <w:spacing w:line="480" w:lineRule="auto"/>
      </w:pPr>
      <w:r>
        <w:rPr>
          <w:rFonts w:cs="Times New Roman"/>
          <w:szCs w:val="24"/>
        </w:rPr>
        <w:tab/>
      </w:r>
      <w:r w:rsidR="00E36086" w:rsidRPr="004B4A70">
        <w:rPr>
          <w:rFonts w:cs="Times New Roman"/>
          <w:szCs w:val="24"/>
        </w:rPr>
        <w:t>As a result, t</w:t>
      </w:r>
      <w:r w:rsidR="00B40868" w:rsidRPr="004B4A70">
        <w:rPr>
          <w:rFonts w:cs="Times New Roman"/>
          <w:szCs w:val="24"/>
        </w:rPr>
        <w:t xml:space="preserve">he Commission provides </w:t>
      </w:r>
      <w:r w:rsidR="00A70FE5" w:rsidRPr="004B4A70">
        <w:rPr>
          <w:rFonts w:cs="Times New Roman"/>
          <w:szCs w:val="24"/>
        </w:rPr>
        <w:t xml:space="preserve">PSE the opportunity to earn a fair return </w:t>
      </w:r>
      <w:r w:rsidR="00A17E7A" w:rsidRPr="004B4A70">
        <w:rPr>
          <w:rFonts w:cs="Times New Roman"/>
          <w:i/>
          <w:szCs w:val="24"/>
        </w:rPr>
        <w:t xml:space="preserve">on and </w:t>
      </w:r>
      <w:r w:rsidR="00A70FE5" w:rsidRPr="004B4A70">
        <w:rPr>
          <w:rFonts w:cs="Times New Roman"/>
          <w:i/>
          <w:szCs w:val="24"/>
        </w:rPr>
        <w:t>of</w:t>
      </w:r>
      <w:r w:rsidR="00A70FE5" w:rsidRPr="004B4A70">
        <w:rPr>
          <w:rFonts w:cs="Times New Roman"/>
          <w:szCs w:val="24"/>
        </w:rPr>
        <w:t xml:space="preserve"> </w:t>
      </w:r>
      <w:r w:rsidR="00C676E7">
        <w:rPr>
          <w:rFonts w:cs="Times New Roman"/>
          <w:szCs w:val="24"/>
        </w:rPr>
        <w:t>rate base</w:t>
      </w:r>
      <w:r w:rsidR="00B40868" w:rsidRPr="004B4A70">
        <w:rPr>
          <w:rFonts w:cs="Times New Roman"/>
          <w:szCs w:val="24"/>
        </w:rPr>
        <w:t>, no more and no less</w:t>
      </w:r>
      <w:r w:rsidR="00A70FE5" w:rsidRPr="004B4A70">
        <w:rPr>
          <w:rFonts w:cs="Times New Roman"/>
          <w:szCs w:val="24"/>
        </w:rPr>
        <w:t xml:space="preserve">. </w:t>
      </w:r>
      <w:r w:rsidR="00AA467B" w:rsidRPr="004B4A70">
        <w:rPr>
          <w:rFonts w:cs="Times New Roman"/>
          <w:szCs w:val="24"/>
        </w:rPr>
        <w:t xml:space="preserve"> </w:t>
      </w:r>
      <w:r w:rsidR="00FC72E0" w:rsidRPr="004B4A70">
        <w:rPr>
          <w:rFonts w:cs="Times New Roman"/>
          <w:szCs w:val="24"/>
        </w:rPr>
        <w:t>In this case, g</w:t>
      </w:r>
      <w:r w:rsidR="00AA467B" w:rsidRPr="004B4A70">
        <w:rPr>
          <w:rFonts w:cs="Times New Roman"/>
          <w:szCs w:val="24"/>
        </w:rPr>
        <w:t>iving PSE investors back the net book value of their investment is all the regulatory compact requires.</w:t>
      </w:r>
    </w:p>
    <w:p w14:paraId="116255A9" w14:textId="59274683" w:rsidR="002316F9" w:rsidRPr="006668FB" w:rsidRDefault="006668FB" w:rsidP="006668FB">
      <w:pPr>
        <w:pStyle w:val="ListParagraph"/>
        <w:numPr>
          <w:ilvl w:val="0"/>
          <w:numId w:val="25"/>
        </w:numPr>
        <w:spacing w:line="480" w:lineRule="auto"/>
        <w:rPr>
          <w:rFonts w:cs="Times New Roman"/>
          <w:szCs w:val="24"/>
        </w:rPr>
      </w:pPr>
      <w:r>
        <w:rPr>
          <w:rFonts w:cs="Times New Roman"/>
          <w:szCs w:val="24"/>
        </w:rPr>
        <w:tab/>
      </w:r>
      <w:r w:rsidR="003D32F6" w:rsidRPr="006668FB">
        <w:rPr>
          <w:rFonts w:cs="Times New Roman"/>
          <w:szCs w:val="24"/>
        </w:rPr>
        <w:t xml:space="preserve">Under the </w:t>
      </w:r>
      <w:r w:rsidR="00D82358" w:rsidRPr="006668FB">
        <w:rPr>
          <w:rFonts w:cs="Times New Roman"/>
          <w:szCs w:val="24"/>
        </w:rPr>
        <w:t>regulatory compact</w:t>
      </w:r>
      <w:r w:rsidR="003D32F6" w:rsidRPr="006668FB">
        <w:rPr>
          <w:rFonts w:cs="Times New Roman"/>
          <w:szCs w:val="24"/>
        </w:rPr>
        <w:t xml:space="preserve">, </w:t>
      </w:r>
      <w:r w:rsidR="00D82358" w:rsidRPr="006668FB">
        <w:rPr>
          <w:rFonts w:cs="Times New Roman"/>
          <w:szCs w:val="24"/>
        </w:rPr>
        <w:t xml:space="preserve">PSE customers </w:t>
      </w:r>
      <w:r w:rsidR="003D32F6" w:rsidRPr="006668FB">
        <w:rPr>
          <w:rFonts w:cs="Times New Roman"/>
          <w:szCs w:val="24"/>
        </w:rPr>
        <w:t xml:space="preserve">are called upon </w:t>
      </w:r>
      <w:r w:rsidR="00D82358" w:rsidRPr="006668FB">
        <w:rPr>
          <w:rFonts w:cs="Times New Roman"/>
          <w:szCs w:val="24"/>
        </w:rPr>
        <w:t>to pay rates that are sufficient to allow the Company to operate successfully, attract capital on reasonable terms and an opportunity to earn a fair return on the property it dedicates to public use</w:t>
      </w:r>
      <w:r w:rsidR="00C676E7" w:rsidRPr="006668FB">
        <w:rPr>
          <w:rFonts w:cs="Times New Roman"/>
          <w:szCs w:val="24"/>
        </w:rPr>
        <w:t xml:space="preserve">.  </w:t>
      </w:r>
      <w:r w:rsidR="00253296" w:rsidRPr="006668FB">
        <w:rPr>
          <w:rFonts w:cs="Times New Roman"/>
          <w:szCs w:val="24"/>
        </w:rPr>
        <w:t xml:space="preserve">As </w:t>
      </w:r>
      <w:r w:rsidR="00ED1372" w:rsidRPr="006668FB">
        <w:rPr>
          <w:rFonts w:cs="Times New Roman"/>
          <w:szCs w:val="24"/>
        </w:rPr>
        <w:t xml:space="preserve">concluded by </w:t>
      </w:r>
      <w:r w:rsidR="00253296" w:rsidRPr="006668FB">
        <w:rPr>
          <w:rFonts w:cs="Times New Roman"/>
          <w:szCs w:val="24"/>
        </w:rPr>
        <w:lastRenderedPageBreak/>
        <w:t>the</w:t>
      </w:r>
      <w:r w:rsidR="00ED1372" w:rsidRPr="006668FB">
        <w:rPr>
          <w:rFonts w:cs="Times New Roman"/>
          <w:szCs w:val="24"/>
        </w:rPr>
        <w:t xml:space="preserve"> federal Circuit Court of Appeals </w:t>
      </w:r>
      <w:r w:rsidR="00253296" w:rsidRPr="006668FB">
        <w:rPr>
          <w:rFonts w:cs="Times New Roman"/>
          <w:szCs w:val="24"/>
        </w:rPr>
        <w:t>in</w:t>
      </w:r>
      <w:r w:rsidR="001246E3" w:rsidRPr="006668FB">
        <w:rPr>
          <w:rFonts w:cs="Times New Roman"/>
          <w:szCs w:val="24"/>
        </w:rPr>
        <w:t xml:space="preserve"> </w:t>
      </w:r>
      <w:r w:rsidR="001246E3" w:rsidRPr="006668FB">
        <w:rPr>
          <w:i/>
        </w:rPr>
        <w:t>Democratic Central Committee</w:t>
      </w:r>
      <w:r w:rsidR="00ED1372" w:rsidRPr="006668FB">
        <w:rPr>
          <w:i/>
        </w:rPr>
        <w:t xml:space="preserve"> v. </w:t>
      </w:r>
      <w:r w:rsidR="00ED1372" w:rsidRPr="006668FB">
        <w:rPr>
          <w:rFonts w:eastAsia="Times New Roman" w:cs="Times New Roman"/>
          <w:i/>
          <w:szCs w:val="24"/>
        </w:rPr>
        <w:t>Washington Metropolitan Transit Area Authority Commission</w:t>
      </w:r>
      <w:r w:rsidR="00ED1372" w:rsidRPr="006668FB">
        <w:rPr>
          <w:rFonts w:eastAsia="Times New Roman" w:cs="Times New Roman"/>
          <w:szCs w:val="24"/>
        </w:rPr>
        <w:t>, 485 F.2d 786, 806 (D.C. Cir. 1973)</w:t>
      </w:r>
      <w:r w:rsidR="00F20D81" w:rsidRPr="006668FB">
        <w:rPr>
          <w:rFonts w:eastAsia="Times New Roman" w:cs="Times New Roman"/>
          <w:szCs w:val="24"/>
        </w:rPr>
        <w:t xml:space="preserve"> (</w:t>
      </w:r>
      <w:r w:rsidR="00F20D81" w:rsidRPr="006668FB">
        <w:rPr>
          <w:rFonts w:eastAsia="Times New Roman" w:cs="Times New Roman"/>
          <w:i/>
          <w:szCs w:val="24"/>
        </w:rPr>
        <w:t>Democratic Central Committee</w:t>
      </w:r>
      <w:r w:rsidR="00F20D81" w:rsidRPr="006668FB">
        <w:rPr>
          <w:rFonts w:eastAsia="Times New Roman" w:cs="Times New Roman"/>
          <w:szCs w:val="24"/>
        </w:rPr>
        <w:t>)</w:t>
      </w:r>
      <w:r w:rsidR="00253296" w:rsidRPr="006668FB">
        <w:rPr>
          <w:rFonts w:cs="Times New Roman"/>
          <w:szCs w:val="24"/>
        </w:rPr>
        <w:t xml:space="preserve">:  </w:t>
      </w:r>
      <w:r w:rsidR="00253296">
        <w:t>“… practice in the utility field has long imposed upon consumers substantial risks of loss and financial burden associated with assets employed in the utility business.”</w:t>
      </w:r>
      <w:r w:rsidR="00253296" w:rsidRPr="006668FB">
        <w:rPr>
          <w:rFonts w:cs="Times New Roman"/>
          <w:szCs w:val="24"/>
        </w:rPr>
        <w:t xml:space="preserve">  </w:t>
      </w:r>
    </w:p>
    <w:p w14:paraId="047CEADF" w14:textId="2209CFC9" w:rsidR="00ED1372" w:rsidRPr="004B4A70" w:rsidRDefault="006668FB" w:rsidP="006668FB">
      <w:pPr>
        <w:pStyle w:val="ListParagraph"/>
        <w:numPr>
          <w:ilvl w:val="0"/>
          <w:numId w:val="25"/>
        </w:numPr>
        <w:spacing w:line="480" w:lineRule="auto"/>
      </w:pPr>
      <w:r>
        <w:rPr>
          <w:rFonts w:cs="Times New Roman"/>
          <w:szCs w:val="24"/>
        </w:rPr>
        <w:tab/>
      </w:r>
      <w:r w:rsidR="00253296" w:rsidRPr="006668FB">
        <w:rPr>
          <w:rFonts w:cs="Times New Roman"/>
          <w:szCs w:val="24"/>
        </w:rPr>
        <w:t>W</w:t>
      </w:r>
      <w:r w:rsidR="00D82358" w:rsidRPr="006668FB">
        <w:rPr>
          <w:rFonts w:cs="Times New Roman"/>
          <w:szCs w:val="24"/>
        </w:rPr>
        <w:t>e explain more fully below</w:t>
      </w:r>
      <w:r w:rsidR="00253296" w:rsidRPr="006668FB">
        <w:rPr>
          <w:rFonts w:cs="Times New Roman"/>
          <w:szCs w:val="24"/>
        </w:rPr>
        <w:t xml:space="preserve"> how the regulatory practices in this state </w:t>
      </w:r>
      <w:r w:rsidR="00ED1372" w:rsidRPr="006668FB">
        <w:rPr>
          <w:rFonts w:cs="Times New Roman"/>
          <w:szCs w:val="24"/>
        </w:rPr>
        <w:t xml:space="preserve">more than </w:t>
      </w:r>
      <w:r w:rsidR="00253296" w:rsidRPr="006668FB">
        <w:rPr>
          <w:rFonts w:cs="Times New Roman"/>
          <w:szCs w:val="24"/>
        </w:rPr>
        <w:t>justify application of the court’s conclusion here.</w:t>
      </w:r>
      <w:r w:rsidR="00D82358" w:rsidRPr="006668FB">
        <w:rPr>
          <w:rFonts w:cs="Times New Roman"/>
          <w:szCs w:val="24"/>
        </w:rPr>
        <w:t xml:space="preserve">  </w:t>
      </w:r>
      <w:r w:rsidR="00253296" w:rsidRPr="006668FB">
        <w:rPr>
          <w:rFonts w:cs="Times New Roman"/>
          <w:szCs w:val="24"/>
        </w:rPr>
        <w:t>Accordingly</w:t>
      </w:r>
      <w:r w:rsidR="00D82358" w:rsidRPr="006668FB">
        <w:rPr>
          <w:rFonts w:cs="Times New Roman"/>
          <w:szCs w:val="24"/>
        </w:rPr>
        <w:t xml:space="preserve">, </w:t>
      </w:r>
      <w:r w:rsidR="00253296" w:rsidRPr="006668FB">
        <w:rPr>
          <w:rFonts w:cs="Times New Roman"/>
          <w:szCs w:val="24"/>
        </w:rPr>
        <w:t xml:space="preserve">PSE </w:t>
      </w:r>
      <w:r w:rsidR="00D82358" w:rsidRPr="006668FB">
        <w:rPr>
          <w:rFonts w:cs="Times New Roman"/>
          <w:szCs w:val="24"/>
        </w:rPr>
        <w:t>customers are entitled to the gain on sale of PSE’s Jefferson County distrib</w:t>
      </w:r>
      <w:r w:rsidR="004B4A70" w:rsidRPr="006668FB">
        <w:rPr>
          <w:rFonts w:cs="Times New Roman"/>
          <w:szCs w:val="24"/>
        </w:rPr>
        <w:t>ution system, not shareholders.</w:t>
      </w:r>
    </w:p>
    <w:p w14:paraId="474B2283" w14:textId="77777777" w:rsidR="004B4A70" w:rsidRDefault="004B4A70" w:rsidP="004B4A70">
      <w:pPr>
        <w:pStyle w:val="ListParagraph"/>
        <w:numPr>
          <w:ilvl w:val="0"/>
          <w:numId w:val="25"/>
        </w:numPr>
        <w:spacing w:line="480" w:lineRule="auto"/>
      </w:pPr>
      <w:r>
        <w:rPr>
          <w:rFonts w:cs="Times New Roman"/>
          <w:szCs w:val="24"/>
        </w:rPr>
        <w:tab/>
      </w:r>
      <w:r w:rsidR="00404DB2">
        <w:rPr>
          <w:rFonts w:cs="Times New Roman"/>
          <w:szCs w:val="24"/>
        </w:rPr>
        <w:t>Put another way</w:t>
      </w:r>
      <w:r w:rsidR="00EC1B4A" w:rsidRPr="004B4A70">
        <w:rPr>
          <w:rFonts w:cs="Times New Roman"/>
          <w:szCs w:val="24"/>
        </w:rPr>
        <w:t xml:space="preserve">, </w:t>
      </w:r>
      <w:r w:rsidR="00404DB2">
        <w:rPr>
          <w:rFonts w:cs="Times New Roman"/>
          <w:szCs w:val="24"/>
        </w:rPr>
        <w:t xml:space="preserve">while </w:t>
      </w:r>
      <w:r w:rsidR="00EC1B4A">
        <w:t>PSE agrees that “risk should follow reward” and that those who bear the “risk of ownership” are entitled to the gain</w:t>
      </w:r>
      <w:r w:rsidR="00404DB2">
        <w:t>,</w:t>
      </w:r>
      <w:r w:rsidR="00EC1B4A">
        <w:rPr>
          <w:rStyle w:val="FootnoteReference"/>
        </w:rPr>
        <w:footnoteReference w:id="34"/>
      </w:r>
      <w:r w:rsidR="00EC1B4A">
        <w:t xml:space="preserve"> PSE is simply wrong that shareholders bear </w:t>
      </w:r>
      <w:r w:rsidR="004455D9">
        <w:t>that</w:t>
      </w:r>
      <w:r w:rsidR="00EC1B4A">
        <w:t xml:space="preserve"> risk.  </w:t>
      </w:r>
      <w:r w:rsidR="004455D9">
        <w:t>Rather, i</w:t>
      </w:r>
      <w:r w:rsidR="00EC1B4A">
        <w:t xml:space="preserve">t is customers who </w:t>
      </w:r>
      <w:r w:rsidR="00C676E7">
        <w:t>bear</w:t>
      </w:r>
      <w:r w:rsidR="00EC1B4A">
        <w:t xml:space="preserve"> th</w:t>
      </w:r>
      <w:r w:rsidR="00253296">
        <w:t xml:space="preserve">at risk </w:t>
      </w:r>
      <w:r w:rsidR="00EC1B4A">
        <w:t>and therefore</w:t>
      </w:r>
      <w:r w:rsidR="00404DB2">
        <w:t>,</w:t>
      </w:r>
      <w:r w:rsidR="00EC1B4A">
        <w:t xml:space="preserve"> it is customers who a</w:t>
      </w:r>
      <w:r>
        <w:t>re entitled to the gain on sale.</w:t>
      </w:r>
    </w:p>
    <w:p w14:paraId="2877C998" w14:textId="77777777" w:rsidR="004B4A70" w:rsidRPr="00337089" w:rsidRDefault="004B4A70" w:rsidP="004B4A70">
      <w:pPr>
        <w:spacing w:line="480" w:lineRule="auto"/>
        <w:ind w:left="1440" w:hanging="720"/>
        <w:rPr>
          <w:rFonts w:cs="Times New Roman"/>
          <w:b/>
          <w:szCs w:val="24"/>
        </w:rPr>
      </w:pPr>
      <w:r>
        <w:rPr>
          <w:rFonts w:cs="Times New Roman"/>
          <w:b/>
          <w:szCs w:val="24"/>
        </w:rPr>
        <w:t>1.</w:t>
      </w:r>
      <w:r>
        <w:rPr>
          <w:rFonts w:cs="Times New Roman"/>
          <w:b/>
          <w:szCs w:val="24"/>
        </w:rPr>
        <w:tab/>
      </w:r>
      <w:r w:rsidRPr="00337089">
        <w:rPr>
          <w:rFonts w:cs="Times New Roman"/>
          <w:b/>
          <w:szCs w:val="24"/>
        </w:rPr>
        <w:t>The Regulatory Compact</w:t>
      </w:r>
    </w:p>
    <w:p w14:paraId="167D8312" w14:textId="0F5D0AFB" w:rsidR="004B4A70" w:rsidRDefault="004B4A70" w:rsidP="004B4A70">
      <w:pPr>
        <w:pStyle w:val="ListParagraph"/>
        <w:numPr>
          <w:ilvl w:val="0"/>
          <w:numId w:val="25"/>
        </w:numPr>
        <w:spacing w:line="480" w:lineRule="auto"/>
      </w:pPr>
      <w:r>
        <w:rPr>
          <w:rFonts w:cs="Times New Roman"/>
          <w:szCs w:val="24"/>
        </w:rPr>
        <w:tab/>
      </w:r>
      <w:r w:rsidR="0099426C" w:rsidRPr="004B4A70">
        <w:rPr>
          <w:rFonts w:cs="Times New Roman"/>
          <w:szCs w:val="24"/>
        </w:rPr>
        <w:t>T</w:t>
      </w:r>
      <w:r w:rsidR="00B40868" w:rsidRPr="004B4A70">
        <w:rPr>
          <w:rFonts w:cs="Times New Roman"/>
          <w:szCs w:val="24"/>
        </w:rPr>
        <w:t xml:space="preserve">he regulatory compact </w:t>
      </w:r>
      <w:r w:rsidR="00E77E90" w:rsidRPr="004B4A70">
        <w:rPr>
          <w:rFonts w:cs="Times New Roman"/>
          <w:szCs w:val="24"/>
        </w:rPr>
        <w:t xml:space="preserve">is </w:t>
      </w:r>
      <w:r w:rsidR="0099426C" w:rsidRPr="004B4A70">
        <w:rPr>
          <w:rFonts w:cs="Times New Roman"/>
          <w:szCs w:val="24"/>
        </w:rPr>
        <w:t xml:space="preserve">described </w:t>
      </w:r>
      <w:r w:rsidR="00E77E90" w:rsidRPr="004B4A70">
        <w:rPr>
          <w:rFonts w:cs="Times New Roman"/>
          <w:szCs w:val="24"/>
        </w:rPr>
        <w:t xml:space="preserve">in two landmark decisions by the </w:t>
      </w:r>
      <w:r w:rsidR="00B40868" w:rsidRPr="004B4A70">
        <w:rPr>
          <w:rFonts w:cs="Times New Roman"/>
          <w:szCs w:val="24"/>
        </w:rPr>
        <w:t>United States Supreme Court</w:t>
      </w:r>
      <w:r w:rsidR="00E77E90" w:rsidRPr="004B4A70">
        <w:rPr>
          <w:rFonts w:cs="Times New Roman"/>
          <w:szCs w:val="24"/>
        </w:rPr>
        <w:t xml:space="preserve">: </w:t>
      </w:r>
      <w:r w:rsidR="00B40868" w:rsidRPr="004B4A70">
        <w:rPr>
          <w:rFonts w:cs="Times New Roman"/>
          <w:szCs w:val="24"/>
        </w:rPr>
        <w:t xml:space="preserve"> </w:t>
      </w:r>
      <w:r w:rsidR="00DF2B2E" w:rsidRPr="004B4A70">
        <w:rPr>
          <w:i/>
        </w:rPr>
        <w:t>Federal Power Commission v. Hope Natural Gas Co.</w:t>
      </w:r>
      <w:r w:rsidR="00D754CC">
        <w:rPr>
          <w:rStyle w:val="FootnoteReference"/>
          <w:i/>
        </w:rPr>
        <w:footnoteReference w:id="35"/>
      </w:r>
      <w:r w:rsidR="00DF2B2E">
        <w:t>(</w:t>
      </w:r>
      <w:r w:rsidR="00DF2B2E" w:rsidRPr="004B4A70">
        <w:rPr>
          <w:i/>
        </w:rPr>
        <w:t>Hope</w:t>
      </w:r>
      <w:r w:rsidR="00DF2B2E">
        <w:t xml:space="preserve">) and </w:t>
      </w:r>
      <w:r w:rsidR="00DF2B2E" w:rsidRPr="004B4A70">
        <w:rPr>
          <w:i/>
        </w:rPr>
        <w:t>Bluefield Water Works</w:t>
      </w:r>
      <w:r w:rsidR="000A3F5E" w:rsidRPr="004B4A70">
        <w:rPr>
          <w:i/>
        </w:rPr>
        <w:t xml:space="preserve"> &amp; Improvement Co. v. Public Service Commission</w:t>
      </w:r>
      <w:r w:rsidR="00D754CC">
        <w:rPr>
          <w:rStyle w:val="FootnoteReference"/>
          <w:i/>
        </w:rPr>
        <w:footnoteReference w:id="36"/>
      </w:r>
      <w:r w:rsidR="000A3F5E" w:rsidRPr="004B4A70">
        <w:rPr>
          <w:i/>
        </w:rPr>
        <w:t xml:space="preserve"> </w:t>
      </w:r>
      <w:r w:rsidR="000A3F5E">
        <w:t>(</w:t>
      </w:r>
      <w:r w:rsidR="000A3F5E" w:rsidRPr="004B4A70">
        <w:rPr>
          <w:i/>
        </w:rPr>
        <w:t>Bluefield</w:t>
      </w:r>
      <w:r w:rsidR="000A3F5E">
        <w:t>).</w:t>
      </w:r>
    </w:p>
    <w:p w14:paraId="6819FB84" w14:textId="77777777" w:rsidR="004B4A70" w:rsidRDefault="004B4A70" w:rsidP="004B4A70">
      <w:pPr>
        <w:pStyle w:val="ListParagraph"/>
        <w:numPr>
          <w:ilvl w:val="0"/>
          <w:numId w:val="25"/>
        </w:numPr>
        <w:spacing w:line="480" w:lineRule="auto"/>
      </w:pPr>
      <w:r>
        <w:tab/>
      </w:r>
      <w:r w:rsidR="00BC5691">
        <w:t xml:space="preserve">In </w:t>
      </w:r>
      <w:r w:rsidR="00BC5691" w:rsidRPr="004B4A70">
        <w:rPr>
          <w:i/>
        </w:rPr>
        <w:t xml:space="preserve">Bluefield, </w:t>
      </w:r>
      <w:r w:rsidR="00BC5691">
        <w:t xml:space="preserve">the Court recognized that a public utility was not like a competitive venture, and </w:t>
      </w:r>
      <w:r w:rsidR="00AE07C7">
        <w:t xml:space="preserve">should </w:t>
      </w:r>
      <w:r w:rsidR="00BC5691">
        <w:t xml:space="preserve">not be regulated as such.  </w:t>
      </w:r>
      <w:r w:rsidR="00163581">
        <w:t>This is consistent with PSE’s testimony that “PSE is not a competitive business</w:t>
      </w:r>
      <w:r w:rsidR="00D82358">
        <w:t xml:space="preserve"> </w:t>
      </w:r>
      <w:r w:rsidR="00163581">
        <w:t>… It is a regulated monopoly.”</w:t>
      </w:r>
      <w:r w:rsidR="00163581">
        <w:rPr>
          <w:rStyle w:val="FootnoteReference"/>
        </w:rPr>
        <w:footnoteReference w:id="37"/>
      </w:r>
      <w:r w:rsidR="00163581">
        <w:t xml:space="preserve">  </w:t>
      </w:r>
      <w:r w:rsidR="00E36086">
        <w:t>T</w:t>
      </w:r>
      <w:r w:rsidR="00163581">
        <w:t xml:space="preserve">he </w:t>
      </w:r>
      <w:r w:rsidR="00E36086" w:rsidRPr="004B4A70">
        <w:rPr>
          <w:i/>
        </w:rPr>
        <w:t xml:space="preserve">Bluefield </w:t>
      </w:r>
      <w:r w:rsidR="00163581">
        <w:t xml:space="preserve">Court also observed that a </w:t>
      </w:r>
      <w:r w:rsidR="00BC5691">
        <w:t xml:space="preserve">public utility </w:t>
      </w:r>
      <w:r w:rsidR="00163581">
        <w:t xml:space="preserve">is </w:t>
      </w:r>
      <w:r w:rsidR="00BC5691">
        <w:t>entitled to reasonable treatment of its capital</w:t>
      </w:r>
      <w:r w:rsidR="00404DB2">
        <w:t>,</w:t>
      </w:r>
      <w:r w:rsidR="00BC5691">
        <w:t xml:space="preserve"> </w:t>
      </w:r>
      <w:r w:rsidR="00163581">
        <w:t xml:space="preserve">to the end that the utility </w:t>
      </w:r>
      <w:r w:rsidR="00BC5691">
        <w:t xml:space="preserve">could be creditworthy and </w:t>
      </w:r>
      <w:r w:rsidR="00163581">
        <w:t xml:space="preserve">could </w:t>
      </w:r>
      <w:r w:rsidR="00BC5691">
        <w:t>properly discharge its pubic duties:</w:t>
      </w:r>
    </w:p>
    <w:p w14:paraId="47D2D6B6" w14:textId="77777777" w:rsidR="004455D9" w:rsidRDefault="004B4A70" w:rsidP="004455D9">
      <w:pPr>
        <w:shd w:val="clear" w:color="auto" w:fill="FFFFFF"/>
        <w:ind w:left="720"/>
        <w:jc w:val="both"/>
      </w:pPr>
      <w:r w:rsidRPr="00BC5691">
        <w:rPr>
          <w:rFonts w:eastAsia="Times New Roman" w:cs="Times New Roman"/>
          <w:szCs w:val="24"/>
          <w:lang w:val="en"/>
        </w:rPr>
        <w:lastRenderedPageBreak/>
        <w:t>A public utility is entitled to such rates as will permit it to earn a return on the value of the property which it employs for the convenience of the public equal to that generally being made at the same time and in the same general part of the country on investments in other business undertakings which are attended by corresponding, risks and uncertainties, but it has no constitutional right to profits such as are realized or anticipated in highly profitable enterprises or speculative ventures. The return should be reasonably sufficient to assure confidence in the financial soundness of the utility, and should be adequate, under efficient and economical management, to maintain and support its credit and enable it to raise the money necessary for the proper discharge of its public duties.</w:t>
      </w:r>
      <w:r>
        <w:rPr>
          <w:rStyle w:val="FootnoteReference"/>
          <w:rFonts w:eastAsia="Times New Roman" w:cs="Times New Roman"/>
          <w:szCs w:val="24"/>
          <w:lang w:val="en"/>
        </w:rPr>
        <w:footnoteReference w:id="38"/>
      </w:r>
      <w:r>
        <w:rPr>
          <w:rFonts w:eastAsia="Times New Roman" w:cs="Times New Roman"/>
          <w:szCs w:val="24"/>
          <w:lang w:val="en"/>
        </w:rPr>
        <w:t xml:space="preserve">  </w:t>
      </w:r>
    </w:p>
    <w:p w14:paraId="7E83E333" w14:textId="77777777" w:rsidR="004455D9" w:rsidRDefault="004455D9" w:rsidP="004455D9">
      <w:pPr>
        <w:pStyle w:val="ListParagraph"/>
        <w:ind w:left="0"/>
      </w:pPr>
    </w:p>
    <w:p w14:paraId="24B008A0" w14:textId="77777777" w:rsidR="004B4A70" w:rsidRPr="004B4A70" w:rsidRDefault="004455D9" w:rsidP="004455D9">
      <w:pPr>
        <w:pStyle w:val="ListParagraph"/>
        <w:numPr>
          <w:ilvl w:val="0"/>
          <w:numId w:val="25"/>
        </w:numPr>
        <w:spacing w:line="480" w:lineRule="auto"/>
      </w:pPr>
      <w:r>
        <w:tab/>
      </w:r>
      <w:r w:rsidR="00BC5691" w:rsidRPr="004B4A70">
        <w:rPr>
          <w:rFonts w:cs="Times New Roman"/>
          <w:szCs w:val="24"/>
        </w:rPr>
        <w:t xml:space="preserve">Later, in </w:t>
      </w:r>
      <w:r w:rsidR="00BC5691" w:rsidRPr="004B4A70">
        <w:rPr>
          <w:rFonts w:cs="Times New Roman"/>
          <w:i/>
          <w:szCs w:val="24"/>
        </w:rPr>
        <w:t>Hope</w:t>
      </w:r>
      <w:r w:rsidR="00BC5691" w:rsidRPr="004B4A70">
        <w:rPr>
          <w:rFonts w:cs="Times New Roman"/>
          <w:szCs w:val="24"/>
        </w:rPr>
        <w:t>, the Court emphasized that regulation needed to “enable the company to operate successfully, to maintain its financial integrity, to attract capital, and to compensate investors for the risks assumed …</w:t>
      </w:r>
      <w:r w:rsidR="004B4A70">
        <w:rPr>
          <w:rFonts w:cs="Times New Roman"/>
          <w:szCs w:val="24"/>
        </w:rPr>
        <w:t>.</w:t>
      </w:r>
      <w:r w:rsidR="00BC5691" w:rsidRPr="004B4A70">
        <w:rPr>
          <w:rFonts w:cs="Times New Roman"/>
          <w:szCs w:val="24"/>
        </w:rPr>
        <w:t>”</w:t>
      </w:r>
      <w:r w:rsidR="00BC5691">
        <w:rPr>
          <w:rStyle w:val="FootnoteReference"/>
          <w:rFonts w:cs="Times New Roman"/>
          <w:szCs w:val="24"/>
        </w:rPr>
        <w:footnoteReference w:id="39"/>
      </w:r>
    </w:p>
    <w:p w14:paraId="1047A796" w14:textId="7F7AEC23" w:rsidR="004B4A70" w:rsidRDefault="004B4A70" w:rsidP="004B4A70">
      <w:pPr>
        <w:pStyle w:val="ListParagraph"/>
        <w:numPr>
          <w:ilvl w:val="0"/>
          <w:numId w:val="25"/>
        </w:numPr>
        <w:spacing w:line="480" w:lineRule="auto"/>
      </w:pPr>
      <w:r>
        <w:rPr>
          <w:rFonts w:cs="Times New Roman"/>
          <w:szCs w:val="24"/>
        </w:rPr>
        <w:tab/>
      </w:r>
      <w:r w:rsidR="0061431A" w:rsidRPr="004B4A70">
        <w:rPr>
          <w:rFonts w:cs="Times New Roman"/>
          <w:szCs w:val="24"/>
        </w:rPr>
        <w:t xml:space="preserve">Between the </w:t>
      </w:r>
      <w:r w:rsidR="001246E3">
        <w:rPr>
          <w:rFonts w:cs="Times New Roman"/>
          <w:szCs w:val="24"/>
        </w:rPr>
        <w:t xml:space="preserve">Court’s decisions in </w:t>
      </w:r>
      <w:r w:rsidR="0061431A" w:rsidRPr="004B4A70">
        <w:rPr>
          <w:rFonts w:cs="Times New Roman"/>
          <w:i/>
          <w:szCs w:val="24"/>
        </w:rPr>
        <w:t xml:space="preserve">Bluefield </w:t>
      </w:r>
      <w:r w:rsidR="0061431A" w:rsidRPr="004B4A70">
        <w:rPr>
          <w:rFonts w:cs="Times New Roman"/>
          <w:szCs w:val="24"/>
        </w:rPr>
        <w:t xml:space="preserve">(1923) and </w:t>
      </w:r>
      <w:r w:rsidR="0061431A" w:rsidRPr="004B4A70">
        <w:rPr>
          <w:rFonts w:cs="Times New Roman"/>
          <w:i/>
          <w:szCs w:val="24"/>
        </w:rPr>
        <w:t xml:space="preserve">Hope </w:t>
      </w:r>
      <w:r w:rsidR="0061431A" w:rsidRPr="004B4A70">
        <w:rPr>
          <w:rFonts w:cs="Times New Roman"/>
          <w:szCs w:val="24"/>
        </w:rPr>
        <w:t xml:space="preserve">(1944), </w:t>
      </w:r>
      <w:r w:rsidR="00AA467B">
        <w:t xml:space="preserve">there was considerable debate about how a regulatory agency </w:t>
      </w:r>
      <w:r w:rsidR="0099426C">
        <w:t xml:space="preserve">lawfully </w:t>
      </w:r>
      <w:r w:rsidR="00AA467B">
        <w:t xml:space="preserve">could </w:t>
      </w:r>
      <w:r w:rsidR="00F20D81">
        <w:t>value</w:t>
      </w:r>
      <w:r w:rsidR="00AA467B">
        <w:t xml:space="preserve"> the rate base for ratemaking purposes.  </w:t>
      </w:r>
      <w:r w:rsidR="0061431A">
        <w:t xml:space="preserve">However, in </w:t>
      </w:r>
      <w:r w:rsidR="0061431A" w:rsidRPr="004B4A70">
        <w:rPr>
          <w:i/>
        </w:rPr>
        <w:t xml:space="preserve">Hope, </w:t>
      </w:r>
      <w:r w:rsidR="0061431A">
        <w:t xml:space="preserve">the </w:t>
      </w:r>
      <w:r w:rsidR="00AA467B">
        <w:t xml:space="preserve">Court </w:t>
      </w:r>
      <w:r w:rsidR="00CD1919">
        <w:t>“</w:t>
      </w:r>
      <w:r w:rsidR="00AA467B">
        <w:t>cleared the air</w:t>
      </w:r>
      <w:r w:rsidR="00CD1919">
        <w:t>”</w:t>
      </w:r>
      <w:r w:rsidR="00AA467B">
        <w:t xml:space="preserve"> by expressly approving original cost less depreciation (</w:t>
      </w:r>
      <w:r w:rsidR="00AA467B" w:rsidRPr="004B4A70">
        <w:rPr>
          <w:i/>
        </w:rPr>
        <w:t>i.e</w:t>
      </w:r>
      <w:r w:rsidR="00AA467B">
        <w:t>., net book value) as an appropriate valuation method</w:t>
      </w:r>
      <w:r w:rsidR="00C676E7">
        <w:t xml:space="preserve"> for </w:t>
      </w:r>
      <w:r w:rsidR="00404DB2">
        <w:t>utility property devoted to public use</w:t>
      </w:r>
      <w:r w:rsidR="00AA467B">
        <w:t xml:space="preserve">: </w:t>
      </w:r>
      <w:r w:rsidR="0061431A">
        <w:t xml:space="preserve"> </w:t>
      </w:r>
      <w:r w:rsidR="00AA467B">
        <w:t>“By such a procedure [valuing rate base at net book value] the utility is made whole and the integrity of its investment is maintained.”</w:t>
      </w:r>
      <w:r w:rsidR="001246E3">
        <w:rPr>
          <w:rStyle w:val="FootnoteReference"/>
        </w:rPr>
        <w:footnoteReference w:id="40"/>
      </w:r>
    </w:p>
    <w:p w14:paraId="27F4E795" w14:textId="17C5AC55" w:rsidR="004B4A70" w:rsidRDefault="004B4A70" w:rsidP="004B4A70">
      <w:pPr>
        <w:pStyle w:val="ListParagraph"/>
        <w:numPr>
          <w:ilvl w:val="0"/>
          <w:numId w:val="25"/>
        </w:numPr>
        <w:spacing w:line="480" w:lineRule="auto"/>
      </w:pPr>
      <w:r>
        <w:tab/>
      </w:r>
      <w:r w:rsidR="00BE6628">
        <w:t xml:space="preserve">Accordingly, </w:t>
      </w:r>
      <w:r w:rsidR="002316F9">
        <w:t xml:space="preserve">the standard form of regulation in this country is based on </w:t>
      </w:r>
      <w:r w:rsidR="0061431A">
        <w:t>valu</w:t>
      </w:r>
      <w:r w:rsidR="00A17E7A">
        <w:t>ing</w:t>
      </w:r>
      <w:r w:rsidR="0099426C">
        <w:t xml:space="preserve"> utility property</w:t>
      </w:r>
      <w:r w:rsidR="001246E3">
        <w:t xml:space="preserve"> </w:t>
      </w:r>
      <w:r w:rsidR="00A17E7A">
        <w:t>on the ba</w:t>
      </w:r>
      <w:r w:rsidR="000A05A2">
        <w:t>s</w:t>
      </w:r>
      <w:r w:rsidR="00A17E7A">
        <w:t>is of net book</w:t>
      </w:r>
      <w:r w:rsidR="000E3CEA">
        <w:t xml:space="preserve"> value</w:t>
      </w:r>
      <w:r w:rsidR="0099426C">
        <w:t xml:space="preserve">.  </w:t>
      </w:r>
      <w:r w:rsidR="00AE07C7">
        <w:t xml:space="preserve">As </w:t>
      </w:r>
      <w:r w:rsidR="00BE6628">
        <w:t xml:space="preserve">Mr. Goodman describes in his treatise, utility regulation based on </w:t>
      </w:r>
      <w:r w:rsidR="00AE07C7">
        <w:t xml:space="preserve">the net book value </w:t>
      </w:r>
      <w:r w:rsidR="00BE6628">
        <w:t xml:space="preserve">of utility property </w:t>
      </w:r>
      <w:r w:rsidR="0099426C">
        <w:t xml:space="preserve">is used </w:t>
      </w:r>
      <w:r w:rsidR="0061431A">
        <w:t xml:space="preserve">by the Federal Energy Regulatory Commission (and its predecessor, the Federal Power Commission), and all but a “handful of states.”  Leonard Saul Goodman, </w:t>
      </w:r>
      <w:r w:rsidR="0061431A" w:rsidRPr="004B4A70">
        <w:rPr>
          <w:i/>
        </w:rPr>
        <w:t xml:space="preserve">The Process of Ratemaking </w:t>
      </w:r>
      <w:r w:rsidR="0061431A">
        <w:t xml:space="preserve">(1998) at 777-782.  </w:t>
      </w:r>
      <w:r w:rsidR="0099426C">
        <w:lastRenderedPageBreak/>
        <w:t>Simply put, n</w:t>
      </w:r>
      <w:r w:rsidR="0061431A">
        <w:t xml:space="preserve">et book value </w:t>
      </w:r>
      <w:r w:rsidR="00BE6628">
        <w:t>is</w:t>
      </w:r>
      <w:r w:rsidR="0061431A">
        <w:t xml:space="preserve"> the bedrock of </w:t>
      </w:r>
      <w:r w:rsidR="0099426C">
        <w:t>shareholder</w:t>
      </w:r>
      <w:r w:rsidR="0061431A">
        <w:t xml:space="preserve"> expectations regarding treatment of </w:t>
      </w:r>
      <w:r w:rsidR="0099426C">
        <w:t xml:space="preserve">the </w:t>
      </w:r>
      <w:r w:rsidR="0061431A">
        <w:t xml:space="preserve">capital </w:t>
      </w:r>
      <w:r w:rsidR="0099426C">
        <w:t xml:space="preserve">they </w:t>
      </w:r>
      <w:r w:rsidR="0061431A">
        <w:t>invest in utility property.</w:t>
      </w:r>
    </w:p>
    <w:p w14:paraId="7964FA8B" w14:textId="03E4A299" w:rsidR="004B4A70" w:rsidRDefault="00253296" w:rsidP="004B4A70">
      <w:pPr>
        <w:pStyle w:val="ListParagraph"/>
        <w:numPr>
          <w:ilvl w:val="0"/>
          <w:numId w:val="25"/>
        </w:numPr>
        <w:spacing w:line="480" w:lineRule="auto"/>
      </w:pPr>
      <w:r>
        <w:tab/>
      </w:r>
      <w:r w:rsidR="001246E3">
        <w:t>T</w:t>
      </w:r>
      <w:r w:rsidR="00860FE6">
        <w:t xml:space="preserve">he </w:t>
      </w:r>
      <w:r w:rsidR="00D754CC">
        <w:t xml:space="preserve">federal Circuit Court of Appeals </w:t>
      </w:r>
      <w:r w:rsidR="00860FE6">
        <w:t xml:space="preserve">in </w:t>
      </w:r>
      <w:r w:rsidR="00860FE6">
        <w:rPr>
          <w:i/>
        </w:rPr>
        <w:t>Democratic Central Committee</w:t>
      </w:r>
      <w:r w:rsidR="00D754CC">
        <w:rPr>
          <w:i/>
        </w:rPr>
        <w:t xml:space="preserve"> </w:t>
      </w:r>
      <w:r w:rsidR="001246E3">
        <w:t xml:space="preserve">identified </w:t>
      </w:r>
      <w:r w:rsidR="00ED1372">
        <w:t xml:space="preserve">one important </w:t>
      </w:r>
      <w:r w:rsidR="001246E3">
        <w:t>consequence of this long-standing form of regulation based on net book value of utility property</w:t>
      </w:r>
      <w:r w:rsidR="00860FE6">
        <w:t>:  “it is now clear that the utility is not entitled to have its rate base established at the value which the assets would command on the current market, although that market value exceeds original cost.  This can mean only that the investors’ legally protected interest in such assets does not inexorably extend to the increment in value.”</w:t>
      </w:r>
      <w:r w:rsidR="00860FE6">
        <w:rPr>
          <w:rStyle w:val="FootnoteReference"/>
        </w:rPr>
        <w:footnoteReference w:id="41"/>
      </w:r>
      <w:r w:rsidR="00860FE6">
        <w:t xml:space="preserve">  </w:t>
      </w:r>
    </w:p>
    <w:p w14:paraId="31ECA846" w14:textId="77777777" w:rsidR="004B4A70" w:rsidRPr="005D31D1" w:rsidRDefault="005D31D1" w:rsidP="00F0396C">
      <w:pPr>
        <w:ind w:left="2160" w:hanging="720"/>
        <w:rPr>
          <w:b/>
        </w:rPr>
      </w:pPr>
      <w:r>
        <w:rPr>
          <w:b/>
        </w:rPr>
        <w:t>a</w:t>
      </w:r>
      <w:r w:rsidR="004B4A70" w:rsidRPr="005D31D1">
        <w:rPr>
          <w:b/>
        </w:rPr>
        <w:t>.</w:t>
      </w:r>
      <w:r w:rsidR="004B4A70" w:rsidRPr="005D31D1">
        <w:rPr>
          <w:b/>
        </w:rPr>
        <w:tab/>
        <w:t xml:space="preserve">Consistent with </w:t>
      </w:r>
      <w:r w:rsidR="004B4A70" w:rsidRPr="005D31D1">
        <w:rPr>
          <w:b/>
          <w:i/>
        </w:rPr>
        <w:t>Hope</w:t>
      </w:r>
      <w:r w:rsidR="00F0396C">
        <w:rPr>
          <w:b/>
        </w:rPr>
        <w:t xml:space="preserve"> and the </w:t>
      </w:r>
      <w:r w:rsidR="00430D6A">
        <w:rPr>
          <w:b/>
        </w:rPr>
        <w:t>R</w:t>
      </w:r>
      <w:r w:rsidR="00F0396C">
        <w:rPr>
          <w:b/>
        </w:rPr>
        <w:t xml:space="preserve">egulatory </w:t>
      </w:r>
      <w:r w:rsidR="00430D6A">
        <w:rPr>
          <w:b/>
        </w:rPr>
        <w:t>C</w:t>
      </w:r>
      <w:r w:rsidR="00F0396C">
        <w:rPr>
          <w:b/>
        </w:rPr>
        <w:t xml:space="preserve">ompact, </w:t>
      </w:r>
      <w:r w:rsidR="004B4A70" w:rsidRPr="005D31D1">
        <w:rPr>
          <w:b/>
        </w:rPr>
        <w:t>the Commission Consistently Has Regulated PSE Based on the Net Book Value of its Utility Property</w:t>
      </w:r>
    </w:p>
    <w:p w14:paraId="5F004FFB" w14:textId="77777777" w:rsidR="004B4A70" w:rsidRDefault="004B4A70" w:rsidP="004B4A70">
      <w:pPr>
        <w:ind w:left="720" w:hanging="720"/>
        <w:rPr>
          <w:b/>
        </w:rPr>
      </w:pPr>
    </w:p>
    <w:p w14:paraId="2A09461F" w14:textId="77777777" w:rsidR="004B4A70" w:rsidRDefault="004B4A70" w:rsidP="004B4A70">
      <w:pPr>
        <w:pStyle w:val="ListParagraph"/>
        <w:numPr>
          <w:ilvl w:val="0"/>
          <w:numId w:val="25"/>
        </w:numPr>
        <w:spacing w:line="480" w:lineRule="auto"/>
      </w:pPr>
      <w:r>
        <w:tab/>
      </w:r>
      <w:r w:rsidR="0099426C">
        <w:t>Like</w:t>
      </w:r>
      <w:r w:rsidR="0061431A">
        <w:t xml:space="preserve"> the vast majority of jurisdictions in this country, </w:t>
      </w:r>
      <w:r w:rsidR="00AA467B">
        <w:t xml:space="preserve">the Commission </w:t>
      </w:r>
      <w:r w:rsidR="00CD1919">
        <w:t xml:space="preserve">consistently </w:t>
      </w:r>
      <w:r w:rsidR="00AA467B">
        <w:t xml:space="preserve">has </w:t>
      </w:r>
      <w:r w:rsidR="00D23028">
        <w:t xml:space="preserve">valued </w:t>
      </w:r>
      <w:r w:rsidR="007C3E1C">
        <w:t xml:space="preserve">utility </w:t>
      </w:r>
      <w:r w:rsidR="00AA467B">
        <w:t>property based on net book value</w:t>
      </w:r>
      <w:r w:rsidR="00BE6628">
        <w:t>, including PSE</w:t>
      </w:r>
      <w:r w:rsidR="00AA467B">
        <w:t xml:space="preserve">.  </w:t>
      </w:r>
      <w:r w:rsidR="00AE07C7">
        <w:t>In fact, f</w:t>
      </w:r>
      <w:r w:rsidR="0099426C">
        <w:t>or PSE, the Commission used this m</w:t>
      </w:r>
      <w:r>
        <w:t>ethod from the very beginning.</w:t>
      </w:r>
    </w:p>
    <w:p w14:paraId="40D3E95B" w14:textId="01242931" w:rsidR="004B4A70" w:rsidRDefault="004B4A70" w:rsidP="004B4A70">
      <w:pPr>
        <w:pStyle w:val="ListParagraph"/>
        <w:numPr>
          <w:ilvl w:val="0"/>
          <w:numId w:val="25"/>
        </w:numPr>
        <w:spacing w:line="480" w:lineRule="auto"/>
      </w:pPr>
      <w:r>
        <w:tab/>
      </w:r>
      <w:r w:rsidR="00AA467B">
        <w:t>Cause U-9150</w:t>
      </w:r>
      <w:r w:rsidR="00CD1919">
        <w:t xml:space="preserve"> was </w:t>
      </w:r>
      <w:r w:rsidR="00AA467B">
        <w:t xml:space="preserve">“the first general rate increase which has been requested by Puget,” </w:t>
      </w:r>
      <w:r w:rsidR="00CD1919">
        <w:t xml:space="preserve">and </w:t>
      </w:r>
      <w:r w:rsidR="00AA467B">
        <w:t>the Commission used net book value as the measure of PSE’s rate base</w:t>
      </w:r>
      <w:r w:rsidR="00CD1919">
        <w:t xml:space="preserve"> in that case</w:t>
      </w:r>
      <w:r w:rsidR="00AA467B">
        <w:t>.</w:t>
      </w:r>
      <w:r w:rsidR="00AA467B">
        <w:rPr>
          <w:rStyle w:val="FootnoteReference"/>
        </w:rPr>
        <w:footnoteReference w:id="42"/>
      </w:r>
      <w:r w:rsidR="00BE6628">
        <w:t xml:space="preserve">  </w:t>
      </w:r>
      <w:r w:rsidR="00AA467B">
        <w:t>I</w:t>
      </w:r>
      <w:r w:rsidR="00CD1919">
        <w:t xml:space="preserve">t is </w:t>
      </w:r>
      <w:r w:rsidR="00AE07C7">
        <w:t xml:space="preserve">important to </w:t>
      </w:r>
      <w:r w:rsidR="00CD1919">
        <w:t>recognize that i</w:t>
      </w:r>
      <w:r w:rsidR="00AA467B">
        <w:t xml:space="preserve">n </w:t>
      </w:r>
      <w:r w:rsidR="00BE6628">
        <w:t>its decision</w:t>
      </w:r>
      <w:r w:rsidR="00AA467B">
        <w:t>, the Commission noted</w:t>
      </w:r>
      <w:r w:rsidR="007B4628">
        <w:t>:</w:t>
      </w:r>
      <w:r w:rsidR="00AA467B">
        <w:t xml:space="preserve"> “</w:t>
      </w:r>
      <w:r w:rsidR="007B4628">
        <w:t>I</w:t>
      </w:r>
      <w:r w:rsidR="00480928">
        <w:t>nitially, the company had asked</w:t>
      </w:r>
      <w:r w:rsidR="00AA467B">
        <w:t xml:space="preserve"> the commission to consider reproduction cost new or trended original cost as a basis for determining value.  However, as the case progressed, the company withdrew from this position and accepted net original cost as the basis for calculating its rate base.”</w:t>
      </w:r>
      <w:r w:rsidR="009359B3">
        <w:rPr>
          <w:rStyle w:val="FootnoteReference"/>
        </w:rPr>
        <w:footnoteReference w:id="43"/>
      </w:r>
      <w:r w:rsidR="00AA467B">
        <w:t xml:space="preserve">  </w:t>
      </w:r>
      <w:r w:rsidR="00AA467B" w:rsidRPr="004B4A70">
        <w:rPr>
          <w:i/>
        </w:rPr>
        <w:t>Id</w:t>
      </w:r>
      <w:r w:rsidR="00AA467B">
        <w:t xml:space="preserve">.  The Company’s acceptance of Commission </w:t>
      </w:r>
      <w:r w:rsidR="00D23028">
        <w:t xml:space="preserve">valuation of its assets </w:t>
      </w:r>
      <w:r w:rsidR="00AA467B">
        <w:t xml:space="preserve">based on net book value has been long-lasting; </w:t>
      </w:r>
      <w:r w:rsidR="00AA467B">
        <w:lastRenderedPageBreak/>
        <w:t xml:space="preserve">we searched for each reported PSE general rate case </w:t>
      </w:r>
      <w:r w:rsidR="00103E4C">
        <w:t xml:space="preserve">order </w:t>
      </w:r>
      <w:r w:rsidR="00AA467B">
        <w:t>since 1960, and we found none that used a met</w:t>
      </w:r>
      <w:r>
        <w:t>hod other than net book value.</w:t>
      </w:r>
    </w:p>
    <w:p w14:paraId="1CAC1696" w14:textId="1661141F" w:rsidR="001246E3" w:rsidRDefault="006668FB" w:rsidP="006668FB">
      <w:pPr>
        <w:pStyle w:val="ListParagraph"/>
        <w:numPr>
          <w:ilvl w:val="0"/>
          <w:numId w:val="25"/>
        </w:numPr>
        <w:spacing w:line="480" w:lineRule="auto"/>
      </w:pPr>
      <w:r>
        <w:tab/>
      </w:r>
      <w:r w:rsidR="00AA467B">
        <w:t>Based on this long</w:t>
      </w:r>
      <w:r w:rsidR="001246E3">
        <w:t xml:space="preserve"> regulatory tradition</w:t>
      </w:r>
      <w:r w:rsidR="00AA467B">
        <w:t xml:space="preserve">, it is apparent that </w:t>
      </w:r>
      <w:r w:rsidR="00BE6628">
        <w:t>PSE</w:t>
      </w:r>
      <w:r w:rsidR="001246E3">
        <w:t>’s</w:t>
      </w:r>
      <w:r w:rsidR="009359B3">
        <w:t xml:space="preserve"> investors</w:t>
      </w:r>
      <w:r w:rsidR="001246E3">
        <w:t xml:space="preserve"> </w:t>
      </w:r>
      <w:r w:rsidR="009359B3">
        <w:t xml:space="preserve"> </w:t>
      </w:r>
      <w:r w:rsidR="00AA467B">
        <w:t xml:space="preserve">have </w:t>
      </w:r>
      <w:r w:rsidR="00A17E7A">
        <w:t>provided the</w:t>
      </w:r>
      <w:r w:rsidR="00AA467B">
        <w:t xml:space="preserve"> capital </w:t>
      </w:r>
      <w:r w:rsidR="00A17E7A">
        <w:t xml:space="preserve">necessary for </w:t>
      </w:r>
      <w:r w:rsidR="00AA467B">
        <w:t xml:space="preserve">the Company </w:t>
      </w:r>
      <w:r w:rsidR="00A17E7A">
        <w:t>to deliver service</w:t>
      </w:r>
      <w:r w:rsidR="000A05A2">
        <w:t>,</w:t>
      </w:r>
      <w:r w:rsidR="00A17E7A">
        <w:t xml:space="preserve"> </w:t>
      </w:r>
      <w:r w:rsidR="00AA467B">
        <w:t xml:space="preserve">expecting that the Commission would </w:t>
      </w:r>
      <w:r w:rsidR="00D23028">
        <w:t xml:space="preserve">value </w:t>
      </w:r>
      <w:r w:rsidR="001246E3">
        <w:t xml:space="preserve">the utility </w:t>
      </w:r>
      <w:r w:rsidR="00D23028">
        <w:t xml:space="preserve">property </w:t>
      </w:r>
      <w:r w:rsidR="0099426C">
        <w:t xml:space="preserve">based on </w:t>
      </w:r>
      <w:r w:rsidR="00AA467B">
        <w:t xml:space="preserve">the net book value, no more and no less.  </w:t>
      </w:r>
      <w:r w:rsidR="00D23028">
        <w:t xml:space="preserve">  </w:t>
      </w:r>
    </w:p>
    <w:p w14:paraId="10EB39C2" w14:textId="77777777" w:rsidR="004B4A70" w:rsidRDefault="005D31D1" w:rsidP="00F0396C">
      <w:pPr>
        <w:pStyle w:val="ListParagraph"/>
        <w:ind w:left="2160" w:hanging="720"/>
        <w:rPr>
          <w:b/>
        </w:rPr>
      </w:pPr>
      <w:r>
        <w:rPr>
          <w:b/>
        </w:rPr>
        <w:t>b</w:t>
      </w:r>
      <w:r w:rsidR="004B4A70">
        <w:rPr>
          <w:b/>
        </w:rPr>
        <w:t>.</w:t>
      </w:r>
      <w:r w:rsidR="004B4A70">
        <w:rPr>
          <w:b/>
        </w:rPr>
        <w:tab/>
        <w:t>Shareholders</w:t>
      </w:r>
      <w:r w:rsidR="004B4A70" w:rsidRPr="00EB526F">
        <w:rPr>
          <w:b/>
        </w:rPr>
        <w:t xml:space="preserve"> are Not Harmed if </w:t>
      </w:r>
      <w:r w:rsidR="00430D6A">
        <w:rPr>
          <w:b/>
        </w:rPr>
        <w:t>T</w:t>
      </w:r>
      <w:r w:rsidR="004B4A70" w:rsidRPr="00EB526F">
        <w:rPr>
          <w:b/>
        </w:rPr>
        <w:t>hey Receive the Net Book Value of the Utility Pr</w:t>
      </w:r>
      <w:r w:rsidR="004B4A70">
        <w:rPr>
          <w:b/>
        </w:rPr>
        <w:t>o</w:t>
      </w:r>
      <w:r w:rsidR="004B4A70" w:rsidRPr="00EB526F">
        <w:rPr>
          <w:b/>
        </w:rPr>
        <w:t xml:space="preserve">perty They Devoted to Serve Jefferson County </w:t>
      </w:r>
      <w:r w:rsidR="004B4A70">
        <w:rPr>
          <w:b/>
        </w:rPr>
        <w:t>Customer</w:t>
      </w:r>
      <w:r w:rsidR="004B4A70" w:rsidRPr="00EB526F">
        <w:rPr>
          <w:b/>
        </w:rPr>
        <w:t>s</w:t>
      </w:r>
    </w:p>
    <w:p w14:paraId="2B1382F9" w14:textId="77777777" w:rsidR="004B4A70" w:rsidRDefault="004B4A70" w:rsidP="004B4A70">
      <w:pPr>
        <w:pStyle w:val="ListParagraph"/>
        <w:ind w:left="2160" w:hanging="720"/>
        <w:rPr>
          <w:b/>
        </w:rPr>
      </w:pPr>
    </w:p>
    <w:p w14:paraId="2694467A" w14:textId="77777777" w:rsidR="004B4A70" w:rsidRDefault="004B4A70" w:rsidP="004B4A70">
      <w:pPr>
        <w:pStyle w:val="ListParagraph"/>
        <w:numPr>
          <w:ilvl w:val="0"/>
          <w:numId w:val="25"/>
        </w:numPr>
        <w:spacing w:line="480" w:lineRule="auto"/>
      </w:pPr>
      <w:r>
        <w:tab/>
      </w:r>
      <w:r w:rsidR="001246E3">
        <w:t>Based on the tradition just described in which this Commission has consistently valued PSE’s utility property based on net book value, it is necessary and appropriate to value PSE’s shareholder interest in the sale of property sold to JPUD using the same measure:  Shareholders’ expectation is that in the event of the sale of any asset, including a forced sale under the threat of condemnation, the Commission would honor the regulatory compact and would ensure that the invested capital on PSE’s books, as measured by net book value, would be returned.</w:t>
      </w:r>
    </w:p>
    <w:p w14:paraId="21607CC1" w14:textId="77777777" w:rsidR="004B4A70" w:rsidRDefault="004B4A70" w:rsidP="004B4A70">
      <w:pPr>
        <w:pStyle w:val="ListParagraph"/>
        <w:numPr>
          <w:ilvl w:val="0"/>
          <w:numId w:val="25"/>
        </w:numPr>
        <w:spacing w:line="480" w:lineRule="auto"/>
      </w:pPr>
      <w:r>
        <w:tab/>
      </w:r>
      <w:r w:rsidR="00EF6540">
        <w:t xml:space="preserve">As </w:t>
      </w:r>
      <w:r w:rsidR="00474F10">
        <w:t>ICNU’s witness</w:t>
      </w:r>
      <w:r w:rsidR="00EF6540">
        <w:t xml:space="preserve"> testified:  “By recovering the net book value of the assets, as well as transaction costs, and reinvesting this capital in new assets, PSE bears little risk associated with the JPUD sale and will not be worse off as a result of the sale.”</w:t>
      </w:r>
      <w:r w:rsidR="00EF6540">
        <w:rPr>
          <w:rStyle w:val="FootnoteReference"/>
        </w:rPr>
        <w:footnoteReference w:id="44"/>
      </w:r>
    </w:p>
    <w:p w14:paraId="0D9EC811" w14:textId="77777777" w:rsidR="004B4A70" w:rsidRDefault="004B4A70" w:rsidP="004B4A70">
      <w:pPr>
        <w:pStyle w:val="ListParagraph"/>
        <w:numPr>
          <w:ilvl w:val="0"/>
          <w:numId w:val="25"/>
        </w:numPr>
        <w:spacing w:line="480" w:lineRule="auto"/>
      </w:pPr>
      <w:r>
        <w:tab/>
      </w:r>
      <w:r w:rsidR="00EF6540">
        <w:t>This point was firmly cemented by the</w:t>
      </w:r>
      <w:r w:rsidR="00ED1372">
        <w:t xml:space="preserve"> court in </w:t>
      </w:r>
      <w:r w:rsidR="00EF6540" w:rsidRPr="004B4A70">
        <w:rPr>
          <w:i/>
        </w:rPr>
        <w:t>Democratic Central</w:t>
      </w:r>
      <w:r w:rsidR="00ED1372">
        <w:rPr>
          <w:i/>
        </w:rPr>
        <w:t xml:space="preserve"> Committee</w:t>
      </w:r>
      <w:r w:rsidR="00EF6540">
        <w:t xml:space="preserve">:  “Ratepayers bear the expense of depreciation, including obsolescence and depletion, on operation utility assets through expense allowances to the utilities they patronize.  It is well settled that utility investors </w:t>
      </w:r>
      <w:r w:rsidR="00ED1372">
        <w:t xml:space="preserve">are entitled to </w:t>
      </w:r>
      <w:r w:rsidR="00EF6540">
        <w:t xml:space="preserve">recoup from customers the </w:t>
      </w:r>
      <w:r w:rsidR="00EF6540" w:rsidRPr="00ED1372">
        <w:t>full</w:t>
      </w:r>
      <w:r w:rsidR="00EF6540">
        <w:t xml:space="preserve"> amount of their investment in depreciable assets devoted to public service…”</w:t>
      </w:r>
      <w:r w:rsidR="00ED1372">
        <w:rPr>
          <w:rStyle w:val="FootnoteReference"/>
        </w:rPr>
        <w:footnoteReference w:id="45"/>
      </w:r>
      <w:r w:rsidR="00EF6540">
        <w:t xml:space="preserve"> </w:t>
      </w:r>
    </w:p>
    <w:p w14:paraId="1F6DE063" w14:textId="77777777" w:rsidR="004B4A70" w:rsidRDefault="004B4A70" w:rsidP="004B4A70">
      <w:pPr>
        <w:pStyle w:val="ListParagraph"/>
        <w:numPr>
          <w:ilvl w:val="0"/>
          <w:numId w:val="25"/>
        </w:numPr>
        <w:spacing w:line="480" w:lineRule="auto"/>
      </w:pPr>
      <w:r>
        <w:lastRenderedPageBreak/>
        <w:tab/>
      </w:r>
      <w:r w:rsidR="00EF6540">
        <w:t>Simply put, shareholders have no reasonable expectation of receiving any more for their investment than net book value.  Staff proposes to provide that compensation to the Company.  Any more is excessive compensation, absent a substantial policy reason, such as providing an incentive or reward for negotiating a favorable price, as Staff has proposed.</w:t>
      </w:r>
    </w:p>
    <w:p w14:paraId="5545EFE2" w14:textId="77777777" w:rsidR="00EF272C" w:rsidRDefault="00EF272C" w:rsidP="00F0396C">
      <w:pPr>
        <w:ind w:left="2160" w:hanging="720"/>
        <w:rPr>
          <w:b/>
        </w:rPr>
      </w:pPr>
      <w:r>
        <w:rPr>
          <w:b/>
        </w:rPr>
        <w:t>c.</w:t>
      </w:r>
      <w:r>
        <w:rPr>
          <w:b/>
        </w:rPr>
        <w:tab/>
        <w:t>PSE’s Customers Have Compensated PSE’s Shareholders for the Risks they have Undertaken; PSE Shareholders were Keenly Aware of the Specific Risks Associated with the JPUD Sale</w:t>
      </w:r>
    </w:p>
    <w:p w14:paraId="77109A99" w14:textId="77777777" w:rsidR="00EF272C" w:rsidRDefault="00EF272C" w:rsidP="00EF272C">
      <w:pPr>
        <w:ind w:left="1440" w:hanging="720"/>
        <w:rPr>
          <w:b/>
        </w:rPr>
      </w:pPr>
    </w:p>
    <w:p w14:paraId="5307D631" w14:textId="77777777" w:rsidR="00EF272C" w:rsidRPr="00A26ADF" w:rsidRDefault="00EF272C" w:rsidP="00EF272C">
      <w:pPr>
        <w:pStyle w:val="ListParagraph"/>
        <w:numPr>
          <w:ilvl w:val="0"/>
          <w:numId w:val="25"/>
        </w:numPr>
        <w:spacing w:line="480" w:lineRule="auto"/>
      </w:pPr>
      <w:r>
        <w:tab/>
      </w:r>
      <w:r w:rsidRPr="001543B6">
        <w:t xml:space="preserve">Under the </w:t>
      </w:r>
      <w:r>
        <w:t>regulatory compact, shareholders are entitled to a return that “</w:t>
      </w:r>
      <w:r w:rsidRPr="004B4A70">
        <w:rPr>
          <w:rFonts w:cs="Times New Roman"/>
          <w:szCs w:val="24"/>
        </w:rPr>
        <w:t>compensate[s] investors for the risks assumed …</w:t>
      </w:r>
      <w:r>
        <w:rPr>
          <w:rFonts w:cs="Times New Roman"/>
          <w:szCs w:val="24"/>
        </w:rPr>
        <w:t>.</w:t>
      </w:r>
      <w:r w:rsidRPr="004B4A70">
        <w:rPr>
          <w:rFonts w:cs="Times New Roman"/>
          <w:szCs w:val="24"/>
        </w:rPr>
        <w:t xml:space="preserve">”  </w:t>
      </w:r>
      <w:r w:rsidRPr="004B4A70">
        <w:rPr>
          <w:rFonts w:cs="Times New Roman"/>
          <w:i/>
          <w:szCs w:val="24"/>
        </w:rPr>
        <w:t>Hope</w:t>
      </w:r>
      <w:r w:rsidRPr="004B4A70">
        <w:rPr>
          <w:rFonts w:cs="Times New Roman"/>
          <w:szCs w:val="24"/>
        </w:rPr>
        <w:t>,</w:t>
      </w:r>
      <w:r w:rsidRPr="004B4A70">
        <w:rPr>
          <w:rFonts w:cs="Times New Roman"/>
          <w:i/>
          <w:szCs w:val="24"/>
        </w:rPr>
        <w:t xml:space="preserve"> </w:t>
      </w:r>
      <w:r w:rsidRPr="004B4A70">
        <w:rPr>
          <w:rFonts w:cs="Times New Roman"/>
          <w:szCs w:val="24"/>
        </w:rPr>
        <w:t>320 U.S. at 605.  As Staff explained:</w:t>
      </w:r>
    </w:p>
    <w:p w14:paraId="6EB10451" w14:textId="77777777" w:rsidR="00EF272C" w:rsidRPr="001543B6" w:rsidRDefault="00EF272C" w:rsidP="00EF272C">
      <w:pPr>
        <w:spacing w:after="120"/>
        <w:ind w:left="720"/>
      </w:pPr>
      <w:r>
        <w:rPr>
          <w:rFonts w:cs="Times New Roman"/>
          <w:szCs w:val="24"/>
        </w:rPr>
        <w:t xml:space="preserve">[Rate Base Rate of Return Regulation] provide[s] a company the </w:t>
      </w:r>
      <w:r w:rsidRPr="001543B6">
        <w:rPr>
          <w:rFonts w:cs="Times New Roman"/>
          <w:i/>
          <w:szCs w:val="24"/>
        </w:rPr>
        <w:t>opportunity</w:t>
      </w:r>
      <w:r>
        <w:rPr>
          <w:rFonts w:cs="Times New Roman"/>
          <w:szCs w:val="24"/>
        </w:rPr>
        <w:t xml:space="preserve"> to earn a fair rate of “return on” its assets used to provide service.  The Commission does this by determining an appropriate level of shareholder compensation through a rate of return applied to the [net book value] of utility assets, or rate base.  Any risk associated with ownership of utility assets (such as future income) is included in the return on equity component of the overall cost of capital.</w:t>
      </w:r>
      <w:r>
        <w:rPr>
          <w:rStyle w:val="FootnoteReference"/>
          <w:rFonts w:cs="Times New Roman"/>
          <w:szCs w:val="24"/>
        </w:rPr>
        <w:footnoteReference w:id="46"/>
      </w:r>
      <w:r>
        <w:rPr>
          <w:rFonts w:cs="Times New Roman"/>
          <w:szCs w:val="24"/>
        </w:rPr>
        <w:t xml:space="preserve"> </w:t>
      </w:r>
    </w:p>
    <w:p w14:paraId="17FF948F" w14:textId="77777777" w:rsidR="00EF272C" w:rsidRDefault="00EF272C" w:rsidP="00EF272C">
      <w:pPr>
        <w:ind w:left="1440" w:hanging="720"/>
        <w:rPr>
          <w:b/>
        </w:rPr>
      </w:pPr>
    </w:p>
    <w:p w14:paraId="42F2F29D" w14:textId="77777777" w:rsidR="00EF272C" w:rsidRDefault="00EF272C" w:rsidP="006668FB">
      <w:pPr>
        <w:pStyle w:val="ListParagraph"/>
        <w:spacing w:line="480" w:lineRule="auto"/>
        <w:ind w:left="0"/>
      </w:pPr>
      <w:r>
        <w:t xml:space="preserve">ICNU’s witness testified similarly: </w:t>
      </w:r>
    </w:p>
    <w:p w14:paraId="7D524181" w14:textId="77777777" w:rsidR="00EF272C" w:rsidRDefault="00EF272C" w:rsidP="00EF272C">
      <w:pPr>
        <w:ind w:left="720"/>
        <w:contextualSpacing/>
      </w:pPr>
      <w:r>
        <w:t>The return on equity reflects the level of compensation the market demands for assuming the level of risk in PSE.  Thus, that return would include the known and long-standing risk that a public utility district such as JPUD may condemn a portion of PSE’s territory. …  As such, to the extent customers pay rates which provide the utility an opportunity to earn a fair rate of return, PSE is fairly rewarded its investment risk.</w:t>
      </w:r>
      <w:r>
        <w:rPr>
          <w:rStyle w:val="FootnoteReference"/>
        </w:rPr>
        <w:footnoteReference w:id="47"/>
      </w:r>
    </w:p>
    <w:p w14:paraId="57A7F536" w14:textId="77777777" w:rsidR="00EF272C" w:rsidRDefault="00EF272C" w:rsidP="00EF272C">
      <w:pPr>
        <w:ind w:left="720"/>
        <w:contextualSpacing/>
      </w:pPr>
    </w:p>
    <w:p w14:paraId="6177027D" w14:textId="77777777" w:rsidR="002316F9" w:rsidRDefault="00EF272C" w:rsidP="00EF272C">
      <w:pPr>
        <w:pStyle w:val="ListParagraph"/>
        <w:numPr>
          <w:ilvl w:val="0"/>
          <w:numId w:val="25"/>
        </w:numPr>
        <w:spacing w:line="480" w:lineRule="auto"/>
      </w:pPr>
      <w:r>
        <w:tab/>
      </w:r>
      <w:r w:rsidR="002316F9">
        <w:t>As PSE</w:t>
      </w:r>
      <w:r w:rsidR="002316F9" w:rsidRPr="004438E6">
        <w:t xml:space="preserve"> conceded, </w:t>
      </w:r>
      <w:r w:rsidR="002316F9">
        <w:t>“information found is considered [by investors] in determining a stock price.”</w:t>
      </w:r>
      <w:r w:rsidR="002316F9">
        <w:rPr>
          <w:rStyle w:val="FootnoteReference"/>
        </w:rPr>
        <w:footnoteReference w:id="48"/>
      </w:r>
      <w:r w:rsidR="002316F9">
        <w:t xml:space="preserve">  </w:t>
      </w:r>
      <w:r>
        <w:t xml:space="preserve">There is no doubt that PSE shareholders were fully </w:t>
      </w:r>
      <w:r w:rsidR="002316F9">
        <w:t xml:space="preserve">informed of </w:t>
      </w:r>
      <w:r>
        <w:t xml:space="preserve">the </w:t>
      </w:r>
      <w:r w:rsidR="002316F9">
        <w:t xml:space="preserve">specific facts and </w:t>
      </w:r>
      <w:r>
        <w:t xml:space="preserve">risks associated with the JPUD sale, including the risk that customers could receive a substantial amount of the proceeds in the event of a sale under threat of condemnation.  </w:t>
      </w:r>
    </w:p>
    <w:p w14:paraId="2DA76880" w14:textId="795CDC1C" w:rsidR="00EF272C" w:rsidRDefault="002316F9" w:rsidP="00EF272C">
      <w:pPr>
        <w:pStyle w:val="ListParagraph"/>
        <w:numPr>
          <w:ilvl w:val="0"/>
          <w:numId w:val="25"/>
        </w:numPr>
        <w:spacing w:line="480" w:lineRule="auto"/>
      </w:pPr>
      <w:r>
        <w:tab/>
      </w:r>
      <w:r w:rsidR="00EF272C">
        <w:t xml:space="preserve">For example, in 2008, during the time period leading up to the vote on public purchase of PSE’s Jefferson County distribution system, PSE shareholders were clearly on notice of the </w:t>
      </w:r>
      <w:r w:rsidR="00EF272C">
        <w:lastRenderedPageBreak/>
        <w:t>potential for a public takeover in Jefferson County, due to the considerable media coverage and “vigorous debate” on the issue.</w:t>
      </w:r>
      <w:r w:rsidR="00EF272C">
        <w:rPr>
          <w:rStyle w:val="FootnoteReference"/>
        </w:rPr>
        <w:footnoteReference w:id="49"/>
      </w:r>
      <w:r w:rsidR="00EF272C">
        <w:t xml:space="preserve">  More specifically, PSE’s current shareholders, led by the </w:t>
      </w:r>
      <w:r w:rsidR="00462640">
        <w:t>Macquarie</w:t>
      </w:r>
      <w:r w:rsidR="00EF272C">
        <w:t xml:space="preserve"> group, were attempting to buy PSE at that same time, and</w:t>
      </w:r>
      <w:r w:rsidR="00EF272C" w:rsidRPr="000A7152">
        <w:t xml:space="preserve"> they were well aware of these ballot measures.</w:t>
      </w:r>
      <w:r w:rsidR="00EF272C" w:rsidRPr="000A7152">
        <w:rPr>
          <w:rStyle w:val="FootnoteReference"/>
        </w:rPr>
        <w:footnoteReference w:id="50"/>
      </w:r>
    </w:p>
    <w:p w14:paraId="0A60D058" w14:textId="7A751155" w:rsidR="00EF272C" w:rsidRDefault="00EF272C" w:rsidP="00EF272C">
      <w:pPr>
        <w:pStyle w:val="ListParagraph"/>
        <w:numPr>
          <w:ilvl w:val="0"/>
          <w:numId w:val="25"/>
        </w:numPr>
        <w:spacing w:line="480" w:lineRule="auto"/>
      </w:pPr>
      <w:r>
        <w:tab/>
        <w:t xml:space="preserve">After the </w:t>
      </w:r>
      <w:r w:rsidR="00462640">
        <w:t>Macquarie</w:t>
      </w:r>
      <w:r>
        <w:t xml:space="preserve"> group bought PSE in late 2008, it became crystal clear that PSE shareholders knew the magnitude of what was at risk.  In PSE’s petition in Docket U-101217, filed in July 2010, PSE sought “to determine that the Commission is satisfied that PSE’s customers are not entitled to claim proceeds … in an amount </w:t>
      </w:r>
      <w:r w:rsidRPr="00A26ADF">
        <w:rPr>
          <w:i/>
        </w:rPr>
        <w:t xml:space="preserve">in excess of </w:t>
      </w:r>
      <w:r>
        <w:t>$103 million.”</w:t>
      </w:r>
      <w:r>
        <w:rPr>
          <w:rStyle w:val="FootnoteReference"/>
        </w:rPr>
        <w:footnoteReference w:id="51"/>
      </w:r>
      <w:r>
        <w:t xml:space="preserve">  This is cogent evidence PSE shareholders knew customers might well be entitled to much more than the small amount PSE offers in this case, </w:t>
      </w:r>
      <w:r w:rsidRPr="00A26ADF">
        <w:rPr>
          <w:i/>
        </w:rPr>
        <w:t>i.e.</w:t>
      </w:r>
      <w:r w:rsidRPr="00A26ADF">
        <w:t xml:space="preserve">, </w:t>
      </w:r>
      <w:r>
        <w:t>only to a “voluntary [share] of the proceeds” PSE now offers.</w:t>
      </w:r>
      <w:r>
        <w:rPr>
          <w:rStyle w:val="FootnoteReference"/>
        </w:rPr>
        <w:footnoteReference w:id="52"/>
      </w:r>
    </w:p>
    <w:p w14:paraId="3F256B47" w14:textId="77777777" w:rsidR="002316F9" w:rsidRDefault="002316F9" w:rsidP="00EF272C">
      <w:pPr>
        <w:pStyle w:val="ListParagraph"/>
        <w:numPr>
          <w:ilvl w:val="0"/>
          <w:numId w:val="25"/>
        </w:numPr>
        <w:spacing w:line="480" w:lineRule="auto"/>
      </w:pPr>
      <w:r>
        <w:tab/>
        <w:t>PSE Shareholders were certainly aware of the legal system in this state, which PSE suggests makes the Company “more risky” because it permits a PUD to condemn an investor-owned utility’s property.</w:t>
      </w:r>
      <w:r>
        <w:rPr>
          <w:rStyle w:val="FootnoteReference"/>
        </w:rPr>
        <w:footnoteReference w:id="53"/>
      </w:r>
      <w:r>
        <w:t xml:space="preserve">  Shareholders were also aware of PSE’s disclosure in its SEC Form 10-K regarding the risk of “loss of significant customers” and “condemnation of PSE’s facilities as a result of municipalization.”</w:t>
      </w:r>
      <w:r>
        <w:rPr>
          <w:rStyle w:val="FootnoteReference"/>
        </w:rPr>
        <w:footnoteReference w:id="54"/>
      </w:r>
    </w:p>
    <w:p w14:paraId="19915C2F" w14:textId="08FD2D39" w:rsidR="00EF272C" w:rsidRPr="002316F9" w:rsidRDefault="00EF272C" w:rsidP="00821541">
      <w:pPr>
        <w:pStyle w:val="ListParagraph"/>
        <w:numPr>
          <w:ilvl w:val="0"/>
          <w:numId w:val="25"/>
        </w:numPr>
        <w:spacing w:line="480" w:lineRule="auto"/>
        <w:rPr>
          <w:b/>
        </w:rPr>
      </w:pPr>
      <w:r>
        <w:tab/>
      </w:r>
      <w:r w:rsidR="002316F9">
        <w:t>The bottom line is that shareholders were</w:t>
      </w:r>
      <w:r w:rsidR="00190B24">
        <w:t xml:space="preserve"> fully aware </w:t>
      </w:r>
      <w:r w:rsidR="002316F9">
        <w:t>of the risks PSE faced specific to the JPUD sale</w:t>
      </w:r>
      <w:r w:rsidR="00190B24">
        <w:t>, as they should have been</w:t>
      </w:r>
      <w:r w:rsidR="002316F9">
        <w:t>.  D</w:t>
      </w:r>
      <w:r>
        <w:t xml:space="preserve">uring this time frame, PSE had a general rate case, Dockets UE-111048 &amp; UG-111049.  In its Final Order in those dockets, the Commission </w:t>
      </w:r>
      <w:r>
        <w:lastRenderedPageBreak/>
        <w:t>described in detail the cost of capital presentations of each party, including PSE.</w:t>
      </w:r>
      <w:r>
        <w:rPr>
          <w:rStyle w:val="FootnoteReference"/>
        </w:rPr>
        <w:footnoteReference w:id="55"/>
      </w:r>
      <w:r>
        <w:t xml:space="preserve">  There is no mention of PSE advocating that the return on equity needed to be any higher to reflect the foregoing risks of the JPUD sale.</w:t>
      </w:r>
    </w:p>
    <w:p w14:paraId="788A454C" w14:textId="77777777" w:rsidR="004B4A70" w:rsidRDefault="00EF272C" w:rsidP="00F0396C">
      <w:pPr>
        <w:ind w:left="2160" w:hanging="720"/>
        <w:rPr>
          <w:b/>
        </w:rPr>
      </w:pPr>
      <w:r>
        <w:rPr>
          <w:b/>
        </w:rPr>
        <w:t>d</w:t>
      </w:r>
      <w:r w:rsidR="004B4A70">
        <w:rPr>
          <w:b/>
        </w:rPr>
        <w:t>.</w:t>
      </w:r>
      <w:r w:rsidR="004B4A70">
        <w:rPr>
          <w:b/>
        </w:rPr>
        <w:tab/>
        <w:t>Shareholders are Not Entitled to Additional Compensation for the Loss of a Revenue Stream from Jefferson County Customers</w:t>
      </w:r>
    </w:p>
    <w:p w14:paraId="6B9166B9" w14:textId="77777777" w:rsidR="004B4A70" w:rsidRDefault="004B4A70" w:rsidP="004B4A70">
      <w:pPr>
        <w:ind w:firstLine="720"/>
      </w:pPr>
    </w:p>
    <w:p w14:paraId="441EB99F" w14:textId="0609ABA0" w:rsidR="004B4A70" w:rsidRDefault="004B4A70" w:rsidP="004B4A70">
      <w:pPr>
        <w:pStyle w:val="ListParagraph"/>
        <w:numPr>
          <w:ilvl w:val="0"/>
          <w:numId w:val="25"/>
        </w:numPr>
        <w:spacing w:line="480" w:lineRule="auto"/>
      </w:pPr>
      <w:r>
        <w:tab/>
      </w:r>
      <w:r w:rsidR="00EF6540">
        <w:t xml:space="preserve">PSE argues that because it has permanently lost the revenues from its (former) Jefferson County customers, shareholders </w:t>
      </w:r>
      <w:r w:rsidR="009359B3">
        <w:t xml:space="preserve">are entitled </w:t>
      </w:r>
      <w:r w:rsidR="00EF6540">
        <w:t>to the gain on sale as compensation.</w:t>
      </w:r>
      <w:r w:rsidR="009359B3">
        <w:rPr>
          <w:rStyle w:val="FootnoteReference"/>
        </w:rPr>
        <w:footnoteReference w:id="56"/>
      </w:r>
      <w:r w:rsidR="00EF6540">
        <w:t xml:space="preserve">  </w:t>
      </w:r>
      <w:r w:rsidR="009359B3">
        <w:t xml:space="preserve">  </w:t>
      </w:r>
      <w:r w:rsidR="00EF6540">
        <w:t>PSE’s argument lacks b</w:t>
      </w:r>
      <w:r>
        <w:t>oth factual and legal support.</w:t>
      </w:r>
    </w:p>
    <w:p w14:paraId="69C3F0AF" w14:textId="77777777" w:rsidR="002316F9" w:rsidRDefault="004B4A70" w:rsidP="00EF6540">
      <w:pPr>
        <w:pStyle w:val="ListParagraph"/>
        <w:numPr>
          <w:ilvl w:val="0"/>
          <w:numId w:val="25"/>
        </w:numPr>
        <w:spacing w:line="480" w:lineRule="auto"/>
      </w:pPr>
      <w:r>
        <w:tab/>
      </w:r>
      <w:r w:rsidR="00EF6540">
        <w:t xml:space="preserve">PSE’s argument lacks factual support </w:t>
      </w:r>
      <w:r w:rsidR="00EF272C">
        <w:t xml:space="preserve">in two ways.  First, as we just explained, PSE’s shareholders have been compensated for this risk.  </w:t>
      </w:r>
    </w:p>
    <w:p w14:paraId="1CF5674E" w14:textId="77777777" w:rsidR="00404DB2" w:rsidRDefault="002316F9" w:rsidP="00EF6540">
      <w:pPr>
        <w:pStyle w:val="ListParagraph"/>
        <w:numPr>
          <w:ilvl w:val="0"/>
          <w:numId w:val="25"/>
        </w:numPr>
        <w:spacing w:line="480" w:lineRule="auto"/>
      </w:pPr>
      <w:r>
        <w:tab/>
      </w:r>
      <w:r w:rsidR="00EF272C">
        <w:t xml:space="preserve">Second, PSE ignores the fact that it can </w:t>
      </w:r>
      <w:r w:rsidR="00EF6540">
        <w:t>reinvest the sale proceeds (</w:t>
      </w:r>
      <w:r w:rsidR="00EF6540" w:rsidRPr="004B4A70">
        <w:rPr>
          <w:i/>
        </w:rPr>
        <w:t xml:space="preserve">i.e., </w:t>
      </w:r>
      <w:r w:rsidR="00EF6540">
        <w:t>the cash representing the net book value of the assets sold) in the utility business.  In fact, PSE intends to do just that.</w:t>
      </w:r>
      <w:r w:rsidR="00EF6540">
        <w:rPr>
          <w:rStyle w:val="FootnoteReference"/>
        </w:rPr>
        <w:footnoteReference w:id="57"/>
      </w:r>
      <w:r w:rsidR="00EF6540">
        <w:t xml:space="preserve">  Reinvesting this money into the business restores the “lost” revenue stream.  Alternatively, PSE could return the money to its shareholders, and they could invest the money in an investment of their choosing, and enjoy the benefits of that investment.</w:t>
      </w:r>
      <w:r w:rsidR="00EF6540">
        <w:rPr>
          <w:rStyle w:val="FootnoteReference"/>
        </w:rPr>
        <w:footnoteReference w:id="58"/>
      </w:r>
      <w:r w:rsidR="00EF6540">
        <w:t xml:space="preserve">  As </w:t>
      </w:r>
      <w:r w:rsidR="00D34772">
        <w:t>Staff</w:t>
      </w:r>
      <w:r w:rsidR="00EF6540">
        <w:t xml:space="preserve"> concluded: “Both of these are acceptable outcomes that mitigate PSE’s perceived risk of losing future revenue.  Shareholders are still afforded an opportunity to earn future revenue.”</w:t>
      </w:r>
      <w:r w:rsidR="00EF6540">
        <w:rPr>
          <w:rStyle w:val="FootnoteReference"/>
        </w:rPr>
        <w:footnoteReference w:id="59"/>
      </w:r>
      <w:r w:rsidR="00EF6540">
        <w:t xml:space="preserve">  </w:t>
      </w:r>
    </w:p>
    <w:p w14:paraId="0D88ED3C" w14:textId="3830066C" w:rsidR="004B4A70" w:rsidRDefault="006668FB" w:rsidP="006668FB">
      <w:pPr>
        <w:pStyle w:val="ListParagraph"/>
        <w:numPr>
          <w:ilvl w:val="0"/>
          <w:numId w:val="25"/>
        </w:numPr>
        <w:spacing w:line="480" w:lineRule="auto"/>
      </w:pPr>
      <w:r>
        <w:tab/>
      </w:r>
      <w:r w:rsidR="00EF6540">
        <w:t>It is wrong to assume, as PSE implicitly does, that PSE’s share of proceeds under Staff’s proposal has no value to shareholders other than when it was invested in PSE’s Jefferson County distribution system.</w:t>
      </w:r>
      <w:r w:rsidR="00EF272C">
        <w:t xml:space="preserve">  </w:t>
      </w:r>
      <w:r w:rsidR="00EF6540">
        <w:t xml:space="preserve">In fact, PSE </w:t>
      </w:r>
      <w:r w:rsidR="00EF6540" w:rsidRPr="006668FB">
        <w:rPr>
          <w:i/>
        </w:rPr>
        <w:t xml:space="preserve">currently </w:t>
      </w:r>
      <w:r w:rsidR="00EF6540">
        <w:t>is enjoying the benefits of the over $109 million in JPUD sales proceeds</w:t>
      </w:r>
      <w:r w:rsidR="00DF4377">
        <w:t xml:space="preserve"> the Company received from JPUD</w:t>
      </w:r>
      <w:r w:rsidR="00EF6540">
        <w:t xml:space="preserve">.  As </w:t>
      </w:r>
      <w:r w:rsidR="00D34772">
        <w:t>PSE</w:t>
      </w:r>
      <w:r w:rsidR="00EF6540">
        <w:t xml:space="preserve"> explained, that cash has “gone </w:t>
      </w:r>
      <w:r w:rsidR="00EF6540">
        <w:lastRenderedPageBreak/>
        <w:t>through the whole cash management process and it’s been used.”</w:t>
      </w:r>
      <w:r w:rsidR="00EF6540">
        <w:rPr>
          <w:rStyle w:val="FootnoteReference"/>
        </w:rPr>
        <w:footnoteReference w:id="60"/>
      </w:r>
      <w:r w:rsidR="00EF6540">
        <w:t xml:space="preserve">  PSE has not accounted for that </w:t>
      </w:r>
      <w:r w:rsidR="00ED1372">
        <w:t xml:space="preserve">substantial </w:t>
      </w:r>
      <w:r w:rsidR="00EF6540">
        <w:t xml:space="preserve">shareholder benefit </w:t>
      </w:r>
      <w:r w:rsidR="00ED1372">
        <w:t xml:space="preserve">either </w:t>
      </w:r>
      <w:r w:rsidR="00EF6540">
        <w:t>in its analysis or in its p</w:t>
      </w:r>
      <w:r w:rsidR="004B4A70">
        <w:t>roposed allocation of proceeds.</w:t>
      </w:r>
    </w:p>
    <w:p w14:paraId="5901DEBA" w14:textId="4DCEA56B" w:rsidR="00404DB2" w:rsidRDefault="004B4A70" w:rsidP="00141631">
      <w:pPr>
        <w:pStyle w:val="ListParagraph"/>
        <w:numPr>
          <w:ilvl w:val="0"/>
          <w:numId w:val="25"/>
        </w:numPr>
        <w:spacing w:line="480" w:lineRule="auto"/>
      </w:pPr>
      <w:r>
        <w:tab/>
      </w:r>
      <w:r w:rsidR="00EF6540">
        <w:t>PSE’s argument lacks legal support because it rests on the proposition that shareholders are entitled to a guaranteed revenue stream in the first place</w:t>
      </w:r>
      <w:r w:rsidR="0033556B">
        <w:t xml:space="preserve">, </w:t>
      </w:r>
      <w:r w:rsidR="000E3CEA">
        <w:t>allegedly</w:t>
      </w:r>
      <w:r w:rsidR="0033556B">
        <w:t xml:space="preserve"> upwards of $75.7 million</w:t>
      </w:r>
      <w:r w:rsidR="00EF6540">
        <w:t>.</w:t>
      </w:r>
      <w:r w:rsidR="0033556B">
        <w:rPr>
          <w:rStyle w:val="FootnoteReference"/>
        </w:rPr>
        <w:footnoteReference w:id="61"/>
      </w:r>
      <w:r w:rsidR="00EF6540">
        <w:t xml:space="preserve">  Staff has found no legal authority to support that proposition.  As Staff testified:</w:t>
      </w:r>
      <w:r w:rsidR="00B409F8">
        <w:t xml:space="preserve"> </w:t>
      </w:r>
      <w:r w:rsidR="00EF6540">
        <w:t xml:space="preserve"> “Rate Base Rate of Return Regulation does not guarantee future income on assets that are no longer used to provide service.”</w:t>
      </w:r>
      <w:r w:rsidR="00EF6540">
        <w:rPr>
          <w:rStyle w:val="FootnoteReference"/>
        </w:rPr>
        <w:footnoteReference w:id="62"/>
      </w:r>
      <w:r w:rsidR="00C25D9E">
        <w:t xml:space="preserve">  </w:t>
      </w:r>
      <w:r w:rsidR="00EF6540">
        <w:t>Moreover, “[a]</w:t>
      </w:r>
      <w:r w:rsidR="00EF6540" w:rsidRPr="00ED1372">
        <w:rPr>
          <w:rFonts w:cs="Times New Roman"/>
          <w:szCs w:val="24"/>
        </w:rPr>
        <w:t>ny risk associated with ownership of utility assets (such as future income) is included in the return on equity component of the overall cost of capital,” and therefore, shareholders are compensated for this risk.</w:t>
      </w:r>
      <w:r w:rsidR="00EF6540">
        <w:rPr>
          <w:rStyle w:val="FootnoteReference"/>
          <w:rFonts w:cs="Times New Roman"/>
          <w:szCs w:val="24"/>
        </w:rPr>
        <w:footnoteReference w:id="63"/>
      </w:r>
      <w:r w:rsidR="00EF6540" w:rsidRPr="00ED1372">
        <w:rPr>
          <w:rFonts w:cs="Times New Roman"/>
          <w:szCs w:val="24"/>
        </w:rPr>
        <w:t xml:space="preserve">  Because of this, </w:t>
      </w:r>
      <w:r w:rsidR="00EF6540">
        <w:t>“[t]he return on equity authorized by the Commission and earned on the Jefferson County assets has compensated investors for the risk of condemnation and an</w:t>
      </w:r>
      <w:r>
        <w:t>y lost revenue that may result.”</w:t>
      </w:r>
      <w:r w:rsidR="009359B3">
        <w:rPr>
          <w:rStyle w:val="FootnoteReference"/>
        </w:rPr>
        <w:footnoteReference w:id="64"/>
      </w:r>
      <w:r w:rsidR="0045694B" w:rsidRPr="0045694B">
        <w:t xml:space="preserve"> </w:t>
      </w:r>
      <w:r w:rsidR="0045694B">
        <w:t xml:space="preserve"> </w:t>
      </w:r>
    </w:p>
    <w:p w14:paraId="37CA6DCC" w14:textId="49E2F2DC" w:rsidR="0045694B" w:rsidRDefault="00404DB2" w:rsidP="0045694B">
      <w:pPr>
        <w:pStyle w:val="ListParagraph"/>
        <w:numPr>
          <w:ilvl w:val="0"/>
          <w:numId w:val="25"/>
        </w:numPr>
        <w:spacing w:line="480" w:lineRule="auto"/>
      </w:pPr>
      <w:r>
        <w:tab/>
      </w:r>
      <w:r w:rsidR="00F76514">
        <w:t>T</w:t>
      </w:r>
      <w:r w:rsidR="0045694B">
        <w:t>he Commission should reject th</w:t>
      </w:r>
      <w:r w:rsidR="009359B3">
        <w:t xml:space="preserve">e Company’s argument </w:t>
      </w:r>
      <w:r w:rsidR="0045694B">
        <w:t>because it falsely assumes that shareholders are guaranteed that revenue stream</w:t>
      </w:r>
      <w:r w:rsidR="00B601EC">
        <w:t>.</w:t>
      </w:r>
      <w:r w:rsidR="0045694B">
        <w:t xml:space="preserve"> </w:t>
      </w:r>
      <w:r w:rsidR="00F76514">
        <w:t xml:space="preserve"> </w:t>
      </w:r>
      <w:r w:rsidR="0045694B">
        <w:t xml:space="preserve">As we have just </w:t>
      </w:r>
      <w:r w:rsidR="00B601EC">
        <w:t>demonstrated</w:t>
      </w:r>
      <w:r w:rsidR="0045694B">
        <w:t xml:space="preserve">, the regulatory compact only provides PSE an opportunity to earn </w:t>
      </w:r>
      <w:r w:rsidR="00F76514">
        <w:t xml:space="preserve">a return </w:t>
      </w:r>
      <w:r w:rsidR="0045694B">
        <w:t xml:space="preserve">on and of </w:t>
      </w:r>
      <w:r w:rsidR="00F76514">
        <w:t xml:space="preserve">its </w:t>
      </w:r>
      <w:r w:rsidR="0045694B">
        <w:t>invested capital</w:t>
      </w:r>
      <w:r w:rsidR="00F76514">
        <w:t>,</w:t>
      </w:r>
      <w:r w:rsidR="0045694B">
        <w:t xml:space="preserve"> as valued by the Commission.  It is simply false to assume that once the rate base is returned to shareholders they </w:t>
      </w:r>
      <w:r w:rsidR="0033556B">
        <w:t xml:space="preserve">continue to be </w:t>
      </w:r>
      <w:r w:rsidR="0045694B">
        <w:t>harmed by a lost revenue stream</w:t>
      </w:r>
      <w:r w:rsidR="00F76514">
        <w:t>.</w:t>
      </w:r>
    </w:p>
    <w:p w14:paraId="6BE2F7FC" w14:textId="77777777" w:rsidR="004B4A70" w:rsidRPr="00337089" w:rsidRDefault="009433A9" w:rsidP="00F0396C">
      <w:pPr>
        <w:pStyle w:val="ListParagraph"/>
        <w:numPr>
          <w:ilvl w:val="0"/>
          <w:numId w:val="22"/>
        </w:numPr>
        <w:ind w:left="2880"/>
        <w:rPr>
          <w:b/>
        </w:rPr>
      </w:pPr>
      <w:r>
        <w:rPr>
          <w:b/>
        </w:rPr>
        <w:t xml:space="preserve">In Any Event, </w:t>
      </w:r>
      <w:r w:rsidR="004B4A70" w:rsidRPr="00337089">
        <w:rPr>
          <w:b/>
        </w:rPr>
        <w:t xml:space="preserve">PSE’s Calculation of Lost Earnings is </w:t>
      </w:r>
      <w:r w:rsidR="00430D6A">
        <w:rPr>
          <w:b/>
        </w:rPr>
        <w:t>Based</w:t>
      </w:r>
      <w:r w:rsidR="004B4A70" w:rsidRPr="00337089">
        <w:rPr>
          <w:b/>
        </w:rPr>
        <w:t xml:space="preserve"> on a Flawed Assumption</w:t>
      </w:r>
    </w:p>
    <w:p w14:paraId="7D506652" w14:textId="77777777" w:rsidR="004B4A70" w:rsidRDefault="004B4A70" w:rsidP="006A7848">
      <w:pPr>
        <w:pStyle w:val="ListParagraph"/>
        <w:ind w:left="0"/>
      </w:pPr>
    </w:p>
    <w:p w14:paraId="107247A9" w14:textId="09C4748B" w:rsidR="00EF272C" w:rsidRDefault="004B4A70" w:rsidP="0045694B">
      <w:pPr>
        <w:pStyle w:val="ListParagraph"/>
        <w:numPr>
          <w:ilvl w:val="0"/>
          <w:numId w:val="25"/>
        </w:numPr>
        <w:spacing w:line="480" w:lineRule="auto"/>
      </w:pPr>
      <w:r>
        <w:tab/>
      </w:r>
      <w:r w:rsidR="00EF272C">
        <w:t>PSE</w:t>
      </w:r>
      <w:r w:rsidR="00561123">
        <w:t>’s claim</w:t>
      </w:r>
      <w:r w:rsidR="00EF272C">
        <w:t xml:space="preserve"> </w:t>
      </w:r>
      <w:r w:rsidR="00561123">
        <w:t>of a</w:t>
      </w:r>
      <w:r w:rsidR="00EF272C">
        <w:t xml:space="preserve"> $75.7 million</w:t>
      </w:r>
      <w:r w:rsidR="00561123">
        <w:t xml:space="preserve"> harm</w:t>
      </w:r>
      <w:r w:rsidR="00EF272C">
        <w:t xml:space="preserve"> is flawed for other reasons</w:t>
      </w:r>
      <w:r w:rsidR="00F0396C">
        <w:t>, as well</w:t>
      </w:r>
      <w:r w:rsidR="00EF272C">
        <w:t xml:space="preserve">. </w:t>
      </w:r>
    </w:p>
    <w:p w14:paraId="0B33D937" w14:textId="1E09A112" w:rsidR="004B4A70" w:rsidRDefault="00EF272C" w:rsidP="006668FB">
      <w:pPr>
        <w:pStyle w:val="ListParagraph"/>
        <w:numPr>
          <w:ilvl w:val="0"/>
          <w:numId w:val="25"/>
        </w:numPr>
        <w:spacing w:line="480" w:lineRule="auto"/>
      </w:pPr>
      <w:r>
        <w:lastRenderedPageBreak/>
        <w:tab/>
      </w:r>
      <w:r w:rsidR="004A2E07">
        <w:t xml:space="preserve">For example, PSE’s earnings </w:t>
      </w:r>
      <w:r w:rsidR="008C5B34">
        <w:t xml:space="preserve">analysis </w:t>
      </w:r>
      <w:r w:rsidR="009359B3">
        <w:t xml:space="preserve">applies </w:t>
      </w:r>
      <w:r w:rsidR="008C5B34">
        <w:t xml:space="preserve">a </w:t>
      </w:r>
      <w:r w:rsidR="004A2E07">
        <w:t xml:space="preserve">robust, </w:t>
      </w:r>
      <w:r w:rsidR="008C5B34">
        <w:t>four percent earnings growth rate</w:t>
      </w:r>
      <w:r w:rsidR="009359B3">
        <w:t>,</w:t>
      </w:r>
      <w:r w:rsidR="008C5B34">
        <w:rPr>
          <w:rStyle w:val="FootnoteReference"/>
        </w:rPr>
        <w:footnoteReference w:id="65"/>
      </w:r>
      <w:r w:rsidR="008C5B34">
        <w:t xml:space="preserve"> </w:t>
      </w:r>
      <w:r w:rsidR="009359B3">
        <w:t>yet</w:t>
      </w:r>
      <w:r w:rsidR="008C5B34">
        <w:t xml:space="preserve"> the facts show that </w:t>
      </w:r>
      <w:r w:rsidR="004A2E07">
        <w:t xml:space="preserve">rate either </w:t>
      </w:r>
      <w:r w:rsidR="00196DD6">
        <w:t>sh</w:t>
      </w:r>
      <w:r w:rsidR="004A2E07">
        <w:t>ould be negative or minuscule</w:t>
      </w:r>
      <w:r w:rsidR="009359B3">
        <w:t>, because, a</w:t>
      </w:r>
      <w:r w:rsidR="008C5B34">
        <w:t xml:space="preserve">s the Company </w:t>
      </w:r>
      <w:r>
        <w:t>conceded</w:t>
      </w:r>
      <w:r w:rsidR="008C5B34">
        <w:t>, “[t]he high cost of serving Jefferson County in relation to the number of customers in the service territory limits its revenue potential,” and furthermore, “[t]here is no expectation of any significant load growth in the [Jefferson County] service territory in the foreseeable future.”</w:t>
      </w:r>
      <w:r w:rsidR="008C5B34">
        <w:rPr>
          <w:rStyle w:val="FootnoteReference"/>
        </w:rPr>
        <w:footnoteReference w:id="66"/>
      </w:r>
      <w:r w:rsidR="00F76514">
        <w:t xml:space="preserve">  This testimony refutes the growth rate assumed </w:t>
      </w:r>
      <w:r>
        <w:t>in PSE’s lost earnings analysis</w:t>
      </w:r>
      <w:r w:rsidR="00F76514">
        <w:t xml:space="preserve">. </w:t>
      </w:r>
    </w:p>
    <w:p w14:paraId="5F20DD02" w14:textId="77777777" w:rsidR="00A26ADF" w:rsidRDefault="00F0396C" w:rsidP="006A7848">
      <w:pPr>
        <w:pStyle w:val="ListParagraph"/>
        <w:keepNext/>
        <w:ind w:left="1440" w:hanging="720"/>
        <w:rPr>
          <w:b/>
        </w:rPr>
      </w:pPr>
      <w:r>
        <w:rPr>
          <w:b/>
        </w:rPr>
        <w:t>2</w:t>
      </w:r>
      <w:r w:rsidR="00A26ADF" w:rsidRPr="00A83C37">
        <w:rPr>
          <w:b/>
        </w:rPr>
        <w:t>.</w:t>
      </w:r>
      <w:r w:rsidR="00A26ADF" w:rsidRPr="00A83C37">
        <w:rPr>
          <w:b/>
        </w:rPr>
        <w:tab/>
        <w:t xml:space="preserve">A Risk/Reward Analysis </w:t>
      </w:r>
      <w:r w:rsidR="00A26ADF">
        <w:rPr>
          <w:b/>
        </w:rPr>
        <w:t>Confirms Customer</w:t>
      </w:r>
      <w:r w:rsidR="00A26ADF" w:rsidRPr="00A83C37">
        <w:rPr>
          <w:b/>
        </w:rPr>
        <w:t xml:space="preserve">s are </w:t>
      </w:r>
      <w:r w:rsidR="00A26ADF">
        <w:rPr>
          <w:b/>
        </w:rPr>
        <w:t xml:space="preserve">Entitled </w:t>
      </w:r>
      <w:r w:rsidR="00A26ADF" w:rsidRPr="00A83C37">
        <w:rPr>
          <w:b/>
        </w:rPr>
        <w:t>to the Gain on the JPUD Sale</w:t>
      </w:r>
    </w:p>
    <w:p w14:paraId="0ACB8141" w14:textId="77777777" w:rsidR="00A26ADF" w:rsidRDefault="00A26ADF" w:rsidP="00A26ADF">
      <w:pPr>
        <w:pStyle w:val="ListParagraph"/>
        <w:ind w:hanging="720"/>
        <w:rPr>
          <w:b/>
        </w:rPr>
      </w:pPr>
    </w:p>
    <w:p w14:paraId="3C2A40D4" w14:textId="6A8137E0" w:rsidR="00196DD6" w:rsidRDefault="00A26ADF" w:rsidP="006668FB">
      <w:pPr>
        <w:pStyle w:val="ListParagraph"/>
        <w:numPr>
          <w:ilvl w:val="0"/>
          <w:numId w:val="25"/>
        </w:numPr>
        <w:spacing w:line="480" w:lineRule="auto"/>
      </w:pPr>
      <w:r>
        <w:tab/>
      </w:r>
      <w:r w:rsidR="008B0CBE" w:rsidRPr="008B0CBE">
        <w:t xml:space="preserve">Each </w:t>
      </w:r>
      <w:r w:rsidR="00911C51">
        <w:t>party to</w:t>
      </w:r>
      <w:r w:rsidR="008B0CBE" w:rsidRPr="008B0CBE">
        <w:t xml:space="preserve"> this docket </w:t>
      </w:r>
      <w:r w:rsidR="008B0CBE">
        <w:t xml:space="preserve">conducted a “risk/reward” analysis </w:t>
      </w:r>
      <w:r w:rsidR="00911C51">
        <w:t xml:space="preserve">to support their proposals to the Commission.  </w:t>
      </w:r>
      <w:r w:rsidR="000E3CEA">
        <w:t xml:space="preserve">In </w:t>
      </w:r>
      <w:r w:rsidR="004E1949">
        <w:t>PS</w:t>
      </w:r>
      <w:r w:rsidR="000E3CEA">
        <w:t>E’s analysis, the Company</w:t>
      </w:r>
      <w:r w:rsidR="004E1949">
        <w:t xml:space="preserve"> </w:t>
      </w:r>
      <w:r w:rsidR="00250470">
        <w:t xml:space="preserve">makes a distinction between the “risk </w:t>
      </w:r>
      <w:r w:rsidR="00002CE4">
        <w:t>of doing business” and the “risk associated with ownership of the assets.”</w:t>
      </w:r>
      <w:r w:rsidR="00002CE4">
        <w:rPr>
          <w:rStyle w:val="FootnoteReference"/>
        </w:rPr>
        <w:footnoteReference w:id="67"/>
      </w:r>
      <w:r w:rsidR="00002CE4">
        <w:t xml:space="preserve">  </w:t>
      </w:r>
      <w:r w:rsidR="00B87CD7">
        <w:t>A</w:t>
      </w:r>
      <w:r w:rsidR="00057FE8">
        <w:t xml:space="preserve">ccording to </w:t>
      </w:r>
      <w:r w:rsidR="00236685">
        <w:t>PSE</w:t>
      </w:r>
      <w:r w:rsidR="00B87CD7">
        <w:t>:</w:t>
      </w:r>
      <w:r w:rsidR="005E5652">
        <w:t xml:space="preserve"> </w:t>
      </w:r>
      <w:r w:rsidR="00B87CD7">
        <w:t xml:space="preserve"> “Customers have not borne the risk of owning the assets; therefore, they have no claim to the proceeds.”</w:t>
      </w:r>
      <w:r w:rsidR="00B87CD7">
        <w:rPr>
          <w:rStyle w:val="FootnoteReference"/>
        </w:rPr>
        <w:footnoteReference w:id="68"/>
      </w:r>
      <w:r w:rsidR="007521DC">
        <w:t xml:space="preserve">  </w:t>
      </w:r>
    </w:p>
    <w:p w14:paraId="3C05D0EB" w14:textId="55302022" w:rsidR="00A26ADF" w:rsidRDefault="00196DD6" w:rsidP="006668FB">
      <w:pPr>
        <w:pStyle w:val="ListParagraph"/>
        <w:numPr>
          <w:ilvl w:val="0"/>
          <w:numId w:val="25"/>
        </w:numPr>
        <w:spacing w:line="480" w:lineRule="auto"/>
      </w:pPr>
      <w:r>
        <w:tab/>
      </w:r>
      <w:r w:rsidR="00057FE8">
        <w:t xml:space="preserve">In fact, PSE’s </w:t>
      </w:r>
      <w:r w:rsidR="00236685">
        <w:t xml:space="preserve">customers </w:t>
      </w:r>
      <w:r w:rsidR="007521DC">
        <w:t xml:space="preserve">bear substantial risks associated with PSE’s ownership of those assets, as PSE </w:t>
      </w:r>
      <w:r w:rsidR="00236685">
        <w:t xml:space="preserve">correctly </w:t>
      </w:r>
      <w:r w:rsidR="003A7F77">
        <w:t>acknowledged</w:t>
      </w:r>
      <w:r w:rsidR="007521DC">
        <w:t xml:space="preserve"> in the </w:t>
      </w:r>
      <w:r w:rsidR="007521DC" w:rsidRPr="00002CE4">
        <w:rPr>
          <w:i/>
        </w:rPr>
        <w:t xml:space="preserve">Centralia </w:t>
      </w:r>
      <w:r w:rsidR="003A7F77" w:rsidRPr="00002CE4">
        <w:rPr>
          <w:i/>
        </w:rPr>
        <w:t>Case</w:t>
      </w:r>
      <w:r w:rsidR="00057FE8">
        <w:t>, and as confirmed by long-standing regulatory practices in this state</w:t>
      </w:r>
      <w:r w:rsidR="003A7F77" w:rsidRPr="00002CE4">
        <w:rPr>
          <w:i/>
        </w:rPr>
        <w:t>.</w:t>
      </w:r>
    </w:p>
    <w:p w14:paraId="462CA149" w14:textId="1541AFF3" w:rsidR="00A26ADF" w:rsidRDefault="00F0396C" w:rsidP="006635E2">
      <w:pPr>
        <w:pStyle w:val="ListParagraph"/>
        <w:keepNext/>
        <w:ind w:left="2160" w:hanging="720"/>
        <w:rPr>
          <w:b/>
        </w:rPr>
      </w:pPr>
      <w:r>
        <w:rPr>
          <w:b/>
        </w:rPr>
        <w:lastRenderedPageBreak/>
        <w:t>a</w:t>
      </w:r>
      <w:r w:rsidR="00A26ADF">
        <w:rPr>
          <w:b/>
        </w:rPr>
        <w:t>.</w:t>
      </w:r>
      <w:r w:rsidR="00A26ADF">
        <w:rPr>
          <w:b/>
        </w:rPr>
        <w:tab/>
      </w:r>
      <w:r w:rsidR="00D754CC">
        <w:rPr>
          <w:b/>
        </w:rPr>
        <w:t xml:space="preserve">PSE </w:t>
      </w:r>
      <w:r w:rsidR="00A26ADF">
        <w:rPr>
          <w:b/>
        </w:rPr>
        <w:t xml:space="preserve">Customers Bear Risks Associated With </w:t>
      </w:r>
      <w:r w:rsidR="003942A6">
        <w:rPr>
          <w:b/>
        </w:rPr>
        <w:t xml:space="preserve">Utility </w:t>
      </w:r>
      <w:r w:rsidR="00A26ADF">
        <w:rPr>
          <w:b/>
        </w:rPr>
        <w:t>Asset</w:t>
      </w:r>
      <w:r w:rsidR="003942A6">
        <w:rPr>
          <w:b/>
        </w:rPr>
        <w:t xml:space="preserve"> Ownership</w:t>
      </w:r>
      <w:r w:rsidR="00C679EB">
        <w:rPr>
          <w:b/>
        </w:rPr>
        <w:t>, a</w:t>
      </w:r>
      <w:r w:rsidR="00A26ADF">
        <w:rPr>
          <w:b/>
        </w:rPr>
        <w:t xml:space="preserve">s PSE Testified in the </w:t>
      </w:r>
      <w:r w:rsidR="00A26ADF">
        <w:rPr>
          <w:b/>
          <w:i/>
        </w:rPr>
        <w:t xml:space="preserve">Centralia </w:t>
      </w:r>
      <w:r w:rsidR="003A7F77">
        <w:rPr>
          <w:b/>
          <w:i/>
        </w:rPr>
        <w:t>Case</w:t>
      </w:r>
    </w:p>
    <w:p w14:paraId="39344629" w14:textId="77777777" w:rsidR="00A26ADF" w:rsidRPr="006A7848" w:rsidRDefault="00A26ADF" w:rsidP="006635E2">
      <w:pPr>
        <w:keepNext/>
        <w:rPr>
          <w:b/>
        </w:rPr>
      </w:pPr>
    </w:p>
    <w:p w14:paraId="7DCCE1DB" w14:textId="257323AB" w:rsidR="00F0396C" w:rsidRDefault="00A26ADF" w:rsidP="00002CE4">
      <w:pPr>
        <w:pStyle w:val="ListParagraph"/>
        <w:numPr>
          <w:ilvl w:val="0"/>
          <w:numId w:val="25"/>
        </w:numPr>
        <w:spacing w:line="480" w:lineRule="auto"/>
      </w:pPr>
      <w:r>
        <w:tab/>
      </w:r>
      <w:r w:rsidR="007521DC">
        <w:t xml:space="preserve">PSE </w:t>
      </w:r>
      <w:r w:rsidR="00F0396C">
        <w:t>insists</w:t>
      </w:r>
      <w:r w:rsidR="00F37798">
        <w:t xml:space="preserve"> </w:t>
      </w:r>
      <w:r w:rsidR="00BA3599">
        <w:t>customer</w:t>
      </w:r>
      <w:r w:rsidR="007521DC">
        <w:t xml:space="preserve">s bear no </w:t>
      </w:r>
      <w:r w:rsidR="00002CE4">
        <w:t xml:space="preserve">ownership </w:t>
      </w:r>
      <w:r w:rsidR="007521DC">
        <w:t xml:space="preserve">risk at all, </w:t>
      </w:r>
      <w:r w:rsidR="007349F4">
        <w:t xml:space="preserve">because </w:t>
      </w:r>
      <w:r w:rsidR="007521DC">
        <w:t>“only the cost” passes to customers.</w:t>
      </w:r>
      <w:r w:rsidR="007521DC">
        <w:rPr>
          <w:rStyle w:val="FootnoteReference"/>
        </w:rPr>
        <w:footnoteReference w:id="69"/>
      </w:r>
      <w:r w:rsidR="007521DC">
        <w:t xml:space="preserve">  </w:t>
      </w:r>
      <w:r w:rsidR="003942A6">
        <w:t xml:space="preserve">Semantics aside, </w:t>
      </w:r>
      <w:r w:rsidR="00F0396C">
        <w:t xml:space="preserve">what </w:t>
      </w:r>
      <w:r w:rsidR="007349F4">
        <w:t>PSE</w:t>
      </w:r>
      <w:r w:rsidR="00F37798">
        <w:t xml:space="preserve"> </w:t>
      </w:r>
      <w:r w:rsidR="00236685">
        <w:t xml:space="preserve">now </w:t>
      </w:r>
      <w:r w:rsidR="00F37798">
        <w:t>i</w:t>
      </w:r>
      <w:r w:rsidR="00236685">
        <w:t>s</w:t>
      </w:r>
      <w:r w:rsidR="00F37798">
        <w:t xml:space="preserve"> telling the Commission </w:t>
      </w:r>
      <w:r w:rsidR="007521DC">
        <w:t xml:space="preserve">directly contradicts </w:t>
      </w:r>
      <w:r w:rsidR="00F37798">
        <w:t xml:space="preserve">what PSE told the Commission in </w:t>
      </w:r>
      <w:r w:rsidR="007521DC">
        <w:t xml:space="preserve">the </w:t>
      </w:r>
      <w:r w:rsidR="007521DC" w:rsidRPr="00F0396C">
        <w:rPr>
          <w:i/>
        </w:rPr>
        <w:t xml:space="preserve">Centralia </w:t>
      </w:r>
      <w:r w:rsidR="003A7F77" w:rsidRPr="00F0396C">
        <w:rPr>
          <w:i/>
        </w:rPr>
        <w:t>Case</w:t>
      </w:r>
      <w:r w:rsidR="00417F17">
        <w:t>.</w:t>
      </w:r>
      <w:r w:rsidR="00F0396C">
        <w:t xml:space="preserve">  </w:t>
      </w:r>
      <w:r w:rsidR="003942A6">
        <w:t>In fact, w</w:t>
      </w:r>
      <w:r w:rsidR="00236685">
        <w:t xml:space="preserve">hen PSE </w:t>
      </w:r>
      <w:r w:rsidR="00F37798">
        <w:t xml:space="preserve">wanted </w:t>
      </w:r>
      <w:r w:rsidR="003942A6">
        <w:t xml:space="preserve">the Commission to approve the Company’s proposed </w:t>
      </w:r>
      <w:r w:rsidR="00F37798">
        <w:t>s</w:t>
      </w:r>
      <w:r w:rsidR="003942A6">
        <w:t>ale of</w:t>
      </w:r>
      <w:r w:rsidR="00F37798">
        <w:t xml:space="preserve"> </w:t>
      </w:r>
      <w:r w:rsidR="00125A4A">
        <w:t xml:space="preserve">its share of the </w:t>
      </w:r>
      <w:r w:rsidR="00F37798">
        <w:t xml:space="preserve">Centralia coal plant, </w:t>
      </w:r>
      <w:r w:rsidR="008B76C0">
        <w:t xml:space="preserve">the </w:t>
      </w:r>
      <w:r w:rsidR="00236685">
        <w:t>Company</w:t>
      </w:r>
      <w:r w:rsidR="00B039B6">
        <w:t xml:space="preserve"> convincingly argued </w:t>
      </w:r>
      <w:r w:rsidR="00F37798">
        <w:t xml:space="preserve">that </w:t>
      </w:r>
      <w:r w:rsidR="005F582E">
        <w:t>customers bore risks</w:t>
      </w:r>
      <w:r w:rsidR="00F37798">
        <w:t xml:space="preserve"> associated with PSE’s continued ownership of that plant.</w:t>
      </w:r>
      <w:r w:rsidR="007521DC">
        <w:t xml:space="preserve">  </w:t>
      </w:r>
    </w:p>
    <w:p w14:paraId="38017D27" w14:textId="77777777" w:rsidR="00417F17" w:rsidRDefault="00F0396C" w:rsidP="00821541">
      <w:pPr>
        <w:pStyle w:val="ListParagraph"/>
        <w:numPr>
          <w:ilvl w:val="0"/>
          <w:numId w:val="25"/>
        </w:numPr>
        <w:spacing w:line="480" w:lineRule="auto"/>
      </w:pPr>
      <w:r>
        <w:tab/>
      </w:r>
      <w:r w:rsidR="005A1F0D">
        <w:t>For example,</w:t>
      </w:r>
      <w:r w:rsidR="00F37798">
        <w:t xml:space="preserve"> PSE’s witness </w:t>
      </w:r>
      <w:r w:rsidR="003A7F77">
        <w:t xml:space="preserve">in that case, </w:t>
      </w:r>
      <w:r w:rsidR="00F37798">
        <w:t>Mr.</w:t>
      </w:r>
      <w:r w:rsidR="007521DC">
        <w:t xml:space="preserve"> Gaines</w:t>
      </w:r>
      <w:r w:rsidR="003A7F77">
        <w:t>,</w:t>
      </w:r>
      <w:r w:rsidR="007521DC">
        <w:t xml:space="preserve"> </w:t>
      </w:r>
      <w:r w:rsidR="00F37798">
        <w:t xml:space="preserve">warned about </w:t>
      </w:r>
      <w:r w:rsidR="005A1F0D">
        <w:t xml:space="preserve">the need to install “expensive new environmental controls on the plant, including scrubbers,” </w:t>
      </w:r>
      <w:r w:rsidR="00F37798">
        <w:t xml:space="preserve">and that </w:t>
      </w:r>
      <w:r w:rsidR="005F582E">
        <w:t>“</w:t>
      </w:r>
      <w:r w:rsidR="005A1F0D">
        <w:t xml:space="preserve">[a]bsent a sale, these costs </w:t>
      </w:r>
      <w:r w:rsidR="005A1F0D" w:rsidRPr="00F0396C">
        <w:rPr>
          <w:i/>
        </w:rPr>
        <w:t xml:space="preserve">and liabilities </w:t>
      </w:r>
      <w:r w:rsidR="005A1F0D">
        <w:t>likely would fall on PSE’s customers.”</w:t>
      </w:r>
      <w:r w:rsidR="005A1F0D">
        <w:rPr>
          <w:rStyle w:val="FootnoteReference"/>
        </w:rPr>
        <w:footnoteReference w:id="70"/>
      </w:r>
      <w:r w:rsidR="005A1F0D">
        <w:t xml:space="preserve">  </w:t>
      </w:r>
      <w:r w:rsidR="005F582E">
        <w:t xml:space="preserve">He also testified </w:t>
      </w:r>
      <w:r w:rsidR="005A1F0D">
        <w:t>that “[t]he risks [of early closure of the plant] are significant; selling the facility eliminates those risks for customers</w:t>
      </w:r>
      <w:r w:rsidR="005F582E">
        <w:t>,</w:t>
      </w:r>
      <w:r w:rsidR="005A1F0D">
        <w:t>”</w:t>
      </w:r>
      <w:r w:rsidR="005A1F0D">
        <w:rPr>
          <w:rStyle w:val="FootnoteReference"/>
        </w:rPr>
        <w:footnoteReference w:id="71"/>
      </w:r>
      <w:r w:rsidR="005F582E">
        <w:t xml:space="preserve"> and</w:t>
      </w:r>
      <w:r w:rsidR="005A1F0D">
        <w:t xml:space="preserve"> that “the proposed sale greatly reduces risks for customers.”</w:t>
      </w:r>
      <w:r w:rsidR="005A1F0D">
        <w:rPr>
          <w:rStyle w:val="FootnoteReference"/>
        </w:rPr>
        <w:footnoteReference w:id="72"/>
      </w:r>
    </w:p>
    <w:p w14:paraId="2C2B1EE8" w14:textId="564C741F" w:rsidR="00417F17" w:rsidRDefault="00417F17" w:rsidP="00417F17">
      <w:pPr>
        <w:pStyle w:val="ListParagraph"/>
        <w:numPr>
          <w:ilvl w:val="0"/>
          <w:numId w:val="25"/>
        </w:numPr>
        <w:spacing w:line="480" w:lineRule="auto"/>
      </w:pPr>
      <w:r>
        <w:tab/>
      </w:r>
      <w:r w:rsidR="005F582E">
        <w:t>PSE’s brief to the Commission in th</w:t>
      </w:r>
      <w:r w:rsidR="007349F4">
        <w:t xml:space="preserve">e </w:t>
      </w:r>
      <w:r w:rsidR="007349F4" w:rsidRPr="00417F17">
        <w:rPr>
          <w:i/>
        </w:rPr>
        <w:t>Centralia</w:t>
      </w:r>
      <w:r w:rsidR="00F0396C">
        <w:rPr>
          <w:i/>
        </w:rPr>
        <w:t xml:space="preserve"> Case</w:t>
      </w:r>
      <w:r w:rsidR="005F582E">
        <w:t xml:space="preserve"> </w:t>
      </w:r>
      <w:r w:rsidR="00F0396C">
        <w:t xml:space="preserve">strongly </w:t>
      </w:r>
      <w:r w:rsidR="00236685">
        <w:t xml:space="preserve">urged the Commission to accept the </w:t>
      </w:r>
      <w:r w:rsidR="008B76C0">
        <w:t xml:space="preserve">fact that </w:t>
      </w:r>
      <w:r w:rsidR="00014116">
        <w:t>customers</w:t>
      </w:r>
      <w:r w:rsidR="008B76C0">
        <w:t xml:space="preserve"> bore the risk of ownership</w:t>
      </w:r>
      <w:r w:rsidR="00014116">
        <w:t xml:space="preserve">.  </w:t>
      </w:r>
      <w:r w:rsidR="005F582E">
        <w:t xml:space="preserve">For example, PSE argued that the sale of the plant would place the risk of “potentially enormous environmental costs” and the cost of extending the plant’s life “on the new owners, instead of </w:t>
      </w:r>
      <w:r w:rsidR="00014116">
        <w:t xml:space="preserve">[PSE] </w:t>
      </w:r>
      <w:r w:rsidR="005F582E">
        <w:t>customers…</w:t>
      </w:r>
      <w:r w:rsidR="005E5652">
        <w:t>.</w:t>
      </w:r>
      <w:r w:rsidR="005F582E">
        <w:t>”</w:t>
      </w:r>
      <w:r w:rsidR="005F582E">
        <w:rPr>
          <w:rStyle w:val="FootnoteReference"/>
        </w:rPr>
        <w:footnoteReference w:id="73"/>
      </w:r>
      <w:r w:rsidR="003942A6">
        <w:t xml:space="preserve">  PSE </w:t>
      </w:r>
      <w:r w:rsidR="008B76C0">
        <w:t xml:space="preserve">concluded </w:t>
      </w:r>
      <w:r w:rsidR="003942A6">
        <w:t>that k</w:t>
      </w:r>
      <w:r w:rsidR="00735F35">
        <w:t>eeping the plant would “</w:t>
      </w:r>
      <w:r w:rsidR="00735F35" w:rsidRPr="003A7F77">
        <w:rPr>
          <w:i/>
        </w:rPr>
        <w:t>force customers to continue bearing the risks of ownership of the Centralia facilities</w:t>
      </w:r>
      <w:r w:rsidR="00735F35">
        <w:t>.</w:t>
      </w:r>
      <w:r w:rsidR="003A7F77">
        <w:t>”</w:t>
      </w:r>
      <w:r w:rsidR="00735F35">
        <w:rPr>
          <w:rStyle w:val="FootnoteReference"/>
        </w:rPr>
        <w:footnoteReference w:id="74"/>
      </w:r>
    </w:p>
    <w:p w14:paraId="0D4D66AD" w14:textId="77777777" w:rsidR="00417F17" w:rsidRDefault="00417F17" w:rsidP="00417F17">
      <w:pPr>
        <w:pStyle w:val="ListParagraph"/>
        <w:numPr>
          <w:ilvl w:val="0"/>
          <w:numId w:val="25"/>
        </w:numPr>
        <w:spacing w:line="480" w:lineRule="auto"/>
      </w:pPr>
      <w:r>
        <w:tab/>
      </w:r>
      <w:r w:rsidR="00735F35">
        <w:t xml:space="preserve">It is hard to imagine a more </w:t>
      </w:r>
      <w:r w:rsidR="00E94774">
        <w:t xml:space="preserve">explicit </w:t>
      </w:r>
      <w:r w:rsidR="00735F35">
        <w:t xml:space="preserve">Company concession that </w:t>
      </w:r>
      <w:r w:rsidR="005F582E">
        <w:t xml:space="preserve">ownership </w:t>
      </w:r>
      <w:r w:rsidR="00F37798">
        <w:t>risk</w:t>
      </w:r>
      <w:r w:rsidR="00735F35">
        <w:t>s are</w:t>
      </w:r>
      <w:r w:rsidR="00F37798">
        <w:t xml:space="preserve"> borne by </w:t>
      </w:r>
      <w:r w:rsidR="005F582E">
        <w:t>PSE customers.</w:t>
      </w:r>
      <w:r w:rsidR="007349F4">
        <w:t xml:space="preserve">  </w:t>
      </w:r>
    </w:p>
    <w:p w14:paraId="6D68BDC2" w14:textId="5EA1EF32" w:rsidR="00417F17" w:rsidRPr="007521DC" w:rsidRDefault="00EE0059" w:rsidP="00F0396C">
      <w:pPr>
        <w:ind w:left="2160" w:hanging="720"/>
      </w:pPr>
      <w:r>
        <w:rPr>
          <w:b/>
        </w:rPr>
        <w:lastRenderedPageBreak/>
        <w:t>b</w:t>
      </w:r>
      <w:r w:rsidR="00417F17">
        <w:rPr>
          <w:b/>
        </w:rPr>
        <w:t>.</w:t>
      </w:r>
      <w:r w:rsidR="00417F17">
        <w:rPr>
          <w:b/>
        </w:rPr>
        <w:tab/>
        <w:t xml:space="preserve">Experience in this State Proves the </w:t>
      </w:r>
      <w:r w:rsidR="00F052F8">
        <w:rPr>
          <w:b/>
        </w:rPr>
        <w:t xml:space="preserve">Pervasive </w:t>
      </w:r>
      <w:r w:rsidR="00417F17">
        <w:rPr>
          <w:b/>
        </w:rPr>
        <w:t>Shif</w:t>
      </w:r>
      <w:r w:rsidR="00430D6A">
        <w:rPr>
          <w:b/>
        </w:rPr>
        <w:t>t</w:t>
      </w:r>
      <w:r w:rsidR="00417F17">
        <w:rPr>
          <w:b/>
        </w:rPr>
        <w:t xml:space="preserve"> of Ownership Risk to PSE Customers</w:t>
      </w:r>
    </w:p>
    <w:p w14:paraId="66449D2E" w14:textId="77777777" w:rsidR="00417F17" w:rsidRDefault="00417F17" w:rsidP="00417F17">
      <w:pPr>
        <w:pStyle w:val="ListParagraph"/>
        <w:ind w:left="0" w:firstLine="720"/>
      </w:pPr>
    </w:p>
    <w:p w14:paraId="714EE884" w14:textId="63222AC5" w:rsidR="00417F17" w:rsidRDefault="00417F17" w:rsidP="006668FB">
      <w:pPr>
        <w:pStyle w:val="ListParagraph"/>
        <w:numPr>
          <w:ilvl w:val="0"/>
          <w:numId w:val="25"/>
        </w:numPr>
        <w:spacing w:line="480" w:lineRule="auto"/>
      </w:pPr>
      <w:r>
        <w:tab/>
      </w:r>
      <w:r w:rsidR="00057FE8">
        <w:t xml:space="preserve">In this case, </w:t>
      </w:r>
      <w:r w:rsidR="00014116">
        <w:t xml:space="preserve">PSE defines “ownership risk” </w:t>
      </w:r>
      <w:r w:rsidR="008C155A">
        <w:t>in a particular way</w:t>
      </w:r>
      <w:r w:rsidR="00014116">
        <w:t>, but the result is the same: customers bear ownership risk as PSE uses that term.</w:t>
      </w:r>
      <w:r w:rsidR="00002CE4">
        <w:t xml:space="preserve">  </w:t>
      </w:r>
      <w:r w:rsidR="00430D6A">
        <w:t xml:space="preserve">As </w:t>
      </w:r>
      <w:r w:rsidR="00014116">
        <w:t>PSE</w:t>
      </w:r>
      <w:r w:rsidR="00B75CB7">
        <w:t xml:space="preserve"> </w:t>
      </w:r>
      <w:r w:rsidR="00430D6A">
        <w:t xml:space="preserve">explained in its prepared testimony, </w:t>
      </w:r>
      <w:r w:rsidR="00BB39E0">
        <w:t xml:space="preserve">“the </w:t>
      </w:r>
      <w:r w:rsidR="00D41C2E">
        <w:t>risk of ownership</w:t>
      </w:r>
      <w:r w:rsidR="00BB39E0">
        <w:t xml:space="preserve"> associated with assets” means:  “T</w:t>
      </w:r>
      <w:r w:rsidR="00B94D11">
        <w:t>he value of the assets may change in unforeseen ways.</w:t>
      </w:r>
      <w:r w:rsidR="00BB39E0">
        <w:t xml:space="preserve">  Th</w:t>
      </w:r>
      <w:r w:rsidR="00B94D11">
        <w:t>is might be due to market conditions, including technology.  This risk of ownership falls on investors, and any gain or loss accrues to them.</w:t>
      </w:r>
      <w:r w:rsidR="00D41C2E">
        <w:t>”</w:t>
      </w:r>
      <w:r w:rsidR="00D41C2E">
        <w:rPr>
          <w:rStyle w:val="FootnoteReference"/>
        </w:rPr>
        <w:footnoteReference w:id="75"/>
      </w:r>
    </w:p>
    <w:p w14:paraId="7B3B04FD" w14:textId="77777777" w:rsidR="00417F17" w:rsidRDefault="00417F17" w:rsidP="00417F17">
      <w:pPr>
        <w:pStyle w:val="ListParagraph"/>
        <w:numPr>
          <w:ilvl w:val="0"/>
          <w:numId w:val="25"/>
        </w:numPr>
        <w:spacing w:line="480" w:lineRule="auto"/>
      </w:pPr>
      <w:r>
        <w:tab/>
      </w:r>
      <w:r w:rsidR="00F055B9">
        <w:t xml:space="preserve">There is no legal or factual basis for this testimony.  </w:t>
      </w:r>
      <w:r w:rsidR="0054310A">
        <w:t xml:space="preserve">First, the </w:t>
      </w:r>
      <w:r w:rsidR="00430D6A">
        <w:t xml:space="preserve">court in </w:t>
      </w:r>
      <w:r w:rsidR="0054310A" w:rsidRPr="00417F17">
        <w:rPr>
          <w:i/>
        </w:rPr>
        <w:t>Democratic Central Committee</w:t>
      </w:r>
      <w:r w:rsidR="0054310A">
        <w:t xml:space="preserve"> </w:t>
      </w:r>
      <w:r w:rsidR="00BB39E0">
        <w:t xml:space="preserve">concluded the exact opposite of what </w:t>
      </w:r>
      <w:r w:rsidR="0054310A">
        <w:t>PSE</w:t>
      </w:r>
      <w:r w:rsidR="003A7F77">
        <w:t xml:space="preserve"> now</w:t>
      </w:r>
      <w:r w:rsidR="0054310A">
        <w:t xml:space="preserve"> </w:t>
      </w:r>
      <w:r w:rsidR="00BB39E0">
        <w:t>claims</w:t>
      </w:r>
      <w:r w:rsidR="0054310A">
        <w:t>:  “practice in the utility field has long imposed on consumers substantial risks of loss and financial burden associated with the assets employed in the utility’s business.”</w:t>
      </w:r>
      <w:r w:rsidR="0054310A">
        <w:rPr>
          <w:rStyle w:val="FootnoteReference"/>
        </w:rPr>
        <w:footnoteReference w:id="76"/>
      </w:r>
    </w:p>
    <w:p w14:paraId="223B53A0" w14:textId="2A55AE99" w:rsidR="00417F17" w:rsidRDefault="00417F17" w:rsidP="00417F17">
      <w:pPr>
        <w:pStyle w:val="ListParagraph"/>
        <w:numPr>
          <w:ilvl w:val="0"/>
          <w:numId w:val="25"/>
        </w:numPr>
        <w:spacing w:line="480" w:lineRule="auto"/>
      </w:pPr>
      <w:r>
        <w:tab/>
      </w:r>
      <w:r w:rsidR="0054310A">
        <w:t xml:space="preserve">Second, </w:t>
      </w:r>
      <w:r w:rsidR="00F055B9">
        <w:t>a</w:t>
      </w:r>
      <w:r w:rsidR="0054310A">
        <w:t xml:space="preserve">s we just explained, </w:t>
      </w:r>
      <w:r w:rsidR="008C155A">
        <w:t xml:space="preserve">PSE’s position in this case contradicts its position in the </w:t>
      </w:r>
      <w:r w:rsidR="008C155A" w:rsidRPr="00417F17">
        <w:rPr>
          <w:i/>
        </w:rPr>
        <w:t xml:space="preserve">Centralia </w:t>
      </w:r>
      <w:r w:rsidR="003A7F77">
        <w:rPr>
          <w:i/>
        </w:rPr>
        <w:t>Case</w:t>
      </w:r>
      <w:r w:rsidR="0054310A">
        <w:t xml:space="preserve">, where </w:t>
      </w:r>
      <w:r w:rsidR="003A7F77">
        <w:t xml:space="preserve">the foundation of </w:t>
      </w:r>
      <w:r w:rsidR="0054310A">
        <w:t>PSE</w:t>
      </w:r>
      <w:r w:rsidR="003A7F77">
        <w:t xml:space="preserve">’s presentation was that </w:t>
      </w:r>
      <w:r w:rsidR="00002CE4">
        <w:t>customers bore ownership risk</w:t>
      </w:r>
      <w:r w:rsidR="0054310A">
        <w:t>.</w:t>
      </w:r>
    </w:p>
    <w:p w14:paraId="5903E263" w14:textId="166D94E7" w:rsidR="00417F17" w:rsidRDefault="00417F17" w:rsidP="00417F17">
      <w:pPr>
        <w:pStyle w:val="ListParagraph"/>
        <w:numPr>
          <w:ilvl w:val="0"/>
          <w:numId w:val="25"/>
        </w:numPr>
        <w:spacing w:line="480" w:lineRule="auto"/>
      </w:pPr>
      <w:r>
        <w:tab/>
      </w:r>
      <w:r w:rsidR="00F055B9">
        <w:t xml:space="preserve">Third, PSE’s </w:t>
      </w:r>
      <w:r w:rsidR="00660D60">
        <w:t xml:space="preserve">current </w:t>
      </w:r>
      <w:r w:rsidR="00F055B9">
        <w:t xml:space="preserve">position is </w:t>
      </w:r>
      <w:r w:rsidR="00196DD6">
        <w:t xml:space="preserve">refuted by </w:t>
      </w:r>
      <w:r w:rsidR="00F055B9">
        <w:t xml:space="preserve">the </w:t>
      </w:r>
      <w:r w:rsidR="00196DD6">
        <w:t xml:space="preserve">nature of </w:t>
      </w:r>
      <w:r w:rsidR="00F055B9">
        <w:t xml:space="preserve">regulation in this state.  </w:t>
      </w:r>
      <w:r w:rsidR="0054310A">
        <w:t xml:space="preserve">Below </w:t>
      </w:r>
      <w:r w:rsidR="00B94D11">
        <w:t>we offer a series of</w:t>
      </w:r>
      <w:r w:rsidR="00F055B9">
        <w:t xml:space="preserve"> </w:t>
      </w:r>
      <w:r w:rsidR="008C155A">
        <w:t xml:space="preserve">specific </w:t>
      </w:r>
      <w:r w:rsidR="00B94D11">
        <w:t>examples, each of which</w:t>
      </w:r>
      <w:r w:rsidR="004E62A3">
        <w:t xml:space="preserve"> prove why</w:t>
      </w:r>
      <w:r w:rsidR="008C155A">
        <w:t>,</w:t>
      </w:r>
      <w:r w:rsidR="004E62A3">
        <w:t xml:space="preserve"> in this state, </w:t>
      </w:r>
      <w:r w:rsidR="0054310A">
        <w:t xml:space="preserve">customers </w:t>
      </w:r>
      <w:r w:rsidR="008C155A">
        <w:t xml:space="preserve">bear </w:t>
      </w:r>
      <w:r w:rsidR="004E62A3">
        <w:t>the risk of ownership</w:t>
      </w:r>
      <w:r w:rsidR="008C155A">
        <w:t xml:space="preserve"> as PSE defines </w:t>
      </w:r>
      <w:r w:rsidR="0054310A">
        <w:t>that risk</w:t>
      </w:r>
      <w:r w:rsidR="004E62A3">
        <w:t xml:space="preserve">, </w:t>
      </w:r>
      <w:r w:rsidR="004E62A3" w:rsidRPr="00417F17">
        <w:rPr>
          <w:i/>
        </w:rPr>
        <w:t xml:space="preserve">i.e., </w:t>
      </w:r>
      <w:r w:rsidR="004E62A3">
        <w:t>the risk of asset value change.</w:t>
      </w:r>
      <w:r w:rsidR="005C445A">
        <w:t xml:space="preserve">  The primary example is the $709 million of regulatory assets </w:t>
      </w:r>
      <w:r w:rsidR="00F052F8">
        <w:t xml:space="preserve">currently </w:t>
      </w:r>
      <w:r w:rsidR="005C445A">
        <w:t xml:space="preserve">on PSE books, but there are </w:t>
      </w:r>
      <w:r w:rsidR="0054310A">
        <w:t xml:space="preserve">several </w:t>
      </w:r>
      <w:r w:rsidR="005C445A">
        <w:t>other</w:t>
      </w:r>
      <w:r w:rsidR="00F052F8">
        <w:t xml:space="preserve"> examples</w:t>
      </w:r>
      <w:r w:rsidR="005C445A">
        <w:t>.</w:t>
      </w:r>
    </w:p>
    <w:p w14:paraId="0510D1D3" w14:textId="5F4AFF40" w:rsidR="00417F17" w:rsidRPr="005C445A" w:rsidRDefault="00103E4C" w:rsidP="00417F17">
      <w:pPr>
        <w:pStyle w:val="ListParagraph"/>
        <w:spacing w:line="480" w:lineRule="auto"/>
        <w:ind w:left="0" w:firstLine="720"/>
        <w:rPr>
          <w:b/>
          <w:i/>
        </w:rPr>
      </w:pPr>
      <w:r>
        <w:rPr>
          <w:b/>
          <w:i/>
        </w:rPr>
        <w:t>Example 1:</w:t>
      </w:r>
      <w:r>
        <w:rPr>
          <w:b/>
          <w:i/>
        </w:rPr>
        <w:tab/>
        <w:t>$709 M</w:t>
      </w:r>
      <w:r w:rsidR="00417F17" w:rsidRPr="005C445A">
        <w:rPr>
          <w:b/>
          <w:i/>
        </w:rPr>
        <w:t xml:space="preserve">illion in </w:t>
      </w:r>
      <w:r>
        <w:rPr>
          <w:b/>
          <w:i/>
        </w:rPr>
        <w:t>R</w:t>
      </w:r>
      <w:r w:rsidR="00417F17" w:rsidRPr="005C445A">
        <w:rPr>
          <w:b/>
          <w:i/>
        </w:rPr>
        <w:t xml:space="preserve">egulatory </w:t>
      </w:r>
      <w:r>
        <w:rPr>
          <w:b/>
          <w:i/>
        </w:rPr>
        <w:t>A</w:t>
      </w:r>
      <w:r w:rsidR="00417F17" w:rsidRPr="005C445A">
        <w:rPr>
          <w:b/>
          <w:i/>
        </w:rPr>
        <w:t>ssets</w:t>
      </w:r>
    </w:p>
    <w:p w14:paraId="2E87984E" w14:textId="77777777" w:rsidR="000D667A" w:rsidRDefault="00417F17" w:rsidP="00417F17">
      <w:pPr>
        <w:pStyle w:val="ListParagraph"/>
        <w:numPr>
          <w:ilvl w:val="0"/>
          <w:numId w:val="25"/>
        </w:numPr>
        <w:spacing w:line="480" w:lineRule="auto"/>
      </w:pPr>
      <w:r>
        <w:tab/>
      </w:r>
      <w:r w:rsidR="005C445A">
        <w:t>PSE has $709,000,000 in regulatory assets on its books.</w:t>
      </w:r>
      <w:r w:rsidR="005C445A">
        <w:rPr>
          <w:rStyle w:val="FootnoteReference"/>
        </w:rPr>
        <w:footnoteReference w:id="77"/>
      </w:r>
      <w:r w:rsidR="005C445A">
        <w:t xml:space="preserve">  “Regulatory asset” is the term </w:t>
      </w:r>
    </w:p>
    <w:p w14:paraId="714E47AB" w14:textId="22EAC746" w:rsidR="00417F17" w:rsidRDefault="005C445A" w:rsidP="000D667A">
      <w:pPr>
        <w:pStyle w:val="ListParagraph"/>
        <w:spacing w:line="480" w:lineRule="auto"/>
        <w:ind w:left="0"/>
      </w:pPr>
      <w:r>
        <w:lastRenderedPageBreak/>
        <w:t>given to a cost that would have to be expensed</w:t>
      </w:r>
      <w:r w:rsidR="00660D60">
        <w:t>,</w:t>
      </w:r>
      <w:r w:rsidR="00125A4A">
        <w:t xml:space="preserve"> </w:t>
      </w:r>
      <w:r w:rsidR="00F052F8">
        <w:t xml:space="preserve">or </w:t>
      </w:r>
      <w:r w:rsidR="00EF4BE0">
        <w:t>an expenditure for an asset</w:t>
      </w:r>
      <w:r w:rsidR="003942A6">
        <w:t xml:space="preserve"> that is impaired</w:t>
      </w:r>
      <w:r w:rsidR="00660D60">
        <w:t>,</w:t>
      </w:r>
      <w:r w:rsidR="00EF4BE0">
        <w:rPr>
          <w:rStyle w:val="FootnoteReference"/>
        </w:rPr>
        <w:footnoteReference w:id="78"/>
      </w:r>
      <w:r>
        <w:t xml:space="preserve"> but </w:t>
      </w:r>
      <w:r w:rsidR="00660D60">
        <w:t xml:space="preserve">the item </w:t>
      </w:r>
      <w:r>
        <w:t xml:space="preserve">instead is capitalized because the regulator has </w:t>
      </w:r>
      <w:r w:rsidR="00125A4A">
        <w:t xml:space="preserve">determined that </w:t>
      </w:r>
      <w:r>
        <w:t xml:space="preserve">the </w:t>
      </w:r>
      <w:r w:rsidR="00125A4A">
        <w:t xml:space="preserve">expenditures </w:t>
      </w:r>
      <w:r>
        <w:t>will be recovered</w:t>
      </w:r>
      <w:r w:rsidR="00EF4BE0">
        <w:t xml:space="preserve"> from ratepayers</w:t>
      </w:r>
      <w:r>
        <w:t xml:space="preserve">.  </w:t>
      </w:r>
    </w:p>
    <w:p w14:paraId="632057EA" w14:textId="77777777" w:rsidR="00417F17" w:rsidRDefault="00417F17" w:rsidP="00417F17">
      <w:pPr>
        <w:pStyle w:val="ListParagraph"/>
        <w:numPr>
          <w:ilvl w:val="0"/>
          <w:numId w:val="25"/>
        </w:numPr>
        <w:spacing w:line="480" w:lineRule="auto"/>
      </w:pPr>
      <w:r>
        <w:tab/>
      </w:r>
      <w:r w:rsidR="005C445A">
        <w:t>The accounting rules for regulatory assets</w:t>
      </w:r>
      <w:r w:rsidR="005C445A">
        <w:rPr>
          <w:rStyle w:val="FootnoteReference"/>
        </w:rPr>
        <w:footnoteReference w:id="79"/>
      </w:r>
      <w:r w:rsidR="005C445A">
        <w:t xml:space="preserve"> make it crystal clear that i</w:t>
      </w:r>
      <w:r w:rsidR="005A1887">
        <w:t>t</w:t>
      </w:r>
      <w:r w:rsidR="005C445A">
        <w:t xml:space="preserve"> i</w:t>
      </w:r>
      <w:r w:rsidR="005A1887">
        <w:t>s</w:t>
      </w:r>
      <w:r w:rsidR="005C445A">
        <w:t xml:space="preserve"> only because </w:t>
      </w:r>
      <w:r w:rsidR="00BA3599">
        <w:t>customer</w:t>
      </w:r>
      <w:r w:rsidR="005C445A">
        <w:t>s are responsible to cover the cost</w:t>
      </w:r>
      <w:r w:rsidR="00660D60">
        <w:t xml:space="preserve"> </w:t>
      </w:r>
      <w:r w:rsidR="005C445A">
        <w:t xml:space="preserve">that </w:t>
      </w:r>
      <w:r w:rsidR="00BA1227">
        <w:t xml:space="preserve">PSE </w:t>
      </w:r>
      <w:r w:rsidR="005C445A">
        <w:t xml:space="preserve">may </w:t>
      </w:r>
      <w:r w:rsidR="00125A4A">
        <w:t xml:space="preserve">recognize </w:t>
      </w:r>
      <w:r w:rsidR="005C445A">
        <w:t>th</w:t>
      </w:r>
      <w:r w:rsidR="00BA1227">
        <w:t xml:space="preserve">at </w:t>
      </w:r>
      <w:r w:rsidR="00125A4A">
        <w:t>asset on its financial statements</w:t>
      </w:r>
      <w:r w:rsidR="00F052F8">
        <w:t>.</w:t>
      </w:r>
      <w:r w:rsidR="00BA1227">
        <w:t xml:space="preserve">  </w:t>
      </w:r>
      <w:r w:rsidR="00F052F8">
        <w:t>The accounting rules (</w:t>
      </w:r>
      <w:r w:rsidR="00BA1227">
        <w:t>ASC 980-340-25</w:t>
      </w:r>
      <w:r w:rsidR="00F052F8">
        <w:t>)</w:t>
      </w:r>
      <w:r w:rsidR="00BA1227">
        <w:t xml:space="preserve"> state in pertinent part (</w:t>
      </w:r>
      <w:r w:rsidR="00F052F8">
        <w:t xml:space="preserve">bold </w:t>
      </w:r>
      <w:r w:rsidR="00BA1227">
        <w:t>emphasis in the original)</w:t>
      </w:r>
      <w:r w:rsidR="005C445A">
        <w:t>:</w:t>
      </w:r>
      <w:r w:rsidR="00BA1227">
        <w:rPr>
          <w:rStyle w:val="FootnoteReference"/>
        </w:rPr>
        <w:footnoteReference w:id="80"/>
      </w:r>
    </w:p>
    <w:p w14:paraId="6AD9A251" w14:textId="77777777" w:rsidR="00417F17" w:rsidRPr="003478BD" w:rsidRDefault="00417F17" w:rsidP="00417F17">
      <w:pPr>
        <w:pStyle w:val="ListParagraph"/>
        <w:numPr>
          <w:ilvl w:val="0"/>
          <w:numId w:val="11"/>
        </w:numPr>
        <w:spacing w:after="120"/>
        <w:ind w:left="1080"/>
      </w:pPr>
      <w:r w:rsidRPr="003478BD">
        <w:t>Effects of Regulation</w:t>
      </w:r>
    </w:p>
    <w:p w14:paraId="3A34F65C" w14:textId="77777777" w:rsidR="00417F17" w:rsidRDefault="00417F17" w:rsidP="00417F17">
      <w:pPr>
        <w:pStyle w:val="ListParagraph"/>
        <w:spacing w:after="120"/>
        <w:ind w:left="1080"/>
      </w:pPr>
    </w:p>
    <w:p w14:paraId="1CDC07DB" w14:textId="77777777" w:rsidR="00417F17" w:rsidRPr="003478BD" w:rsidRDefault="00417F17" w:rsidP="00417F17">
      <w:pPr>
        <w:pStyle w:val="ListParagraph"/>
        <w:numPr>
          <w:ilvl w:val="0"/>
          <w:numId w:val="11"/>
        </w:numPr>
        <w:spacing w:after="120"/>
        <w:ind w:left="1080" w:firstLine="0"/>
      </w:pPr>
      <w:r w:rsidRPr="003478BD">
        <w:t>Recognition of Regulatory Assets</w:t>
      </w:r>
      <w:r w:rsidRPr="003478BD">
        <w:tab/>
      </w:r>
    </w:p>
    <w:p w14:paraId="40262DA2" w14:textId="77777777" w:rsidR="00417F17" w:rsidRDefault="00417F17" w:rsidP="00417F17">
      <w:pPr>
        <w:pStyle w:val="ListParagraph"/>
        <w:spacing w:after="120"/>
      </w:pPr>
    </w:p>
    <w:p w14:paraId="13B167DC" w14:textId="77777777" w:rsidR="00417F17" w:rsidRDefault="00417F17" w:rsidP="00417F17">
      <w:pPr>
        <w:pStyle w:val="ListParagraph"/>
        <w:spacing w:after="120"/>
      </w:pPr>
      <w:r>
        <w:t xml:space="preserve">An entity shall </w:t>
      </w:r>
      <w:r>
        <w:rPr>
          <w:b/>
        </w:rPr>
        <w:t>capitalize</w:t>
      </w:r>
      <w:r>
        <w:t xml:space="preserve"> all or part of an </w:t>
      </w:r>
      <w:r w:rsidRPr="00BA1227">
        <w:rPr>
          <w:b/>
        </w:rPr>
        <w:t xml:space="preserve">incurred </w:t>
      </w:r>
      <w:r>
        <w:rPr>
          <w:b/>
        </w:rPr>
        <w:t>cost</w:t>
      </w:r>
      <w:r>
        <w:t xml:space="preserve"> that would otherwise be charged to expense that would be charged if both of the following criteria are met:</w:t>
      </w:r>
    </w:p>
    <w:p w14:paraId="17EA2BC1" w14:textId="77777777" w:rsidR="00417F17" w:rsidRDefault="00417F17" w:rsidP="00417F17">
      <w:pPr>
        <w:pStyle w:val="ListParagraph"/>
        <w:spacing w:after="120"/>
      </w:pPr>
    </w:p>
    <w:p w14:paraId="0D9D53DF" w14:textId="77777777" w:rsidR="00417F17" w:rsidRDefault="00417F17" w:rsidP="00417F17">
      <w:pPr>
        <w:pStyle w:val="ListParagraph"/>
        <w:numPr>
          <w:ilvl w:val="0"/>
          <w:numId w:val="9"/>
        </w:numPr>
        <w:spacing w:after="120"/>
      </w:pPr>
      <w:r>
        <w:t xml:space="preserve">It is probable … that future revenue in an amount at least equal to the capitalized cost will result from inclusion of that cost in </w:t>
      </w:r>
      <w:r>
        <w:rPr>
          <w:b/>
        </w:rPr>
        <w:t>allowable costs</w:t>
      </w:r>
      <w:r>
        <w:t xml:space="preserve"> for rate-making purposes.</w:t>
      </w:r>
    </w:p>
    <w:p w14:paraId="67A753CC" w14:textId="77777777" w:rsidR="00417F17" w:rsidRDefault="00417F17" w:rsidP="00417F17">
      <w:pPr>
        <w:pStyle w:val="ListParagraph"/>
        <w:numPr>
          <w:ilvl w:val="0"/>
          <w:numId w:val="9"/>
        </w:numPr>
        <w:spacing w:after="120"/>
      </w:pPr>
      <w:r>
        <w:t>Based on the available evidence, the future revenue will be provided to permit recovery of the previously incurred cost rather than to provide for expected levels of similar future costs.  …</w:t>
      </w:r>
    </w:p>
    <w:p w14:paraId="1946A562" w14:textId="77777777" w:rsidR="00417F17" w:rsidRDefault="00417F17" w:rsidP="00417F17">
      <w:pPr>
        <w:pStyle w:val="ListParagraph"/>
        <w:spacing w:after="120"/>
      </w:pPr>
    </w:p>
    <w:p w14:paraId="22B215C6" w14:textId="4636A80D" w:rsidR="00417F17" w:rsidRDefault="00417F17" w:rsidP="00417F17">
      <w:pPr>
        <w:pStyle w:val="ListParagraph"/>
        <w:numPr>
          <w:ilvl w:val="0"/>
          <w:numId w:val="25"/>
        </w:numPr>
        <w:spacing w:line="480" w:lineRule="auto"/>
      </w:pPr>
      <w:r>
        <w:tab/>
      </w:r>
      <w:r w:rsidR="003942A6">
        <w:t>Only regulated companies</w:t>
      </w:r>
      <w:r w:rsidR="004B5E53">
        <w:t xml:space="preserve"> like PSE may enjoy</w:t>
      </w:r>
      <w:r w:rsidR="003942A6">
        <w:t xml:space="preserve"> this benefit; non-regulated businesses are not entitled to recognize regulatory assets on their books.</w:t>
      </w:r>
      <w:r w:rsidR="003942A6">
        <w:rPr>
          <w:rStyle w:val="FootnoteReference"/>
        </w:rPr>
        <w:footnoteReference w:id="81"/>
      </w:r>
      <w:r w:rsidR="003942A6">
        <w:t xml:space="preserve">  PSE has enjoyed this benefit</w:t>
      </w:r>
      <w:r w:rsidR="004B5E53">
        <w:t xml:space="preserve"> to the fullest. </w:t>
      </w:r>
      <w:r w:rsidR="000E3CEA">
        <w:t xml:space="preserve"> In fact, u</w:t>
      </w:r>
      <w:r w:rsidR="002A52FF">
        <w:t>nder this accounting standard as implemented</w:t>
      </w:r>
      <w:r w:rsidR="00660D60">
        <w:t xml:space="preserve"> in this state</w:t>
      </w:r>
      <w:r w:rsidR="002A52FF">
        <w:t xml:space="preserve">, PSE </w:t>
      </w:r>
      <w:r w:rsidR="00BA3599">
        <w:t>customer</w:t>
      </w:r>
      <w:r w:rsidR="0023210C">
        <w:t xml:space="preserve">s </w:t>
      </w:r>
      <w:r w:rsidR="0045266F">
        <w:t>are</w:t>
      </w:r>
      <w:r w:rsidR="0023210C">
        <w:t xml:space="preserve"> responsible</w:t>
      </w:r>
      <w:r w:rsidR="002A52FF">
        <w:t xml:space="preserve"> for </w:t>
      </w:r>
      <w:r w:rsidR="00660D60">
        <w:t>$709 million in</w:t>
      </w:r>
      <w:r w:rsidR="002A52FF">
        <w:t xml:space="preserve"> deferred costs</w:t>
      </w:r>
      <w:r w:rsidR="00EF4BE0">
        <w:t>,</w:t>
      </w:r>
      <w:r w:rsidR="0023210C">
        <w:t xml:space="preserve"> including carrying costs.  PSE bears litt</w:t>
      </w:r>
      <w:r w:rsidR="008C155A">
        <w:t>l</w:t>
      </w:r>
      <w:r w:rsidR="0023210C">
        <w:t xml:space="preserve">e or no risk </w:t>
      </w:r>
      <w:r w:rsidR="00660D60">
        <w:t xml:space="preserve">that </w:t>
      </w:r>
      <w:r w:rsidR="0023210C">
        <w:t>it will not recover these costs</w:t>
      </w:r>
      <w:r w:rsidR="00002CE4">
        <w:t xml:space="preserve">, </w:t>
      </w:r>
      <w:r w:rsidR="008C155A">
        <w:t>and th</w:t>
      </w:r>
      <w:r w:rsidR="00002CE4">
        <w:t>erefore,</w:t>
      </w:r>
      <w:r w:rsidR="008C155A">
        <w:t xml:space="preserve"> </w:t>
      </w:r>
      <w:r w:rsidR="00660D60">
        <w:t>PSE</w:t>
      </w:r>
      <w:r w:rsidR="008C155A">
        <w:t xml:space="preserve"> bears little or no</w:t>
      </w:r>
      <w:r w:rsidR="0023210C">
        <w:t xml:space="preserve"> risk that these assets may decline in value</w:t>
      </w:r>
      <w:r w:rsidR="008C155A">
        <w:t>.  U</w:t>
      </w:r>
      <w:r w:rsidR="005D74BE">
        <w:t>nder</w:t>
      </w:r>
      <w:r w:rsidR="002A52FF">
        <w:t xml:space="preserve"> </w:t>
      </w:r>
      <w:r w:rsidR="008C155A">
        <w:t>PSE</w:t>
      </w:r>
      <w:r w:rsidR="003942A6">
        <w:t>’s</w:t>
      </w:r>
      <w:r w:rsidR="008C155A">
        <w:t xml:space="preserve"> </w:t>
      </w:r>
      <w:r w:rsidR="0023210C">
        <w:t xml:space="preserve">definition of “ownership risk,” </w:t>
      </w:r>
      <w:r w:rsidR="00057FE8" w:rsidRPr="000E3CEA">
        <w:rPr>
          <w:i/>
        </w:rPr>
        <w:t xml:space="preserve">i.e., </w:t>
      </w:r>
      <w:r w:rsidR="008C155A">
        <w:t>th</w:t>
      </w:r>
      <w:r w:rsidR="00660D60">
        <w:t>e</w:t>
      </w:r>
      <w:r w:rsidR="008C155A">
        <w:t xml:space="preserve"> risk </w:t>
      </w:r>
      <w:r w:rsidR="00057FE8">
        <w:t xml:space="preserve">of capital loss or </w:t>
      </w:r>
      <w:r w:rsidR="00057FE8">
        <w:lastRenderedPageBreak/>
        <w:t xml:space="preserve">loss in the value of utility property, PSE’s </w:t>
      </w:r>
      <w:r w:rsidR="00BA3599">
        <w:t>customer</w:t>
      </w:r>
      <w:r w:rsidR="0023210C">
        <w:t>s</w:t>
      </w:r>
      <w:r w:rsidR="00D804B3">
        <w:t xml:space="preserve"> bear ownership risk</w:t>
      </w:r>
      <w:r w:rsidR="004B5E53">
        <w:t>;</w:t>
      </w:r>
      <w:r w:rsidR="00D804B3">
        <w:t xml:space="preserve"> in this instance, </w:t>
      </w:r>
      <w:r w:rsidR="0023210C">
        <w:t>to the tune of $709 million</w:t>
      </w:r>
      <w:r w:rsidR="00D804B3">
        <w:t xml:space="preserve"> in regulatory </w:t>
      </w:r>
      <w:r w:rsidR="00057FE8">
        <w:t>assets</w:t>
      </w:r>
      <w:r w:rsidR="0023210C">
        <w:t xml:space="preserve">.  </w:t>
      </w:r>
      <w:r w:rsidR="00891413">
        <w:t>Notably, the Jefferson County customers no longer can be called upon to pay even one penny of that amount; a harm no party addressed in their presentations</w:t>
      </w:r>
      <w:r w:rsidR="00057FE8">
        <w:t xml:space="preserve"> in this case</w:t>
      </w:r>
      <w:r w:rsidR="00891413">
        <w:t>.</w:t>
      </w:r>
    </w:p>
    <w:p w14:paraId="24FA043B" w14:textId="07F571D1" w:rsidR="00EB14D6" w:rsidRDefault="00EB14D6" w:rsidP="00417F17">
      <w:pPr>
        <w:pStyle w:val="ListParagraph"/>
        <w:numPr>
          <w:ilvl w:val="0"/>
          <w:numId w:val="25"/>
        </w:numPr>
        <w:spacing w:line="480" w:lineRule="auto"/>
      </w:pPr>
      <w:r>
        <w:tab/>
        <w:t>Put another way, if PSE is correct that shareholders truly bear the risk of ownership,</w:t>
      </w:r>
      <w:r w:rsidR="003942A6">
        <w:t xml:space="preserve"> then</w:t>
      </w:r>
      <w:r>
        <w:t xml:space="preserve"> they can have no reasonable expectation of future recovery of any of the $709 million in regulatory asset</w:t>
      </w:r>
      <w:r w:rsidR="000243D9">
        <w:t>s</w:t>
      </w:r>
      <w:r>
        <w:t xml:space="preserve"> currently on PSE’s books</w:t>
      </w:r>
      <w:r w:rsidR="00057FE8">
        <w:t xml:space="preserve">, and must bear </w:t>
      </w:r>
      <w:r w:rsidR="00002CE4">
        <w:t>any decline in the value of any of those assets</w:t>
      </w:r>
      <w:r>
        <w:t xml:space="preserve">.  The Commission would be justified in reopening each </w:t>
      </w:r>
      <w:r w:rsidR="00660D60">
        <w:t xml:space="preserve">of those deferral </w:t>
      </w:r>
      <w:r>
        <w:t>docket</w:t>
      </w:r>
      <w:r w:rsidR="00660D60">
        <w:t>s</w:t>
      </w:r>
      <w:r>
        <w:t>, and reconsider th</w:t>
      </w:r>
      <w:r w:rsidR="003942A6">
        <w:t>e</w:t>
      </w:r>
      <w:r>
        <w:t xml:space="preserve"> decision</w:t>
      </w:r>
      <w:r w:rsidR="003942A6">
        <w:t xml:space="preserve"> </w:t>
      </w:r>
      <w:r w:rsidR="00D804B3">
        <w:t>to place ownership risk on</w:t>
      </w:r>
      <w:r w:rsidR="003942A6">
        <w:t xml:space="preserve"> customers.</w:t>
      </w:r>
    </w:p>
    <w:p w14:paraId="268100DC" w14:textId="77777777" w:rsidR="00430D6A" w:rsidRDefault="00417F17" w:rsidP="006668FB">
      <w:pPr>
        <w:pStyle w:val="ListParagraph"/>
        <w:spacing w:line="480" w:lineRule="auto"/>
        <w:ind w:left="0"/>
      </w:pPr>
      <w:r>
        <w:tab/>
      </w:r>
      <w:r w:rsidR="00D41C2E" w:rsidRPr="00417F17">
        <w:rPr>
          <w:b/>
          <w:i/>
        </w:rPr>
        <w:t xml:space="preserve">Example </w:t>
      </w:r>
      <w:r w:rsidR="005D6840" w:rsidRPr="00417F17">
        <w:rPr>
          <w:b/>
          <w:i/>
        </w:rPr>
        <w:t>2</w:t>
      </w:r>
      <w:r w:rsidR="00D41C2E" w:rsidRPr="00417F17">
        <w:rPr>
          <w:b/>
          <w:i/>
        </w:rPr>
        <w:t>:  Obsole</w:t>
      </w:r>
      <w:r w:rsidR="003D2622" w:rsidRPr="00417F17">
        <w:rPr>
          <w:b/>
          <w:i/>
        </w:rPr>
        <w:t>te</w:t>
      </w:r>
      <w:r w:rsidR="00D41C2E" w:rsidRPr="00417F17">
        <w:rPr>
          <w:b/>
          <w:i/>
        </w:rPr>
        <w:t xml:space="preserve"> plant</w:t>
      </w:r>
      <w:r w:rsidR="00D41C2E">
        <w:t xml:space="preserve">  </w:t>
      </w:r>
    </w:p>
    <w:p w14:paraId="3D4C77F9" w14:textId="023FA231" w:rsidR="00417F17" w:rsidRDefault="00430D6A" w:rsidP="00417F17">
      <w:pPr>
        <w:pStyle w:val="ListParagraph"/>
        <w:numPr>
          <w:ilvl w:val="0"/>
          <w:numId w:val="25"/>
        </w:numPr>
        <w:spacing w:line="480" w:lineRule="auto"/>
      </w:pPr>
      <w:r>
        <w:tab/>
      </w:r>
      <w:r w:rsidR="003942A6">
        <w:t xml:space="preserve">Another way </w:t>
      </w:r>
      <w:r w:rsidR="003D2622">
        <w:t xml:space="preserve">utility </w:t>
      </w:r>
      <w:r w:rsidR="00D41C2E">
        <w:t>property</w:t>
      </w:r>
      <w:r w:rsidR="0023210C">
        <w:t xml:space="preserve"> may </w:t>
      </w:r>
      <w:r w:rsidR="003D2622">
        <w:t xml:space="preserve">change </w:t>
      </w:r>
      <w:r w:rsidR="003942A6">
        <w:t xml:space="preserve">in value is due to </w:t>
      </w:r>
      <w:r w:rsidR="00D41C2E">
        <w:t>technolog</w:t>
      </w:r>
      <w:r w:rsidR="003942A6">
        <w:t>ical</w:t>
      </w:r>
      <w:r w:rsidR="00D41C2E">
        <w:t xml:space="preserve"> change</w:t>
      </w:r>
      <w:r w:rsidR="003D2622">
        <w:t>s</w:t>
      </w:r>
      <w:r w:rsidR="0023210C">
        <w:t xml:space="preserve">.  </w:t>
      </w:r>
      <w:r w:rsidR="00057FE8">
        <w:t>Consistent with PSE</w:t>
      </w:r>
      <w:r w:rsidR="00D804B3">
        <w:t>’s</w:t>
      </w:r>
      <w:r w:rsidR="00057FE8">
        <w:t xml:space="preserve"> theory, if </w:t>
      </w:r>
      <w:r w:rsidR="0023210C">
        <w:t xml:space="preserve">technology </w:t>
      </w:r>
      <w:r w:rsidR="00057FE8">
        <w:t xml:space="preserve">adversely </w:t>
      </w:r>
      <w:r w:rsidR="00893202">
        <w:t>affects the value of</w:t>
      </w:r>
      <w:r w:rsidR="00525BAC">
        <w:t xml:space="preserve"> </w:t>
      </w:r>
      <w:r w:rsidR="0023210C">
        <w:t>a utility asset</w:t>
      </w:r>
      <w:r w:rsidR="005F3636">
        <w:t xml:space="preserve"> </w:t>
      </w:r>
      <w:r w:rsidR="005D74BE">
        <w:t xml:space="preserve">before it </w:t>
      </w:r>
      <w:r w:rsidR="005F3636">
        <w:t xml:space="preserve">is fully depreciated, the utility would absorb </w:t>
      </w:r>
      <w:r w:rsidR="00D804B3">
        <w:t>the</w:t>
      </w:r>
      <w:r w:rsidR="005F3636">
        <w:t xml:space="preserve"> lo</w:t>
      </w:r>
      <w:r w:rsidR="00660D60">
        <w:t xml:space="preserve">ss </w:t>
      </w:r>
      <w:r w:rsidR="00807F90">
        <w:t xml:space="preserve">and </w:t>
      </w:r>
      <w:r w:rsidR="00D804B3">
        <w:t xml:space="preserve">remove </w:t>
      </w:r>
      <w:r w:rsidR="00660D60">
        <w:t xml:space="preserve">the obsolete property </w:t>
      </w:r>
      <w:r w:rsidR="00807F90">
        <w:t xml:space="preserve">would be </w:t>
      </w:r>
      <w:r w:rsidR="005F3636">
        <w:t xml:space="preserve">removed from rate base. </w:t>
      </w:r>
      <w:r w:rsidR="008C155A">
        <w:t xml:space="preserve"> </w:t>
      </w:r>
      <w:r w:rsidR="002A52FF">
        <w:t xml:space="preserve">However, </w:t>
      </w:r>
      <w:r w:rsidR="005D74BE">
        <w:t xml:space="preserve">that </w:t>
      </w:r>
      <w:r w:rsidR="00125A4A">
        <w:t>does</w:t>
      </w:r>
      <w:r w:rsidR="002A52FF">
        <w:t xml:space="preserve"> not happen.  Instead, customers bear this form of “ownership risk.”  As </w:t>
      </w:r>
      <w:r w:rsidR="008C155A">
        <w:t xml:space="preserve">the court concluded in </w:t>
      </w:r>
      <w:r w:rsidR="008C155A" w:rsidRPr="004B5E53">
        <w:rPr>
          <w:i/>
        </w:rPr>
        <w:t>Democratic Central Committee</w:t>
      </w:r>
      <w:r w:rsidR="008C155A">
        <w:t>:</w:t>
      </w:r>
      <w:r w:rsidR="008C155A" w:rsidRPr="004B5E53">
        <w:rPr>
          <w:i/>
        </w:rPr>
        <w:t xml:space="preserve">  </w:t>
      </w:r>
      <w:r w:rsidR="008C155A">
        <w:t>“The risk of loss from premature retirement of assets because of obsolescence, as a general rule, also falls on consumers.”</w:t>
      </w:r>
      <w:r w:rsidR="008C155A">
        <w:rPr>
          <w:rStyle w:val="FootnoteReference"/>
        </w:rPr>
        <w:footnoteReference w:id="82"/>
      </w:r>
    </w:p>
    <w:p w14:paraId="39A3636C" w14:textId="77777777" w:rsidR="00417F17" w:rsidRDefault="00417F17" w:rsidP="00417F17">
      <w:pPr>
        <w:pStyle w:val="ListParagraph"/>
        <w:numPr>
          <w:ilvl w:val="0"/>
          <w:numId w:val="25"/>
        </w:numPr>
        <w:spacing w:line="480" w:lineRule="auto"/>
      </w:pPr>
      <w:r>
        <w:tab/>
      </w:r>
      <w:r w:rsidR="00BB39E0">
        <w:t>The record provides</w:t>
      </w:r>
      <w:r w:rsidR="005D6840">
        <w:t xml:space="preserve"> the accounting basis for this general rule.  As </w:t>
      </w:r>
      <w:r w:rsidR="00D34772">
        <w:t>Public Counsel’s witness</w:t>
      </w:r>
      <w:r w:rsidR="005D6840">
        <w:t xml:space="preserve"> </w:t>
      </w:r>
      <w:r w:rsidR="00922B45">
        <w:t xml:space="preserve">testified, </w:t>
      </w:r>
      <w:r w:rsidR="005D6840">
        <w:t xml:space="preserve">when obsolete property is retired before it is fully depreciated, </w:t>
      </w:r>
      <w:r w:rsidR="003D2622">
        <w:t>the “cost of removal, salvage realiz</w:t>
      </w:r>
      <w:r w:rsidR="00660D60">
        <w:t>ed, as well as the net … ‘under’</w:t>
      </w:r>
      <w:r w:rsidR="003D2622">
        <w:t xml:space="preserve"> recovered original cost plant are all recorded within the Accumulated Depreciation Reserve Account.”</w:t>
      </w:r>
      <w:r w:rsidR="003D2622">
        <w:rPr>
          <w:rStyle w:val="FootnoteReference"/>
        </w:rPr>
        <w:footnoteReference w:id="83"/>
      </w:r>
      <w:r w:rsidR="00D41C2E">
        <w:t xml:space="preserve"> </w:t>
      </w:r>
      <w:r w:rsidR="003D2622">
        <w:t xml:space="preserve"> “In sum, in the vast </w:t>
      </w:r>
      <w:r w:rsidR="003D2622">
        <w:lastRenderedPageBreak/>
        <w:t xml:space="preserve">majority of instances, </w:t>
      </w:r>
      <w:r w:rsidR="00BA3599">
        <w:t>customer</w:t>
      </w:r>
      <w:r w:rsidR="003D2622">
        <w:t>s effectively bear any losses and enjoy any implicit gains arising when plant is removed from utility service.</w:t>
      </w:r>
      <w:r w:rsidR="00660D60">
        <w:t>”</w:t>
      </w:r>
      <w:r w:rsidR="003D2622">
        <w:rPr>
          <w:rStyle w:val="FootnoteReference"/>
        </w:rPr>
        <w:footnoteReference w:id="84"/>
      </w:r>
    </w:p>
    <w:p w14:paraId="4C2A0984" w14:textId="77777777" w:rsidR="00417F17" w:rsidRDefault="00417F17" w:rsidP="00417F17">
      <w:pPr>
        <w:pStyle w:val="ListParagraph"/>
        <w:numPr>
          <w:ilvl w:val="0"/>
          <w:numId w:val="25"/>
        </w:numPr>
        <w:spacing w:line="480" w:lineRule="auto"/>
      </w:pPr>
      <w:r>
        <w:tab/>
      </w:r>
      <w:r w:rsidR="00922B45">
        <w:t xml:space="preserve">As </w:t>
      </w:r>
      <w:r w:rsidR="00D34772">
        <w:t>ICNU’s witness</w:t>
      </w:r>
      <w:r w:rsidR="00922B45">
        <w:t xml:space="preserve"> </w:t>
      </w:r>
      <w:r w:rsidR="00660D60">
        <w:t>summari</w:t>
      </w:r>
      <w:r w:rsidR="003942A6">
        <w:t>z</w:t>
      </w:r>
      <w:r w:rsidR="00660D60">
        <w:t>ed</w:t>
      </w:r>
      <w:r w:rsidR="00922B45">
        <w:t>: “asset cost recovery risk is transferred to customers in the event of early plant retirement …  PSE has failed to acknowledge that the ratemaking constructs, and accounting mechanisms, shift significant asset recovery risk to customer in these circumstances.”</w:t>
      </w:r>
      <w:r w:rsidR="00922B45">
        <w:rPr>
          <w:rStyle w:val="FootnoteReference"/>
        </w:rPr>
        <w:footnoteReference w:id="85"/>
      </w:r>
    </w:p>
    <w:p w14:paraId="03BBDA48" w14:textId="77777777" w:rsidR="00417F17" w:rsidRDefault="00417F17" w:rsidP="00417F17">
      <w:pPr>
        <w:pStyle w:val="ListParagraph"/>
        <w:numPr>
          <w:ilvl w:val="0"/>
          <w:numId w:val="25"/>
        </w:numPr>
        <w:spacing w:line="480" w:lineRule="auto"/>
      </w:pPr>
      <w:r>
        <w:tab/>
      </w:r>
      <w:r w:rsidR="00BB39E0">
        <w:t xml:space="preserve">In sum, </w:t>
      </w:r>
      <w:r w:rsidR="005D74BE">
        <w:t xml:space="preserve">as a regulated utility </w:t>
      </w:r>
      <w:r w:rsidR="00BB39E0">
        <w:t xml:space="preserve">PSE </w:t>
      </w:r>
      <w:r w:rsidR="005220E4">
        <w:t xml:space="preserve">transfers to </w:t>
      </w:r>
      <w:r w:rsidR="00BB39E0">
        <w:t>customers the “risk of</w:t>
      </w:r>
      <w:r w:rsidR="00660D60">
        <w:t xml:space="preserve"> ownership” (</w:t>
      </w:r>
      <w:r w:rsidR="00660D60">
        <w:rPr>
          <w:i/>
        </w:rPr>
        <w:t>i.e.,</w:t>
      </w:r>
      <w:r w:rsidR="00660D60">
        <w:t xml:space="preserve"> </w:t>
      </w:r>
      <w:r w:rsidR="00BB39E0">
        <w:t>loss of asset value</w:t>
      </w:r>
      <w:r w:rsidR="00660D60">
        <w:t>)</w:t>
      </w:r>
      <w:r w:rsidR="00BB39E0">
        <w:t xml:space="preserve"> due to obsolescence.</w:t>
      </w:r>
    </w:p>
    <w:p w14:paraId="58B1C104" w14:textId="77777777" w:rsidR="00B76C50" w:rsidRPr="006A0D58" w:rsidRDefault="00417F17" w:rsidP="006668FB">
      <w:pPr>
        <w:pStyle w:val="ListParagraph"/>
        <w:spacing w:line="480" w:lineRule="auto"/>
        <w:ind w:left="0"/>
        <w:rPr>
          <w:b/>
        </w:rPr>
      </w:pPr>
      <w:r>
        <w:tab/>
      </w:r>
      <w:r w:rsidR="003D2622" w:rsidRPr="00807F90">
        <w:rPr>
          <w:b/>
          <w:i/>
        </w:rPr>
        <w:t xml:space="preserve">Example </w:t>
      </w:r>
      <w:r w:rsidR="005D6840" w:rsidRPr="00807F90">
        <w:rPr>
          <w:b/>
          <w:i/>
        </w:rPr>
        <w:t>3</w:t>
      </w:r>
      <w:r w:rsidR="003D2622" w:rsidRPr="00190B24">
        <w:rPr>
          <w:b/>
          <w:i/>
        </w:rPr>
        <w:t>:</w:t>
      </w:r>
      <w:r w:rsidR="009A75CC" w:rsidRPr="00190B24">
        <w:rPr>
          <w:b/>
          <w:i/>
        </w:rPr>
        <w:t xml:space="preserve">  </w:t>
      </w:r>
      <w:r w:rsidR="00F821F5" w:rsidRPr="00196DD6">
        <w:rPr>
          <w:b/>
          <w:i/>
        </w:rPr>
        <w:t xml:space="preserve">Extraordinary </w:t>
      </w:r>
      <w:r w:rsidR="003D2622" w:rsidRPr="00196DD6">
        <w:rPr>
          <w:b/>
          <w:i/>
        </w:rPr>
        <w:t>Storm Damage</w:t>
      </w:r>
      <w:r w:rsidR="003D2622" w:rsidRPr="006A0D58">
        <w:rPr>
          <w:b/>
          <w:i/>
        </w:rPr>
        <w:t xml:space="preserve"> </w:t>
      </w:r>
      <w:r w:rsidR="00F821F5" w:rsidRPr="006A0D58">
        <w:rPr>
          <w:b/>
          <w:i/>
        </w:rPr>
        <w:t>Losses</w:t>
      </w:r>
      <w:r w:rsidR="003D2622" w:rsidRPr="006A0D58">
        <w:rPr>
          <w:b/>
        </w:rPr>
        <w:t xml:space="preserve"> </w:t>
      </w:r>
    </w:p>
    <w:p w14:paraId="36468D85" w14:textId="1A63277D" w:rsidR="00417F17" w:rsidRDefault="00B76C50" w:rsidP="00417F17">
      <w:pPr>
        <w:pStyle w:val="ListParagraph"/>
        <w:numPr>
          <w:ilvl w:val="0"/>
          <w:numId w:val="25"/>
        </w:numPr>
        <w:spacing w:line="480" w:lineRule="auto"/>
      </w:pPr>
      <w:r>
        <w:tab/>
      </w:r>
      <w:r w:rsidR="003D2622">
        <w:t>The value of PSE’s assets</w:t>
      </w:r>
      <w:r w:rsidR="002A52FF">
        <w:t xml:space="preserve"> can also change when a severe </w:t>
      </w:r>
      <w:r w:rsidR="003D2622">
        <w:t xml:space="preserve">storm </w:t>
      </w:r>
      <w:r w:rsidR="002A52FF">
        <w:t xml:space="preserve">reduces the value of PSE’s </w:t>
      </w:r>
      <w:r w:rsidR="003D2622">
        <w:t xml:space="preserve">distribution plant </w:t>
      </w:r>
      <w:r w:rsidR="005D6840">
        <w:t xml:space="preserve">or other property </w:t>
      </w:r>
      <w:r w:rsidR="002A52FF">
        <w:t xml:space="preserve">by rendering that property </w:t>
      </w:r>
      <w:r w:rsidR="003D2622">
        <w:t>unusable.</w:t>
      </w:r>
      <w:r w:rsidR="006A70D4">
        <w:t xml:space="preserve">  </w:t>
      </w:r>
      <w:r w:rsidR="002A52FF">
        <w:t>Storm damage costs are a</w:t>
      </w:r>
      <w:r w:rsidR="005D6840">
        <w:t xml:space="preserve">mong the $709 million in regulatory assets on PSE’s books, and for which </w:t>
      </w:r>
      <w:r w:rsidR="00BA3599">
        <w:t>customer</w:t>
      </w:r>
      <w:r w:rsidR="005D6840">
        <w:t>s alone are responsible</w:t>
      </w:r>
      <w:r w:rsidR="00F821F5">
        <w:t xml:space="preserve">.  </w:t>
      </w:r>
      <w:r w:rsidR="00D804B3">
        <w:t>PSE is allowed to defer all storm damage expenses a</w:t>
      </w:r>
      <w:r w:rsidR="00F821F5">
        <w:t>bove the $8 million dollars of storm damage included in t</w:t>
      </w:r>
      <w:r w:rsidR="00D804B3">
        <w:t xml:space="preserve">he normal rate setting process.  This </w:t>
      </w:r>
      <w:r w:rsidR="005D74BE">
        <w:t>c</w:t>
      </w:r>
      <w:r w:rsidR="00660D60">
        <w:t>reat</w:t>
      </w:r>
      <w:r w:rsidR="00D804B3">
        <w:t>es</w:t>
      </w:r>
      <w:r w:rsidR="00660D60">
        <w:t xml:space="preserve"> a regulatory asset </w:t>
      </w:r>
      <w:r w:rsidR="005D74BE">
        <w:t>th</w:t>
      </w:r>
      <w:r w:rsidR="00F821F5">
        <w:t>at assures full recovery of that extraordinary amount</w:t>
      </w:r>
      <w:r w:rsidR="009A75CC">
        <w:t>.</w:t>
      </w:r>
      <w:r w:rsidR="009A75CC">
        <w:rPr>
          <w:rStyle w:val="FootnoteReference"/>
        </w:rPr>
        <w:footnoteReference w:id="86"/>
      </w:r>
      <w:r w:rsidR="009A75CC">
        <w:t xml:space="preserve">  PSE also capitalizes </w:t>
      </w:r>
      <w:r w:rsidR="00893202">
        <w:t xml:space="preserve">the cost associated with </w:t>
      </w:r>
      <w:r w:rsidR="009A75CC">
        <w:t>any assets that are installed as a result of a storm</w:t>
      </w:r>
      <w:r w:rsidR="00660D60">
        <w:t xml:space="preserve">, which increases the rate base and thus, </w:t>
      </w:r>
      <w:r w:rsidR="00D804B3">
        <w:t xml:space="preserve">increases </w:t>
      </w:r>
      <w:r w:rsidR="00660D60">
        <w:t>PSE’s dollar return on investment</w:t>
      </w:r>
      <w:r w:rsidR="00893202">
        <w:t>.</w:t>
      </w:r>
      <w:r w:rsidR="009A75CC">
        <w:rPr>
          <w:rStyle w:val="FootnoteReference"/>
        </w:rPr>
        <w:footnoteReference w:id="87"/>
      </w:r>
    </w:p>
    <w:p w14:paraId="4BB003B4" w14:textId="68EE9E14" w:rsidR="00417F17" w:rsidRDefault="00417F17" w:rsidP="006668FB">
      <w:pPr>
        <w:pStyle w:val="ListParagraph"/>
        <w:numPr>
          <w:ilvl w:val="0"/>
          <w:numId w:val="25"/>
        </w:numPr>
        <w:spacing w:line="480" w:lineRule="auto"/>
      </w:pPr>
      <w:r>
        <w:tab/>
      </w:r>
      <w:r w:rsidR="00660D60">
        <w:t xml:space="preserve">In other words, </w:t>
      </w:r>
      <w:r w:rsidR="00F821F5">
        <w:t xml:space="preserve">it is ratepayers who bear the risk of </w:t>
      </w:r>
      <w:r w:rsidR="00BB39E0">
        <w:t xml:space="preserve">capital loss </w:t>
      </w:r>
      <w:r w:rsidR="00F821F5">
        <w:t xml:space="preserve">associated with extraordinary events such as severe storms </w:t>
      </w:r>
      <w:r w:rsidR="00057FE8">
        <w:t xml:space="preserve">and </w:t>
      </w:r>
      <w:r w:rsidR="00F821F5">
        <w:t xml:space="preserve">other </w:t>
      </w:r>
      <w:r w:rsidR="00057FE8">
        <w:t>similar extraordinary events.</w:t>
      </w:r>
    </w:p>
    <w:p w14:paraId="3A8AE8CF" w14:textId="77777777" w:rsidR="00B76C50" w:rsidRPr="00B76C50" w:rsidRDefault="00417F17" w:rsidP="006635E2">
      <w:pPr>
        <w:pStyle w:val="ListParagraph"/>
        <w:keepNext/>
        <w:spacing w:line="480" w:lineRule="auto"/>
        <w:ind w:left="0"/>
      </w:pPr>
      <w:r>
        <w:lastRenderedPageBreak/>
        <w:tab/>
      </w:r>
      <w:r w:rsidR="009A75CC" w:rsidRPr="00417F17">
        <w:rPr>
          <w:b/>
          <w:i/>
        </w:rPr>
        <w:t xml:space="preserve">Example </w:t>
      </w:r>
      <w:r w:rsidR="005D6840" w:rsidRPr="00417F17">
        <w:rPr>
          <w:b/>
          <w:i/>
        </w:rPr>
        <w:t>4</w:t>
      </w:r>
      <w:r w:rsidR="009A75CC" w:rsidRPr="00417F17">
        <w:rPr>
          <w:b/>
          <w:i/>
        </w:rPr>
        <w:t xml:space="preserve">:  </w:t>
      </w:r>
      <w:r w:rsidR="005D6840" w:rsidRPr="00417F17">
        <w:rPr>
          <w:b/>
          <w:i/>
        </w:rPr>
        <w:t>Abandoned Project Capital Losses</w:t>
      </w:r>
      <w:r w:rsidR="009A75CC" w:rsidRPr="00417F17">
        <w:rPr>
          <w:b/>
          <w:i/>
        </w:rPr>
        <w:t xml:space="preserve">  </w:t>
      </w:r>
    </w:p>
    <w:p w14:paraId="7E120D8F" w14:textId="77777777" w:rsidR="00417F17" w:rsidRDefault="00B76C50" w:rsidP="00417F17">
      <w:pPr>
        <w:pStyle w:val="ListParagraph"/>
        <w:numPr>
          <w:ilvl w:val="0"/>
          <w:numId w:val="25"/>
        </w:numPr>
        <w:spacing w:line="480" w:lineRule="auto"/>
      </w:pPr>
      <w:r>
        <w:rPr>
          <w:b/>
        </w:rPr>
        <w:tab/>
      </w:r>
      <w:r w:rsidR="002A52FF">
        <w:t>When a utility abandons a major project before it is completed,</w:t>
      </w:r>
      <w:r w:rsidR="00C05B99">
        <w:t xml:space="preserve"> </w:t>
      </w:r>
      <w:r w:rsidR="002A52FF">
        <w:t>the</w:t>
      </w:r>
      <w:r w:rsidR="005220E4">
        <w:t>re</w:t>
      </w:r>
      <w:r w:rsidR="005D74BE">
        <w:t xml:space="preserve"> </w:t>
      </w:r>
      <w:r w:rsidR="002A52FF">
        <w:t>is a</w:t>
      </w:r>
      <w:r w:rsidR="009A75CC" w:rsidRPr="009A75CC">
        <w:t xml:space="preserve"> </w:t>
      </w:r>
      <w:r w:rsidR="005220E4">
        <w:t xml:space="preserve">total </w:t>
      </w:r>
      <w:r w:rsidR="00E108AB">
        <w:t xml:space="preserve">loss in </w:t>
      </w:r>
      <w:r w:rsidR="00C05B99">
        <w:t xml:space="preserve">the </w:t>
      </w:r>
      <w:r w:rsidR="00E108AB">
        <w:t xml:space="preserve">value of </w:t>
      </w:r>
      <w:r w:rsidR="002A52FF">
        <w:t xml:space="preserve">that </w:t>
      </w:r>
      <w:r w:rsidR="00E108AB">
        <w:t>property</w:t>
      </w:r>
      <w:r>
        <w:t xml:space="preserve"> (</w:t>
      </w:r>
      <w:r w:rsidR="005D74BE">
        <w:t>after salvage</w:t>
      </w:r>
      <w:r>
        <w:t>)</w:t>
      </w:r>
      <w:r w:rsidR="00E108AB">
        <w:t>.</w:t>
      </w:r>
      <w:r w:rsidR="009A75CC">
        <w:t xml:space="preserve">  </w:t>
      </w:r>
      <w:r w:rsidR="00C05B99">
        <w:t>In these circumstances, t</w:t>
      </w:r>
      <w:r w:rsidR="00BB39E0">
        <w:t xml:space="preserve">he Commission </w:t>
      </w:r>
      <w:r w:rsidR="00660D60">
        <w:t xml:space="preserve">has </w:t>
      </w:r>
      <w:r w:rsidR="00BB39E0">
        <w:t xml:space="preserve">required </w:t>
      </w:r>
      <w:r w:rsidR="00BA3599">
        <w:t>customer</w:t>
      </w:r>
      <w:r w:rsidR="00BB39E0">
        <w:t xml:space="preserve">s </w:t>
      </w:r>
      <w:r w:rsidR="00C05B99">
        <w:t xml:space="preserve">to </w:t>
      </w:r>
      <w:r w:rsidR="00BB39E0">
        <w:t xml:space="preserve">cover </w:t>
      </w:r>
      <w:r w:rsidR="00C05B99">
        <w:t xml:space="preserve">most of </w:t>
      </w:r>
      <w:r w:rsidR="00BB39E0">
        <w:t>PSE’s loss</w:t>
      </w:r>
      <w:r w:rsidR="005D74BE">
        <w:t xml:space="preserve">, enabling </w:t>
      </w:r>
      <w:r w:rsidR="00660D60">
        <w:t xml:space="preserve">the Company </w:t>
      </w:r>
      <w:r w:rsidR="005220E4">
        <w:t xml:space="preserve">to record a regulatory asset and recover those costs from ratepayers.  </w:t>
      </w:r>
      <w:r w:rsidR="00BB39E0">
        <w:t>T</w:t>
      </w:r>
      <w:r w:rsidR="00C05B99">
        <w:t>wo examples are</w:t>
      </w:r>
      <w:r w:rsidR="00BB39E0">
        <w:t xml:space="preserve"> the Pebble Springs project and the Skagit/Hanford project.</w:t>
      </w:r>
      <w:r w:rsidR="008E1312">
        <w:rPr>
          <w:rStyle w:val="FootnoteReference"/>
        </w:rPr>
        <w:footnoteReference w:id="88"/>
      </w:r>
      <w:r w:rsidR="008E1312">
        <w:t xml:space="preserve">  </w:t>
      </w:r>
      <w:r w:rsidR="00BB39E0">
        <w:t xml:space="preserve">For Pebble Springs, </w:t>
      </w:r>
      <w:r w:rsidR="008E1312">
        <w:t>PSE rec</w:t>
      </w:r>
      <w:r w:rsidR="00DC0097">
        <w:t xml:space="preserve">overed </w:t>
      </w:r>
      <w:r w:rsidR="008E1312">
        <w:t xml:space="preserve">$47.5 million from </w:t>
      </w:r>
      <w:r w:rsidR="005D6840">
        <w:t>customers</w:t>
      </w:r>
      <w:r w:rsidR="00DC0097">
        <w:t>, over a 10-year period</w:t>
      </w:r>
      <w:r w:rsidR="008E1312">
        <w:t>.</w:t>
      </w:r>
      <w:r w:rsidR="008E1312">
        <w:rPr>
          <w:rStyle w:val="FootnoteReference"/>
        </w:rPr>
        <w:footnoteReference w:id="89"/>
      </w:r>
      <w:r w:rsidR="008E1312">
        <w:t xml:space="preserve">  </w:t>
      </w:r>
      <w:r w:rsidR="00BA3599">
        <w:t>Customer</w:t>
      </w:r>
      <w:r w:rsidR="00C05B99">
        <w:t xml:space="preserve">s paid an </w:t>
      </w:r>
      <w:r w:rsidR="00DC0097">
        <w:t xml:space="preserve">additional </w:t>
      </w:r>
      <w:r w:rsidR="00E108AB">
        <w:t xml:space="preserve">$81.5 million </w:t>
      </w:r>
      <w:r w:rsidR="00C05B99">
        <w:t>for the Skagit/Hanford project</w:t>
      </w:r>
      <w:r w:rsidR="005D74BE">
        <w:t>, also over 10 years</w:t>
      </w:r>
      <w:r w:rsidR="00E108AB">
        <w:t>.</w:t>
      </w:r>
      <w:r w:rsidR="00E108AB">
        <w:rPr>
          <w:rStyle w:val="FootnoteReference"/>
        </w:rPr>
        <w:footnoteReference w:id="90"/>
      </w:r>
      <w:r w:rsidR="008E1312">
        <w:t xml:space="preserve">  </w:t>
      </w:r>
      <w:r w:rsidR="00DC0097">
        <w:t xml:space="preserve">Neither project provided </w:t>
      </w:r>
      <w:r w:rsidR="00BA3599">
        <w:t>customer</w:t>
      </w:r>
      <w:r w:rsidR="00DC0097">
        <w:t>s even a single kilowatt hour of electrical energy.</w:t>
      </w:r>
      <w:r w:rsidR="00415C45">
        <w:rPr>
          <w:rStyle w:val="FootnoteReference"/>
        </w:rPr>
        <w:footnoteReference w:id="91"/>
      </w:r>
      <w:r w:rsidR="005220E4">
        <w:t xml:space="preserve">  Under PSE’s theory in this case</w:t>
      </w:r>
      <w:r w:rsidR="005D74BE">
        <w:t xml:space="preserve">, if shareholders bore the risk of loss, </w:t>
      </w:r>
      <w:r w:rsidR="005220E4">
        <w:t xml:space="preserve">investors should have absorbed these costs.  </w:t>
      </w:r>
      <w:r w:rsidR="005D74BE">
        <w:t xml:space="preserve">They </w:t>
      </w:r>
      <w:r w:rsidR="005220E4">
        <w:t>did not.</w:t>
      </w:r>
    </w:p>
    <w:p w14:paraId="159F2847" w14:textId="28CC63D1" w:rsidR="00417F17" w:rsidRDefault="00417F17" w:rsidP="00417F17">
      <w:pPr>
        <w:pStyle w:val="ListParagraph"/>
        <w:numPr>
          <w:ilvl w:val="0"/>
          <w:numId w:val="25"/>
        </w:numPr>
        <w:spacing w:line="480" w:lineRule="auto"/>
      </w:pPr>
      <w:r>
        <w:tab/>
      </w:r>
      <w:r w:rsidR="001E1AD3">
        <w:t xml:space="preserve">A more current example is PSE’s </w:t>
      </w:r>
      <w:r w:rsidR="00415C45">
        <w:t xml:space="preserve">request that customers bear the loss associated with the Company’s proposed sale of the </w:t>
      </w:r>
      <w:r w:rsidR="001E1AD3">
        <w:t xml:space="preserve">Electron </w:t>
      </w:r>
      <w:r w:rsidR="005D74BE">
        <w:t>Hydroelectric Project</w:t>
      </w:r>
      <w:r w:rsidR="00EB14D6">
        <w:t xml:space="preserve"> (Electron </w:t>
      </w:r>
      <w:r w:rsidR="00D754CC">
        <w:t>plant</w:t>
      </w:r>
      <w:r w:rsidR="00EB14D6">
        <w:t>)</w:t>
      </w:r>
      <w:r w:rsidR="00891413">
        <w:t xml:space="preserve">, in PSE Docket </w:t>
      </w:r>
      <w:r w:rsidR="004B5E53">
        <w:t>UE-</w:t>
      </w:r>
      <w:r w:rsidR="00891413">
        <w:t>131099</w:t>
      </w:r>
      <w:r w:rsidR="001E1AD3">
        <w:t xml:space="preserve">.  If PSE were consistent in its position that shareholders alone bear the “risk of ownership,” </w:t>
      </w:r>
      <w:r w:rsidR="00415C45" w:rsidRPr="00417F17">
        <w:rPr>
          <w:i/>
        </w:rPr>
        <w:t>i.e.</w:t>
      </w:r>
      <w:r w:rsidR="00415C45" w:rsidRPr="005E5652">
        <w:t xml:space="preserve">, </w:t>
      </w:r>
      <w:r w:rsidR="00415C45">
        <w:t xml:space="preserve">the risk of loss in the value of utility assets, </w:t>
      </w:r>
      <w:r w:rsidR="001E1AD3">
        <w:t xml:space="preserve">then PSE would be advocating that shareholders absorb the loss on the sale of the Electron </w:t>
      </w:r>
      <w:r w:rsidR="00D754CC">
        <w:t>plant</w:t>
      </w:r>
      <w:r w:rsidR="001E1AD3">
        <w:t>.  In</w:t>
      </w:r>
      <w:r w:rsidR="00415C45">
        <w:t xml:space="preserve">stead, </w:t>
      </w:r>
      <w:r w:rsidR="001E1AD3">
        <w:t>PSE asked that customers be held responsible for the</w:t>
      </w:r>
      <w:r w:rsidR="00DC0097">
        <w:t xml:space="preserve"> Company’s </w:t>
      </w:r>
      <w:r w:rsidR="00C05B99">
        <w:t xml:space="preserve">$11 million </w:t>
      </w:r>
      <w:r w:rsidR="00DC0097">
        <w:t xml:space="preserve">loss associated with </w:t>
      </w:r>
      <w:r w:rsidR="00C05B99">
        <w:t xml:space="preserve">its sale of </w:t>
      </w:r>
      <w:r w:rsidR="00DC0097">
        <w:t>th</w:t>
      </w:r>
      <w:r w:rsidR="001E1AD3">
        <w:t>at</w:t>
      </w:r>
      <w:r w:rsidR="00DC0097">
        <w:t xml:space="preserve"> project</w:t>
      </w:r>
      <w:r w:rsidR="00415C45">
        <w:t>,</w:t>
      </w:r>
      <w:r w:rsidR="00C05B99">
        <w:rPr>
          <w:rStyle w:val="FootnoteReference"/>
        </w:rPr>
        <w:footnoteReference w:id="92"/>
      </w:r>
      <w:r w:rsidR="00415C45">
        <w:t xml:space="preserve"> by</w:t>
      </w:r>
      <w:r w:rsidR="000F2D18">
        <w:t xml:space="preserve"> ask</w:t>
      </w:r>
      <w:r w:rsidR="00415C45">
        <w:t>ing customers</w:t>
      </w:r>
      <w:r w:rsidR="000F2D18">
        <w:t xml:space="preserve"> to pay for that loss over a six-year period, plus a return on the unamortized </w:t>
      </w:r>
      <w:r w:rsidR="000F2D18">
        <w:lastRenderedPageBreak/>
        <w:t>balance.</w:t>
      </w:r>
      <w:r w:rsidR="000F2D18">
        <w:rPr>
          <w:rStyle w:val="FootnoteReference"/>
        </w:rPr>
        <w:footnoteReference w:id="93"/>
      </w:r>
      <w:r w:rsidR="001E1AD3">
        <w:t xml:space="preserve">  </w:t>
      </w:r>
      <w:r w:rsidR="00415C45">
        <w:t>The Commission approved PSE’s application</w:t>
      </w:r>
      <w:r w:rsidR="00807F90">
        <w:t>,</w:t>
      </w:r>
      <w:r w:rsidR="00415C45">
        <w:t xml:space="preserve"> provided there were no material changes to the terms of the asset purchase agreement for the Electron </w:t>
      </w:r>
      <w:r w:rsidR="00D754CC">
        <w:t>plant</w:t>
      </w:r>
      <w:r w:rsidR="00415C45">
        <w:t>.</w:t>
      </w:r>
      <w:r w:rsidR="00415C45">
        <w:rPr>
          <w:rStyle w:val="FootnoteReference"/>
        </w:rPr>
        <w:footnoteReference w:id="94"/>
      </w:r>
    </w:p>
    <w:p w14:paraId="15D8F30D" w14:textId="3D7B5A86" w:rsidR="00417F17" w:rsidRDefault="00417F17" w:rsidP="00417F17">
      <w:pPr>
        <w:pStyle w:val="ListParagraph"/>
        <w:numPr>
          <w:ilvl w:val="0"/>
          <w:numId w:val="25"/>
        </w:numPr>
        <w:spacing w:line="480" w:lineRule="auto"/>
      </w:pPr>
      <w:r>
        <w:tab/>
      </w:r>
      <w:r w:rsidR="00415C45">
        <w:t>PSE attempt</w:t>
      </w:r>
      <w:r w:rsidR="00891413">
        <w:t>ed</w:t>
      </w:r>
      <w:r w:rsidR="00415C45">
        <w:t xml:space="preserve"> to counter th</w:t>
      </w:r>
      <w:r w:rsidR="00B76C50">
        <w:t xml:space="preserve">e Electron </w:t>
      </w:r>
      <w:r w:rsidR="00415C45">
        <w:t>example</w:t>
      </w:r>
      <w:r w:rsidR="003942A6">
        <w:t xml:space="preserve">, first </w:t>
      </w:r>
      <w:r w:rsidR="00241D8A">
        <w:t xml:space="preserve">by stating that the Commission applied the “no harm” test that does not apply here, and </w:t>
      </w:r>
      <w:r w:rsidR="003942A6">
        <w:t xml:space="preserve">then by arguing </w:t>
      </w:r>
      <w:r w:rsidR="00241D8A">
        <w:t>that customers did not bear the risk of a premature retirement of the Electron plant.</w:t>
      </w:r>
      <w:r w:rsidR="00241D8A">
        <w:rPr>
          <w:rStyle w:val="FootnoteReference"/>
        </w:rPr>
        <w:footnoteReference w:id="95"/>
      </w:r>
      <w:r w:rsidR="00241D8A">
        <w:t xml:space="preserve">  </w:t>
      </w:r>
      <w:r w:rsidR="00807F90">
        <w:t xml:space="preserve">PSE is wrong on both counts.  First, </w:t>
      </w:r>
      <w:r w:rsidR="00891413">
        <w:t xml:space="preserve">the </w:t>
      </w:r>
      <w:r w:rsidR="00241D8A">
        <w:t>Commission applied the “public interest” test</w:t>
      </w:r>
      <w:r w:rsidR="003942A6">
        <w:t xml:space="preserve">, which is </w:t>
      </w:r>
      <w:r w:rsidR="00EB14D6">
        <w:t>the test</w:t>
      </w:r>
      <w:r w:rsidR="00241D8A">
        <w:t xml:space="preserve"> that applies here.</w:t>
      </w:r>
      <w:r w:rsidR="00891413">
        <w:rPr>
          <w:rStyle w:val="FootnoteReference"/>
        </w:rPr>
        <w:footnoteReference w:id="96"/>
      </w:r>
      <w:r w:rsidR="00241D8A">
        <w:t xml:space="preserve">  Moreover, as </w:t>
      </w:r>
      <w:r w:rsidR="00807F90">
        <w:t xml:space="preserve">we </w:t>
      </w:r>
      <w:r w:rsidR="00241D8A">
        <w:t xml:space="preserve">explained </w:t>
      </w:r>
      <w:r w:rsidR="00807F90">
        <w:t>earlier</w:t>
      </w:r>
      <w:r w:rsidR="00241D8A">
        <w:t xml:space="preserve">, customers </w:t>
      </w:r>
      <w:r w:rsidR="00BA3599">
        <w:t xml:space="preserve">most assuredly </w:t>
      </w:r>
      <w:r w:rsidR="00241D8A">
        <w:t xml:space="preserve">bear the risk of </w:t>
      </w:r>
      <w:r w:rsidR="00891413">
        <w:t xml:space="preserve">plant </w:t>
      </w:r>
      <w:r w:rsidR="00241D8A">
        <w:t>obsolescence.  PSE</w:t>
      </w:r>
      <w:r w:rsidR="00BA3599">
        <w:t xml:space="preserve">’s contrary </w:t>
      </w:r>
      <w:r w:rsidR="00891413">
        <w:t xml:space="preserve">position </w:t>
      </w:r>
      <w:r w:rsidR="00241D8A">
        <w:t xml:space="preserve">is </w:t>
      </w:r>
      <w:r w:rsidR="003942A6">
        <w:t xml:space="preserve">simply </w:t>
      </w:r>
      <w:r w:rsidR="00BA3599">
        <w:t xml:space="preserve">flat </w:t>
      </w:r>
      <w:r w:rsidR="00241D8A">
        <w:t>wrong.</w:t>
      </w:r>
    </w:p>
    <w:p w14:paraId="3EF10999" w14:textId="77777777" w:rsidR="00417F17" w:rsidRDefault="00417F17" w:rsidP="00417F17">
      <w:pPr>
        <w:pStyle w:val="ListParagraph"/>
        <w:numPr>
          <w:ilvl w:val="0"/>
          <w:numId w:val="25"/>
        </w:numPr>
        <w:spacing w:line="480" w:lineRule="auto"/>
      </w:pPr>
      <w:r>
        <w:tab/>
      </w:r>
      <w:r w:rsidR="00241D8A">
        <w:t xml:space="preserve">PSE goes on to </w:t>
      </w:r>
      <w:r w:rsidR="00EC1B4A">
        <w:t xml:space="preserve">suggest </w:t>
      </w:r>
      <w:r w:rsidR="00241D8A">
        <w:t>that th</w:t>
      </w:r>
      <w:r w:rsidR="00660D60">
        <w:t xml:space="preserve">e </w:t>
      </w:r>
      <w:r w:rsidR="00EF54F9">
        <w:rPr>
          <w:i/>
        </w:rPr>
        <w:t>PSE Electron Case</w:t>
      </w:r>
      <w:r w:rsidR="00241D8A">
        <w:t xml:space="preserve"> is differen</w:t>
      </w:r>
      <w:r w:rsidR="00C96988">
        <w:t xml:space="preserve">t because no customers </w:t>
      </w:r>
      <w:r w:rsidR="00EB14D6">
        <w:t xml:space="preserve">would be </w:t>
      </w:r>
      <w:r w:rsidR="00C96988">
        <w:t xml:space="preserve">lost </w:t>
      </w:r>
      <w:r w:rsidR="00EB14D6">
        <w:t xml:space="preserve">as a result of the sale of the </w:t>
      </w:r>
      <w:r w:rsidR="00C96988">
        <w:t xml:space="preserve">Electron </w:t>
      </w:r>
      <w:r w:rsidR="00D754CC">
        <w:t>plant</w:t>
      </w:r>
      <w:r w:rsidR="00C96988">
        <w:t xml:space="preserve">, and </w:t>
      </w:r>
      <w:r w:rsidR="00241D8A">
        <w:t xml:space="preserve">because </w:t>
      </w:r>
      <w:r w:rsidR="00C96988">
        <w:t>“the risk of a condemnation proceeding cannot be passed along to the remaining customers as it is a risk of owning assets and is not a component of the cost of service regulatory model.”</w:t>
      </w:r>
      <w:r w:rsidR="00C96988">
        <w:rPr>
          <w:rStyle w:val="FootnoteReference"/>
        </w:rPr>
        <w:footnoteReference w:id="97"/>
      </w:r>
    </w:p>
    <w:p w14:paraId="4009FE2F" w14:textId="32A991C0" w:rsidR="00417F17" w:rsidRDefault="00417F17" w:rsidP="00417F17">
      <w:pPr>
        <w:pStyle w:val="ListParagraph"/>
        <w:numPr>
          <w:ilvl w:val="0"/>
          <w:numId w:val="25"/>
        </w:numPr>
        <w:spacing w:line="480" w:lineRule="auto"/>
      </w:pPr>
      <w:r>
        <w:tab/>
      </w:r>
      <w:r w:rsidR="00EC1B4A">
        <w:t xml:space="preserve">PSE is wrong </w:t>
      </w:r>
      <w:r w:rsidR="00807F90">
        <w:t>again</w:t>
      </w:r>
      <w:r w:rsidR="00EC1B4A">
        <w:t xml:space="preserve">.  </w:t>
      </w:r>
      <w:r w:rsidR="00C96988">
        <w:t>First, as explained in</w:t>
      </w:r>
      <w:r w:rsidR="00196DD6">
        <w:t xml:space="preserve"> Part IV.C.1.c </w:t>
      </w:r>
      <w:r w:rsidR="00C96988">
        <w:t xml:space="preserve">above, PSE </w:t>
      </w:r>
      <w:r w:rsidR="00196DD6">
        <w:t xml:space="preserve">fully </w:t>
      </w:r>
      <w:r w:rsidR="00C96988">
        <w:t xml:space="preserve">disclosed to </w:t>
      </w:r>
      <w:r w:rsidR="00BA3599">
        <w:t>shareholders</w:t>
      </w:r>
      <w:r w:rsidR="00C96988">
        <w:t xml:space="preserve"> the risk of condemnation in its SEC Form 10-K, and PSE shareholders were specifically aware of the risk of the JPUD condemnation through PSE’s accounting petition in Docket U-101217, where PSE sought to mitigate the risk that customers might be entitled to more than $103 million in this case.  </w:t>
      </w:r>
      <w:r w:rsidR="00EC1B4A">
        <w:t>S</w:t>
      </w:r>
      <w:r w:rsidR="00C96988">
        <w:t xml:space="preserve">hareholders </w:t>
      </w:r>
      <w:r w:rsidR="00807F90">
        <w:t xml:space="preserve">were fully aware of </w:t>
      </w:r>
      <w:r w:rsidR="00C96988">
        <w:t>the risks here</w:t>
      </w:r>
      <w:r w:rsidR="00807F90">
        <w:t>.</w:t>
      </w:r>
    </w:p>
    <w:p w14:paraId="5A69357A" w14:textId="77777777" w:rsidR="00417F17" w:rsidRDefault="00417F17" w:rsidP="00417F17">
      <w:pPr>
        <w:pStyle w:val="ListParagraph"/>
        <w:numPr>
          <w:ilvl w:val="0"/>
          <w:numId w:val="25"/>
        </w:numPr>
        <w:spacing w:line="480" w:lineRule="auto"/>
      </w:pPr>
      <w:r>
        <w:tab/>
      </w:r>
      <w:r w:rsidR="00891413">
        <w:t xml:space="preserve">Second, </w:t>
      </w:r>
      <w:r w:rsidR="00EC1B4A">
        <w:t xml:space="preserve">for all the reasons stated in this brief, the fact that PSE lost customers in the JPUD sale is a distinction that does not justify disparate treatment of the gain.  As we summarized earlier, PSE agrees that “risk should follow reward” and that those who bear the </w:t>
      </w:r>
      <w:r w:rsidR="00EC1B4A">
        <w:lastRenderedPageBreak/>
        <w:t>“risk of ownership” are entitled to the gain.</w:t>
      </w:r>
      <w:r w:rsidR="00EC1B4A">
        <w:rPr>
          <w:rStyle w:val="FootnoteReference"/>
        </w:rPr>
        <w:footnoteReference w:id="98"/>
      </w:r>
      <w:r w:rsidR="00EC1B4A">
        <w:t xml:space="preserve">  PSE is simply wrong that shareholders bear ownership risk.  It is customers who have borne the “ownership risk,” and it is customers who are entitled to the gain on sale.</w:t>
      </w:r>
    </w:p>
    <w:p w14:paraId="11357273" w14:textId="77777777" w:rsidR="00417F17" w:rsidRDefault="00417F17" w:rsidP="00D804B3">
      <w:pPr>
        <w:pStyle w:val="ListParagraph"/>
        <w:keepNext/>
        <w:spacing w:line="480" w:lineRule="auto"/>
        <w:ind w:left="0"/>
      </w:pPr>
      <w:r>
        <w:tab/>
      </w:r>
      <w:r w:rsidR="00DF4377" w:rsidRPr="00417F17">
        <w:rPr>
          <w:b/>
          <w:i/>
        </w:rPr>
        <w:t>Example 5</w:t>
      </w:r>
      <w:r>
        <w:rPr>
          <w:b/>
          <w:i/>
        </w:rPr>
        <w:t xml:space="preserve">:  </w:t>
      </w:r>
      <w:r w:rsidRPr="002642BC">
        <w:rPr>
          <w:b/>
          <w:i/>
        </w:rPr>
        <w:t>Environmental Remediation</w:t>
      </w:r>
    </w:p>
    <w:p w14:paraId="4A74532F" w14:textId="499B21B0" w:rsidR="00784964" w:rsidRDefault="006668FB" w:rsidP="006668FB">
      <w:pPr>
        <w:pStyle w:val="ListParagraph"/>
        <w:numPr>
          <w:ilvl w:val="0"/>
          <w:numId w:val="25"/>
        </w:numPr>
        <w:spacing w:line="480" w:lineRule="auto"/>
      </w:pPr>
      <w:r>
        <w:tab/>
      </w:r>
      <w:r w:rsidR="002642BC">
        <w:t>W</w:t>
      </w:r>
      <w:r w:rsidR="00821541">
        <w:t xml:space="preserve">hen utility property requires environmental cleanup, the value of that </w:t>
      </w:r>
      <w:r w:rsidR="001446FB">
        <w:t xml:space="preserve">capital asset </w:t>
      </w:r>
      <w:r w:rsidR="00821541">
        <w:t>is diminished</w:t>
      </w:r>
      <w:r w:rsidR="001446FB">
        <w:t xml:space="preserve"> significantly</w:t>
      </w:r>
      <w:r w:rsidR="00821541">
        <w:t xml:space="preserve">.  </w:t>
      </w:r>
      <w:r w:rsidR="00784964">
        <w:t>Statutes such as the Comprehensive Environmental Response, Compensation and Liability Act (CERCLA)</w:t>
      </w:r>
      <w:r w:rsidR="00784964">
        <w:rPr>
          <w:rStyle w:val="FootnoteReference"/>
        </w:rPr>
        <w:footnoteReference w:id="99"/>
      </w:r>
      <w:r w:rsidR="00784964">
        <w:t xml:space="preserve"> and the State Model Toxic Control Act,</w:t>
      </w:r>
      <w:r w:rsidR="00784964">
        <w:rPr>
          <w:rStyle w:val="FootnoteReference"/>
        </w:rPr>
        <w:footnoteReference w:id="100"/>
      </w:r>
      <w:r w:rsidR="00784964">
        <w:t xml:space="preserve"> help assure environmentally damaged property is remediated</w:t>
      </w:r>
      <w:r w:rsidR="001446FB">
        <w:t>,</w:t>
      </w:r>
      <w:r w:rsidR="00784964">
        <w:t xml:space="preserve"> and </w:t>
      </w:r>
      <w:r w:rsidR="001446FB">
        <w:t xml:space="preserve">thus </w:t>
      </w:r>
      <w:r w:rsidR="002642BC">
        <w:t xml:space="preserve">its </w:t>
      </w:r>
      <w:r w:rsidR="00784964">
        <w:t xml:space="preserve">value </w:t>
      </w:r>
      <w:r w:rsidR="001446FB">
        <w:t xml:space="preserve">is </w:t>
      </w:r>
      <w:r w:rsidR="00784964">
        <w:t>restored.</w:t>
      </w:r>
      <w:r w:rsidR="00196DD6">
        <w:rPr>
          <w:rStyle w:val="FootnoteReference"/>
        </w:rPr>
        <w:footnoteReference w:id="101"/>
      </w:r>
      <w:r w:rsidR="00784964">
        <w:t xml:space="preserve">  </w:t>
      </w:r>
    </w:p>
    <w:p w14:paraId="6BA80EC2" w14:textId="274CB3DE" w:rsidR="00417F17" w:rsidRDefault="006668FB" w:rsidP="006668FB">
      <w:pPr>
        <w:pStyle w:val="ListParagraph"/>
        <w:numPr>
          <w:ilvl w:val="0"/>
          <w:numId w:val="25"/>
        </w:numPr>
        <w:spacing w:line="480" w:lineRule="auto"/>
      </w:pPr>
      <w:r>
        <w:tab/>
      </w:r>
      <w:r w:rsidR="00D804B3">
        <w:t>PSE does not bear the risk of l</w:t>
      </w:r>
      <w:r w:rsidR="004B5E53">
        <w:t>oss due to environmental damage;</w:t>
      </w:r>
      <w:r w:rsidR="00D804B3">
        <w:t xml:space="preserve"> customers do.  For example, i</w:t>
      </w:r>
      <w:r w:rsidR="00821541">
        <w:t>n its order in Docket UE-911476,</w:t>
      </w:r>
      <w:r w:rsidR="00821541">
        <w:rPr>
          <w:rStyle w:val="FootnoteReference"/>
        </w:rPr>
        <w:footnoteReference w:id="102"/>
      </w:r>
      <w:r w:rsidR="00821541">
        <w:t xml:space="preserve"> the Commission </w:t>
      </w:r>
      <w:r w:rsidR="00F821F5">
        <w:t xml:space="preserve">granted </w:t>
      </w:r>
      <w:r w:rsidR="00821541">
        <w:t>PSE</w:t>
      </w:r>
      <w:r w:rsidR="00F821F5">
        <w:t>’s request</w:t>
      </w:r>
      <w:r w:rsidR="00821541">
        <w:t xml:space="preserve"> to defer </w:t>
      </w:r>
      <w:r w:rsidR="00784964">
        <w:t xml:space="preserve">such environmental </w:t>
      </w:r>
      <w:r w:rsidR="00821541">
        <w:t xml:space="preserve">cleanup </w:t>
      </w:r>
      <w:r w:rsidR="00784964">
        <w:t xml:space="preserve">costs related to </w:t>
      </w:r>
      <w:r w:rsidR="00821541">
        <w:t>PSE</w:t>
      </w:r>
      <w:r w:rsidR="00784964">
        <w:t xml:space="preserve">’s utility </w:t>
      </w:r>
      <w:r w:rsidR="00821541">
        <w:t>property</w:t>
      </w:r>
      <w:r w:rsidR="00784964">
        <w:t>,</w:t>
      </w:r>
      <w:r w:rsidR="00821541">
        <w:t xml:space="preserve"> including the site of the Electron plant and </w:t>
      </w:r>
      <w:r w:rsidR="00784964">
        <w:t xml:space="preserve">PSE’s program for </w:t>
      </w:r>
      <w:r w:rsidR="00821541">
        <w:t>testing, remov</w:t>
      </w:r>
      <w:r w:rsidR="00784964">
        <w:t xml:space="preserve">ing </w:t>
      </w:r>
      <w:r w:rsidR="00821541">
        <w:t>and replacing PSE’s underground storage tanks.</w:t>
      </w:r>
      <w:r w:rsidR="00821541">
        <w:rPr>
          <w:rStyle w:val="FootnoteReference"/>
        </w:rPr>
        <w:footnoteReference w:id="103"/>
      </w:r>
      <w:r w:rsidR="00821541">
        <w:t xml:space="preserve">  </w:t>
      </w:r>
      <w:r w:rsidR="00784964">
        <w:t xml:space="preserve">According to the Commission’s order:  “Unless the costs incurred by the Company in connection </w:t>
      </w:r>
      <w:r w:rsidR="000243D9">
        <w:t xml:space="preserve">with </w:t>
      </w:r>
      <w:r w:rsidR="00784964">
        <w:t>its [environmental remediation program] are shown to be imprudent in subsequent rate proceedings, such costs would be recoverable in [PSE’s] retail rates.”</w:t>
      </w:r>
      <w:r w:rsidR="00784964">
        <w:rPr>
          <w:rStyle w:val="FootnoteReference"/>
        </w:rPr>
        <w:footnoteReference w:id="104"/>
      </w:r>
      <w:r w:rsidR="00784964">
        <w:t xml:space="preserve"> </w:t>
      </w:r>
    </w:p>
    <w:p w14:paraId="294B1CC4" w14:textId="4F318809" w:rsidR="00784964" w:rsidRPr="00784964" w:rsidRDefault="006668FB" w:rsidP="006668FB">
      <w:pPr>
        <w:pStyle w:val="ListParagraph"/>
        <w:numPr>
          <w:ilvl w:val="0"/>
          <w:numId w:val="25"/>
        </w:numPr>
        <w:spacing w:line="480" w:lineRule="auto"/>
      </w:pPr>
      <w:r>
        <w:lastRenderedPageBreak/>
        <w:tab/>
      </w:r>
      <w:r w:rsidR="00784964" w:rsidRPr="00784964">
        <w:t xml:space="preserve">This is </w:t>
      </w:r>
      <w:r w:rsidR="00784964">
        <w:t>s</w:t>
      </w:r>
      <w:r w:rsidR="00784964" w:rsidRPr="00784964">
        <w:t xml:space="preserve">imply another example where ratepayers were </w:t>
      </w:r>
      <w:r w:rsidR="004B5E53">
        <w:t xml:space="preserve">required </w:t>
      </w:r>
      <w:r w:rsidR="00784964" w:rsidRPr="00784964">
        <w:t xml:space="preserve">to </w:t>
      </w:r>
      <w:r w:rsidR="00D804B3">
        <w:t xml:space="preserve">bear the risk of ownership, this time to </w:t>
      </w:r>
      <w:r w:rsidR="00784964">
        <w:t>pay, dollar for dollar, to restore the value of PSE’s property</w:t>
      </w:r>
      <w:r w:rsidR="00D804B3">
        <w:t xml:space="preserve"> that was </w:t>
      </w:r>
      <w:r w:rsidR="0032212C">
        <w:t>impaired</w:t>
      </w:r>
      <w:r w:rsidR="00D804B3">
        <w:t xml:space="preserve"> by </w:t>
      </w:r>
      <w:r w:rsidR="00784964">
        <w:t>environmental damage.</w:t>
      </w:r>
    </w:p>
    <w:p w14:paraId="419B6172" w14:textId="5497BAD1" w:rsidR="00417F17" w:rsidRDefault="00A91B00" w:rsidP="00D804B3">
      <w:pPr>
        <w:pStyle w:val="ListParagraph"/>
        <w:keepNext/>
        <w:ind w:left="2160" w:hanging="720"/>
      </w:pPr>
      <w:r>
        <w:rPr>
          <w:b/>
        </w:rPr>
        <w:t>c</w:t>
      </w:r>
      <w:r w:rsidR="00417F17">
        <w:rPr>
          <w:b/>
        </w:rPr>
        <w:t>.</w:t>
      </w:r>
      <w:r w:rsidR="00417F17">
        <w:rPr>
          <w:b/>
        </w:rPr>
        <w:tab/>
        <w:t>Conclusion:  Customers Bear the Risk of Ownership</w:t>
      </w:r>
      <w:r w:rsidR="009359B3">
        <w:rPr>
          <w:b/>
        </w:rPr>
        <w:t xml:space="preserve"> </w:t>
      </w:r>
      <w:r w:rsidR="00417F17">
        <w:rPr>
          <w:b/>
        </w:rPr>
        <w:t>Related to PSE’s Utility Property, so They are Entitled to the Gain on the Sale of PSE’s Jefferson County Distribution System</w:t>
      </w:r>
    </w:p>
    <w:p w14:paraId="00F62EE1" w14:textId="77777777" w:rsidR="00417F17" w:rsidRDefault="00417F17" w:rsidP="00417F17">
      <w:pPr>
        <w:pStyle w:val="ListParagraph"/>
        <w:ind w:left="0" w:firstLine="720"/>
        <w:rPr>
          <w:b/>
        </w:rPr>
      </w:pPr>
    </w:p>
    <w:p w14:paraId="7F7126C1" w14:textId="76E63F16" w:rsidR="002642BC" w:rsidRDefault="00417F17" w:rsidP="00660D60">
      <w:pPr>
        <w:pStyle w:val="ListParagraph"/>
        <w:numPr>
          <w:ilvl w:val="0"/>
          <w:numId w:val="25"/>
        </w:numPr>
        <w:spacing w:line="480" w:lineRule="auto"/>
      </w:pPr>
      <w:r>
        <w:tab/>
      </w:r>
      <w:r w:rsidR="00EC1B4A" w:rsidRPr="00417F17">
        <w:t>As</w:t>
      </w:r>
      <w:r w:rsidR="00EC1B4A">
        <w:t xml:space="preserve"> the above </w:t>
      </w:r>
      <w:r w:rsidR="00660D60">
        <w:t xml:space="preserve">examples and </w:t>
      </w:r>
      <w:r w:rsidR="00EC1B4A">
        <w:t xml:space="preserve">analysis demonstrate, time after time, PSE’s customers have been asked to </w:t>
      </w:r>
      <w:r w:rsidR="005220E4">
        <w:t xml:space="preserve">bear </w:t>
      </w:r>
      <w:r w:rsidR="00EC1B4A">
        <w:t>the risk</w:t>
      </w:r>
      <w:r w:rsidR="00EB14D6">
        <w:t xml:space="preserve"> of loss </w:t>
      </w:r>
      <w:r w:rsidR="00F821F5">
        <w:t xml:space="preserve">(or diminution in value) </w:t>
      </w:r>
      <w:r w:rsidR="00EB14D6">
        <w:t xml:space="preserve">related to </w:t>
      </w:r>
      <w:r w:rsidR="00EC1B4A">
        <w:t>PSE’s utility assets</w:t>
      </w:r>
      <w:r w:rsidR="00660D60">
        <w:t>, and they have done so</w:t>
      </w:r>
      <w:r w:rsidR="00EC1B4A">
        <w:t xml:space="preserve">.  </w:t>
      </w:r>
      <w:r w:rsidR="005B21DB">
        <w:t xml:space="preserve">From </w:t>
      </w:r>
      <w:r w:rsidR="00C86EB1">
        <w:t xml:space="preserve">the amortization to rates of </w:t>
      </w:r>
      <w:r w:rsidR="00EC1B4A">
        <w:t>$709 million in regulatory assets</w:t>
      </w:r>
      <w:r w:rsidR="00EB14D6">
        <w:t>,</w:t>
      </w:r>
      <w:r w:rsidR="005B21DB">
        <w:t xml:space="preserve"> </w:t>
      </w:r>
      <w:r w:rsidR="00C86EB1">
        <w:t xml:space="preserve">including extraordinary adverse weather events </w:t>
      </w:r>
      <w:r w:rsidR="00D804B3">
        <w:t xml:space="preserve">and </w:t>
      </w:r>
      <w:r w:rsidR="00C86EB1">
        <w:t xml:space="preserve">environmental cleanup, </w:t>
      </w:r>
      <w:r w:rsidR="005B21DB">
        <w:t xml:space="preserve">to </w:t>
      </w:r>
      <w:r w:rsidR="00C86EB1">
        <w:t xml:space="preserve">paying higher rates through regulatory treatment of </w:t>
      </w:r>
      <w:r w:rsidR="00EC1B4A">
        <w:t>obsolete property</w:t>
      </w:r>
      <w:r w:rsidR="00EB14D6">
        <w:t xml:space="preserve">, </w:t>
      </w:r>
      <w:r w:rsidR="00C86EB1">
        <w:t xml:space="preserve">and for </w:t>
      </w:r>
      <w:r w:rsidR="00EC1B4A">
        <w:t>abandoned plant</w:t>
      </w:r>
      <w:r w:rsidR="00C86EB1">
        <w:t>s</w:t>
      </w:r>
      <w:r w:rsidR="002642BC">
        <w:t xml:space="preserve"> </w:t>
      </w:r>
      <w:r w:rsidR="00C86EB1">
        <w:t>that never provided electricity</w:t>
      </w:r>
      <w:r w:rsidR="00EC1B4A">
        <w:t xml:space="preserve">, PSE customers </w:t>
      </w:r>
      <w:r w:rsidR="002642BC">
        <w:t>(o</w:t>
      </w:r>
      <w:r w:rsidR="00757EB2">
        <w:t xml:space="preserve">ther than PSE’s former Jefferson County customers) remain </w:t>
      </w:r>
      <w:r w:rsidR="005B21DB">
        <w:t>“</w:t>
      </w:r>
      <w:r w:rsidR="00EC1B4A">
        <w:t>on the hook</w:t>
      </w:r>
      <w:r w:rsidR="00C86EB1">
        <w:t>.</w:t>
      </w:r>
      <w:r w:rsidR="005B21DB">
        <w:t>”</w:t>
      </w:r>
      <w:r w:rsidR="00C86EB1">
        <w:t xml:space="preserve"> and shareholders’ risk of capital loss is minimized.</w:t>
      </w:r>
      <w:r w:rsidR="00EC1B4A">
        <w:t xml:space="preserve">  </w:t>
      </w:r>
    </w:p>
    <w:p w14:paraId="32E8C316" w14:textId="54F22D0E" w:rsidR="00417F17" w:rsidRDefault="002642BC" w:rsidP="00660D60">
      <w:pPr>
        <w:pStyle w:val="ListParagraph"/>
        <w:numPr>
          <w:ilvl w:val="0"/>
          <w:numId w:val="25"/>
        </w:numPr>
        <w:spacing w:line="480" w:lineRule="auto"/>
      </w:pPr>
      <w:r>
        <w:tab/>
      </w:r>
      <w:r w:rsidR="00EC1B4A">
        <w:t>PSE</w:t>
      </w:r>
      <w:r w:rsidR="005B21DB">
        <w:t>’s</w:t>
      </w:r>
      <w:r w:rsidR="00BE509F">
        <w:t xml:space="preserve"> contrary</w:t>
      </w:r>
      <w:r w:rsidR="005B21DB">
        <w:t xml:space="preserve"> suggestion</w:t>
      </w:r>
      <w:r w:rsidR="00BE509F">
        <w:t>,</w:t>
      </w:r>
      <w:r w:rsidR="005B21DB">
        <w:t xml:space="preserve"> </w:t>
      </w:r>
      <w:r w:rsidR="00EC1B4A">
        <w:t xml:space="preserve">that investors alone have borne the risk of loss </w:t>
      </w:r>
      <w:r w:rsidR="00EB14D6">
        <w:t xml:space="preserve">of value </w:t>
      </w:r>
      <w:r w:rsidR="00EC1B4A">
        <w:t>in utility property</w:t>
      </w:r>
      <w:r w:rsidR="00757EB2">
        <w:t>,</w:t>
      </w:r>
      <w:r w:rsidR="00EC1B4A">
        <w:t xml:space="preserve"> is </w:t>
      </w:r>
      <w:r w:rsidR="005B21DB">
        <w:t>simply not credible</w:t>
      </w:r>
      <w:r w:rsidR="00EB14D6">
        <w:t xml:space="preserve">.  </w:t>
      </w:r>
    </w:p>
    <w:p w14:paraId="2690E382" w14:textId="5D41C75C" w:rsidR="00417F17" w:rsidRDefault="00417F17" w:rsidP="00417F17">
      <w:pPr>
        <w:pStyle w:val="ListParagraph"/>
        <w:numPr>
          <w:ilvl w:val="0"/>
          <w:numId w:val="25"/>
        </w:numPr>
        <w:spacing w:line="480" w:lineRule="auto"/>
      </w:pPr>
      <w:r>
        <w:tab/>
      </w:r>
      <w:r w:rsidR="00757EB2">
        <w:t>It is important to note that t</w:t>
      </w:r>
      <w:r w:rsidR="005B21DB">
        <w:t xml:space="preserve">he primary proponent of PSE’s theory in this case is Company witness Dr. Levin, who </w:t>
      </w:r>
      <w:r w:rsidR="002B693B">
        <w:t xml:space="preserve">supported PSE’s theory by testifying that when </w:t>
      </w:r>
      <w:r w:rsidR="005B21DB">
        <w:t>he was at the Illinois Commerce Commission, “we always gave all the proceeds to the – to the owners of the company.”</w:t>
      </w:r>
      <w:r w:rsidR="005B21DB">
        <w:rPr>
          <w:rStyle w:val="FootnoteReference"/>
        </w:rPr>
        <w:footnoteReference w:id="105"/>
      </w:r>
      <w:r w:rsidR="005B21DB">
        <w:t xml:space="preserve">  But, that is not consistent with this Commission’s precedent</w:t>
      </w:r>
      <w:r w:rsidR="00521DB6">
        <w:t xml:space="preserve">, </w:t>
      </w:r>
      <w:r w:rsidR="002B693B">
        <w:t xml:space="preserve">including </w:t>
      </w:r>
      <w:r w:rsidR="00660D60">
        <w:t xml:space="preserve">the </w:t>
      </w:r>
      <w:r w:rsidR="00660D60">
        <w:rPr>
          <w:i/>
        </w:rPr>
        <w:t xml:space="preserve">American Water Resources </w:t>
      </w:r>
      <w:r w:rsidR="00660D60">
        <w:t>case</w:t>
      </w:r>
      <w:r w:rsidR="00EF54F9">
        <w:rPr>
          <w:rStyle w:val="FootnoteReference"/>
        </w:rPr>
        <w:footnoteReference w:id="106"/>
      </w:r>
      <w:r w:rsidR="00660D60">
        <w:t xml:space="preserve"> and </w:t>
      </w:r>
      <w:r w:rsidR="00521DB6">
        <w:t xml:space="preserve">the six </w:t>
      </w:r>
      <w:r w:rsidR="00660D60">
        <w:t xml:space="preserve">other </w:t>
      </w:r>
      <w:r w:rsidR="00EF54F9">
        <w:t xml:space="preserve">Commission </w:t>
      </w:r>
      <w:r w:rsidR="00521DB6">
        <w:t>cases Staff cited</w:t>
      </w:r>
      <w:r w:rsidR="00757EB2">
        <w:rPr>
          <w:rStyle w:val="FootnoteReference"/>
        </w:rPr>
        <w:footnoteReference w:id="107"/>
      </w:r>
      <w:r w:rsidR="00521DB6">
        <w:t xml:space="preserve"> where the Commission gave all or substantial</w:t>
      </w:r>
      <w:r w:rsidR="002B693B">
        <w:t xml:space="preserve">ly all </w:t>
      </w:r>
      <w:r w:rsidR="00521DB6">
        <w:t xml:space="preserve">of the gain on sale of utility assets to customers. </w:t>
      </w:r>
      <w:r w:rsidR="002B693B">
        <w:t xml:space="preserve"> </w:t>
      </w:r>
      <w:r w:rsidR="005B21DB">
        <w:t xml:space="preserve">Importantly, while </w:t>
      </w:r>
      <w:r w:rsidR="00EB14D6">
        <w:t>Dr. Levin</w:t>
      </w:r>
      <w:r w:rsidR="00D34772">
        <w:t xml:space="preserve"> </w:t>
      </w:r>
      <w:r w:rsidR="005B21DB">
        <w:t xml:space="preserve">agreed </w:t>
      </w:r>
      <w:r w:rsidR="00D34772">
        <w:t>he</w:t>
      </w:r>
      <w:r w:rsidR="00521DB6">
        <w:t xml:space="preserve"> would advise </w:t>
      </w:r>
      <w:r w:rsidR="005B21DB">
        <w:t xml:space="preserve">investors </w:t>
      </w:r>
      <w:r w:rsidR="00521DB6">
        <w:t>to read th</w:t>
      </w:r>
      <w:r w:rsidR="002B693B">
        <w:t>at</w:t>
      </w:r>
      <w:r w:rsidR="00D804B3">
        <w:t xml:space="preserve"> Commission</w:t>
      </w:r>
      <w:r w:rsidR="00521DB6">
        <w:t xml:space="preserve"> precedent, </w:t>
      </w:r>
      <w:r w:rsidR="002B693B">
        <w:t xml:space="preserve">he failed to do </w:t>
      </w:r>
      <w:r w:rsidR="00521DB6">
        <w:t>so himself:</w:t>
      </w:r>
    </w:p>
    <w:p w14:paraId="1F74B4C4" w14:textId="77777777" w:rsidR="00417F17" w:rsidRDefault="00417F17" w:rsidP="005E5652">
      <w:pPr>
        <w:widowControl w:val="0"/>
        <w:autoSpaceDE w:val="0"/>
        <w:autoSpaceDN w:val="0"/>
        <w:adjustRightInd w:val="0"/>
        <w:ind w:left="1440" w:hanging="720"/>
      </w:pPr>
      <w:r>
        <w:lastRenderedPageBreak/>
        <w:t>Q:</w:t>
      </w:r>
      <w:r>
        <w:tab/>
        <w:t>Wouldn't you [Dr. Levin] advise the potential investor to read those cases as precedent about how the Commission has allocated gains in the past?</w:t>
      </w:r>
    </w:p>
    <w:p w14:paraId="5B478211" w14:textId="77777777" w:rsidR="005E5652" w:rsidRDefault="005E5652" w:rsidP="005E5652">
      <w:pPr>
        <w:widowControl w:val="0"/>
        <w:autoSpaceDE w:val="0"/>
        <w:autoSpaceDN w:val="0"/>
        <w:adjustRightInd w:val="0"/>
        <w:ind w:left="1440" w:hanging="720"/>
      </w:pPr>
    </w:p>
    <w:p w14:paraId="6155AF39" w14:textId="4A001146" w:rsidR="00417F17" w:rsidRPr="002B693B" w:rsidRDefault="00417F17" w:rsidP="005E5652">
      <w:pPr>
        <w:pStyle w:val="ListParagraph"/>
        <w:widowControl w:val="0"/>
        <w:numPr>
          <w:ilvl w:val="0"/>
          <w:numId w:val="13"/>
        </w:numPr>
        <w:autoSpaceDE w:val="0"/>
        <w:autoSpaceDN w:val="0"/>
        <w:adjustRightInd w:val="0"/>
        <w:ind w:left="1440" w:hanging="720"/>
        <w:contextualSpacing w:val="0"/>
        <w:rPr>
          <w:b/>
        </w:rPr>
      </w:pPr>
      <w:r>
        <w:t>Yes, I probably would.  I don't know the circumstances in those cases</w:t>
      </w:r>
      <w:r w:rsidR="00B2065E">
        <w:t xml:space="preserve"> </w:t>
      </w:r>
      <w:r>
        <w:t>…</w:t>
      </w:r>
      <w:r>
        <w:rPr>
          <w:rStyle w:val="FootnoteReference"/>
        </w:rPr>
        <w:footnoteReference w:id="108"/>
      </w:r>
      <w:r>
        <w:t xml:space="preserve"> </w:t>
      </w:r>
    </w:p>
    <w:p w14:paraId="2F3010E0" w14:textId="77777777" w:rsidR="00417F17" w:rsidRDefault="00417F17" w:rsidP="00417F17">
      <w:pPr>
        <w:pStyle w:val="ListParagraph"/>
        <w:ind w:hanging="720"/>
        <w:rPr>
          <w:b/>
        </w:rPr>
      </w:pPr>
    </w:p>
    <w:p w14:paraId="62041BD1" w14:textId="77777777" w:rsidR="00417F17" w:rsidRDefault="00417F17" w:rsidP="00474F10">
      <w:pPr>
        <w:pStyle w:val="ListParagraph"/>
        <w:numPr>
          <w:ilvl w:val="0"/>
          <w:numId w:val="25"/>
        </w:numPr>
        <w:spacing w:line="480" w:lineRule="auto"/>
      </w:pPr>
      <w:r>
        <w:tab/>
      </w:r>
      <w:r w:rsidR="002F324A">
        <w:t xml:space="preserve">Washington </w:t>
      </w:r>
      <w:r w:rsidR="002B693B">
        <w:t xml:space="preserve">is not Illinois.  </w:t>
      </w:r>
      <w:r w:rsidR="002F324A">
        <w:t>Legitimate s</w:t>
      </w:r>
      <w:r w:rsidR="002B693B">
        <w:t xml:space="preserve">hareholder expectations </w:t>
      </w:r>
      <w:r w:rsidR="00EF54F9">
        <w:t xml:space="preserve">can </w:t>
      </w:r>
      <w:r w:rsidR="002F324A">
        <w:t>differ</w:t>
      </w:r>
      <w:r w:rsidR="002B693B">
        <w:t xml:space="preserve">, because the precedent and regulatory practices </w:t>
      </w:r>
      <w:r w:rsidR="002F324A">
        <w:t xml:space="preserve">between </w:t>
      </w:r>
      <w:r w:rsidR="00D34772">
        <w:t xml:space="preserve">the two </w:t>
      </w:r>
      <w:r w:rsidR="002F324A">
        <w:t>jurisdictions</w:t>
      </w:r>
      <w:r w:rsidR="00D34772">
        <w:t xml:space="preserve"> </w:t>
      </w:r>
      <w:r w:rsidR="00EF54F9">
        <w:t xml:space="preserve">apparently </w:t>
      </w:r>
      <w:r w:rsidR="00D34772">
        <w:t>differ</w:t>
      </w:r>
      <w:r w:rsidR="002B693B">
        <w:t>.  As demonstrated</w:t>
      </w:r>
      <w:r w:rsidR="002F324A">
        <w:t xml:space="preserve"> above</w:t>
      </w:r>
      <w:r w:rsidR="002B693B">
        <w:t xml:space="preserve">, this Commission’s </w:t>
      </w:r>
      <w:r w:rsidR="00757EB2">
        <w:t xml:space="preserve">case </w:t>
      </w:r>
      <w:r w:rsidR="002B693B">
        <w:t xml:space="preserve">precedent and </w:t>
      </w:r>
      <w:r w:rsidR="00757EB2">
        <w:t xml:space="preserve">accounting </w:t>
      </w:r>
      <w:r w:rsidR="002B693B">
        <w:t xml:space="preserve">practices confirm PSE is wrong to contend that ratepayers bear no “ownership risk;” they </w:t>
      </w:r>
      <w:r w:rsidR="002642BC">
        <w:t xml:space="preserve">emphatically </w:t>
      </w:r>
      <w:r w:rsidR="002B693B">
        <w:t xml:space="preserve">do, and therefore, because customers </w:t>
      </w:r>
      <w:r w:rsidR="007329E7">
        <w:t xml:space="preserve">have borne and continue to </w:t>
      </w:r>
      <w:r w:rsidR="002B693B">
        <w:t>bear th</w:t>
      </w:r>
      <w:r w:rsidR="00EB14D6">
        <w:t>at</w:t>
      </w:r>
      <w:r w:rsidR="002B693B">
        <w:t xml:space="preserve"> risk, customers are entitled to the reward: the gain on the sale of the Jefferson County distribution system.</w:t>
      </w:r>
    </w:p>
    <w:p w14:paraId="52AC14D7" w14:textId="77777777" w:rsidR="00417F17" w:rsidRDefault="00F0396C" w:rsidP="00F0396C">
      <w:pPr>
        <w:ind w:left="1440" w:hanging="720"/>
        <w:rPr>
          <w:b/>
          <w:i/>
        </w:rPr>
      </w:pPr>
      <w:r>
        <w:rPr>
          <w:b/>
        </w:rPr>
        <w:t>3</w:t>
      </w:r>
      <w:r w:rsidR="00417F17">
        <w:rPr>
          <w:b/>
        </w:rPr>
        <w:t>.</w:t>
      </w:r>
      <w:r w:rsidR="00417F17">
        <w:rPr>
          <w:b/>
        </w:rPr>
        <w:tab/>
        <w:t>Giving Customers the Gain on Sale is Also Appropriate Because t</w:t>
      </w:r>
      <w:r w:rsidR="006A7848">
        <w:rPr>
          <w:b/>
        </w:rPr>
        <w:t xml:space="preserve">he Transaction Harms Customers </w:t>
      </w:r>
    </w:p>
    <w:p w14:paraId="2EA855DF" w14:textId="77777777" w:rsidR="00417F17" w:rsidRDefault="00417F17" w:rsidP="00417F17">
      <w:pPr>
        <w:pStyle w:val="ListParagraph"/>
        <w:ind w:hanging="720"/>
        <w:rPr>
          <w:b/>
        </w:rPr>
      </w:pPr>
    </w:p>
    <w:p w14:paraId="0AF316B8" w14:textId="77777777" w:rsidR="00F0396C" w:rsidRDefault="00417F17" w:rsidP="00821541">
      <w:pPr>
        <w:pStyle w:val="ListParagraph"/>
        <w:numPr>
          <w:ilvl w:val="0"/>
          <w:numId w:val="25"/>
        </w:numPr>
        <w:spacing w:line="480" w:lineRule="auto"/>
      </w:pPr>
      <w:r>
        <w:tab/>
      </w:r>
      <w:r w:rsidR="00D34772">
        <w:t>Even under PSE’s theory in this case, PSE shareholders do not receive the gain on sale if there is harm to customers</w:t>
      </w:r>
      <w:r w:rsidR="00CA0A60">
        <w:t>.  As PSE explained</w:t>
      </w:r>
      <w:r w:rsidR="00D34772">
        <w:t>:  “Customers need to be compensated if there is customer harm.”</w:t>
      </w:r>
      <w:r w:rsidR="00D34772">
        <w:rPr>
          <w:rStyle w:val="FootnoteReference"/>
        </w:rPr>
        <w:footnoteReference w:id="109"/>
      </w:r>
      <w:r w:rsidR="00697A05">
        <w:t xml:space="preserve">  The record contains ample proof of customer harm.  </w:t>
      </w:r>
    </w:p>
    <w:p w14:paraId="2ABB47FE" w14:textId="38558576" w:rsidR="00417F17" w:rsidRDefault="00F0396C" w:rsidP="00821541">
      <w:pPr>
        <w:pStyle w:val="ListParagraph"/>
        <w:numPr>
          <w:ilvl w:val="0"/>
          <w:numId w:val="25"/>
        </w:numPr>
        <w:spacing w:line="480" w:lineRule="auto"/>
      </w:pPr>
      <w:r>
        <w:tab/>
      </w:r>
      <w:r w:rsidR="00697A05">
        <w:t xml:space="preserve">As Staff demonstrated, there are three ways in which PSE’s sale to JPUD harms </w:t>
      </w:r>
      <w:r w:rsidR="007329E7">
        <w:t xml:space="preserve">remaining </w:t>
      </w:r>
      <w:r w:rsidR="00697A05">
        <w:t xml:space="preserve">customers: </w:t>
      </w:r>
      <w:r w:rsidR="005E5652">
        <w:t xml:space="preserve"> </w:t>
      </w:r>
      <w:r w:rsidR="00697A05">
        <w:t>1) the “immediate and substantial” harm in the amount of $39 million over the first five years, caused by the reduction in contribution to fixed costs by former PSE customers;</w:t>
      </w:r>
      <w:r w:rsidR="00697A05">
        <w:rPr>
          <w:rStyle w:val="FootnoteReference"/>
        </w:rPr>
        <w:footnoteReference w:id="110"/>
      </w:r>
      <w:r w:rsidR="00697A05">
        <w:t xml:space="preserve"> 2) Harm of $1,142,941</w:t>
      </w:r>
      <w:r w:rsidR="00285EC8">
        <w:t xml:space="preserve"> annually</w:t>
      </w:r>
      <w:r w:rsidR="00697A05">
        <w:t xml:space="preserve"> through the end of 2017 due to the fact that the ERF did not take into account the impact of fewer customers;</w:t>
      </w:r>
      <w:r w:rsidR="00697A05">
        <w:rPr>
          <w:rStyle w:val="FootnoteReference"/>
        </w:rPr>
        <w:footnoteReference w:id="111"/>
      </w:r>
      <w:r w:rsidR="00697A05">
        <w:t xml:space="preserve"> and 3)</w:t>
      </w:r>
      <w:r w:rsidR="00285EC8">
        <w:t xml:space="preserve"> Harm of $8,356,230 annually through 2017, because the decoupling baseline was set at a higher level than if the </w:t>
      </w:r>
      <w:r w:rsidR="00285EC8">
        <w:lastRenderedPageBreak/>
        <w:t>JPUD sale had not been consummated.</w:t>
      </w:r>
      <w:r w:rsidR="00285EC8">
        <w:rPr>
          <w:rStyle w:val="FootnoteReference"/>
        </w:rPr>
        <w:footnoteReference w:id="112"/>
      </w:r>
      <w:r w:rsidR="00285EC8">
        <w:t xml:space="preserve"> </w:t>
      </w:r>
      <w:r w:rsidR="00697A05">
        <w:t xml:space="preserve"> </w:t>
      </w:r>
      <w:r w:rsidR="00285EC8">
        <w:t>As shown on Staff Exh</w:t>
      </w:r>
      <w:r w:rsidR="00B2065E">
        <w:t>ibit</w:t>
      </w:r>
      <w:r w:rsidR="00285EC8">
        <w:t xml:space="preserve"> No. EJK-6, the total harm to ratepayers is $52,993,000.  Public Counsel perform</w:t>
      </w:r>
      <w:r w:rsidR="008B76C0">
        <w:t>ed a</w:t>
      </w:r>
      <w:r w:rsidR="00285EC8">
        <w:t xml:space="preserve"> similar analys</w:t>
      </w:r>
      <w:r w:rsidR="008B76C0">
        <w:t>i</w:t>
      </w:r>
      <w:r w:rsidR="00285EC8">
        <w:t>s.</w:t>
      </w:r>
      <w:r w:rsidR="00285EC8">
        <w:rPr>
          <w:rStyle w:val="FootnoteReference"/>
        </w:rPr>
        <w:footnoteReference w:id="113"/>
      </w:r>
    </w:p>
    <w:p w14:paraId="6DC5A91F" w14:textId="6BDD1A75" w:rsidR="007329E7" w:rsidRDefault="00E9207A" w:rsidP="00E9207A">
      <w:pPr>
        <w:pStyle w:val="ListParagraph"/>
        <w:numPr>
          <w:ilvl w:val="0"/>
          <w:numId w:val="25"/>
        </w:numPr>
        <w:spacing w:line="480" w:lineRule="auto"/>
      </w:pPr>
      <w:r>
        <w:tab/>
      </w:r>
      <w:r w:rsidR="007329E7">
        <w:t xml:space="preserve">There </w:t>
      </w:r>
      <w:r w:rsidR="00CA0A60">
        <w:t>was</w:t>
      </w:r>
      <w:r w:rsidR="007329E7">
        <w:t xml:space="preserve"> no need </w:t>
      </w:r>
      <w:r w:rsidR="00CA0A60">
        <w:t xml:space="preserve">for Staff </w:t>
      </w:r>
      <w:r w:rsidR="007329E7">
        <w:t xml:space="preserve">to </w:t>
      </w:r>
      <w:r w:rsidR="00CA0A60">
        <w:t xml:space="preserve">go beyond these </w:t>
      </w:r>
      <w:r w:rsidR="007329E7">
        <w:t>calculat</w:t>
      </w:r>
      <w:r w:rsidR="00CA0A60">
        <w:t xml:space="preserve">ions, because the </w:t>
      </w:r>
      <w:r w:rsidR="007329E7">
        <w:t xml:space="preserve">evidence is clear that there is near term harm to customers due to the lost contribution of the former customers.  </w:t>
      </w:r>
      <w:r w:rsidR="00CA0A60">
        <w:t xml:space="preserve">The cost responsibility of </w:t>
      </w:r>
      <w:r w:rsidR="007329E7">
        <w:t>PSE</w:t>
      </w:r>
      <w:r w:rsidR="00CA0A60">
        <w:t xml:space="preserve">’s former </w:t>
      </w:r>
      <w:r w:rsidR="007329E7">
        <w:t xml:space="preserve">customers </w:t>
      </w:r>
      <w:r w:rsidR="00CA0A60">
        <w:t xml:space="preserve">has been </w:t>
      </w:r>
      <w:r w:rsidR="007329E7">
        <w:t>transfer</w:t>
      </w:r>
      <w:r w:rsidR="00CA0A60">
        <w:t>red</w:t>
      </w:r>
      <w:r w:rsidR="007329E7">
        <w:t xml:space="preserve"> t</w:t>
      </w:r>
      <w:r w:rsidR="00CA0A60">
        <w:t>o</w:t>
      </w:r>
      <w:r w:rsidR="007329E7">
        <w:t xml:space="preserve"> </w:t>
      </w:r>
      <w:r w:rsidR="00CA0A60">
        <w:t xml:space="preserve">PSE’s </w:t>
      </w:r>
      <w:r w:rsidR="007329E7">
        <w:t xml:space="preserve">remaining customers, which includes </w:t>
      </w:r>
      <w:r w:rsidR="00757EB2">
        <w:t xml:space="preserve">not only the fixed costs of </w:t>
      </w:r>
      <w:r w:rsidR="00CA0A60">
        <w:t xml:space="preserve">PSE’s system, </w:t>
      </w:r>
      <w:r w:rsidR="00757EB2">
        <w:t xml:space="preserve">but also </w:t>
      </w:r>
      <w:r w:rsidR="007329E7">
        <w:t xml:space="preserve">the </w:t>
      </w:r>
      <w:r w:rsidR="00757EB2">
        <w:t xml:space="preserve">plentiful </w:t>
      </w:r>
      <w:r w:rsidR="007329E7">
        <w:t xml:space="preserve">deferred </w:t>
      </w:r>
      <w:r w:rsidR="00757EB2">
        <w:t xml:space="preserve">(regulatory) </w:t>
      </w:r>
      <w:r w:rsidR="007329E7">
        <w:t xml:space="preserve">assets on PSE’s books.  </w:t>
      </w:r>
    </w:p>
    <w:p w14:paraId="52F5FFE6" w14:textId="77777777" w:rsidR="00417F17" w:rsidRPr="00F0396C" w:rsidRDefault="00F0396C" w:rsidP="00CB246B">
      <w:pPr>
        <w:keepNext/>
        <w:ind w:leftChars="598" w:left="2158" w:hangingChars="300" w:hanging="723"/>
        <w:rPr>
          <w:b/>
        </w:rPr>
      </w:pPr>
      <w:r>
        <w:rPr>
          <w:b/>
        </w:rPr>
        <w:t>a.</w:t>
      </w:r>
      <w:r>
        <w:rPr>
          <w:b/>
        </w:rPr>
        <w:tab/>
      </w:r>
      <w:r w:rsidR="00417F17" w:rsidRPr="00F0396C">
        <w:rPr>
          <w:b/>
        </w:rPr>
        <w:t xml:space="preserve">PSE’s Contention that Jefferson County Ratepayers Paid their </w:t>
      </w:r>
      <w:r w:rsidR="00CA0A60" w:rsidRPr="00F0396C">
        <w:rPr>
          <w:b/>
        </w:rPr>
        <w:t>C</w:t>
      </w:r>
      <w:r w:rsidR="00417F17" w:rsidRPr="00F0396C">
        <w:rPr>
          <w:b/>
        </w:rPr>
        <w:t>ost of Service is Contradicted by the Fact that the Commission Sets Uniform Rates, and Jefferson County was a “High Cost” Area</w:t>
      </w:r>
    </w:p>
    <w:p w14:paraId="4266FB4A" w14:textId="77777777" w:rsidR="00417F17" w:rsidRDefault="00417F17" w:rsidP="00E9207A">
      <w:pPr>
        <w:pStyle w:val="Answer-Testimony"/>
        <w:keepNext/>
        <w:spacing w:line="240" w:lineRule="auto"/>
        <w:ind w:hangingChars="300"/>
      </w:pPr>
    </w:p>
    <w:p w14:paraId="03C30C78" w14:textId="77777777" w:rsidR="00417F17" w:rsidRDefault="00417F17" w:rsidP="00417F17">
      <w:pPr>
        <w:pStyle w:val="ListParagraph"/>
        <w:numPr>
          <w:ilvl w:val="0"/>
          <w:numId w:val="25"/>
        </w:numPr>
        <w:spacing w:line="480" w:lineRule="auto"/>
      </w:pPr>
      <w:r>
        <w:tab/>
      </w:r>
      <w:r w:rsidR="009C5B61">
        <w:t xml:space="preserve">PSE contends there can be no harm to remaining customers because </w:t>
      </w:r>
      <w:r w:rsidR="00824D00">
        <w:t xml:space="preserve">its former </w:t>
      </w:r>
      <w:r w:rsidR="009C5B61">
        <w:t xml:space="preserve">Jefferson County ratepayers allegedly </w:t>
      </w:r>
      <w:r w:rsidR="00824D00">
        <w:t>“covered their cost of service.”</w:t>
      </w:r>
      <w:r w:rsidR="00824D00">
        <w:rPr>
          <w:rStyle w:val="FootnoteReference"/>
        </w:rPr>
        <w:footnoteReference w:id="114"/>
      </w:r>
      <w:r w:rsidR="00824D00">
        <w:t xml:space="preserve">  This is </w:t>
      </w:r>
      <w:r w:rsidR="00AC1F1C">
        <w:t xml:space="preserve">not true because, as </w:t>
      </w:r>
      <w:r>
        <w:t>PSE admitted:</w:t>
      </w:r>
    </w:p>
    <w:p w14:paraId="6CC20F1D" w14:textId="77777777" w:rsidR="00417F17" w:rsidRDefault="00417F17" w:rsidP="00417F17">
      <w:pPr>
        <w:pStyle w:val="Answer-Testimony"/>
        <w:spacing w:line="240" w:lineRule="auto"/>
        <w:ind w:firstLine="0"/>
      </w:pPr>
      <w:r>
        <w:t>The Company’s rates are uniform throughout its service area.  As such, all customers share in the recovery of PSE’s overall depreciation expense.  The amount paid by any given customer or group of customers is not tied to specific assets used to provide service within any particular city or county within PSE’s service area.</w:t>
      </w:r>
      <w:r>
        <w:rPr>
          <w:rStyle w:val="FootnoteReference"/>
        </w:rPr>
        <w:footnoteReference w:id="115"/>
      </w:r>
    </w:p>
    <w:p w14:paraId="6BCABC3A" w14:textId="2CD6BA12" w:rsidR="00417F17" w:rsidRDefault="00417F17" w:rsidP="006635E2">
      <w:pPr>
        <w:pStyle w:val="Answer-Testimony"/>
        <w:spacing w:line="240" w:lineRule="auto"/>
      </w:pPr>
    </w:p>
    <w:p w14:paraId="5BA3DE1A" w14:textId="43EDCF24" w:rsidR="00CA0A60" w:rsidRDefault="00417F17" w:rsidP="003478BD">
      <w:pPr>
        <w:pStyle w:val="ListParagraph"/>
        <w:numPr>
          <w:ilvl w:val="0"/>
          <w:numId w:val="25"/>
        </w:numPr>
        <w:spacing w:line="480" w:lineRule="auto"/>
        <w:contextualSpacing w:val="0"/>
      </w:pPr>
      <w:r>
        <w:tab/>
      </w:r>
      <w:r w:rsidR="00F160E6">
        <w:t xml:space="preserve">This PSE admission is important.  For example, </w:t>
      </w:r>
      <w:r w:rsidR="00CA0A60">
        <w:t xml:space="preserve">as we discussed earlier, </w:t>
      </w:r>
      <w:r w:rsidR="00F160E6">
        <w:t xml:space="preserve">the Wyoming Public Service Commission </w:t>
      </w:r>
      <w:r w:rsidR="00CA0A60">
        <w:t>distinguished between the sale of distribution plant that was part of the rate base and used to set general rates, versus transmission plant whose costs were assigned to and recovered from a specific ratepayer; the City of Powell.  Because the distribution assets w</w:t>
      </w:r>
      <w:r w:rsidR="000243D9">
        <w:t>ere</w:t>
      </w:r>
      <w:r w:rsidR="00CA0A60">
        <w:t xml:space="preserve"> </w:t>
      </w:r>
      <w:r w:rsidR="00F160E6">
        <w:t xml:space="preserve">“in the rate base and were ‘used and useful’ to Pacific Power’s system and had been paid </w:t>
      </w:r>
      <w:r w:rsidR="00F160E6">
        <w:lastRenderedPageBreak/>
        <w:t>for by the ratepayers</w:t>
      </w:r>
      <w:r w:rsidR="00CA0A60">
        <w:t>,</w:t>
      </w:r>
      <w:r w:rsidR="00F160E6">
        <w:t>”</w:t>
      </w:r>
      <w:r w:rsidR="00F160E6">
        <w:rPr>
          <w:rStyle w:val="FootnoteReference"/>
        </w:rPr>
        <w:footnoteReference w:id="116"/>
      </w:r>
      <w:r w:rsidR="00F160E6">
        <w:t xml:space="preserve"> </w:t>
      </w:r>
      <w:r w:rsidR="00CA0A60">
        <w:t xml:space="preserve">PacifiCorp’s remaining ratepayers were entitled to the gain, just as PSE’s remaining ratepayers are entitled to the gain on the JPUD property.  </w:t>
      </w:r>
    </w:p>
    <w:p w14:paraId="388C6DFA" w14:textId="77777777" w:rsidR="00417F17" w:rsidRDefault="00CA0A60" w:rsidP="003478BD">
      <w:pPr>
        <w:pStyle w:val="ListParagraph"/>
        <w:numPr>
          <w:ilvl w:val="0"/>
          <w:numId w:val="25"/>
        </w:numPr>
        <w:spacing w:line="480" w:lineRule="auto"/>
        <w:contextualSpacing w:val="0"/>
      </w:pPr>
      <w:r>
        <w:tab/>
        <w:t xml:space="preserve">Conversely, the gain on sale of the </w:t>
      </w:r>
      <w:r w:rsidR="0011404E">
        <w:t xml:space="preserve">PacifiCorp </w:t>
      </w:r>
      <w:r>
        <w:t xml:space="preserve">transmission assets went to shareholders, because the City of Powell </w:t>
      </w:r>
      <w:r w:rsidR="00F160E6">
        <w:t xml:space="preserve">paid under a wholesale tariff designed to cover the specific costs PacifiCorp incurred to serve Powell.  </w:t>
      </w:r>
      <w:r w:rsidR="0011404E">
        <w:t xml:space="preserve">That is not the </w:t>
      </w:r>
      <w:r w:rsidR="00F160E6">
        <w:t xml:space="preserve">situation </w:t>
      </w:r>
      <w:r>
        <w:t>here</w:t>
      </w:r>
      <w:r w:rsidR="00F160E6">
        <w:t>.</w:t>
      </w:r>
    </w:p>
    <w:p w14:paraId="7E63E430" w14:textId="77777777" w:rsidR="00417F17" w:rsidRPr="00735F35" w:rsidRDefault="00F0396C" w:rsidP="00F0396C">
      <w:pPr>
        <w:pStyle w:val="ListParagraph"/>
        <w:ind w:left="2160" w:hanging="720"/>
        <w:rPr>
          <w:b/>
        </w:rPr>
      </w:pPr>
      <w:r>
        <w:rPr>
          <w:b/>
        </w:rPr>
        <w:t>b</w:t>
      </w:r>
      <w:r w:rsidR="00417F17">
        <w:rPr>
          <w:b/>
        </w:rPr>
        <w:t>.</w:t>
      </w:r>
      <w:r w:rsidR="00417F17">
        <w:rPr>
          <w:b/>
        </w:rPr>
        <w:tab/>
        <w:t xml:space="preserve">PSE’s Critique of Staff’s Harm to Customers Analysis </w:t>
      </w:r>
      <w:r>
        <w:rPr>
          <w:b/>
        </w:rPr>
        <w:t xml:space="preserve">Once Again </w:t>
      </w:r>
      <w:r w:rsidR="00417F17">
        <w:rPr>
          <w:b/>
        </w:rPr>
        <w:t xml:space="preserve">Contradicts </w:t>
      </w:r>
      <w:r w:rsidR="00EF54F9">
        <w:rPr>
          <w:b/>
        </w:rPr>
        <w:t xml:space="preserve">PSE’s Testimony </w:t>
      </w:r>
      <w:r w:rsidR="00417F17">
        <w:rPr>
          <w:b/>
        </w:rPr>
        <w:t xml:space="preserve">in the </w:t>
      </w:r>
      <w:r w:rsidR="00417F17">
        <w:rPr>
          <w:b/>
          <w:i/>
        </w:rPr>
        <w:t xml:space="preserve">Centralia </w:t>
      </w:r>
      <w:r w:rsidR="009B6D3A">
        <w:rPr>
          <w:b/>
          <w:i/>
        </w:rPr>
        <w:t>Case</w:t>
      </w:r>
    </w:p>
    <w:p w14:paraId="5935F382" w14:textId="77777777" w:rsidR="00417F17" w:rsidRDefault="00417F17" w:rsidP="00417F17">
      <w:pPr>
        <w:pStyle w:val="ListParagraph"/>
        <w:ind w:left="0"/>
      </w:pPr>
    </w:p>
    <w:p w14:paraId="05CB95A0" w14:textId="43FBDC15" w:rsidR="00417F17" w:rsidRDefault="00417F17" w:rsidP="00417F17">
      <w:pPr>
        <w:pStyle w:val="ListParagraph"/>
        <w:numPr>
          <w:ilvl w:val="0"/>
          <w:numId w:val="25"/>
        </w:numPr>
        <w:spacing w:line="480" w:lineRule="auto"/>
        <w:contextualSpacing w:val="0"/>
      </w:pPr>
      <w:r>
        <w:tab/>
      </w:r>
      <w:r w:rsidR="00285EC8">
        <w:t xml:space="preserve">PSE </w:t>
      </w:r>
      <w:r w:rsidR="0011404E">
        <w:t xml:space="preserve">chose to </w:t>
      </w:r>
      <w:r w:rsidR="00285EC8">
        <w:t xml:space="preserve">critique Staff’s </w:t>
      </w:r>
      <w:r w:rsidR="00CA0A60">
        <w:t xml:space="preserve">“harm” </w:t>
      </w:r>
      <w:r w:rsidR="00285EC8">
        <w:t>analysis, primarily because Staff</w:t>
      </w:r>
      <w:r w:rsidR="00735F35">
        <w:t xml:space="preserve"> (as well as </w:t>
      </w:r>
      <w:r w:rsidR="00285EC8">
        <w:t>Public Counsel and ICNU</w:t>
      </w:r>
      <w:r w:rsidR="00735F35">
        <w:t>)</w:t>
      </w:r>
      <w:r w:rsidR="00285EC8">
        <w:t xml:space="preserve"> focused on the early years post-sale</w:t>
      </w:r>
      <w:r w:rsidR="00735F35">
        <w:t xml:space="preserve">, rather than use </w:t>
      </w:r>
      <w:r w:rsidR="00BE509F">
        <w:t>the</w:t>
      </w:r>
      <w:r w:rsidR="00735F35">
        <w:t xml:space="preserve"> </w:t>
      </w:r>
      <w:r w:rsidR="00285EC8">
        <w:t xml:space="preserve">full 20 years of the Company’s forecast.  PSE </w:t>
      </w:r>
      <w:r w:rsidR="00CA0A60">
        <w:t xml:space="preserve">chose to </w:t>
      </w:r>
      <w:r w:rsidR="00285EC8">
        <w:t xml:space="preserve">call </w:t>
      </w:r>
      <w:r w:rsidR="00CA0A60">
        <w:t xml:space="preserve">Staff’s decision to focus on the impact during the early years </w:t>
      </w:r>
      <w:r w:rsidR="00285EC8">
        <w:t>“arbitrary” and having “no basis in relevant regulatory precedent.”</w:t>
      </w:r>
      <w:r w:rsidR="00285EC8">
        <w:rPr>
          <w:rStyle w:val="FootnoteReference"/>
        </w:rPr>
        <w:footnoteReference w:id="117"/>
      </w:r>
      <w:r w:rsidR="00285EC8">
        <w:t xml:space="preserve"> </w:t>
      </w:r>
      <w:r w:rsidR="00F23F24">
        <w:t xml:space="preserve"> </w:t>
      </w:r>
      <w:r w:rsidR="00CA0A60">
        <w:t>PSE</w:t>
      </w:r>
      <w:r w:rsidR="009B6D3A">
        <w:t xml:space="preserve"> </w:t>
      </w:r>
      <w:r w:rsidR="00F0396C">
        <w:t xml:space="preserve">then </w:t>
      </w:r>
      <w:r w:rsidR="009B6D3A">
        <w:t>use</w:t>
      </w:r>
      <w:r w:rsidR="00F0396C">
        <w:t>d</w:t>
      </w:r>
      <w:r w:rsidR="009B6D3A">
        <w:t xml:space="preserve"> </w:t>
      </w:r>
      <w:r w:rsidR="00757EB2">
        <w:t>the</w:t>
      </w:r>
      <w:r w:rsidR="009B6D3A">
        <w:t xml:space="preserve"> full 20 year forecast</w:t>
      </w:r>
      <w:r w:rsidR="00F84231">
        <w:t xml:space="preserve"> to claim </w:t>
      </w:r>
      <w:r w:rsidR="00F23F24">
        <w:t>a customer “benefit” of $83 million (direct case) and $102.6 million (rebuttal case).</w:t>
      </w:r>
      <w:r w:rsidR="00F23F24">
        <w:rPr>
          <w:rStyle w:val="FootnoteReference"/>
        </w:rPr>
        <w:footnoteReference w:id="118"/>
      </w:r>
    </w:p>
    <w:p w14:paraId="6E37D4F8" w14:textId="60039A36" w:rsidR="00417F17" w:rsidRDefault="00417F17" w:rsidP="00417F17">
      <w:pPr>
        <w:pStyle w:val="ListParagraph"/>
        <w:numPr>
          <w:ilvl w:val="0"/>
          <w:numId w:val="25"/>
        </w:numPr>
        <w:spacing w:line="480" w:lineRule="auto"/>
        <w:contextualSpacing w:val="0"/>
      </w:pPr>
      <w:r>
        <w:tab/>
      </w:r>
      <w:r w:rsidR="00012354">
        <w:t xml:space="preserve">PSE </w:t>
      </w:r>
      <w:r w:rsidR="0011404E">
        <w:t xml:space="preserve">chose </w:t>
      </w:r>
      <w:r w:rsidR="00F23F24">
        <w:t xml:space="preserve">the </w:t>
      </w:r>
      <w:r w:rsidR="00F160E6">
        <w:t xml:space="preserve">exact </w:t>
      </w:r>
      <w:r w:rsidR="00F23F24">
        <w:t xml:space="preserve">opposite approach in the </w:t>
      </w:r>
      <w:r w:rsidR="00F23F24" w:rsidRPr="00417F17">
        <w:rPr>
          <w:i/>
        </w:rPr>
        <w:t xml:space="preserve">Centralia </w:t>
      </w:r>
      <w:r w:rsidR="00F0396C">
        <w:rPr>
          <w:i/>
        </w:rPr>
        <w:t>Case</w:t>
      </w:r>
      <w:r w:rsidR="00012354">
        <w:t xml:space="preserve">, </w:t>
      </w:r>
      <w:r w:rsidR="00F160E6">
        <w:t xml:space="preserve">where </w:t>
      </w:r>
      <w:r w:rsidR="00012354">
        <w:t xml:space="preserve">PSE </w:t>
      </w:r>
      <w:r w:rsidR="00F84231">
        <w:t xml:space="preserve">strongly </w:t>
      </w:r>
      <w:r w:rsidR="00012354">
        <w:t>urged the Commission to give little weight to long-term forecasts</w:t>
      </w:r>
      <w:r w:rsidR="00735F35">
        <w:t xml:space="preserve"> when considering whether to approve </w:t>
      </w:r>
      <w:r w:rsidR="00757EB2">
        <w:t xml:space="preserve">PSE’s </w:t>
      </w:r>
      <w:r w:rsidR="00735F35">
        <w:t xml:space="preserve">sale of </w:t>
      </w:r>
      <w:r w:rsidR="00757EB2">
        <w:t xml:space="preserve">its share of </w:t>
      </w:r>
      <w:r w:rsidR="00735F35">
        <w:t>the Centralia coal plant</w:t>
      </w:r>
      <w:r w:rsidR="009B6D3A">
        <w:t>, arguing</w:t>
      </w:r>
      <w:r w:rsidR="00012354">
        <w:t>:  “The near term economic benefits of the sale should be given greater weight than the more speculative longer term economic benefits of keeping the plant.”</w:t>
      </w:r>
      <w:r w:rsidR="00012354">
        <w:rPr>
          <w:rStyle w:val="FootnoteReference"/>
        </w:rPr>
        <w:footnoteReference w:id="119"/>
      </w:r>
      <w:r w:rsidR="00012354">
        <w:t xml:space="preserve">  </w:t>
      </w:r>
      <w:r w:rsidR="00757EB2">
        <w:t xml:space="preserve">In that case, </w:t>
      </w:r>
      <w:r w:rsidR="00012354">
        <w:t xml:space="preserve">PSE repeatedly characterized as “speculative” the “out years” of the </w:t>
      </w:r>
      <w:r w:rsidR="00CB246B">
        <w:t xml:space="preserve">sort of </w:t>
      </w:r>
      <w:r w:rsidR="00012354">
        <w:t>long term forecasts</w:t>
      </w:r>
      <w:r w:rsidR="00F84231">
        <w:t xml:space="preserve"> </w:t>
      </w:r>
      <w:r w:rsidR="00757EB2">
        <w:t xml:space="preserve">PSE now embraces </w:t>
      </w:r>
      <w:r w:rsidR="00757EB2" w:rsidRPr="00757EB2">
        <w:rPr>
          <w:i/>
        </w:rPr>
        <w:t>in toto</w:t>
      </w:r>
      <w:r w:rsidR="00012354">
        <w:t>.</w:t>
      </w:r>
      <w:r w:rsidR="00012354">
        <w:rPr>
          <w:rStyle w:val="FootnoteReference"/>
        </w:rPr>
        <w:footnoteReference w:id="120"/>
      </w:r>
    </w:p>
    <w:p w14:paraId="6EF2109F" w14:textId="77777777" w:rsidR="00417F17" w:rsidRDefault="00417F17" w:rsidP="00417F17">
      <w:pPr>
        <w:pStyle w:val="ListParagraph"/>
        <w:numPr>
          <w:ilvl w:val="0"/>
          <w:numId w:val="25"/>
        </w:numPr>
        <w:spacing w:line="480" w:lineRule="auto"/>
        <w:contextualSpacing w:val="0"/>
      </w:pPr>
      <w:r>
        <w:lastRenderedPageBreak/>
        <w:tab/>
      </w:r>
      <w:r w:rsidR="00F23F24">
        <w:t xml:space="preserve">PSE was </w:t>
      </w:r>
      <w:r w:rsidR="00F84231">
        <w:t xml:space="preserve">correct in the </w:t>
      </w:r>
      <w:r w:rsidR="009B6D3A">
        <w:rPr>
          <w:i/>
        </w:rPr>
        <w:t>Centralia C</w:t>
      </w:r>
      <w:r w:rsidR="00F84231">
        <w:rPr>
          <w:i/>
        </w:rPr>
        <w:t>ase</w:t>
      </w:r>
      <w:r w:rsidR="009B6D3A">
        <w:t>; t</w:t>
      </w:r>
      <w:r w:rsidR="00F23F24">
        <w:t>he out years of a 20 year forecast are indeed speculative</w:t>
      </w:r>
      <w:r w:rsidR="00F160E6">
        <w:t xml:space="preserve">.  Just as PSE was justified in focusing on the near term part of the forecast in the </w:t>
      </w:r>
      <w:r w:rsidR="00F160E6" w:rsidRPr="00417F17">
        <w:rPr>
          <w:i/>
        </w:rPr>
        <w:t xml:space="preserve">Centralia </w:t>
      </w:r>
      <w:r w:rsidR="009B6D3A">
        <w:rPr>
          <w:i/>
        </w:rPr>
        <w:t>Case</w:t>
      </w:r>
      <w:r w:rsidR="00F23F24">
        <w:t>, Staff</w:t>
      </w:r>
      <w:r w:rsidR="00F84231">
        <w:t>,</w:t>
      </w:r>
      <w:r w:rsidR="00F23F24">
        <w:t xml:space="preserve"> Public Counsel and ICNU were justified in </w:t>
      </w:r>
      <w:r w:rsidR="00F160E6">
        <w:t>doing the same in this case</w:t>
      </w:r>
      <w:r>
        <w:t>.</w:t>
      </w:r>
    </w:p>
    <w:p w14:paraId="57749E91" w14:textId="77777777" w:rsidR="00F0396C" w:rsidRDefault="00417F17" w:rsidP="00417F17">
      <w:pPr>
        <w:pStyle w:val="ListParagraph"/>
        <w:numPr>
          <w:ilvl w:val="0"/>
          <w:numId w:val="25"/>
        </w:numPr>
        <w:spacing w:line="480" w:lineRule="auto"/>
        <w:contextualSpacing w:val="0"/>
      </w:pPr>
      <w:r>
        <w:tab/>
      </w:r>
      <w:r w:rsidR="00F23F24">
        <w:t xml:space="preserve">It is </w:t>
      </w:r>
      <w:r w:rsidR="009B6D3A">
        <w:t xml:space="preserve">also </w:t>
      </w:r>
      <w:r w:rsidR="00F23F24">
        <w:t xml:space="preserve">noteworthy </w:t>
      </w:r>
      <w:r w:rsidR="00F160E6">
        <w:t>(</w:t>
      </w:r>
      <w:r w:rsidR="00F23F24">
        <w:t>to say the least</w:t>
      </w:r>
      <w:r w:rsidR="00F160E6">
        <w:t>)</w:t>
      </w:r>
      <w:r w:rsidR="00F23F24">
        <w:t xml:space="preserve"> that PSE is not proposing to create a regulatory liability representing the customer benefits PSE calculates, as a way of </w:t>
      </w:r>
      <w:r w:rsidR="00050C80">
        <w:t xml:space="preserve">assuring </w:t>
      </w:r>
      <w:r w:rsidR="00F23F24">
        <w:t>customers</w:t>
      </w:r>
      <w:r w:rsidR="002F5146">
        <w:t xml:space="preserve"> </w:t>
      </w:r>
      <w:r w:rsidR="00050C80">
        <w:t xml:space="preserve">the </w:t>
      </w:r>
      <w:r w:rsidR="002F5146">
        <w:t xml:space="preserve">benefits PSE now </w:t>
      </w:r>
      <w:r w:rsidR="00F160E6">
        <w:t xml:space="preserve">assures the Commission will come </w:t>
      </w:r>
      <w:r w:rsidR="002F5146">
        <w:t xml:space="preserve">to </w:t>
      </w:r>
      <w:r w:rsidR="00372759">
        <w:t xml:space="preserve">customers </w:t>
      </w:r>
      <w:r w:rsidR="002F5146">
        <w:t>over the next 20 years</w:t>
      </w:r>
      <w:r w:rsidR="00F23F24">
        <w:t>.</w:t>
      </w:r>
      <w:r w:rsidR="00F23F24">
        <w:rPr>
          <w:rStyle w:val="FootnoteReference"/>
        </w:rPr>
        <w:footnoteReference w:id="121"/>
      </w:r>
      <w:r w:rsidR="00F23F24">
        <w:t xml:space="preserve">  </w:t>
      </w:r>
    </w:p>
    <w:p w14:paraId="2FF415CA" w14:textId="1D0698CE" w:rsidR="00456DA6" w:rsidRPr="00E9207A" w:rsidRDefault="00E9207A" w:rsidP="00E9207A">
      <w:pPr>
        <w:pStyle w:val="ListParagraph"/>
        <w:numPr>
          <w:ilvl w:val="0"/>
          <w:numId w:val="25"/>
        </w:numPr>
        <w:tabs>
          <w:tab w:val="left" w:pos="720"/>
          <w:tab w:val="left" w:pos="1440"/>
          <w:tab w:val="left" w:pos="2160"/>
          <w:tab w:val="right" w:leader="dot" w:pos="9360"/>
        </w:tabs>
        <w:spacing w:line="480" w:lineRule="auto"/>
        <w:rPr>
          <w:rFonts w:eastAsia="Times New Roman" w:cs="Times New Roman"/>
          <w:bCs/>
          <w:szCs w:val="24"/>
        </w:rPr>
      </w:pPr>
      <w:r>
        <w:tab/>
      </w:r>
      <w:r w:rsidR="00735F35">
        <w:t xml:space="preserve">The Commission </w:t>
      </w:r>
      <w:r w:rsidR="00F23F24">
        <w:t xml:space="preserve">should </w:t>
      </w:r>
      <w:r w:rsidR="00F84231">
        <w:t xml:space="preserve">disregard </w:t>
      </w:r>
      <w:r w:rsidR="00F23F24">
        <w:t>PSE’s customer benefit analysis</w:t>
      </w:r>
      <w:r w:rsidR="00F160E6">
        <w:t xml:space="preserve"> </w:t>
      </w:r>
      <w:r w:rsidR="00F84231">
        <w:t xml:space="preserve">in this case </w:t>
      </w:r>
      <w:r w:rsidR="00F160E6">
        <w:t>as a no</w:t>
      </w:r>
      <w:r w:rsidR="00F84231">
        <w:t>n-</w:t>
      </w:r>
      <w:r w:rsidR="00F160E6">
        <w:t xml:space="preserve">credible, self-serving analysis </w:t>
      </w:r>
      <w:r w:rsidR="00F84231">
        <w:t xml:space="preserve">that </w:t>
      </w:r>
      <w:r w:rsidR="00372759">
        <w:t xml:space="preserve">directly </w:t>
      </w:r>
      <w:r w:rsidR="00F160E6">
        <w:t>contradict</w:t>
      </w:r>
      <w:r w:rsidR="00F84231">
        <w:t>s</w:t>
      </w:r>
      <w:r w:rsidR="00F160E6">
        <w:t xml:space="preserve"> the approach the Company </w:t>
      </w:r>
      <w:r w:rsidR="00F84231">
        <w:t xml:space="preserve">assured the Commission was the correct one </w:t>
      </w:r>
      <w:r w:rsidR="009B6D3A">
        <w:t xml:space="preserve">in </w:t>
      </w:r>
      <w:r w:rsidR="00F160E6">
        <w:t xml:space="preserve">the </w:t>
      </w:r>
      <w:r w:rsidR="00F160E6" w:rsidRPr="00E9207A">
        <w:rPr>
          <w:i/>
        </w:rPr>
        <w:t xml:space="preserve">Centralia </w:t>
      </w:r>
      <w:r w:rsidR="009B6D3A" w:rsidRPr="00E9207A">
        <w:rPr>
          <w:i/>
        </w:rPr>
        <w:t>Case</w:t>
      </w:r>
      <w:r w:rsidR="00417F17">
        <w:t>.</w:t>
      </w:r>
      <w:r w:rsidR="00F0396C">
        <w:t xml:space="preserve">  PSE was correct in the </w:t>
      </w:r>
      <w:r w:rsidR="00F0396C" w:rsidRPr="00E9207A">
        <w:rPr>
          <w:i/>
        </w:rPr>
        <w:t xml:space="preserve">Centralia Case </w:t>
      </w:r>
      <w:r w:rsidR="00757EB2">
        <w:t xml:space="preserve">to limit the use of the forecasts </w:t>
      </w:r>
      <w:r w:rsidR="00F0396C">
        <w:t xml:space="preserve">out years in the </w:t>
      </w:r>
      <w:r w:rsidR="00757EB2">
        <w:t>analysis</w:t>
      </w:r>
      <w:r w:rsidR="00F0396C">
        <w:t xml:space="preserve">.  PSE is wrong to </w:t>
      </w:r>
      <w:r w:rsidR="00757EB2">
        <w:t>spurn</w:t>
      </w:r>
      <w:r w:rsidR="00F0396C">
        <w:t xml:space="preserve"> that approach </w:t>
      </w:r>
      <w:r w:rsidR="00757EB2">
        <w:t>now</w:t>
      </w:r>
      <w:r w:rsidR="00F0396C">
        <w:t>.</w:t>
      </w:r>
    </w:p>
    <w:p w14:paraId="64F242B7" w14:textId="3406F81F" w:rsidR="00456DA6" w:rsidRPr="00B76C50" w:rsidRDefault="00B76C50" w:rsidP="00E9207A">
      <w:pPr>
        <w:tabs>
          <w:tab w:val="left" w:pos="720"/>
          <w:tab w:val="left" w:pos="1440"/>
          <w:tab w:val="left" w:pos="2160"/>
          <w:tab w:val="right" w:leader="dot" w:pos="9360"/>
        </w:tabs>
        <w:spacing w:line="480" w:lineRule="auto"/>
        <w:rPr>
          <w:b/>
        </w:rPr>
      </w:pPr>
      <w:r w:rsidRPr="00B76C50">
        <w:rPr>
          <w:b/>
        </w:rPr>
        <w:t>D</w:t>
      </w:r>
      <w:r w:rsidR="00456DA6" w:rsidRPr="00B76C50">
        <w:rPr>
          <w:b/>
        </w:rPr>
        <w:t>.</w:t>
      </w:r>
      <w:r w:rsidR="00456DA6" w:rsidRPr="00B76C50">
        <w:rPr>
          <w:b/>
        </w:rPr>
        <w:tab/>
        <w:t>Allocation of Sales Proceeds Betw</w:t>
      </w:r>
      <w:r w:rsidR="00E9207A">
        <w:rPr>
          <w:b/>
        </w:rPr>
        <w:t xml:space="preserve">een Shareholders and Customers </w:t>
      </w:r>
    </w:p>
    <w:p w14:paraId="3CF649FC" w14:textId="1F8C10AD" w:rsidR="00B86518" w:rsidRPr="00E9207A" w:rsidRDefault="00E9207A" w:rsidP="00E9207A">
      <w:pPr>
        <w:pStyle w:val="ListParagraph"/>
        <w:numPr>
          <w:ilvl w:val="0"/>
          <w:numId w:val="25"/>
        </w:numPr>
        <w:spacing w:line="480" w:lineRule="auto"/>
        <w:rPr>
          <w:rFonts w:cs="Times New Roman"/>
          <w:szCs w:val="24"/>
        </w:rPr>
      </w:pPr>
      <w:r>
        <w:rPr>
          <w:rFonts w:cs="Times New Roman"/>
          <w:szCs w:val="24"/>
        </w:rPr>
        <w:tab/>
      </w:r>
      <w:r w:rsidR="00B86518" w:rsidRPr="00E9207A">
        <w:rPr>
          <w:rFonts w:cs="Times New Roman"/>
          <w:szCs w:val="24"/>
        </w:rPr>
        <w:t xml:space="preserve">As demonstrated above, a proper evaluation and application of the regulatory compact and risk/reward principle requires that PSE shareholders are entitled only to the net book value of the distribution assets PSE sold to JPUD ($46,686,436), plus provable transaction costs.  As we discuss below, the provable transaction costs are $2,404,643.  The Commission should also add an incentive payment to PSE of $7,481,394.  </w:t>
      </w:r>
    </w:p>
    <w:p w14:paraId="4F812AC7" w14:textId="0EDDD1F8" w:rsidR="009E1953" w:rsidRDefault="00E9207A" w:rsidP="00E9207A">
      <w:pPr>
        <w:pStyle w:val="ListParagraph"/>
        <w:numPr>
          <w:ilvl w:val="0"/>
          <w:numId w:val="25"/>
        </w:numPr>
        <w:spacing w:line="480" w:lineRule="auto"/>
        <w:rPr>
          <w:rFonts w:cs="Times New Roman"/>
          <w:szCs w:val="24"/>
        </w:rPr>
      </w:pPr>
      <w:r>
        <w:rPr>
          <w:rFonts w:cs="Times New Roman"/>
          <w:szCs w:val="24"/>
        </w:rPr>
        <w:tab/>
      </w:r>
      <w:r w:rsidR="00B86518" w:rsidRPr="00E9207A">
        <w:rPr>
          <w:rFonts w:cs="Times New Roman"/>
          <w:szCs w:val="24"/>
        </w:rPr>
        <w:t>In total, the Commission should adopt Staff’s recommendation that PSE shareholders receive $56,572,473 of the $109,273,196 total proceeds, fully 52 percent of the total proceeds of sale</w:t>
      </w:r>
      <w:r w:rsidR="00CB246B">
        <w:rPr>
          <w:rFonts w:cs="Times New Roman"/>
          <w:szCs w:val="24"/>
        </w:rPr>
        <w:t>; ratepayers should receive $52,700,723</w:t>
      </w:r>
      <w:r w:rsidR="00B86518" w:rsidRPr="00E9207A">
        <w:rPr>
          <w:rFonts w:cs="Times New Roman"/>
          <w:szCs w:val="24"/>
        </w:rPr>
        <w:t xml:space="preserve">.  </w:t>
      </w:r>
    </w:p>
    <w:p w14:paraId="6ECCDBF3" w14:textId="77777777" w:rsidR="009E1953" w:rsidRDefault="009E1953">
      <w:pPr>
        <w:rPr>
          <w:rFonts w:cs="Times New Roman"/>
          <w:szCs w:val="24"/>
        </w:rPr>
      </w:pPr>
      <w:r>
        <w:rPr>
          <w:rFonts w:cs="Times New Roman"/>
          <w:szCs w:val="24"/>
        </w:rPr>
        <w:br w:type="page"/>
      </w:r>
    </w:p>
    <w:p w14:paraId="2952F327" w14:textId="067DCD97" w:rsidR="00B86518" w:rsidRPr="00E9207A" w:rsidRDefault="00E9207A" w:rsidP="00E9207A">
      <w:pPr>
        <w:spacing w:line="480" w:lineRule="auto"/>
        <w:ind w:firstLine="720"/>
        <w:rPr>
          <w:rFonts w:cs="Times New Roman"/>
          <w:b/>
          <w:szCs w:val="24"/>
        </w:rPr>
      </w:pPr>
      <w:r>
        <w:rPr>
          <w:b/>
        </w:rPr>
        <w:lastRenderedPageBreak/>
        <w:t>1.</w:t>
      </w:r>
      <w:r>
        <w:rPr>
          <w:b/>
        </w:rPr>
        <w:tab/>
      </w:r>
      <w:r w:rsidR="00B86518" w:rsidRPr="00E9207A">
        <w:rPr>
          <w:rFonts w:cs="Times New Roman"/>
          <w:b/>
          <w:szCs w:val="24"/>
        </w:rPr>
        <w:t>Prov</w:t>
      </w:r>
      <w:r w:rsidR="0038763E" w:rsidRPr="00E9207A">
        <w:rPr>
          <w:rFonts w:cs="Times New Roman"/>
          <w:b/>
          <w:szCs w:val="24"/>
        </w:rPr>
        <w:t>en</w:t>
      </w:r>
      <w:r w:rsidR="00B86518" w:rsidRPr="00E9207A">
        <w:rPr>
          <w:rFonts w:cs="Times New Roman"/>
          <w:b/>
          <w:szCs w:val="24"/>
        </w:rPr>
        <w:t xml:space="preserve"> Transaction Costs are $2,40</w:t>
      </w:r>
      <w:r w:rsidR="0038763E" w:rsidRPr="00E9207A">
        <w:rPr>
          <w:rFonts w:cs="Times New Roman"/>
          <w:b/>
          <w:szCs w:val="24"/>
        </w:rPr>
        <w:t>4,643</w:t>
      </w:r>
      <w:r w:rsidR="00B86518" w:rsidRPr="00E9207A" w:rsidDel="00197010">
        <w:rPr>
          <w:rFonts w:cs="Times New Roman"/>
          <w:b/>
          <w:szCs w:val="24"/>
        </w:rPr>
        <w:t xml:space="preserve"> </w:t>
      </w:r>
    </w:p>
    <w:p w14:paraId="6E46F75B" w14:textId="064FD007" w:rsidR="00EB201F" w:rsidRPr="00E9207A" w:rsidRDefault="00E9207A" w:rsidP="00E9207A">
      <w:pPr>
        <w:pStyle w:val="ListParagraph"/>
        <w:numPr>
          <w:ilvl w:val="0"/>
          <w:numId w:val="25"/>
        </w:numPr>
        <w:spacing w:line="480" w:lineRule="auto"/>
        <w:rPr>
          <w:rFonts w:cs="Times New Roman"/>
          <w:szCs w:val="24"/>
        </w:rPr>
      </w:pPr>
      <w:r>
        <w:rPr>
          <w:rFonts w:cs="Times New Roman"/>
          <w:szCs w:val="24"/>
        </w:rPr>
        <w:tab/>
      </w:r>
      <w:r w:rsidR="00EB201F" w:rsidRPr="00E9207A">
        <w:rPr>
          <w:rFonts w:cs="Times New Roman"/>
          <w:szCs w:val="24"/>
        </w:rPr>
        <w:t>The Company computed transaction costs of $2,722,448.</w:t>
      </w:r>
      <w:r w:rsidR="00EB201F">
        <w:rPr>
          <w:rStyle w:val="FootnoteReference"/>
          <w:rFonts w:cs="Times New Roman"/>
          <w:szCs w:val="24"/>
        </w:rPr>
        <w:footnoteReference w:id="122"/>
      </w:r>
      <w:r w:rsidR="00EB201F" w:rsidRPr="00E9207A">
        <w:rPr>
          <w:rFonts w:cs="Times New Roman"/>
          <w:szCs w:val="24"/>
        </w:rPr>
        <w:t xml:space="preserve">  However, Staff discovered that $317,805 of this amount “duplicated costs that are already included in rates from the </w:t>
      </w:r>
      <w:r w:rsidR="00CB246B">
        <w:rPr>
          <w:rFonts w:cs="Times New Roman"/>
          <w:szCs w:val="24"/>
        </w:rPr>
        <w:t>ERF and [the] most recent PCORC.</w:t>
      </w:r>
      <w:r w:rsidR="00EB201F" w:rsidRPr="00E9207A">
        <w:rPr>
          <w:rFonts w:cs="Times New Roman"/>
          <w:szCs w:val="24"/>
        </w:rPr>
        <w:t>”</w:t>
      </w:r>
      <w:r w:rsidR="00EB201F">
        <w:rPr>
          <w:rStyle w:val="FootnoteReference"/>
          <w:rFonts w:cs="Times New Roman"/>
          <w:szCs w:val="24"/>
        </w:rPr>
        <w:footnoteReference w:id="123"/>
      </w:r>
      <w:r w:rsidR="00EB201F" w:rsidRPr="00E9207A">
        <w:rPr>
          <w:rFonts w:cs="Times New Roman"/>
          <w:szCs w:val="24"/>
        </w:rPr>
        <w:t xml:space="preserve"> </w:t>
      </w:r>
      <w:r w:rsidR="00CB246B">
        <w:rPr>
          <w:rFonts w:cs="Times New Roman"/>
          <w:szCs w:val="24"/>
        </w:rPr>
        <w:t xml:space="preserve"> A</w:t>
      </w:r>
      <w:r w:rsidR="00EB201F" w:rsidRPr="00E9207A">
        <w:rPr>
          <w:rFonts w:cs="Times New Roman"/>
          <w:szCs w:val="24"/>
        </w:rPr>
        <w:t xml:space="preserve">ccordingly, Staff removed </w:t>
      </w:r>
      <w:r w:rsidR="0094527C" w:rsidRPr="00E9207A">
        <w:rPr>
          <w:rFonts w:cs="Times New Roman"/>
          <w:szCs w:val="24"/>
        </w:rPr>
        <w:t>that</w:t>
      </w:r>
      <w:r w:rsidR="00EB201F" w:rsidRPr="00E9207A">
        <w:rPr>
          <w:rFonts w:cs="Times New Roman"/>
          <w:szCs w:val="24"/>
        </w:rPr>
        <w:t xml:space="preserve"> amount.  On rebuttal</w:t>
      </w:r>
      <w:r w:rsidR="000560B7">
        <w:rPr>
          <w:rFonts w:cs="Times New Roman"/>
          <w:szCs w:val="24"/>
        </w:rPr>
        <w:t>,</w:t>
      </w:r>
      <w:r w:rsidR="00EB201F" w:rsidRPr="00E9207A">
        <w:rPr>
          <w:rFonts w:cs="Times New Roman"/>
          <w:szCs w:val="24"/>
        </w:rPr>
        <w:t xml:space="preserve"> </w:t>
      </w:r>
      <w:r w:rsidR="00BE509F">
        <w:rPr>
          <w:rFonts w:cs="Times New Roman"/>
          <w:szCs w:val="24"/>
        </w:rPr>
        <w:t xml:space="preserve">while </w:t>
      </w:r>
      <w:r w:rsidR="00EB201F" w:rsidRPr="00E9207A">
        <w:rPr>
          <w:rFonts w:cs="Times New Roman"/>
          <w:szCs w:val="24"/>
        </w:rPr>
        <w:t>PSE insisted there was no duplication,</w:t>
      </w:r>
      <w:r w:rsidR="0094527C">
        <w:rPr>
          <w:rStyle w:val="FootnoteReference"/>
          <w:rFonts w:cs="Times New Roman"/>
          <w:szCs w:val="24"/>
        </w:rPr>
        <w:footnoteReference w:id="124"/>
      </w:r>
      <w:r w:rsidR="00EB201F" w:rsidRPr="00E9207A">
        <w:rPr>
          <w:rFonts w:cs="Times New Roman"/>
          <w:szCs w:val="24"/>
        </w:rPr>
        <w:t xml:space="preserve"> the Company </w:t>
      </w:r>
      <w:r w:rsidR="0094527C" w:rsidRPr="00E9207A">
        <w:rPr>
          <w:rFonts w:cs="Times New Roman"/>
          <w:szCs w:val="24"/>
        </w:rPr>
        <w:t>had the burden to prove that the labor costs actually contained in the PCORC and ERF cases contained no labor costs related to the JPUD sale.  This the Company did not demonstrate.  Therefore, the Commission should allow $2,40</w:t>
      </w:r>
      <w:r w:rsidR="0038763E" w:rsidRPr="00E9207A">
        <w:rPr>
          <w:rFonts w:cs="Times New Roman"/>
          <w:szCs w:val="24"/>
        </w:rPr>
        <w:t>4,643</w:t>
      </w:r>
      <w:r w:rsidR="0094527C" w:rsidRPr="00E9207A">
        <w:rPr>
          <w:rFonts w:cs="Times New Roman"/>
          <w:szCs w:val="24"/>
        </w:rPr>
        <w:t xml:space="preserve"> in transaction costs, and no more.</w:t>
      </w:r>
    </w:p>
    <w:p w14:paraId="338C563F" w14:textId="77777777" w:rsidR="00B86518" w:rsidRPr="00977A1D" w:rsidRDefault="00B86518" w:rsidP="00B86518">
      <w:pPr>
        <w:ind w:left="1440" w:hanging="720"/>
        <w:rPr>
          <w:rFonts w:cs="Times New Roman"/>
          <w:b/>
          <w:szCs w:val="24"/>
        </w:rPr>
      </w:pPr>
      <w:r w:rsidRPr="00977A1D">
        <w:rPr>
          <w:rFonts w:cs="Times New Roman"/>
          <w:b/>
          <w:szCs w:val="24"/>
        </w:rPr>
        <w:t>2.</w:t>
      </w:r>
      <w:r w:rsidRPr="00977A1D">
        <w:rPr>
          <w:rFonts w:cs="Times New Roman"/>
          <w:b/>
          <w:szCs w:val="24"/>
        </w:rPr>
        <w:tab/>
        <w:t xml:space="preserve">Using the Allocation Formula From the </w:t>
      </w:r>
      <w:r w:rsidRPr="00977A1D">
        <w:rPr>
          <w:rFonts w:cs="Times New Roman"/>
          <w:b/>
          <w:i/>
          <w:szCs w:val="24"/>
        </w:rPr>
        <w:t xml:space="preserve">Centralia </w:t>
      </w:r>
      <w:r w:rsidRPr="000560B7">
        <w:rPr>
          <w:rFonts w:cs="Times New Roman"/>
          <w:b/>
          <w:i/>
          <w:szCs w:val="24"/>
        </w:rPr>
        <w:t>Case</w:t>
      </w:r>
      <w:r w:rsidRPr="00977A1D">
        <w:rPr>
          <w:rFonts w:cs="Times New Roman"/>
          <w:b/>
          <w:szCs w:val="24"/>
        </w:rPr>
        <w:t>, Staff Ascribed to Ratepayers $29,983,735, Which is Equal to the Accumulated Depreciation of the Sold Assets</w:t>
      </w:r>
    </w:p>
    <w:p w14:paraId="29D56FDA" w14:textId="77777777" w:rsidR="00B86518" w:rsidRPr="00977A1D" w:rsidRDefault="00B86518" w:rsidP="00B86518">
      <w:pPr>
        <w:ind w:firstLine="720"/>
        <w:rPr>
          <w:rFonts w:cs="Times New Roman"/>
          <w:szCs w:val="24"/>
        </w:rPr>
      </w:pPr>
    </w:p>
    <w:p w14:paraId="7C30C42D" w14:textId="2DB5163B" w:rsidR="00B86518" w:rsidRPr="00E9207A" w:rsidRDefault="00E9207A" w:rsidP="00E9207A">
      <w:pPr>
        <w:pStyle w:val="ListParagraph"/>
        <w:numPr>
          <w:ilvl w:val="0"/>
          <w:numId w:val="25"/>
        </w:numPr>
        <w:spacing w:line="480" w:lineRule="auto"/>
        <w:rPr>
          <w:rFonts w:cs="Times New Roman"/>
          <w:szCs w:val="24"/>
        </w:rPr>
      </w:pPr>
      <w:r>
        <w:rPr>
          <w:rFonts w:cs="Times New Roman"/>
          <w:szCs w:val="24"/>
        </w:rPr>
        <w:tab/>
      </w:r>
      <w:r w:rsidR="00B86518" w:rsidRPr="00E9207A">
        <w:rPr>
          <w:rFonts w:cs="Times New Roman"/>
          <w:szCs w:val="24"/>
        </w:rPr>
        <w:t>Staff’s analysis in this case demonstrates that based on the regulatory compact and a risk/reward analysis, ratepayers are entitled to the sales proceeds in excess of $56,572,473 (</w:t>
      </w:r>
      <w:r w:rsidR="00B86518" w:rsidRPr="00E9207A">
        <w:rPr>
          <w:rFonts w:cs="Times New Roman"/>
          <w:i/>
          <w:szCs w:val="24"/>
        </w:rPr>
        <w:t xml:space="preserve">i.e., </w:t>
      </w:r>
      <w:r w:rsidR="00B86518" w:rsidRPr="00E9207A">
        <w:rPr>
          <w:rFonts w:cs="Times New Roman"/>
          <w:szCs w:val="24"/>
        </w:rPr>
        <w:t xml:space="preserve">total proceeds less (net book value + provable transaction costs)).  </w:t>
      </w:r>
    </w:p>
    <w:p w14:paraId="75E2E536" w14:textId="5890668E" w:rsidR="00B86518" w:rsidRPr="00E9207A" w:rsidRDefault="00E9207A" w:rsidP="00E9207A">
      <w:pPr>
        <w:pStyle w:val="ListParagraph"/>
        <w:numPr>
          <w:ilvl w:val="0"/>
          <w:numId w:val="25"/>
        </w:numPr>
        <w:spacing w:line="480" w:lineRule="auto"/>
        <w:rPr>
          <w:rFonts w:cs="Times New Roman"/>
          <w:szCs w:val="24"/>
        </w:rPr>
      </w:pPr>
      <w:r>
        <w:rPr>
          <w:rFonts w:cs="Times New Roman"/>
          <w:szCs w:val="24"/>
        </w:rPr>
        <w:tab/>
      </w:r>
      <w:r w:rsidR="00B86518" w:rsidRPr="00E9207A">
        <w:rPr>
          <w:rFonts w:cs="Times New Roman"/>
          <w:szCs w:val="24"/>
        </w:rPr>
        <w:t xml:space="preserve">Nonetheless, Staff recognized that in the Commission’s order in the </w:t>
      </w:r>
      <w:r w:rsidR="00B86518" w:rsidRPr="00E9207A">
        <w:rPr>
          <w:rFonts w:cs="Times New Roman"/>
          <w:i/>
          <w:szCs w:val="24"/>
        </w:rPr>
        <w:t xml:space="preserve">Centralia </w:t>
      </w:r>
      <w:r w:rsidR="000560B7">
        <w:rPr>
          <w:rFonts w:cs="Times New Roman"/>
          <w:i/>
          <w:szCs w:val="24"/>
        </w:rPr>
        <w:t>C</w:t>
      </w:r>
      <w:r w:rsidR="00B86518" w:rsidRPr="000560B7">
        <w:rPr>
          <w:rFonts w:cs="Times New Roman"/>
          <w:i/>
          <w:szCs w:val="24"/>
        </w:rPr>
        <w:t>ase</w:t>
      </w:r>
      <w:r w:rsidR="00B86518" w:rsidRPr="00E9207A">
        <w:rPr>
          <w:rFonts w:cs="Times New Roman"/>
          <w:szCs w:val="24"/>
        </w:rPr>
        <w:t>, the Commission, after allocating to shareholders an amount equal to net book value, allocated to ratepayers an amount equal to accumulated depreciation, and then addressed the remaining amount of proceeds, which the Commission termed “appreciation.”</w:t>
      </w:r>
      <w:r w:rsidR="00B86518" w:rsidRPr="00977A1D">
        <w:rPr>
          <w:rStyle w:val="FootnoteReference"/>
          <w:rFonts w:cs="Times New Roman"/>
          <w:szCs w:val="24"/>
        </w:rPr>
        <w:footnoteReference w:id="125"/>
      </w:r>
      <w:r w:rsidR="00B86518" w:rsidRPr="00E9207A">
        <w:rPr>
          <w:rFonts w:cs="Times New Roman"/>
          <w:szCs w:val="24"/>
        </w:rPr>
        <w:t xml:space="preserve">  </w:t>
      </w:r>
    </w:p>
    <w:p w14:paraId="1C8033FE" w14:textId="024D1009" w:rsidR="00B86518" w:rsidRPr="00E9207A" w:rsidRDefault="00E9207A" w:rsidP="00E9207A">
      <w:pPr>
        <w:pStyle w:val="ListParagraph"/>
        <w:numPr>
          <w:ilvl w:val="0"/>
          <w:numId w:val="25"/>
        </w:numPr>
        <w:spacing w:line="480" w:lineRule="auto"/>
        <w:rPr>
          <w:rFonts w:cs="Times New Roman"/>
          <w:szCs w:val="24"/>
        </w:rPr>
      </w:pPr>
      <w:r>
        <w:rPr>
          <w:rFonts w:cs="Times New Roman"/>
          <w:szCs w:val="24"/>
        </w:rPr>
        <w:tab/>
      </w:r>
      <w:r w:rsidR="00B86518" w:rsidRPr="00E9207A">
        <w:rPr>
          <w:rFonts w:cs="Times New Roman"/>
          <w:szCs w:val="24"/>
        </w:rPr>
        <w:t>Accordingly, Staff ascribed to ratepayers the accumulated depreciation amount of $29,938,735.</w:t>
      </w:r>
      <w:r w:rsidR="00B86518" w:rsidRPr="00977A1D">
        <w:rPr>
          <w:rStyle w:val="FootnoteReference"/>
          <w:rFonts w:cs="Times New Roman"/>
          <w:szCs w:val="24"/>
        </w:rPr>
        <w:footnoteReference w:id="126"/>
      </w:r>
      <w:r w:rsidR="00B86518" w:rsidRPr="00E9207A">
        <w:rPr>
          <w:rFonts w:cs="Times New Roman"/>
          <w:szCs w:val="24"/>
        </w:rPr>
        <w:t xml:space="preserve">  As Staff explained:  “Accumulated depreciation equals the sum of all prior years’ depreciation expense recovered through rates. Therefore, when the asset is sold, 100 </w:t>
      </w:r>
      <w:r w:rsidR="00B86518" w:rsidRPr="00E9207A">
        <w:rPr>
          <w:rFonts w:cs="Times New Roman"/>
          <w:szCs w:val="24"/>
        </w:rPr>
        <w:lastRenderedPageBreak/>
        <w:t>percent of the accumulated depreciation should be returned to ratepayers…”</w:t>
      </w:r>
      <w:r w:rsidR="00B86518" w:rsidRPr="00977A1D">
        <w:rPr>
          <w:rStyle w:val="FootnoteReference"/>
          <w:rFonts w:cs="Times New Roman"/>
          <w:szCs w:val="24"/>
        </w:rPr>
        <w:footnoteReference w:id="127"/>
      </w:r>
      <w:r w:rsidR="00B86518" w:rsidRPr="00E9207A">
        <w:rPr>
          <w:rFonts w:cs="Times New Roman"/>
          <w:szCs w:val="24"/>
        </w:rPr>
        <w:t xml:space="preserve">  ICNU took the same approach.</w:t>
      </w:r>
      <w:r w:rsidR="00B86518" w:rsidRPr="00977A1D">
        <w:rPr>
          <w:rStyle w:val="FootnoteReference"/>
          <w:rFonts w:cs="Times New Roman"/>
          <w:szCs w:val="24"/>
        </w:rPr>
        <w:footnoteReference w:id="128"/>
      </w:r>
    </w:p>
    <w:p w14:paraId="7D5755FC" w14:textId="4DBF5BDC" w:rsidR="00B86518" w:rsidRPr="00E9207A" w:rsidRDefault="00E9207A" w:rsidP="00E9207A">
      <w:pPr>
        <w:pStyle w:val="ListParagraph"/>
        <w:numPr>
          <w:ilvl w:val="0"/>
          <w:numId w:val="25"/>
        </w:numPr>
        <w:spacing w:line="480" w:lineRule="auto"/>
        <w:rPr>
          <w:rFonts w:eastAsia="SimSun" w:cs="Times New Roman"/>
          <w:szCs w:val="24"/>
        </w:rPr>
      </w:pPr>
      <w:r>
        <w:rPr>
          <w:rFonts w:cs="Times New Roman"/>
          <w:szCs w:val="24"/>
        </w:rPr>
        <w:tab/>
      </w:r>
      <w:r w:rsidR="00B86518" w:rsidRPr="00E9207A">
        <w:rPr>
          <w:rFonts w:cs="Times New Roman"/>
          <w:szCs w:val="24"/>
        </w:rPr>
        <w:t xml:space="preserve">The Company contends that ratepayers have not paid for all of PSE’s depreciation expense and therefore should not be allocated an amount equivalent to accumulated depreciation.  The Company points to its </w:t>
      </w:r>
      <w:r w:rsidR="00B86518" w:rsidRPr="00E9207A">
        <w:rPr>
          <w:rFonts w:eastAsia="SimSun" w:cs="Times New Roman"/>
          <w:szCs w:val="24"/>
        </w:rPr>
        <w:t>2013 SEC Form 10K, page 33, where PSE notes that actual depreciation expense exceeded the amount “allowed in rates” by $36.4 million in 2013 and $38.2 million in 2012.  From this, PSE concludes that “customers have not paid for all of PSE’s depreciation expense or accumulated depreciation.”</w:t>
      </w:r>
      <w:r w:rsidR="00B86518" w:rsidRPr="00977A1D">
        <w:rPr>
          <w:rStyle w:val="FootnoteReference"/>
          <w:rFonts w:eastAsia="SimSun" w:cs="Times New Roman"/>
          <w:szCs w:val="24"/>
        </w:rPr>
        <w:footnoteReference w:id="129"/>
      </w:r>
      <w:r w:rsidR="00B86518" w:rsidRPr="00E9207A">
        <w:rPr>
          <w:rFonts w:eastAsia="SimSun" w:cs="Times New Roman"/>
          <w:szCs w:val="24"/>
        </w:rPr>
        <w:t xml:space="preserve">  </w:t>
      </w:r>
    </w:p>
    <w:p w14:paraId="1A8AA607" w14:textId="60E4D45E" w:rsidR="00B86518" w:rsidRPr="00E9207A" w:rsidRDefault="00E9207A" w:rsidP="00E9207A">
      <w:pPr>
        <w:pStyle w:val="ListParagraph"/>
        <w:numPr>
          <w:ilvl w:val="0"/>
          <w:numId w:val="25"/>
        </w:numPr>
        <w:spacing w:line="480" w:lineRule="auto"/>
        <w:rPr>
          <w:rFonts w:eastAsia="SimSun" w:cs="Times New Roman"/>
          <w:szCs w:val="24"/>
        </w:rPr>
      </w:pPr>
      <w:r>
        <w:rPr>
          <w:rFonts w:eastAsia="SimSun" w:cs="Times New Roman"/>
          <w:szCs w:val="24"/>
        </w:rPr>
        <w:tab/>
      </w:r>
      <w:r w:rsidR="00B86518" w:rsidRPr="00E9207A">
        <w:rPr>
          <w:rFonts w:eastAsia="SimSun" w:cs="Times New Roman"/>
          <w:szCs w:val="24"/>
        </w:rPr>
        <w:t xml:space="preserve">PSE’s statement regarding its recovery of depreciation expense is inaccurate and the underlying analysis to calculate the alleged under-recovery of depreciation expense is flawed.  The Company’s analysis presumes that there is a static, fixed amount authorized for recovery of depreciation expense.  In fact, the Commission has never accepted any ratemaking methodology that specifically authorizes a fixed level of depreciation expense for ratemaking purposes.  </w:t>
      </w:r>
    </w:p>
    <w:p w14:paraId="54100939" w14:textId="3C2807CF" w:rsidR="00B86518" w:rsidRPr="00E9207A" w:rsidRDefault="00E9207A" w:rsidP="00E9207A">
      <w:pPr>
        <w:pStyle w:val="ListParagraph"/>
        <w:numPr>
          <w:ilvl w:val="0"/>
          <w:numId w:val="25"/>
        </w:numPr>
        <w:spacing w:line="480" w:lineRule="auto"/>
        <w:rPr>
          <w:rFonts w:eastAsia="SimSun" w:cs="Times New Roman"/>
          <w:szCs w:val="24"/>
        </w:rPr>
      </w:pPr>
      <w:r>
        <w:rPr>
          <w:rFonts w:eastAsia="SimSun" w:cs="Times New Roman"/>
          <w:szCs w:val="24"/>
        </w:rPr>
        <w:tab/>
      </w:r>
      <w:r w:rsidR="00B86518" w:rsidRPr="00E9207A">
        <w:rPr>
          <w:rFonts w:eastAsia="SimSun" w:cs="Times New Roman"/>
          <w:szCs w:val="24"/>
        </w:rPr>
        <w:t xml:space="preserve">The Commission determines rates based upon historical costs and the relationship between revenue, expenses and rate base.  As rate base grows, depreciation expense grows proportionately.  Therefore, it is axiomatic that depreciation expense is higher in 2012 and 2013 compared to the 2011 test year the Commission used in the 2011 rate case.  </w:t>
      </w:r>
      <w:r w:rsidR="000560B7">
        <w:rPr>
          <w:rFonts w:eastAsia="SimSun" w:cs="Times New Roman"/>
          <w:szCs w:val="24"/>
        </w:rPr>
        <w:t>However, t</w:t>
      </w:r>
      <w:r w:rsidR="00B86518" w:rsidRPr="00E9207A">
        <w:rPr>
          <w:rFonts w:eastAsia="SimSun" w:cs="Times New Roman"/>
          <w:szCs w:val="24"/>
        </w:rPr>
        <w:t xml:space="preserve">hat is beside the point, because it is the relationship of all revenues and costs that is relevant, not the myopic consideration of one single element of utility costs. </w:t>
      </w:r>
    </w:p>
    <w:p w14:paraId="063EAFC5" w14:textId="49C1C884" w:rsidR="00B86518" w:rsidRPr="00E9207A" w:rsidRDefault="00E9207A" w:rsidP="00E9207A">
      <w:pPr>
        <w:pStyle w:val="ListParagraph"/>
        <w:numPr>
          <w:ilvl w:val="0"/>
          <w:numId w:val="25"/>
        </w:numPr>
        <w:spacing w:line="480" w:lineRule="auto"/>
        <w:rPr>
          <w:rFonts w:eastAsia="SimSun" w:cs="Times New Roman"/>
          <w:szCs w:val="24"/>
        </w:rPr>
      </w:pPr>
      <w:r>
        <w:rPr>
          <w:rFonts w:eastAsia="SimSun" w:cs="Times New Roman"/>
          <w:szCs w:val="24"/>
        </w:rPr>
        <w:tab/>
      </w:r>
      <w:r w:rsidR="00B86518" w:rsidRPr="00E9207A">
        <w:rPr>
          <w:rFonts w:eastAsia="SimSun" w:cs="Times New Roman"/>
          <w:szCs w:val="24"/>
        </w:rPr>
        <w:t>Simply put</w:t>
      </w:r>
      <w:r w:rsidR="0038763E" w:rsidRPr="00E9207A">
        <w:rPr>
          <w:rFonts w:eastAsia="SimSun" w:cs="Times New Roman"/>
          <w:szCs w:val="24"/>
        </w:rPr>
        <w:t>,</w:t>
      </w:r>
      <w:r w:rsidR="00B86518" w:rsidRPr="00E9207A">
        <w:rPr>
          <w:rFonts w:eastAsia="SimSun" w:cs="Times New Roman"/>
          <w:szCs w:val="24"/>
        </w:rPr>
        <w:t xml:space="preserve"> the Commission does not engage in single issue ratemaking</w:t>
      </w:r>
      <w:r w:rsidR="000560B7">
        <w:rPr>
          <w:rFonts w:eastAsia="SimSun" w:cs="Times New Roman"/>
          <w:szCs w:val="24"/>
        </w:rPr>
        <w:t>, therefore,</w:t>
      </w:r>
      <w:r w:rsidR="00B55DBA">
        <w:rPr>
          <w:rFonts w:eastAsia="SimSun" w:cs="Times New Roman"/>
          <w:szCs w:val="24"/>
        </w:rPr>
        <w:t xml:space="preserve"> any</w:t>
      </w:r>
      <w:bookmarkStart w:id="0" w:name="_GoBack"/>
      <w:bookmarkEnd w:id="0"/>
      <w:r w:rsidR="00B86518" w:rsidRPr="00E9207A">
        <w:rPr>
          <w:rFonts w:eastAsia="SimSun" w:cs="Times New Roman"/>
          <w:szCs w:val="24"/>
        </w:rPr>
        <w:t xml:space="preserve"> allegations of under-recovery of depreciation expense based on financial statements are irrelevant.</w:t>
      </w:r>
    </w:p>
    <w:p w14:paraId="2DE9C6CC" w14:textId="57676B52" w:rsidR="00B86518" w:rsidRPr="00E9207A" w:rsidRDefault="00E9207A" w:rsidP="00E9207A">
      <w:pPr>
        <w:pStyle w:val="ListParagraph"/>
        <w:numPr>
          <w:ilvl w:val="0"/>
          <w:numId w:val="25"/>
        </w:numPr>
        <w:spacing w:line="480" w:lineRule="auto"/>
        <w:rPr>
          <w:rFonts w:eastAsia="SimSun" w:cs="Times New Roman"/>
          <w:szCs w:val="24"/>
        </w:rPr>
      </w:pPr>
      <w:r>
        <w:rPr>
          <w:rFonts w:eastAsia="SimSun" w:cs="Times New Roman"/>
          <w:szCs w:val="24"/>
        </w:rPr>
        <w:lastRenderedPageBreak/>
        <w:tab/>
      </w:r>
      <w:r w:rsidR="00B86518" w:rsidRPr="00E9207A">
        <w:rPr>
          <w:rFonts w:eastAsia="SimSun" w:cs="Times New Roman"/>
          <w:szCs w:val="24"/>
        </w:rPr>
        <w:t xml:space="preserve">Furthermore, depreciation expense is the return of capital.  It is a non-cash item and therefore it is fully recovered in expense the moment PSE records it on the income statement.  All other cash flow benefits accrue to PSE due to the nature of the expense.  Moreover, for tax purposes, PSE is allowed accelerated depreciation expense.  Again, all the benefits of depreciation expense accrue to shareholders because it is a non-cash item the minute it is recognized for income tax purposes. </w:t>
      </w:r>
    </w:p>
    <w:p w14:paraId="7C7C5CB8" w14:textId="031C012D" w:rsidR="00B86518" w:rsidRDefault="00E9207A" w:rsidP="00E9207A">
      <w:pPr>
        <w:pStyle w:val="ListParagraph"/>
        <w:numPr>
          <w:ilvl w:val="0"/>
          <w:numId w:val="25"/>
        </w:numPr>
        <w:spacing w:line="480" w:lineRule="auto"/>
        <w:rPr>
          <w:rFonts w:eastAsia="SimSun" w:cs="Times New Roman"/>
          <w:szCs w:val="24"/>
        </w:rPr>
      </w:pPr>
      <w:r>
        <w:rPr>
          <w:rFonts w:eastAsia="SimSun" w:cs="Times New Roman"/>
          <w:szCs w:val="24"/>
        </w:rPr>
        <w:tab/>
      </w:r>
      <w:r w:rsidR="00B86518" w:rsidRPr="00E9207A">
        <w:rPr>
          <w:rFonts w:eastAsia="SimSun" w:cs="Times New Roman"/>
          <w:szCs w:val="24"/>
        </w:rPr>
        <w:t xml:space="preserve">In conclusion, the Commission should </w:t>
      </w:r>
      <w:r w:rsidR="000560B7">
        <w:rPr>
          <w:rFonts w:eastAsia="SimSun" w:cs="Times New Roman"/>
          <w:szCs w:val="24"/>
        </w:rPr>
        <w:t>disregard</w:t>
      </w:r>
      <w:r w:rsidR="00B86518" w:rsidRPr="00E9207A">
        <w:rPr>
          <w:rFonts w:eastAsia="SimSun" w:cs="Times New Roman"/>
          <w:szCs w:val="24"/>
        </w:rPr>
        <w:t xml:space="preserve"> PSE’s analysis and statements regarding under-recovery of depreciation</w:t>
      </w:r>
      <w:r w:rsidR="000560B7">
        <w:rPr>
          <w:rFonts w:eastAsia="SimSun" w:cs="Times New Roman"/>
          <w:szCs w:val="24"/>
        </w:rPr>
        <w:t>, because t</w:t>
      </w:r>
      <w:r w:rsidR="00B86518" w:rsidRPr="00E9207A">
        <w:rPr>
          <w:rFonts w:eastAsia="SimSun" w:cs="Times New Roman"/>
          <w:szCs w:val="24"/>
        </w:rPr>
        <w:t>he Commission does not engage in single issue ratemaking</w:t>
      </w:r>
      <w:r w:rsidR="000560B7">
        <w:rPr>
          <w:rFonts w:eastAsia="SimSun" w:cs="Times New Roman"/>
          <w:szCs w:val="24"/>
        </w:rPr>
        <w:t>, and d</w:t>
      </w:r>
      <w:r w:rsidR="00B86518" w:rsidRPr="00E9207A">
        <w:rPr>
          <w:rFonts w:eastAsia="SimSun" w:cs="Times New Roman"/>
          <w:szCs w:val="24"/>
        </w:rPr>
        <w:t>epreciation expense is a non-cash item that returns the investment i</w:t>
      </w:r>
      <w:r>
        <w:rPr>
          <w:rFonts w:eastAsia="SimSun" w:cs="Times New Roman"/>
          <w:szCs w:val="24"/>
        </w:rPr>
        <w:t xml:space="preserve">n utility plant to investors.  </w:t>
      </w:r>
    </w:p>
    <w:p w14:paraId="2E44DC92" w14:textId="755DE924" w:rsidR="00E9207A" w:rsidRPr="00E9207A" w:rsidRDefault="00E9207A" w:rsidP="000560B7">
      <w:pPr>
        <w:pStyle w:val="Level1"/>
        <w:widowControl/>
        <w:spacing w:line="480" w:lineRule="auto"/>
        <w:ind w:left="0" w:firstLine="720"/>
        <w:rPr>
          <w:b/>
        </w:rPr>
      </w:pPr>
      <w:r>
        <w:rPr>
          <w:b/>
        </w:rPr>
        <w:t>3.</w:t>
      </w:r>
      <w:r>
        <w:rPr>
          <w:b/>
        </w:rPr>
        <w:tab/>
      </w:r>
      <w:r w:rsidRPr="003451AE">
        <w:rPr>
          <w:b/>
        </w:rPr>
        <w:t xml:space="preserve">PSE Should be Allocated an Incentive </w:t>
      </w:r>
      <w:r w:rsidRPr="0054771A">
        <w:rPr>
          <w:b/>
        </w:rPr>
        <w:t>Amount of $7,481,394</w:t>
      </w:r>
      <w:r>
        <w:rPr>
          <w:b/>
        </w:rPr>
        <w:t xml:space="preserve"> </w:t>
      </w:r>
    </w:p>
    <w:p w14:paraId="2D59E1B3" w14:textId="0D52F888" w:rsidR="00B86518" w:rsidRPr="00E9207A" w:rsidRDefault="00B86518" w:rsidP="00E9207A">
      <w:pPr>
        <w:pStyle w:val="ListParagraph"/>
        <w:numPr>
          <w:ilvl w:val="0"/>
          <w:numId w:val="25"/>
        </w:numPr>
        <w:spacing w:line="480" w:lineRule="auto"/>
        <w:rPr>
          <w:rFonts w:eastAsia="SimSun" w:cs="Times New Roman"/>
          <w:szCs w:val="24"/>
        </w:rPr>
      </w:pPr>
      <w:r w:rsidRPr="00E9207A">
        <w:rPr>
          <w:b/>
        </w:rPr>
        <w:tab/>
      </w:r>
      <w:r>
        <w:t xml:space="preserve">As explained in this brief, investors are entitled to 100 percent of net book value plus certain transaction costs, and ratepayers are entitled to the rest of the proceeds.  However, Staff considered whether PSE should be awarded an incentive amount, and determined the amount of $7,481,394 was appropriate.  </w:t>
      </w:r>
    </w:p>
    <w:p w14:paraId="6C344CB8" w14:textId="5E75FEC4" w:rsidR="00B86518" w:rsidRDefault="00E9207A" w:rsidP="00E9207A">
      <w:pPr>
        <w:pStyle w:val="Level1"/>
        <w:widowControl/>
        <w:numPr>
          <w:ilvl w:val="0"/>
          <w:numId w:val="25"/>
        </w:numPr>
        <w:spacing w:line="480" w:lineRule="auto"/>
      </w:pPr>
      <w:r>
        <w:tab/>
      </w:r>
      <w:r w:rsidR="00B86518">
        <w:t xml:space="preserve">As we just explained, Staff followed the allocation process the Commission used in the </w:t>
      </w:r>
      <w:r w:rsidR="00B86518">
        <w:rPr>
          <w:i/>
        </w:rPr>
        <w:t xml:space="preserve">Centralia </w:t>
      </w:r>
      <w:r w:rsidR="00B86518" w:rsidRPr="00DC29C6">
        <w:t>Case</w:t>
      </w:r>
      <w:r w:rsidR="00B86518">
        <w:t>, and a</w:t>
      </w:r>
      <w:r w:rsidR="00B86518" w:rsidRPr="00AA7F80">
        <w:t>fter</w:t>
      </w:r>
      <w:r w:rsidR="00B86518">
        <w:t xml:space="preserve"> allocating an amount equal to accumulated depreciation to ratepayers. “the only issue … should be the sharing percentage between ratepayers and shareholders of the appreciation on the assets sold to JPUD.”</w:t>
      </w:r>
      <w:r w:rsidR="00B86518">
        <w:rPr>
          <w:rStyle w:val="FootnoteReference"/>
        </w:rPr>
        <w:footnoteReference w:id="130"/>
      </w:r>
      <w:r w:rsidR="00B86518">
        <w:t xml:space="preserve">   </w:t>
      </w:r>
    </w:p>
    <w:p w14:paraId="2D700DA1" w14:textId="7A4ABBC5" w:rsidR="00B86518" w:rsidRDefault="00E9207A" w:rsidP="00E9207A">
      <w:pPr>
        <w:pStyle w:val="Level1"/>
        <w:widowControl/>
        <w:numPr>
          <w:ilvl w:val="0"/>
          <w:numId w:val="25"/>
        </w:numPr>
        <w:spacing w:line="480" w:lineRule="auto"/>
      </w:pPr>
      <w:r>
        <w:tab/>
      </w:r>
      <w:r w:rsidR="00B86518">
        <w:t xml:space="preserve">Accordingly, </w:t>
      </w:r>
      <w:r w:rsidR="00331758">
        <w:t>Staff’s allocation</w:t>
      </w:r>
      <w:r w:rsidR="00B86518">
        <w:t xml:space="preserve"> of 25 percent of the appreciation to shareholders was strictly an incentive mechanism resulting from PSE obtaining a very good sales price for the assets.  As Staff explained:</w:t>
      </w:r>
    </w:p>
    <w:p w14:paraId="3EC7AAC9" w14:textId="77777777" w:rsidR="00B86518" w:rsidRDefault="00B86518" w:rsidP="00B86518">
      <w:pPr>
        <w:pStyle w:val="BodyTextIndent"/>
        <w:ind w:left="720"/>
      </w:pPr>
      <w:r>
        <w:lastRenderedPageBreak/>
        <w:t>PSE’s negotiating plan ultimately resulted in a sales price that included significant appreciation above NBV and the accumulated depreciation of the assets in Jefferson County.  Such prowess should not be overlooked as the Company represented ratepayer’s interests fairly throughout the settlement negotiations.</w:t>
      </w:r>
    </w:p>
    <w:p w14:paraId="0CEFBDEF" w14:textId="77777777" w:rsidR="00B86518" w:rsidRDefault="00B86518" w:rsidP="0038763E">
      <w:pPr>
        <w:pStyle w:val="BodyTextIndent"/>
        <w:ind w:left="720"/>
      </w:pPr>
      <w:r>
        <w:t>Staff’s proposal to provide shareholders 25 percent of the appreciation from the JPUD Sale rewards that prowess and provides an incentive to PSE to pursue a vigorous negotiating plan in any other condemnation proceedings or asset sales.</w:t>
      </w:r>
      <w:r w:rsidR="0038763E">
        <w:rPr>
          <w:rStyle w:val="FootnoteReference"/>
        </w:rPr>
        <w:footnoteReference w:id="131"/>
      </w:r>
      <w:r w:rsidR="0038763E">
        <w:t xml:space="preserve">  </w:t>
      </w:r>
      <w:r>
        <w:t xml:space="preserve"> </w:t>
      </w:r>
    </w:p>
    <w:p w14:paraId="6456364A" w14:textId="44AD2100" w:rsidR="00B86518" w:rsidRDefault="00B86518" w:rsidP="00B86518">
      <w:pPr>
        <w:pStyle w:val="Level1"/>
        <w:widowControl/>
        <w:ind w:left="0" w:firstLine="0"/>
      </w:pPr>
    </w:p>
    <w:p w14:paraId="5A6DA520" w14:textId="43047B2A" w:rsidR="00B86518" w:rsidRDefault="00E9207A" w:rsidP="00E9207A">
      <w:pPr>
        <w:pStyle w:val="Level1"/>
        <w:widowControl/>
        <w:numPr>
          <w:ilvl w:val="0"/>
          <w:numId w:val="25"/>
        </w:numPr>
        <w:spacing w:line="480" w:lineRule="auto"/>
      </w:pPr>
      <w:r>
        <w:tab/>
      </w:r>
      <w:r w:rsidR="00B86518">
        <w:t>In previous orders involving the sale of utility assets, the Commission has allocated as little as zero percent of the appreciation to shareholders and as much as 50 percent of appreciation to shareholders.</w:t>
      </w:r>
      <w:r w:rsidR="00B86518">
        <w:rPr>
          <w:rStyle w:val="FootnoteReference"/>
        </w:rPr>
        <w:footnoteReference w:id="132"/>
      </w:r>
      <w:r w:rsidR="00B86518">
        <w:t xml:space="preserve">  Staff’s proposal of 25 percent falls in the middle of that range.</w:t>
      </w:r>
    </w:p>
    <w:p w14:paraId="3B649A36" w14:textId="0C696F92" w:rsidR="00B86518" w:rsidRDefault="00B86518" w:rsidP="00B86518">
      <w:pPr>
        <w:pStyle w:val="Level1"/>
        <w:widowControl/>
        <w:spacing w:line="480" w:lineRule="auto"/>
        <w:ind w:left="0" w:firstLine="0"/>
      </w:pPr>
      <w:r>
        <w:t xml:space="preserve">Staff also supported the 25 percent of appreciation as </w:t>
      </w:r>
      <w:r w:rsidR="00B81BB5">
        <w:t xml:space="preserve">comparable </w:t>
      </w:r>
      <w:r>
        <w:t>to a brokerage fee:</w:t>
      </w:r>
    </w:p>
    <w:p w14:paraId="1D7CDE70" w14:textId="77777777" w:rsidR="00B86518" w:rsidRDefault="00B86518" w:rsidP="00B86518">
      <w:pPr>
        <w:pStyle w:val="BodyTextIndent"/>
        <w:ind w:left="720"/>
      </w:pPr>
      <w:r>
        <w:t>Furthermore, 25 percent is approximately $7.5 million or about 7 percent of the gross proceeds from the JPUD Sale.  This approximates the standard fee applied by brokerage firms in negotiating real property transactions between two parties.  It is reasonable to use a similar benchmark for PSE in this case.</w:t>
      </w:r>
      <w:r>
        <w:rPr>
          <w:rStyle w:val="FootnoteReference"/>
        </w:rPr>
        <w:footnoteReference w:id="133"/>
      </w:r>
    </w:p>
    <w:p w14:paraId="5A6E39D7" w14:textId="77777777" w:rsidR="00B86518" w:rsidRDefault="00B86518" w:rsidP="00B86518">
      <w:pPr>
        <w:pStyle w:val="Level1"/>
        <w:widowControl/>
        <w:ind w:left="0" w:firstLine="0"/>
      </w:pPr>
    </w:p>
    <w:p w14:paraId="51ADCE10" w14:textId="24380D00" w:rsidR="00B86518" w:rsidRDefault="00E9207A" w:rsidP="00E9207A">
      <w:pPr>
        <w:pStyle w:val="ListParagraph"/>
        <w:numPr>
          <w:ilvl w:val="0"/>
          <w:numId w:val="25"/>
        </w:numPr>
        <w:spacing w:line="480" w:lineRule="auto"/>
      </w:pPr>
      <w:r>
        <w:tab/>
      </w:r>
      <w:r w:rsidR="00B86518">
        <w:t xml:space="preserve">Staff’s mid-range allocation of 25 percent of the appreciation resulting in a dollar amount equivalent to a brokerage fee is based on informed judgment and is reasonable.  </w:t>
      </w:r>
      <w:r w:rsidR="00B81BB5">
        <w:t xml:space="preserve">Allocating </w:t>
      </w:r>
      <w:r w:rsidR="00B86518">
        <w:t xml:space="preserve">additional amounts of appreciation to shareholders would be </w:t>
      </w:r>
      <w:r w:rsidR="00952021">
        <w:t xml:space="preserve">overly </w:t>
      </w:r>
      <w:r w:rsidR="00B81BB5">
        <w:t>generous.</w:t>
      </w:r>
    </w:p>
    <w:p w14:paraId="3CC6F197" w14:textId="0FB089C8" w:rsidR="006C63F8" w:rsidRDefault="00B76C50" w:rsidP="00E9207A">
      <w:pPr>
        <w:spacing w:line="480" w:lineRule="auto"/>
      </w:pPr>
      <w:r>
        <w:rPr>
          <w:b/>
        </w:rPr>
        <w:t>E</w:t>
      </w:r>
      <w:r w:rsidR="006C63F8">
        <w:rPr>
          <w:b/>
        </w:rPr>
        <w:t>.</w:t>
      </w:r>
      <w:r w:rsidR="006C63F8">
        <w:rPr>
          <w:b/>
        </w:rPr>
        <w:tab/>
        <w:t xml:space="preserve">Tariff Mechanics for </w:t>
      </w:r>
      <w:r w:rsidR="006C63F8" w:rsidRPr="0021615D">
        <w:rPr>
          <w:b/>
        </w:rPr>
        <w:t>Distributin</w:t>
      </w:r>
      <w:r w:rsidR="006C63F8">
        <w:rPr>
          <w:b/>
        </w:rPr>
        <w:t>g</w:t>
      </w:r>
      <w:r w:rsidR="006C63F8" w:rsidRPr="0021615D">
        <w:rPr>
          <w:b/>
        </w:rPr>
        <w:t xml:space="preserve"> </w:t>
      </w:r>
      <w:r w:rsidR="006C63F8">
        <w:rPr>
          <w:b/>
        </w:rPr>
        <w:t xml:space="preserve">Sales </w:t>
      </w:r>
      <w:r w:rsidR="006C63F8" w:rsidRPr="0021615D">
        <w:rPr>
          <w:b/>
        </w:rPr>
        <w:t>Proceeds</w:t>
      </w:r>
      <w:r w:rsidR="006C63F8">
        <w:rPr>
          <w:b/>
        </w:rPr>
        <w:t xml:space="preserve"> to Customers</w:t>
      </w:r>
      <w:r w:rsidR="00E9207A">
        <w:rPr>
          <w:b/>
        </w:rPr>
        <w:t xml:space="preserve"> </w:t>
      </w:r>
    </w:p>
    <w:p w14:paraId="372F0453" w14:textId="4EB94BD1" w:rsidR="006C63F8" w:rsidRDefault="00E9207A" w:rsidP="00E9207A">
      <w:pPr>
        <w:pStyle w:val="ListParagraph"/>
        <w:numPr>
          <w:ilvl w:val="0"/>
          <w:numId w:val="25"/>
        </w:numPr>
        <w:spacing w:line="480" w:lineRule="auto"/>
      </w:pPr>
      <w:r>
        <w:tab/>
      </w:r>
      <w:r w:rsidR="006C63F8">
        <w:t xml:space="preserve">For distribution to ratepayers of </w:t>
      </w:r>
      <w:r w:rsidR="00F84231">
        <w:t xml:space="preserve">any </w:t>
      </w:r>
      <w:r w:rsidR="006C63F8">
        <w:t xml:space="preserve">sales proceeds the Commission decides is appropriate, </w:t>
      </w:r>
      <w:r w:rsidR="009B6D3A">
        <w:t xml:space="preserve">the Commission should use </w:t>
      </w:r>
      <w:r w:rsidR="006C63F8">
        <w:t>a rate credit similar to PSE Tariff Schedule 95a.  The proceeds would be returned to ratepayers over a four-year period, and the account would accrue interest at the Company’s after-tax rate of return, grossed up for taxes.</w:t>
      </w:r>
      <w:r w:rsidR="006C63F8">
        <w:rPr>
          <w:rStyle w:val="FootnoteReference"/>
        </w:rPr>
        <w:footnoteReference w:id="134"/>
      </w:r>
      <w:r w:rsidR="006C63F8">
        <w:t xml:space="preserve">  PSE agrees with this mechanism.</w:t>
      </w:r>
      <w:r w:rsidR="006C63F8">
        <w:rPr>
          <w:rStyle w:val="FootnoteReference"/>
        </w:rPr>
        <w:footnoteReference w:id="135"/>
      </w:r>
    </w:p>
    <w:p w14:paraId="21C5AF28" w14:textId="71150BAD" w:rsidR="006C63F8" w:rsidRDefault="00E9207A" w:rsidP="00E9207A">
      <w:pPr>
        <w:pStyle w:val="ListParagraph"/>
        <w:numPr>
          <w:ilvl w:val="0"/>
          <w:numId w:val="25"/>
        </w:numPr>
        <w:spacing w:line="480" w:lineRule="auto"/>
      </w:pPr>
      <w:r>
        <w:lastRenderedPageBreak/>
        <w:tab/>
      </w:r>
      <w:r w:rsidR="006C63F8">
        <w:t>Staff’s mechanism is based on a general plant allocator.</w:t>
      </w:r>
      <w:r w:rsidR="006C63F8">
        <w:rPr>
          <w:rStyle w:val="FootnoteReference"/>
        </w:rPr>
        <w:footnoteReference w:id="136"/>
      </w:r>
      <w:r w:rsidR="006C63F8">
        <w:t xml:space="preserve">  While PSE accepts this allocator because the Staff/Company differences on this issue are “minor,”</w:t>
      </w:r>
      <w:r w:rsidR="006C63F8">
        <w:rPr>
          <w:rStyle w:val="FootnoteReference"/>
        </w:rPr>
        <w:footnoteReference w:id="137"/>
      </w:r>
      <w:r w:rsidR="006C63F8">
        <w:t xml:space="preserve"> the Company explains that “the general plant allocation factor used by Staff is largely driven by labor expense, which includes a large component that is production related.  Production assets were not included among the plant that was sold in Jefferson County.”</w:t>
      </w:r>
      <w:r w:rsidR="006C63F8">
        <w:rPr>
          <w:rStyle w:val="FootnoteReference"/>
        </w:rPr>
        <w:footnoteReference w:id="138"/>
      </w:r>
      <w:r w:rsidR="006C63F8">
        <w:t xml:space="preserve">  </w:t>
      </w:r>
    </w:p>
    <w:p w14:paraId="37DD648D" w14:textId="7459AD7E" w:rsidR="006C63F8" w:rsidRDefault="00E9207A" w:rsidP="00E9207A">
      <w:pPr>
        <w:pStyle w:val="ListParagraph"/>
        <w:numPr>
          <w:ilvl w:val="0"/>
          <w:numId w:val="25"/>
        </w:numPr>
        <w:spacing w:line="480" w:lineRule="auto"/>
      </w:pPr>
      <w:r>
        <w:tab/>
      </w:r>
      <w:r w:rsidR="006C63F8">
        <w:t xml:space="preserve">Staff agrees the differences on this issue are minor, and the Commission does need to “get into the weeds” on this issue.  However, by way of explanation, </w:t>
      </w:r>
      <w:r w:rsidR="00E77C13">
        <w:t xml:space="preserve">Staff </w:t>
      </w:r>
      <w:r w:rsidR="006C63F8">
        <w:t>believes that, because PSE sold general plant, then the same general plant allocation factors that the Company used for low- and high-voltage distribution should be used, based on PSE’s last general rate case.  To Staff, it did not matter whether production related labor expense was a component of the allocator because production assets are being used by the remaining customers on the system for which general plant is being allocated.  Therefore, Staff believes its approach treats all remaining customers equally.</w:t>
      </w:r>
    </w:p>
    <w:p w14:paraId="436758F4" w14:textId="77777777" w:rsidR="006C63F8" w:rsidRPr="0021615D" w:rsidRDefault="006C63F8" w:rsidP="006A7848">
      <w:pPr>
        <w:pStyle w:val="ListParagraph"/>
        <w:keepNext/>
        <w:spacing w:line="480" w:lineRule="auto"/>
        <w:ind w:left="1440" w:hanging="720"/>
        <w:rPr>
          <w:b/>
        </w:rPr>
      </w:pPr>
      <w:r>
        <w:rPr>
          <w:b/>
        </w:rPr>
        <w:t>1.</w:t>
      </w:r>
      <w:r>
        <w:rPr>
          <w:b/>
        </w:rPr>
        <w:tab/>
        <w:t>Special Contract Customers Should be Included</w:t>
      </w:r>
    </w:p>
    <w:p w14:paraId="6ECC5969" w14:textId="65CC5EB9" w:rsidR="006C63F8" w:rsidRDefault="00E9207A" w:rsidP="00E9207A">
      <w:pPr>
        <w:pStyle w:val="ListParagraph"/>
        <w:numPr>
          <w:ilvl w:val="0"/>
          <w:numId w:val="25"/>
        </w:numPr>
        <w:spacing w:line="480" w:lineRule="auto"/>
      </w:pPr>
      <w:r>
        <w:tab/>
      </w:r>
      <w:r w:rsidR="006C63F8">
        <w:t xml:space="preserve">Staff </w:t>
      </w:r>
      <w:r w:rsidR="003A3181">
        <w:t xml:space="preserve">initially </w:t>
      </w:r>
      <w:r w:rsidR="006C63F8">
        <w:t>had proposed to exclude special contract customers from any distribution</w:t>
      </w:r>
      <w:r w:rsidR="00F84231">
        <w:t xml:space="preserve"> of proceeds</w:t>
      </w:r>
      <w:r w:rsidR="006C63F8">
        <w:t>.</w:t>
      </w:r>
      <w:r w:rsidR="006C63F8">
        <w:rPr>
          <w:rStyle w:val="FootnoteReference"/>
        </w:rPr>
        <w:footnoteReference w:id="139"/>
      </w:r>
      <w:r w:rsidR="006C63F8">
        <w:t xml:space="preserve"> However, </w:t>
      </w:r>
      <w:r w:rsidR="003A3181">
        <w:t xml:space="preserve">after </w:t>
      </w:r>
      <w:r w:rsidR="006C63F8">
        <w:t>consider</w:t>
      </w:r>
      <w:r w:rsidR="003A3181">
        <w:t>ing</w:t>
      </w:r>
      <w:r w:rsidR="006C63F8">
        <w:t xml:space="preserve"> PSE’s rebuttal testimony objecting to this treatment,</w:t>
      </w:r>
      <w:r w:rsidR="006C63F8">
        <w:rPr>
          <w:rStyle w:val="FootnoteReference"/>
        </w:rPr>
        <w:footnoteReference w:id="140"/>
      </w:r>
      <w:r w:rsidR="006C63F8">
        <w:t xml:space="preserve"> Staff verified that in the last PSE general rate case, special contact customers received an increase equal to the class revenue deficiency.  Accordingly, Staff now agrees that special contract customers should be entitled to share in the amount of proceeds the Commission determines should go to customers in this case.  Within Staff Exhibit No. CTM-2, the </w:t>
      </w:r>
      <w:r w:rsidR="006C63F8">
        <w:lastRenderedPageBreak/>
        <w:t>Commission should use line 34 for allocation of proceeds to customers, because this line includes special contract customers.</w:t>
      </w:r>
      <w:r>
        <w:t xml:space="preserve">  </w:t>
      </w:r>
    </w:p>
    <w:p w14:paraId="7BD642C4" w14:textId="1E6DC623" w:rsidR="00E9207A" w:rsidRPr="00E9207A" w:rsidRDefault="00E9207A" w:rsidP="006635E2">
      <w:pPr>
        <w:pStyle w:val="ListParagraph"/>
        <w:keepNext/>
        <w:spacing w:line="480" w:lineRule="auto"/>
        <w:ind w:left="0"/>
        <w:jc w:val="center"/>
        <w:rPr>
          <w:b/>
        </w:rPr>
      </w:pPr>
      <w:r>
        <w:rPr>
          <w:b/>
        </w:rPr>
        <w:t>V.</w:t>
      </w:r>
      <w:r>
        <w:rPr>
          <w:b/>
        </w:rPr>
        <w:tab/>
        <w:t>CONCLUSION</w:t>
      </w:r>
    </w:p>
    <w:p w14:paraId="7A7FA1C0" w14:textId="1D0249CF" w:rsidR="00456DA6" w:rsidRDefault="00E9207A" w:rsidP="00E9207A">
      <w:pPr>
        <w:pStyle w:val="ListParagraph"/>
        <w:numPr>
          <w:ilvl w:val="0"/>
          <w:numId w:val="25"/>
        </w:numPr>
        <w:spacing w:line="480" w:lineRule="auto"/>
      </w:pPr>
      <w:r>
        <w:tab/>
      </w:r>
      <w:r w:rsidR="00456DA6">
        <w:t>Under the system of regulation in this state, there is no question that time after time, ratepayers have been called upon to shoulder the burdens of ownership of utility property, and every time, ratepayers have answered the call.  This is one occasion where ratepayers get to enjoy the benefits.</w:t>
      </w:r>
    </w:p>
    <w:p w14:paraId="0D6D3758" w14:textId="04EF4049" w:rsidR="00456DA6" w:rsidRDefault="00E9207A" w:rsidP="00E9207A">
      <w:pPr>
        <w:pStyle w:val="ListParagraph"/>
        <w:numPr>
          <w:ilvl w:val="0"/>
          <w:numId w:val="25"/>
        </w:numPr>
        <w:spacing w:line="480" w:lineRule="auto"/>
      </w:pPr>
      <w:r>
        <w:tab/>
      </w:r>
      <w:r w:rsidR="00456DA6">
        <w:t>For the reasons stated in this brief, of the $109,</w:t>
      </w:r>
      <w:r w:rsidR="002E5DEC">
        <w:t>2</w:t>
      </w:r>
      <w:r w:rsidR="00456DA6">
        <w:t>73,196 proceeds PSE received from the sale of its distribution system in Jefferson County, the Commission should allocate $56,5</w:t>
      </w:r>
      <w:r w:rsidR="002E5DEC">
        <w:t>72</w:t>
      </w:r>
      <w:r w:rsidR="00456DA6">
        <w:t>,473 to PSE and $52,</w:t>
      </w:r>
      <w:r w:rsidR="002E5DEC">
        <w:t>700</w:t>
      </w:r>
      <w:r w:rsidR="00456DA6">
        <w:t xml:space="preserve">,723 to ratepayers.  This result reflects a correct application of the “regulatory compact,” and the risk/reward principle.  </w:t>
      </w:r>
    </w:p>
    <w:p w14:paraId="560CF82D" w14:textId="74A4F960" w:rsidR="00865186" w:rsidRPr="00B16752" w:rsidRDefault="00865186" w:rsidP="00865186">
      <w:pPr>
        <w:ind w:left="720"/>
      </w:pPr>
      <w:r w:rsidRPr="00B16752">
        <w:t>DATE</w:t>
      </w:r>
      <w:r>
        <w:t>D this 10</w:t>
      </w:r>
      <w:r w:rsidRPr="00865186">
        <w:rPr>
          <w:vertAlign w:val="superscript"/>
        </w:rPr>
        <w:t>th</w:t>
      </w:r>
      <w:r>
        <w:t xml:space="preserve"> day of June</w:t>
      </w:r>
      <w:r w:rsidRPr="00B16752">
        <w:t xml:space="preserve"> 20</w:t>
      </w:r>
      <w:r>
        <w:t>14</w:t>
      </w:r>
      <w:r w:rsidRPr="00B16752">
        <w:t>.</w:t>
      </w:r>
    </w:p>
    <w:p w14:paraId="4A99C757" w14:textId="77777777" w:rsidR="00865186" w:rsidRPr="00865186" w:rsidRDefault="00865186" w:rsidP="00865186">
      <w:pPr>
        <w:pStyle w:val="BodyTextIndent2"/>
        <w:ind w:left="0"/>
        <w:rPr>
          <w:rFonts w:ascii="Times New Roman" w:hAnsi="Times New Roman"/>
        </w:rPr>
      </w:pPr>
    </w:p>
    <w:p w14:paraId="08812B27" w14:textId="77777777" w:rsidR="00865186" w:rsidRDefault="00865186" w:rsidP="00865186">
      <w:pPr>
        <w:ind w:left="4320"/>
        <w:jc w:val="both"/>
      </w:pPr>
      <w:r>
        <w:t xml:space="preserve">Respectfully submitted, </w:t>
      </w:r>
    </w:p>
    <w:p w14:paraId="5E6122C6" w14:textId="77777777" w:rsidR="00865186" w:rsidRDefault="00865186" w:rsidP="00865186">
      <w:pPr>
        <w:ind w:left="4320"/>
        <w:jc w:val="both"/>
      </w:pPr>
    </w:p>
    <w:p w14:paraId="4F7FFB31" w14:textId="77777777" w:rsidR="00865186" w:rsidRPr="00B16752" w:rsidRDefault="00865186" w:rsidP="00865186">
      <w:pPr>
        <w:ind w:left="4320"/>
        <w:jc w:val="both"/>
      </w:pPr>
      <w:r w:rsidRPr="00B16752">
        <w:t xml:space="preserve">ROBERT </w:t>
      </w:r>
      <w:r>
        <w:t>W. FERGUSON</w:t>
      </w:r>
      <w:r w:rsidRPr="00B16752">
        <w:t xml:space="preserve"> </w:t>
      </w:r>
    </w:p>
    <w:p w14:paraId="7BD46AE7" w14:textId="77777777" w:rsidR="00865186" w:rsidRPr="00B16752" w:rsidRDefault="00865186" w:rsidP="00865186">
      <w:pPr>
        <w:ind w:left="4320"/>
        <w:jc w:val="both"/>
      </w:pPr>
      <w:r w:rsidRPr="00B16752">
        <w:t>Attorney General</w:t>
      </w:r>
    </w:p>
    <w:p w14:paraId="1F161389" w14:textId="77777777" w:rsidR="00865186" w:rsidRDefault="00865186" w:rsidP="00865186">
      <w:pPr>
        <w:ind w:left="4320"/>
        <w:jc w:val="both"/>
      </w:pPr>
    </w:p>
    <w:p w14:paraId="2CF82CBD" w14:textId="77777777" w:rsidR="00865186" w:rsidRDefault="00865186" w:rsidP="00865186">
      <w:pPr>
        <w:ind w:left="4320"/>
        <w:jc w:val="both"/>
      </w:pPr>
    </w:p>
    <w:p w14:paraId="47D90A74" w14:textId="77777777" w:rsidR="00865186" w:rsidRPr="00B16752" w:rsidRDefault="00865186" w:rsidP="00865186">
      <w:pPr>
        <w:ind w:left="4320"/>
        <w:jc w:val="both"/>
      </w:pPr>
    </w:p>
    <w:p w14:paraId="6C72DC07" w14:textId="77777777" w:rsidR="00865186" w:rsidRDefault="00865186" w:rsidP="00865186">
      <w:pPr>
        <w:ind w:left="4320"/>
        <w:jc w:val="both"/>
      </w:pPr>
      <w:r>
        <w:t>______________________________________</w:t>
      </w:r>
    </w:p>
    <w:p w14:paraId="0D6FFB39" w14:textId="01E15121" w:rsidR="00865186" w:rsidRPr="00B16752" w:rsidRDefault="00D02AFD" w:rsidP="00865186">
      <w:pPr>
        <w:ind w:left="4320"/>
        <w:jc w:val="both"/>
      </w:pPr>
      <w:r>
        <w:t xml:space="preserve">DONALD T. TROTTER </w:t>
      </w:r>
    </w:p>
    <w:p w14:paraId="1C0564CB" w14:textId="77777777" w:rsidR="00865186" w:rsidRPr="00B16752" w:rsidRDefault="00865186" w:rsidP="00865186">
      <w:pPr>
        <w:ind w:left="4320"/>
        <w:jc w:val="both"/>
      </w:pPr>
      <w:r w:rsidRPr="00B16752">
        <w:t>Assistant Attorney General</w:t>
      </w:r>
    </w:p>
    <w:p w14:paraId="15F8843C" w14:textId="77777777" w:rsidR="00865186" w:rsidRPr="00B16752" w:rsidRDefault="00865186" w:rsidP="00865186">
      <w:pPr>
        <w:ind w:left="4320"/>
        <w:jc w:val="both"/>
      </w:pPr>
      <w:r w:rsidRPr="00B16752">
        <w:t xml:space="preserve">Counsel for </w:t>
      </w:r>
      <w:smartTag w:uri="urn:schemas-microsoft-com:office:smarttags" w:element="place">
        <w:smartTag w:uri="urn:schemas-microsoft-com:office:smarttags" w:element="State">
          <w:r w:rsidRPr="00B16752">
            <w:t>Washington</w:t>
          </w:r>
        </w:smartTag>
      </w:smartTag>
      <w:r w:rsidRPr="00B16752">
        <w:t xml:space="preserve"> Utilities and</w:t>
      </w:r>
    </w:p>
    <w:p w14:paraId="79F5A605" w14:textId="77777777" w:rsidR="00865186" w:rsidRPr="00B16752" w:rsidRDefault="00865186" w:rsidP="00865186">
      <w:pPr>
        <w:ind w:left="4320"/>
        <w:jc w:val="both"/>
      </w:pPr>
      <w:r w:rsidRPr="00B16752">
        <w:t>Transportation Commission Staff</w:t>
      </w:r>
    </w:p>
    <w:p w14:paraId="15859AF1" w14:textId="574C1855" w:rsidR="00417F17" w:rsidRPr="006A7848" w:rsidRDefault="00417F17" w:rsidP="00865186"/>
    <w:sectPr w:rsidR="00417F17" w:rsidRPr="006A7848" w:rsidSect="0095545C">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F9230" w14:textId="77777777" w:rsidR="004B5E53" w:rsidRDefault="004B5E53" w:rsidP="00A70FE5">
      <w:r>
        <w:separator/>
      </w:r>
    </w:p>
  </w:endnote>
  <w:endnote w:type="continuationSeparator" w:id="0">
    <w:p w14:paraId="1210D644" w14:textId="77777777" w:rsidR="004B5E53" w:rsidRDefault="004B5E53" w:rsidP="00A7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4207A" w14:textId="77777777" w:rsidR="004B5E53" w:rsidRDefault="004B5E53">
    <w:pPr>
      <w:pStyle w:val="Footer"/>
    </w:pPr>
    <w:r>
      <w:t xml:space="preserve">INITIAL BRIEF ON BEHALF OF COMMISSION STAFF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0DF70" w14:textId="77777777" w:rsidR="004B5E53" w:rsidRPr="002F15AA" w:rsidRDefault="004B5E53" w:rsidP="002F15AA">
    <w:pPr>
      <w:pStyle w:val="Footer"/>
      <w:tabs>
        <w:tab w:val="clear" w:pos="4680"/>
      </w:tabs>
      <w:rPr>
        <w:sz w:val="22"/>
      </w:rPr>
    </w:pPr>
    <w:r w:rsidRPr="002F15AA">
      <w:rPr>
        <w:sz w:val="22"/>
      </w:rPr>
      <w:t xml:space="preserve">INITIAL BRIEF ON BEHALF OF COMMISSION STAFF - </w:t>
    </w:r>
    <w:r w:rsidRPr="002F15AA">
      <w:rPr>
        <w:sz w:val="22"/>
      </w:rPr>
      <w:fldChar w:fldCharType="begin"/>
    </w:r>
    <w:r w:rsidRPr="002F15AA">
      <w:rPr>
        <w:sz w:val="22"/>
      </w:rPr>
      <w:instrText xml:space="preserve"> PAGE   \* MERGEFORMAT </w:instrText>
    </w:r>
    <w:r w:rsidRPr="002F15AA">
      <w:rPr>
        <w:sz w:val="22"/>
      </w:rPr>
      <w:fldChar w:fldCharType="separate"/>
    </w:r>
    <w:r w:rsidR="00B55DBA">
      <w:rPr>
        <w:noProof/>
        <w:sz w:val="22"/>
      </w:rPr>
      <w:t>vi</w:t>
    </w:r>
    <w:r w:rsidRPr="002F15A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A0715" w14:textId="77777777" w:rsidR="004B5E53" w:rsidRPr="002F15AA" w:rsidRDefault="004B5E53" w:rsidP="002F15AA">
    <w:pPr>
      <w:pStyle w:val="Footer"/>
      <w:tabs>
        <w:tab w:val="clear" w:pos="4680"/>
      </w:tabs>
      <w:rPr>
        <w:sz w:val="22"/>
      </w:rPr>
    </w:pPr>
    <w:r w:rsidRPr="002F15AA">
      <w:rPr>
        <w:sz w:val="22"/>
      </w:rPr>
      <w:t xml:space="preserve">INITIAL BRIEF ON BEHALF OF COMMISSION STAFF - </w:t>
    </w:r>
    <w:r w:rsidRPr="002F15AA">
      <w:rPr>
        <w:sz w:val="22"/>
      </w:rPr>
      <w:fldChar w:fldCharType="begin"/>
    </w:r>
    <w:r w:rsidRPr="002F15AA">
      <w:rPr>
        <w:sz w:val="22"/>
      </w:rPr>
      <w:instrText xml:space="preserve"> PAGE   \* MERGEFORMAT </w:instrText>
    </w:r>
    <w:r w:rsidRPr="002F15AA">
      <w:rPr>
        <w:sz w:val="22"/>
      </w:rPr>
      <w:fldChar w:fldCharType="separate"/>
    </w:r>
    <w:r w:rsidR="00B55DBA">
      <w:rPr>
        <w:noProof/>
        <w:sz w:val="22"/>
      </w:rPr>
      <w:t>34</w:t>
    </w:r>
    <w:r w:rsidRPr="002F15AA">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165E1" w14:textId="77777777" w:rsidR="004B5E53" w:rsidRDefault="004B5E53" w:rsidP="00A70FE5">
      <w:r>
        <w:separator/>
      </w:r>
    </w:p>
  </w:footnote>
  <w:footnote w:type="continuationSeparator" w:id="0">
    <w:p w14:paraId="1D468168" w14:textId="77777777" w:rsidR="004B5E53" w:rsidRDefault="004B5E53" w:rsidP="00A70FE5">
      <w:r>
        <w:continuationSeparator/>
      </w:r>
    </w:p>
  </w:footnote>
  <w:footnote w:id="1">
    <w:p w14:paraId="65DFFC8F" w14:textId="77777777" w:rsidR="004B5E53" w:rsidRDefault="004B5E53" w:rsidP="00385F95">
      <w:pPr>
        <w:pStyle w:val="FootnoteText"/>
      </w:pPr>
      <w:r>
        <w:rPr>
          <w:rStyle w:val="FootnoteReference"/>
        </w:rPr>
        <w:footnoteRef/>
      </w:r>
      <w:r>
        <w:t xml:space="preserve"> </w:t>
      </w:r>
      <w:r>
        <w:rPr>
          <w:i/>
        </w:rPr>
        <w:t>Petition of Puget Sound Energy, Inc. for an Accounting Order Approving the Allocation of Proceeds of the Sale of Certain Assets to Public Utility District #1 of Jefferson County</w:t>
      </w:r>
      <w:r w:rsidRPr="00B409F8">
        <w:t xml:space="preserve">, </w:t>
      </w:r>
      <w:r>
        <w:t xml:space="preserve">Docket 132027, </w:t>
      </w:r>
      <w:r w:rsidRPr="00B70091">
        <w:t>Petition</w:t>
      </w:r>
      <w:r>
        <w:t xml:space="preserve"> for Accounting Order (October 31, 2013) (PSE Petition or Petition).</w:t>
      </w:r>
    </w:p>
  </w:footnote>
  <w:footnote w:id="2">
    <w:p w14:paraId="5CE8F37B" w14:textId="77777777" w:rsidR="004B5E53" w:rsidRDefault="004B5E53">
      <w:pPr>
        <w:pStyle w:val="FootnoteText"/>
      </w:pPr>
      <w:r>
        <w:rPr>
          <w:rStyle w:val="FootnoteReference"/>
        </w:rPr>
        <w:footnoteRef/>
      </w:r>
      <w:r>
        <w:t xml:space="preserve"> The assets PSE sold “are predominantly comprised of distribution facilities,” though “a small amount of 115 kV transmission facilities” were included.  Piliaris Direct, Exh. No. JAP-1T at 16:20-21.  Therefore, in this brief, we refer to the sold assets as PSE’s distribution system in Jefferson County, or words to that effect.</w:t>
      </w:r>
    </w:p>
  </w:footnote>
  <w:footnote w:id="3">
    <w:p w14:paraId="6FD1A759" w14:textId="77777777" w:rsidR="004B5E53" w:rsidRDefault="004B5E53">
      <w:pPr>
        <w:pStyle w:val="FootnoteText"/>
      </w:pPr>
      <w:r>
        <w:rPr>
          <w:rStyle w:val="FootnoteReference"/>
        </w:rPr>
        <w:footnoteRef/>
      </w:r>
      <w:r>
        <w:t xml:space="preserve"> Keating Direct, Exhibit No. EJK-1T at 55:5-12.</w:t>
      </w:r>
    </w:p>
  </w:footnote>
  <w:footnote w:id="4">
    <w:p w14:paraId="590DF03A" w14:textId="77777777" w:rsidR="004B5E53" w:rsidRDefault="004B5E53" w:rsidP="00AE07C7">
      <w:pPr>
        <w:pStyle w:val="FootnoteText"/>
      </w:pPr>
      <w:r>
        <w:rPr>
          <w:rStyle w:val="FootnoteReference"/>
        </w:rPr>
        <w:footnoteRef/>
      </w:r>
      <w:r>
        <w:t xml:space="preserve"> PSE Petition at 18, ¶ 37.</w:t>
      </w:r>
    </w:p>
  </w:footnote>
  <w:footnote w:id="5">
    <w:p w14:paraId="06C5B452" w14:textId="77777777" w:rsidR="004B5E53" w:rsidRDefault="004B5E53" w:rsidP="009055FA">
      <w:pPr>
        <w:pStyle w:val="FootnoteText"/>
      </w:pPr>
      <w:r>
        <w:rPr>
          <w:rStyle w:val="FootnoteReference"/>
        </w:rPr>
        <w:footnoteRef/>
      </w:r>
      <w:r>
        <w:t xml:space="preserve"> PSE Petition at 18, ¶ 37; Levin Rebuttal, Exh. No. SLL-1T at 11:14-20.</w:t>
      </w:r>
    </w:p>
  </w:footnote>
  <w:footnote w:id="6">
    <w:p w14:paraId="69A359B2" w14:textId="77777777" w:rsidR="004B5E53" w:rsidRPr="0063301D" w:rsidRDefault="004B5E53" w:rsidP="009055FA">
      <w:pPr>
        <w:pStyle w:val="FootnoteText"/>
      </w:pPr>
      <w:r>
        <w:rPr>
          <w:rStyle w:val="FootnoteReference"/>
        </w:rPr>
        <w:footnoteRef/>
      </w:r>
      <w:r>
        <w:t xml:space="preserve"> </w:t>
      </w:r>
      <w:r>
        <w:rPr>
          <w:i/>
        </w:rPr>
        <w:t>Ratemaking Treatment of Capital Gains from the Sale of a Public Utility Distribution System Serving an Area Annexed by a Municipality or Public Entity</w:t>
      </w:r>
      <w:r w:rsidRPr="00B409F8">
        <w:t xml:space="preserve">, </w:t>
      </w:r>
      <w:r>
        <w:t>104 Pub. Util. Rep. (PUR) 4</w:t>
      </w:r>
      <w:r w:rsidRPr="002A2A7D">
        <w:rPr>
          <w:vertAlign w:val="superscript"/>
        </w:rPr>
        <w:t>th</w:t>
      </w:r>
      <w:r>
        <w:t xml:space="preserve"> 157 (Cal. PUC 1989) (</w:t>
      </w:r>
      <w:r>
        <w:rPr>
          <w:i/>
        </w:rPr>
        <w:t xml:space="preserve">City </w:t>
      </w:r>
      <w:r w:rsidRPr="0063301D">
        <w:rPr>
          <w:i/>
        </w:rPr>
        <w:t>of Redding II</w:t>
      </w:r>
      <w:r>
        <w:t>).</w:t>
      </w:r>
    </w:p>
  </w:footnote>
  <w:footnote w:id="7">
    <w:p w14:paraId="3AB4EC70" w14:textId="77777777" w:rsidR="004B5E53" w:rsidRDefault="004B5E53">
      <w:pPr>
        <w:pStyle w:val="FootnoteText"/>
      </w:pPr>
      <w:r>
        <w:rPr>
          <w:rStyle w:val="FootnoteReference"/>
        </w:rPr>
        <w:footnoteRef/>
      </w:r>
      <w:r>
        <w:t xml:space="preserve"> Osborne, TR. 48:24 to 49:2.</w:t>
      </w:r>
    </w:p>
  </w:footnote>
  <w:footnote w:id="8">
    <w:p w14:paraId="49DF584F" w14:textId="77777777" w:rsidR="004B5E53" w:rsidRDefault="004B5E53">
      <w:pPr>
        <w:pStyle w:val="FootnoteText"/>
      </w:pPr>
      <w:r>
        <w:rPr>
          <w:rStyle w:val="FootnoteReference"/>
        </w:rPr>
        <w:footnoteRef/>
      </w:r>
      <w:r>
        <w:t xml:space="preserve"> Osborne, Exh. No. SS0-5 (testimony of Mr. Karzmar, adopted by Mr. Osborne) at 16:12-15.</w:t>
      </w:r>
    </w:p>
  </w:footnote>
  <w:footnote w:id="9">
    <w:p w14:paraId="184B9D74" w14:textId="77777777" w:rsidR="004B5E53" w:rsidRDefault="004B5E53" w:rsidP="00F84231">
      <w:pPr>
        <w:pStyle w:val="FootnoteText"/>
      </w:pPr>
      <w:r>
        <w:rPr>
          <w:rStyle w:val="FootnoteReference"/>
        </w:rPr>
        <w:footnoteRef/>
      </w:r>
      <w:r>
        <w:t xml:space="preserve"> Osborne Direct, Exh. No. SSO-1T at 2:12-13.</w:t>
      </w:r>
    </w:p>
  </w:footnote>
  <w:footnote w:id="10">
    <w:p w14:paraId="27E41AF2" w14:textId="77777777" w:rsidR="004B5E53" w:rsidRDefault="004B5E53">
      <w:pPr>
        <w:pStyle w:val="FootnoteText"/>
      </w:pPr>
      <w:r>
        <w:rPr>
          <w:rStyle w:val="FootnoteReference"/>
        </w:rPr>
        <w:footnoteRef/>
      </w:r>
      <w:r>
        <w:t xml:space="preserve"> Osborne Direct, Exh. No. SSO-1T at 2:12-19.</w:t>
      </w:r>
    </w:p>
  </w:footnote>
  <w:footnote w:id="11">
    <w:p w14:paraId="74EA8B68" w14:textId="77777777" w:rsidR="004B5E53" w:rsidRDefault="004B5E53">
      <w:pPr>
        <w:pStyle w:val="FootnoteText"/>
      </w:pPr>
      <w:r>
        <w:rPr>
          <w:rStyle w:val="FootnoteReference"/>
        </w:rPr>
        <w:footnoteRef/>
      </w:r>
      <w:r>
        <w:t xml:space="preserve"> Marcelia Rebuttal, Exh. No. MRM-5T at 7:19 to 8:6.  This $109,273,196 amount is $100,000 less than the $109,373,196 amount from PSE’s Petition at 15, ¶ 32.  This change causes slight, corresponding changes to Staff’s figures in Mr. Keating’s Exhibit No. EJK-3.  An updated version of that exhibit as Attachment A to this brief.</w:t>
      </w:r>
    </w:p>
  </w:footnote>
  <w:footnote w:id="12">
    <w:p w14:paraId="64F2F849" w14:textId="77777777" w:rsidR="004B5E53" w:rsidRDefault="004B5E53">
      <w:pPr>
        <w:pStyle w:val="FootnoteText"/>
      </w:pPr>
      <w:r>
        <w:rPr>
          <w:rStyle w:val="FootnoteReference"/>
        </w:rPr>
        <w:footnoteRef/>
      </w:r>
      <w:r>
        <w:t xml:space="preserve"> PSE Petition at 2, ¶ 4.</w:t>
      </w:r>
    </w:p>
  </w:footnote>
  <w:footnote w:id="13">
    <w:p w14:paraId="582BEAC0" w14:textId="77777777" w:rsidR="004B5E53" w:rsidRDefault="004B5E53">
      <w:pPr>
        <w:pStyle w:val="FootnoteText"/>
      </w:pPr>
      <w:r>
        <w:rPr>
          <w:rStyle w:val="FootnoteReference"/>
        </w:rPr>
        <w:footnoteRef/>
      </w:r>
      <w:r>
        <w:t xml:space="preserve"> This chart contains updated information to reflect the $100,000 decrease in total proceeds identified by PSE in its rebuttal case.  Also, please note that Public Counsel did not distinguish between “accumulated depreciation” and other proceeds amounts going to customers.</w:t>
      </w:r>
    </w:p>
  </w:footnote>
  <w:footnote w:id="14">
    <w:p w14:paraId="27D9A69C" w14:textId="77777777" w:rsidR="004B5E53" w:rsidRDefault="004B5E53" w:rsidP="004D2098">
      <w:pPr>
        <w:pStyle w:val="FootnoteText"/>
      </w:pPr>
      <w:r>
        <w:rPr>
          <w:rStyle w:val="FootnoteReference"/>
        </w:rPr>
        <w:footnoteRef/>
      </w:r>
      <w:r>
        <w:t xml:space="preserve"> PSE Petition at 18, ¶ 37.</w:t>
      </w:r>
    </w:p>
  </w:footnote>
  <w:footnote w:id="15">
    <w:p w14:paraId="63D986DC" w14:textId="77777777" w:rsidR="004B5E53" w:rsidRPr="00694C2A" w:rsidRDefault="004B5E53">
      <w:pPr>
        <w:pStyle w:val="FootnoteText"/>
        <w:rPr>
          <w:i/>
        </w:rPr>
      </w:pPr>
      <w:r>
        <w:rPr>
          <w:rStyle w:val="FootnoteReference"/>
        </w:rPr>
        <w:footnoteRef/>
      </w:r>
      <w:r>
        <w:t xml:space="preserve"> </w:t>
      </w:r>
      <w:r>
        <w:rPr>
          <w:i/>
        </w:rPr>
        <w:t xml:space="preserve">Amended Petition of Puget Sound Energy, Inc. for an Order Authorizing the Use of the Proceeds From the Sale of Renewable Energy Credits and Carbon Financial Instruments, </w:t>
      </w:r>
      <w:r>
        <w:t>Docket UE-070725, Order 03, Final Order, 282 Pub. Util. Rep. (PUR) 4</w:t>
      </w:r>
      <w:r w:rsidRPr="000F450B">
        <w:rPr>
          <w:vertAlign w:val="superscript"/>
        </w:rPr>
        <w:t>th</w:t>
      </w:r>
      <w:r>
        <w:t xml:space="preserve"> 303 (2010) (</w:t>
      </w:r>
      <w:r>
        <w:rPr>
          <w:i/>
        </w:rPr>
        <w:t>PSE REC Case</w:t>
      </w:r>
      <w:r>
        <w:t>)</w:t>
      </w:r>
      <w:r>
        <w:rPr>
          <w:i/>
        </w:rPr>
        <w:t>.</w:t>
      </w:r>
    </w:p>
  </w:footnote>
  <w:footnote w:id="16">
    <w:p w14:paraId="2B179E1C" w14:textId="77777777" w:rsidR="004B5E53" w:rsidRPr="00290ED1" w:rsidRDefault="004B5E53" w:rsidP="003D32F6">
      <w:pPr>
        <w:pStyle w:val="FootnoteText"/>
      </w:pPr>
      <w:r>
        <w:rPr>
          <w:rStyle w:val="FootnoteReference"/>
        </w:rPr>
        <w:footnoteRef/>
      </w:r>
      <w:r>
        <w:t xml:space="preserve"> </w:t>
      </w:r>
      <w:r>
        <w:rPr>
          <w:i/>
        </w:rPr>
        <w:t xml:space="preserve">Id. </w:t>
      </w:r>
      <w:r>
        <w:t>282 Pub. Util. Rep. (PUR) 4</w:t>
      </w:r>
      <w:r w:rsidRPr="000F450B">
        <w:rPr>
          <w:vertAlign w:val="superscript"/>
        </w:rPr>
        <w:t>th</w:t>
      </w:r>
      <w:r>
        <w:t xml:space="preserve"> at 311-13. </w:t>
      </w:r>
    </w:p>
  </w:footnote>
  <w:footnote w:id="17">
    <w:p w14:paraId="44195923" w14:textId="77777777" w:rsidR="004B5E53" w:rsidRPr="005F206F" w:rsidRDefault="004B5E53" w:rsidP="003D32F6">
      <w:pPr>
        <w:pStyle w:val="FootnoteText"/>
      </w:pPr>
      <w:r>
        <w:rPr>
          <w:rStyle w:val="FootnoteReference"/>
        </w:rPr>
        <w:footnoteRef/>
      </w:r>
      <w:r>
        <w:t xml:space="preserve"> Exh. No. MRM-10X, Brief of Puget Sound Energy, </w:t>
      </w:r>
      <w:r>
        <w:rPr>
          <w:i/>
        </w:rPr>
        <w:t>PSE REC Case</w:t>
      </w:r>
      <w:r>
        <w:t>, Docket UE-070725 at 3, ¶ 6 (the footnotes in the block quote are from PSE’s brief).</w:t>
      </w:r>
    </w:p>
  </w:footnote>
  <w:footnote w:id="18">
    <w:p w14:paraId="1B7D59B3" w14:textId="66E6F81F" w:rsidR="004B5E53" w:rsidRPr="007A0893" w:rsidRDefault="004B5E53" w:rsidP="003D32F6">
      <w:pPr>
        <w:pStyle w:val="FootnoteText"/>
        <w:rPr>
          <w:i/>
        </w:rPr>
      </w:pPr>
      <w:r>
        <w:rPr>
          <w:rStyle w:val="FootnoteReference"/>
        </w:rPr>
        <w:footnoteRef/>
      </w:r>
      <w:r>
        <w:t xml:space="preserve"> RCW 80.01.040(3).</w:t>
      </w:r>
    </w:p>
  </w:footnote>
  <w:footnote w:id="19">
    <w:p w14:paraId="32E6F488" w14:textId="246D8FB3" w:rsidR="004B5E53" w:rsidRPr="002839E0" w:rsidRDefault="004B5E53" w:rsidP="003D32F6">
      <w:pPr>
        <w:pStyle w:val="FootnoteText"/>
      </w:pPr>
      <w:r>
        <w:rPr>
          <w:rStyle w:val="FootnoteReference"/>
        </w:rPr>
        <w:footnoteRef/>
      </w:r>
      <w:r>
        <w:t xml:space="preserve"> </w:t>
      </w:r>
      <w:r>
        <w:rPr>
          <w:i/>
        </w:rPr>
        <w:t>Application of Avista Corp. for Authority to Sell its Interest in the Coal-Fired Centralia Power Plant</w:t>
      </w:r>
      <w:r>
        <w:t xml:space="preserve">, Docket No. UE-991255, </w:t>
      </w:r>
      <w:r>
        <w:rPr>
          <w:i/>
        </w:rPr>
        <w:t>et al.</w:t>
      </w:r>
      <w:r>
        <w:t xml:space="preserve">, </w:t>
      </w:r>
      <w:r w:rsidRPr="004455D9">
        <w:t>Second</w:t>
      </w:r>
      <w:r>
        <w:t xml:space="preserve"> Supplemental Order (March 6, 2000) ¶ 84</w:t>
      </w:r>
      <w:r w:rsidRPr="00D6477A">
        <w:rPr>
          <w:color w:val="800080"/>
        </w:rPr>
        <w:t xml:space="preserve">; </w:t>
      </w:r>
      <w:r>
        <w:rPr>
          <w:i/>
        </w:rPr>
        <w:t>Utilities &amp; Transp. Comm’n</w:t>
      </w:r>
      <w:r w:rsidRPr="007E6648">
        <w:rPr>
          <w:i/>
        </w:rPr>
        <w:t xml:space="preserve"> v. Am. Water Res., Inc.</w:t>
      </w:r>
      <w:r w:rsidRPr="007E6648">
        <w:t xml:space="preserve">, Docket No. UW-031284, </w:t>
      </w:r>
      <w:r w:rsidRPr="007E6648">
        <w:rPr>
          <w:i/>
        </w:rPr>
        <w:t>et al.</w:t>
      </w:r>
      <w:r w:rsidRPr="007E6648">
        <w:t>, Order 8 (Nov. 1, 2004) ¶ 60</w:t>
      </w:r>
      <w:r>
        <w:t>.</w:t>
      </w:r>
    </w:p>
  </w:footnote>
  <w:footnote w:id="20">
    <w:p w14:paraId="613FCA57" w14:textId="77777777" w:rsidR="004B5E53" w:rsidRPr="00A60B29" w:rsidRDefault="004B5E53" w:rsidP="00337089">
      <w:pPr>
        <w:pStyle w:val="FootnoteText"/>
      </w:pPr>
      <w:r>
        <w:rPr>
          <w:rStyle w:val="FootnoteReference"/>
        </w:rPr>
        <w:footnoteRef/>
      </w:r>
      <w:r>
        <w:t xml:space="preserve"> </w:t>
      </w:r>
      <w:r>
        <w:rPr>
          <w:i/>
        </w:rPr>
        <w:t xml:space="preserve">See, Petition of Puget Sound Energy, Inc., for a Declaratory Order Regarding the Transfer of Assets to Jefferson County Public Utility District, </w:t>
      </w:r>
      <w:r>
        <w:t xml:space="preserve">Docket U-101217, Final Order Approving and Adopting Settlement Agreement; Granting Petition of Declaratory Judgment (February 1, 2011) at 17, ¶ 42, Conclusion of Law 5.  The Commission reasoned that RCW 80.12.020 exempts transfers of property from a Commission-regulated electric company to a “special purpose district as defined in 36.96.010,” and JPUD meets the definition of “special purpose district.”  </w:t>
      </w:r>
      <w:r>
        <w:rPr>
          <w:i/>
        </w:rPr>
        <w:t xml:space="preserve">Id. </w:t>
      </w:r>
      <w:r>
        <w:t>at 13, ¶ 23 and at 17, ¶ 40, Conclusion of Law 3.</w:t>
      </w:r>
    </w:p>
  </w:footnote>
  <w:footnote w:id="21">
    <w:p w14:paraId="674249A3" w14:textId="60EFBC98" w:rsidR="004B5E53" w:rsidRPr="003E4751" w:rsidRDefault="004B5E53" w:rsidP="00F421A6">
      <w:pPr>
        <w:pStyle w:val="BodyTextIndent2"/>
        <w:spacing w:line="240" w:lineRule="exact"/>
        <w:ind w:left="0"/>
        <w:rPr>
          <w:rFonts w:ascii="Times New Roman" w:hAnsi="Times New Roman"/>
        </w:rPr>
      </w:pPr>
      <w:r>
        <w:rPr>
          <w:rStyle w:val="FootnoteReference"/>
        </w:rPr>
        <w:footnoteRef/>
      </w:r>
      <w:r w:rsidRPr="00CF07A3">
        <w:rPr>
          <w:rFonts w:ascii="Times New Roman" w:hAnsi="Times New Roman"/>
          <w:i/>
        </w:rPr>
        <w:t xml:space="preserve"> </w:t>
      </w:r>
      <w:r>
        <w:rPr>
          <w:rFonts w:ascii="Times New Roman" w:hAnsi="Times New Roman"/>
          <w:i/>
          <w:sz w:val="20"/>
          <w:szCs w:val="20"/>
        </w:rPr>
        <w:t>Utilities</w:t>
      </w:r>
      <w:r w:rsidRPr="00F421A6">
        <w:rPr>
          <w:rFonts w:ascii="Times New Roman" w:hAnsi="Times New Roman"/>
          <w:i/>
          <w:sz w:val="20"/>
          <w:szCs w:val="20"/>
        </w:rPr>
        <w:t xml:space="preserve"> &amp; Transp. Comm’n v. Am. Water Res. </w:t>
      </w:r>
      <w:r w:rsidRPr="00F421A6">
        <w:rPr>
          <w:rFonts w:ascii="Times New Roman" w:hAnsi="Times New Roman"/>
          <w:sz w:val="20"/>
          <w:szCs w:val="20"/>
        </w:rPr>
        <w:t xml:space="preserve">Docket UW-031284, </w:t>
      </w:r>
      <w:r w:rsidRPr="00F421A6">
        <w:rPr>
          <w:rFonts w:ascii="Times New Roman" w:hAnsi="Times New Roman"/>
          <w:i/>
          <w:sz w:val="20"/>
          <w:szCs w:val="20"/>
        </w:rPr>
        <w:t>et al</w:t>
      </w:r>
      <w:r w:rsidRPr="00F421A6">
        <w:rPr>
          <w:rFonts w:ascii="Times New Roman" w:hAnsi="Times New Roman"/>
          <w:sz w:val="20"/>
          <w:szCs w:val="20"/>
        </w:rPr>
        <w:t>., Order 08, Final Order Dismissing Complaint Against Rates in Part, Ordering Refund of “Docket Account” Set Aside, and Denying Application for Mitigation of Penalties (November 1, 2004)</w:t>
      </w:r>
    </w:p>
  </w:footnote>
  <w:footnote w:id="22">
    <w:p w14:paraId="750FF0D7" w14:textId="47C7BF29" w:rsidR="004B5E53" w:rsidRPr="00E20C04" w:rsidRDefault="004B5E53" w:rsidP="005D31D1">
      <w:pPr>
        <w:pStyle w:val="FootnoteText"/>
        <w:rPr>
          <w:i/>
        </w:rPr>
      </w:pPr>
      <w:r>
        <w:rPr>
          <w:rStyle w:val="FootnoteReference"/>
        </w:rPr>
        <w:footnoteRef/>
      </w:r>
      <w:r>
        <w:t xml:space="preserve"> </w:t>
      </w:r>
      <w:r>
        <w:rPr>
          <w:i/>
        </w:rPr>
        <w:t>Id.</w:t>
      </w:r>
      <w:r>
        <w:t xml:space="preserve">, Order 8, at 22, ¶ 60.  PSE fails to acknowledge this precedent in its Petition, though PSE is aware of the </w:t>
      </w:r>
      <w:r w:rsidRPr="00103E4C">
        <w:rPr>
          <w:i/>
        </w:rPr>
        <w:t>American Water</w:t>
      </w:r>
      <w:r>
        <w:t xml:space="preserve"> case; PSE acknowledged that case and quoted the above language from that case in its brief in the </w:t>
      </w:r>
      <w:r>
        <w:rPr>
          <w:i/>
        </w:rPr>
        <w:t>PSE REC C</w:t>
      </w:r>
      <w:r w:rsidRPr="00460C45">
        <w:rPr>
          <w:i/>
        </w:rPr>
        <w:t>ase</w:t>
      </w:r>
      <w:r>
        <w:t xml:space="preserve">, </w:t>
      </w:r>
      <w:r>
        <w:rPr>
          <w:i/>
        </w:rPr>
        <w:t xml:space="preserve">supra, </w:t>
      </w:r>
      <w:r>
        <w:t>Docket UE-132027, 282 Pub. Util. Rep. (PUR) 4</w:t>
      </w:r>
      <w:r w:rsidRPr="000F450B">
        <w:rPr>
          <w:vertAlign w:val="superscript"/>
        </w:rPr>
        <w:t>th</w:t>
      </w:r>
      <w:r>
        <w:t xml:space="preserve"> 303 (2010).  Exh. No. MRM-10X, </w:t>
      </w:r>
      <w:r>
        <w:rPr>
          <w:i/>
        </w:rPr>
        <w:t>PSE REC Case</w:t>
      </w:r>
      <w:r w:rsidRPr="005314CB">
        <w:t xml:space="preserve">, </w:t>
      </w:r>
      <w:r>
        <w:t>Docket UE-070725, Brief of Puget Sound Energy, Inc. at 12, footnote 45.</w:t>
      </w:r>
    </w:p>
  </w:footnote>
  <w:footnote w:id="23">
    <w:p w14:paraId="7F976741" w14:textId="77777777" w:rsidR="004B5E53" w:rsidRPr="00767B4F" w:rsidRDefault="004B5E53" w:rsidP="005D31D1">
      <w:pPr>
        <w:pStyle w:val="FootnoteText"/>
      </w:pPr>
      <w:r>
        <w:rPr>
          <w:rStyle w:val="FootnoteReference"/>
        </w:rPr>
        <w:footnoteRef/>
      </w:r>
      <w:r>
        <w:t xml:space="preserve"> PSE Petition at 16, ¶ 35, quoting </w:t>
      </w:r>
      <w:r>
        <w:rPr>
          <w:i/>
        </w:rPr>
        <w:t>City of Redding II</w:t>
      </w:r>
      <w:r w:rsidRPr="005314CB">
        <w:t>,</w:t>
      </w:r>
      <w:r>
        <w:t xml:space="preserve"> </w:t>
      </w:r>
      <w:r>
        <w:rPr>
          <w:i/>
        </w:rPr>
        <w:t xml:space="preserve">supra, </w:t>
      </w:r>
      <w:r>
        <w:t>104 Pub. Util. Rep. (PUR) 4</w:t>
      </w:r>
      <w:r w:rsidRPr="001B6671">
        <w:rPr>
          <w:vertAlign w:val="superscript"/>
        </w:rPr>
        <w:t>th</w:t>
      </w:r>
      <w:r>
        <w:t xml:space="preserve"> at 168. </w:t>
      </w:r>
    </w:p>
  </w:footnote>
  <w:footnote w:id="24">
    <w:p w14:paraId="6E613241" w14:textId="77777777" w:rsidR="004B5E53" w:rsidRPr="001B6671" w:rsidRDefault="004B5E53" w:rsidP="005D31D1">
      <w:pPr>
        <w:pStyle w:val="FootnoteText"/>
      </w:pPr>
      <w:r>
        <w:rPr>
          <w:rStyle w:val="FootnoteReference"/>
        </w:rPr>
        <w:footnoteRef/>
      </w:r>
      <w:r>
        <w:t xml:space="preserve"> </w:t>
      </w:r>
      <w:r>
        <w:rPr>
          <w:i/>
        </w:rPr>
        <w:t>City of Redding II</w:t>
      </w:r>
      <w:r w:rsidRPr="005314CB">
        <w:t xml:space="preserve">, </w:t>
      </w:r>
      <w:r>
        <w:rPr>
          <w:i/>
        </w:rPr>
        <w:t xml:space="preserve">supra, </w:t>
      </w:r>
      <w:r>
        <w:t>104 Pub. Util. Rep. (PUR) 4</w:t>
      </w:r>
      <w:r w:rsidRPr="001B6671">
        <w:rPr>
          <w:vertAlign w:val="superscript"/>
        </w:rPr>
        <w:t>th</w:t>
      </w:r>
      <w:r>
        <w:t xml:space="preserve"> at 165.</w:t>
      </w:r>
    </w:p>
  </w:footnote>
  <w:footnote w:id="25">
    <w:p w14:paraId="21D1DB61" w14:textId="77777777" w:rsidR="004B5E53" w:rsidRPr="00342653" w:rsidRDefault="004B5E53" w:rsidP="005D31D1">
      <w:pPr>
        <w:pStyle w:val="FootnoteText"/>
      </w:pPr>
      <w:r>
        <w:rPr>
          <w:rStyle w:val="FootnoteReference"/>
        </w:rPr>
        <w:footnoteRef/>
      </w:r>
      <w:r>
        <w:t xml:space="preserve"> </w:t>
      </w:r>
      <w:r>
        <w:rPr>
          <w:i/>
        </w:rPr>
        <w:t>City of Redding II</w:t>
      </w:r>
      <w:r>
        <w:t xml:space="preserve">, </w:t>
      </w:r>
      <w:r>
        <w:rPr>
          <w:i/>
        </w:rPr>
        <w:t>supra,</w:t>
      </w:r>
      <w:r>
        <w:t xml:space="preserve"> 104 Pub. Util. Rep. (PUR) 4</w:t>
      </w:r>
      <w:r w:rsidRPr="00342653">
        <w:rPr>
          <w:vertAlign w:val="superscript"/>
        </w:rPr>
        <w:t>th</w:t>
      </w:r>
      <w:r>
        <w:t xml:space="preserve"> at 165.</w:t>
      </w:r>
    </w:p>
  </w:footnote>
  <w:footnote w:id="26">
    <w:p w14:paraId="0AD9E425" w14:textId="77777777" w:rsidR="004B5E53" w:rsidRDefault="004B5E53">
      <w:pPr>
        <w:pStyle w:val="FootnoteText"/>
      </w:pPr>
      <w:r>
        <w:rPr>
          <w:rStyle w:val="FootnoteReference"/>
        </w:rPr>
        <w:footnoteRef/>
      </w:r>
      <w:r>
        <w:t xml:space="preserve"> </w:t>
      </w:r>
      <w:r w:rsidRPr="00460C45">
        <w:rPr>
          <w:i/>
        </w:rPr>
        <w:t>Application of PacifiCorp</w:t>
      </w:r>
      <w:r>
        <w:t>, 68 Pub. Util. Rep. (PUR) 4</w:t>
      </w:r>
      <w:r w:rsidRPr="00460C45">
        <w:rPr>
          <w:vertAlign w:val="superscript"/>
        </w:rPr>
        <w:t>th</w:t>
      </w:r>
      <w:r>
        <w:t xml:space="preserve"> 573, 485-86 (Wyo. PSC 1985).</w:t>
      </w:r>
    </w:p>
  </w:footnote>
  <w:footnote w:id="27">
    <w:p w14:paraId="641212FD" w14:textId="77777777" w:rsidR="004B5E53" w:rsidRDefault="004B5E53" w:rsidP="005D31D1">
      <w:pPr>
        <w:pStyle w:val="FootnoteText"/>
      </w:pPr>
      <w:r>
        <w:rPr>
          <w:rStyle w:val="FootnoteReference"/>
        </w:rPr>
        <w:footnoteRef/>
      </w:r>
      <w:r>
        <w:t xml:space="preserve"> </w:t>
      </w:r>
      <w:r>
        <w:rPr>
          <w:i/>
        </w:rPr>
        <w:t xml:space="preserve">Id. </w:t>
      </w:r>
      <w:r>
        <w:t>68 Pub. Util. Rep. (PUR) 4</w:t>
      </w:r>
      <w:r w:rsidRPr="001073DA">
        <w:rPr>
          <w:vertAlign w:val="superscript"/>
        </w:rPr>
        <w:t>th</w:t>
      </w:r>
      <w:r>
        <w:t xml:space="preserve"> at 485.</w:t>
      </w:r>
    </w:p>
  </w:footnote>
  <w:footnote w:id="28">
    <w:p w14:paraId="246F72EA" w14:textId="77777777" w:rsidR="004B5E53" w:rsidRDefault="004B5E53" w:rsidP="005D31D1">
      <w:pPr>
        <w:pStyle w:val="FootnoteText"/>
      </w:pPr>
      <w:r>
        <w:rPr>
          <w:rStyle w:val="FootnoteReference"/>
        </w:rPr>
        <w:footnoteRef/>
      </w:r>
      <w:r>
        <w:t xml:space="preserve"> Keating Direct, Exh. No. EJK-1T at 10:14-15.</w:t>
      </w:r>
    </w:p>
  </w:footnote>
  <w:footnote w:id="29">
    <w:p w14:paraId="62985046" w14:textId="77777777" w:rsidR="004B5E53" w:rsidRDefault="004B5E53" w:rsidP="005D31D1">
      <w:pPr>
        <w:pStyle w:val="FootnoteText"/>
      </w:pPr>
      <w:r>
        <w:rPr>
          <w:rStyle w:val="FootnoteReference"/>
        </w:rPr>
        <w:footnoteRef/>
      </w:r>
      <w:r>
        <w:t xml:space="preserve"> </w:t>
      </w:r>
      <w:r w:rsidRPr="00417F17">
        <w:rPr>
          <w:i/>
        </w:rPr>
        <w:t>Application of PacifiCorp</w:t>
      </w:r>
      <w:r w:rsidRPr="00417F17">
        <w:t>,</w:t>
      </w:r>
      <w:r w:rsidRPr="00417F17">
        <w:rPr>
          <w:i/>
        </w:rPr>
        <w:t xml:space="preserve"> </w:t>
      </w:r>
      <w:r>
        <w:t>Docket UP-187, 2001 WL 1335742 (Or. PUC Sept. 26, 2001).  The Oregon commission staff’s recommendation for 95 percent of the gain to ratepayers is at 2001 WL 1335742 at *24.  The Oregon’s acceptance of that recommendation is at 2001 WL 1335742, at *1-2.</w:t>
      </w:r>
    </w:p>
  </w:footnote>
  <w:footnote w:id="30">
    <w:p w14:paraId="084C8265" w14:textId="77777777" w:rsidR="004B5E53" w:rsidRDefault="004B5E53" w:rsidP="005D31D1">
      <w:pPr>
        <w:pStyle w:val="FootnoteText"/>
      </w:pPr>
      <w:r>
        <w:rPr>
          <w:rStyle w:val="FootnoteReference"/>
        </w:rPr>
        <w:footnoteRef/>
      </w:r>
      <w:r>
        <w:t xml:space="preserve"> 482 A.2d 443 (Maine 1984); PSE Petition at 18, footnote 4.</w:t>
      </w:r>
    </w:p>
  </w:footnote>
  <w:footnote w:id="31">
    <w:p w14:paraId="7A3324EB" w14:textId="0C4BBBC3" w:rsidR="004B5E53" w:rsidRDefault="004B5E53" w:rsidP="005D31D1">
      <w:pPr>
        <w:pStyle w:val="FootnoteText"/>
      </w:pPr>
      <w:r>
        <w:rPr>
          <w:rStyle w:val="FootnoteReference"/>
        </w:rPr>
        <w:footnoteRef/>
      </w:r>
      <w:r>
        <w:t xml:space="preserve"> PSE:  Piliaris Direct, Exh. No. JAP-1T at 9:14-17; </w:t>
      </w:r>
      <w:r>
        <w:rPr>
          <w:i/>
        </w:rPr>
        <w:t xml:space="preserve">Accord: </w:t>
      </w:r>
      <w:r>
        <w:t xml:space="preserve">ICNU: Gorman Direct, Exh. No. MPG-1T at 4:21-23:  “it is appropriate to conclude that PSE recovered the JPUD costs from system-wide cost recovery and not only from JPUD customers.”  Staff: Keating Direct, Exh. No. EJK-1T at 9:17-18: “The Commission sets rates on a system-wide basis rather than by individual sections of PSE’s service territory.” and at 10:14-15: “… Jefferson County was not a stand-alone system for ratemaking purposes.”  </w:t>
      </w:r>
    </w:p>
  </w:footnote>
  <w:footnote w:id="32">
    <w:p w14:paraId="171C4F79" w14:textId="1DE2E3E7" w:rsidR="004B5E53" w:rsidRDefault="004B5E53" w:rsidP="00CB5B0E">
      <w:pPr>
        <w:pStyle w:val="FootnoteText"/>
      </w:pPr>
      <w:r>
        <w:rPr>
          <w:rStyle w:val="FootnoteReference"/>
        </w:rPr>
        <w:footnoteRef/>
      </w:r>
      <w:r>
        <w:t xml:space="preserve"> </w:t>
      </w:r>
      <w:r>
        <w:rPr>
          <w:i/>
        </w:rPr>
        <w:t xml:space="preserve">E.g., </w:t>
      </w:r>
      <w:r>
        <w:t>Levin Rebuttal, Exhibit No. SLL-1T.</w:t>
      </w:r>
    </w:p>
  </w:footnote>
  <w:footnote w:id="33">
    <w:p w14:paraId="3421916D" w14:textId="77777777" w:rsidR="004B5E53" w:rsidRDefault="004B5E53">
      <w:pPr>
        <w:pStyle w:val="FootnoteText"/>
      </w:pPr>
      <w:r>
        <w:rPr>
          <w:rStyle w:val="FootnoteReference"/>
        </w:rPr>
        <w:footnoteRef/>
      </w:r>
      <w:r>
        <w:t xml:space="preserve"> In effect, Staff witness Mr. Keating’s discussion in Exh. No. EJK-1T regarding Rate Base Rate of Return Regulation is a discussion of the regulatory compact (though he did not use that term).</w:t>
      </w:r>
    </w:p>
  </w:footnote>
  <w:footnote w:id="34">
    <w:p w14:paraId="06D4CC7B" w14:textId="77777777" w:rsidR="004B5E53" w:rsidRDefault="004B5E53" w:rsidP="00EC1B4A">
      <w:pPr>
        <w:pStyle w:val="FootnoteText"/>
      </w:pPr>
      <w:r>
        <w:rPr>
          <w:rStyle w:val="FootnoteReference"/>
        </w:rPr>
        <w:footnoteRef/>
      </w:r>
      <w:r>
        <w:t xml:space="preserve"> Levin Rebuttal, Exh. No. SLL-1T at 14-20.</w:t>
      </w:r>
    </w:p>
  </w:footnote>
  <w:footnote w:id="35">
    <w:p w14:paraId="2CB541E8" w14:textId="77777777" w:rsidR="004B5E53" w:rsidRDefault="004B5E53">
      <w:pPr>
        <w:pStyle w:val="FootnoteText"/>
      </w:pPr>
      <w:r>
        <w:rPr>
          <w:rStyle w:val="FootnoteReference"/>
        </w:rPr>
        <w:footnoteRef/>
      </w:r>
      <w:r>
        <w:t xml:space="preserve"> 320 U.S. 591 (1944).</w:t>
      </w:r>
    </w:p>
  </w:footnote>
  <w:footnote w:id="36">
    <w:p w14:paraId="40AE361A" w14:textId="77777777" w:rsidR="004B5E53" w:rsidRDefault="004B5E53">
      <w:pPr>
        <w:pStyle w:val="FootnoteText"/>
      </w:pPr>
      <w:r>
        <w:rPr>
          <w:rStyle w:val="FootnoteReference"/>
        </w:rPr>
        <w:footnoteRef/>
      </w:r>
      <w:r>
        <w:t xml:space="preserve"> 262 U.S. 679 (1923).</w:t>
      </w:r>
    </w:p>
  </w:footnote>
  <w:footnote w:id="37">
    <w:p w14:paraId="765E4E98" w14:textId="77777777" w:rsidR="004B5E53" w:rsidRDefault="004B5E53">
      <w:pPr>
        <w:pStyle w:val="FootnoteText"/>
      </w:pPr>
      <w:r>
        <w:rPr>
          <w:rStyle w:val="FootnoteReference"/>
        </w:rPr>
        <w:footnoteRef/>
      </w:r>
      <w:r>
        <w:t xml:space="preserve"> Marcelia, TR. 102:22 to 103:1.</w:t>
      </w:r>
    </w:p>
  </w:footnote>
  <w:footnote w:id="38">
    <w:p w14:paraId="1AFA248B" w14:textId="77777777" w:rsidR="004B5E53" w:rsidRDefault="004B5E53" w:rsidP="004B4A70">
      <w:pPr>
        <w:pStyle w:val="FootnoteText"/>
      </w:pPr>
      <w:r>
        <w:rPr>
          <w:rStyle w:val="FootnoteReference"/>
        </w:rPr>
        <w:footnoteRef/>
      </w:r>
      <w:r>
        <w:t xml:space="preserve"> </w:t>
      </w:r>
      <w:r>
        <w:rPr>
          <w:i/>
        </w:rPr>
        <w:t xml:space="preserve">Bluefield, </w:t>
      </w:r>
      <w:r>
        <w:rPr>
          <w:rFonts w:eastAsia="Times New Roman" w:cs="Times New Roman"/>
          <w:szCs w:val="24"/>
          <w:lang w:val="en"/>
        </w:rPr>
        <w:t xml:space="preserve">262 U.S. at 692.  The Washington Supreme Court noted its approval of this language are early as 1943, in </w:t>
      </w:r>
      <w:r>
        <w:rPr>
          <w:rFonts w:eastAsia="Times New Roman" w:cs="Times New Roman"/>
          <w:i/>
          <w:szCs w:val="24"/>
          <w:lang w:val="en"/>
        </w:rPr>
        <w:t xml:space="preserve">Pacific Telephone &amp; Telegraph Co. v. Department of Public </w:t>
      </w:r>
      <w:r w:rsidRPr="00BC5691">
        <w:rPr>
          <w:rFonts w:eastAsia="Times New Roman" w:cs="Times New Roman"/>
          <w:szCs w:val="24"/>
          <w:lang w:val="en"/>
        </w:rPr>
        <w:t>Service</w:t>
      </w:r>
      <w:r>
        <w:rPr>
          <w:rFonts w:eastAsia="Times New Roman" w:cs="Times New Roman"/>
          <w:szCs w:val="24"/>
          <w:lang w:val="en"/>
        </w:rPr>
        <w:t xml:space="preserve">, 19 Wn.2d 200, 266, 142 P.2d 498 (1943), and later in </w:t>
      </w:r>
      <w:r>
        <w:rPr>
          <w:rFonts w:eastAsia="Times New Roman" w:cs="Times New Roman"/>
          <w:i/>
          <w:szCs w:val="24"/>
          <w:lang w:val="en"/>
        </w:rPr>
        <w:t>People’s Organization for Washington Energy Resources v. Utilities &amp; Transportation Commission</w:t>
      </w:r>
      <w:r w:rsidRPr="005E5652">
        <w:rPr>
          <w:rFonts w:eastAsia="Times New Roman" w:cs="Times New Roman"/>
          <w:szCs w:val="24"/>
          <w:lang w:val="en"/>
        </w:rPr>
        <w:t xml:space="preserve">, </w:t>
      </w:r>
      <w:r>
        <w:rPr>
          <w:rFonts w:eastAsia="Times New Roman" w:cs="Times New Roman"/>
          <w:szCs w:val="24"/>
          <w:lang w:val="en"/>
        </w:rPr>
        <w:t>104 Wn.2d 798, 813, 711 P.2d 319 (1985) (</w:t>
      </w:r>
      <w:r>
        <w:rPr>
          <w:rFonts w:eastAsia="Times New Roman" w:cs="Times New Roman"/>
          <w:i/>
          <w:szCs w:val="24"/>
          <w:lang w:val="en"/>
        </w:rPr>
        <w:t>POWER</w:t>
      </w:r>
      <w:r>
        <w:rPr>
          <w:rFonts w:eastAsia="Times New Roman" w:cs="Times New Roman"/>
          <w:szCs w:val="24"/>
          <w:lang w:val="en"/>
        </w:rPr>
        <w:t>).</w:t>
      </w:r>
    </w:p>
  </w:footnote>
  <w:footnote w:id="39">
    <w:p w14:paraId="09589DC6" w14:textId="3EA835F7" w:rsidR="004B5E53" w:rsidRDefault="004B5E53">
      <w:pPr>
        <w:pStyle w:val="FootnoteText"/>
      </w:pPr>
      <w:r>
        <w:rPr>
          <w:rStyle w:val="FootnoteReference"/>
        </w:rPr>
        <w:footnoteRef/>
      </w:r>
      <w:r>
        <w:rPr>
          <w:rFonts w:cs="Times New Roman"/>
          <w:szCs w:val="24"/>
        </w:rPr>
        <w:t xml:space="preserve"> </w:t>
      </w:r>
      <w:r>
        <w:rPr>
          <w:rFonts w:cs="Times New Roman"/>
          <w:i/>
          <w:szCs w:val="24"/>
        </w:rPr>
        <w:t xml:space="preserve">Hope, </w:t>
      </w:r>
      <w:r w:rsidRPr="004B4A70">
        <w:rPr>
          <w:rFonts w:cs="Times New Roman"/>
          <w:szCs w:val="24"/>
        </w:rPr>
        <w:t>320 U.S. at 605.</w:t>
      </w:r>
      <w:r>
        <w:rPr>
          <w:rFonts w:cs="Times New Roman"/>
          <w:szCs w:val="24"/>
        </w:rPr>
        <w:t xml:space="preserve"> </w:t>
      </w:r>
      <w:r>
        <w:rPr>
          <w:rFonts w:eastAsia="Times New Roman" w:cs="Times New Roman"/>
          <w:szCs w:val="24"/>
          <w:lang w:val="en"/>
        </w:rPr>
        <w:t xml:space="preserve">The Washington Supreme Court noted its approval of this language in </w:t>
      </w:r>
      <w:r w:rsidRPr="00BC5691">
        <w:rPr>
          <w:rFonts w:eastAsia="Times New Roman" w:cs="Times New Roman"/>
          <w:i/>
          <w:szCs w:val="24"/>
          <w:lang w:val="en"/>
        </w:rPr>
        <w:t>POWER</w:t>
      </w:r>
      <w:r>
        <w:rPr>
          <w:rFonts w:eastAsia="Times New Roman" w:cs="Times New Roman"/>
          <w:szCs w:val="24"/>
          <w:lang w:val="en"/>
        </w:rPr>
        <w:t xml:space="preserve">, </w:t>
      </w:r>
      <w:r>
        <w:rPr>
          <w:rFonts w:eastAsia="Times New Roman" w:cs="Times New Roman"/>
          <w:i/>
          <w:szCs w:val="24"/>
          <w:lang w:val="en"/>
        </w:rPr>
        <w:t xml:space="preserve">supra </w:t>
      </w:r>
      <w:r>
        <w:rPr>
          <w:rFonts w:eastAsia="Times New Roman" w:cs="Times New Roman"/>
          <w:szCs w:val="24"/>
          <w:lang w:val="en"/>
        </w:rPr>
        <w:t>footnote 38</w:t>
      </w:r>
      <w:r>
        <w:rPr>
          <w:rFonts w:eastAsia="Times New Roman" w:cs="Times New Roman"/>
          <w:i/>
          <w:szCs w:val="24"/>
          <w:lang w:val="en"/>
        </w:rPr>
        <w:t xml:space="preserve">, </w:t>
      </w:r>
      <w:r>
        <w:rPr>
          <w:rFonts w:eastAsia="Times New Roman" w:cs="Times New Roman"/>
          <w:szCs w:val="24"/>
          <w:lang w:val="en"/>
        </w:rPr>
        <w:t>104 Wn.2d at 811.</w:t>
      </w:r>
    </w:p>
  </w:footnote>
  <w:footnote w:id="40">
    <w:p w14:paraId="27A96E07" w14:textId="77777777" w:rsidR="004B5E53" w:rsidRDefault="004B5E53">
      <w:pPr>
        <w:pStyle w:val="FootnoteText"/>
      </w:pPr>
      <w:r>
        <w:rPr>
          <w:rStyle w:val="FootnoteReference"/>
        </w:rPr>
        <w:footnoteRef/>
      </w:r>
      <w:r>
        <w:t xml:space="preserve"> </w:t>
      </w:r>
      <w:r w:rsidRPr="004B4A70">
        <w:rPr>
          <w:i/>
        </w:rPr>
        <w:t>Hope</w:t>
      </w:r>
      <w:r w:rsidRPr="004B4A70">
        <w:t>,</w:t>
      </w:r>
      <w:r w:rsidRPr="004B4A70">
        <w:rPr>
          <w:i/>
        </w:rPr>
        <w:t xml:space="preserve"> </w:t>
      </w:r>
      <w:r>
        <w:t>320 U.S. at 606.</w:t>
      </w:r>
    </w:p>
  </w:footnote>
  <w:footnote w:id="41">
    <w:p w14:paraId="48255454" w14:textId="33C9CFC3" w:rsidR="004B5E53" w:rsidRDefault="004B5E53" w:rsidP="00860FE6">
      <w:pPr>
        <w:pStyle w:val="FootnoteText"/>
      </w:pPr>
      <w:r>
        <w:rPr>
          <w:rStyle w:val="FootnoteReference"/>
        </w:rPr>
        <w:footnoteRef/>
      </w:r>
      <w:r>
        <w:t xml:space="preserve"> </w:t>
      </w:r>
      <w:r w:rsidR="00E70116">
        <w:rPr>
          <w:i/>
        </w:rPr>
        <w:t>Democratic Central Committee, supra</w:t>
      </w:r>
      <w:r>
        <w:rPr>
          <w:i/>
        </w:rPr>
        <w:t xml:space="preserve">, </w:t>
      </w:r>
      <w:r>
        <w:t>485 F.2d at 805.</w:t>
      </w:r>
    </w:p>
  </w:footnote>
  <w:footnote w:id="42">
    <w:p w14:paraId="5B2104D6" w14:textId="77777777" w:rsidR="004B5E53" w:rsidRDefault="004B5E53">
      <w:pPr>
        <w:pStyle w:val="FootnoteText"/>
      </w:pPr>
      <w:r>
        <w:rPr>
          <w:rStyle w:val="FootnoteReference"/>
        </w:rPr>
        <w:footnoteRef/>
      </w:r>
      <w:r>
        <w:t xml:space="preserve"> </w:t>
      </w:r>
      <w:r>
        <w:rPr>
          <w:i/>
        </w:rPr>
        <w:t>Wash. Pub. Service Comm’n v. Puget Sound Power &amp; Light Co.</w:t>
      </w:r>
      <w:r w:rsidRPr="005E5652">
        <w:t xml:space="preserve">, </w:t>
      </w:r>
      <w:r>
        <w:t>Cause U-9150, 33 Pub. Util. Rep. (PUR) 3</w:t>
      </w:r>
      <w:r w:rsidRPr="008B398E">
        <w:rPr>
          <w:vertAlign w:val="superscript"/>
        </w:rPr>
        <w:t>rd</w:t>
      </w:r>
      <w:r>
        <w:t xml:space="preserve"> 113, 118 (1960).  </w:t>
      </w:r>
    </w:p>
  </w:footnote>
  <w:footnote w:id="43">
    <w:p w14:paraId="1CC37C48" w14:textId="77777777" w:rsidR="004B5E53" w:rsidRDefault="004B5E53" w:rsidP="009359B3">
      <w:pPr>
        <w:pStyle w:val="FootnoteText"/>
      </w:pPr>
      <w:r>
        <w:rPr>
          <w:rStyle w:val="FootnoteReference"/>
        </w:rPr>
        <w:footnoteRef/>
      </w:r>
      <w:r>
        <w:t xml:space="preserve"> A table in the Commission’s decision (33 Pub. Util. Rep. (PUR) 3</w:t>
      </w:r>
      <w:r w:rsidRPr="008A1638">
        <w:rPr>
          <w:vertAlign w:val="superscript"/>
        </w:rPr>
        <w:t>rd</w:t>
      </w:r>
      <w:r>
        <w:t xml:space="preserve"> at 120) shows the calculation of the rate base using historical cost and subtracting accumulated depreciation. </w:t>
      </w:r>
    </w:p>
  </w:footnote>
  <w:footnote w:id="44">
    <w:p w14:paraId="12839746" w14:textId="77777777" w:rsidR="004B5E53" w:rsidRDefault="004B5E53" w:rsidP="00EF6540">
      <w:pPr>
        <w:pStyle w:val="FootnoteText"/>
      </w:pPr>
      <w:r>
        <w:rPr>
          <w:rStyle w:val="FootnoteReference"/>
        </w:rPr>
        <w:footnoteRef/>
      </w:r>
      <w:r>
        <w:t xml:space="preserve"> Gorman Direct, Exh. No. MPG-1T at 2:5-8.</w:t>
      </w:r>
    </w:p>
  </w:footnote>
  <w:footnote w:id="45">
    <w:p w14:paraId="5D4F05FC" w14:textId="77777777" w:rsidR="004B5E53" w:rsidRDefault="004B5E53">
      <w:pPr>
        <w:pStyle w:val="FootnoteText"/>
      </w:pPr>
      <w:r>
        <w:rPr>
          <w:rStyle w:val="FootnoteReference"/>
        </w:rPr>
        <w:footnoteRef/>
      </w:r>
      <w:r>
        <w:t xml:space="preserve"> </w:t>
      </w:r>
      <w:r>
        <w:rPr>
          <w:i/>
        </w:rPr>
        <w:t xml:space="preserve">Democratic Central Committee, supra, </w:t>
      </w:r>
      <w:r>
        <w:t>485 F.2d at 808 (footnotes omitted).</w:t>
      </w:r>
    </w:p>
  </w:footnote>
  <w:footnote w:id="46">
    <w:p w14:paraId="3BA57F2C" w14:textId="77777777" w:rsidR="004B5E53" w:rsidRDefault="004B5E53" w:rsidP="00EF272C">
      <w:pPr>
        <w:pStyle w:val="FootnoteText"/>
      </w:pPr>
      <w:r>
        <w:rPr>
          <w:rStyle w:val="FootnoteReference"/>
        </w:rPr>
        <w:footnoteRef/>
      </w:r>
      <w:r>
        <w:t xml:space="preserve"> Keating Direct, Exh. No. EJK-1T at 15-21.</w:t>
      </w:r>
    </w:p>
  </w:footnote>
  <w:footnote w:id="47">
    <w:p w14:paraId="570C80AB" w14:textId="77777777" w:rsidR="004B5E53" w:rsidRDefault="004B5E53" w:rsidP="00EF272C">
      <w:pPr>
        <w:pStyle w:val="FootnoteText"/>
      </w:pPr>
      <w:r>
        <w:rPr>
          <w:rStyle w:val="FootnoteReference"/>
        </w:rPr>
        <w:footnoteRef/>
      </w:r>
      <w:r>
        <w:t xml:space="preserve"> Gorman Direct, Exh. No. MPG-1T at 9:10-12 and at 9:17-29.</w:t>
      </w:r>
    </w:p>
  </w:footnote>
  <w:footnote w:id="48">
    <w:p w14:paraId="15B0F71E" w14:textId="77777777" w:rsidR="004B5E53" w:rsidRDefault="004B5E53" w:rsidP="002316F9">
      <w:pPr>
        <w:pStyle w:val="FootnoteText"/>
      </w:pPr>
      <w:r>
        <w:rPr>
          <w:rStyle w:val="FootnoteReference"/>
        </w:rPr>
        <w:footnoteRef/>
      </w:r>
      <w:r>
        <w:t xml:space="preserve"> Bellemare, TR. 164:9-11.</w:t>
      </w:r>
    </w:p>
  </w:footnote>
  <w:footnote w:id="49">
    <w:p w14:paraId="4104E8F4" w14:textId="77777777" w:rsidR="004B5E53" w:rsidRDefault="004B5E53" w:rsidP="00EF272C">
      <w:pPr>
        <w:pStyle w:val="FootnoteText"/>
      </w:pPr>
      <w:r>
        <w:rPr>
          <w:rStyle w:val="FootnoteReference"/>
        </w:rPr>
        <w:footnoteRef/>
      </w:r>
      <w:r>
        <w:t xml:space="preserve"> Osborne, TR. 51:21-22 &amp; TR 52:2-3; Exh. Nos. SSO-11CX &amp; 12CX (news articles).</w:t>
      </w:r>
    </w:p>
  </w:footnote>
  <w:footnote w:id="50">
    <w:p w14:paraId="7469B52D" w14:textId="77777777" w:rsidR="004B5E53" w:rsidRDefault="004B5E53" w:rsidP="00EF272C">
      <w:pPr>
        <w:pStyle w:val="FootnoteText"/>
      </w:pPr>
      <w:r>
        <w:rPr>
          <w:rStyle w:val="FootnoteReference"/>
        </w:rPr>
        <w:footnoteRef/>
      </w:r>
      <w:r>
        <w:t xml:space="preserve"> Osborne, TR. 19-25.</w:t>
      </w:r>
    </w:p>
  </w:footnote>
  <w:footnote w:id="51">
    <w:p w14:paraId="165865B4" w14:textId="3B714CE9" w:rsidR="004B5E53" w:rsidRDefault="004B5E53" w:rsidP="00EF272C">
      <w:pPr>
        <w:pStyle w:val="FootnoteText"/>
      </w:pPr>
      <w:r>
        <w:rPr>
          <w:rStyle w:val="FootnoteReference"/>
        </w:rPr>
        <w:footnoteRef/>
      </w:r>
      <w:r>
        <w:t xml:space="preserve"> Osborne, Exh. No. SSO-10CX at 6, n. 7 (emphasis in the original).  Mr. Osborne confirmed this. TR. 63:19 to 65:8.</w:t>
      </w:r>
    </w:p>
  </w:footnote>
  <w:footnote w:id="52">
    <w:p w14:paraId="584262A9" w14:textId="77777777" w:rsidR="004B5E53" w:rsidRDefault="004B5E53" w:rsidP="00EF272C">
      <w:pPr>
        <w:pStyle w:val="FootnoteText"/>
      </w:pPr>
      <w:r>
        <w:rPr>
          <w:rStyle w:val="FootnoteReference"/>
        </w:rPr>
        <w:footnoteRef/>
      </w:r>
      <w:r>
        <w:t xml:space="preserve"> PSE Petition at 18, ¶ 37.</w:t>
      </w:r>
    </w:p>
  </w:footnote>
  <w:footnote w:id="53">
    <w:p w14:paraId="05CFD70C" w14:textId="77777777" w:rsidR="004B5E53" w:rsidRDefault="004B5E53" w:rsidP="002316F9">
      <w:pPr>
        <w:pStyle w:val="FootnoteText"/>
      </w:pPr>
      <w:r>
        <w:rPr>
          <w:rStyle w:val="FootnoteReference"/>
        </w:rPr>
        <w:footnoteRef/>
      </w:r>
      <w:r>
        <w:t xml:space="preserve"> Levin, TR. 140:14-20.</w:t>
      </w:r>
    </w:p>
  </w:footnote>
  <w:footnote w:id="54">
    <w:p w14:paraId="11799F2F" w14:textId="77777777" w:rsidR="004B5E53" w:rsidRDefault="004B5E53" w:rsidP="002316F9">
      <w:pPr>
        <w:pStyle w:val="FootnoteText"/>
      </w:pPr>
      <w:r>
        <w:rPr>
          <w:rStyle w:val="FootnoteReference"/>
        </w:rPr>
        <w:footnoteRef/>
      </w:r>
      <w:r>
        <w:t xml:space="preserve"> Keating Direct, Exh. No. EJK-1T, quoting PSE’s Annual Report (Form 10-K at 5 (December 31, 2012).</w:t>
      </w:r>
    </w:p>
  </w:footnote>
  <w:footnote w:id="55">
    <w:p w14:paraId="01DC8DEB" w14:textId="77777777" w:rsidR="004B5E53" w:rsidRPr="008C7297" w:rsidRDefault="004B5E53" w:rsidP="00EF272C">
      <w:pPr>
        <w:pStyle w:val="FootnoteText"/>
      </w:pPr>
      <w:r>
        <w:rPr>
          <w:rStyle w:val="FootnoteReference"/>
        </w:rPr>
        <w:footnoteRef/>
      </w:r>
      <w:r>
        <w:t xml:space="preserve"> </w:t>
      </w:r>
      <w:r>
        <w:rPr>
          <w:i/>
        </w:rPr>
        <w:t>Utilities &amp; Transp. Comm’n v. Puget Sound Energy, Inc.</w:t>
      </w:r>
      <w:r w:rsidRPr="005E5652">
        <w:t xml:space="preserve">, </w:t>
      </w:r>
      <w:r>
        <w:t>Dockets UE-111048 and UG-111049, Order 08, 297 Pub. Util. Rep. (PUR) 4</w:t>
      </w:r>
      <w:r w:rsidRPr="00D754CC">
        <w:rPr>
          <w:vertAlign w:val="superscript"/>
        </w:rPr>
        <w:t>th</w:t>
      </w:r>
      <w:r>
        <w:t xml:space="preserve"> 1, 21-27 (2012).</w:t>
      </w:r>
    </w:p>
  </w:footnote>
  <w:footnote w:id="56">
    <w:p w14:paraId="053D1A8F" w14:textId="77777777" w:rsidR="004B5E53" w:rsidRPr="006A0D58" w:rsidRDefault="004B5E53">
      <w:pPr>
        <w:pStyle w:val="FootnoteText"/>
        <w:rPr>
          <w:i/>
        </w:rPr>
      </w:pPr>
      <w:r>
        <w:rPr>
          <w:rStyle w:val="FootnoteReference"/>
        </w:rPr>
        <w:footnoteRef/>
      </w:r>
      <w:r>
        <w:t xml:space="preserve"> </w:t>
      </w:r>
      <w:r w:rsidRPr="006A0D58">
        <w:rPr>
          <w:i/>
        </w:rPr>
        <w:t>E.g</w:t>
      </w:r>
      <w:r>
        <w:t xml:space="preserve">., </w:t>
      </w:r>
      <w:r w:rsidRPr="006A0D58">
        <w:t>Marcelia Direct, Exh. No. MRM-1T at 7:11 to 9:9.</w:t>
      </w:r>
    </w:p>
  </w:footnote>
  <w:footnote w:id="57">
    <w:p w14:paraId="14309D8C" w14:textId="77777777" w:rsidR="004B5E53" w:rsidRDefault="004B5E53" w:rsidP="00EF6540">
      <w:pPr>
        <w:pStyle w:val="FootnoteText"/>
      </w:pPr>
      <w:r>
        <w:rPr>
          <w:rStyle w:val="FootnoteReference"/>
        </w:rPr>
        <w:footnoteRef/>
      </w:r>
      <w:r>
        <w:t xml:space="preserve"> PSE Petition at 20, ¶ 42.</w:t>
      </w:r>
    </w:p>
  </w:footnote>
  <w:footnote w:id="58">
    <w:p w14:paraId="2818B3CE" w14:textId="77777777" w:rsidR="004B5E53" w:rsidRDefault="004B5E53" w:rsidP="00EF6540">
      <w:pPr>
        <w:pStyle w:val="FootnoteText"/>
      </w:pPr>
      <w:r>
        <w:rPr>
          <w:rStyle w:val="FootnoteReference"/>
        </w:rPr>
        <w:footnoteRef/>
      </w:r>
      <w:r>
        <w:t xml:space="preserve"> Keating Direct, Exh. No. EJK-1T at 17:5-9.</w:t>
      </w:r>
    </w:p>
  </w:footnote>
  <w:footnote w:id="59">
    <w:p w14:paraId="56B6BA04" w14:textId="77777777" w:rsidR="004B5E53" w:rsidRDefault="004B5E53" w:rsidP="00EF6540">
      <w:pPr>
        <w:pStyle w:val="FootnoteText"/>
      </w:pPr>
      <w:r>
        <w:rPr>
          <w:rStyle w:val="FootnoteReference"/>
        </w:rPr>
        <w:footnoteRef/>
      </w:r>
      <w:r>
        <w:t xml:space="preserve"> Keating Direct, Exh. No. EJK-1T at 17:9-11.</w:t>
      </w:r>
    </w:p>
  </w:footnote>
  <w:footnote w:id="60">
    <w:p w14:paraId="3B0B1B49" w14:textId="77777777" w:rsidR="004B5E53" w:rsidRDefault="004B5E53" w:rsidP="00EF6540">
      <w:pPr>
        <w:pStyle w:val="FootnoteText"/>
      </w:pPr>
      <w:r>
        <w:rPr>
          <w:rStyle w:val="FootnoteReference"/>
        </w:rPr>
        <w:footnoteRef/>
      </w:r>
      <w:r>
        <w:t xml:space="preserve"> Marcelia, TR. 115:19-21.</w:t>
      </w:r>
    </w:p>
  </w:footnote>
  <w:footnote w:id="61">
    <w:p w14:paraId="34228A00" w14:textId="77777777" w:rsidR="004B5E53" w:rsidRDefault="004B5E53" w:rsidP="0033556B">
      <w:pPr>
        <w:pStyle w:val="FootnoteText"/>
      </w:pPr>
      <w:r>
        <w:rPr>
          <w:rStyle w:val="FootnoteReference"/>
        </w:rPr>
        <w:footnoteRef/>
      </w:r>
      <w:r>
        <w:t xml:space="preserve"> Bellemare Rebuttal, Exh. No. RCB-1T at 7-10.</w:t>
      </w:r>
    </w:p>
  </w:footnote>
  <w:footnote w:id="62">
    <w:p w14:paraId="2C14EA9B" w14:textId="77777777" w:rsidR="004B5E53" w:rsidRDefault="004B5E53" w:rsidP="00EF6540">
      <w:pPr>
        <w:pStyle w:val="FootnoteText"/>
      </w:pPr>
      <w:r>
        <w:rPr>
          <w:rStyle w:val="FootnoteReference"/>
        </w:rPr>
        <w:footnoteRef/>
      </w:r>
      <w:r>
        <w:t xml:space="preserve"> Keating Direct, Exh. No. EJK-1T at 11:14-15.</w:t>
      </w:r>
    </w:p>
  </w:footnote>
  <w:footnote w:id="63">
    <w:p w14:paraId="39791686" w14:textId="77777777" w:rsidR="004B5E53" w:rsidRDefault="004B5E53" w:rsidP="00EF6540">
      <w:pPr>
        <w:pStyle w:val="FootnoteText"/>
      </w:pPr>
      <w:r>
        <w:rPr>
          <w:rStyle w:val="FootnoteReference"/>
        </w:rPr>
        <w:footnoteRef/>
      </w:r>
      <w:r>
        <w:t xml:space="preserve"> Keating Direct, Exh. No. EJK-1T at 19-22.</w:t>
      </w:r>
    </w:p>
  </w:footnote>
  <w:footnote w:id="64">
    <w:p w14:paraId="7561E0D4" w14:textId="77777777" w:rsidR="004B5E53" w:rsidRDefault="004B5E53">
      <w:pPr>
        <w:pStyle w:val="FootnoteText"/>
      </w:pPr>
      <w:r>
        <w:rPr>
          <w:rStyle w:val="FootnoteReference"/>
        </w:rPr>
        <w:footnoteRef/>
      </w:r>
      <w:r>
        <w:t xml:space="preserve"> Keating Direct, Exh. No. EJK-1T at 18:18-20.</w:t>
      </w:r>
    </w:p>
  </w:footnote>
  <w:footnote w:id="65">
    <w:p w14:paraId="4D02A24F" w14:textId="7544C9A9" w:rsidR="004B5E53" w:rsidRPr="008C5B34" w:rsidRDefault="004B5E53">
      <w:pPr>
        <w:pStyle w:val="FootnoteText"/>
      </w:pPr>
      <w:r>
        <w:rPr>
          <w:rStyle w:val="FootnoteReference"/>
        </w:rPr>
        <w:footnoteRef/>
      </w:r>
      <w:r>
        <w:t xml:space="preserve"> Bellemare Rebuttal, Exh. No. RCB-1T at 8:5-12.</w:t>
      </w:r>
    </w:p>
  </w:footnote>
  <w:footnote w:id="66">
    <w:p w14:paraId="7919807F" w14:textId="77777777" w:rsidR="004B5E53" w:rsidRDefault="004B5E53" w:rsidP="008C5B34">
      <w:pPr>
        <w:pStyle w:val="FootnoteText"/>
      </w:pPr>
      <w:r>
        <w:rPr>
          <w:rStyle w:val="FootnoteReference"/>
        </w:rPr>
        <w:footnoteRef/>
      </w:r>
      <w:r>
        <w:t xml:space="preserve"> Osborne, Exh. No. SS0-5 (Direct Testimony of Mr. Karzmar, adopted by Mr. Osborne) at 16:12-15.</w:t>
      </w:r>
    </w:p>
  </w:footnote>
  <w:footnote w:id="67">
    <w:p w14:paraId="62637322" w14:textId="16F0B915" w:rsidR="004B5E53" w:rsidRDefault="004B5E53">
      <w:pPr>
        <w:pStyle w:val="FootnoteText"/>
      </w:pPr>
      <w:r>
        <w:rPr>
          <w:rStyle w:val="FootnoteReference"/>
        </w:rPr>
        <w:footnoteRef/>
      </w:r>
      <w:r>
        <w:t xml:space="preserve"> Levin Direct, Exh. No. SLL-1T at 9:16-19/</w:t>
      </w:r>
    </w:p>
  </w:footnote>
  <w:footnote w:id="68">
    <w:p w14:paraId="52FB33EA" w14:textId="77777777" w:rsidR="004B5E53" w:rsidRDefault="004B5E53">
      <w:pPr>
        <w:pStyle w:val="FootnoteText"/>
      </w:pPr>
      <w:r>
        <w:rPr>
          <w:rStyle w:val="FootnoteReference"/>
        </w:rPr>
        <w:footnoteRef/>
      </w:r>
      <w:r>
        <w:t xml:space="preserve"> Levin Rebuttal, Exh. No. SLL-1T at 11:19-20.  Although Dr. Levin’s prepared testimony here is unequivocal that risk of owning assets determines who gets the gain on the sale of those assets, he testified at hearing that “it’s hard to generalize,” and “there are always possible other issues” that “might have an effect on who was going to cover the loss or who was … going to share in the gain.” </w:t>
      </w:r>
    </w:p>
  </w:footnote>
  <w:footnote w:id="69">
    <w:p w14:paraId="44B71B06" w14:textId="77777777" w:rsidR="004B5E53" w:rsidRDefault="004B5E53" w:rsidP="007521DC">
      <w:pPr>
        <w:pStyle w:val="FootnoteText"/>
      </w:pPr>
      <w:r>
        <w:rPr>
          <w:rStyle w:val="FootnoteReference"/>
        </w:rPr>
        <w:footnoteRef/>
      </w:r>
      <w:r>
        <w:t xml:space="preserve"> Marcelia Rebuttal, Exh. No. MRM-5T at 29:3.</w:t>
      </w:r>
    </w:p>
  </w:footnote>
  <w:footnote w:id="70">
    <w:p w14:paraId="3F949D08" w14:textId="77777777" w:rsidR="004B5E53" w:rsidRDefault="004B5E53">
      <w:pPr>
        <w:pStyle w:val="FootnoteText"/>
      </w:pPr>
      <w:r>
        <w:rPr>
          <w:rStyle w:val="FootnoteReference"/>
        </w:rPr>
        <w:footnoteRef/>
      </w:r>
      <w:r>
        <w:t xml:space="preserve"> Marcelia, Exh. No. MRM-8X at 3:2-4 (emphasis added).</w:t>
      </w:r>
    </w:p>
  </w:footnote>
  <w:footnote w:id="71">
    <w:p w14:paraId="43590C4E" w14:textId="017B3896" w:rsidR="004B5E53" w:rsidRDefault="004B5E53">
      <w:pPr>
        <w:pStyle w:val="FootnoteText"/>
      </w:pPr>
      <w:r>
        <w:rPr>
          <w:rStyle w:val="FootnoteReference"/>
        </w:rPr>
        <w:footnoteRef/>
      </w:r>
      <w:r>
        <w:t xml:space="preserve"> Marcelia, Exh. No. MRM-7X at 1:22-23.</w:t>
      </w:r>
    </w:p>
  </w:footnote>
  <w:footnote w:id="72">
    <w:p w14:paraId="4A39E25A" w14:textId="77777777" w:rsidR="004B5E53" w:rsidRPr="005A1F0D" w:rsidRDefault="004B5E53">
      <w:pPr>
        <w:pStyle w:val="FootnoteText"/>
      </w:pPr>
      <w:r>
        <w:rPr>
          <w:rStyle w:val="FootnoteReference"/>
        </w:rPr>
        <w:footnoteRef/>
      </w:r>
      <w:r>
        <w:t xml:space="preserve"> </w:t>
      </w:r>
      <w:r>
        <w:rPr>
          <w:i/>
        </w:rPr>
        <w:t xml:space="preserve">Id. </w:t>
      </w:r>
      <w:r>
        <w:t>at 7:22.</w:t>
      </w:r>
    </w:p>
  </w:footnote>
  <w:footnote w:id="73">
    <w:p w14:paraId="29AD849E" w14:textId="3AC36E0F" w:rsidR="004B5E53" w:rsidRDefault="004B5E53">
      <w:pPr>
        <w:pStyle w:val="FootnoteText"/>
      </w:pPr>
      <w:r>
        <w:rPr>
          <w:rStyle w:val="FootnoteReference"/>
        </w:rPr>
        <w:footnoteRef/>
      </w:r>
      <w:r>
        <w:t xml:space="preserve"> Marcelia, Exh. No. MRM-9CX at 1:9-24, Puget Sound Energy’s Post Hearing Brief, </w:t>
      </w:r>
      <w:r>
        <w:rPr>
          <w:i/>
        </w:rPr>
        <w:t xml:space="preserve">Centralia </w:t>
      </w:r>
      <w:r w:rsidRPr="008B76C0">
        <w:rPr>
          <w:i/>
        </w:rPr>
        <w:t>Case</w:t>
      </w:r>
      <w:r>
        <w:t xml:space="preserve">, </w:t>
      </w:r>
      <w:r w:rsidRPr="008B76C0">
        <w:t>Docket</w:t>
      </w:r>
      <w:r>
        <w:t xml:space="preserve"> UE-991409, </w:t>
      </w:r>
      <w:r>
        <w:rPr>
          <w:i/>
        </w:rPr>
        <w:t xml:space="preserve">et al., </w:t>
      </w:r>
      <w:r>
        <w:t>(January 28, 2000).</w:t>
      </w:r>
    </w:p>
  </w:footnote>
  <w:footnote w:id="74">
    <w:p w14:paraId="00C566C9" w14:textId="0863B18B" w:rsidR="004B5E53" w:rsidRDefault="004B5E53">
      <w:pPr>
        <w:pStyle w:val="FootnoteText"/>
      </w:pPr>
      <w:r>
        <w:rPr>
          <w:rStyle w:val="FootnoteReference"/>
        </w:rPr>
        <w:footnoteRef/>
      </w:r>
      <w:r>
        <w:t xml:space="preserve"> </w:t>
      </w:r>
      <w:r>
        <w:rPr>
          <w:i/>
        </w:rPr>
        <w:t>Id.</w:t>
      </w:r>
      <w:r>
        <w:t xml:space="preserve"> at 1:19-20 (emphasis added).</w:t>
      </w:r>
    </w:p>
  </w:footnote>
  <w:footnote w:id="75">
    <w:p w14:paraId="3004E824" w14:textId="77777777" w:rsidR="004B5E53" w:rsidRDefault="004B5E53">
      <w:pPr>
        <w:pStyle w:val="FootnoteText"/>
      </w:pPr>
      <w:r>
        <w:rPr>
          <w:rStyle w:val="FootnoteReference"/>
        </w:rPr>
        <w:footnoteRef/>
      </w:r>
      <w:r>
        <w:t xml:space="preserve"> Levin Rebuttal, Exh. No. SLL-1T at 11:14-16.</w:t>
      </w:r>
    </w:p>
  </w:footnote>
  <w:footnote w:id="76">
    <w:p w14:paraId="474A6C9E" w14:textId="77777777" w:rsidR="004B5E53" w:rsidRDefault="004B5E53">
      <w:pPr>
        <w:pStyle w:val="FootnoteText"/>
      </w:pPr>
      <w:r>
        <w:rPr>
          <w:rStyle w:val="FootnoteReference"/>
        </w:rPr>
        <w:footnoteRef/>
      </w:r>
      <w:r>
        <w:t xml:space="preserve"> </w:t>
      </w:r>
      <w:r>
        <w:rPr>
          <w:i/>
        </w:rPr>
        <w:t xml:space="preserve">Democratic Central Committee, supra, </w:t>
      </w:r>
      <w:r>
        <w:t>485 F.2d at 806.</w:t>
      </w:r>
    </w:p>
  </w:footnote>
  <w:footnote w:id="77">
    <w:p w14:paraId="0D35CFF1" w14:textId="77777777" w:rsidR="004B5E53" w:rsidRDefault="004B5E53">
      <w:pPr>
        <w:pStyle w:val="FootnoteText"/>
      </w:pPr>
      <w:r>
        <w:rPr>
          <w:rStyle w:val="FootnoteReference"/>
        </w:rPr>
        <w:footnoteRef/>
      </w:r>
      <w:r>
        <w:t xml:space="preserve"> Marcelia, TR. 109:1-3.</w:t>
      </w:r>
    </w:p>
  </w:footnote>
  <w:footnote w:id="78">
    <w:p w14:paraId="647706F2" w14:textId="77777777" w:rsidR="004B5E53" w:rsidRDefault="004B5E53">
      <w:pPr>
        <w:pStyle w:val="FootnoteText"/>
      </w:pPr>
      <w:r>
        <w:rPr>
          <w:rStyle w:val="FootnoteReference"/>
        </w:rPr>
        <w:footnoteRef/>
      </w:r>
      <w:r>
        <w:t xml:space="preserve"> “Impairment” arises from many factors that may affect the value of an asset: </w:t>
      </w:r>
      <w:r w:rsidRPr="003478BD">
        <w:rPr>
          <w:i/>
        </w:rPr>
        <w:t>e.g</w:t>
      </w:r>
      <w:r>
        <w:t xml:space="preserve">. obsolescence, damage, technology, </w:t>
      </w:r>
      <w:r>
        <w:rPr>
          <w:i/>
        </w:rPr>
        <w:t>etc.</w:t>
      </w:r>
    </w:p>
  </w:footnote>
  <w:footnote w:id="79">
    <w:p w14:paraId="45526D2C" w14:textId="77777777" w:rsidR="004B5E53" w:rsidRPr="005C445A" w:rsidRDefault="004B5E53">
      <w:pPr>
        <w:pStyle w:val="FootnoteText"/>
      </w:pPr>
      <w:r>
        <w:rPr>
          <w:rStyle w:val="FootnoteReference"/>
        </w:rPr>
        <w:footnoteRef/>
      </w:r>
      <w:r>
        <w:t xml:space="preserve"> The accounting rules for regulatory assets were previously covered under “FAS 71,” published by the Financial Accounting Standards Board.  It is now contained as ASC 980-340-25.  “ASC” refers to the Accounting Standards Codification of the Financial Accounting Standards Board.  </w:t>
      </w:r>
      <w:r>
        <w:rPr>
          <w:i/>
        </w:rPr>
        <w:t xml:space="preserve">See </w:t>
      </w:r>
      <w:r>
        <w:t>Marcelia, TR. 106:19 to 107:8.</w:t>
      </w:r>
    </w:p>
  </w:footnote>
  <w:footnote w:id="80">
    <w:p w14:paraId="0633031C" w14:textId="77777777" w:rsidR="004B5E53" w:rsidRDefault="004B5E53">
      <w:pPr>
        <w:pStyle w:val="FootnoteText"/>
      </w:pPr>
      <w:r>
        <w:rPr>
          <w:rStyle w:val="FootnoteReference"/>
        </w:rPr>
        <w:footnoteRef/>
      </w:r>
      <w:r>
        <w:t xml:space="preserve"> </w:t>
      </w:r>
      <w:r>
        <w:rPr>
          <w:i/>
        </w:rPr>
        <w:t xml:space="preserve">Accounting Standards Codification, </w:t>
      </w:r>
      <w:r>
        <w:t xml:space="preserve">¶ 980-340-25 </w:t>
      </w:r>
      <w:r>
        <w:rPr>
          <w:i/>
        </w:rPr>
        <w:t xml:space="preserve">– Recognition - General, </w:t>
      </w:r>
      <w:r>
        <w:t>v. 4, page 2377 (Financial Accounting Standards Board (October 31, 2012)).  A complete version of ASC 980-340-25 is attached as Attachment B to this brief.</w:t>
      </w:r>
    </w:p>
  </w:footnote>
  <w:footnote w:id="81">
    <w:p w14:paraId="6E0AFFA4" w14:textId="77777777" w:rsidR="004B5E53" w:rsidRDefault="004B5E53" w:rsidP="003942A6">
      <w:pPr>
        <w:pStyle w:val="FootnoteText"/>
      </w:pPr>
      <w:r>
        <w:rPr>
          <w:rStyle w:val="FootnoteReference"/>
        </w:rPr>
        <w:footnoteRef/>
      </w:r>
      <w:r>
        <w:t xml:space="preserve"> Marcelia, TR. 107:9-12.</w:t>
      </w:r>
    </w:p>
  </w:footnote>
  <w:footnote w:id="82">
    <w:p w14:paraId="36FE38CE" w14:textId="77777777" w:rsidR="004B5E53" w:rsidRDefault="004B5E53">
      <w:pPr>
        <w:pStyle w:val="FootnoteText"/>
      </w:pPr>
      <w:r>
        <w:rPr>
          <w:rStyle w:val="FootnoteReference"/>
        </w:rPr>
        <w:footnoteRef/>
      </w:r>
      <w:r>
        <w:t xml:space="preserve"> </w:t>
      </w:r>
      <w:r>
        <w:rPr>
          <w:i/>
        </w:rPr>
        <w:t xml:space="preserve">Democratic Central Committee, supra, </w:t>
      </w:r>
      <w:r>
        <w:t>485 F.2d at 807.</w:t>
      </w:r>
    </w:p>
  </w:footnote>
  <w:footnote w:id="83">
    <w:p w14:paraId="51D604FC" w14:textId="77777777" w:rsidR="004B5E53" w:rsidRPr="003D2622" w:rsidRDefault="004B5E53">
      <w:pPr>
        <w:pStyle w:val="FootnoteText"/>
        <w:rPr>
          <w:i/>
        </w:rPr>
      </w:pPr>
      <w:r>
        <w:rPr>
          <w:rStyle w:val="FootnoteReference"/>
        </w:rPr>
        <w:footnoteRef/>
      </w:r>
      <w:r>
        <w:t xml:space="preserve"> Dittmer Direct, Exh. No. JRD-1T at 5:15-17.  In the circumstance when plant is retired after it has been fully depreciated, the same accounting applies.  </w:t>
      </w:r>
      <w:r>
        <w:rPr>
          <w:i/>
        </w:rPr>
        <w:t>Id.</w:t>
      </w:r>
    </w:p>
  </w:footnote>
  <w:footnote w:id="84">
    <w:p w14:paraId="1A8A22B2" w14:textId="77777777" w:rsidR="004B5E53" w:rsidRDefault="004B5E53">
      <w:pPr>
        <w:pStyle w:val="FootnoteText"/>
      </w:pPr>
      <w:r>
        <w:rPr>
          <w:rStyle w:val="FootnoteReference"/>
        </w:rPr>
        <w:footnoteRef/>
      </w:r>
      <w:r>
        <w:t xml:space="preserve"> Dittmer Direct, Exh. No. JRD-1T at 6:17-19.</w:t>
      </w:r>
    </w:p>
  </w:footnote>
  <w:footnote w:id="85">
    <w:p w14:paraId="4061D6C3" w14:textId="77777777" w:rsidR="004B5E53" w:rsidRDefault="004B5E53">
      <w:pPr>
        <w:pStyle w:val="FootnoteText"/>
      </w:pPr>
      <w:r>
        <w:rPr>
          <w:rStyle w:val="FootnoteReference"/>
        </w:rPr>
        <w:footnoteRef/>
      </w:r>
      <w:r>
        <w:t xml:space="preserve"> Gorman Direct, Exh. No. MPG-1T at 7:14-18.</w:t>
      </w:r>
    </w:p>
  </w:footnote>
  <w:footnote w:id="86">
    <w:p w14:paraId="0478D75A" w14:textId="77777777" w:rsidR="004B5E53" w:rsidRDefault="004B5E53" w:rsidP="009A75CC">
      <w:pPr>
        <w:pStyle w:val="FootnoteText"/>
      </w:pPr>
      <w:r>
        <w:rPr>
          <w:rStyle w:val="FootnoteReference"/>
        </w:rPr>
        <w:footnoteRef/>
      </w:r>
      <w:r>
        <w:t xml:space="preserve"> Marcelia Rebuttal, Exh. No. MRM-5T at 23:1-6.</w:t>
      </w:r>
    </w:p>
  </w:footnote>
  <w:footnote w:id="87">
    <w:p w14:paraId="2AEA4960" w14:textId="77777777" w:rsidR="004B5E53" w:rsidRDefault="004B5E53" w:rsidP="009A75CC">
      <w:pPr>
        <w:pStyle w:val="FootnoteText"/>
      </w:pPr>
      <w:r>
        <w:rPr>
          <w:rStyle w:val="FootnoteReference"/>
        </w:rPr>
        <w:footnoteRef/>
      </w:r>
      <w:r>
        <w:t xml:space="preserve"> </w:t>
      </w:r>
      <w:r>
        <w:rPr>
          <w:i/>
        </w:rPr>
        <w:t>Id.</w:t>
      </w:r>
      <w:r>
        <w:t xml:space="preserve"> at 23:5-6.</w:t>
      </w:r>
    </w:p>
  </w:footnote>
  <w:footnote w:id="88">
    <w:p w14:paraId="6D978EAA" w14:textId="77777777" w:rsidR="004B5E53" w:rsidRDefault="004B5E53">
      <w:pPr>
        <w:pStyle w:val="FootnoteText"/>
      </w:pPr>
      <w:r>
        <w:rPr>
          <w:rStyle w:val="FootnoteReference"/>
        </w:rPr>
        <w:footnoteRef/>
      </w:r>
      <w:r>
        <w:t xml:space="preserve"> </w:t>
      </w:r>
      <w:r>
        <w:rPr>
          <w:i/>
        </w:rPr>
        <w:t>Utilities &amp; Transp. Comm’n v. Puget Sound Power &amp; Light Co.</w:t>
      </w:r>
      <w:r w:rsidRPr="005E5652">
        <w:t>,</w:t>
      </w:r>
      <w:r>
        <w:t xml:space="preserve"> Cause U-82-38, 3</w:t>
      </w:r>
      <w:r w:rsidRPr="00F421A6">
        <w:rPr>
          <w:vertAlign w:val="superscript"/>
        </w:rPr>
        <w:t>rd</w:t>
      </w:r>
      <w:r>
        <w:t xml:space="preserve"> Supplemental Order, 54 Pub. Util. Rep. (PUR) 4th 480, 494-97 (1983), </w:t>
      </w:r>
      <w:r>
        <w:rPr>
          <w:i/>
        </w:rPr>
        <w:t>aff’d, People’s Org. for Wash. Energy Res. v. Utilities &amp; Transp. Comm’n</w:t>
      </w:r>
      <w:r w:rsidRPr="005E5652">
        <w:t xml:space="preserve">, </w:t>
      </w:r>
      <w:r>
        <w:t>104 Wn.2d 798 711 P.2d 319 (1985).</w:t>
      </w:r>
    </w:p>
  </w:footnote>
  <w:footnote w:id="89">
    <w:p w14:paraId="6A4910A2" w14:textId="77777777" w:rsidR="004B5E53" w:rsidRDefault="004B5E53" w:rsidP="008E1312">
      <w:pPr>
        <w:pStyle w:val="FootnoteText"/>
      </w:pPr>
      <w:r>
        <w:rPr>
          <w:rStyle w:val="FootnoteReference"/>
        </w:rPr>
        <w:footnoteRef/>
      </w:r>
      <w:r>
        <w:t xml:space="preserve"> 104 Wn.2d at 803. </w:t>
      </w:r>
    </w:p>
  </w:footnote>
  <w:footnote w:id="90">
    <w:p w14:paraId="101000E1" w14:textId="77777777" w:rsidR="004B5E53" w:rsidRDefault="004B5E53">
      <w:pPr>
        <w:pStyle w:val="FootnoteText"/>
      </w:pPr>
      <w:r>
        <w:rPr>
          <w:rStyle w:val="FootnoteReference"/>
        </w:rPr>
        <w:footnoteRef/>
      </w:r>
      <w:r>
        <w:t xml:space="preserve"> </w:t>
      </w:r>
      <w:r>
        <w:rPr>
          <w:i/>
        </w:rPr>
        <w:t>Utilities &amp; Transp. Comm’n v. Puget Sound Power &amp; Light Co.</w:t>
      </w:r>
      <w:r w:rsidRPr="005E5652">
        <w:t xml:space="preserve">, </w:t>
      </w:r>
      <w:r>
        <w:t>Cause U-83-54, 4</w:t>
      </w:r>
      <w:r w:rsidRPr="002C0765">
        <w:rPr>
          <w:vertAlign w:val="superscript"/>
        </w:rPr>
        <w:t>th</w:t>
      </w:r>
      <w:r>
        <w:t xml:space="preserve"> Supplemental Order, 62 Pub. Util. Rep. (PUR) 4th 557, 587 (1984).</w:t>
      </w:r>
    </w:p>
  </w:footnote>
  <w:footnote w:id="91">
    <w:p w14:paraId="50FE6C0A" w14:textId="13577EDD" w:rsidR="004B5E53" w:rsidRDefault="004B5E53">
      <w:pPr>
        <w:pStyle w:val="FootnoteText"/>
      </w:pPr>
      <w:r>
        <w:rPr>
          <w:rStyle w:val="FootnoteReference"/>
        </w:rPr>
        <w:footnoteRef/>
      </w:r>
      <w:r>
        <w:t xml:space="preserve"> The Commission explained its decisions in the Pebble Springs and Skagit/Hanford cases on the basis that customers needed to share responsibility for the loss to enable PSE to continue to finance its utility business on an ongoing basis.  However, in a PacifiCorp rate order, the Commission required customers to pay for the cost of abandoned projects</w:t>
      </w:r>
      <w:r>
        <w:rPr>
          <w:szCs w:val="24"/>
        </w:rPr>
        <w:t xml:space="preserve"> in the amount of $715,579, without the need for PacifiCorp to demonstrate its inability to finance its operations</w:t>
      </w:r>
      <w:r w:rsidDel="00807F90">
        <w:rPr>
          <w:szCs w:val="24"/>
        </w:rPr>
        <w:t xml:space="preserve"> </w:t>
      </w:r>
      <w:r>
        <w:rPr>
          <w:szCs w:val="24"/>
        </w:rPr>
        <w:t>.</w:t>
      </w:r>
      <w:r w:rsidRPr="006750B1">
        <w:rPr>
          <w:szCs w:val="24"/>
        </w:rPr>
        <w:t xml:space="preserve">  </w:t>
      </w:r>
      <w:r w:rsidRPr="005E5652">
        <w:rPr>
          <w:i/>
          <w:szCs w:val="24"/>
        </w:rPr>
        <w:t>Utilities</w:t>
      </w:r>
      <w:r w:rsidRPr="006750B1">
        <w:rPr>
          <w:i/>
          <w:szCs w:val="24"/>
        </w:rPr>
        <w:t xml:space="preserve"> </w:t>
      </w:r>
      <w:r w:rsidRPr="007D2795">
        <w:rPr>
          <w:i/>
          <w:szCs w:val="24"/>
        </w:rPr>
        <w:t xml:space="preserve">&amp; </w:t>
      </w:r>
      <w:r>
        <w:rPr>
          <w:i/>
          <w:szCs w:val="24"/>
        </w:rPr>
        <w:t xml:space="preserve">Transp. </w:t>
      </w:r>
      <w:r w:rsidRPr="006750B1">
        <w:rPr>
          <w:i/>
          <w:szCs w:val="24"/>
        </w:rPr>
        <w:t xml:space="preserve">Comm’n </w:t>
      </w:r>
      <w:r>
        <w:rPr>
          <w:i/>
          <w:szCs w:val="24"/>
        </w:rPr>
        <w:t xml:space="preserve">v. </w:t>
      </w:r>
      <w:r w:rsidRPr="006750B1">
        <w:rPr>
          <w:i/>
          <w:szCs w:val="24"/>
        </w:rPr>
        <w:t>Pacific Power &amp; Light Co.</w:t>
      </w:r>
      <w:r w:rsidRPr="006750B1">
        <w:rPr>
          <w:szCs w:val="24"/>
        </w:rPr>
        <w:t xml:space="preserve">, </w:t>
      </w:r>
      <w:r>
        <w:rPr>
          <w:szCs w:val="24"/>
        </w:rPr>
        <w:t>Docket U-84-65, 4</w:t>
      </w:r>
      <w:r w:rsidRPr="00D730D5">
        <w:rPr>
          <w:szCs w:val="24"/>
          <w:vertAlign w:val="superscript"/>
        </w:rPr>
        <w:t>th</w:t>
      </w:r>
      <w:r>
        <w:rPr>
          <w:szCs w:val="24"/>
        </w:rPr>
        <w:t xml:space="preserve"> Supplemental Order, </w:t>
      </w:r>
      <w:r w:rsidRPr="006750B1">
        <w:rPr>
          <w:szCs w:val="24"/>
        </w:rPr>
        <w:t xml:space="preserve">68 </w:t>
      </w:r>
      <w:r>
        <w:rPr>
          <w:szCs w:val="24"/>
        </w:rPr>
        <w:t xml:space="preserve">Pub. Util. Rep. (PUR) </w:t>
      </w:r>
      <w:r w:rsidRPr="006750B1">
        <w:rPr>
          <w:szCs w:val="24"/>
        </w:rPr>
        <w:t xml:space="preserve">4th 396, </w:t>
      </w:r>
      <w:r>
        <w:rPr>
          <w:szCs w:val="24"/>
        </w:rPr>
        <w:t>404-05</w:t>
      </w:r>
      <w:r w:rsidRPr="006750B1">
        <w:rPr>
          <w:szCs w:val="24"/>
        </w:rPr>
        <w:t xml:space="preserve"> (1984)</w:t>
      </w:r>
      <w:r>
        <w:rPr>
          <w:szCs w:val="24"/>
        </w:rPr>
        <w:t>.</w:t>
      </w:r>
    </w:p>
  </w:footnote>
  <w:footnote w:id="92">
    <w:p w14:paraId="4B838D3B" w14:textId="77777777" w:rsidR="004B5E53" w:rsidRDefault="004B5E53" w:rsidP="00241D8A">
      <w:pPr>
        <w:pStyle w:val="FootnoteText"/>
      </w:pPr>
      <w:r>
        <w:rPr>
          <w:rStyle w:val="FootnoteReference"/>
        </w:rPr>
        <w:footnoteRef/>
      </w:r>
      <w:r>
        <w:t xml:space="preserve"> </w:t>
      </w:r>
      <w:r w:rsidRPr="00D92F20">
        <w:rPr>
          <w:i/>
        </w:rPr>
        <w:t>Application of Puget Sound Energy, Inc. for an Order Authorizing the Sale of the Water Rights and Associated Assets of the Electron Hydroelectric Project</w:t>
      </w:r>
      <w:r>
        <w:t>, Docket UE-131099, Order 02, Final Order (October 23, 2013) (</w:t>
      </w:r>
      <w:r>
        <w:rPr>
          <w:i/>
        </w:rPr>
        <w:t>PSE Electron Case</w:t>
      </w:r>
      <w:r>
        <w:t xml:space="preserve">).  </w:t>
      </w:r>
    </w:p>
  </w:footnote>
  <w:footnote w:id="93">
    <w:p w14:paraId="10CDE2DC" w14:textId="77777777" w:rsidR="004B5E53" w:rsidRDefault="004B5E53" w:rsidP="00241D8A">
      <w:pPr>
        <w:pStyle w:val="FootnoteText"/>
      </w:pPr>
      <w:r>
        <w:rPr>
          <w:rStyle w:val="FootnoteReference"/>
        </w:rPr>
        <w:footnoteRef/>
      </w:r>
      <w:r>
        <w:t xml:space="preserve"> PSE petition in Docket UE-131099, at 13, ¶47 and Keating Direct, Exh. No. ELK-1T at 16:15-18.</w:t>
      </w:r>
    </w:p>
  </w:footnote>
  <w:footnote w:id="94">
    <w:p w14:paraId="4584BDE8" w14:textId="77777777" w:rsidR="004B5E53" w:rsidRPr="00415C45" w:rsidRDefault="004B5E53" w:rsidP="00241D8A">
      <w:pPr>
        <w:pStyle w:val="ListParagraph"/>
        <w:ind w:left="0"/>
        <w:rPr>
          <w:i/>
        </w:rPr>
      </w:pPr>
      <w:r w:rsidRPr="00415C45">
        <w:rPr>
          <w:rStyle w:val="FootnoteReference"/>
          <w:sz w:val="20"/>
          <w:szCs w:val="20"/>
        </w:rPr>
        <w:footnoteRef/>
      </w:r>
      <w:r w:rsidRPr="00415C45">
        <w:rPr>
          <w:sz w:val="20"/>
          <w:szCs w:val="20"/>
        </w:rPr>
        <w:t xml:space="preserve"> </w:t>
      </w:r>
      <w:r w:rsidRPr="00415C45">
        <w:rPr>
          <w:i/>
          <w:sz w:val="20"/>
          <w:szCs w:val="20"/>
        </w:rPr>
        <w:t xml:space="preserve">PSE Electron </w:t>
      </w:r>
      <w:r>
        <w:rPr>
          <w:i/>
          <w:sz w:val="20"/>
          <w:szCs w:val="20"/>
        </w:rPr>
        <w:t>Case, supra</w:t>
      </w:r>
      <w:r w:rsidRPr="005E5652">
        <w:rPr>
          <w:sz w:val="20"/>
          <w:szCs w:val="20"/>
        </w:rPr>
        <w:t xml:space="preserve">, </w:t>
      </w:r>
      <w:r w:rsidRPr="00415C45">
        <w:rPr>
          <w:sz w:val="20"/>
          <w:szCs w:val="20"/>
        </w:rPr>
        <w:t>Order 02</w:t>
      </w:r>
      <w:r>
        <w:rPr>
          <w:sz w:val="20"/>
          <w:szCs w:val="20"/>
        </w:rPr>
        <w:t>,</w:t>
      </w:r>
      <w:r w:rsidRPr="00415C45">
        <w:rPr>
          <w:sz w:val="20"/>
          <w:szCs w:val="20"/>
        </w:rPr>
        <w:t xml:space="preserve"> at </w:t>
      </w:r>
      <w:r>
        <w:rPr>
          <w:sz w:val="20"/>
          <w:szCs w:val="20"/>
        </w:rPr>
        <w:t xml:space="preserve">19, </w:t>
      </w:r>
      <w:r w:rsidRPr="00415C45">
        <w:rPr>
          <w:sz w:val="20"/>
          <w:szCs w:val="20"/>
        </w:rPr>
        <w:t>¶ 63 (October 23, 2013).</w:t>
      </w:r>
    </w:p>
  </w:footnote>
  <w:footnote w:id="95">
    <w:p w14:paraId="107638AA" w14:textId="77777777" w:rsidR="004B5E53" w:rsidRDefault="004B5E53" w:rsidP="00241D8A">
      <w:pPr>
        <w:pStyle w:val="FootnoteText"/>
      </w:pPr>
      <w:r>
        <w:rPr>
          <w:rStyle w:val="FootnoteReference"/>
        </w:rPr>
        <w:footnoteRef/>
      </w:r>
      <w:r>
        <w:t xml:space="preserve"> Marcelia Rebuttal, Exh. No. MRM-5T at 37:17 to 38:6.</w:t>
      </w:r>
    </w:p>
  </w:footnote>
  <w:footnote w:id="96">
    <w:p w14:paraId="22687AE5" w14:textId="77777777" w:rsidR="004B5E53" w:rsidRPr="00891413" w:rsidRDefault="004B5E53">
      <w:pPr>
        <w:pStyle w:val="FootnoteText"/>
      </w:pPr>
      <w:r>
        <w:rPr>
          <w:rStyle w:val="FootnoteReference"/>
        </w:rPr>
        <w:footnoteRef/>
      </w:r>
      <w:r>
        <w:t xml:space="preserve"> </w:t>
      </w:r>
      <w:r>
        <w:rPr>
          <w:i/>
        </w:rPr>
        <w:t xml:space="preserve">PSE Electron Case, supra, </w:t>
      </w:r>
      <w:r w:rsidRPr="00415C45">
        <w:t xml:space="preserve">Order 02 at </w:t>
      </w:r>
      <w:r>
        <w:t xml:space="preserve">9, </w:t>
      </w:r>
      <w:r w:rsidRPr="00415C45">
        <w:t xml:space="preserve">¶ </w:t>
      </w:r>
      <w:r>
        <w:t>25</w:t>
      </w:r>
      <w:r w:rsidRPr="00415C45">
        <w:t xml:space="preserve"> (October 23, 201</w:t>
      </w:r>
      <w:r w:rsidRPr="00891413">
        <w:t xml:space="preserve">3): </w:t>
      </w:r>
      <w:r>
        <w:t xml:space="preserve"> </w:t>
      </w:r>
      <w:r w:rsidRPr="00891413">
        <w:t xml:space="preserve">“The Commission finds the sale of the Electron </w:t>
      </w:r>
      <w:r>
        <w:t>plant</w:t>
      </w:r>
      <w:r w:rsidRPr="00891413">
        <w:t xml:space="preserve"> to Electron Hydro LLC is in the public interest provided there are no material changes to the Asset Purchase Agreement as filed.</w:t>
      </w:r>
      <w:r>
        <w:t>”  A word search of PSE’s petition and the Commission’s Order 2 in that docket disclosed no use of the term “no harm” or “harm.”</w:t>
      </w:r>
    </w:p>
  </w:footnote>
  <w:footnote w:id="97">
    <w:p w14:paraId="1D3F7251" w14:textId="77777777" w:rsidR="004B5E53" w:rsidRDefault="004B5E53">
      <w:pPr>
        <w:pStyle w:val="FootnoteText"/>
      </w:pPr>
      <w:r>
        <w:rPr>
          <w:rStyle w:val="FootnoteReference"/>
        </w:rPr>
        <w:footnoteRef/>
      </w:r>
      <w:r>
        <w:t xml:space="preserve"> Marcelia Rebuttal, Exh. No. MRM-5T at 38:8-16.</w:t>
      </w:r>
    </w:p>
  </w:footnote>
  <w:footnote w:id="98">
    <w:p w14:paraId="26116013" w14:textId="77777777" w:rsidR="004B5E53" w:rsidRDefault="004B5E53">
      <w:pPr>
        <w:pStyle w:val="FootnoteText"/>
      </w:pPr>
      <w:r>
        <w:rPr>
          <w:rStyle w:val="FootnoteReference"/>
        </w:rPr>
        <w:footnoteRef/>
      </w:r>
      <w:r>
        <w:t xml:space="preserve"> Levin Rebuttal, Exh. No. SLL-1T at 14-20.</w:t>
      </w:r>
    </w:p>
  </w:footnote>
  <w:footnote w:id="99">
    <w:p w14:paraId="039F79CB" w14:textId="77777777" w:rsidR="004B5E53" w:rsidRDefault="004B5E53">
      <w:pPr>
        <w:pStyle w:val="FootnoteText"/>
      </w:pPr>
      <w:r>
        <w:rPr>
          <w:rStyle w:val="FootnoteReference"/>
        </w:rPr>
        <w:footnoteRef/>
      </w:r>
      <w:r>
        <w:t xml:space="preserve"> 49 U.S.C. § 9601 </w:t>
      </w:r>
      <w:r w:rsidRPr="00821541">
        <w:rPr>
          <w:i/>
        </w:rPr>
        <w:t>et. seq</w:t>
      </w:r>
      <w:r>
        <w:t>.</w:t>
      </w:r>
    </w:p>
  </w:footnote>
  <w:footnote w:id="100">
    <w:p w14:paraId="18101FC3" w14:textId="1EAA96B7" w:rsidR="004B5E53" w:rsidRDefault="004B5E53">
      <w:pPr>
        <w:pStyle w:val="FootnoteText"/>
      </w:pPr>
      <w:r>
        <w:rPr>
          <w:rStyle w:val="FootnoteReference"/>
        </w:rPr>
        <w:footnoteRef/>
      </w:r>
      <w:r>
        <w:t xml:space="preserve"> RCW 70.105D.</w:t>
      </w:r>
    </w:p>
  </w:footnote>
  <w:footnote w:id="101">
    <w:p w14:paraId="3D9F4C77" w14:textId="77777777" w:rsidR="004B5E53" w:rsidRDefault="004B5E53">
      <w:pPr>
        <w:pStyle w:val="FootnoteText"/>
      </w:pPr>
      <w:r>
        <w:rPr>
          <w:rStyle w:val="FootnoteReference"/>
        </w:rPr>
        <w:footnoteRef/>
      </w:r>
      <w:r>
        <w:t xml:space="preserve"> Obviously, property contaminated by a hazardous substance is worth substantially less that similar, non-contaminated property.  Moreover, these statutes confirm that environmental damage to property reduces the value of that property.  For example, in RCW 70.105D.055, the state may place a lien on property for remedial action costs it incurs.  Obviously, the existence of such a lien further reduces the value of the property. </w:t>
      </w:r>
    </w:p>
  </w:footnote>
  <w:footnote w:id="102">
    <w:p w14:paraId="234535CB" w14:textId="77777777" w:rsidR="004B5E53" w:rsidRPr="00821541" w:rsidRDefault="004B5E53" w:rsidP="006635E2">
      <w:pPr>
        <w:pStyle w:val="FootnoteText"/>
        <w:ind w:right="-450"/>
      </w:pPr>
      <w:r>
        <w:rPr>
          <w:rStyle w:val="FootnoteReference"/>
        </w:rPr>
        <w:footnoteRef/>
      </w:r>
      <w:r>
        <w:t xml:space="preserve"> </w:t>
      </w:r>
      <w:r>
        <w:rPr>
          <w:i/>
        </w:rPr>
        <w:t>Petition of Puget Sound Power &amp; Light Company for an Order Regarding the Accounting Treatment for Costs of its Environmental Remediation Program,</w:t>
      </w:r>
      <w:r>
        <w:t xml:space="preserve"> Docket UE-911476, Order Authorizing Accounting Treatment (April 1, 1992).</w:t>
      </w:r>
      <w:r>
        <w:rPr>
          <w:i/>
        </w:rPr>
        <w:t xml:space="preserve"> </w:t>
      </w:r>
    </w:p>
  </w:footnote>
  <w:footnote w:id="103">
    <w:p w14:paraId="312D67F1" w14:textId="77777777" w:rsidR="004B5E53" w:rsidRDefault="004B5E53">
      <w:pPr>
        <w:pStyle w:val="FootnoteText"/>
      </w:pPr>
      <w:r>
        <w:rPr>
          <w:rStyle w:val="FootnoteReference"/>
        </w:rPr>
        <w:footnoteRef/>
      </w:r>
      <w:r>
        <w:t xml:space="preserve"> The order also allowed PSE to defer costs associated with property PSE did not own, but for which PSE was designated as a “potentially responsible party” under CERCLA.  </w:t>
      </w:r>
      <w:r>
        <w:rPr>
          <w:i/>
        </w:rPr>
        <w:t xml:space="preserve">See </w:t>
      </w:r>
      <w:r>
        <w:t xml:space="preserve">Order Authorizing Accounting Treatment, Docket UE-911476, at 3, Finding of Fact 2 and at 4, Ordering ¶ 1. </w:t>
      </w:r>
    </w:p>
  </w:footnote>
  <w:footnote w:id="104">
    <w:p w14:paraId="35F94F0F" w14:textId="7A82E260" w:rsidR="004B5E53" w:rsidRDefault="004B5E53">
      <w:pPr>
        <w:pStyle w:val="FootnoteText"/>
      </w:pPr>
      <w:r>
        <w:rPr>
          <w:rStyle w:val="FootnoteReference"/>
        </w:rPr>
        <w:footnoteRef/>
      </w:r>
      <w:r>
        <w:t xml:space="preserve"> Order Authorizing Accounting Treatment, Docket UE-911476, </w:t>
      </w:r>
      <w:r w:rsidRPr="004B5E53">
        <w:rPr>
          <w:i/>
        </w:rPr>
        <w:t>supra</w:t>
      </w:r>
      <w:r>
        <w:t>, at 4, Finding of Fact 3.</w:t>
      </w:r>
    </w:p>
  </w:footnote>
  <w:footnote w:id="105">
    <w:p w14:paraId="385AC95E" w14:textId="77777777" w:rsidR="004B5E53" w:rsidRDefault="004B5E53">
      <w:pPr>
        <w:pStyle w:val="FootnoteText"/>
      </w:pPr>
      <w:r>
        <w:rPr>
          <w:rStyle w:val="FootnoteReference"/>
        </w:rPr>
        <w:footnoteRef/>
      </w:r>
      <w:r>
        <w:t xml:space="preserve"> Levin, TR. 156:6-8.</w:t>
      </w:r>
    </w:p>
  </w:footnote>
  <w:footnote w:id="106">
    <w:p w14:paraId="0DEBE99A" w14:textId="30919884" w:rsidR="004B5E53" w:rsidRPr="00F421A6" w:rsidRDefault="004B5E53">
      <w:pPr>
        <w:pStyle w:val="FootnoteText"/>
        <w:rPr>
          <w:u w:val="single"/>
        </w:rPr>
      </w:pPr>
      <w:r>
        <w:rPr>
          <w:rStyle w:val="FootnoteReference"/>
        </w:rPr>
        <w:footnoteRef/>
      </w:r>
      <w:r>
        <w:t xml:space="preserve"> </w:t>
      </w:r>
      <w:r w:rsidRPr="00F421A6">
        <w:rPr>
          <w:i/>
        </w:rPr>
        <w:t>Supra</w:t>
      </w:r>
      <w:r>
        <w:t>, note 21.</w:t>
      </w:r>
    </w:p>
  </w:footnote>
  <w:footnote w:id="107">
    <w:p w14:paraId="2E6D733E" w14:textId="77777777" w:rsidR="004B5E53" w:rsidRPr="005B21DB" w:rsidRDefault="004B5E53" w:rsidP="00757EB2">
      <w:pPr>
        <w:pStyle w:val="FootnoteText"/>
      </w:pPr>
      <w:r>
        <w:rPr>
          <w:rStyle w:val="FootnoteReference"/>
        </w:rPr>
        <w:footnoteRef/>
      </w:r>
      <w:r>
        <w:t xml:space="preserve"> </w:t>
      </w:r>
      <w:r>
        <w:rPr>
          <w:i/>
        </w:rPr>
        <w:t xml:space="preserve">See </w:t>
      </w:r>
      <w:r>
        <w:t xml:space="preserve">Keating Direct, Exh. No. ELK-1T at 19:12 to 20:12. </w:t>
      </w:r>
    </w:p>
  </w:footnote>
  <w:footnote w:id="108">
    <w:p w14:paraId="37EAD123" w14:textId="77777777" w:rsidR="004B5E53" w:rsidRDefault="004B5E53" w:rsidP="00417F17">
      <w:pPr>
        <w:pStyle w:val="FootnoteText"/>
      </w:pPr>
      <w:r>
        <w:rPr>
          <w:rStyle w:val="FootnoteReference"/>
        </w:rPr>
        <w:footnoteRef/>
      </w:r>
      <w:r>
        <w:t xml:space="preserve"> Levin, TR. 155:12-18.</w:t>
      </w:r>
    </w:p>
  </w:footnote>
  <w:footnote w:id="109">
    <w:p w14:paraId="46660DB9" w14:textId="77777777" w:rsidR="004B5E53" w:rsidRDefault="004B5E53">
      <w:pPr>
        <w:pStyle w:val="FootnoteText"/>
      </w:pPr>
      <w:r>
        <w:rPr>
          <w:rStyle w:val="FootnoteReference"/>
        </w:rPr>
        <w:footnoteRef/>
      </w:r>
      <w:r>
        <w:t xml:space="preserve"> Levin, TR. 132:1-2.</w:t>
      </w:r>
    </w:p>
  </w:footnote>
  <w:footnote w:id="110">
    <w:p w14:paraId="54293C29" w14:textId="77777777" w:rsidR="004B5E53" w:rsidRDefault="004B5E53">
      <w:pPr>
        <w:pStyle w:val="FootnoteText"/>
      </w:pPr>
      <w:r>
        <w:rPr>
          <w:rStyle w:val="FootnoteReference"/>
        </w:rPr>
        <w:footnoteRef/>
      </w:r>
      <w:r>
        <w:t xml:space="preserve"> Keating Direct, Exh. No. EJK-1T at 25:23 to 28:17.</w:t>
      </w:r>
    </w:p>
  </w:footnote>
  <w:footnote w:id="111">
    <w:p w14:paraId="4CF5D573" w14:textId="339F7C9B" w:rsidR="004B5E53" w:rsidRDefault="004B5E53">
      <w:pPr>
        <w:pStyle w:val="FootnoteText"/>
      </w:pPr>
      <w:r>
        <w:rPr>
          <w:rStyle w:val="FootnoteReference"/>
        </w:rPr>
        <w:footnoteRef/>
      </w:r>
      <w:r>
        <w:t xml:space="preserve"> Keating Direct, Exh. No. EJK-1T at 28:21 to 30:13, and Piliaris, Exh. No. JAP-3, page 2, “Scenario 2,” column B, line 57. </w:t>
      </w:r>
    </w:p>
  </w:footnote>
  <w:footnote w:id="112">
    <w:p w14:paraId="0E0A6D7A" w14:textId="77777777" w:rsidR="004B5E53" w:rsidRDefault="004B5E53">
      <w:pPr>
        <w:pStyle w:val="FootnoteText"/>
      </w:pPr>
      <w:r>
        <w:rPr>
          <w:rStyle w:val="FootnoteReference"/>
        </w:rPr>
        <w:footnoteRef/>
      </w:r>
      <w:r>
        <w:t xml:space="preserve"> Keating Direct, Exh. No. EJK-1T at 30:14 to 31:19.</w:t>
      </w:r>
    </w:p>
  </w:footnote>
  <w:footnote w:id="113">
    <w:p w14:paraId="4116ACD9" w14:textId="1164A753" w:rsidR="004B5E53" w:rsidRDefault="004B5E53">
      <w:pPr>
        <w:pStyle w:val="FootnoteText"/>
      </w:pPr>
      <w:r>
        <w:rPr>
          <w:rStyle w:val="FootnoteReference"/>
        </w:rPr>
        <w:footnoteRef/>
      </w:r>
      <w:r>
        <w:t xml:space="preserve"> Dittmer Direct, Exh. No. JRD-1T at 29:16 to 30:6.</w:t>
      </w:r>
    </w:p>
  </w:footnote>
  <w:footnote w:id="114">
    <w:p w14:paraId="1DF1DE45" w14:textId="77777777" w:rsidR="004B5E53" w:rsidRDefault="004B5E53">
      <w:pPr>
        <w:pStyle w:val="FootnoteText"/>
      </w:pPr>
      <w:r>
        <w:rPr>
          <w:rStyle w:val="FootnoteReference"/>
        </w:rPr>
        <w:footnoteRef/>
      </w:r>
      <w:r>
        <w:t xml:space="preserve"> PSE Petition at 12, ¶ 24.</w:t>
      </w:r>
    </w:p>
  </w:footnote>
  <w:footnote w:id="115">
    <w:p w14:paraId="62E8C3F2" w14:textId="0F14C4C6" w:rsidR="004B5E53" w:rsidRPr="00780F4C" w:rsidRDefault="004B5E53" w:rsidP="00417F17">
      <w:pPr>
        <w:pStyle w:val="FootnoteText"/>
      </w:pPr>
      <w:r>
        <w:rPr>
          <w:rStyle w:val="FootnoteReference"/>
        </w:rPr>
        <w:footnoteRef/>
      </w:r>
      <w:r>
        <w:t xml:space="preserve"> Piliaris</w:t>
      </w:r>
      <w:r w:rsidR="00BE509F">
        <w:t xml:space="preserve"> Direct</w:t>
      </w:r>
      <w:r>
        <w:t>, Exh. No. JAP-1T at 2:7-8.</w:t>
      </w:r>
    </w:p>
  </w:footnote>
  <w:footnote w:id="116">
    <w:p w14:paraId="16B214AD" w14:textId="77777777" w:rsidR="004B5E53" w:rsidRDefault="004B5E53" w:rsidP="00F160E6">
      <w:pPr>
        <w:pStyle w:val="FootnoteText"/>
      </w:pPr>
      <w:r>
        <w:rPr>
          <w:rStyle w:val="FootnoteReference"/>
        </w:rPr>
        <w:footnoteRef/>
      </w:r>
      <w:r>
        <w:t xml:space="preserve"> </w:t>
      </w:r>
      <w:r w:rsidRPr="00CA0A60">
        <w:rPr>
          <w:i/>
        </w:rPr>
        <w:t>Application of PacifiCorp</w:t>
      </w:r>
      <w:r>
        <w:t xml:space="preserve">, </w:t>
      </w:r>
      <w:r>
        <w:rPr>
          <w:i/>
        </w:rPr>
        <w:t xml:space="preserve">supra, </w:t>
      </w:r>
      <w:r>
        <w:t>68 Pub. Util. Rep. (PUR) 4</w:t>
      </w:r>
      <w:r w:rsidRPr="00CA0A60">
        <w:rPr>
          <w:vertAlign w:val="superscript"/>
        </w:rPr>
        <w:t>th</w:t>
      </w:r>
      <w:r>
        <w:t xml:space="preserve"> at 485.</w:t>
      </w:r>
    </w:p>
  </w:footnote>
  <w:footnote w:id="117">
    <w:p w14:paraId="48CFEAB1" w14:textId="77777777" w:rsidR="004B5E53" w:rsidRDefault="004B5E53">
      <w:pPr>
        <w:pStyle w:val="FootnoteText"/>
      </w:pPr>
      <w:r>
        <w:rPr>
          <w:rStyle w:val="FootnoteReference"/>
        </w:rPr>
        <w:footnoteRef/>
      </w:r>
      <w:r>
        <w:t xml:space="preserve"> Piliaris Rebuttal, Exh. No. JAP-9T at 14:4-5.</w:t>
      </w:r>
    </w:p>
  </w:footnote>
  <w:footnote w:id="118">
    <w:p w14:paraId="6B6B6AD4" w14:textId="77777777" w:rsidR="004B5E53" w:rsidRDefault="004B5E53">
      <w:pPr>
        <w:pStyle w:val="FootnoteText"/>
      </w:pPr>
      <w:r>
        <w:rPr>
          <w:rStyle w:val="FootnoteReference"/>
        </w:rPr>
        <w:footnoteRef/>
      </w:r>
      <w:r>
        <w:t xml:space="preserve"> Piliaris, TR. 72:23 to 73:23.</w:t>
      </w:r>
    </w:p>
  </w:footnote>
  <w:footnote w:id="119">
    <w:p w14:paraId="12EE41C0" w14:textId="5D73E182" w:rsidR="004B5E53" w:rsidRDefault="004B5E53">
      <w:pPr>
        <w:pStyle w:val="FootnoteText"/>
      </w:pPr>
      <w:r>
        <w:rPr>
          <w:rStyle w:val="FootnoteReference"/>
        </w:rPr>
        <w:footnoteRef/>
      </w:r>
      <w:r>
        <w:t xml:space="preserve"> Marcelia, Exh. No. MRM-9CX at 11:1-3, Puget Sound Energy’s Post-Hearing Brief, </w:t>
      </w:r>
      <w:r>
        <w:rPr>
          <w:i/>
        </w:rPr>
        <w:t>Centralia Case</w:t>
      </w:r>
      <w:r w:rsidRPr="005314CB">
        <w:t xml:space="preserve">, </w:t>
      </w:r>
      <w:r>
        <w:t xml:space="preserve">Docket UE-991409, </w:t>
      </w:r>
      <w:r>
        <w:rPr>
          <w:i/>
        </w:rPr>
        <w:t>et al.</w:t>
      </w:r>
    </w:p>
  </w:footnote>
  <w:footnote w:id="120">
    <w:p w14:paraId="595D2A9B" w14:textId="77777777" w:rsidR="004B5E53" w:rsidRDefault="004B5E53">
      <w:pPr>
        <w:pStyle w:val="FootnoteText"/>
      </w:pPr>
      <w:r>
        <w:rPr>
          <w:rStyle w:val="FootnoteReference"/>
        </w:rPr>
        <w:footnoteRef/>
      </w:r>
      <w:r>
        <w:t xml:space="preserve"> </w:t>
      </w:r>
      <w:r w:rsidRPr="00012354">
        <w:rPr>
          <w:i/>
        </w:rPr>
        <w:t>Id</w:t>
      </w:r>
      <w:r>
        <w:t xml:space="preserve">., </w:t>
      </w:r>
      <w:r>
        <w:rPr>
          <w:i/>
        </w:rPr>
        <w:t>e.g.</w:t>
      </w:r>
      <w:r w:rsidRPr="005314CB">
        <w:t xml:space="preserve">, </w:t>
      </w:r>
      <w:r>
        <w:t xml:space="preserve">at 11:7:  “The out-year ‘benefits’ are based on highly speculative long term forecasts;” and at 11:18:  “it makes little sense to use the speculative out-year benefits ….” </w:t>
      </w:r>
    </w:p>
  </w:footnote>
  <w:footnote w:id="121">
    <w:p w14:paraId="66385D90" w14:textId="77777777" w:rsidR="004B5E53" w:rsidRDefault="004B5E53">
      <w:pPr>
        <w:pStyle w:val="FootnoteText"/>
      </w:pPr>
      <w:r>
        <w:rPr>
          <w:rStyle w:val="FootnoteReference"/>
        </w:rPr>
        <w:footnoteRef/>
      </w:r>
      <w:r>
        <w:t xml:space="preserve"> Piliaris, TR. 73:24 to 74:3.</w:t>
      </w:r>
    </w:p>
  </w:footnote>
  <w:footnote w:id="122">
    <w:p w14:paraId="1B6A54AD" w14:textId="77777777" w:rsidR="004B5E53" w:rsidRDefault="004B5E53">
      <w:pPr>
        <w:pStyle w:val="FootnoteText"/>
      </w:pPr>
      <w:r>
        <w:rPr>
          <w:rStyle w:val="FootnoteReference"/>
        </w:rPr>
        <w:footnoteRef/>
      </w:r>
      <w:r>
        <w:t xml:space="preserve"> Keating Direct, Exh. No. EJK-1T at 36:5-6.</w:t>
      </w:r>
    </w:p>
  </w:footnote>
  <w:footnote w:id="123">
    <w:p w14:paraId="593F31E2" w14:textId="77777777" w:rsidR="004B5E53" w:rsidRPr="00EB201F" w:rsidRDefault="004B5E53">
      <w:pPr>
        <w:pStyle w:val="FootnoteText"/>
      </w:pPr>
      <w:r>
        <w:rPr>
          <w:rStyle w:val="FootnoteReference"/>
        </w:rPr>
        <w:footnoteRef/>
      </w:r>
      <w:r>
        <w:t xml:space="preserve"> </w:t>
      </w:r>
      <w:r>
        <w:rPr>
          <w:i/>
        </w:rPr>
        <w:t>Id.</w:t>
      </w:r>
      <w:r>
        <w:t>, at 36:15-17.</w:t>
      </w:r>
    </w:p>
  </w:footnote>
  <w:footnote w:id="124">
    <w:p w14:paraId="68699E6A" w14:textId="77777777" w:rsidR="004B5E53" w:rsidRDefault="004B5E53">
      <w:pPr>
        <w:pStyle w:val="FootnoteText"/>
      </w:pPr>
      <w:r>
        <w:rPr>
          <w:rStyle w:val="FootnoteReference"/>
        </w:rPr>
        <w:footnoteRef/>
      </w:r>
      <w:r>
        <w:t xml:space="preserve"> Marcelia, Rebuttal, Exh. No. MRM-5T at 36:1-14. </w:t>
      </w:r>
    </w:p>
  </w:footnote>
  <w:footnote w:id="125">
    <w:p w14:paraId="36EF3741" w14:textId="77777777" w:rsidR="004B5E53" w:rsidRPr="00E03FED" w:rsidRDefault="004B5E53" w:rsidP="00B86518">
      <w:pPr>
        <w:pStyle w:val="FootnoteText"/>
        <w:rPr>
          <w:rFonts w:cs="Times New Roman"/>
        </w:rPr>
      </w:pPr>
      <w:r w:rsidRPr="00E03FED">
        <w:rPr>
          <w:rStyle w:val="FootnoteReference"/>
          <w:rFonts w:cs="Times New Roman"/>
        </w:rPr>
        <w:footnoteRef/>
      </w:r>
      <w:r w:rsidRPr="00E03FED">
        <w:rPr>
          <w:rFonts w:cs="Times New Roman"/>
        </w:rPr>
        <w:t xml:space="preserve"> Keating</w:t>
      </w:r>
      <w:r>
        <w:rPr>
          <w:rFonts w:cs="Times New Roman"/>
        </w:rPr>
        <w:t xml:space="preserve"> Direct</w:t>
      </w:r>
      <w:r w:rsidRPr="00E03FED">
        <w:rPr>
          <w:rFonts w:cs="Times New Roman"/>
        </w:rPr>
        <w:t>, Exh. No. EJK</w:t>
      </w:r>
      <w:r>
        <w:rPr>
          <w:rFonts w:cs="Times New Roman"/>
        </w:rPr>
        <w:t>-</w:t>
      </w:r>
      <w:r w:rsidRPr="00E03FED">
        <w:rPr>
          <w:rFonts w:cs="Times New Roman"/>
        </w:rPr>
        <w:t>1T at 15-23.</w:t>
      </w:r>
    </w:p>
  </w:footnote>
  <w:footnote w:id="126">
    <w:p w14:paraId="12277DED" w14:textId="77777777" w:rsidR="004B5E53" w:rsidRPr="00B074E1" w:rsidRDefault="004B5E53" w:rsidP="00B86518">
      <w:pPr>
        <w:pStyle w:val="FootnoteText"/>
        <w:rPr>
          <w:rFonts w:cs="Times New Roman"/>
        </w:rPr>
      </w:pPr>
      <w:r w:rsidRPr="00B074E1">
        <w:rPr>
          <w:rStyle w:val="FootnoteReference"/>
          <w:rFonts w:cs="Times New Roman"/>
        </w:rPr>
        <w:footnoteRef/>
      </w:r>
      <w:r w:rsidRPr="00B074E1">
        <w:rPr>
          <w:rFonts w:cs="Times New Roman"/>
        </w:rPr>
        <w:t xml:space="preserve"> Keating, Exh. No. EJK-3, “Staff Proposal” column, fifth to last line:  “Accum. Depreciation - $29,938,735.”</w:t>
      </w:r>
    </w:p>
  </w:footnote>
  <w:footnote w:id="127">
    <w:p w14:paraId="1016A140" w14:textId="30D3F910" w:rsidR="004B5E53" w:rsidRPr="007178DC" w:rsidRDefault="004B5E53" w:rsidP="00B86518">
      <w:pPr>
        <w:pStyle w:val="FootnoteText"/>
        <w:rPr>
          <w:rFonts w:cs="Times New Roman"/>
        </w:rPr>
      </w:pPr>
      <w:r w:rsidRPr="00B074E1">
        <w:rPr>
          <w:rStyle w:val="FootnoteReference"/>
          <w:rFonts w:cs="Times New Roman"/>
        </w:rPr>
        <w:footnoteRef/>
      </w:r>
      <w:r w:rsidRPr="00B074E1">
        <w:rPr>
          <w:rFonts w:cs="Times New Roman"/>
        </w:rPr>
        <w:t xml:space="preserve"> </w:t>
      </w:r>
      <w:r w:rsidR="00BE509F">
        <w:rPr>
          <w:rFonts w:cs="Times New Roman"/>
        </w:rPr>
        <w:t xml:space="preserve">Keating Direct, Exh. No. EJK-1T at </w:t>
      </w:r>
      <w:r w:rsidRPr="00B074E1">
        <w:rPr>
          <w:rFonts w:cs="Times New Roman"/>
        </w:rPr>
        <w:t>8:8-11.</w:t>
      </w:r>
    </w:p>
  </w:footnote>
  <w:footnote w:id="128">
    <w:p w14:paraId="4F34D7E9" w14:textId="29080EB4" w:rsidR="004B5E53" w:rsidRPr="007178DC" w:rsidRDefault="004B5E53" w:rsidP="00B86518">
      <w:pPr>
        <w:pStyle w:val="FootnoteText"/>
        <w:rPr>
          <w:rFonts w:cs="Times New Roman"/>
        </w:rPr>
      </w:pPr>
      <w:r w:rsidRPr="007178DC">
        <w:rPr>
          <w:rStyle w:val="FootnoteReference"/>
          <w:rFonts w:cs="Times New Roman"/>
        </w:rPr>
        <w:footnoteRef/>
      </w:r>
      <w:r w:rsidRPr="007178DC">
        <w:rPr>
          <w:rFonts w:cs="Times New Roman"/>
        </w:rPr>
        <w:t xml:space="preserve"> </w:t>
      </w:r>
      <w:r>
        <w:rPr>
          <w:rFonts w:cs="Times New Roman"/>
        </w:rPr>
        <w:t xml:space="preserve">Staff: Keating Direct, </w:t>
      </w:r>
      <w:r w:rsidRPr="007178DC">
        <w:rPr>
          <w:rFonts w:cs="Times New Roman"/>
        </w:rPr>
        <w:t>Exh</w:t>
      </w:r>
      <w:r>
        <w:rPr>
          <w:rFonts w:cs="Times New Roman"/>
        </w:rPr>
        <w:t>.</w:t>
      </w:r>
      <w:r w:rsidRPr="007178DC">
        <w:rPr>
          <w:rFonts w:cs="Times New Roman"/>
        </w:rPr>
        <w:t xml:space="preserve"> No.</w:t>
      </w:r>
      <w:r>
        <w:rPr>
          <w:rFonts w:cs="Times New Roman"/>
        </w:rPr>
        <w:t xml:space="preserve"> </w:t>
      </w:r>
      <w:r w:rsidRPr="007178DC">
        <w:rPr>
          <w:rFonts w:cs="Times New Roman"/>
        </w:rPr>
        <w:t>EJK-1T at 8:8-11</w:t>
      </w:r>
      <w:r>
        <w:rPr>
          <w:rFonts w:cs="Times New Roman"/>
        </w:rPr>
        <w:t>; ICNU:</w:t>
      </w:r>
      <w:r w:rsidRPr="007178DC">
        <w:rPr>
          <w:rFonts w:cs="Times New Roman"/>
        </w:rPr>
        <w:t xml:space="preserve"> </w:t>
      </w:r>
      <w:r w:rsidR="00BE509F">
        <w:rPr>
          <w:rFonts w:cs="Times New Roman"/>
        </w:rPr>
        <w:t xml:space="preserve">Gorman Direct, </w:t>
      </w:r>
      <w:r w:rsidRPr="007178DC">
        <w:rPr>
          <w:rFonts w:cs="Times New Roman"/>
        </w:rPr>
        <w:t>Exh</w:t>
      </w:r>
      <w:r>
        <w:rPr>
          <w:rFonts w:cs="Times New Roman"/>
        </w:rPr>
        <w:t>.</w:t>
      </w:r>
      <w:r w:rsidRPr="007178DC">
        <w:rPr>
          <w:rFonts w:cs="Times New Roman"/>
        </w:rPr>
        <w:t xml:space="preserve"> No.</w:t>
      </w:r>
      <w:r>
        <w:rPr>
          <w:rFonts w:cs="Times New Roman"/>
        </w:rPr>
        <w:t xml:space="preserve"> </w:t>
      </w:r>
      <w:r w:rsidRPr="007178DC">
        <w:rPr>
          <w:rFonts w:cs="Times New Roman"/>
        </w:rPr>
        <w:t>MPG-1T at 2:16-22</w:t>
      </w:r>
      <w:r>
        <w:rPr>
          <w:rFonts w:cs="Times New Roman"/>
        </w:rPr>
        <w:t>.</w:t>
      </w:r>
    </w:p>
  </w:footnote>
  <w:footnote w:id="129">
    <w:p w14:paraId="394BE04F" w14:textId="2D020B5C" w:rsidR="004B5E53" w:rsidRPr="00DC29C6" w:rsidRDefault="004B5E53" w:rsidP="00B86518">
      <w:pPr>
        <w:pStyle w:val="FootnoteText"/>
        <w:rPr>
          <w:rFonts w:cs="Times New Roman"/>
        </w:rPr>
      </w:pPr>
      <w:r w:rsidRPr="00DC29C6">
        <w:rPr>
          <w:rStyle w:val="FootnoteReference"/>
          <w:rFonts w:cs="Times New Roman"/>
        </w:rPr>
        <w:footnoteRef/>
      </w:r>
      <w:r>
        <w:rPr>
          <w:rFonts w:cs="Times New Roman"/>
        </w:rPr>
        <w:t xml:space="preserve"> Marcelia Rebuttal, </w:t>
      </w:r>
      <w:r w:rsidRPr="00DC29C6">
        <w:rPr>
          <w:rFonts w:cs="Times New Roman"/>
        </w:rPr>
        <w:t>Exh</w:t>
      </w:r>
      <w:r>
        <w:rPr>
          <w:rFonts w:cs="Times New Roman"/>
        </w:rPr>
        <w:t>.</w:t>
      </w:r>
      <w:r w:rsidRPr="00DC29C6">
        <w:rPr>
          <w:rFonts w:cs="Times New Roman"/>
        </w:rPr>
        <w:t xml:space="preserve"> No.</w:t>
      </w:r>
      <w:r>
        <w:rPr>
          <w:rFonts w:cs="Times New Roman"/>
        </w:rPr>
        <w:t xml:space="preserve"> </w:t>
      </w:r>
      <w:r w:rsidRPr="00DC29C6">
        <w:rPr>
          <w:rFonts w:cs="Times New Roman"/>
        </w:rPr>
        <w:t>MRM-5T at 13:5-8</w:t>
      </w:r>
      <w:r>
        <w:rPr>
          <w:rFonts w:cs="Times New Roman"/>
        </w:rPr>
        <w:t>.</w:t>
      </w:r>
    </w:p>
  </w:footnote>
  <w:footnote w:id="130">
    <w:p w14:paraId="2EE9084C" w14:textId="32172CE5" w:rsidR="004B5E53" w:rsidRPr="00AA7F80" w:rsidRDefault="004B5E53" w:rsidP="00B86518">
      <w:pPr>
        <w:pStyle w:val="FootnoteText"/>
        <w:rPr>
          <w:rFonts w:cs="Times New Roman"/>
        </w:rPr>
      </w:pPr>
      <w:r w:rsidRPr="00AA7F80">
        <w:rPr>
          <w:rStyle w:val="FootnoteReference"/>
          <w:rFonts w:cs="Times New Roman"/>
        </w:rPr>
        <w:footnoteRef/>
      </w:r>
      <w:r w:rsidRPr="00AA7F80">
        <w:rPr>
          <w:rFonts w:cs="Times New Roman"/>
        </w:rPr>
        <w:t xml:space="preserve"> Keating Direct, Exh. No.</w:t>
      </w:r>
      <w:r w:rsidRPr="007F5DCA">
        <w:rPr>
          <w:rFonts w:cs="Times New Roman"/>
        </w:rPr>
        <w:t xml:space="preserve"> EJK-1T at 21:5-7.  </w:t>
      </w:r>
      <w:r w:rsidRPr="00DC29C6">
        <w:rPr>
          <w:rFonts w:cs="Times New Roman"/>
        </w:rPr>
        <w:t>In Staff Exhibit No. EJK-2, Staff defines “appreciation” as proceeds less original cost and other costs, or put another way, the amount in excess of original cost, less certain transaction costs.</w:t>
      </w:r>
    </w:p>
  </w:footnote>
  <w:footnote w:id="131">
    <w:p w14:paraId="3CF01E08" w14:textId="77777777" w:rsidR="004B5E53" w:rsidRDefault="004B5E53" w:rsidP="0038763E">
      <w:pPr>
        <w:pStyle w:val="FootnoteText"/>
      </w:pPr>
      <w:r>
        <w:rPr>
          <w:rStyle w:val="FootnoteReference"/>
        </w:rPr>
        <w:footnoteRef/>
      </w:r>
      <w:r>
        <w:t xml:space="preserve"> Keating Direct, Exh. No. EJK-1T at 35:5-12.</w:t>
      </w:r>
    </w:p>
  </w:footnote>
  <w:footnote w:id="132">
    <w:p w14:paraId="62BCEB40" w14:textId="77777777" w:rsidR="004B5E53" w:rsidRPr="00DC29C6" w:rsidRDefault="004B5E53" w:rsidP="00B86518">
      <w:pPr>
        <w:pStyle w:val="FootnoteText"/>
        <w:rPr>
          <w:rFonts w:cs="Times New Roman"/>
        </w:rPr>
      </w:pPr>
      <w:r w:rsidRPr="00DC29C6">
        <w:rPr>
          <w:rStyle w:val="FootnoteReference"/>
          <w:rFonts w:cs="Times New Roman"/>
        </w:rPr>
        <w:footnoteRef/>
      </w:r>
      <w:r w:rsidRPr="00DC29C6">
        <w:rPr>
          <w:rFonts w:cs="Times New Roman"/>
        </w:rPr>
        <w:t xml:space="preserve"> </w:t>
      </w:r>
      <w:r>
        <w:rPr>
          <w:rFonts w:cs="Times New Roman"/>
          <w:i/>
        </w:rPr>
        <w:t xml:space="preserve">See </w:t>
      </w:r>
      <w:r>
        <w:rPr>
          <w:rFonts w:cs="Times New Roman"/>
        </w:rPr>
        <w:t>Keating Direct, Exh. No. EJK-1T at 19 and 20.</w:t>
      </w:r>
    </w:p>
  </w:footnote>
  <w:footnote w:id="133">
    <w:p w14:paraId="0499E7FF" w14:textId="4E9ED4E1" w:rsidR="004B5E53" w:rsidRPr="00DC29C6" w:rsidRDefault="004B5E53" w:rsidP="00B86518">
      <w:pPr>
        <w:pStyle w:val="FootnoteText"/>
        <w:rPr>
          <w:rFonts w:cs="Times New Roman"/>
        </w:rPr>
      </w:pPr>
      <w:r w:rsidRPr="00DC29C6">
        <w:rPr>
          <w:rStyle w:val="FootnoteReference"/>
          <w:rFonts w:cs="Times New Roman"/>
        </w:rPr>
        <w:footnoteRef/>
      </w:r>
      <w:r w:rsidRPr="00DC29C6">
        <w:rPr>
          <w:rFonts w:cs="Times New Roman"/>
        </w:rPr>
        <w:t xml:space="preserve"> </w:t>
      </w:r>
      <w:r w:rsidRPr="00DC29C6">
        <w:rPr>
          <w:rFonts w:cs="Times New Roman"/>
          <w:i/>
        </w:rPr>
        <w:t>Id</w:t>
      </w:r>
      <w:r w:rsidR="00952021">
        <w:rPr>
          <w:rFonts w:cs="Times New Roman"/>
          <w:i/>
        </w:rPr>
        <w:t>.</w:t>
      </w:r>
      <w:r w:rsidRPr="00DC29C6">
        <w:rPr>
          <w:rFonts w:cs="Times New Roman"/>
        </w:rPr>
        <w:t xml:space="preserve"> at 35:13-16.</w:t>
      </w:r>
    </w:p>
  </w:footnote>
  <w:footnote w:id="134">
    <w:p w14:paraId="1F65CAC6" w14:textId="77777777" w:rsidR="004B5E53" w:rsidRDefault="004B5E53" w:rsidP="006C63F8">
      <w:pPr>
        <w:pStyle w:val="FootnoteText"/>
      </w:pPr>
      <w:r>
        <w:rPr>
          <w:rStyle w:val="FootnoteReference"/>
        </w:rPr>
        <w:footnoteRef/>
      </w:r>
      <w:r>
        <w:t xml:space="preserve"> Mickelson Direct, Exh. No. CTM-1T at 8:10-15.</w:t>
      </w:r>
    </w:p>
  </w:footnote>
  <w:footnote w:id="135">
    <w:p w14:paraId="1F20DD0E" w14:textId="77777777" w:rsidR="004B5E53" w:rsidRDefault="004B5E53" w:rsidP="006C63F8">
      <w:pPr>
        <w:pStyle w:val="FootnoteText"/>
      </w:pPr>
      <w:r>
        <w:rPr>
          <w:rStyle w:val="FootnoteReference"/>
        </w:rPr>
        <w:footnoteRef/>
      </w:r>
      <w:r>
        <w:t xml:space="preserve"> Piliaris Rebuttal, Exh. No. JAP-9T at 35:1-2.</w:t>
      </w:r>
    </w:p>
  </w:footnote>
  <w:footnote w:id="136">
    <w:p w14:paraId="4ACD34BB" w14:textId="77777777" w:rsidR="004B5E53" w:rsidRDefault="004B5E53" w:rsidP="006C63F8">
      <w:pPr>
        <w:pStyle w:val="FootnoteText"/>
      </w:pPr>
      <w:r>
        <w:rPr>
          <w:rStyle w:val="FootnoteReference"/>
        </w:rPr>
        <w:footnoteRef/>
      </w:r>
      <w:r>
        <w:t xml:space="preserve"> Mickelson, Exh. No. CTM-2 at 1:2-6.</w:t>
      </w:r>
    </w:p>
  </w:footnote>
  <w:footnote w:id="137">
    <w:p w14:paraId="3D6CD12F" w14:textId="77777777" w:rsidR="004B5E53" w:rsidRDefault="004B5E53" w:rsidP="006C63F8">
      <w:pPr>
        <w:pStyle w:val="FootnoteText"/>
      </w:pPr>
      <w:r>
        <w:rPr>
          <w:rStyle w:val="FootnoteReference"/>
        </w:rPr>
        <w:footnoteRef/>
      </w:r>
      <w:r>
        <w:t xml:space="preserve"> Piliaris Rebuttal, Exh. No. JAP-9T at 34:21 to 35:2.</w:t>
      </w:r>
    </w:p>
  </w:footnote>
  <w:footnote w:id="138">
    <w:p w14:paraId="12A1DD75" w14:textId="77777777" w:rsidR="004B5E53" w:rsidRDefault="004B5E53" w:rsidP="006C63F8">
      <w:pPr>
        <w:pStyle w:val="FootnoteText"/>
      </w:pPr>
      <w:r>
        <w:rPr>
          <w:rStyle w:val="FootnoteReference"/>
        </w:rPr>
        <w:footnoteRef/>
      </w:r>
      <w:r>
        <w:t xml:space="preserve"> Piliaris Rebuttal, Exh. No. JAP-9T at 34:14-17.</w:t>
      </w:r>
    </w:p>
  </w:footnote>
  <w:footnote w:id="139">
    <w:p w14:paraId="66B97BC3" w14:textId="77777777" w:rsidR="004B5E53" w:rsidRDefault="004B5E53" w:rsidP="006C63F8">
      <w:pPr>
        <w:pStyle w:val="FootnoteText"/>
      </w:pPr>
      <w:r>
        <w:rPr>
          <w:rStyle w:val="FootnoteReference"/>
        </w:rPr>
        <w:footnoteRef/>
      </w:r>
      <w:r>
        <w:t xml:space="preserve"> Mickelson, Exh. No. CTM-2 at 1:40.</w:t>
      </w:r>
    </w:p>
  </w:footnote>
  <w:footnote w:id="140">
    <w:p w14:paraId="74CDD2C2" w14:textId="5B3C2667" w:rsidR="004B5E53" w:rsidRDefault="004B5E53" w:rsidP="006C63F8">
      <w:pPr>
        <w:pStyle w:val="FootnoteText"/>
      </w:pPr>
      <w:r>
        <w:rPr>
          <w:rStyle w:val="FootnoteReference"/>
        </w:rPr>
        <w:footnoteRef/>
      </w:r>
      <w:r>
        <w:t xml:space="preserve"> Piliaris</w:t>
      </w:r>
      <w:r w:rsidR="00952021">
        <w:t xml:space="preserve"> Rebuttal</w:t>
      </w:r>
      <w:r>
        <w:t>, Exh. No. JAP-9T at 32:1 to 34:5.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3251"/>
    <w:multiLevelType w:val="hybridMultilevel"/>
    <w:tmpl w:val="23AE3634"/>
    <w:lvl w:ilvl="0" w:tplc="D22439EA">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4527FF"/>
    <w:multiLevelType w:val="hybridMultilevel"/>
    <w:tmpl w:val="524EE17E"/>
    <w:lvl w:ilvl="0" w:tplc="2FB82D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932DF"/>
    <w:multiLevelType w:val="hybridMultilevel"/>
    <w:tmpl w:val="1E589670"/>
    <w:lvl w:ilvl="0" w:tplc="E3CA3E4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5EF2E1E"/>
    <w:multiLevelType w:val="hybridMultilevel"/>
    <w:tmpl w:val="16841770"/>
    <w:lvl w:ilvl="0" w:tplc="6FCC7B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0A00AB"/>
    <w:multiLevelType w:val="hybridMultilevel"/>
    <w:tmpl w:val="4AD2A834"/>
    <w:lvl w:ilvl="0" w:tplc="C5D03C5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F10917"/>
    <w:multiLevelType w:val="hybridMultilevel"/>
    <w:tmpl w:val="1FDA47B2"/>
    <w:lvl w:ilvl="0" w:tplc="ABD2279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E9099F"/>
    <w:multiLevelType w:val="hybridMultilevel"/>
    <w:tmpl w:val="8A1E2992"/>
    <w:lvl w:ilvl="0" w:tplc="8EBAD93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0B15F7C"/>
    <w:multiLevelType w:val="hybridMultilevel"/>
    <w:tmpl w:val="33DCEFD2"/>
    <w:lvl w:ilvl="0" w:tplc="E79009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442304"/>
    <w:multiLevelType w:val="hybridMultilevel"/>
    <w:tmpl w:val="F0E06D46"/>
    <w:lvl w:ilvl="0" w:tplc="C5D03C5E">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54F7D98"/>
    <w:multiLevelType w:val="hybridMultilevel"/>
    <w:tmpl w:val="3CDE6296"/>
    <w:lvl w:ilvl="0" w:tplc="9DBA726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622AA9"/>
    <w:multiLevelType w:val="hybridMultilevel"/>
    <w:tmpl w:val="98323B4E"/>
    <w:lvl w:ilvl="0" w:tplc="442A5D52">
      <w:start w:val="1"/>
      <w:numFmt w:val="decimal"/>
      <w:lvlText w:val="%1"/>
      <w:lvlJc w:val="left"/>
      <w:pPr>
        <w:ind w:left="720" w:hanging="720"/>
      </w:pPr>
      <w:rPr>
        <w:rFonts w:ascii="Times New Roman" w:hAnsi="Times New Roman" w:hint="default"/>
        <w:b w:val="0"/>
        <w:i/>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D623F9D"/>
    <w:multiLevelType w:val="hybridMultilevel"/>
    <w:tmpl w:val="0A44231E"/>
    <w:lvl w:ilvl="0" w:tplc="393E4A8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19F4C65"/>
    <w:multiLevelType w:val="hybridMultilevel"/>
    <w:tmpl w:val="9E7C69F8"/>
    <w:lvl w:ilvl="0" w:tplc="AA6454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076778"/>
    <w:multiLevelType w:val="hybridMultilevel"/>
    <w:tmpl w:val="57F01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2517A65"/>
    <w:multiLevelType w:val="hybridMultilevel"/>
    <w:tmpl w:val="4CB41832"/>
    <w:lvl w:ilvl="0" w:tplc="39724B62">
      <w:start w:val="1"/>
      <w:numFmt w:val="decimal"/>
      <w:lvlText w:val="%1."/>
      <w:lvlJc w:val="left"/>
      <w:pPr>
        <w:ind w:left="1800" w:hanging="360"/>
      </w:pPr>
      <w:rPr>
        <w:rFonts w:eastAsiaTheme="minorHAnsi"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E383630"/>
    <w:multiLevelType w:val="hybridMultilevel"/>
    <w:tmpl w:val="2236D8F4"/>
    <w:lvl w:ilvl="0" w:tplc="C4220376">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3EAB6C03"/>
    <w:multiLevelType w:val="hybridMultilevel"/>
    <w:tmpl w:val="A9385718"/>
    <w:lvl w:ilvl="0" w:tplc="7056F5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387FDC"/>
    <w:multiLevelType w:val="hybridMultilevel"/>
    <w:tmpl w:val="210889AE"/>
    <w:lvl w:ilvl="0" w:tplc="13725C6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387408"/>
    <w:multiLevelType w:val="hybridMultilevel"/>
    <w:tmpl w:val="29D6530E"/>
    <w:lvl w:ilvl="0" w:tplc="4204FB58">
      <w:start w:val="2"/>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43414F39"/>
    <w:multiLevelType w:val="hybridMultilevel"/>
    <w:tmpl w:val="399443DA"/>
    <w:lvl w:ilvl="0" w:tplc="7C788F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ACF3E3E"/>
    <w:multiLevelType w:val="hybridMultilevel"/>
    <w:tmpl w:val="1E9ED676"/>
    <w:lvl w:ilvl="0" w:tplc="109EC64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0A5A24"/>
    <w:multiLevelType w:val="hybridMultilevel"/>
    <w:tmpl w:val="D1462A1C"/>
    <w:lvl w:ilvl="0" w:tplc="442A5D52">
      <w:start w:val="1"/>
      <w:numFmt w:val="decimal"/>
      <w:lvlText w:val="%1"/>
      <w:lvlJc w:val="left"/>
      <w:pPr>
        <w:ind w:left="720" w:hanging="720"/>
      </w:pPr>
      <w:rPr>
        <w:rFonts w:ascii="Times New Roman" w:hAnsi="Times New Roman" w:hint="default"/>
        <w:b w:val="0"/>
        <w:i/>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0AD3081"/>
    <w:multiLevelType w:val="hybridMultilevel"/>
    <w:tmpl w:val="1A323294"/>
    <w:lvl w:ilvl="0" w:tplc="442A5D52">
      <w:start w:val="1"/>
      <w:numFmt w:val="decimal"/>
      <w:lvlText w:val="%1"/>
      <w:lvlJc w:val="left"/>
      <w:pPr>
        <w:ind w:left="720" w:hanging="720"/>
      </w:pPr>
      <w:rPr>
        <w:rFonts w:ascii="Times New Roman" w:hAnsi="Times New Roman" w:hint="default"/>
        <w:b w:val="0"/>
        <w:i/>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3BA5D0B"/>
    <w:multiLevelType w:val="hybridMultilevel"/>
    <w:tmpl w:val="486A87FE"/>
    <w:lvl w:ilvl="0" w:tplc="255C82C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57215C1B"/>
    <w:multiLevelType w:val="hybridMultilevel"/>
    <w:tmpl w:val="F9D6285C"/>
    <w:lvl w:ilvl="0" w:tplc="442A5D52">
      <w:start w:val="1"/>
      <w:numFmt w:val="decimal"/>
      <w:lvlText w:val="%1"/>
      <w:lvlJc w:val="left"/>
      <w:pPr>
        <w:ind w:left="0" w:hanging="720"/>
      </w:pPr>
      <w:rPr>
        <w:rFonts w:ascii="Times New Roman" w:hAnsi="Times New Roman" w:hint="default"/>
        <w:b w:val="0"/>
        <w:i/>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EC451F8"/>
    <w:multiLevelType w:val="hybridMultilevel"/>
    <w:tmpl w:val="B5BA2430"/>
    <w:lvl w:ilvl="0" w:tplc="547805AA">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6">
    <w:nsid w:val="5F197C80"/>
    <w:multiLevelType w:val="hybridMultilevel"/>
    <w:tmpl w:val="C1CA174A"/>
    <w:lvl w:ilvl="0" w:tplc="2CAAC3BE">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0223E48"/>
    <w:multiLevelType w:val="hybridMultilevel"/>
    <w:tmpl w:val="D110F5FE"/>
    <w:lvl w:ilvl="0" w:tplc="8A32358E">
      <w:start w:val="1"/>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52F7B9E"/>
    <w:multiLevelType w:val="hybridMultilevel"/>
    <w:tmpl w:val="7D86FBCE"/>
    <w:lvl w:ilvl="0" w:tplc="6FF2241A">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F5B3401"/>
    <w:multiLevelType w:val="hybridMultilevel"/>
    <w:tmpl w:val="0890E122"/>
    <w:lvl w:ilvl="0" w:tplc="82CA1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62C4329"/>
    <w:multiLevelType w:val="hybridMultilevel"/>
    <w:tmpl w:val="9BE0799E"/>
    <w:lvl w:ilvl="0" w:tplc="F372E494">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7DA2FD2"/>
    <w:multiLevelType w:val="hybridMultilevel"/>
    <w:tmpl w:val="4EE87946"/>
    <w:lvl w:ilvl="0" w:tplc="DC380ABC">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nsid w:val="7E1B24C3"/>
    <w:multiLevelType w:val="hybridMultilevel"/>
    <w:tmpl w:val="F280D666"/>
    <w:lvl w:ilvl="0" w:tplc="5D06391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0"/>
  </w:num>
  <w:num w:numId="2">
    <w:abstractNumId w:val="20"/>
  </w:num>
  <w:num w:numId="3">
    <w:abstractNumId w:val="1"/>
  </w:num>
  <w:num w:numId="4">
    <w:abstractNumId w:val="0"/>
  </w:num>
  <w:num w:numId="5">
    <w:abstractNumId w:val="17"/>
  </w:num>
  <w:num w:numId="6">
    <w:abstractNumId w:val="28"/>
  </w:num>
  <w:num w:numId="7">
    <w:abstractNumId w:val="16"/>
  </w:num>
  <w:num w:numId="8">
    <w:abstractNumId w:val="7"/>
  </w:num>
  <w:num w:numId="9">
    <w:abstractNumId w:val="12"/>
  </w:num>
  <w:num w:numId="10">
    <w:abstractNumId w:val="26"/>
  </w:num>
  <w:num w:numId="11">
    <w:abstractNumId w:val="27"/>
  </w:num>
  <w:num w:numId="12">
    <w:abstractNumId w:val="19"/>
  </w:num>
  <w:num w:numId="13">
    <w:abstractNumId w:val="9"/>
  </w:num>
  <w:num w:numId="14">
    <w:abstractNumId w:val="29"/>
  </w:num>
  <w:num w:numId="15">
    <w:abstractNumId w:val="15"/>
  </w:num>
  <w:num w:numId="16">
    <w:abstractNumId w:val="3"/>
  </w:num>
  <w:num w:numId="17">
    <w:abstractNumId w:val="5"/>
  </w:num>
  <w:num w:numId="18">
    <w:abstractNumId w:val="11"/>
  </w:num>
  <w:num w:numId="19">
    <w:abstractNumId w:val="18"/>
  </w:num>
  <w:num w:numId="20">
    <w:abstractNumId w:val="32"/>
  </w:num>
  <w:num w:numId="21">
    <w:abstractNumId w:val="31"/>
  </w:num>
  <w:num w:numId="22">
    <w:abstractNumId w:val="25"/>
  </w:num>
  <w:num w:numId="23">
    <w:abstractNumId w:val="23"/>
  </w:num>
  <w:num w:numId="24">
    <w:abstractNumId w:val="6"/>
  </w:num>
  <w:num w:numId="25">
    <w:abstractNumId w:val="24"/>
  </w:num>
  <w:num w:numId="26">
    <w:abstractNumId w:val="2"/>
  </w:num>
  <w:num w:numId="27">
    <w:abstractNumId w:val="14"/>
  </w:num>
  <w:num w:numId="28">
    <w:abstractNumId w:val="13"/>
  </w:num>
  <w:num w:numId="29">
    <w:abstractNumId w:val="4"/>
  </w:num>
  <w:num w:numId="30">
    <w:abstractNumId w:val="30"/>
  </w:num>
  <w:num w:numId="31">
    <w:abstractNumId w:val="22"/>
  </w:num>
  <w:num w:numId="32">
    <w:abstractNumId w:val="8"/>
  </w:num>
  <w:num w:numId="33">
    <w:abstractNumId w:val="10"/>
  </w:num>
  <w:num w:numId="34">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otter, Don (UTC)">
    <w15:presenceInfo w15:providerId="AD" w15:userId="S-1-5-21-1844237615-1844823847-839522115-11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A0C"/>
    <w:rsid w:val="00002CE4"/>
    <w:rsid w:val="00012354"/>
    <w:rsid w:val="00014116"/>
    <w:rsid w:val="000243D9"/>
    <w:rsid w:val="00036F3D"/>
    <w:rsid w:val="00045E0A"/>
    <w:rsid w:val="00050C80"/>
    <w:rsid w:val="000536B0"/>
    <w:rsid w:val="000560B7"/>
    <w:rsid w:val="00057FE8"/>
    <w:rsid w:val="0006734E"/>
    <w:rsid w:val="000778C3"/>
    <w:rsid w:val="00083C7E"/>
    <w:rsid w:val="0008726B"/>
    <w:rsid w:val="00087451"/>
    <w:rsid w:val="00092555"/>
    <w:rsid w:val="000A05A2"/>
    <w:rsid w:val="000A3F5E"/>
    <w:rsid w:val="000A7152"/>
    <w:rsid w:val="000D667A"/>
    <w:rsid w:val="000E3CEA"/>
    <w:rsid w:val="000F2D18"/>
    <w:rsid w:val="000F450B"/>
    <w:rsid w:val="00103E4C"/>
    <w:rsid w:val="001073DA"/>
    <w:rsid w:val="0011404E"/>
    <w:rsid w:val="00114625"/>
    <w:rsid w:val="001246E3"/>
    <w:rsid w:val="00125A4A"/>
    <w:rsid w:val="0013193C"/>
    <w:rsid w:val="00141631"/>
    <w:rsid w:val="001446FB"/>
    <w:rsid w:val="00146B40"/>
    <w:rsid w:val="00150D03"/>
    <w:rsid w:val="00151EAE"/>
    <w:rsid w:val="001543B6"/>
    <w:rsid w:val="00155815"/>
    <w:rsid w:val="0016350D"/>
    <w:rsid w:val="00163581"/>
    <w:rsid w:val="00164273"/>
    <w:rsid w:val="001711CA"/>
    <w:rsid w:val="0017170B"/>
    <w:rsid w:val="00174057"/>
    <w:rsid w:val="00190B24"/>
    <w:rsid w:val="00196DD6"/>
    <w:rsid w:val="001B4945"/>
    <w:rsid w:val="001B6671"/>
    <w:rsid w:val="001C5A85"/>
    <w:rsid w:val="001D04A9"/>
    <w:rsid w:val="001D1A95"/>
    <w:rsid w:val="001D5A8B"/>
    <w:rsid w:val="001E1AD3"/>
    <w:rsid w:val="00213686"/>
    <w:rsid w:val="002316F9"/>
    <w:rsid w:val="0023179B"/>
    <w:rsid w:val="0023210C"/>
    <w:rsid w:val="00236685"/>
    <w:rsid w:val="00241D8A"/>
    <w:rsid w:val="00250470"/>
    <w:rsid w:val="00253296"/>
    <w:rsid w:val="002642BC"/>
    <w:rsid w:val="002713C4"/>
    <w:rsid w:val="00285EC8"/>
    <w:rsid w:val="002A2A7D"/>
    <w:rsid w:val="002A3BF0"/>
    <w:rsid w:val="002A52FF"/>
    <w:rsid w:val="002B0A0C"/>
    <w:rsid w:val="002B693B"/>
    <w:rsid w:val="002C0765"/>
    <w:rsid w:val="002C2782"/>
    <w:rsid w:val="002D31B7"/>
    <w:rsid w:val="002D4D47"/>
    <w:rsid w:val="002E5DEC"/>
    <w:rsid w:val="002F15AA"/>
    <w:rsid w:val="002F324A"/>
    <w:rsid w:val="002F5146"/>
    <w:rsid w:val="0031558B"/>
    <w:rsid w:val="0032212C"/>
    <w:rsid w:val="00325FE1"/>
    <w:rsid w:val="00330FF7"/>
    <w:rsid w:val="00331758"/>
    <w:rsid w:val="0033556B"/>
    <w:rsid w:val="00337089"/>
    <w:rsid w:val="00342653"/>
    <w:rsid w:val="00343CCB"/>
    <w:rsid w:val="003478BD"/>
    <w:rsid w:val="0036045D"/>
    <w:rsid w:val="003610F8"/>
    <w:rsid w:val="00372759"/>
    <w:rsid w:val="00385F95"/>
    <w:rsid w:val="0038763E"/>
    <w:rsid w:val="003942A6"/>
    <w:rsid w:val="003A3181"/>
    <w:rsid w:val="003A7F77"/>
    <w:rsid w:val="003B1D0A"/>
    <w:rsid w:val="003D2622"/>
    <w:rsid w:val="003D32F6"/>
    <w:rsid w:val="003E4751"/>
    <w:rsid w:val="003F7CFC"/>
    <w:rsid w:val="00401215"/>
    <w:rsid w:val="00404DB2"/>
    <w:rsid w:val="00413A6A"/>
    <w:rsid w:val="00414E7D"/>
    <w:rsid w:val="00415C45"/>
    <w:rsid w:val="00417F17"/>
    <w:rsid w:val="004212A3"/>
    <w:rsid w:val="00426229"/>
    <w:rsid w:val="00430D6A"/>
    <w:rsid w:val="00441B96"/>
    <w:rsid w:val="004438E6"/>
    <w:rsid w:val="004455D9"/>
    <w:rsid w:val="00451EEB"/>
    <w:rsid w:val="0045266F"/>
    <w:rsid w:val="0045694B"/>
    <w:rsid w:val="00456DA6"/>
    <w:rsid w:val="00460C45"/>
    <w:rsid w:val="00462640"/>
    <w:rsid w:val="0046405B"/>
    <w:rsid w:val="00464572"/>
    <w:rsid w:val="00474F10"/>
    <w:rsid w:val="00480468"/>
    <w:rsid w:val="00480928"/>
    <w:rsid w:val="0049752E"/>
    <w:rsid w:val="004A2E07"/>
    <w:rsid w:val="004B0D0E"/>
    <w:rsid w:val="004B4A70"/>
    <w:rsid w:val="004B5E53"/>
    <w:rsid w:val="004B65E9"/>
    <w:rsid w:val="004B78FA"/>
    <w:rsid w:val="004D2098"/>
    <w:rsid w:val="004D3984"/>
    <w:rsid w:val="004E1949"/>
    <w:rsid w:val="004E62A3"/>
    <w:rsid w:val="004F1FEE"/>
    <w:rsid w:val="00520741"/>
    <w:rsid w:val="00521DB6"/>
    <w:rsid w:val="005220E4"/>
    <w:rsid w:val="00525BAC"/>
    <w:rsid w:val="00527547"/>
    <w:rsid w:val="005314CB"/>
    <w:rsid w:val="0054310A"/>
    <w:rsid w:val="00546F21"/>
    <w:rsid w:val="00551222"/>
    <w:rsid w:val="00561123"/>
    <w:rsid w:val="00581145"/>
    <w:rsid w:val="00581222"/>
    <w:rsid w:val="00581B3D"/>
    <w:rsid w:val="005A1887"/>
    <w:rsid w:val="005A1F0D"/>
    <w:rsid w:val="005A411A"/>
    <w:rsid w:val="005B21DB"/>
    <w:rsid w:val="005B7D27"/>
    <w:rsid w:val="005C445A"/>
    <w:rsid w:val="005D31D1"/>
    <w:rsid w:val="005D4798"/>
    <w:rsid w:val="005D6840"/>
    <w:rsid w:val="005D6889"/>
    <w:rsid w:val="005D74BE"/>
    <w:rsid w:val="005D79CC"/>
    <w:rsid w:val="005E5652"/>
    <w:rsid w:val="005F3636"/>
    <w:rsid w:val="005F3DD2"/>
    <w:rsid w:val="005F4A0F"/>
    <w:rsid w:val="005F582E"/>
    <w:rsid w:val="005F63A4"/>
    <w:rsid w:val="00603CF4"/>
    <w:rsid w:val="006046FB"/>
    <w:rsid w:val="0061431A"/>
    <w:rsid w:val="00620ED8"/>
    <w:rsid w:val="00631216"/>
    <w:rsid w:val="006466D8"/>
    <w:rsid w:val="00660D60"/>
    <w:rsid w:val="006635E2"/>
    <w:rsid w:val="006668FB"/>
    <w:rsid w:val="006700C3"/>
    <w:rsid w:val="006800A3"/>
    <w:rsid w:val="006914B9"/>
    <w:rsid w:val="00694C2A"/>
    <w:rsid w:val="00697A05"/>
    <w:rsid w:val="006A0D58"/>
    <w:rsid w:val="006A70D4"/>
    <w:rsid w:val="006A7848"/>
    <w:rsid w:val="006B0D39"/>
    <w:rsid w:val="006B5D17"/>
    <w:rsid w:val="006C63F8"/>
    <w:rsid w:val="006D11D7"/>
    <w:rsid w:val="007036D0"/>
    <w:rsid w:val="007329E7"/>
    <w:rsid w:val="007349F4"/>
    <w:rsid w:val="00735F35"/>
    <w:rsid w:val="007521DC"/>
    <w:rsid w:val="00757EB2"/>
    <w:rsid w:val="00767B4F"/>
    <w:rsid w:val="00784964"/>
    <w:rsid w:val="00787C8C"/>
    <w:rsid w:val="00797C4F"/>
    <w:rsid w:val="007B4628"/>
    <w:rsid w:val="007C3E1C"/>
    <w:rsid w:val="007D08F8"/>
    <w:rsid w:val="007F5858"/>
    <w:rsid w:val="008026AA"/>
    <w:rsid w:val="00807F90"/>
    <w:rsid w:val="0081562C"/>
    <w:rsid w:val="00821541"/>
    <w:rsid w:val="0082469E"/>
    <w:rsid w:val="00824D00"/>
    <w:rsid w:val="00833EA6"/>
    <w:rsid w:val="0084618B"/>
    <w:rsid w:val="008528F1"/>
    <w:rsid w:val="008536A0"/>
    <w:rsid w:val="00860FE6"/>
    <w:rsid w:val="00865186"/>
    <w:rsid w:val="00891413"/>
    <w:rsid w:val="00893202"/>
    <w:rsid w:val="008A2D50"/>
    <w:rsid w:val="008A4E01"/>
    <w:rsid w:val="008B0CBE"/>
    <w:rsid w:val="008B76C0"/>
    <w:rsid w:val="008C155A"/>
    <w:rsid w:val="008C5B34"/>
    <w:rsid w:val="008C67D6"/>
    <w:rsid w:val="008C7297"/>
    <w:rsid w:val="008D5C19"/>
    <w:rsid w:val="008E1312"/>
    <w:rsid w:val="008F29F5"/>
    <w:rsid w:val="008F5810"/>
    <w:rsid w:val="009055FA"/>
    <w:rsid w:val="00911C51"/>
    <w:rsid w:val="00922B45"/>
    <w:rsid w:val="009359B3"/>
    <w:rsid w:val="00942618"/>
    <w:rsid w:val="009433A9"/>
    <w:rsid w:val="0094527C"/>
    <w:rsid w:val="00952021"/>
    <w:rsid w:val="0095545C"/>
    <w:rsid w:val="00957F0F"/>
    <w:rsid w:val="00975A89"/>
    <w:rsid w:val="0099426C"/>
    <w:rsid w:val="00995B1E"/>
    <w:rsid w:val="00996F2D"/>
    <w:rsid w:val="00996F42"/>
    <w:rsid w:val="009A1359"/>
    <w:rsid w:val="009A75CC"/>
    <w:rsid w:val="009B5B79"/>
    <w:rsid w:val="009B6D3A"/>
    <w:rsid w:val="009C5AC8"/>
    <w:rsid w:val="009C5B61"/>
    <w:rsid w:val="009E1953"/>
    <w:rsid w:val="009E1B83"/>
    <w:rsid w:val="009F370E"/>
    <w:rsid w:val="00A17E7A"/>
    <w:rsid w:val="00A26ADF"/>
    <w:rsid w:val="00A3126E"/>
    <w:rsid w:val="00A70FE5"/>
    <w:rsid w:val="00A83C37"/>
    <w:rsid w:val="00A91B00"/>
    <w:rsid w:val="00AA467B"/>
    <w:rsid w:val="00AC1F1C"/>
    <w:rsid w:val="00AD65FE"/>
    <w:rsid w:val="00AE07C7"/>
    <w:rsid w:val="00B009BC"/>
    <w:rsid w:val="00B039B6"/>
    <w:rsid w:val="00B10A02"/>
    <w:rsid w:val="00B2062A"/>
    <w:rsid w:val="00B2065E"/>
    <w:rsid w:val="00B40868"/>
    <w:rsid w:val="00B409F8"/>
    <w:rsid w:val="00B45C2F"/>
    <w:rsid w:val="00B55DBA"/>
    <w:rsid w:val="00B601EC"/>
    <w:rsid w:val="00B7332A"/>
    <w:rsid w:val="00B74343"/>
    <w:rsid w:val="00B75CB7"/>
    <w:rsid w:val="00B76890"/>
    <w:rsid w:val="00B76C50"/>
    <w:rsid w:val="00B802A6"/>
    <w:rsid w:val="00B81BB5"/>
    <w:rsid w:val="00B86518"/>
    <w:rsid w:val="00B87CD7"/>
    <w:rsid w:val="00B92FAD"/>
    <w:rsid w:val="00B94D11"/>
    <w:rsid w:val="00BA1227"/>
    <w:rsid w:val="00BA3599"/>
    <w:rsid w:val="00BB39E0"/>
    <w:rsid w:val="00BB65DC"/>
    <w:rsid w:val="00BB6EF7"/>
    <w:rsid w:val="00BC17EE"/>
    <w:rsid w:val="00BC3D1B"/>
    <w:rsid w:val="00BC5691"/>
    <w:rsid w:val="00BE509F"/>
    <w:rsid w:val="00BE525D"/>
    <w:rsid w:val="00BE6628"/>
    <w:rsid w:val="00BF786F"/>
    <w:rsid w:val="00C05B99"/>
    <w:rsid w:val="00C25D9E"/>
    <w:rsid w:val="00C33AB0"/>
    <w:rsid w:val="00C46F5A"/>
    <w:rsid w:val="00C676E7"/>
    <w:rsid w:val="00C679EB"/>
    <w:rsid w:val="00C86EB1"/>
    <w:rsid w:val="00C96988"/>
    <w:rsid w:val="00CA0A60"/>
    <w:rsid w:val="00CA66CE"/>
    <w:rsid w:val="00CB246B"/>
    <w:rsid w:val="00CB2CAD"/>
    <w:rsid w:val="00CB5B0E"/>
    <w:rsid w:val="00CD1919"/>
    <w:rsid w:val="00CD2750"/>
    <w:rsid w:val="00CE44CB"/>
    <w:rsid w:val="00CF07A3"/>
    <w:rsid w:val="00D02AFD"/>
    <w:rsid w:val="00D21A20"/>
    <w:rsid w:val="00D23028"/>
    <w:rsid w:val="00D31138"/>
    <w:rsid w:val="00D34772"/>
    <w:rsid w:val="00D407DA"/>
    <w:rsid w:val="00D419BB"/>
    <w:rsid w:val="00D41C2E"/>
    <w:rsid w:val="00D53C7B"/>
    <w:rsid w:val="00D610B8"/>
    <w:rsid w:val="00D62646"/>
    <w:rsid w:val="00D634E6"/>
    <w:rsid w:val="00D72B89"/>
    <w:rsid w:val="00D730D5"/>
    <w:rsid w:val="00D7447C"/>
    <w:rsid w:val="00D754CC"/>
    <w:rsid w:val="00D804B3"/>
    <w:rsid w:val="00D808C5"/>
    <w:rsid w:val="00D80A07"/>
    <w:rsid w:val="00D80A64"/>
    <w:rsid w:val="00D82358"/>
    <w:rsid w:val="00D834D2"/>
    <w:rsid w:val="00D87D99"/>
    <w:rsid w:val="00DB38AF"/>
    <w:rsid w:val="00DB5212"/>
    <w:rsid w:val="00DB5C97"/>
    <w:rsid w:val="00DC0097"/>
    <w:rsid w:val="00DC6376"/>
    <w:rsid w:val="00DE2CE3"/>
    <w:rsid w:val="00DE48FA"/>
    <w:rsid w:val="00DF2B2E"/>
    <w:rsid w:val="00DF4377"/>
    <w:rsid w:val="00DF676D"/>
    <w:rsid w:val="00E108AB"/>
    <w:rsid w:val="00E12D77"/>
    <w:rsid w:val="00E14B55"/>
    <w:rsid w:val="00E16C42"/>
    <w:rsid w:val="00E20C04"/>
    <w:rsid w:val="00E36086"/>
    <w:rsid w:val="00E4553A"/>
    <w:rsid w:val="00E50B09"/>
    <w:rsid w:val="00E5361D"/>
    <w:rsid w:val="00E62C6E"/>
    <w:rsid w:val="00E70116"/>
    <w:rsid w:val="00E7128C"/>
    <w:rsid w:val="00E71FA1"/>
    <w:rsid w:val="00E77C13"/>
    <w:rsid w:val="00E77E90"/>
    <w:rsid w:val="00E83DBE"/>
    <w:rsid w:val="00E87B34"/>
    <w:rsid w:val="00E9207A"/>
    <w:rsid w:val="00E94774"/>
    <w:rsid w:val="00E972E7"/>
    <w:rsid w:val="00EA7BCA"/>
    <w:rsid w:val="00EB14D6"/>
    <w:rsid w:val="00EB201F"/>
    <w:rsid w:val="00EB526F"/>
    <w:rsid w:val="00EB57E1"/>
    <w:rsid w:val="00EC1B4A"/>
    <w:rsid w:val="00ED1372"/>
    <w:rsid w:val="00ED1EA6"/>
    <w:rsid w:val="00EE0059"/>
    <w:rsid w:val="00EE76B4"/>
    <w:rsid w:val="00EF272C"/>
    <w:rsid w:val="00EF4BE0"/>
    <w:rsid w:val="00EF54F9"/>
    <w:rsid w:val="00EF6540"/>
    <w:rsid w:val="00F0396C"/>
    <w:rsid w:val="00F052F8"/>
    <w:rsid w:val="00F055B9"/>
    <w:rsid w:val="00F05D2D"/>
    <w:rsid w:val="00F160E6"/>
    <w:rsid w:val="00F20D81"/>
    <w:rsid w:val="00F23F24"/>
    <w:rsid w:val="00F37798"/>
    <w:rsid w:val="00F421A6"/>
    <w:rsid w:val="00F427EC"/>
    <w:rsid w:val="00F47883"/>
    <w:rsid w:val="00F76514"/>
    <w:rsid w:val="00F821F5"/>
    <w:rsid w:val="00F84231"/>
    <w:rsid w:val="00F87350"/>
    <w:rsid w:val="00F91613"/>
    <w:rsid w:val="00F92A4A"/>
    <w:rsid w:val="00FB3C7D"/>
    <w:rsid w:val="00FB6AEB"/>
    <w:rsid w:val="00FC72E0"/>
    <w:rsid w:val="00FE0820"/>
    <w:rsid w:val="00FE08CE"/>
    <w:rsid w:val="00FF1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7E9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A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0A0C"/>
    <w:rPr>
      <w:sz w:val="16"/>
      <w:szCs w:val="16"/>
    </w:rPr>
  </w:style>
  <w:style w:type="paragraph" w:styleId="CommentText">
    <w:name w:val="annotation text"/>
    <w:basedOn w:val="Normal"/>
    <w:link w:val="CommentTextChar"/>
    <w:uiPriority w:val="99"/>
    <w:semiHidden/>
    <w:unhideWhenUsed/>
    <w:rsid w:val="002B0A0C"/>
    <w:rPr>
      <w:sz w:val="20"/>
      <w:szCs w:val="20"/>
    </w:rPr>
  </w:style>
  <w:style w:type="character" w:customStyle="1" w:styleId="CommentTextChar">
    <w:name w:val="Comment Text Char"/>
    <w:basedOn w:val="DefaultParagraphFont"/>
    <w:link w:val="CommentText"/>
    <w:uiPriority w:val="99"/>
    <w:semiHidden/>
    <w:rsid w:val="002B0A0C"/>
    <w:rPr>
      <w:sz w:val="20"/>
      <w:szCs w:val="20"/>
    </w:rPr>
  </w:style>
  <w:style w:type="paragraph" w:styleId="CommentSubject">
    <w:name w:val="annotation subject"/>
    <w:basedOn w:val="CommentText"/>
    <w:next w:val="CommentText"/>
    <w:link w:val="CommentSubjectChar"/>
    <w:uiPriority w:val="99"/>
    <w:semiHidden/>
    <w:unhideWhenUsed/>
    <w:rsid w:val="002B0A0C"/>
    <w:rPr>
      <w:b/>
      <w:bCs/>
    </w:rPr>
  </w:style>
  <w:style w:type="character" w:customStyle="1" w:styleId="CommentSubjectChar">
    <w:name w:val="Comment Subject Char"/>
    <w:basedOn w:val="CommentTextChar"/>
    <w:link w:val="CommentSubject"/>
    <w:uiPriority w:val="99"/>
    <w:semiHidden/>
    <w:rsid w:val="002B0A0C"/>
    <w:rPr>
      <w:b/>
      <w:bCs/>
      <w:sz w:val="20"/>
      <w:szCs w:val="20"/>
    </w:rPr>
  </w:style>
  <w:style w:type="paragraph" w:styleId="BalloonText">
    <w:name w:val="Balloon Text"/>
    <w:basedOn w:val="Normal"/>
    <w:link w:val="BalloonTextChar"/>
    <w:uiPriority w:val="99"/>
    <w:semiHidden/>
    <w:unhideWhenUsed/>
    <w:rsid w:val="002B0A0C"/>
    <w:rPr>
      <w:rFonts w:ascii="Tahoma" w:hAnsi="Tahoma" w:cs="Tahoma"/>
      <w:sz w:val="16"/>
      <w:szCs w:val="16"/>
    </w:rPr>
  </w:style>
  <w:style w:type="character" w:customStyle="1" w:styleId="BalloonTextChar">
    <w:name w:val="Balloon Text Char"/>
    <w:basedOn w:val="DefaultParagraphFont"/>
    <w:link w:val="BalloonText"/>
    <w:uiPriority w:val="99"/>
    <w:semiHidden/>
    <w:rsid w:val="002B0A0C"/>
    <w:rPr>
      <w:rFonts w:ascii="Tahoma" w:hAnsi="Tahoma" w:cs="Tahoma"/>
      <w:sz w:val="16"/>
      <w:szCs w:val="16"/>
    </w:rPr>
  </w:style>
  <w:style w:type="paragraph" w:styleId="ListParagraph">
    <w:name w:val="List Paragraph"/>
    <w:basedOn w:val="Normal"/>
    <w:uiPriority w:val="34"/>
    <w:qFormat/>
    <w:rsid w:val="00A70FE5"/>
    <w:pPr>
      <w:ind w:left="720"/>
      <w:contextualSpacing/>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A70FE5"/>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A70FE5"/>
    <w:rPr>
      <w:sz w:val="20"/>
      <w:szCs w:val="20"/>
    </w:rPr>
  </w:style>
  <w:style w:type="character" w:styleId="FootnoteReference">
    <w:name w:val="footnote reference"/>
    <w:aliases w:val="o,fr,Style 3"/>
    <w:basedOn w:val="DefaultParagraphFont"/>
    <w:uiPriority w:val="99"/>
    <w:unhideWhenUsed/>
    <w:qFormat/>
    <w:rsid w:val="00A70FE5"/>
    <w:rPr>
      <w:vertAlign w:val="superscript"/>
    </w:rPr>
  </w:style>
  <w:style w:type="paragraph" w:customStyle="1" w:styleId="Answer-Testimony">
    <w:name w:val="Answer - Testimony"/>
    <w:basedOn w:val="Normal"/>
    <w:link w:val="Answer-TestimonyChar"/>
    <w:qFormat/>
    <w:rsid w:val="00AC1F1C"/>
    <w:pPr>
      <w:spacing w:line="480" w:lineRule="auto"/>
      <w:ind w:left="720" w:hanging="720"/>
    </w:pPr>
    <w:rPr>
      <w:rFonts w:eastAsia="Times New Roman" w:cs="Times New Roman"/>
      <w:szCs w:val="24"/>
    </w:rPr>
  </w:style>
  <w:style w:type="character" w:customStyle="1" w:styleId="Answer-TestimonyChar">
    <w:name w:val="Answer - Testimony Char"/>
    <w:basedOn w:val="DefaultParagraphFont"/>
    <w:link w:val="Answer-Testimony"/>
    <w:rsid w:val="00AC1F1C"/>
    <w:rPr>
      <w:rFonts w:eastAsia="Times New Roman" w:cs="Times New Roman"/>
      <w:szCs w:val="24"/>
    </w:rPr>
  </w:style>
  <w:style w:type="paragraph" w:styleId="BodyTextIndent2">
    <w:name w:val="Body Text Indent 2"/>
    <w:basedOn w:val="Normal"/>
    <w:link w:val="BodyTextIndent2Char"/>
    <w:rsid w:val="00413A6A"/>
    <w:pPr>
      <w:ind w:left="686"/>
    </w:pPr>
    <w:rPr>
      <w:rFonts w:ascii="Palatino Linotype" w:eastAsia="Times New Roman" w:hAnsi="Palatino Linotype" w:cs="Times New Roman"/>
      <w:szCs w:val="24"/>
    </w:rPr>
  </w:style>
  <w:style w:type="character" w:customStyle="1" w:styleId="BodyTextIndent2Char">
    <w:name w:val="Body Text Indent 2 Char"/>
    <w:basedOn w:val="DefaultParagraphFont"/>
    <w:link w:val="BodyTextIndent2"/>
    <w:rsid w:val="00413A6A"/>
    <w:rPr>
      <w:rFonts w:ascii="Palatino Linotype" w:eastAsia="Times New Roman" w:hAnsi="Palatino Linotype" w:cs="Times New Roman"/>
      <w:szCs w:val="24"/>
    </w:rPr>
  </w:style>
  <w:style w:type="paragraph" w:styleId="Header">
    <w:name w:val="header"/>
    <w:basedOn w:val="Normal"/>
    <w:link w:val="HeaderChar"/>
    <w:rsid w:val="00413A6A"/>
    <w:pPr>
      <w:tabs>
        <w:tab w:val="center" w:pos="4320"/>
        <w:tab w:val="right" w:pos="8640"/>
      </w:tabs>
    </w:pPr>
    <w:rPr>
      <w:rFonts w:ascii="Palatino Linotype" w:eastAsia="Times New Roman" w:hAnsi="Palatino Linotype" w:cs="Times New Roman"/>
      <w:szCs w:val="24"/>
    </w:rPr>
  </w:style>
  <w:style w:type="character" w:customStyle="1" w:styleId="HeaderChar">
    <w:name w:val="Header Char"/>
    <w:basedOn w:val="DefaultParagraphFont"/>
    <w:link w:val="Header"/>
    <w:rsid w:val="00413A6A"/>
    <w:rPr>
      <w:rFonts w:ascii="Palatino Linotype" w:eastAsia="Times New Roman" w:hAnsi="Palatino Linotype" w:cs="Times New Roman"/>
      <w:szCs w:val="24"/>
    </w:rPr>
  </w:style>
  <w:style w:type="paragraph" w:styleId="Footer">
    <w:name w:val="footer"/>
    <w:basedOn w:val="Normal"/>
    <w:link w:val="FooterChar"/>
    <w:uiPriority w:val="99"/>
    <w:unhideWhenUsed/>
    <w:rsid w:val="002F15AA"/>
    <w:pPr>
      <w:tabs>
        <w:tab w:val="center" w:pos="4680"/>
        <w:tab w:val="right" w:pos="9360"/>
      </w:tabs>
    </w:pPr>
  </w:style>
  <w:style w:type="character" w:customStyle="1" w:styleId="FooterChar">
    <w:name w:val="Footer Char"/>
    <w:basedOn w:val="DefaultParagraphFont"/>
    <w:link w:val="Footer"/>
    <w:uiPriority w:val="99"/>
    <w:rsid w:val="002F15AA"/>
  </w:style>
  <w:style w:type="paragraph" w:styleId="EndnoteText">
    <w:name w:val="endnote text"/>
    <w:basedOn w:val="Normal"/>
    <w:link w:val="EndnoteTextChar"/>
    <w:uiPriority w:val="99"/>
    <w:semiHidden/>
    <w:unhideWhenUsed/>
    <w:rsid w:val="005A1887"/>
    <w:rPr>
      <w:sz w:val="20"/>
      <w:szCs w:val="20"/>
    </w:rPr>
  </w:style>
  <w:style w:type="character" w:customStyle="1" w:styleId="EndnoteTextChar">
    <w:name w:val="Endnote Text Char"/>
    <w:basedOn w:val="DefaultParagraphFont"/>
    <w:link w:val="EndnoteText"/>
    <w:uiPriority w:val="99"/>
    <w:semiHidden/>
    <w:rsid w:val="005A1887"/>
    <w:rPr>
      <w:sz w:val="20"/>
      <w:szCs w:val="20"/>
    </w:rPr>
  </w:style>
  <w:style w:type="character" w:styleId="EndnoteReference">
    <w:name w:val="endnote reference"/>
    <w:basedOn w:val="DefaultParagraphFont"/>
    <w:uiPriority w:val="99"/>
    <w:semiHidden/>
    <w:unhideWhenUsed/>
    <w:rsid w:val="005A1887"/>
    <w:rPr>
      <w:vertAlign w:val="superscript"/>
    </w:rPr>
  </w:style>
  <w:style w:type="paragraph" w:styleId="BodyTextIndent">
    <w:name w:val="Body Text Indent"/>
    <w:basedOn w:val="Normal"/>
    <w:link w:val="BodyTextIndentChar"/>
    <w:uiPriority w:val="99"/>
    <w:semiHidden/>
    <w:unhideWhenUsed/>
    <w:rsid w:val="00B86518"/>
    <w:pPr>
      <w:spacing w:after="120"/>
      <w:ind w:left="360"/>
    </w:pPr>
  </w:style>
  <w:style w:type="character" w:customStyle="1" w:styleId="BodyTextIndentChar">
    <w:name w:val="Body Text Indent Char"/>
    <w:basedOn w:val="DefaultParagraphFont"/>
    <w:link w:val="BodyTextIndent"/>
    <w:uiPriority w:val="99"/>
    <w:semiHidden/>
    <w:rsid w:val="00B86518"/>
  </w:style>
  <w:style w:type="paragraph" w:customStyle="1" w:styleId="Level1">
    <w:name w:val="Level 1"/>
    <w:basedOn w:val="Normal"/>
    <w:uiPriority w:val="99"/>
    <w:rsid w:val="00B86518"/>
    <w:pPr>
      <w:widowControl w:val="0"/>
      <w:autoSpaceDE w:val="0"/>
      <w:autoSpaceDN w:val="0"/>
      <w:adjustRightInd w:val="0"/>
      <w:ind w:left="720" w:hanging="720"/>
      <w:outlineLvl w:val="0"/>
    </w:pPr>
    <w:rPr>
      <w:rFonts w:eastAsiaTheme="minorEastAsia" w:cs="Times New Roman"/>
      <w:szCs w:val="24"/>
    </w:rPr>
  </w:style>
  <w:style w:type="character" w:styleId="Hyperlink">
    <w:name w:val="Hyperlink"/>
    <w:basedOn w:val="DefaultParagraphFont"/>
    <w:uiPriority w:val="99"/>
    <w:unhideWhenUsed/>
    <w:rsid w:val="001B4945"/>
    <w:rPr>
      <w:color w:val="0000FF" w:themeColor="hyperlink"/>
      <w:u w:val="single"/>
    </w:rPr>
  </w:style>
  <w:style w:type="paragraph" w:styleId="Revision">
    <w:name w:val="Revision"/>
    <w:hidden/>
    <w:uiPriority w:val="99"/>
    <w:semiHidden/>
    <w:rsid w:val="006A0D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A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0A0C"/>
    <w:rPr>
      <w:sz w:val="16"/>
      <w:szCs w:val="16"/>
    </w:rPr>
  </w:style>
  <w:style w:type="paragraph" w:styleId="CommentText">
    <w:name w:val="annotation text"/>
    <w:basedOn w:val="Normal"/>
    <w:link w:val="CommentTextChar"/>
    <w:uiPriority w:val="99"/>
    <w:semiHidden/>
    <w:unhideWhenUsed/>
    <w:rsid w:val="002B0A0C"/>
    <w:rPr>
      <w:sz w:val="20"/>
      <w:szCs w:val="20"/>
    </w:rPr>
  </w:style>
  <w:style w:type="character" w:customStyle="1" w:styleId="CommentTextChar">
    <w:name w:val="Comment Text Char"/>
    <w:basedOn w:val="DefaultParagraphFont"/>
    <w:link w:val="CommentText"/>
    <w:uiPriority w:val="99"/>
    <w:semiHidden/>
    <w:rsid w:val="002B0A0C"/>
    <w:rPr>
      <w:sz w:val="20"/>
      <w:szCs w:val="20"/>
    </w:rPr>
  </w:style>
  <w:style w:type="paragraph" w:styleId="CommentSubject">
    <w:name w:val="annotation subject"/>
    <w:basedOn w:val="CommentText"/>
    <w:next w:val="CommentText"/>
    <w:link w:val="CommentSubjectChar"/>
    <w:uiPriority w:val="99"/>
    <w:semiHidden/>
    <w:unhideWhenUsed/>
    <w:rsid w:val="002B0A0C"/>
    <w:rPr>
      <w:b/>
      <w:bCs/>
    </w:rPr>
  </w:style>
  <w:style w:type="character" w:customStyle="1" w:styleId="CommentSubjectChar">
    <w:name w:val="Comment Subject Char"/>
    <w:basedOn w:val="CommentTextChar"/>
    <w:link w:val="CommentSubject"/>
    <w:uiPriority w:val="99"/>
    <w:semiHidden/>
    <w:rsid w:val="002B0A0C"/>
    <w:rPr>
      <w:b/>
      <w:bCs/>
      <w:sz w:val="20"/>
      <w:szCs w:val="20"/>
    </w:rPr>
  </w:style>
  <w:style w:type="paragraph" w:styleId="BalloonText">
    <w:name w:val="Balloon Text"/>
    <w:basedOn w:val="Normal"/>
    <w:link w:val="BalloonTextChar"/>
    <w:uiPriority w:val="99"/>
    <w:semiHidden/>
    <w:unhideWhenUsed/>
    <w:rsid w:val="002B0A0C"/>
    <w:rPr>
      <w:rFonts w:ascii="Tahoma" w:hAnsi="Tahoma" w:cs="Tahoma"/>
      <w:sz w:val="16"/>
      <w:szCs w:val="16"/>
    </w:rPr>
  </w:style>
  <w:style w:type="character" w:customStyle="1" w:styleId="BalloonTextChar">
    <w:name w:val="Balloon Text Char"/>
    <w:basedOn w:val="DefaultParagraphFont"/>
    <w:link w:val="BalloonText"/>
    <w:uiPriority w:val="99"/>
    <w:semiHidden/>
    <w:rsid w:val="002B0A0C"/>
    <w:rPr>
      <w:rFonts w:ascii="Tahoma" w:hAnsi="Tahoma" w:cs="Tahoma"/>
      <w:sz w:val="16"/>
      <w:szCs w:val="16"/>
    </w:rPr>
  </w:style>
  <w:style w:type="paragraph" w:styleId="ListParagraph">
    <w:name w:val="List Paragraph"/>
    <w:basedOn w:val="Normal"/>
    <w:uiPriority w:val="34"/>
    <w:qFormat/>
    <w:rsid w:val="00A70FE5"/>
    <w:pPr>
      <w:ind w:left="720"/>
      <w:contextualSpacing/>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A70FE5"/>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A70FE5"/>
    <w:rPr>
      <w:sz w:val="20"/>
      <w:szCs w:val="20"/>
    </w:rPr>
  </w:style>
  <w:style w:type="character" w:styleId="FootnoteReference">
    <w:name w:val="footnote reference"/>
    <w:aliases w:val="o,fr,Style 3"/>
    <w:basedOn w:val="DefaultParagraphFont"/>
    <w:uiPriority w:val="99"/>
    <w:unhideWhenUsed/>
    <w:qFormat/>
    <w:rsid w:val="00A70FE5"/>
    <w:rPr>
      <w:vertAlign w:val="superscript"/>
    </w:rPr>
  </w:style>
  <w:style w:type="paragraph" w:customStyle="1" w:styleId="Answer-Testimony">
    <w:name w:val="Answer - Testimony"/>
    <w:basedOn w:val="Normal"/>
    <w:link w:val="Answer-TestimonyChar"/>
    <w:qFormat/>
    <w:rsid w:val="00AC1F1C"/>
    <w:pPr>
      <w:spacing w:line="480" w:lineRule="auto"/>
      <w:ind w:left="720" w:hanging="720"/>
    </w:pPr>
    <w:rPr>
      <w:rFonts w:eastAsia="Times New Roman" w:cs="Times New Roman"/>
      <w:szCs w:val="24"/>
    </w:rPr>
  </w:style>
  <w:style w:type="character" w:customStyle="1" w:styleId="Answer-TestimonyChar">
    <w:name w:val="Answer - Testimony Char"/>
    <w:basedOn w:val="DefaultParagraphFont"/>
    <w:link w:val="Answer-Testimony"/>
    <w:rsid w:val="00AC1F1C"/>
    <w:rPr>
      <w:rFonts w:eastAsia="Times New Roman" w:cs="Times New Roman"/>
      <w:szCs w:val="24"/>
    </w:rPr>
  </w:style>
  <w:style w:type="paragraph" w:styleId="BodyTextIndent2">
    <w:name w:val="Body Text Indent 2"/>
    <w:basedOn w:val="Normal"/>
    <w:link w:val="BodyTextIndent2Char"/>
    <w:rsid w:val="00413A6A"/>
    <w:pPr>
      <w:ind w:left="686"/>
    </w:pPr>
    <w:rPr>
      <w:rFonts w:ascii="Palatino Linotype" w:eastAsia="Times New Roman" w:hAnsi="Palatino Linotype" w:cs="Times New Roman"/>
      <w:szCs w:val="24"/>
    </w:rPr>
  </w:style>
  <w:style w:type="character" w:customStyle="1" w:styleId="BodyTextIndent2Char">
    <w:name w:val="Body Text Indent 2 Char"/>
    <w:basedOn w:val="DefaultParagraphFont"/>
    <w:link w:val="BodyTextIndent2"/>
    <w:rsid w:val="00413A6A"/>
    <w:rPr>
      <w:rFonts w:ascii="Palatino Linotype" w:eastAsia="Times New Roman" w:hAnsi="Palatino Linotype" w:cs="Times New Roman"/>
      <w:szCs w:val="24"/>
    </w:rPr>
  </w:style>
  <w:style w:type="paragraph" w:styleId="Header">
    <w:name w:val="header"/>
    <w:basedOn w:val="Normal"/>
    <w:link w:val="HeaderChar"/>
    <w:rsid w:val="00413A6A"/>
    <w:pPr>
      <w:tabs>
        <w:tab w:val="center" w:pos="4320"/>
        <w:tab w:val="right" w:pos="8640"/>
      </w:tabs>
    </w:pPr>
    <w:rPr>
      <w:rFonts w:ascii="Palatino Linotype" w:eastAsia="Times New Roman" w:hAnsi="Palatino Linotype" w:cs="Times New Roman"/>
      <w:szCs w:val="24"/>
    </w:rPr>
  </w:style>
  <w:style w:type="character" w:customStyle="1" w:styleId="HeaderChar">
    <w:name w:val="Header Char"/>
    <w:basedOn w:val="DefaultParagraphFont"/>
    <w:link w:val="Header"/>
    <w:rsid w:val="00413A6A"/>
    <w:rPr>
      <w:rFonts w:ascii="Palatino Linotype" w:eastAsia="Times New Roman" w:hAnsi="Palatino Linotype" w:cs="Times New Roman"/>
      <w:szCs w:val="24"/>
    </w:rPr>
  </w:style>
  <w:style w:type="paragraph" w:styleId="Footer">
    <w:name w:val="footer"/>
    <w:basedOn w:val="Normal"/>
    <w:link w:val="FooterChar"/>
    <w:uiPriority w:val="99"/>
    <w:unhideWhenUsed/>
    <w:rsid w:val="002F15AA"/>
    <w:pPr>
      <w:tabs>
        <w:tab w:val="center" w:pos="4680"/>
        <w:tab w:val="right" w:pos="9360"/>
      </w:tabs>
    </w:pPr>
  </w:style>
  <w:style w:type="character" w:customStyle="1" w:styleId="FooterChar">
    <w:name w:val="Footer Char"/>
    <w:basedOn w:val="DefaultParagraphFont"/>
    <w:link w:val="Footer"/>
    <w:uiPriority w:val="99"/>
    <w:rsid w:val="002F15AA"/>
  </w:style>
  <w:style w:type="paragraph" w:styleId="EndnoteText">
    <w:name w:val="endnote text"/>
    <w:basedOn w:val="Normal"/>
    <w:link w:val="EndnoteTextChar"/>
    <w:uiPriority w:val="99"/>
    <w:semiHidden/>
    <w:unhideWhenUsed/>
    <w:rsid w:val="005A1887"/>
    <w:rPr>
      <w:sz w:val="20"/>
      <w:szCs w:val="20"/>
    </w:rPr>
  </w:style>
  <w:style w:type="character" w:customStyle="1" w:styleId="EndnoteTextChar">
    <w:name w:val="Endnote Text Char"/>
    <w:basedOn w:val="DefaultParagraphFont"/>
    <w:link w:val="EndnoteText"/>
    <w:uiPriority w:val="99"/>
    <w:semiHidden/>
    <w:rsid w:val="005A1887"/>
    <w:rPr>
      <w:sz w:val="20"/>
      <w:szCs w:val="20"/>
    </w:rPr>
  </w:style>
  <w:style w:type="character" w:styleId="EndnoteReference">
    <w:name w:val="endnote reference"/>
    <w:basedOn w:val="DefaultParagraphFont"/>
    <w:uiPriority w:val="99"/>
    <w:semiHidden/>
    <w:unhideWhenUsed/>
    <w:rsid w:val="005A1887"/>
    <w:rPr>
      <w:vertAlign w:val="superscript"/>
    </w:rPr>
  </w:style>
  <w:style w:type="paragraph" w:styleId="BodyTextIndent">
    <w:name w:val="Body Text Indent"/>
    <w:basedOn w:val="Normal"/>
    <w:link w:val="BodyTextIndentChar"/>
    <w:uiPriority w:val="99"/>
    <w:semiHidden/>
    <w:unhideWhenUsed/>
    <w:rsid w:val="00B86518"/>
    <w:pPr>
      <w:spacing w:after="120"/>
      <w:ind w:left="360"/>
    </w:pPr>
  </w:style>
  <w:style w:type="character" w:customStyle="1" w:styleId="BodyTextIndentChar">
    <w:name w:val="Body Text Indent Char"/>
    <w:basedOn w:val="DefaultParagraphFont"/>
    <w:link w:val="BodyTextIndent"/>
    <w:uiPriority w:val="99"/>
    <w:semiHidden/>
    <w:rsid w:val="00B86518"/>
  </w:style>
  <w:style w:type="paragraph" w:customStyle="1" w:styleId="Level1">
    <w:name w:val="Level 1"/>
    <w:basedOn w:val="Normal"/>
    <w:uiPriority w:val="99"/>
    <w:rsid w:val="00B86518"/>
    <w:pPr>
      <w:widowControl w:val="0"/>
      <w:autoSpaceDE w:val="0"/>
      <w:autoSpaceDN w:val="0"/>
      <w:adjustRightInd w:val="0"/>
      <w:ind w:left="720" w:hanging="720"/>
      <w:outlineLvl w:val="0"/>
    </w:pPr>
    <w:rPr>
      <w:rFonts w:eastAsiaTheme="minorEastAsia" w:cs="Times New Roman"/>
      <w:szCs w:val="24"/>
    </w:rPr>
  </w:style>
  <w:style w:type="character" w:styleId="Hyperlink">
    <w:name w:val="Hyperlink"/>
    <w:basedOn w:val="DefaultParagraphFont"/>
    <w:uiPriority w:val="99"/>
    <w:unhideWhenUsed/>
    <w:rsid w:val="001B4945"/>
    <w:rPr>
      <w:color w:val="0000FF" w:themeColor="hyperlink"/>
      <w:u w:val="single"/>
    </w:rPr>
  </w:style>
  <w:style w:type="paragraph" w:styleId="Revision">
    <w:name w:val="Revision"/>
    <w:hidden/>
    <w:uiPriority w:val="99"/>
    <w:semiHidden/>
    <w:rsid w:val="006A0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12489">
      <w:bodyDiv w:val="1"/>
      <w:marLeft w:val="0"/>
      <w:marRight w:val="0"/>
      <w:marTop w:val="0"/>
      <w:marBottom w:val="0"/>
      <w:divBdr>
        <w:top w:val="none" w:sz="0" w:space="0" w:color="auto"/>
        <w:left w:val="none" w:sz="0" w:space="0" w:color="auto"/>
        <w:bottom w:val="none" w:sz="0" w:space="0" w:color="auto"/>
        <w:right w:val="none" w:sz="0" w:space="0" w:color="auto"/>
      </w:divBdr>
      <w:divsChild>
        <w:div w:id="684017632">
          <w:marLeft w:val="0"/>
          <w:marRight w:val="0"/>
          <w:marTop w:val="0"/>
          <w:marBottom w:val="0"/>
          <w:divBdr>
            <w:top w:val="none" w:sz="0" w:space="0" w:color="auto"/>
            <w:left w:val="single" w:sz="6" w:space="0" w:color="D2D2D2"/>
            <w:bottom w:val="single" w:sz="6" w:space="0" w:color="D2D2D2"/>
            <w:right w:val="single" w:sz="6" w:space="0" w:color="D2D2D2"/>
          </w:divBdr>
          <w:divsChild>
            <w:div w:id="2002196823">
              <w:marLeft w:val="0"/>
              <w:marRight w:val="0"/>
              <w:marTop w:val="0"/>
              <w:marBottom w:val="0"/>
              <w:divBdr>
                <w:top w:val="none" w:sz="0" w:space="0" w:color="auto"/>
                <w:left w:val="none" w:sz="0" w:space="0" w:color="auto"/>
                <w:bottom w:val="none" w:sz="0" w:space="0" w:color="auto"/>
                <w:right w:val="single" w:sz="48" w:space="0" w:color="F6F6F6"/>
              </w:divBdr>
              <w:divsChild>
                <w:div w:id="8893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339755">
      <w:bodyDiv w:val="1"/>
      <w:marLeft w:val="0"/>
      <w:marRight w:val="0"/>
      <w:marTop w:val="0"/>
      <w:marBottom w:val="0"/>
      <w:divBdr>
        <w:top w:val="none" w:sz="0" w:space="0" w:color="auto"/>
        <w:left w:val="none" w:sz="0" w:space="0" w:color="auto"/>
        <w:bottom w:val="none" w:sz="0" w:space="0" w:color="auto"/>
        <w:right w:val="none" w:sz="0" w:space="0" w:color="auto"/>
      </w:divBdr>
    </w:div>
    <w:div w:id="150801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2013-10-31T07:00:00+00:00</OpenedDate>
    <Date1 xmlns="dc463f71-b30c-4ab2-9473-d307f9d35888">2014-06-10T07:00:00+00:00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7A0A5D7D9C4E4DAB7922844D35C890" ma:contentTypeVersion="135" ma:contentTypeDescription="" ma:contentTypeScope="" ma:versionID="70a3fd3cd15240eeeb6ebd65f477f9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53867-CCD9-4287-9FC5-60131DB3DF2F}"/>
</file>

<file path=customXml/itemProps2.xml><?xml version="1.0" encoding="utf-8"?>
<ds:datastoreItem xmlns:ds="http://schemas.openxmlformats.org/officeDocument/2006/customXml" ds:itemID="{B0046374-E331-4C00-BE70-273378EE8DE6}"/>
</file>

<file path=customXml/itemProps3.xml><?xml version="1.0" encoding="utf-8"?>
<ds:datastoreItem xmlns:ds="http://schemas.openxmlformats.org/officeDocument/2006/customXml" ds:itemID="{1F00F879-EF82-4B41-8F02-86EC826A2C16}"/>
</file>

<file path=customXml/itemProps4.xml><?xml version="1.0" encoding="utf-8"?>
<ds:datastoreItem xmlns:ds="http://schemas.openxmlformats.org/officeDocument/2006/customXml" ds:itemID="{7EE34CFE-72B8-467E-895A-6416EB9A8F8A}"/>
</file>

<file path=customXml/itemProps5.xml><?xml version="1.0" encoding="utf-8"?>
<ds:datastoreItem xmlns:ds="http://schemas.openxmlformats.org/officeDocument/2006/customXml" ds:itemID="{4D1A6344-EDEB-4BB9-988C-8C7138F086C8}"/>
</file>

<file path=docProps/app.xml><?xml version="1.0" encoding="utf-8"?>
<Properties xmlns="http://schemas.openxmlformats.org/officeDocument/2006/extended-properties" xmlns:vt="http://schemas.openxmlformats.org/officeDocument/2006/docPropsVTypes">
  <Template>Normal.dotm</Template>
  <TotalTime>313</TotalTime>
  <Pages>45</Pages>
  <Words>10414</Words>
  <Characters>59364</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 Trotter</dc:creator>
  <cp:lastModifiedBy>Krista Gross</cp:lastModifiedBy>
  <cp:revision>43</cp:revision>
  <cp:lastPrinted>2014-06-10T16:07:00Z</cp:lastPrinted>
  <dcterms:created xsi:type="dcterms:W3CDTF">2014-06-09T15:24:00Z</dcterms:created>
  <dcterms:modified xsi:type="dcterms:W3CDTF">2014-06-10T16:07:00Z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0x0101006E56B4D1795A2E4DB2F0B01679ED314A00C87A0A5D7D9C4E4DAB7922844D35C890</vt:lpwstr>
  </property>
  <property fmtid="{D5CDD505-2E9C-101B-9397-08002B2CF9AE}" pid="3" name="_docset_NoMedatataSyncRequired">
    <vt:lpwstr>False</vt:lpwstr>
  </property>
</Properties>
</file>