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39" w:rsidRDefault="0044071C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  <w:r>
        <w:rPr>
          <w:spacing w:val="-1"/>
        </w:rPr>
        <w:t>March 15</w:t>
      </w:r>
      <w:r w:rsidR="0046549E" w:rsidRPr="00191C39">
        <w:t>, 201</w:t>
      </w:r>
      <w:r w:rsidR="00A813E4">
        <w:t>8</w:t>
      </w:r>
      <w:r w:rsidR="0046549E" w:rsidRPr="00191C39">
        <w:rPr>
          <w:spacing w:val="23"/>
        </w:rPr>
        <w:t xml:space="preserve"> </w:t>
      </w:r>
    </w:p>
    <w:p w:rsidR="00191C39" w:rsidRDefault="00191C39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:rsidR="0046549E" w:rsidRDefault="0046549E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:rsidR="0046549E" w:rsidRPr="00191C39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:rsidR="0046549E" w:rsidRDefault="0046549E" w:rsidP="00191C39">
      <w:pPr>
        <w:pStyle w:val="BodyText"/>
        <w:kinsoku w:val="0"/>
        <w:overflowPunct w:val="0"/>
        <w:ind w:left="0"/>
        <w:jc w:val="both"/>
      </w:pPr>
    </w:p>
    <w:p w:rsidR="00F2115A" w:rsidRPr="00191C39" w:rsidRDefault="0044071C" w:rsidP="00191C39">
      <w:pPr>
        <w:pStyle w:val="BodyText"/>
        <w:kinsoku w:val="0"/>
        <w:overflowPunct w:val="0"/>
        <w:ind w:left="0"/>
        <w:jc w:val="both"/>
      </w:pPr>
      <w:r>
        <w:t>Dear Secretary:</w:t>
      </w:r>
    </w:p>
    <w:p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:rsidR="0044071C" w:rsidRDefault="0044071C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  <w:r>
        <w:rPr>
          <w:spacing w:val="-3"/>
        </w:rPr>
        <w:t xml:space="preserve">Bainbridge Disposal has filed its annual commodity credit in Docket TG-180049. Due to the volatility in the recycling commodity markets we may now request a waiver from WAC 480-70-351(2). </w:t>
      </w:r>
      <w:r w:rsidR="00C0521D">
        <w:rPr>
          <w:spacing w:val="-3"/>
        </w:rPr>
        <w:t xml:space="preserve"> </w:t>
      </w:r>
      <w:bookmarkStart w:id="0" w:name="_GoBack"/>
      <w:bookmarkEnd w:id="0"/>
      <w:r>
        <w:rPr>
          <w:spacing w:val="-3"/>
        </w:rPr>
        <w:t xml:space="preserve">The calculation used the most recent 6-month historical period to estimate the recycling commodity revenue and commodity credit for the next six months. </w:t>
      </w:r>
      <w:r w:rsidR="00C0521D">
        <w:rPr>
          <w:spacing w:val="-3"/>
        </w:rPr>
        <w:t xml:space="preserve"> </w:t>
      </w:r>
      <w:r>
        <w:rPr>
          <w:spacing w:val="-3"/>
        </w:rPr>
        <w:t xml:space="preserve">The effective date of the commodity credit filing, April 1, 2018 remains unchanged. </w:t>
      </w:r>
      <w:r w:rsidR="00C0521D">
        <w:rPr>
          <w:spacing w:val="-3"/>
        </w:rPr>
        <w:t xml:space="preserve"> </w:t>
      </w:r>
      <w:r>
        <w:rPr>
          <w:spacing w:val="-3"/>
        </w:rPr>
        <w:t xml:space="preserve">Attached are updated workpapers reflecting the change from a 12-month period to a 6-month period for calculating the projected commodity </w:t>
      </w:r>
      <w:proofErr w:type="gramStart"/>
      <w:r>
        <w:rPr>
          <w:spacing w:val="-3"/>
        </w:rPr>
        <w:t>credit.</w:t>
      </w:r>
      <w:proofErr w:type="gramEnd"/>
    </w:p>
    <w:p w:rsidR="0044071C" w:rsidRDefault="0044071C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on behalf of Bainbridge Disposal is on record.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>
        <w:t>Heather Church may be reached at Bainbridge Disposal, Inc., P</w:t>
      </w:r>
      <w:r w:rsidR="00CB049E">
        <w:t xml:space="preserve"> </w:t>
      </w:r>
      <w:r>
        <w:t xml:space="preserve">O Box 10699, Bainbridge Island, WA 98110; </w:t>
      </w:r>
      <w:r w:rsidRPr="00EC1C6F">
        <w:t>phone 206</w:t>
      </w:r>
      <w:r>
        <w:t>-</w:t>
      </w:r>
      <w:r w:rsidRPr="00EC1C6F">
        <w:t>842-4882</w:t>
      </w:r>
      <w:r>
        <w:t xml:space="preserve">, fax </w:t>
      </w:r>
      <w:r w:rsidRPr="000C6BBD">
        <w:t>206-780-9730</w:t>
      </w:r>
      <w:r>
        <w:t xml:space="preserve"> or email </w:t>
      </w:r>
      <w:r w:rsidRPr="00FC03A8">
        <w:t>heather@bainbridgedisposal.com</w:t>
      </w:r>
      <w:r>
        <w:t>.</w:t>
      </w:r>
    </w:p>
    <w:p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:rsidR="000943D6" w:rsidRDefault="000943D6" w:rsidP="000943D6"/>
    <w:p w:rsidR="00CD228E" w:rsidRPr="00191C39" w:rsidRDefault="00CD228E" w:rsidP="00191C39">
      <w:pPr>
        <w:pStyle w:val="BodyText"/>
        <w:kinsoku w:val="0"/>
        <w:overflowPunct w:val="0"/>
        <w:ind w:left="0"/>
        <w:jc w:val="both"/>
      </w:pPr>
    </w:p>
    <w:p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Pr="00191C39">
        <w:rPr>
          <w:spacing w:val="-1"/>
        </w:rPr>
        <w:t>Heather</w:t>
      </w:r>
      <w:r w:rsidRPr="00191C39">
        <w:t xml:space="preserve"> </w:t>
      </w:r>
      <w:r w:rsidRPr="00191C39">
        <w:rPr>
          <w:spacing w:val="-1"/>
        </w:rPr>
        <w:t>Church,</w:t>
      </w:r>
      <w:r w:rsidRPr="00191C39">
        <w:t xml:space="preserve"> </w:t>
      </w:r>
      <w:r w:rsidRPr="00191C39">
        <w:rPr>
          <w:spacing w:val="-1"/>
        </w:rPr>
        <w:t>Bainbridge</w:t>
      </w:r>
      <w:r w:rsidRPr="00191C39">
        <w:t xml:space="preserve"> Disposal, </w:t>
      </w:r>
      <w:r w:rsidRPr="00191C39">
        <w:rPr>
          <w:spacing w:val="-2"/>
        </w:rPr>
        <w:t>Inc.</w:t>
      </w:r>
    </w:p>
    <w:p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Chair, Kitsap County Commissioners</w:t>
      </w:r>
    </w:p>
    <w:p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Manager, City of Bainbridge Island, WA</w:t>
      </w:r>
    </w:p>
    <w:sectPr w:rsidR="0046549E" w:rsidRPr="00191C39" w:rsidSect="00583484">
      <w:pgSz w:w="12240" w:h="15840" w:code="1"/>
      <w:pgMar w:top="2160" w:right="1296" w:bottom="720" w:left="1152" w:header="0" w:footer="720" w:gutter="0"/>
      <w:cols w:space="720" w:equalWidth="0">
        <w:col w:w="96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E"/>
    <w:rsid w:val="000943D6"/>
    <w:rsid w:val="000A75B6"/>
    <w:rsid w:val="000C6BBD"/>
    <w:rsid w:val="00191C39"/>
    <w:rsid w:val="001C6E3C"/>
    <w:rsid w:val="0044071C"/>
    <w:rsid w:val="0046549E"/>
    <w:rsid w:val="00494BC6"/>
    <w:rsid w:val="004B5A0B"/>
    <w:rsid w:val="00583484"/>
    <w:rsid w:val="005E573D"/>
    <w:rsid w:val="005F4521"/>
    <w:rsid w:val="00657AD7"/>
    <w:rsid w:val="00665E2C"/>
    <w:rsid w:val="00673EEF"/>
    <w:rsid w:val="00715CD4"/>
    <w:rsid w:val="007803BD"/>
    <w:rsid w:val="00A30A44"/>
    <w:rsid w:val="00A813E4"/>
    <w:rsid w:val="00B56FA2"/>
    <w:rsid w:val="00C0521D"/>
    <w:rsid w:val="00C766BD"/>
    <w:rsid w:val="00CB049E"/>
    <w:rsid w:val="00CD228E"/>
    <w:rsid w:val="00CF2D28"/>
    <w:rsid w:val="00E35AB3"/>
    <w:rsid w:val="00EC1C6F"/>
    <w:rsid w:val="00ED1AF8"/>
    <w:rsid w:val="00F2115A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FA38891174D43B500C8260B81474A" ma:contentTypeVersion="76" ma:contentTypeDescription="" ma:contentTypeScope="" ma:versionID="b789503c1478fe09e367ff46536e93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INC.</CaseCompanyNames>
    <Nickname xmlns="http://schemas.microsoft.com/sharepoint/v3" xsi:nil="true"/>
    <DocketNumber xmlns="dc463f71-b30c-4ab2-9473-d307f9d35888">180049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7518FA-2073-410C-BF6B-18C57B57BD3D}"/>
</file>

<file path=customXml/itemProps2.xml><?xml version="1.0" encoding="utf-8"?>
<ds:datastoreItem xmlns:ds="http://schemas.openxmlformats.org/officeDocument/2006/customXml" ds:itemID="{1F6A8F3F-DB09-4569-A70D-E607BF1F20D4}"/>
</file>

<file path=customXml/itemProps3.xml><?xml version="1.0" encoding="utf-8"?>
<ds:datastoreItem xmlns:ds="http://schemas.openxmlformats.org/officeDocument/2006/customXml" ds:itemID="{84208F75-5024-4F4F-8B47-E53856CCB1AA}"/>
</file>

<file path=customXml/itemProps4.xml><?xml version="1.0" encoding="utf-8"?>
<ds:datastoreItem xmlns:ds="http://schemas.openxmlformats.org/officeDocument/2006/customXml" ds:itemID="{CD920700-C322-4831-B248-060CA3949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Kitti Douglas</cp:lastModifiedBy>
  <cp:revision>4</cp:revision>
  <cp:lastPrinted>2018-03-15T18:20:00Z</cp:lastPrinted>
  <dcterms:created xsi:type="dcterms:W3CDTF">2018-03-15T17:37:00Z</dcterms:created>
  <dcterms:modified xsi:type="dcterms:W3CDTF">2018-03-15T18:22:00Z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0x0101006E56B4D1795A2E4DB2F0B01679ED314A00EC7FA38891174D43B500C8260B81474A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