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ED381" w14:textId="13D3115F" w:rsidR="000656D6" w:rsidRDefault="000656D6" w:rsidP="002070D9">
      <w:pPr>
        <w:tabs>
          <w:tab w:val="left" w:pos="1080"/>
          <w:tab w:val="left" w:pos="8640"/>
        </w:tabs>
        <w:ind w:right="-274"/>
        <w:rPr>
          <w:rFonts w:ascii="Calibri" w:hAnsi="Calibri"/>
        </w:rPr>
      </w:pPr>
      <w:bookmarkStart w:id="0" w:name="_GoBack"/>
      <w:bookmarkEnd w:id="0"/>
      <w:r>
        <w:rPr>
          <w:rFonts w:ascii="Calibri" w:hAnsi="Calibri"/>
        </w:rPr>
        <w:t>August 14, 2016</w:t>
      </w:r>
    </w:p>
    <w:p w14:paraId="1FF4F7CC" w14:textId="77777777" w:rsidR="000656D6" w:rsidRDefault="000656D6" w:rsidP="002070D9">
      <w:pPr>
        <w:tabs>
          <w:tab w:val="left" w:pos="1080"/>
          <w:tab w:val="left" w:pos="8640"/>
        </w:tabs>
        <w:ind w:right="-274"/>
        <w:rPr>
          <w:rFonts w:ascii="Calibri" w:hAnsi="Calibri"/>
        </w:rPr>
      </w:pPr>
    </w:p>
    <w:p w14:paraId="0EF4104D" w14:textId="77777777" w:rsidR="002070D9" w:rsidRDefault="002070D9" w:rsidP="002070D9">
      <w:pPr>
        <w:tabs>
          <w:tab w:val="left" w:pos="1080"/>
          <w:tab w:val="left" w:pos="8640"/>
        </w:tabs>
        <w:ind w:right="-274"/>
        <w:rPr>
          <w:rFonts w:ascii="Calibri" w:hAnsi="Calibri"/>
        </w:rPr>
      </w:pPr>
      <w:r>
        <w:rPr>
          <w:rFonts w:ascii="Calibri" w:hAnsi="Calibri"/>
        </w:rPr>
        <w:t>Mr. Steven King</w:t>
      </w:r>
      <w:r>
        <w:rPr>
          <w:rFonts w:ascii="Calibri" w:hAnsi="Calibri"/>
        </w:rPr>
        <w:tab/>
      </w:r>
    </w:p>
    <w:p w14:paraId="44222580" w14:textId="77777777" w:rsidR="002070D9" w:rsidRDefault="002070D9" w:rsidP="002070D9">
      <w:pPr>
        <w:tabs>
          <w:tab w:val="left" w:pos="1080"/>
          <w:tab w:val="left" w:pos="8640"/>
        </w:tabs>
        <w:ind w:right="-274"/>
        <w:rPr>
          <w:rFonts w:ascii="Calibri" w:hAnsi="Calibri"/>
        </w:rPr>
      </w:pPr>
      <w:r>
        <w:rPr>
          <w:rFonts w:ascii="Calibri" w:hAnsi="Calibri"/>
        </w:rPr>
        <w:t>Executive Director and Secretary</w:t>
      </w:r>
    </w:p>
    <w:p w14:paraId="6D057CEF" w14:textId="7FED2243" w:rsidR="002070D9" w:rsidRDefault="002070D9" w:rsidP="002070D9">
      <w:pPr>
        <w:tabs>
          <w:tab w:val="left" w:pos="1080"/>
          <w:tab w:val="left" w:pos="8640"/>
        </w:tabs>
        <w:ind w:right="-274"/>
        <w:rPr>
          <w:rFonts w:ascii="Calibri" w:hAnsi="Calibri"/>
        </w:rPr>
      </w:pPr>
      <w:r>
        <w:rPr>
          <w:rFonts w:ascii="Calibri" w:hAnsi="Calibri"/>
        </w:rPr>
        <w:t>Washingto</w:t>
      </w:r>
      <w:r w:rsidR="0071335F">
        <w:rPr>
          <w:rFonts w:ascii="Calibri" w:hAnsi="Calibri"/>
        </w:rPr>
        <w:t>n Utilities and Transportation C</w:t>
      </w:r>
      <w:r>
        <w:rPr>
          <w:rFonts w:ascii="Calibri" w:hAnsi="Calibri"/>
        </w:rPr>
        <w:t>o</w:t>
      </w:r>
      <w:r w:rsidR="0071335F">
        <w:rPr>
          <w:rFonts w:ascii="Calibri" w:hAnsi="Calibri"/>
        </w:rPr>
        <w:t>m</w:t>
      </w:r>
      <w:r>
        <w:rPr>
          <w:rFonts w:ascii="Calibri" w:hAnsi="Calibri"/>
        </w:rPr>
        <w:t>mission</w:t>
      </w:r>
    </w:p>
    <w:p w14:paraId="0696CA13" w14:textId="77777777" w:rsidR="002070D9" w:rsidRDefault="002070D9" w:rsidP="002070D9">
      <w:pPr>
        <w:tabs>
          <w:tab w:val="left" w:pos="1080"/>
          <w:tab w:val="left" w:pos="8640"/>
        </w:tabs>
        <w:ind w:right="-274"/>
        <w:rPr>
          <w:rFonts w:ascii="Calibri" w:hAnsi="Calibri"/>
        </w:rPr>
      </w:pPr>
      <w:r>
        <w:rPr>
          <w:rFonts w:ascii="Calibri" w:hAnsi="Calibri"/>
        </w:rPr>
        <w:t>1300 S. Evergreen Park Drive SW</w:t>
      </w:r>
    </w:p>
    <w:p w14:paraId="61D2E815" w14:textId="47487301" w:rsidR="002070D9" w:rsidRDefault="002070D9" w:rsidP="002070D9">
      <w:pPr>
        <w:tabs>
          <w:tab w:val="left" w:pos="1080"/>
          <w:tab w:val="left" w:pos="8640"/>
        </w:tabs>
        <w:ind w:right="-274"/>
        <w:rPr>
          <w:rFonts w:ascii="Calibri" w:hAnsi="Calibri"/>
        </w:rPr>
      </w:pPr>
      <w:r>
        <w:rPr>
          <w:rFonts w:ascii="Calibri" w:hAnsi="Calibri"/>
        </w:rPr>
        <w:t>Olymp</w:t>
      </w:r>
      <w:r w:rsidR="0071335F">
        <w:rPr>
          <w:rFonts w:ascii="Calibri" w:hAnsi="Calibri"/>
        </w:rPr>
        <w:t>i</w:t>
      </w:r>
      <w:r>
        <w:rPr>
          <w:rFonts w:ascii="Calibri" w:hAnsi="Calibri"/>
        </w:rPr>
        <w:t>a, WA  98504-7250</w:t>
      </w:r>
    </w:p>
    <w:p w14:paraId="731E5BC5" w14:textId="77777777" w:rsidR="002070D9" w:rsidRDefault="002070D9" w:rsidP="002070D9">
      <w:pPr>
        <w:tabs>
          <w:tab w:val="left" w:pos="1080"/>
          <w:tab w:val="left" w:pos="8640"/>
        </w:tabs>
        <w:ind w:right="-274"/>
        <w:rPr>
          <w:rFonts w:ascii="Calibri" w:hAnsi="Calibri"/>
        </w:rPr>
      </w:pPr>
    </w:p>
    <w:p w14:paraId="285B3681" w14:textId="7BC6505A" w:rsidR="002070D9" w:rsidRDefault="002070D9" w:rsidP="000656D6">
      <w:pPr>
        <w:tabs>
          <w:tab w:val="left" w:pos="1080"/>
          <w:tab w:val="left" w:pos="8640"/>
        </w:tabs>
        <w:ind w:left="720" w:right="-274" w:hanging="720"/>
        <w:rPr>
          <w:rFonts w:ascii="Calibri" w:hAnsi="Calibri"/>
        </w:rPr>
      </w:pPr>
      <w:r w:rsidRPr="0012392F">
        <w:rPr>
          <w:rFonts w:ascii="Calibri" w:hAnsi="Calibri"/>
          <w:b/>
        </w:rPr>
        <w:t>RE:</w:t>
      </w:r>
      <w:r w:rsidRPr="0012392F">
        <w:rPr>
          <w:rFonts w:ascii="Calibri" w:hAnsi="Calibri"/>
          <w:b/>
        </w:rPr>
        <w:tab/>
      </w:r>
      <w:r w:rsidR="000656D6" w:rsidRPr="0012392F">
        <w:rPr>
          <w:rFonts w:ascii="Calibri" w:hAnsi="Calibri"/>
          <w:b/>
        </w:rPr>
        <w:t xml:space="preserve">UE 160808 </w:t>
      </w:r>
      <w:r w:rsidR="000656D6">
        <w:rPr>
          <w:rFonts w:ascii="Calibri" w:hAnsi="Calibri"/>
        </w:rPr>
        <w:t xml:space="preserve">  </w:t>
      </w:r>
      <w:r>
        <w:rPr>
          <w:rFonts w:ascii="Calibri" w:hAnsi="Calibri"/>
        </w:rPr>
        <w:t>Puget Sound Energy</w:t>
      </w:r>
      <w:r w:rsidR="0071335F">
        <w:rPr>
          <w:rFonts w:ascii="Calibri" w:hAnsi="Calibri"/>
        </w:rPr>
        <w:t xml:space="preserve">: </w:t>
      </w:r>
      <w:r>
        <w:rPr>
          <w:rFonts w:ascii="Calibri" w:hAnsi="Calibri"/>
        </w:rPr>
        <w:t>Draft Request for Proposals for Technology and Implementation Services In Support of Puget Sound Energy’s Direct Lo</w:t>
      </w:r>
      <w:r w:rsidR="000656D6">
        <w:rPr>
          <w:rFonts w:ascii="Calibri" w:hAnsi="Calibri"/>
        </w:rPr>
        <w:t xml:space="preserve">ad </w:t>
      </w:r>
      <w:r w:rsidR="00F86D4E">
        <w:rPr>
          <w:rFonts w:ascii="Calibri" w:hAnsi="Calibri"/>
        </w:rPr>
        <w:t>Control and</w:t>
      </w:r>
      <w:r w:rsidR="00F6493D">
        <w:rPr>
          <w:rFonts w:ascii="Calibri" w:hAnsi="Calibri"/>
        </w:rPr>
        <w:t xml:space="preserve"> Demand Resource </w:t>
      </w:r>
      <w:r w:rsidR="0071335F">
        <w:rPr>
          <w:rFonts w:ascii="Calibri" w:hAnsi="Calibri"/>
        </w:rPr>
        <w:t>Programs</w:t>
      </w:r>
      <w:r w:rsidR="0012392F">
        <w:rPr>
          <w:rFonts w:ascii="Calibri" w:hAnsi="Calibri"/>
        </w:rPr>
        <w:t xml:space="preserve"> Pursuant to WAC 480-107-015.</w:t>
      </w:r>
    </w:p>
    <w:p w14:paraId="00529E86" w14:textId="77777777" w:rsidR="000656D6" w:rsidRDefault="000656D6" w:rsidP="002070D9">
      <w:pPr>
        <w:tabs>
          <w:tab w:val="left" w:pos="1080"/>
          <w:tab w:val="left" w:pos="8640"/>
        </w:tabs>
        <w:ind w:right="-274"/>
        <w:rPr>
          <w:rFonts w:ascii="Calibri" w:hAnsi="Calibri"/>
        </w:rPr>
      </w:pPr>
    </w:p>
    <w:p w14:paraId="085C7E4A" w14:textId="77777777" w:rsidR="002070D9" w:rsidRDefault="002070D9" w:rsidP="002070D9">
      <w:pPr>
        <w:tabs>
          <w:tab w:val="left" w:pos="1080"/>
          <w:tab w:val="left" w:pos="8640"/>
        </w:tabs>
        <w:ind w:right="-274"/>
        <w:rPr>
          <w:rFonts w:ascii="Calibri" w:hAnsi="Calibri"/>
        </w:rPr>
      </w:pPr>
      <w:r>
        <w:rPr>
          <w:rFonts w:ascii="Calibri" w:hAnsi="Calibri"/>
        </w:rPr>
        <w:t>Mr. King:</w:t>
      </w:r>
    </w:p>
    <w:p w14:paraId="5F658AE3" w14:textId="77777777" w:rsidR="002070D9" w:rsidRDefault="002070D9" w:rsidP="002070D9">
      <w:pPr>
        <w:tabs>
          <w:tab w:val="left" w:pos="1080"/>
          <w:tab w:val="left" w:pos="8640"/>
        </w:tabs>
        <w:ind w:right="-274"/>
        <w:rPr>
          <w:rFonts w:ascii="Calibri" w:hAnsi="Calibri"/>
        </w:rPr>
      </w:pPr>
    </w:p>
    <w:p w14:paraId="558E1489" w14:textId="77777777" w:rsidR="002070D9" w:rsidRDefault="002070D9" w:rsidP="002070D9">
      <w:pPr>
        <w:tabs>
          <w:tab w:val="left" w:pos="1080"/>
          <w:tab w:val="left" w:pos="8640"/>
        </w:tabs>
        <w:ind w:right="-274"/>
        <w:rPr>
          <w:rFonts w:ascii="Calibri" w:hAnsi="Calibri"/>
        </w:rPr>
      </w:pPr>
      <w:r>
        <w:rPr>
          <w:rFonts w:ascii="Calibri" w:hAnsi="Calibri"/>
        </w:rPr>
        <w:t xml:space="preserve">The NW Energy Coalition (Coalition) is pleased to have this opportunity to comment on the two draft Request for Proposals (RFP) submitted by Puget Sound Energy (PSE) soliciting supply technology and implementation services for a residential and small/medium commercial Direct Load Control (DLC) program and for a large commercial and industrial Demand Response (DR) program.  </w:t>
      </w:r>
    </w:p>
    <w:p w14:paraId="46B69F17" w14:textId="77777777" w:rsidR="002070D9" w:rsidRDefault="002070D9" w:rsidP="002070D9">
      <w:pPr>
        <w:tabs>
          <w:tab w:val="left" w:pos="1080"/>
          <w:tab w:val="left" w:pos="8640"/>
        </w:tabs>
        <w:ind w:right="-274"/>
        <w:rPr>
          <w:rFonts w:ascii="Calibri" w:hAnsi="Calibri"/>
        </w:rPr>
      </w:pPr>
    </w:p>
    <w:p w14:paraId="67020E98" w14:textId="77777777" w:rsidR="002070D9" w:rsidRDefault="002070D9" w:rsidP="002070D9">
      <w:pPr>
        <w:tabs>
          <w:tab w:val="left" w:pos="1080"/>
          <w:tab w:val="left" w:pos="8640"/>
        </w:tabs>
        <w:ind w:right="-274"/>
        <w:rPr>
          <w:rFonts w:ascii="Calibri" w:hAnsi="Calibri"/>
        </w:rPr>
      </w:pPr>
      <w:r>
        <w:rPr>
          <w:rFonts w:ascii="Calibri" w:hAnsi="Calibri"/>
        </w:rPr>
        <w:t>The Coalition has encouraged PSE to move aggressively forward to acquire demand response (DR) resources, which PSE’s 2015 Integrated Resource Plan (2015 IRP) identified as a key component to meeting projected needs until at least 2021.  We commend PSE for expanding beyond the pilot projects PSE has tested in the past to embrace a relatively new resource area to PSE and initiating the process to acquire 121 MWs of demand response from various bidders to reduce winter peak load.</w:t>
      </w:r>
    </w:p>
    <w:p w14:paraId="54F6C3DF" w14:textId="77777777" w:rsidR="002070D9" w:rsidRDefault="002070D9" w:rsidP="002070D9">
      <w:pPr>
        <w:tabs>
          <w:tab w:val="left" w:pos="1080"/>
          <w:tab w:val="left" w:pos="8640"/>
        </w:tabs>
        <w:ind w:right="-274"/>
        <w:rPr>
          <w:rFonts w:ascii="Calibri" w:hAnsi="Calibri"/>
        </w:rPr>
      </w:pPr>
    </w:p>
    <w:p w14:paraId="19C51602" w14:textId="3A915BBF" w:rsidR="002070D9" w:rsidRDefault="00D07E82" w:rsidP="002070D9">
      <w:pPr>
        <w:tabs>
          <w:tab w:val="left" w:pos="1080"/>
          <w:tab w:val="left" w:pos="8640"/>
        </w:tabs>
        <w:ind w:right="-274"/>
        <w:rPr>
          <w:rFonts w:ascii="Calibri" w:hAnsi="Calibri"/>
        </w:rPr>
      </w:pPr>
      <w:r>
        <w:rPr>
          <w:rFonts w:ascii="Calibri" w:hAnsi="Calibri"/>
        </w:rPr>
        <w:t>The RFP’s appear detailed, but may limit vendors and service providers by being very prescriptive.  T</w:t>
      </w:r>
      <w:r w:rsidR="002070D9">
        <w:rPr>
          <w:rFonts w:ascii="Calibri" w:hAnsi="Calibri"/>
        </w:rPr>
        <w:t xml:space="preserve">he information provided </w:t>
      </w:r>
      <w:r w:rsidR="0018174B">
        <w:rPr>
          <w:rFonts w:ascii="Calibri" w:hAnsi="Calibri"/>
        </w:rPr>
        <w:t xml:space="preserve">is </w:t>
      </w:r>
      <w:r w:rsidR="002070D9">
        <w:rPr>
          <w:rFonts w:ascii="Calibri" w:hAnsi="Calibri"/>
        </w:rPr>
        <w:t>generally concise and useful.  We have only a few suggestions to offer for consideration before approving the draft RFPs.</w:t>
      </w:r>
    </w:p>
    <w:p w14:paraId="38EA15F5" w14:textId="77777777" w:rsidR="002070D9" w:rsidRDefault="002070D9" w:rsidP="002070D9">
      <w:pPr>
        <w:tabs>
          <w:tab w:val="left" w:pos="1080"/>
          <w:tab w:val="left" w:pos="8640"/>
        </w:tabs>
        <w:ind w:right="-274"/>
        <w:rPr>
          <w:rFonts w:ascii="Calibri" w:hAnsi="Calibri"/>
        </w:rPr>
      </w:pPr>
    </w:p>
    <w:p w14:paraId="07591992" w14:textId="77077B77" w:rsidR="002070D9" w:rsidRDefault="002070D9" w:rsidP="002070D9">
      <w:pPr>
        <w:pStyle w:val="ListParagraph"/>
        <w:numPr>
          <w:ilvl w:val="0"/>
          <w:numId w:val="1"/>
        </w:numPr>
        <w:tabs>
          <w:tab w:val="left" w:pos="1080"/>
          <w:tab w:val="left" w:pos="8640"/>
        </w:tabs>
        <w:ind w:right="-274"/>
        <w:rPr>
          <w:rFonts w:ascii="Calibri" w:hAnsi="Calibri"/>
        </w:rPr>
      </w:pPr>
      <w:r w:rsidRPr="00500614">
        <w:rPr>
          <w:rFonts w:ascii="Calibri" w:hAnsi="Calibri"/>
        </w:rPr>
        <w:t>The DLC RFP limits customer participation to residential customers and commercial customers whose maximum demand is estimated to be less than 150</w:t>
      </w:r>
      <w:r w:rsidR="00F6493D">
        <w:rPr>
          <w:rFonts w:ascii="Calibri" w:hAnsi="Calibri"/>
        </w:rPr>
        <w:t xml:space="preserve"> </w:t>
      </w:r>
      <w:r w:rsidRPr="00500614">
        <w:rPr>
          <w:rFonts w:ascii="Calibri" w:hAnsi="Calibri"/>
        </w:rPr>
        <w:t xml:space="preserve">kW  (page 6, DLC RFP), while the DC RFP is limited to customers with more than 150 kW of maximum demand (page 5, DC RFP). </w:t>
      </w:r>
    </w:p>
    <w:p w14:paraId="0036A70C" w14:textId="1F719232" w:rsidR="002070D9" w:rsidRDefault="002070D9" w:rsidP="002070D9">
      <w:pPr>
        <w:pStyle w:val="ListParagraph"/>
        <w:numPr>
          <w:ilvl w:val="1"/>
          <w:numId w:val="1"/>
        </w:numPr>
        <w:tabs>
          <w:tab w:val="left" w:pos="1080"/>
          <w:tab w:val="left" w:pos="8640"/>
        </w:tabs>
        <w:ind w:right="-274"/>
        <w:rPr>
          <w:rFonts w:ascii="Calibri" w:hAnsi="Calibri"/>
        </w:rPr>
      </w:pPr>
      <w:r w:rsidRPr="00500614">
        <w:rPr>
          <w:rFonts w:ascii="Calibri" w:hAnsi="Calibri"/>
        </w:rPr>
        <w:t xml:space="preserve">It </w:t>
      </w:r>
      <w:r>
        <w:rPr>
          <w:rFonts w:ascii="Calibri" w:hAnsi="Calibri"/>
        </w:rPr>
        <w:t>may be</w:t>
      </w:r>
      <w:r w:rsidRPr="00500614">
        <w:rPr>
          <w:rFonts w:ascii="Calibri" w:hAnsi="Calibri"/>
        </w:rPr>
        <w:t xml:space="preserve"> premature to decide what amount of savings will come from which customer category (70 MW of load curtailment from the DLC RFP and 51 MW from the DC RFP), particularly </w:t>
      </w:r>
      <w:r w:rsidR="000656D6">
        <w:rPr>
          <w:rFonts w:ascii="Calibri" w:hAnsi="Calibri"/>
        </w:rPr>
        <w:t>if</w:t>
      </w:r>
      <w:r w:rsidRPr="00500614">
        <w:rPr>
          <w:rFonts w:ascii="Calibri" w:hAnsi="Calibri"/>
        </w:rPr>
        <w:t xml:space="preserve"> the savings will be applied to system wide peak load, rather than to a customer subset.  </w:t>
      </w:r>
    </w:p>
    <w:p w14:paraId="4BB322E4" w14:textId="0CC10656" w:rsidR="002070D9" w:rsidRPr="002070D9" w:rsidRDefault="002070D9" w:rsidP="002070D9">
      <w:pPr>
        <w:pStyle w:val="ListParagraph"/>
        <w:numPr>
          <w:ilvl w:val="1"/>
          <w:numId w:val="1"/>
        </w:numPr>
        <w:tabs>
          <w:tab w:val="left" w:pos="1080"/>
          <w:tab w:val="left" w:pos="8640"/>
        </w:tabs>
        <w:ind w:right="-274"/>
        <w:rPr>
          <w:rFonts w:ascii="Calibri" w:hAnsi="Calibri"/>
        </w:rPr>
      </w:pPr>
      <w:r w:rsidRPr="002070D9">
        <w:rPr>
          <w:rFonts w:ascii="Calibri" w:hAnsi="Calibri"/>
        </w:rPr>
        <w:t xml:space="preserve">It seems the kind of savings and when </w:t>
      </w:r>
      <w:r w:rsidR="000656D6">
        <w:rPr>
          <w:rFonts w:ascii="Calibri" w:hAnsi="Calibri"/>
        </w:rPr>
        <w:t>those savings are</w:t>
      </w:r>
      <w:r w:rsidRPr="002070D9">
        <w:rPr>
          <w:rFonts w:ascii="Calibri" w:hAnsi="Calibri"/>
        </w:rPr>
        <w:t xml:space="preserve"> available would be more to the point than the customer source of the savings, since both RFPs have the same primary objective of achieving dispatchable load reduction capacity</w:t>
      </w:r>
      <w:r>
        <w:rPr>
          <w:rFonts w:ascii="Calibri" w:hAnsi="Calibri"/>
        </w:rPr>
        <w:t xml:space="preserve"> </w:t>
      </w:r>
      <w:r w:rsidRPr="002070D9">
        <w:rPr>
          <w:rFonts w:ascii="Calibri" w:hAnsi="Calibri"/>
        </w:rPr>
        <w:t xml:space="preserve">and the same secondary objectives for summer load </w:t>
      </w:r>
      <w:r w:rsidR="000656D6">
        <w:rPr>
          <w:rFonts w:ascii="Calibri" w:hAnsi="Calibri"/>
        </w:rPr>
        <w:t xml:space="preserve">curtailment, </w:t>
      </w:r>
      <w:r w:rsidRPr="002070D9">
        <w:rPr>
          <w:rFonts w:ascii="Calibri" w:hAnsi="Calibri"/>
        </w:rPr>
        <w:t>rapid load curtailment, shifting consumption from high priced to low priced periods and greater integration of demand response with grid monitoring.</w:t>
      </w:r>
    </w:p>
    <w:p w14:paraId="324E7320" w14:textId="77777777" w:rsidR="002070D9" w:rsidRPr="00500614" w:rsidRDefault="002070D9" w:rsidP="002070D9">
      <w:pPr>
        <w:pStyle w:val="ListParagraph"/>
        <w:numPr>
          <w:ilvl w:val="1"/>
          <w:numId w:val="1"/>
        </w:numPr>
        <w:tabs>
          <w:tab w:val="left" w:pos="1080"/>
          <w:tab w:val="left" w:pos="8640"/>
        </w:tabs>
        <w:ind w:right="-274"/>
        <w:rPr>
          <w:rFonts w:ascii="Calibri" w:hAnsi="Calibri"/>
        </w:rPr>
      </w:pPr>
      <w:r w:rsidRPr="00500614">
        <w:rPr>
          <w:rFonts w:ascii="Calibri" w:hAnsi="Calibri"/>
        </w:rPr>
        <w:lastRenderedPageBreak/>
        <w:t xml:space="preserve">Two RFPs may be more complicated than necessary, since the </w:t>
      </w:r>
      <w:r>
        <w:rPr>
          <w:rFonts w:ascii="Calibri" w:hAnsi="Calibri"/>
        </w:rPr>
        <w:t xml:space="preserve">notable </w:t>
      </w:r>
      <w:r w:rsidRPr="00500614">
        <w:rPr>
          <w:rFonts w:ascii="Calibri" w:hAnsi="Calibri"/>
        </w:rPr>
        <w:t xml:space="preserve">difference between the two seems to lie in the requirement for certain technologies </w:t>
      </w:r>
      <w:r>
        <w:rPr>
          <w:rFonts w:ascii="Calibri" w:hAnsi="Calibri"/>
        </w:rPr>
        <w:t>for</w:t>
      </w:r>
      <w:r w:rsidRPr="00500614">
        <w:rPr>
          <w:rFonts w:ascii="Calibri" w:hAnsi="Calibri"/>
        </w:rPr>
        <w:t xml:space="preserve"> the DLC approach</w:t>
      </w:r>
      <w:r>
        <w:rPr>
          <w:rFonts w:ascii="Calibri" w:hAnsi="Calibri"/>
        </w:rPr>
        <w:t xml:space="preserve"> (page 15, 3.2 of both RFPs – see below)</w:t>
      </w:r>
      <w:r w:rsidRPr="00500614">
        <w:rPr>
          <w:rFonts w:ascii="Calibri" w:hAnsi="Calibri"/>
        </w:rPr>
        <w:t xml:space="preserve">.  </w:t>
      </w:r>
    </w:p>
    <w:p w14:paraId="06A362E1" w14:textId="77777777" w:rsidR="002070D9" w:rsidRDefault="002070D9" w:rsidP="002070D9">
      <w:pPr>
        <w:tabs>
          <w:tab w:val="left" w:pos="1080"/>
          <w:tab w:val="left" w:pos="8640"/>
        </w:tabs>
        <w:ind w:right="-274"/>
        <w:rPr>
          <w:rFonts w:ascii="Calibri" w:hAnsi="Calibri"/>
        </w:rPr>
      </w:pPr>
    </w:p>
    <w:p w14:paraId="4514F375" w14:textId="77777777" w:rsidR="002070D9" w:rsidRDefault="002070D9" w:rsidP="002070D9">
      <w:pPr>
        <w:pStyle w:val="ListParagraph"/>
        <w:numPr>
          <w:ilvl w:val="0"/>
          <w:numId w:val="1"/>
        </w:numPr>
        <w:tabs>
          <w:tab w:val="left" w:pos="1080"/>
          <w:tab w:val="left" w:pos="8640"/>
        </w:tabs>
        <w:ind w:right="-274"/>
        <w:rPr>
          <w:rFonts w:ascii="Calibri" w:hAnsi="Calibri"/>
        </w:rPr>
      </w:pPr>
      <w:r w:rsidRPr="00500614">
        <w:rPr>
          <w:rFonts w:ascii="Calibri" w:hAnsi="Calibri"/>
        </w:rPr>
        <w:t xml:space="preserve">If </w:t>
      </w:r>
      <w:r>
        <w:rPr>
          <w:rFonts w:ascii="Calibri" w:hAnsi="Calibri"/>
        </w:rPr>
        <w:t xml:space="preserve">the </w:t>
      </w:r>
      <w:r w:rsidRPr="00500614">
        <w:rPr>
          <w:rFonts w:ascii="Calibri" w:hAnsi="Calibri"/>
        </w:rPr>
        <w:t xml:space="preserve">process moves ahead with two RFPs, a small clarification may be necessary.  PSE intends to allow commercial customer in Schedules 25 to participate in both programs. It is not </w:t>
      </w:r>
      <w:r>
        <w:rPr>
          <w:rFonts w:ascii="Calibri" w:hAnsi="Calibri"/>
        </w:rPr>
        <w:t xml:space="preserve">explicitly </w:t>
      </w:r>
      <w:r w:rsidRPr="00500614">
        <w:rPr>
          <w:rFonts w:ascii="Calibri" w:hAnsi="Calibri"/>
        </w:rPr>
        <w:t xml:space="preserve">clear in either RFP how many of the customers in Schedule 25 would be eligible for each respective program, as that Schedule includes customers with peak demands between 50 kW to 350kW.  </w:t>
      </w:r>
    </w:p>
    <w:p w14:paraId="4FCC9F4D" w14:textId="4170F8F6" w:rsidR="002070D9" w:rsidRPr="00500614" w:rsidRDefault="002070D9" w:rsidP="002070D9">
      <w:pPr>
        <w:pStyle w:val="ListParagraph"/>
        <w:numPr>
          <w:ilvl w:val="1"/>
          <w:numId w:val="1"/>
        </w:numPr>
        <w:tabs>
          <w:tab w:val="left" w:pos="1080"/>
          <w:tab w:val="left" w:pos="8640"/>
        </w:tabs>
        <w:ind w:right="-274"/>
        <w:rPr>
          <w:rFonts w:ascii="Calibri" w:hAnsi="Calibri"/>
        </w:rPr>
      </w:pPr>
      <w:r w:rsidRPr="00500614">
        <w:rPr>
          <w:rFonts w:ascii="Calibri" w:hAnsi="Calibri"/>
        </w:rPr>
        <w:t>If Tables 1 and 2 (page 7 of the DLC RFP) include all the customers in Schedule</w:t>
      </w:r>
      <w:r w:rsidR="000656D6">
        <w:rPr>
          <w:rFonts w:ascii="Calibri" w:hAnsi="Calibri"/>
        </w:rPr>
        <w:t xml:space="preserve"> 25</w:t>
      </w:r>
      <w:r w:rsidRPr="00500614">
        <w:rPr>
          <w:rFonts w:ascii="Calibri" w:hAnsi="Calibri"/>
        </w:rPr>
        <w:t>, it may help bidders to know how many of those customers have demands less than 150 kW.  The same c</w:t>
      </w:r>
      <w:r>
        <w:rPr>
          <w:rFonts w:ascii="Calibri" w:hAnsi="Calibri"/>
        </w:rPr>
        <w:t>larification</w:t>
      </w:r>
      <w:r w:rsidRPr="00500614">
        <w:rPr>
          <w:rFonts w:ascii="Calibri" w:hAnsi="Calibri"/>
        </w:rPr>
        <w:t xml:space="preserve"> applies to Table 2 in the DC RFP on page 9.  </w:t>
      </w:r>
    </w:p>
    <w:p w14:paraId="780837F8" w14:textId="2CD144AC" w:rsidR="002070D9" w:rsidRDefault="002070D9" w:rsidP="002070D9">
      <w:pPr>
        <w:pStyle w:val="ListParagraph"/>
        <w:numPr>
          <w:ilvl w:val="1"/>
          <w:numId w:val="1"/>
        </w:numPr>
        <w:tabs>
          <w:tab w:val="left" w:pos="1080"/>
          <w:tab w:val="left" w:pos="8640"/>
        </w:tabs>
        <w:ind w:right="-274"/>
        <w:rPr>
          <w:rFonts w:ascii="Calibri" w:hAnsi="Calibri"/>
        </w:rPr>
      </w:pPr>
      <w:r w:rsidRPr="00500614">
        <w:rPr>
          <w:rFonts w:ascii="Calibri" w:hAnsi="Calibri"/>
        </w:rPr>
        <w:t xml:space="preserve">If that adjustment has already been calculated into the numbers shown in those two tables, then that </w:t>
      </w:r>
      <w:r w:rsidR="000656D6">
        <w:rPr>
          <w:rFonts w:ascii="Calibri" w:hAnsi="Calibri"/>
        </w:rPr>
        <w:t>adjustment</w:t>
      </w:r>
      <w:r w:rsidRPr="00500614">
        <w:rPr>
          <w:rFonts w:ascii="Calibri" w:hAnsi="Calibri"/>
        </w:rPr>
        <w:t xml:space="preserve"> should be noted in some way. </w:t>
      </w:r>
    </w:p>
    <w:p w14:paraId="6E580D9E" w14:textId="77777777" w:rsidR="002070D9" w:rsidRDefault="002070D9" w:rsidP="002070D9">
      <w:pPr>
        <w:pStyle w:val="ListParagraph"/>
        <w:tabs>
          <w:tab w:val="left" w:pos="1080"/>
          <w:tab w:val="left" w:pos="8640"/>
        </w:tabs>
        <w:ind w:left="1440" w:right="-274"/>
        <w:rPr>
          <w:rFonts w:ascii="Calibri" w:hAnsi="Calibri"/>
        </w:rPr>
      </w:pPr>
    </w:p>
    <w:p w14:paraId="430F4F39" w14:textId="52CDA658" w:rsidR="002070D9" w:rsidRDefault="002070D9" w:rsidP="002070D9">
      <w:pPr>
        <w:pStyle w:val="ListParagraph"/>
        <w:numPr>
          <w:ilvl w:val="0"/>
          <w:numId w:val="1"/>
        </w:numPr>
        <w:tabs>
          <w:tab w:val="left" w:pos="1080"/>
          <w:tab w:val="left" w:pos="8640"/>
        </w:tabs>
        <w:ind w:right="-274"/>
        <w:rPr>
          <w:rFonts w:ascii="Calibri" w:hAnsi="Calibri"/>
        </w:rPr>
      </w:pPr>
      <w:r w:rsidRPr="00500614">
        <w:rPr>
          <w:rFonts w:ascii="Calibri" w:hAnsi="Calibri"/>
        </w:rPr>
        <w:t>The Coalition supports a wide-ranging RFP that does no</w:t>
      </w:r>
      <w:r w:rsidR="0018174B">
        <w:rPr>
          <w:rFonts w:ascii="Calibri" w:hAnsi="Calibri"/>
        </w:rPr>
        <w:t xml:space="preserve">t limit the kinds of technology or demand side resources </w:t>
      </w:r>
      <w:r w:rsidRPr="00500614">
        <w:rPr>
          <w:rFonts w:ascii="Calibri" w:hAnsi="Calibri"/>
        </w:rPr>
        <w:t xml:space="preserve">that may be submitted in an RFP response.  An RFP provides an opportunity to learn what is available in the demand response sector.  The DLC RFP requirement that bidders </w:t>
      </w:r>
      <w:r w:rsidR="000656D6">
        <w:rPr>
          <w:rFonts w:ascii="Calibri" w:hAnsi="Calibri"/>
        </w:rPr>
        <w:t xml:space="preserve">must </w:t>
      </w:r>
      <w:r w:rsidRPr="00500614">
        <w:rPr>
          <w:rFonts w:ascii="Calibri" w:hAnsi="Calibri"/>
        </w:rPr>
        <w:t xml:space="preserve">include electric furnaces, heat pumps for electric heating, and electric water heaters (page 20, C.2.) and relevant thermostats (page 21 D) in </w:t>
      </w:r>
      <w:r w:rsidRPr="002070D9">
        <w:rPr>
          <w:rFonts w:ascii="Calibri" w:hAnsi="Calibri"/>
          <w:i/>
        </w:rPr>
        <w:t>every</w:t>
      </w:r>
      <w:r w:rsidRPr="00500614">
        <w:rPr>
          <w:rFonts w:ascii="Calibri" w:hAnsi="Calibri"/>
        </w:rPr>
        <w:t xml:space="preserve"> response may inadvertently exclude some who may be able to provide substantial amounts of kW savings, but with other technologies. </w:t>
      </w:r>
    </w:p>
    <w:p w14:paraId="3D5F1C0B" w14:textId="77777777" w:rsidR="002070D9" w:rsidRDefault="002070D9" w:rsidP="002070D9">
      <w:pPr>
        <w:pStyle w:val="ListParagraph"/>
        <w:tabs>
          <w:tab w:val="left" w:pos="1080"/>
          <w:tab w:val="left" w:pos="8640"/>
        </w:tabs>
        <w:ind w:right="-274"/>
        <w:rPr>
          <w:rFonts w:ascii="Calibri" w:hAnsi="Calibri"/>
        </w:rPr>
      </w:pPr>
      <w:r w:rsidRPr="00500614">
        <w:rPr>
          <w:rFonts w:ascii="Calibri" w:hAnsi="Calibri"/>
        </w:rPr>
        <w:t xml:space="preserve"> </w:t>
      </w:r>
    </w:p>
    <w:p w14:paraId="04C39FC7" w14:textId="75D6E40C" w:rsidR="002070D9" w:rsidRDefault="002070D9" w:rsidP="002070D9">
      <w:pPr>
        <w:pStyle w:val="ListParagraph"/>
        <w:numPr>
          <w:ilvl w:val="0"/>
          <w:numId w:val="1"/>
        </w:numPr>
        <w:tabs>
          <w:tab w:val="left" w:pos="1080"/>
          <w:tab w:val="left" w:pos="8640"/>
        </w:tabs>
        <w:ind w:right="-274"/>
        <w:rPr>
          <w:rFonts w:ascii="Calibri" w:hAnsi="Calibri"/>
        </w:rPr>
      </w:pPr>
      <w:r>
        <w:rPr>
          <w:rFonts w:ascii="Calibri" w:hAnsi="Calibri"/>
        </w:rPr>
        <w:t>If the need for DR is more critical in some distribution areas of PSE’s system than others, then that information should be added, which might help focus some bidder’s efforts; some responses might prove effective in deferring costs related to distribution or service upgrades or expansions in stressed distribution areas</w:t>
      </w:r>
      <w:r w:rsidRPr="002070D9">
        <w:rPr>
          <w:rFonts w:ascii="Calibri" w:hAnsi="Calibri"/>
        </w:rPr>
        <w:t>.</w:t>
      </w:r>
      <w:r w:rsidR="00E605C9">
        <w:rPr>
          <w:rFonts w:ascii="Calibri" w:hAnsi="Calibri"/>
        </w:rPr>
        <w:t xml:space="preserve">  And efforts to reduce system constraints should coordinate with targeted energy efficiency measures.  For example, BPA is experimenting with this approach in the South of Alston area in Oregon, where </w:t>
      </w:r>
      <w:r w:rsidR="009B2DEA">
        <w:rPr>
          <w:rFonts w:ascii="Calibri" w:hAnsi="Calibri"/>
        </w:rPr>
        <w:t xml:space="preserve">BPA </w:t>
      </w:r>
      <w:r w:rsidR="00E605C9">
        <w:rPr>
          <w:rFonts w:ascii="Calibri" w:hAnsi="Calibri"/>
        </w:rPr>
        <w:t xml:space="preserve">recently </w:t>
      </w:r>
      <w:r w:rsidR="000656D6">
        <w:rPr>
          <w:rFonts w:ascii="Calibri" w:hAnsi="Calibri"/>
        </w:rPr>
        <w:t xml:space="preserve">transferred </w:t>
      </w:r>
      <w:r w:rsidR="00E605C9">
        <w:rPr>
          <w:rFonts w:ascii="Calibri" w:hAnsi="Calibri"/>
        </w:rPr>
        <w:t xml:space="preserve">$1 million </w:t>
      </w:r>
      <w:r w:rsidR="009B2DEA">
        <w:rPr>
          <w:rFonts w:ascii="Calibri" w:hAnsi="Calibri"/>
        </w:rPr>
        <w:t>to energy efficiency programs to address locational constraints.</w:t>
      </w:r>
    </w:p>
    <w:p w14:paraId="5FD5373C" w14:textId="77777777" w:rsidR="002070D9" w:rsidRDefault="002070D9" w:rsidP="002070D9">
      <w:pPr>
        <w:tabs>
          <w:tab w:val="left" w:pos="1080"/>
          <w:tab w:val="left" w:pos="8640"/>
        </w:tabs>
        <w:ind w:right="-274"/>
        <w:rPr>
          <w:rFonts w:ascii="Calibri" w:hAnsi="Calibri"/>
        </w:rPr>
      </w:pPr>
    </w:p>
    <w:p w14:paraId="11B4DD81" w14:textId="18B287C8" w:rsidR="002070D9" w:rsidRDefault="002070D9" w:rsidP="002070D9">
      <w:pPr>
        <w:tabs>
          <w:tab w:val="left" w:pos="1080"/>
          <w:tab w:val="left" w:pos="8640"/>
        </w:tabs>
        <w:ind w:right="-274"/>
        <w:rPr>
          <w:rFonts w:ascii="Calibri" w:hAnsi="Calibri"/>
        </w:rPr>
      </w:pPr>
      <w:r>
        <w:rPr>
          <w:rFonts w:ascii="Calibri" w:hAnsi="Calibri"/>
        </w:rPr>
        <w:t xml:space="preserve">We support PSE’s efforts and look forward to </w:t>
      </w:r>
      <w:r w:rsidR="00095E57">
        <w:rPr>
          <w:rFonts w:ascii="Calibri" w:hAnsi="Calibri"/>
        </w:rPr>
        <w:t>learning more about</w:t>
      </w:r>
      <w:r>
        <w:rPr>
          <w:rFonts w:ascii="Calibri" w:hAnsi="Calibri"/>
        </w:rPr>
        <w:t xml:space="preserve"> </w:t>
      </w:r>
      <w:r w:rsidR="000656D6">
        <w:rPr>
          <w:rFonts w:ascii="Calibri" w:hAnsi="Calibri"/>
        </w:rPr>
        <w:t>the</w:t>
      </w:r>
      <w:r>
        <w:rPr>
          <w:rFonts w:ascii="Calibri" w:hAnsi="Calibri"/>
        </w:rPr>
        <w:t xml:space="preserve"> responses submitted in response to this proposal.  </w:t>
      </w:r>
    </w:p>
    <w:p w14:paraId="62A25622" w14:textId="77777777" w:rsidR="002070D9" w:rsidRDefault="002070D9" w:rsidP="002070D9">
      <w:pPr>
        <w:tabs>
          <w:tab w:val="left" w:pos="1080"/>
          <w:tab w:val="left" w:pos="8640"/>
        </w:tabs>
        <w:ind w:right="-274"/>
        <w:rPr>
          <w:rFonts w:ascii="Calibri" w:hAnsi="Calibri"/>
        </w:rPr>
      </w:pPr>
    </w:p>
    <w:p w14:paraId="08CF4001" w14:textId="77777777" w:rsidR="002070D9" w:rsidRDefault="002070D9" w:rsidP="002070D9">
      <w:pPr>
        <w:tabs>
          <w:tab w:val="left" w:pos="1080"/>
          <w:tab w:val="left" w:pos="8640"/>
        </w:tabs>
        <w:ind w:right="-274"/>
        <w:rPr>
          <w:rFonts w:ascii="Calibri" w:hAnsi="Calibri"/>
        </w:rPr>
      </w:pPr>
      <w:r>
        <w:rPr>
          <w:rFonts w:ascii="Calibri" w:hAnsi="Calibri"/>
        </w:rPr>
        <w:t>Cordially,</w:t>
      </w:r>
    </w:p>
    <w:p w14:paraId="09756829" w14:textId="6F5095D0" w:rsidR="000656D6" w:rsidRDefault="000656D6" w:rsidP="002070D9">
      <w:pPr>
        <w:tabs>
          <w:tab w:val="left" w:pos="1080"/>
          <w:tab w:val="left" w:pos="8640"/>
        </w:tabs>
        <w:ind w:right="-274"/>
        <w:rPr>
          <w:rFonts w:ascii="Calibri" w:hAnsi="Calibri"/>
        </w:rPr>
      </w:pPr>
      <w:r>
        <w:rPr>
          <w:rFonts w:ascii="Calibri" w:hAnsi="Calibri"/>
        </w:rPr>
        <w:t>Joni Bosh</w:t>
      </w:r>
    </w:p>
    <w:p w14:paraId="78299BF2" w14:textId="1400F971" w:rsidR="000656D6" w:rsidRDefault="000656D6" w:rsidP="002070D9">
      <w:pPr>
        <w:tabs>
          <w:tab w:val="left" w:pos="1080"/>
          <w:tab w:val="left" w:pos="8640"/>
        </w:tabs>
        <w:ind w:right="-274"/>
        <w:rPr>
          <w:rFonts w:ascii="Calibri" w:hAnsi="Calibri"/>
        </w:rPr>
      </w:pPr>
      <w:r>
        <w:rPr>
          <w:rFonts w:ascii="Calibri" w:hAnsi="Calibri"/>
        </w:rPr>
        <w:t>Senior Policy Associate</w:t>
      </w:r>
    </w:p>
    <w:p w14:paraId="019032FE" w14:textId="0F3E8B12" w:rsidR="000656D6" w:rsidRDefault="000656D6" w:rsidP="002070D9">
      <w:pPr>
        <w:tabs>
          <w:tab w:val="left" w:pos="1080"/>
          <w:tab w:val="left" w:pos="8640"/>
        </w:tabs>
        <w:ind w:right="-274"/>
        <w:rPr>
          <w:rFonts w:ascii="Calibri" w:hAnsi="Calibri"/>
        </w:rPr>
      </w:pPr>
      <w:r>
        <w:rPr>
          <w:rFonts w:ascii="Calibri" w:hAnsi="Calibri"/>
        </w:rPr>
        <w:t>NW Energy Coalition</w:t>
      </w:r>
    </w:p>
    <w:p w14:paraId="046E1C41" w14:textId="41E3EC66" w:rsidR="000656D6" w:rsidRDefault="000656D6" w:rsidP="002070D9">
      <w:pPr>
        <w:tabs>
          <w:tab w:val="left" w:pos="1080"/>
          <w:tab w:val="left" w:pos="8640"/>
        </w:tabs>
        <w:ind w:right="-274"/>
        <w:rPr>
          <w:rFonts w:ascii="Calibri" w:hAnsi="Calibri"/>
        </w:rPr>
      </w:pPr>
      <w:r>
        <w:rPr>
          <w:rFonts w:ascii="Calibri" w:hAnsi="Calibri"/>
        </w:rPr>
        <w:t>811 1</w:t>
      </w:r>
      <w:r w:rsidRPr="000656D6">
        <w:rPr>
          <w:rFonts w:ascii="Calibri" w:hAnsi="Calibri"/>
          <w:vertAlign w:val="superscript"/>
        </w:rPr>
        <w:t>st</w:t>
      </w:r>
      <w:r>
        <w:rPr>
          <w:rFonts w:ascii="Calibri" w:hAnsi="Calibri"/>
        </w:rPr>
        <w:t xml:space="preserve"> Avenue</w:t>
      </w:r>
    </w:p>
    <w:p w14:paraId="15FA643B" w14:textId="33AA0B23" w:rsidR="000656D6" w:rsidRDefault="000656D6" w:rsidP="002070D9">
      <w:pPr>
        <w:tabs>
          <w:tab w:val="left" w:pos="1080"/>
          <w:tab w:val="left" w:pos="8640"/>
        </w:tabs>
        <w:ind w:right="-274"/>
        <w:rPr>
          <w:rFonts w:ascii="Calibri" w:hAnsi="Calibri"/>
        </w:rPr>
      </w:pPr>
      <w:r>
        <w:rPr>
          <w:rFonts w:ascii="Calibri" w:hAnsi="Calibri"/>
        </w:rPr>
        <w:t>Suite 305</w:t>
      </w:r>
    </w:p>
    <w:p w14:paraId="5FF0CB09" w14:textId="6CC47856" w:rsidR="000656D6" w:rsidRDefault="000656D6" w:rsidP="002070D9">
      <w:pPr>
        <w:tabs>
          <w:tab w:val="left" w:pos="1080"/>
          <w:tab w:val="left" w:pos="8640"/>
        </w:tabs>
        <w:ind w:right="-274"/>
        <w:rPr>
          <w:rFonts w:ascii="Calibri" w:hAnsi="Calibri"/>
        </w:rPr>
      </w:pPr>
      <w:r>
        <w:rPr>
          <w:rFonts w:ascii="Calibri" w:hAnsi="Calibri"/>
        </w:rPr>
        <w:t>Seattle, WA  981004</w:t>
      </w:r>
    </w:p>
    <w:p w14:paraId="1D7A02A7" w14:textId="45D538F4" w:rsidR="000656D6" w:rsidRDefault="000656D6" w:rsidP="002070D9">
      <w:pPr>
        <w:tabs>
          <w:tab w:val="left" w:pos="1080"/>
          <w:tab w:val="left" w:pos="8640"/>
        </w:tabs>
        <w:ind w:right="-274"/>
        <w:rPr>
          <w:rFonts w:ascii="Calibri" w:hAnsi="Calibri"/>
        </w:rPr>
      </w:pPr>
      <w:r>
        <w:rPr>
          <w:rFonts w:ascii="Calibri" w:hAnsi="Calibri"/>
        </w:rPr>
        <w:t>206 735 2720</w:t>
      </w:r>
    </w:p>
    <w:p w14:paraId="1C288F58" w14:textId="40EE796B" w:rsidR="002070D9" w:rsidRPr="000656D6" w:rsidRDefault="000656D6" w:rsidP="000656D6">
      <w:pPr>
        <w:tabs>
          <w:tab w:val="left" w:pos="1080"/>
          <w:tab w:val="left" w:pos="8640"/>
        </w:tabs>
        <w:ind w:right="-274"/>
        <w:rPr>
          <w:rFonts w:ascii="Calibri" w:hAnsi="Calibri"/>
        </w:rPr>
      </w:pPr>
      <w:r>
        <w:rPr>
          <w:rFonts w:ascii="Calibri" w:hAnsi="Calibri"/>
        </w:rPr>
        <w:t>joni@nwenergy.org</w:t>
      </w:r>
    </w:p>
    <w:sectPr w:rsidR="002070D9" w:rsidRPr="000656D6" w:rsidSect="00D07E82">
      <w:pgSz w:w="12240" w:h="15840"/>
      <w:pgMar w:top="1080" w:right="1440" w:bottom="93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85709"/>
    <w:multiLevelType w:val="hybridMultilevel"/>
    <w:tmpl w:val="5AF28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D9"/>
    <w:rsid w:val="000656D6"/>
    <w:rsid w:val="00095E57"/>
    <w:rsid w:val="0012392F"/>
    <w:rsid w:val="0018174B"/>
    <w:rsid w:val="002070D9"/>
    <w:rsid w:val="00565612"/>
    <w:rsid w:val="0071335F"/>
    <w:rsid w:val="009B2DEA"/>
    <w:rsid w:val="00A80A31"/>
    <w:rsid w:val="00CE1031"/>
    <w:rsid w:val="00D07E82"/>
    <w:rsid w:val="00E605C9"/>
    <w:rsid w:val="00F6493D"/>
    <w:rsid w:val="00F86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6B3A1"/>
  <w14:defaultImageDpi w14:val="300"/>
  <w15:docId w15:val="{5B804874-C425-4DBD-9180-5A6B6F10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D9"/>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0D9"/>
    <w:pPr>
      <w:ind w:left="720"/>
      <w:contextualSpacing/>
    </w:pPr>
  </w:style>
  <w:style w:type="character" w:styleId="Hyperlink">
    <w:name w:val="Hyperlink"/>
    <w:basedOn w:val="DefaultParagraphFont"/>
    <w:uiPriority w:val="99"/>
    <w:unhideWhenUsed/>
    <w:rsid w:val="000656D6"/>
    <w:rPr>
      <w:color w:val="0000FF" w:themeColor="hyperlink"/>
      <w:u w:val="single"/>
    </w:rPr>
  </w:style>
  <w:style w:type="paragraph" w:styleId="BalloonText">
    <w:name w:val="Balloon Text"/>
    <w:basedOn w:val="Normal"/>
    <w:link w:val="BalloonTextChar"/>
    <w:uiPriority w:val="99"/>
    <w:semiHidden/>
    <w:unhideWhenUsed/>
    <w:rsid w:val="00A80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A31"/>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7E613B06918428F0EAE32B618F55F" ma:contentTypeVersion="104" ma:contentTypeDescription="" ma:contentTypeScope="" ma:versionID="10e1f921b75a5d6403e26fad032e6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2016-06-15T07:00:00+00:00</OpenedDate>
    <Date1 xmlns="dc463f71-b30c-4ab2-9473-d307f9d35888">2016-08-15T07:00:00+00:00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A4CE76-810B-4EED-9F8B-B0246176CAD8}"/>
</file>

<file path=customXml/itemProps2.xml><?xml version="1.0" encoding="utf-8"?>
<ds:datastoreItem xmlns:ds="http://schemas.openxmlformats.org/officeDocument/2006/customXml" ds:itemID="{E8FC60BE-993A-4C13-A202-F433B7EF5582}"/>
</file>

<file path=customXml/itemProps3.xml><?xml version="1.0" encoding="utf-8"?>
<ds:datastoreItem xmlns:ds="http://schemas.openxmlformats.org/officeDocument/2006/customXml" ds:itemID="{2D29F06A-091C-41C9-A538-63B31C97BED9}"/>
</file>

<file path=customXml/itemProps4.xml><?xml version="1.0" encoding="utf-8"?>
<ds:datastoreItem xmlns:ds="http://schemas.openxmlformats.org/officeDocument/2006/customXml" ds:itemID="{59AB2435-8BCF-42B0-9EAF-DE0DF67301BD}"/>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NW Energy Coalition</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Bosh</dc:creator>
  <cp:keywords/>
  <dc:description/>
  <cp:lastModifiedBy>Kredel, Ashley (UTC)</cp:lastModifiedBy>
  <cp:revision>2</cp:revision>
  <cp:lastPrinted>2016-08-15T23:28:00Z</cp:lastPrinted>
  <dcterms:created xsi:type="dcterms:W3CDTF">2016-08-15T23:30:00Z</dcterms:created>
  <dcterms:modified xsi:type="dcterms:W3CDTF">2016-08-15T23:30:00Z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0x0101006E56B4D1795A2E4DB2F0B01679ED314A00F067E613B06918428F0EAE32B618F55F</vt:lpwstr>
  </property>
  <property fmtid="{D5CDD505-2E9C-101B-9397-08002B2CF9AE}" pid="3" name="_docset_NoMedatataSyncRequired">
    <vt:lpwstr>False</vt:lpwstr>
  </property>
</Properties>
</file>