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4CD5C" w14:textId="77777777" w:rsidR="00884034" w:rsidRPr="008A2CAB" w:rsidRDefault="00884034" w:rsidP="00884034">
      <w:pPr>
        <w:rPr>
          <w:rFonts w:ascii="Times New Roman" w:hAnsi="Times New Roman"/>
        </w:rPr>
      </w:pPr>
      <w:bookmarkStart w:id="0" w:name="_GoBack"/>
      <w:bookmarkEnd w:id="0"/>
      <w:r w:rsidRPr="008A2CAB">
        <w:rPr>
          <w:rFonts w:ascii="Times New Roman" w:hAnsi="Times New Roman"/>
        </w:rPr>
        <w:t>Agenda Date:</w:t>
      </w:r>
      <w:r w:rsidRPr="008A2CAB">
        <w:rPr>
          <w:rFonts w:ascii="Times New Roman" w:hAnsi="Times New Roman"/>
        </w:rPr>
        <w:tab/>
      </w:r>
      <w:r w:rsidRPr="008A2CAB">
        <w:rPr>
          <w:rFonts w:ascii="Times New Roman" w:hAnsi="Times New Roman"/>
        </w:rPr>
        <w:tab/>
      </w:r>
      <w:r>
        <w:rPr>
          <w:rFonts w:ascii="Times New Roman" w:hAnsi="Times New Roman"/>
        </w:rPr>
        <w:t>December 17, 201</w:t>
      </w:r>
      <w:r w:rsidR="002C26F7">
        <w:rPr>
          <w:rFonts w:ascii="Times New Roman" w:hAnsi="Times New Roman"/>
        </w:rPr>
        <w:t>5</w:t>
      </w:r>
    </w:p>
    <w:p w14:paraId="7CC4CD5D" w14:textId="18618DFE" w:rsidR="00884034" w:rsidRPr="008A2CAB" w:rsidRDefault="00884034" w:rsidP="00884034">
      <w:pPr>
        <w:ind w:left="2160" w:hanging="2160"/>
        <w:rPr>
          <w:rFonts w:ascii="Times New Roman" w:hAnsi="Times New Roman"/>
        </w:rPr>
      </w:pPr>
      <w:r w:rsidRPr="008A2CAB">
        <w:rPr>
          <w:rFonts w:ascii="Times New Roman" w:hAnsi="Times New Roman"/>
        </w:rPr>
        <w:t>Item Number:</w:t>
      </w:r>
      <w:r w:rsidRPr="008A2CAB">
        <w:rPr>
          <w:rFonts w:ascii="Times New Roman" w:hAnsi="Times New Roman"/>
        </w:rPr>
        <w:tab/>
      </w:r>
      <w:r w:rsidR="005D75B1">
        <w:rPr>
          <w:rFonts w:ascii="Times New Roman" w:hAnsi="Times New Roman"/>
        </w:rPr>
        <w:t>A4</w:t>
      </w:r>
    </w:p>
    <w:p w14:paraId="7CC4CD5E" w14:textId="77777777" w:rsidR="00884034" w:rsidRPr="008A2CAB" w:rsidRDefault="00884034" w:rsidP="00884034">
      <w:pPr>
        <w:rPr>
          <w:rFonts w:ascii="Times New Roman" w:hAnsi="Times New Roman"/>
        </w:rPr>
      </w:pPr>
    </w:p>
    <w:p w14:paraId="7CC4CD5F" w14:textId="77777777" w:rsidR="00884034" w:rsidRPr="002E5BAA" w:rsidRDefault="00884034" w:rsidP="00884034">
      <w:pPr>
        <w:rPr>
          <w:rFonts w:ascii="Times New Roman" w:hAnsi="Times New Roman"/>
          <w:b/>
          <w:bCs/>
        </w:rPr>
      </w:pPr>
      <w:r w:rsidRPr="008A2CAB">
        <w:rPr>
          <w:rFonts w:ascii="Times New Roman" w:hAnsi="Times New Roman"/>
          <w:b/>
          <w:bCs/>
        </w:rPr>
        <w:t>Docket:</w:t>
      </w:r>
      <w:r w:rsidRPr="008A2CAB">
        <w:rPr>
          <w:rFonts w:ascii="Times New Roman" w:hAnsi="Times New Roman"/>
          <w:b/>
          <w:bCs/>
        </w:rPr>
        <w:tab/>
      </w:r>
      <w:r w:rsidRPr="008A2CAB">
        <w:rPr>
          <w:rFonts w:ascii="Times New Roman" w:hAnsi="Times New Roman"/>
          <w:b/>
          <w:bCs/>
        </w:rPr>
        <w:tab/>
      </w:r>
      <w:r>
        <w:rPr>
          <w:rFonts w:ascii="Times New Roman" w:hAnsi="Times New Roman"/>
          <w:b/>
          <w:bCs/>
        </w:rPr>
        <w:t>UE</w:t>
      </w:r>
      <w:r w:rsidRPr="002E5BAA">
        <w:rPr>
          <w:rFonts w:ascii="Times New Roman" w:hAnsi="Times New Roman"/>
          <w:b/>
          <w:bCs/>
        </w:rPr>
        <w:t>-</w:t>
      </w:r>
      <w:r>
        <w:rPr>
          <w:rFonts w:ascii="Times New Roman" w:hAnsi="Times New Roman"/>
          <w:b/>
          <w:bCs/>
        </w:rPr>
        <w:t>152072</w:t>
      </w:r>
    </w:p>
    <w:p w14:paraId="7CC4CD60" w14:textId="77777777" w:rsidR="00884034" w:rsidRPr="008A2CAB" w:rsidRDefault="00884034" w:rsidP="00884034">
      <w:pPr>
        <w:rPr>
          <w:rFonts w:ascii="Times New Roman" w:hAnsi="Times New Roman"/>
          <w:b/>
          <w:bCs/>
        </w:rPr>
      </w:pPr>
    </w:p>
    <w:p w14:paraId="7CC4CD61" w14:textId="77777777" w:rsidR="00884034" w:rsidRPr="008A2CAB" w:rsidRDefault="00884034" w:rsidP="00884034">
      <w:pPr>
        <w:rPr>
          <w:rFonts w:ascii="Times New Roman" w:hAnsi="Times New Roman"/>
        </w:rPr>
      </w:pPr>
      <w:r w:rsidRPr="008A2CAB">
        <w:rPr>
          <w:rFonts w:ascii="Times New Roman" w:hAnsi="Times New Roman"/>
        </w:rPr>
        <w:t>Company:</w:t>
      </w:r>
      <w:r w:rsidRPr="008A2CAB">
        <w:rPr>
          <w:rFonts w:ascii="Times New Roman" w:hAnsi="Times New Roman"/>
        </w:rPr>
        <w:tab/>
      </w:r>
      <w:r w:rsidRPr="008A2CAB">
        <w:rPr>
          <w:rFonts w:ascii="Times New Roman" w:hAnsi="Times New Roman"/>
        </w:rPr>
        <w:tab/>
      </w:r>
      <w:r w:rsidR="00244FFD">
        <w:rPr>
          <w:rFonts w:ascii="Times New Roman" w:hAnsi="Times New Roman"/>
        </w:rPr>
        <w:t>Pacific Power</w:t>
      </w:r>
      <w:r>
        <w:rPr>
          <w:rFonts w:ascii="Times New Roman" w:hAnsi="Times New Roman"/>
        </w:rPr>
        <w:t xml:space="preserve"> &amp; Light Company </w:t>
      </w:r>
    </w:p>
    <w:p w14:paraId="7CC4CD62" w14:textId="77777777" w:rsidR="00884034" w:rsidRPr="008A2CAB" w:rsidRDefault="00884034" w:rsidP="00884034">
      <w:pPr>
        <w:rPr>
          <w:rFonts w:ascii="Times New Roman" w:hAnsi="Times New Roman"/>
        </w:rPr>
      </w:pPr>
    </w:p>
    <w:p w14:paraId="7CC4CD63" w14:textId="77777777" w:rsidR="00884034" w:rsidRDefault="00884034" w:rsidP="00884034">
      <w:pPr>
        <w:rPr>
          <w:rFonts w:ascii="Times New Roman" w:hAnsi="Times New Roman"/>
        </w:rPr>
      </w:pPr>
      <w:r w:rsidRPr="008A2CAB">
        <w:rPr>
          <w:rFonts w:ascii="Times New Roman" w:hAnsi="Times New Roman"/>
        </w:rPr>
        <w:t>Staff:</w:t>
      </w:r>
      <w:r w:rsidRPr="008A2CAB">
        <w:rPr>
          <w:rFonts w:ascii="Times New Roman" w:hAnsi="Times New Roman"/>
        </w:rPr>
        <w:tab/>
      </w:r>
      <w:r w:rsidRPr="008A2CAB">
        <w:rPr>
          <w:rFonts w:ascii="Times New Roman" w:hAnsi="Times New Roman"/>
        </w:rPr>
        <w:tab/>
      </w:r>
      <w:r w:rsidRPr="008A2CAB">
        <w:rPr>
          <w:rFonts w:ascii="Times New Roman" w:hAnsi="Times New Roman"/>
        </w:rPr>
        <w:tab/>
      </w:r>
      <w:r>
        <w:rPr>
          <w:rFonts w:ascii="Times New Roman" w:hAnsi="Times New Roman"/>
        </w:rPr>
        <w:t>Jeremy Twitchell, Regulatory Analyst</w:t>
      </w:r>
    </w:p>
    <w:p w14:paraId="7CC4CD64" w14:textId="77777777" w:rsidR="00884034" w:rsidRDefault="00884034" w:rsidP="00884034">
      <w:pPr>
        <w:rPr>
          <w:rFonts w:ascii="Times New Roman" w:hAnsi="Times New Roman"/>
          <w:b/>
          <w:u w:val="single"/>
        </w:rPr>
      </w:pPr>
      <w:r>
        <w:rPr>
          <w:rFonts w:ascii="Times New Roman" w:hAnsi="Times New Roman"/>
        </w:rPr>
        <w:tab/>
      </w:r>
      <w:r>
        <w:rPr>
          <w:rFonts w:ascii="Times New Roman" w:hAnsi="Times New Roman"/>
        </w:rPr>
        <w:tab/>
      </w:r>
      <w:r>
        <w:rPr>
          <w:rFonts w:ascii="Times New Roman" w:hAnsi="Times New Roman"/>
        </w:rPr>
        <w:tab/>
      </w:r>
    </w:p>
    <w:p w14:paraId="7CC4CD65" w14:textId="77777777" w:rsidR="00884034" w:rsidRPr="008A2CAB" w:rsidRDefault="00884034" w:rsidP="00884034">
      <w:pPr>
        <w:rPr>
          <w:rFonts w:ascii="Times New Roman" w:hAnsi="Times New Roman"/>
          <w:b/>
          <w:u w:val="single"/>
        </w:rPr>
      </w:pPr>
    </w:p>
    <w:p w14:paraId="7CC4CD66" w14:textId="77777777" w:rsidR="00884034" w:rsidRPr="008A2CAB" w:rsidRDefault="00884034" w:rsidP="00884034">
      <w:pPr>
        <w:rPr>
          <w:rFonts w:ascii="Times New Roman" w:hAnsi="Times New Roman"/>
          <w:b/>
          <w:u w:val="single"/>
        </w:rPr>
      </w:pPr>
      <w:r w:rsidRPr="008A2CAB">
        <w:rPr>
          <w:rFonts w:ascii="Times New Roman" w:hAnsi="Times New Roman"/>
          <w:b/>
          <w:u w:val="single"/>
        </w:rPr>
        <w:t>Recommendation</w:t>
      </w:r>
    </w:p>
    <w:p w14:paraId="7CC4CD67" w14:textId="77777777" w:rsidR="00884034" w:rsidRPr="008A2CAB" w:rsidRDefault="00884034" w:rsidP="00884034">
      <w:pPr>
        <w:rPr>
          <w:rFonts w:ascii="Times New Roman" w:hAnsi="Times New Roman"/>
          <w:b/>
          <w:u w:val="single"/>
        </w:rPr>
      </w:pPr>
    </w:p>
    <w:p w14:paraId="7CC4CD68" w14:textId="219F2CDF" w:rsidR="00884034" w:rsidRPr="008A2CAB" w:rsidRDefault="00884034" w:rsidP="00884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rPr>
      </w:pPr>
      <w:r>
        <w:rPr>
          <w:rFonts w:ascii="Times New Roman" w:hAnsi="Times New Roman"/>
        </w:rPr>
        <w:t xml:space="preserve">Issue an order approving </w:t>
      </w:r>
      <w:r w:rsidR="00244FFD">
        <w:rPr>
          <w:rFonts w:ascii="Times New Roman" w:hAnsi="Times New Roman"/>
        </w:rPr>
        <w:t>Pacific Power</w:t>
      </w:r>
      <w:r>
        <w:rPr>
          <w:rFonts w:ascii="Times New Roman" w:hAnsi="Times New Roman"/>
        </w:rPr>
        <w:t xml:space="preserve"> &amp; Light Company’s 10-year conservation potential of 457,530 megawatt-hours and 2016-2017 biennial conservation target of 87,814 megawatt-hours</w:t>
      </w:r>
      <w:r w:rsidR="00F754B3">
        <w:rPr>
          <w:rFonts w:ascii="Times New Roman" w:hAnsi="Times New Roman"/>
        </w:rPr>
        <w:t>, subject to the conditions in Attachment A</w:t>
      </w:r>
      <w:r>
        <w:rPr>
          <w:rFonts w:ascii="Times New Roman" w:hAnsi="Times New Roman"/>
        </w:rPr>
        <w:t xml:space="preserve">. </w:t>
      </w:r>
    </w:p>
    <w:p w14:paraId="7CC4CD69" w14:textId="77777777" w:rsidR="00884034" w:rsidRPr="008A2CAB" w:rsidRDefault="00884034" w:rsidP="00884034">
      <w:pPr>
        <w:rPr>
          <w:rFonts w:ascii="Times New Roman" w:hAnsi="Times New Roman"/>
        </w:rPr>
      </w:pPr>
    </w:p>
    <w:p w14:paraId="7CC4CD6A" w14:textId="77777777" w:rsidR="00884034" w:rsidRPr="008A2CAB" w:rsidRDefault="00884034" w:rsidP="00884034">
      <w:pPr>
        <w:rPr>
          <w:rFonts w:ascii="Times New Roman" w:hAnsi="Times New Roman"/>
          <w:b/>
          <w:bCs/>
          <w:u w:val="single"/>
        </w:rPr>
      </w:pPr>
      <w:r w:rsidRPr="008A2CAB">
        <w:rPr>
          <w:rFonts w:ascii="Times New Roman" w:hAnsi="Times New Roman"/>
          <w:b/>
          <w:bCs/>
          <w:u w:val="single"/>
        </w:rPr>
        <w:t>Background</w:t>
      </w:r>
    </w:p>
    <w:p w14:paraId="7CC4CD6B" w14:textId="77777777" w:rsidR="00884034" w:rsidRPr="008A2CAB" w:rsidRDefault="00884034" w:rsidP="00884034">
      <w:pPr>
        <w:rPr>
          <w:rFonts w:ascii="Times New Roman" w:hAnsi="Times New Roman"/>
        </w:rPr>
      </w:pPr>
    </w:p>
    <w:p w14:paraId="7CC4CD6C" w14:textId="77777777" w:rsidR="00884034" w:rsidRDefault="000D1278" w:rsidP="00884034">
      <w:pPr>
        <w:rPr>
          <w:rFonts w:ascii="Times New Roman" w:hAnsi="Times New Roman"/>
        </w:rPr>
      </w:pPr>
      <w:r>
        <w:rPr>
          <w:rFonts w:ascii="Times New Roman" w:hAnsi="Times New Roman"/>
        </w:rPr>
        <w:t xml:space="preserve">On October 30, 2015, </w:t>
      </w:r>
      <w:r w:rsidR="00244FFD">
        <w:rPr>
          <w:rFonts w:ascii="Times New Roman" w:hAnsi="Times New Roman"/>
        </w:rPr>
        <w:t>Pacific Power</w:t>
      </w:r>
      <w:r>
        <w:rPr>
          <w:rFonts w:ascii="Times New Roman" w:hAnsi="Times New Roman"/>
        </w:rPr>
        <w:t xml:space="preserve"> &amp;</w:t>
      </w:r>
      <w:r w:rsidR="00884034">
        <w:rPr>
          <w:rFonts w:ascii="Times New Roman" w:hAnsi="Times New Roman"/>
        </w:rPr>
        <w:t xml:space="preserve"> Light Company </w:t>
      </w:r>
      <w:r>
        <w:rPr>
          <w:rFonts w:ascii="Times New Roman" w:hAnsi="Times New Roman"/>
        </w:rPr>
        <w:t>(</w:t>
      </w:r>
      <w:r w:rsidR="00244FFD">
        <w:rPr>
          <w:rFonts w:ascii="Times New Roman" w:hAnsi="Times New Roman"/>
        </w:rPr>
        <w:t>Pacific Power</w:t>
      </w:r>
      <w:r>
        <w:rPr>
          <w:rFonts w:ascii="Times New Roman" w:hAnsi="Times New Roman"/>
        </w:rPr>
        <w:t xml:space="preserve"> </w:t>
      </w:r>
      <w:r w:rsidR="00884034">
        <w:rPr>
          <w:rFonts w:ascii="Times New Roman" w:hAnsi="Times New Roman"/>
        </w:rPr>
        <w:t>or company) filed its 10-Year</w:t>
      </w:r>
      <w:r>
        <w:rPr>
          <w:rFonts w:ascii="Times New Roman" w:hAnsi="Times New Roman"/>
        </w:rPr>
        <w:t xml:space="preserve"> Conservation Potential and 2016</w:t>
      </w:r>
      <w:r w:rsidR="00884034">
        <w:rPr>
          <w:rFonts w:ascii="Times New Roman" w:hAnsi="Times New Roman"/>
        </w:rPr>
        <w:t>-201</w:t>
      </w:r>
      <w:r>
        <w:rPr>
          <w:rFonts w:ascii="Times New Roman" w:hAnsi="Times New Roman"/>
        </w:rPr>
        <w:t>7</w:t>
      </w:r>
      <w:r w:rsidR="00884034">
        <w:rPr>
          <w:rFonts w:ascii="Times New Roman" w:hAnsi="Times New Roman"/>
        </w:rPr>
        <w:t xml:space="preserve"> Biennial Conservation </w:t>
      </w:r>
      <w:r>
        <w:rPr>
          <w:rFonts w:ascii="Times New Roman" w:hAnsi="Times New Roman"/>
        </w:rPr>
        <w:t>Plan (p</w:t>
      </w:r>
      <w:r w:rsidR="00884034">
        <w:rPr>
          <w:rFonts w:ascii="Times New Roman" w:hAnsi="Times New Roman"/>
        </w:rPr>
        <w:t>lan) with the Washington Utilities and Transportation Commission (commission)</w:t>
      </w:r>
      <w:r w:rsidR="00BD53A3">
        <w:rPr>
          <w:rFonts w:ascii="Times New Roman" w:hAnsi="Times New Roman"/>
        </w:rPr>
        <w:t>, as required by the Energy Independence Act (EIA) and WAC 480-109-120(1)</w:t>
      </w:r>
      <w:r w:rsidR="00884034">
        <w:rPr>
          <w:rFonts w:ascii="Times New Roman" w:hAnsi="Times New Roman"/>
        </w:rPr>
        <w:t xml:space="preserve">. </w:t>
      </w:r>
    </w:p>
    <w:p w14:paraId="7CC4CD6D" w14:textId="77777777" w:rsidR="00884034" w:rsidRDefault="00884034" w:rsidP="00884034">
      <w:pPr>
        <w:rPr>
          <w:rFonts w:ascii="Times New Roman" w:hAnsi="Times New Roman"/>
        </w:rPr>
      </w:pPr>
    </w:p>
    <w:p w14:paraId="7CC4CD6E" w14:textId="77777777" w:rsidR="00884034" w:rsidRDefault="00884034" w:rsidP="00884034">
      <w:pPr>
        <w:rPr>
          <w:rFonts w:ascii="Times New Roman" w:hAnsi="Times New Roman"/>
        </w:rPr>
      </w:pPr>
      <w:r>
        <w:rPr>
          <w:rFonts w:ascii="Times New Roman" w:hAnsi="Times New Roman"/>
        </w:rPr>
        <w:t>Staff filed comments responding to the Plan on December 3</w:t>
      </w:r>
      <w:r w:rsidR="00E60B4B">
        <w:rPr>
          <w:rFonts w:ascii="Times New Roman" w:hAnsi="Times New Roman"/>
        </w:rPr>
        <w:t>, 2015</w:t>
      </w:r>
      <w:r>
        <w:rPr>
          <w:rFonts w:ascii="Times New Roman" w:hAnsi="Times New Roman"/>
        </w:rPr>
        <w:t xml:space="preserve">, describing staff participation in the establishment of both the 10-year potential and two-year target through </w:t>
      </w:r>
      <w:r w:rsidR="00244FFD">
        <w:rPr>
          <w:rFonts w:ascii="Times New Roman" w:hAnsi="Times New Roman"/>
        </w:rPr>
        <w:t>Pacific Power</w:t>
      </w:r>
      <w:r>
        <w:rPr>
          <w:rFonts w:ascii="Times New Roman" w:hAnsi="Times New Roman"/>
        </w:rPr>
        <w:t xml:space="preserve">’s Demand-Side Management Advisory Group. Further, staff is satisfied that </w:t>
      </w:r>
      <w:r w:rsidR="00244FFD">
        <w:rPr>
          <w:rFonts w:ascii="Times New Roman" w:hAnsi="Times New Roman"/>
        </w:rPr>
        <w:t>Pacific Power</w:t>
      </w:r>
      <w:r>
        <w:rPr>
          <w:rFonts w:ascii="Times New Roman" w:hAnsi="Times New Roman"/>
        </w:rPr>
        <w:t xml:space="preserve"> has used methods consistent with the Council in the establishment of its potential and target. </w:t>
      </w:r>
    </w:p>
    <w:p w14:paraId="7CC4CD6F" w14:textId="77777777" w:rsidR="00884034" w:rsidRDefault="00884034" w:rsidP="00884034">
      <w:pPr>
        <w:rPr>
          <w:rFonts w:ascii="Times New Roman" w:hAnsi="Times New Roman"/>
        </w:rPr>
      </w:pPr>
    </w:p>
    <w:p w14:paraId="7CC4CD70" w14:textId="77777777" w:rsidR="00884034" w:rsidRDefault="00884034" w:rsidP="00884034">
      <w:pPr>
        <w:rPr>
          <w:rFonts w:ascii="Times New Roman" w:hAnsi="Times New Roman"/>
          <w:b/>
          <w:u w:val="single"/>
        </w:rPr>
      </w:pPr>
      <w:r>
        <w:rPr>
          <w:rFonts w:ascii="Times New Roman" w:hAnsi="Times New Roman"/>
          <w:b/>
          <w:u w:val="single"/>
        </w:rPr>
        <w:t>Biennial Conservation Target and Portfolio Savings</w:t>
      </w:r>
    </w:p>
    <w:p w14:paraId="7CC4CD71" w14:textId="77777777" w:rsidR="00884034" w:rsidRDefault="00884034" w:rsidP="00884034">
      <w:pPr>
        <w:rPr>
          <w:rFonts w:ascii="Times New Roman" w:hAnsi="Times New Roman"/>
          <w:b/>
          <w:u w:val="single"/>
        </w:rPr>
      </w:pPr>
    </w:p>
    <w:p w14:paraId="7CC4CD72" w14:textId="77777777" w:rsidR="00700BE3" w:rsidRDefault="00884034" w:rsidP="00884034">
      <w:pPr>
        <w:rPr>
          <w:rFonts w:ascii="Times New Roman" w:hAnsi="Times New Roman"/>
        </w:rPr>
      </w:pPr>
      <w:r>
        <w:rPr>
          <w:rFonts w:ascii="Times New Roman" w:hAnsi="Times New Roman"/>
        </w:rPr>
        <w:t xml:space="preserve">As discussed in staff’s comments, </w:t>
      </w:r>
      <w:r w:rsidR="00244FFD">
        <w:rPr>
          <w:rFonts w:ascii="Times New Roman" w:hAnsi="Times New Roman"/>
        </w:rPr>
        <w:t>Pacific Power</w:t>
      </w:r>
      <w:r>
        <w:rPr>
          <w:rFonts w:ascii="Times New Roman" w:hAnsi="Times New Roman"/>
        </w:rPr>
        <w:t>’s Conservation Potential Assessment (CPA) and subsequent adjustments identified a 10-y</w:t>
      </w:r>
      <w:r w:rsidR="00E60B4B">
        <w:rPr>
          <w:rFonts w:ascii="Times New Roman" w:hAnsi="Times New Roman"/>
        </w:rPr>
        <w:t>ear conservation potential</w:t>
      </w:r>
      <w:r>
        <w:rPr>
          <w:rFonts w:ascii="Times New Roman" w:hAnsi="Times New Roman"/>
        </w:rPr>
        <w:t xml:space="preserve"> of </w:t>
      </w:r>
      <w:r w:rsidR="00E60B4B">
        <w:rPr>
          <w:rFonts w:ascii="Times New Roman" w:hAnsi="Times New Roman"/>
        </w:rPr>
        <w:t>457,530</w:t>
      </w:r>
      <w:r>
        <w:rPr>
          <w:rFonts w:ascii="Times New Roman" w:hAnsi="Times New Roman"/>
        </w:rPr>
        <w:t xml:space="preserve"> megawatt-hours (MWh). </w:t>
      </w:r>
      <w:r w:rsidR="00E60B4B">
        <w:rPr>
          <w:rFonts w:ascii="Times New Roman" w:hAnsi="Times New Roman"/>
        </w:rPr>
        <w:t xml:space="preserve">The CPA was initially prepared in early 2014 </w:t>
      </w:r>
      <w:r w:rsidR="0092041F">
        <w:rPr>
          <w:rFonts w:ascii="Times New Roman" w:hAnsi="Times New Roman"/>
        </w:rPr>
        <w:t xml:space="preserve">by third-party contractor Applied Energy Group (AEG). </w:t>
      </w:r>
    </w:p>
    <w:p w14:paraId="7CC4CD73" w14:textId="77777777" w:rsidR="00700BE3" w:rsidRDefault="00700BE3" w:rsidP="00884034">
      <w:pPr>
        <w:rPr>
          <w:rFonts w:ascii="Times New Roman" w:hAnsi="Times New Roman"/>
        </w:rPr>
      </w:pPr>
    </w:p>
    <w:p w14:paraId="7CC4CD74" w14:textId="40D2C796" w:rsidR="00884034" w:rsidRDefault="0092041F" w:rsidP="00884034">
      <w:pPr>
        <w:rPr>
          <w:rFonts w:ascii="Times New Roman" w:hAnsi="Times New Roman"/>
        </w:rPr>
      </w:pPr>
      <w:r>
        <w:rPr>
          <w:rFonts w:ascii="Times New Roman" w:hAnsi="Times New Roman"/>
        </w:rPr>
        <w:t xml:space="preserve">In preparation for setting its biennial target, </w:t>
      </w:r>
      <w:r w:rsidR="00244FFD">
        <w:rPr>
          <w:rFonts w:ascii="Times New Roman" w:hAnsi="Times New Roman"/>
        </w:rPr>
        <w:t>Pacific Power</w:t>
      </w:r>
      <w:r>
        <w:rPr>
          <w:rFonts w:ascii="Times New Roman" w:hAnsi="Times New Roman"/>
        </w:rPr>
        <w:t xml:space="preserve"> made a number of adjustments. Most of these adjustments related to unit energy savings (UES) values – the assumed savings attributable to a given measure – that were updated based on new information provided by the Regional Technical Foru</w:t>
      </w:r>
      <w:r w:rsidR="00F754B3">
        <w:rPr>
          <w:rFonts w:ascii="Times New Roman" w:hAnsi="Times New Roman"/>
        </w:rPr>
        <w:t>m</w:t>
      </w:r>
      <w:r w:rsidR="00700BE3">
        <w:rPr>
          <w:rFonts w:ascii="Times New Roman" w:hAnsi="Times New Roman"/>
        </w:rPr>
        <w:t xml:space="preserve"> or the company’s own program evaluations. Another adjustment was made to add in potential associated with waste heat-to-power technologies that were not considered in the CPA. </w:t>
      </w:r>
      <w:r w:rsidR="00AF3E8E">
        <w:rPr>
          <w:rFonts w:ascii="Times New Roman" w:hAnsi="Times New Roman"/>
        </w:rPr>
        <w:t>No adjustments were made for distribution or production efficiency, as the company’s evaluations have not identified any additional cost-effective savings in those areas. The net effect of the</w:t>
      </w:r>
      <w:r w:rsidR="006A403A">
        <w:rPr>
          <w:rFonts w:ascii="Times New Roman" w:hAnsi="Times New Roman"/>
        </w:rPr>
        <w:t xml:space="preserve"> adjustments increased the 10-year potential by about 8 percent.              </w:t>
      </w:r>
    </w:p>
    <w:p w14:paraId="7CC4CD75" w14:textId="77777777" w:rsidR="006A403A" w:rsidRDefault="006A403A" w:rsidP="00884034">
      <w:pPr>
        <w:rPr>
          <w:rFonts w:ascii="Times New Roman" w:hAnsi="Times New Roman"/>
        </w:rPr>
      </w:pPr>
    </w:p>
    <w:p w14:paraId="7CC4CD76" w14:textId="68ABEC52" w:rsidR="006A403A" w:rsidRDefault="006A403A" w:rsidP="00884034">
      <w:pPr>
        <w:rPr>
          <w:rFonts w:ascii="Times New Roman" w:hAnsi="Times New Roman"/>
        </w:rPr>
      </w:pPr>
      <w:r>
        <w:rPr>
          <w:rFonts w:ascii="Times New Roman" w:hAnsi="Times New Roman"/>
        </w:rPr>
        <w:t xml:space="preserve">WAC 480-109-100(3)(b) requires that a utility’s biennial target be “no lower than a pro rata share of the utility’s ten-year conservation potential,” which for </w:t>
      </w:r>
      <w:r w:rsidR="00244FFD">
        <w:rPr>
          <w:rFonts w:ascii="Times New Roman" w:hAnsi="Times New Roman"/>
        </w:rPr>
        <w:t>Pacific Power</w:t>
      </w:r>
      <w:r>
        <w:rPr>
          <w:rFonts w:ascii="Times New Roman" w:hAnsi="Times New Roman"/>
        </w:rPr>
        <w:t xml:space="preserve"> would correspond to a two-year target of 91,506 MWh. The CPA, however, projects the potential on a year-by-year </w:t>
      </w:r>
      <w:r>
        <w:rPr>
          <w:rFonts w:ascii="Times New Roman" w:hAnsi="Times New Roman"/>
        </w:rPr>
        <w:lastRenderedPageBreak/>
        <w:t>basis, and identified a specific potential of 93,059 MW</w:t>
      </w:r>
      <w:r w:rsidR="00BD53A3">
        <w:rPr>
          <w:rFonts w:ascii="Times New Roman" w:hAnsi="Times New Roman"/>
        </w:rPr>
        <w:t>h for</w:t>
      </w:r>
      <w:r>
        <w:rPr>
          <w:rFonts w:ascii="Times New Roman" w:hAnsi="Times New Roman"/>
        </w:rPr>
        <w:t xml:space="preserve"> 2016 and 2017. Since the rule requires that a biennial target be “</w:t>
      </w:r>
      <w:r w:rsidRPr="00F754B3">
        <w:rPr>
          <w:rFonts w:ascii="Times New Roman" w:hAnsi="Times New Roman"/>
          <w:i/>
        </w:rPr>
        <w:t>no lower</w:t>
      </w:r>
      <w:r w:rsidR="00F754B3">
        <w:rPr>
          <w:rFonts w:ascii="Times New Roman" w:hAnsi="Times New Roman"/>
        </w:rPr>
        <w:t xml:space="preserve"> than a pro rata share</w:t>
      </w:r>
      <w:r>
        <w:rPr>
          <w:rFonts w:ascii="Times New Roman" w:hAnsi="Times New Roman"/>
        </w:rPr>
        <w:t>”</w:t>
      </w:r>
      <w:r w:rsidR="00F754B3">
        <w:rPr>
          <w:rFonts w:ascii="Times New Roman" w:hAnsi="Times New Roman"/>
        </w:rPr>
        <w:t xml:space="preserve"> (emphasis added),</w:t>
      </w:r>
      <w:r>
        <w:rPr>
          <w:rFonts w:ascii="Times New Roman" w:hAnsi="Times New Roman"/>
        </w:rPr>
        <w:t xml:space="preserve"> the advisory group recommended that </w:t>
      </w:r>
      <w:r w:rsidR="00244FFD">
        <w:rPr>
          <w:rFonts w:ascii="Times New Roman" w:hAnsi="Times New Roman"/>
        </w:rPr>
        <w:t>Pacific Power</w:t>
      </w:r>
      <w:r>
        <w:rPr>
          <w:rFonts w:ascii="Times New Roman" w:hAnsi="Times New Roman"/>
        </w:rPr>
        <w:t xml:space="preserve"> use the higher two-year potential identified in the CPA, and the company agreed.</w:t>
      </w:r>
    </w:p>
    <w:p w14:paraId="7CC4CD77" w14:textId="77777777" w:rsidR="00884034" w:rsidRDefault="00884034" w:rsidP="00884034">
      <w:pPr>
        <w:rPr>
          <w:rFonts w:ascii="Times New Roman" w:hAnsi="Times New Roman"/>
        </w:rPr>
      </w:pPr>
    </w:p>
    <w:p w14:paraId="7CC4CD78" w14:textId="77777777" w:rsidR="00884034" w:rsidRDefault="00BD53A3" w:rsidP="00884034">
      <w:pPr>
        <w:rPr>
          <w:rFonts w:ascii="Times New Roman" w:hAnsi="Times New Roman"/>
        </w:rPr>
      </w:pPr>
      <w:r>
        <w:rPr>
          <w:rFonts w:ascii="Times New Roman" w:hAnsi="Times New Roman"/>
        </w:rPr>
        <w:t xml:space="preserve">The final adjustment that </w:t>
      </w:r>
      <w:r w:rsidR="00244FFD">
        <w:rPr>
          <w:rFonts w:ascii="Times New Roman" w:hAnsi="Times New Roman"/>
        </w:rPr>
        <w:t>Pacific Power</w:t>
      </w:r>
      <w:r>
        <w:rPr>
          <w:rFonts w:ascii="Times New Roman" w:hAnsi="Times New Roman"/>
        </w:rPr>
        <w:t xml:space="preserve"> made to determine its EIA target for the 2016-2017 biennium was to subtract the projected savings associated with the company’s involvement in the Northwest Energy Efficiency Alliance (NEEA), as discussed </w:t>
      </w:r>
      <w:r w:rsidR="00AF3E8E">
        <w:rPr>
          <w:rFonts w:ascii="Times New Roman" w:hAnsi="Times New Roman"/>
        </w:rPr>
        <w:t xml:space="preserve">in staff’s comments. Table 1 summarizes the derivation of </w:t>
      </w:r>
      <w:r w:rsidR="00244FFD">
        <w:rPr>
          <w:rFonts w:ascii="Times New Roman" w:hAnsi="Times New Roman"/>
        </w:rPr>
        <w:t>Pacific Power</w:t>
      </w:r>
      <w:r w:rsidR="00AF3E8E">
        <w:rPr>
          <w:rFonts w:ascii="Times New Roman" w:hAnsi="Times New Roman"/>
        </w:rPr>
        <w:t>’s biennial target:</w:t>
      </w:r>
    </w:p>
    <w:p w14:paraId="7CC4CD79" w14:textId="77777777" w:rsidR="00884034" w:rsidRDefault="00884034" w:rsidP="00884034">
      <w:pPr>
        <w:spacing w:line="264" w:lineRule="auto"/>
        <w:ind w:right="720"/>
        <w:rPr>
          <w:rFonts w:ascii="Times New Roman" w:hAnsi="Times New Roman"/>
          <w:b/>
        </w:rPr>
      </w:pPr>
    </w:p>
    <w:p w14:paraId="7CC4CD7A" w14:textId="77777777" w:rsidR="00884034" w:rsidRDefault="00884034" w:rsidP="00884034">
      <w:pPr>
        <w:spacing w:line="264" w:lineRule="auto"/>
        <w:ind w:right="720"/>
        <w:rPr>
          <w:rFonts w:ascii="Times New Roman" w:hAnsi="Times New Roman"/>
          <w:b/>
        </w:rPr>
      </w:pPr>
      <w:r w:rsidRPr="00084184">
        <w:rPr>
          <w:rFonts w:ascii="Times New Roman" w:hAnsi="Times New Roman"/>
          <w:b/>
        </w:rPr>
        <w:t xml:space="preserve">Table </w:t>
      </w:r>
      <w:r>
        <w:rPr>
          <w:rFonts w:ascii="Times New Roman" w:hAnsi="Times New Roman"/>
          <w:b/>
        </w:rPr>
        <w:t>1</w:t>
      </w:r>
      <w:r w:rsidRPr="00084184">
        <w:rPr>
          <w:rFonts w:ascii="Times New Roman" w:hAnsi="Times New Roman"/>
          <w:b/>
        </w:rPr>
        <w:t xml:space="preserve">. Development of </w:t>
      </w:r>
      <w:r w:rsidR="00244FFD">
        <w:rPr>
          <w:rFonts w:ascii="Times New Roman" w:hAnsi="Times New Roman"/>
          <w:b/>
        </w:rPr>
        <w:t>Pacific Power</w:t>
      </w:r>
      <w:r w:rsidRPr="00084184">
        <w:rPr>
          <w:rFonts w:ascii="Times New Roman" w:hAnsi="Times New Roman"/>
          <w:b/>
        </w:rPr>
        <w:t>’s 201</w:t>
      </w:r>
      <w:r w:rsidR="00AF3E8E">
        <w:rPr>
          <w:rFonts w:ascii="Times New Roman" w:hAnsi="Times New Roman"/>
          <w:b/>
        </w:rPr>
        <w:t>6-2017</w:t>
      </w:r>
      <w:r w:rsidRPr="00084184">
        <w:rPr>
          <w:rFonts w:ascii="Times New Roman" w:hAnsi="Times New Roman"/>
          <w:b/>
        </w:rPr>
        <w:t xml:space="preserve"> Biennial Conservation Target</w:t>
      </w:r>
    </w:p>
    <w:p w14:paraId="7CC4CD7B" w14:textId="77777777" w:rsidR="00884034" w:rsidRDefault="00884034" w:rsidP="00884034">
      <w:pPr>
        <w:spacing w:line="264" w:lineRule="auto"/>
        <w:ind w:right="720"/>
        <w:rPr>
          <w:rFonts w:ascii="Times New Roman" w:hAnsi="Times New Roman"/>
          <w:b/>
        </w:rPr>
      </w:pPr>
    </w:p>
    <w:tbl>
      <w:tblPr>
        <w:tblW w:w="0" w:type="auto"/>
        <w:tblInd w:w="144" w:type="dxa"/>
        <w:tblCellMar>
          <w:left w:w="0" w:type="dxa"/>
          <w:right w:w="0" w:type="dxa"/>
        </w:tblCellMar>
        <w:tblLook w:val="04A0" w:firstRow="1" w:lastRow="0" w:firstColumn="1" w:lastColumn="0" w:noHBand="0" w:noVBand="1"/>
      </w:tblPr>
      <w:tblGrid>
        <w:gridCol w:w="5454"/>
        <w:gridCol w:w="2070"/>
      </w:tblGrid>
      <w:tr w:rsidR="00884034" w:rsidRPr="009355D6" w14:paraId="7CC4CD7E" w14:textId="77777777" w:rsidTr="00F0309B">
        <w:trPr>
          <w:trHeight w:val="379"/>
        </w:trPr>
        <w:tc>
          <w:tcPr>
            <w:tcW w:w="5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C4CD7C" w14:textId="77777777" w:rsidR="00884034" w:rsidRPr="009355D6" w:rsidRDefault="00884034" w:rsidP="00F0309B">
            <w:pPr>
              <w:spacing w:line="264" w:lineRule="auto"/>
              <w:ind w:right="2123"/>
              <w:rPr>
                <w:rFonts w:ascii="Times New Roman" w:hAnsi="Times New Roman"/>
                <w:b/>
                <w:bCs/>
              </w:rPr>
            </w:pPr>
            <w:r>
              <w:rPr>
                <w:rFonts w:ascii="Times New Roman" w:hAnsi="Times New Roman"/>
                <w:b/>
                <w:bCs/>
              </w:rPr>
              <w:t xml:space="preserve">Savings </w:t>
            </w:r>
            <w:r w:rsidRPr="009355D6">
              <w:rPr>
                <w:rFonts w:ascii="Times New Roman" w:hAnsi="Times New Roman"/>
                <w:b/>
                <w:bCs/>
              </w:rPr>
              <w:t>Category</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C4CD7D" w14:textId="77777777" w:rsidR="00884034" w:rsidRPr="009355D6" w:rsidRDefault="00884034" w:rsidP="00F0309B">
            <w:pPr>
              <w:spacing w:line="264" w:lineRule="auto"/>
              <w:ind w:right="164"/>
              <w:jc w:val="center"/>
              <w:rPr>
                <w:rFonts w:ascii="Times New Roman" w:hAnsi="Times New Roman"/>
                <w:b/>
                <w:bCs/>
              </w:rPr>
            </w:pPr>
            <w:r w:rsidRPr="009355D6">
              <w:rPr>
                <w:rFonts w:ascii="Times New Roman" w:hAnsi="Times New Roman"/>
                <w:b/>
                <w:bCs/>
              </w:rPr>
              <w:t>Target (MWh)</w:t>
            </w:r>
          </w:p>
        </w:tc>
      </w:tr>
      <w:tr w:rsidR="00884034" w:rsidRPr="009355D6" w14:paraId="7CC4CD81" w14:textId="77777777" w:rsidTr="00F0309B">
        <w:trPr>
          <w:trHeight w:val="295"/>
        </w:trPr>
        <w:tc>
          <w:tcPr>
            <w:tcW w:w="5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4CD7F" w14:textId="77777777" w:rsidR="00884034" w:rsidRPr="009355D6" w:rsidRDefault="00884034" w:rsidP="00F0309B">
            <w:pPr>
              <w:spacing w:line="264" w:lineRule="auto"/>
              <w:ind w:right="720"/>
              <w:rPr>
                <w:rFonts w:ascii="Times New Roman" w:hAnsi="Times New Roman"/>
              </w:rPr>
            </w:pPr>
            <w:r>
              <w:rPr>
                <w:rFonts w:ascii="Times New Roman" w:hAnsi="Times New Roman"/>
              </w:rPr>
              <w:t xml:space="preserve">End-Use </w:t>
            </w:r>
            <w:r w:rsidRPr="009355D6">
              <w:rPr>
                <w:rFonts w:ascii="Times New Roman" w:hAnsi="Times New Roman"/>
              </w:rPr>
              <w:t>Efficiency</w:t>
            </w:r>
            <w:r>
              <w:rPr>
                <w:rFonts w:ascii="Times New Roman" w:hAnsi="Times New Roman"/>
              </w:rPr>
              <w:t xml:space="preserve"> Measures</w:t>
            </w:r>
            <w:r w:rsidRPr="009355D6">
              <w:rPr>
                <w:rFonts w:ascii="Times New Roman" w:hAnsi="Times New Roman"/>
              </w:rPr>
              <w:t xml:space="preserve"> (</w:t>
            </w:r>
            <w:r>
              <w:rPr>
                <w:rFonts w:ascii="Times New Roman" w:hAnsi="Times New Roman"/>
              </w:rPr>
              <w:t xml:space="preserve">Adjusted </w:t>
            </w:r>
            <w:r w:rsidRPr="009355D6">
              <w:rPr>
                <w:rFonts w:ascii="Times New Roman" w:hAnsi="Times New Roman"/>
              </w:rPr>
              <w:t>CPA)</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4CD80" w14:textId="77777777" w:rsidR="00884034" w:rsidRPr="009355D6" w:rsidRDefault="00AF3E8E" w:rsidP="00F0309B">
            <w:pPr>
              <w:spacing w:line="264" w:lineRule="auto"/>
              <w:ind w:right="164"/>
              <w:jc w:val="right"/>
              <w:rPr>
                <w:rFonts w:ascii="Times New Roman" w:hAnsi="Times New Roman"/>
              </w:rPr>
            </w:pPr>
            <w:r>
              <w:rPr>
                <w:rFonts w:ascii="Times New Roman" w:hAnsi="Times New Roman"/>
              </w:rPr>
              <w:t>93,059</w:t>
            </w:r>
          </w:p>
        </w:tc>
      </w:tr>
      <w:tr w:rsidR="00884034" w:rsidRPr="009355D6" w14:paraId="7CC4CD84" w14:textId="77777777" w:rsidTr="00F0309B">
        <w:trPr>
          <w:trHeight w:val="250"/>
        </w:trPr>
        <w:tc>
          <w:tcPr>
            <w:tcW w:w="5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4CD82" w14:textId="77777777" w:rsidR="00884034" w:rsidRPr="009355D6" w:rsidRDefault="00884034" w:rsidP="00F0309B">
            <w:pPr>
              <w:spacing w:line="264" w:lineRule="auto"/>
              <w:ind w:right="720"/>
              <w:rPr>
                <w:rFonts w:ascii="Times New Roman" w:hAnsi="Times New Roman"/>
              </w:rPr>
            </w:pPr>
            <w:r w:rsidRPr="009355D6">
              <w:rPr>
                <w:rFonts w:ascii="Times New Roman" w:hAnsi="Times New Roman"/>
              </w:rPr>
              <w:t>Less NEEA</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4CD83" w14:textId="77777777" w:rsidR="00884034" w:rsidRPr="009355D6" w:rsidRDefault="00884034" w:rsidP="00AF3E8E">
            <w:pPr>
              <w:spacing w:line="264" w:lineRule="auto"/>
              <w:ind w:right="164"/>
              <w:jc w:val="right"/>
              <w:rPr>
                <w:rFonts w:ascii="Times New Roman" w:hAnsi="Times New Roman"/>
              </w:rPr>
            </w:pPr>
            <w:r w:rsidRPr="009355D6">
              <w:rPr>
                <w:rFonts w:ascii="Times New Roman" w:hAnsi="Times New Roman"/>
              </w:rPr>
              <w:t>(</w:t>
            </w:r>
            <w:r w:rsidR="00AF3E8E">
              <w:rPr>
                <w:rFonts w:ascii="Times New Roman" w:hAnsi="Times New Roman"/>
              </w:rPr>
              <w:t>5,245</w:t>
            </w:r>
            <w:r w:rsidRPr="009355D6">
              <w:rPr>
                <w:rFonts w:ascii="Times New Roman" w:hAnsi="Times New Roman"/>
              </w:rPr>
              <w:t>)</w:t>
            </w:r>
          </w:p>
        </w:tc>
      </w:tr>
      <w:tr w:rsidR="00884034" w:rsidRPr="00125C1B" w14:paraId="7CC4CD87" w14:textId="77777777" w:rsidTr="00F0309B">
        <w:trPr>
          <w:trHeight w:val="223"/>
        </w:trPr>
        <w:tc>
          <w:tcPr>
            <w:tcW w:w="5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4CD85" w14:textId="77777777" w:rsidR="00884034" w:rsidRPr="00125C1B" w:rsidRDefault="00884034" w:rsidP="00F0309B">
            <w:pPr>
              <w:spacing w:line="264" w:lineRule="auto"/>
              <w:ind w:right="720"/>
              <w:rPr>
                <w:rFonts w:ascii="Times New Roman" w:hAnsi="Times New Roman"/>
              </w:rPr>
            </w:pPr>
            <w:r>
              <w:rPr>
                <w:rFonts w:ascii="Times New Roman" w:hAnsi="Times New Roman"/>
              </w:rPr>
              <w:t xml:space="preserve">End-Use </w:t>
            </w:r>
            <w:r w:rsidRPr="00125C1B">
              <w:rPr>
                <w:rFonts w:ascii="Times New Roman" w:hAnsi="Times New Roman"/>
              </w:rPr>
              <w:t xml:space="preserve">Efficiency </w:t>
            </w:r>
            <w:r>
              <w:rPr>
                <w:rFonts w:ascii="Times New Roman" w:hAnsi="Times New Roman"/>
              </w:rPr>
              <w:t xml:space="preserve">Measures </w:t>
            </w:r>
            <w:r w:rsidRPr="00125C1B">
              <w:rPr>
                <w:rFonts w:ascii="Times New Roman" w:hAnsi="Times New Roman"/>
              </w:rPr>
              <w:t>Subtotal</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4CD86" w14:textId="77777777" w:rsidR="00884034" w:rsidRPr="00125C1B" w:rsidRDefault="00AF3E8E" w:rsidP="00F0309B">
            <w:pPr>
              <w:spacing w:line="264" w:lineRule="auto"/>
              <w:ind w:right="164"/>
              <w:jc w:val="right"/>
              <w:rPr>
                <w:rFonts w:ascii="Times New Roman" w:hAnsi="Times New Roman"/>
              </w:rPr>
            </w:pPr>
            <w:r>
              <w:rPr>
                <w:rFonts w:ascii="Times New Roman" w:hAnsi="Times New Roman"/>
              </w:rPr>
              <w:t>87,814</w:t>
            </w:r>
          </w:p>
        </w:tc>
      </w:tr>
      <w:tr w:rsidR="00884034" w:rsidRPr="009355D6" w14:paraId="7CC4CD8A" w14:textId="77777777" w:rsidTr="00F0309B">
        <w:trPr>
          <w:trHeight w:val="268"/>
        </w:trPr>
        <w:tc>
          <w:tcPr>
            <w:tcW w:w="5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4CD88" w14:textId="77777777" w:rsidR="00884034" w:rsidRPr="00125C1B" w:rsidRDefault="00884034" w:rsidP="00F0309B">
            <w:pPr>
              <w:spacing w:line="264" w:lineRule="auto"/>
              <w:ind w:right="720"/>
              <w:rPr>
                <w:rFonts w:ascii="Times New Roman" w:hAnsi="Times New Roman"/>
              </w:rPr>
            </w:pPr>
            <w:r w:rsidRPr="00125C1B">
              <w:rPr>
                <w:rFonts w:ascii="Times New Roman" w:hAnsi="Times New Roman"/>
              </w:rPr>
              <w:t>Distribution Efficiency</w:t>
            </w:r>
            <w:r w:rsidR="00AF3E8E">
              <w:rPr>
                <w:rFonts w:ascii="Times New Roman" w:hAnsi="Times New Roman"/>
              </w:rPr>
              <w:t xml:space="preserve"> Adjustment</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4CD89" w14:textId="77777777" w:rsidR="00884034" w:rsidRPr="009355D6" w:rsidRDefault="00884034" w:rsidP="00F0309B">
            <w:pPr>
              <w:spacing w:line="264" w:lineRule="auto"/>
              <w:ind w:right="164"/>
              <w:jc w:val="right"/>
              <w:rPr>
                <w:rFonts w:ascii="Times New Roman" w:hAnsi="Times New Roman"/>
              </w:rPr>
            </w:pPr>
            <w:r>
              <w:rPr>
                <w:rFonts w:ascii="Times New Roman" w:hAnsi="Times New Roman"/>
              </w:rPr>
              <w:t>0</w:t>
            </w:r>
          </w:p>
        </w:tc>
      </w:tr>
      <w:tr w:rsidR="00884034" w:rsidRPr="009355D6" w14:paraId="7CC4CD8D" w14:textId="77777777" w:rsidTr="00F0309B">
        <w:trPr>
          <w:trHeight w:val="313"/>
        </w:trPr>
        <w:tc>
          <w:tcPr>
            <w:tcW w:w="5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4CD8B" w14:textId="77777777" w:rsidR="00884034" w:rsidRPr="00125C1B" w:rsidRDefault="00884034" w:rsidP="00F0309B">
            <w:pPr>
              <w:spacing w:line="264" w:lineRule="auto"/>
              <w:ind w:right="720"/>
              <w:rPr>
                <w:rFonts w:ascii="Times New Roman" w:hAnsi="Times New Roman"/>
              </w:rPr>
            </w:pPr>
            <w:r w:rsidRPr="00125C1B">
              <w:rPr>
                <w:rFonts w:ascii="Times New Roman" w:hAnsi="Times New Roman"/>
              </w:rPr>
              <w:t>Generation Efficiency</w:t>
            </w:r>
            <w:r w:rsidR="00AF3E8E">
              <w:rPr>
                <w:rFonts w:ascii="Times New Roman" w:hAnsi="Times New Roman"/>
              </w:rPr>
              <w:t xml:space="preserve"> Adjustment</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4CD8C" w14:textId="77777777" w:rsidR="00884034" w:rsidRPr="009355D6" w:rsidRDefault="00AF3E8E" w:rsidP="00F0309B">
            <w:pPr>
              <w:spacing w:line="264" w:lineRule="auto"/>
              <w:ind w:right="164"/>
              <w:jc w:val="right"/>
              <w:rPr>
                <w:rFonts w:ascii="Times New Roman" w:hAnsi="Times New Roman"/>
              </w:rPr>
            </w:pPr>
            <w:r>
              <w:rPr>
                <w:rFonts w:ascii="Times New Roman" w:hAnsi="Times New Roman"/>
              </w:rPr>
              <w:t xml:space="preserve">0 </w:t>
            </w:r>
          </w:p>
        </w:tc>
      </w:tr>
      <w:tr w:rsidR="00884034" w:rsidRPr="009355D6" w14:paraId="7CC4CD90" w14:textId="77777777" w:rsidTr="00F0309B">
        <w:trPr>
          <w:trHeight w:val="99"/>
        </w:trPr>
        <w:tc>
          <w:tcPr>
            <w:tcW w:w="5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4CD8E" w14:textId="77777777" w:rsidR="00884034" w:rsidRPr="009355D6" w:rsidRDefault="00884034" w:rsidP="00F0309B">
            <w:pPr>
              <w:spacing w:line="264" w:lineRule="auto"/>
              <w:ind w:right="432"/>
              <w:rPr>
                <w:rFonts w:ascii="Times New Roman" w:hAnsi="Times New Roman"/>
                <w:b/>
                <w:bCs/>
              </w:rPr>
            </w:pPr>
            <w:r>
              <w:rPr>
                <w:rFonts w:ascii="Times New Roman" w:hAnsi="Times New Roman"/>
                <w:b/>
                <w:bCs/>
              </w:rPr>
              <w:t>2014-20</w:t>
            </w:r>
            <w:r w:rsidRPr="009355D6">
              <w:rPr>
                <w:rFonts w:ascii="Times New Roman" w:hAnsi="Times New Roman"/>
                <w:b/>
                <w:bCs/>
              </w:rPr>
              <w:t xml:space="preserve">15 </w:t>
            </w:r>
            <w:r>
              <w:rPr>
                <w:rFonts w:ascii="Times New Roman" w:hAnsi="Times New Roman"/>
                <w:b/>
                <w:bCs/>
              </w:rPr>
              <w:t>Biennial Conservation</w:t>
            </w:r>
            <w:r w:rsidRPr="009355D6">
              <w:rPr>
                <w:rFonts w:ascii="Times New Roman" w:hAnsi="Times New Roman"/>
                <w:b/>
                <w:bCs/>
              </w:rPr>
              <w:t xml:space="preserve"> Target</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4CD8F" w14:textId="77777777" w:rsidR="00884034" w:rsidRPr="009355D6" w:rsidRDefault="00AF3E8E" w:rsidP="00F0309B">
            <w:pPr>
              <w:spacing w:line="264" w:lineRule="auto"/>
              <w:ind w:right="164"/>
              <w:jc w:val="right"/>
              <w:rPr>
                <w:rFonts w:ascii="Times New Roman" w:hAnsi="Times New Roman"/>
                <w:b/>
                <w:bCs/>
              </w:rPr>
            </w:pPr>
            <w:r>
              <w:rPr>
                <w:rFonts w:ascii="Times New Roman" w:hAnsi="Times New Roman"/>
                <w:b/>
                <w:bCs/>
              </w:rPr>
              <w:t>87,814</w:t>
            </w:r>
          </w:p>
        </w:tc>
      </w:tr>
    </w:tbl>
    <w:p w14:paraId="7CC4CD91" w14:textId="77777777" w:rsidR="00884034" w:rsidRDefault="00884034" w:rsidP="00884034">
      <w:pPr>
        <w:spacing w:line="264" w:lineRule="auto"/>
        <w:ind w:right="720"/>
        <w:rPr>
          <w:rFonts w:ascii="Times New Roman" w:hAnsi="Times New Roman"/>
          <w:b/>
        </w:rPr>
      </w:pPr>
    </w:p>
    <w:p w14:paraId="7CC4CD92" w14:textId="77777777" w:rsidR="00884034" w:rsidRPr="000B7748" w:rsidRDefault="00884034" w:rsidP="00884034">
      <w:pPr>
        <w:rPr>
          <w:rFonts w:ascii="Times New Roman" w:hAnsi="Times New Roman"/>
          <w:b/>
        </w:rPr>
      </w:pPr>
      <w:r w:rsidRPr="000B7748">
        <w:rPr>
          <w:rFonts w:ascii="Times New Roman" w:hAnsi="Times New Roman"/>
          <w:b/>
        </w:rPr>
        <w:t>Biennial Budget and Cost-effectiveness</w:t>
      </w:r>
    </w:p>
    <w:p w14:paraId="7CC4CD93" w14:textId="77777777" w:rsidR="00884034" w:rsidRDefault="00884034" w:rsidP="00884034">
      <w:pPr>
        <w:rPr>
          <w:rFonts w:ascii="Times New Roman" w:hAnsi="Times New Roman"/>
          <w:b/>
          <w:u w:val="single"/>
        </w:rPr>
      </w:pPr>
    </w:p>
    <w:p w14:paraId="7CC4CD94" w14:textId="77777777" w:rsidR="00884034" w:rsidRDefault="00244FFD" w:rsidP="00884034">
      <w:pPr>
        <w:rPr>
          <w:rFonts w:ascii="Times New Roman" w:hAnsi="Times New Roman"/>
        </w:rPr>
      </w:pPr>
      <w:r>
        <w:rPr>
          <w:rFonts w:ascii="Times New Roman" w:hAnsi="Times New Roman"/>
        </w:rPr>
        <w:t>Pacific Power</w:t>
      </w:r>
      <w:r w:rsidR="00EF47C1">
        <w:rPr>
          <w:rFonts w:ascii="Times New Roman" w:hAnsi="Times New Roman"/>
        </w:rPr>
        <w:t>’s 2016-2017 Demand-side Management</w:t>
      </w:r>
      <w:r w:rsidR="00884034">
        <w:rPr>
          <w:rFonts w:ascii="Times New Roman" w:hAnsi="Times New Roman"/>
        </w:rPr>
        <w:t xml:space="preserve"> Business Plan, attached to the Biennial Conservation Plan filing as Appendix 7, explains the company’s conservation budget and the suite of measures that the company will use to reach its target. A summary of this information is provided below in Table 2. The biennial budget for all programs </w:t>
      </w:r>
      <w:r w:rsidR="00EF47C1">
        <w:rPr>
          <w:rFonts w:ascii="Times New Roman" w:hAnsi="Times New Roman"/>
        </w:rPr>
        <w:t>in 2016</w:t>
      </w:r>
      <w:r w:rsidR="00884034">
        <w:rPr>
          <w:rFonts w:ascii="Times New Roman" w:hAnsi="Times New Roman"/>
        </w:rPr>
        <w:t>-201</w:t>
      </w:r>
      <w:r w:rsidR="00EF47C1">
        <w:rPr>
          <w:rFonts w:ascii="Times New Roman" w:hAnsi="Times New Roman"/>
        </w:rPr>
        <w:t>7</w:t>
      </w:r>
      <w:r w:rsidR="00884034">
        <w:rPr>
          <w:rFonts w:ascii="Times New Roman" w:hAnsi="Times New Roman"/>
        </w:rPr>
        <w:t xml:space="preserve"> is $</w:t>
      </w:r>
      <w:r w:rsidR="00EF47C1">
        <w:rPr>
          <w:rFonts w:ascii="Times New Roman" w:hAnsi="Times New Roman"/>
        </w:rPr>
        <w:t>24.6</w:t>
      </w:r>
      <w:r w:rsidR="00884034">
        <w:rPr>
          <w:rFonts w:ascii="Times New Roman" w:hAnsi="Times New Roman"/>
        </w:rPr>
        <w:t xml:space="preserve"> million, an increase of </w:t>
      </w:r>
      <w:r w:rsidR="00EF47C1">
        <w:rPr>
          <w:rFonts w:ascii="Times New Roman" w:hAnsi="Times New Roman"/>
        </w:rPr>
        <w:t>1</w:t>
      </w:r>
      <w:r w:rsidR="00884034">
        <w:rPr>
          <w:rFonts w:ascii="Times New Roman" w:hAnsi="Times New Roman"/>
        </w:rPr>
        <w:t xml:space="preserve">9 percent over the current biennium. </w:t>
      </w:r>
      <w:r w:rsidR="00EF47C1">
        <w:rPr>
          <w:rFonts w:ascii="Times New Roman" w:hAnsi="Times New Roman"/>
        </w:rPr>
        <w:t>The total p</w:t>
      </w:r>
      <w:r w:rsidR="00884034">
        <w:rPr>
          <w:rFonts w:ascii="Times New Roman" w:hAnsi="Times New Roman"/>
        </w:rPr>
        <w:t>rojected savings</w:t>
      </w:r>
      <w:r w:rsidR="00EF47C1">
        <w:rPr>
          <w:rFonts w:ascii="Times New Roman" w:hAnsi="Times New Roman"/>
        </w:rPr>
        <w:t xml:space="preserve"> (including NEEA)</w:t>
      </w:r>
      <w:r w:rsidR="00884034">
        <w:rPr>
          <w:rFonts w:ascii="Times New Roman" w:hAnsi="Times New Roman"/>
        </w:rPr>
        <w:t xml:space="preserve"> are 9</w:t>
      </w:r>
      <w:r w:rsidR="00EF47C1">
        <w:rPr>
          <w:rFonts w:ascii="Times New Roman" w:hAnsi="Times New Roman"/>
        </w:rPr>
        <w:t>6</w:t>
      </w:r>
      <w:r w:rsidR="00884034">
        <w:rPr>
          <w:rFonts w:ascii="Times New Roman" w:hAnsi="Times New Roman"/>
        </w:rPr>
        <w:t>,</w:t>
      </w:r>
      <w:r w:rsidR="00EF47C1">
        <w:rPr>
          <w:rFonts w:ascii="Times New Roman" w:hAnsi="Times New Roman"/>
        </w:rPr>
        <w:t>876 MWh, an increase of about 4</w:t>
      </w:r>
      <w:r w:rsidR="00884034">
        <w:rPr>
          <w:rFonts w:ascii="Times New Roman" w:hAnsi="Times New Roman"/>
        </w:rPr>
        <w:t xml:space="preserve"> percent over the current biennium’s projection. </w:t>
      </w:r>
    </w:p>
    <w:p w14:paraId="7CC4CD95" w14:textId="77777777" w:rsidR="00021515" w:rsidRDefault="00021515" w:rsidP="00884034">
      <w:pPr>
        <w:rPr>
          <w:rFonts w:ascii="Times New Roman" w:hAnsi="Times New Roman"/>
        </w:rPr>
      </w:pPr>
    </w:p>
    <w:p w14:paraId="7CC4CD96" w14:textId="618274B3" w:rsidR="00021515" w:rsidRDefault="00021515" w:rsidP="00884034">
      <w:pPr>
        <w:rPr>
          <w:rFonts w:ascii="Times New Roman" w:hAnsi="Times New Roman"/>
        </w:rPr>
      </w:pPr>
      <w:r>
        <w:rPr>
          <w:rFonts w:ascii="Times New Roman" w:hAnsi="Times New Roman"/>
        </w:rPr>
        <w:t xml:space="preserve">The primary reason that expenses are projected to grow faster than savings in the upcoming biennium is because </w:t>
      </w:r>
      <w:r w:rsidR="00244FFD">
        <w:rPr>
          <w:rFonts w:ascii="Times New Roman" w:hAnsi="Times New Roman"/>
        </w:rPr>
        <w:t>Pacific Power</w:t>
      </w:r>
      <w:r>
        <w:rPr>
          <w:rFonts w:ascii="Times New Roman" w:hAnsi="Times New Roman"/>
        </w:rPr>
        <w:t xml:space="preserve"> is essentially moving up the conservation supply</w:t>
      </w:r>
      <w:r w:rsidR="00F754B3">
        <w:rPr>
          <w:rFonts w:ascii="Times New Roman" w:hAnsi="Times New Roman"/>
        </w:rPr>
        <w:t xml:space="preserve"> curve</w:t>
      </w:r>
      <w:r>
        <w:rPr>
          <w:rFonts w:ascii="Times New Roman" w:hAnsi="Times New Roman"/>
        </w:rPr>
        <w:t xml:space="preserve"> – adding new measures that, while cost effective, are generally more expensive. For example, the company has added measures for a heat pump clothes dryer ($300 incentive), </w:t>
      </w:r>
      <w:r w:rsidR="00615A9D">
        <w:rPr>
          <w:rFonts w:ascii="Times New Roman" w:hAnsi="Times New Roman"/>
        </w:rPr>
        <w:t xml:space="preserve">evaporative coolers ($250), and smart thermostats ($50). Another reason is NEEA, which has reduced its projected savings for the upcoming biennium by 63 percent compared to the current biennium, but only reduced </w:t>
      </w:r>
      <w:r w:rsidR="00244FFD">
        <w:rPr>
          <w:rFonts w:ascii="Times New Roman" w:hAnsi="Times New Roman"/>
        </w:rPr>
        <w:t>Pacific Power</w:t>
      </w:r>
      <w:r w:rsidR="00615A9D">
        <w:rPr>
          <w:rFonts w:ascii="Times New Roman" w:hAnsi="Times New Roman"/>
        </w:rPr>
        <w:t>’s contribution by 24 percent.</w:t>
      </w:r>
    </w:p>
    <w:p w14:paraId="7CC4CD97" w14:textId="77777777" w:rsidR="00884034" w:rsidRDefault="00884034" w:rsidP="00884034">
      <w:pPr>
        <w:rPr>
          <w:rFonts w:ascii="Times New Roman" w:hAnsi="Times New Roman"/>
        </w:rPr>
      </w:pPr>
    </w:p>
    <w:p w14:paraId="7CC4CD98" w14:textId="30C9A070" w:rsidR="00884034" w:rsidRDefault="00615A9D" w:rsidP="00884034">
      <w:pPr>
        <w:rPr>
          <w:rFonts w:ascii="Times New Roman" w:hAnsi="Times New Roman"/>
        </w:rPr>
      </w:pPr>
      <w:r>
        <w:rPr>
          <w:rFonts w:ascii="Times New Roman" w:hAnsi="Times New Roman"/>
        </w:rPr>
        <w:t xml:space="preserve">Despite these changes, NEEA as a measure and the portfolio as a whole are projected to remain cost effective by a wide margin. </w:t>
      </w:r>
      <w:r w:rsidR="00884034">
        <w:rPr>
          <w:rFonts w:ascii="Times New Roman" w:hAnsi="Times New Roman"/>
        </w:rPr>
        <w:t xml:space="preserve">Independent analysis of </w:t>
      </w:r>
      <w:r w:rsidR="00244FFD">
        <w:rPr>
          <w:rFonts w:ascii="Times New Roman" w:hAnsi="Times New Roman"/>
        </w:rPr>
        <w:t>Pacific Power</w:t>
      </w:r>
      <w:r w:rsidR="000715F5">
        <w:rPr>
          <w:rFonts w:ascii="Times New Roman" w:hAnsi="Times New Roman"/>
        </w:rPr>
        <w:t>’</w:t>
      </w:r>
      <w:r w:rsidR="00884034">
        <w:rPr>
          <w:rFonts w:ascii="Times New Roman" w:hAnsi="Times New Roman"/>
        </w:rPr>
        <w:t xml:space="preserve">s </w:t>
      </w:r>
      <w:r w:rsidR="000715F5">
        <w:rPr>
          <w:rFonts w:ascii="Times New Roman" w:hAnsi="Times New Roman"/>
        </w:rPr>
        <w:t xml:space="preserve">2016-2017 </w:t>
      </w:r>
      <w:r w:rsidR="00884034">
        <w:rPr>
          <w:rFonts w:ascii="Times New Roman" w:hAnsi="Times New Roman"/>
        </w:rPr>
        <w:t xml:space="preserve">conservation portfolio by </w:t>
      </w:r>
      <w:r w:rsidR="000715F5">
        <w:rPr>
          <w:rFonts w:ascii="Times New Roman" w:hAnsi="Times New Roman"/>
        </w:rPr>
        <w:t>Navigant</w:t>
      </w:r>
      <w:r w:rsidR="00884034">
        <w:rPr>
          <w:rFonts w:ascii="Times New Roman" w:hAnsi="Times New Roman"/>
        </w:rPr>
        <w:t xml:space="preserve"> </w:t>
      </w:r>
      <w:r w:rsidR="000715F5">
        <w:rPr>
          <w:rFonts w:ascii="Times New Roman" w:hAnsi="Times New Roman"/>
        </w:rPr>
        <w:t xml:space="preserve">projects that it will </w:t>
      </w:r>
      <w:r>
        <w:rPr>
          <w:rFonts w:ascii="Times New Roman" w:hAnsi="Times New Roman"/>
        </w:rPr>
        <w:t>achieve</w:t>
      </w:r>
      <w:r w:rsidR="00021515">
        <w:rPr>
          <w:rFonts w:ascii="Times New Roman" w:hAnsi="Times New Roman"/>
        </w:rPr>
        <w:t xml:space="preserve"> </w:t>
      </w:r>
      <w:r w:rsidR="00884034">
        <w:rPr>
          <w:rFonts w:ascii="Times New Roman" w:hAnsi="Times New Roman"/>
        </w:rPr>
        <w:t xml:space="preserve">a Total Resource Cost (TRC) ratio of </w:t>
      </w:r>
      <w:r w:rsidR="00945154">
        <w:rPr>
          <w:rFonts w:ascii="Times New Roman" w:hAnsi="Times New Roman"/>
        </w:rPr>
        <w:t>1.6</w:t>
      </w:r>
      <w:r w:rsidR="00021515">
        <w:rPr>
          <w:rStyle w:val="FootnoteReference"/>
          <w:rFonts w:ascii="Times New Roman" w:hAnsi="Times New Roman"/>
        </w:rPr>
        <w:footnoteReference w:id="1"/>
      </w:r>
      <w:r w:rsidR="00021515">
        <w:rPr>
          <w:rFonts w:ascii="Times New Roman" w:hAnsi="Times New Roman"/>
        </w:rPr>
        <w:t xml:space="preserve"> </w:t>
      </w:r>
      <w:r w:rsidR="00884034">
        <w:rPr>
          <w:rFonts w:ascii="Times New Roman" w:hAnsi="Times New Roman"/>
        </w:rPr>
        <w:t xml:space="preserve"> and a Utility Cost Test (UCT) ratio of 2.</w:t>
      </w:r>
      <w:r w:rsidR="000715F5">
        <w:rPr>
          <w:rFonts w:ascii="Times New Roman" w:hAnsi="Times New Roman"/>
        </w:rPr>
        <w:t>5</w:t>
      </w:r>
      <w:r w:rsidR="00021515">
        <w:rPr>
          <w:rFonts w:ascii="Times New Roman" w:hAnsi="Times New Roman"/>
        </w:rPr>
        <w:t>.</w:t>
      </w:r>
      <w:r w:rsidR="00884034" w:rsidRPr="00DB61F8">
        <w:rPr>
          <w:rStyle w:val="FootnoteReference"/>
          <w:rFonts w:ascii="Times New Roman" w:hAnsi="Times New Roman"/>
        </w:rPr>
        <w:t xml:space="preserve"> </w:t>
      </w:r>
    </w:p>
    <w:p w14:paraId="7CC4CD99" w14:textId="77777777" w:rsidR="00884034" w:rsidRPr="007E136C" w:rsidRDefault="00884034" w:rsidP="00884034">
      <w:pPr>
        <w:rPr>
          <w:rFonts w:ascii="Times New Roman" w:hAnsi="Times New Roman"/>
        </w:rPr>
      </w:pPr>
    </w:p>
    <w:p w14:paraId="7CC4CD9A" w14:textId="77777777" w:rsidR="00884034" w:rsidRPr="00FF511B" w:rsidRDefault="00884034" w:rsidP="00884034">
      <w:pPr>
        <w:spacing w:after="240" w:line="264" w:lineRule="auto"/>
        <w:ind w:right="720"/>
        <w:rPr>
          <w:rFonts w:ascii="Times New Roman" w:hAnsi="Times New Roman"/>
          <w:b/>
        </w:rPr>
      </w:pPr>
      <w:r w:rsidRPr="00FF511B">
        <w:rPr>
          <w:rFonts w:ascii="Times New Roman" w:hAnsi="Times New Roman"/>
          <w:b/>
        </w:rPr>
        <w:t xml:space="preserve">Table </w:t>
      </w:r>
      <w:r>
        <w:rPr>
          <w:rFonts w:ascii="Times New Roman" w:hAnsi="Times New Roman"/>
          <w:b/>
        </w:rPr>
        <w:t>2</w:t>
      </w:r>
      <w:r w:rsidRPr="00FF511B">
        <w:rPr>
          <w:rFonts w:ascii="Times New Roman" w:hAnsi="Times New Roman"/>
          <w:b/>
        </w:rPr>
        <w:t xml:space="preserve">. Comparison of </w:t>
      </w:r>
      <w:r w:rsidR="00244FFD">
        <w:rPr>
          <w:rFonts w:ascii="Times New Roman" w:hAnsi="Times New Roman"/>
          <w:b/>
        </w:rPr>
        <w:t>Pacific Power</w:t>
      </w:r>
      <w:r>
        <w:rPr>
          <w:rFonts w:ascii="Times New Roman" w:hAnsi="Times New Roman"/>
          <w:b/>
        </w:rPr>
        <w:t xml:space="preserve">’s </w:t>
      </w:r>
      <w:r w:rsidR="00235597">
        <w:rPr>
          <w:rFonts w:ascii="Times New Roman" w:hAnsi="Times New Roman"/>
          <w:b/>
        </w:rPr>
        <w:t>2016-2017</w:t>
      </w:r>
      <w:r w:rsidRPr="00FF511B">
        <w:rPr>
          <w:rFonts w:ascii="Times New Roman" w:hAnsi="Times New Roman"/>
          <w:b/>
        </w:rPr>
        <w:t xml:space="preserve"> and 2014-2015 BCPs.</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9"/>
        <w:gridCol w:w="1689"/>
        <w:gridCol w:w="1831"/>
        <w:gridCol w:w="1714"/>
        <w:gridCol w:w="1573"/>
      </w:tblGrid>
      <w:tr w:rsidR="00884034" w:rsidRPr="009355D6" w14:paraId="7CC4CDA1" w14:textId="77777777" w:rsidTr="00F0309B">
        <w:tc>
          <w:tcPr>
            <w:tcW w:w="2415" w:type="dxa"/>
            <w:shd w:val="clear" w:color="auto" w:fill="auto"/>
            <w:vAlign w:val="bottom"/>
          </w:tcPr>
          <w:p w14:paraId="7CC4CD9B" w14:textId="77777777" w:rsidR="00884034" w:rsidRPr="009E2C29" w:rsidRDefault="00884034" w:rsidP="00F0309B">
            <w:pPr>
              <w:jc w:val="center"/>
              <w:rPr>
                <w:rFonts w:ascii="Times New Roman" w:hAnsi="Times New Roman"/>
                <w:b/>
              </w:rPr>
            </w:pPr>
            <w:r w:rsidRPr="009E2C29">
              <w:rPr>
                <w:rFonts w:ascii="Times New Roman" w:hAnsi="Times New Roman"/>
                <w:b/>
              </w:rPr>
              <w:t>Program</w:t>
            </w:r>
          </w:p>
        </w:tc>
        <w:tc>
          <w:tcPr>
            <w:tcW w:w="1754" w:type="dxa"/>
            <w:shd w:val="clear" w:color="auto" w:fill="auto"/>
            <w:vAlign w:val="bottom"/>
          </w:tcPr>
          <w:p w14:paraId="7CC4CD9C" w14:textId="77777777" w:rsidR="00884034" w:rsidRPr="009E2C29" w:rsidRDefault="00CF6948" w:rsidP="00F0309B">
            <w:pPr>
              <w:jc w:val="center"/>
              <w:rPr>
                <w:rFonts w:ascii="Times New Roman" w:hAnsi="Times New Roman"/>
                <w:b/>
              </w:rPr>
            </w:pPr>
            <w:r>
              <w:rPr>
                <w:rFonts w:ascii="Times New Roman" w:hAnsi="Times New Roman"/>
                <w:b/>
              </w:rPr>
              <w:t>2016-2017</w:t>
            </w:r>
          </w:p>
          <w:p w14:paraId="7CC4CD9D" w14:textId="77777777" w:rsidR="00884034" w:rsidRPr="009E2C29" w:rsidRDefault="00884034" w:rsidP="00F0309B">
            <w:pPr>
              <w:jc w:val="center"/>
              <w:rPr>
                <w:rFonts w:ascii="Times New Roman" w:hAnsi="Times New Roman"/>
                <w:b/>
              </w:rPr>
            </w:pPr>
            <w:r w:rsidRPr="009E2C29">
              <w:rPr>
                <w:rFonts w:ascii="Times New Roman" w:hAnsi="Times New Roman"/>
                <w:b/>
              </w:rPr>
              <w:t>Projected Savings (MWh)</w:t>
            </w:r>
          </w:p>
        </w:tc>
        <w:tc>
          <w:tcPr>
            <w:tcW w:w="1887" w:type="dxa"/>
            <w:shd w:val="clear" w:color="auto" w:fill="auto"/>
            <w:vAlign w:val="bottom"/>
          </w:tcPr>
          <w:p w14:paraId="7CC4CD9E" w14:textId="77777777" w:rsidR="00884034" w:rsidRPr="009E2C29" w:rsidRDefault="00CF6948" w:rsidP="00F0309B">
            <w:pPr>
              <w:jc w:val="center"/>
              <w:rPr>
                <w:rFonts w:ascii="Times New Roman" w:hAnsi="Times New Roman"/>
                <w:b/>
              </w:rPr>
            </w:pPr>
            <w:r>
              <w:rPr>
                <w:rFonts w:ascii="Times New Roman" w:hAnsi="Times New Roman"/>
                <w:b/>
              </w:rPr>
              <w:t>2016-2017</w:t>
            </w:r>
            <w:r w:rsidR="00884034" w:rsidRPr="009E2C29">
              <w:rPr>
                <w:rFonts w:ascii="Times New Roman" w:hAnsi="Times New Roman"/>
                <w:b/>
              </w:rPr>
              <w:t xml:space="preserve"> Budget</w:t>
            </w:r>
          </w:p>
        </w:tc>
        <w:tc>
          <w:tcPr>
            <w:tcW w:w="1782" w:type="dxa"/>
            <w:shd w:val="clear" w:color="auto" w:fill="auto"/>
            <w:vAlign w:val="bottom"/>
          </w:tcPr>
          <w:p w14:paraId="0307D293" w14:textId="7FC5F7B7" w:rsidR="00F754B3" w:rsidRPr="009E2C29" w:rsidRDefault="00F754B3" w:rsidP="00F754B3">
            <w:pPr>
              <w:jc w:val="center"/>
              <w:rPr>
                <w:rFonts w:ascii="Times New Roman" w:hAnsi="Times New Roman"/>
                <w:b/>
              </w:rPr>
            </w:pPr>
            <w:r>
              <w:rPr>
                <w:rFonts w:ascii="Times New Roman" w:hAnsi="Times New Roman"/>
                <w:b/>
              </w:rPr>
              <w:t>2014-2015</w:t>
            </w:r>
          </w:p>
          <w:p w14:paraId="7CC4CD9F" w14:textId="5E2615BC" w:rsidR="00884034" w:rsidRPr="009E2C29" w:rsidRDefault="00F754B3" w:rsidP="00F754B3">
            <w:pPr>
              <w:jc w:val="center"/>
              <w:rPr>
                <w:rFonts w:ascii="Times New Roman" w:hAnsi="Times New Roman"/>
                <w:b/>
              </w:rPr>
            </w:pPr>
            <w:r w:rsidRPr="009E2C29">
              <w:rPr>
                <w:rFonts w:ascii="Times New Roman" w:hAnsi="Times New Roman"/>
                <w:b/>
              </w:rPr>
              <w:t>Projected Savings (MWh)</w:t>
            </w:r>
          </w:p>
        </w:tc>
        <w:tc>
          <w:tcPr>
            <w:tcW w:w="1594" w:type="dxa"/>
            <w:shd w:val="clear" w:color="auto" w:fill="auto"/>
            <w:vAlign w:val="bottom"/>
          </w:tcPr>
          <w:p w14:paraId="7CC4CDA0" w14:textId="77777777" w:rsidR="00884034" w:rsidRPr="009E2C29" w:rsidRDefault="00CF6948" w:rsidP="00F0309B">
            <w:pPr>
              <w:jc w:val="center"/>
              <w:rPr>
                <w:rFonts w:ascii="Times New Roman" w:hAnsi="Times New Roman"/>
                <w:b/>
              </w:rPr>
            </w:pPr>
            <w:r>
              <w:rPr>
                <w:rFonts w:ascii="Times New Roman" w:hAnsi="Times New Roman"/>
                <w:b/>
              </w:rPr>
              <w:t>2014-2015</w:t>
            </w:r>
            <w:r w:rsidR="00884034" w:rsidRPr="009E2C29">
              <w:rPr>
                <w:rFonts w:ascii="Times New Roman" w:hAnsi="Times New Roman"/>
                <w:b/>
              </w:rPr>
              <w:t xml:space="preserve"> Budget</w:t>
            </w:r>
          </w:p>
        </w:tc>
      </w:tr>
      <w:tr w:rsidR="00884034" w:rsidRPr="009355D6" w14:paraId="7CC4CDA7" w14:textId="77777777" w:rsidTr="00F0309B">
        <w:tc>
          <w:tcPr>
            <w:tcW w:w="2415" w:type="dxa"/>
            <w:shd w:val="clear" w:color="auto" w:fill="auto"/>
          </w:tcPr>
          <w:p w14:paraId="7CC4CDA2" w14:textId="77777777" w:rsidR="00884034" w:rsidRPr="009E2C29" w:rsidRDefault="00884034" w:rsidP="00F0309B">
            <w:pPr>
              <w:rPr>
                <w:rFonts w:ascii="Times New Roman" w:hAnsi="Times New Roman"/>
              </w:rPr>
            </w:pPr>
            <w:r w:rsidRPr="009E2C29">
              <w:rPr>
                <w:rFonts w:ascii="Times New Roman" w:hAnsi="Times New Roman"/>
              </w:rPr>
              <w:t>Residential</w:t>
            </w:r>
          </w:p>
        </w:tc>
        <w:tc>
          <w:tcPr>
            <w:tcW w:w="1754" w:type="dxa"/>
            <w:shd w:val="clear" w:color="auto" w:fill="auto"/>
            <w:vAlign w:val="bottom"/>
          </w:tcPr>
          <w:p w14:paraId="7CC4CDA3" w14:textId="77777777" w:rsidR="00884034" w:rsidRPr="009E2C29" w:rsidRDefault="00884034" w:rsidP="00F0309B">
            <w:pPr>
              <w:jc w:val="center"/>
              <w:rPr>
                <w:rFonts w:ascii="Times New Roman" w:hAnsi="Times New Roman"/>
              </w:rPr>
            </w:pPr>
          </w:p>
        </w:tc>
        <w:tc>
          <w:tcPr>
            <w:tcW w:w="1887" w:type="dxa"/>
            <w:shd w:val="clear" w:color="auto" w:fill="auto"/>
            <w:vAlign w:val="bottom"/>
          </w:tcPr>
          <w:p w14:paraId="7CC4CDA4" w14:textId="77777777" w:rsidR="00884034" w:rsidRPr="009E2C29" w:rsidRDefault="00884034" w:rsidP="00F0309B">
            <w:pPr>
              <w:jc w:val="center"/>
              <w:rPr>
                <w:rFonts w:ascii="Times New Roman" w:hAnsi="Times New Roman"/>
              </w:rPr>
            </w:pPr>
          </w:p>
        </w:tc>
        <w:tc>
          <w:tcPr>
            <w:tcW w:w="1782" w:type="dxa"/>
            <w:shd w:val="clear" w:color="auto" w:fill="auto"/>
            <w:vAlign w:val="bottom"/>
          </w:tcPr>
          <w:p w14:paraId="7CC4CDA5" w14:textId="77777777" w:rsidR="00884034" w:rsidRPr="009E2C29" w:rsidRDefault="00884034" w:rsidP="00F0309B">
            <w:pPr>
              <w:jc w:val="center"/>
              <w:rPr>
                <w:rFonts w:ascii="Times New Roman" w:hAnsi="Times New Roman"/>
              </w:rPr>
            </w:pPr>
          </w:p>
        </w:tc>
        <w:tc>
          <w:tcPr>
            <w:tcW w:w="1594" w:type="dxa"/>
            <w:shd w:val="clear" w:color="auto" w:fill="auto"/>
            <w:vAlign w:val="bottom"/>
          </w:tcPr>
          <w:p w14:paraId="7CC4CDA6" w14:textId="77777777" w:rsidR="00884034" w:rsidRPr="009E2C29" w:rsidRDefault="00884034" w:rsidP="00F0309B">
            <w:pPr>
              <w:jc w:val="center"/>
              <w:rPr>
                <w:rFonts w:ascii="Times New Roman" w:hAnsi="Times New Roman"/>
              </w:rPr>
            </w:pPr>
          </w:p>
        </w:tc>
      </w:tr>
      <w:tr w:rsidR="00CF6948" w:rsidRPr="009355D6" w14:paraId="7CC4CDAD" w14:textId="77777777" w:rsidTr="00F0309B">
        <w:tc>
          <w:tcPr>
            <w:tcW w:w="2415" w:type="dxa"/>
            <w:shd w:val="clear" w:color="auto" w:fill="auto"/>
          </w:tcPr>
          <w:p w14:paraId="7CC4CDA8" w14:textId="77777777" w:rsidR="00CF6948" w:rsidRPr="009E2C29" w:rsidRDefault="00CF6948" w:rsidP="00CF6948">
            <w:pPr>
              <w:rPr>
                <w:rFonts w:ascii="Times New Roman" w:hAnsi="Times New Roman"/>
                <w:i/>
              </w:rPr>
            </w:pPr>
            <w:r>
              <w:rPr>
                <w:rFonts w:ascii="Times New Roman" w:hAnsi="Times New Roman"/>
                <w:i/>
              </w:rPr>
              <w:t>Home Energy Savings</w:t>
            </w:r>
          </w:p>
        </w:tc>
        <w:tc>
          <w:tcPr>
            <w:tcW w:w="1754" w:type="dxa"/>
            <w:shd w:val="clear" w:color="auto" w:fill="auto"/>
            <w:vAlign w:val="center"/>
          </w:tcPr>
          <w:p w14:paraId="7CC4CDA9" w14:textId="77777777" w:rsidR="00CF6948" w:rsidRDefault="000802FD" w:rsidP="00CF6948">
            <w:pPr>
              <w:jc w:val="center"/>
              <w:rPr>
                <w:rFonts w:ascii="Times New Roman" w:hAnsi="Times New Roman"/>
                <w:i/>
              </w:rPr>
            </w:pPr>
            <w:r>
              <w:rPr>
                <w:rFonts w:ascii="Times New Roman" w:hAnsi="Times New Roman"/>
                <w:i/>
              </w:rPr>
              <w:t>28,512</w:t>
            </w:r>
          </w:p>
        </w:tc>
        <w:tc>
          <w:tcPr>
            <w:tcW w:w="1887" w:type="dxa"/>
            <w:shd w:val="clear" w:color="auto" w:fill="auto"/>
            <w:vAlign w:val="center"/>
          </w:tcPr>
          <w:p w14:paraId="7CC4CDAA" w14:textId="77777777" w:rsidR="00CF6948" w:rsidRDefault="00CF6948" w:rsidP="00CF6948">
            <w:pPr>
              <w:jc w:val="center"/>
              <w:rPr>
                <w:rFonts w:ascii="Times New Roman" w:hAnsi="Times New Roman"/>
                <w:i/>
              </w:rPr>
            </w:pPr>
            <w:r>
              <w:rPr>
                <w:rFonts w:ascii="Times New Roman" w:hAnsi="Times New Roman"/>
                <w:i/>
              </w:rPr>
              <w:t>$6,843,322</w:t>
            </w:r>
          </w:p>
        </w:tc>
        <w:tc>
          <w:tcPr>
            <w:tcW w:w="1782" w:type="dxa"/>
            <w:shd w:val="clear" w:color="auto" w:fill="auto"/>
            <w:vAlign w:val="center"/>
          </w:tcPr>
          <w:p w14:paraId="7CC4CDAB" w14:textId="77777777" w:rsidR="00CF6948" w:rsidRPr="009E2C29" w:rsidRDefault="00235597" w:rsidP="00CF6948">
            <w:pPr>
              <w:jc w:val="center"/>
              <w:rPr>
                <w:rFonts w:ascii="Times New Roman" w:hAnsi="Times New Roman"/>
                <w:i/>
              </w:rPr>
            </w:pPr>
            <w:r>
              <w:rPr>
                <w:rFonts w:ascii="Times New Roman" w:hAnsi="Times New Roman"/>
                <w:i/>
              </w:rPr>
              <w:t>17,536</w:t>
            </w:r>
          </w:p>
        </w:tc>
        <w:tc>
          <w:tcPr>
            <w:tcW w:w="1594" w:type="dxa"/>
            <w:shd w:val="clear" w:color="auto" w:fill="auto"/>
            <w:vAlign w:val="center"/>
          </w:tcPr>
          <w:p w14:paraId="7CC4CDAC" w14:textId="77777777" w:rsidR="00CF6948" w:rsidRPr="009E2C29" w:rsidRDefault="00235597" w:rsidP="00CF6948">
            <w:pPr>
              <w:jc w:val="center"/>
              <w:rPr>
                <w:rFonts w:ascii="Times New Roman" w:hAnsi="Times New Roman"/>
                <w:i/>
              </w:rPr>
            </w:pPr>
            <w:r>
              <w:rPr>
                <w:rFonts w:ascii="Times New Roman" w:hAnsi="Times New Roman"/>
                <w:i/>
              </w:rPr>
              <w:t>$3,868,593</w:t>
            </w:r>
          </w:p>
        </w:tc>
      </w:tr>
      <w:tr w:rsidR="00CF6948" w:rsidRPr="009355D6" w14:paraId="7CC4CDB3" w14:textId="77777777" w:rsidTr="00F0309B">
        <w:tc>
          <w:tcPr>
            <w:tcW w:w="2415" w:type="dxa"/>
            <w:shd w:val="clear" w:color="auto" w:fill="auto"/>
          </w:tcPr>
          <w:p w14:paraId="7CC4CDAE" w14:textId="77777777" w:rsidR="00CF6948" w:rsidRPr="009E2C29" w:rsidRDefault="00CF6948" w:rsidP="00CF6948">
            <w:pPr>
              <w:rPr>
                <w:rFonts w:ascii="Times New Roman" w:hAnsi="Times New Roman"/>
                <w:i/>
              </w:rPr>
            </w:pPr>
            <w:r w:rsidRPr="009E2C29">
              <w:rPr>
                <w:rFonts w:ascii="Times New Roman" w:hAnsi="Times New Roman"/>
                <w:i/>
              </w:rPr>
              <w:t>Low-income</w:t>
            </w:r>
          </w:p>
        </w:tc>
        <w:tc>
          <w:tcPr>
            <w:tcW w:w="1754" w:type="dxa"/>
            <w:shd w:val="clear" w:color="auto" w:fill="auto"/>
            <w:vAlign w:val="center"/>
          </w:tcPr>
          <w:p w14:paraId="7CC4CDAF" w14:textId="77777777" w:rsidR="00CF6948" w:rsidRPr="009E2C29" w:rsidRDefault="00CF6948" w:rsidP="00CF6948">
            <w:pPr>
              <w:jc w:val="center"/>
              <w:rPr>
                <w:rFonts w:ascii="Times New Roman" w:hAnsi="Times New Roman"/>
                <w:i/>
              </w:rPr>
            </w:pPr>
            <w:r>
              <w:rPr>
                <w:rFonts w:ascii="Times New Roman" w:hAnsi="Times New Roman"/>
                <w:i/>
              </w:rPr>
              <w:t>534</w:t>
            </w:r>
          </w:p>
        </w:tc>
        <w:tc>
          <w:tcPr>
            <w:tcW w:w="1887" w:type="dxa"/>
            <w:shd w:val="clear" w:color="auto" w:fill="auto"/>
            <w:vAlign w:val="center"/>
          </w:tcPr>
          <w:p w14:paraId="7CC4CDB0" w14:textId="77777777" w:rsidR="00CF6948" w:rsidRPr="009E2C29" w:rsidRDefault="00CF6948" w:rsidP="00CF6948">
            <w:pPr>
              <w:jc w:val="center"/>
              <w:rPr>
                <w:rFonts w:ascii="Times New Roman" w:hAnsi="Times New Roman"/>
                <w:i/>
              </w:rPr>
            </w:pPr>
            <w:r>
              <w:rPr>
                <w:rFonts w:ascii="Times New Roman" w:hAnsi="Times New Roman"/>
                <w:i/>
              </w:rPr>
              <w:t>$1,780,000</w:t>
            </w:r>
          </w:p>
        </w:tc>
        <w:tc>
          <w:tcPr>
            <w:tcW w:w="1782" w:type="dxa"/>
            <w:shd w:val="clear" w:color="auto" w:fill="auto"/>
            <w:vAlign w:val="center"/>
          </w:tcPr>
          <w:p w14:paraId="7CC4CDB1" w14:textId="77777777" w:rsidR="00CF6948" w:rsidRPr="009E2C29" w:rsidRDefault="00CF6948" w:rsidP="00CF6948">
            <w:pPr>
              <w:jc w:val="center"/>
              <w:rPr>
                <w:rFonts w:ascii="Times New Roman" w:hAnsi="Times New Roman"/>
                <w:i/>
              </w:rPr>
            </w:pPr>
            <w:r w:rsidRPr="009E2C29">
              <w:rPr>
                <w:rFonts w:ascii="Times New Roman" w:hAnsi="Times New Roman"/>
                <w:i/>
              </w:rPr>
              <w:t>521</w:t>
            </w:r>
          </w:p>
        </w:tc>
        <w:tc>
          <w:tcPr>
            <w:tcW w:w="1594" w:type="dxa"/>
            <w:shd w:val="clear" w:color="auto" w:fill="auto"/>
            <w:vAlign w:val="center"/>
          </w:tcPr>
          <w:p w14:paraId="7CC4CDB2" w14:textId="77777777" w:rsidR="00CF6948" w:rsidRPr="009E2C29" w:rsidRDefault="00CF6948" w:rsidP="00CF6948">
            <w:pPr>
              <w:jc w:val="center"/>
              <w:rPr>
                <w:rFonts w:ascii="Times New Roman" w:hAnsi="Times New Roman"/>
                <w:i/>
              </w:rPr>
            </w:pPr>
            <w:r w:rsidRPr="009E2C29">
              <w:rPr>
                <w:rFonts w:ascii="Times New Roman" w:hAnsi="Times New Roman"/>
                <w:i/>
              </w:rPr>
              <w:t>$1,840,000</w:t>
            </w:r>
          </w:p>
        </w:tc>
      </w:tr>
      <w:tr w:rsidR="00CF6948" w:rsidRPr="009355D6" w14:paraId="7CC4CDB9" w14:textId="77777777" w:rsidTr="00F0309B">
        <w:tc>
          <w:tcPr>
            <w:tcW w:w="2415" w:type="dxa"/>
            <w:shd w:val="clear" w:color="auto" w:fill="auto"/>
          </w:tcPr>
          <w:p w14:paraId="7CC4CDB4" w14:textId="77777777" w:rsidR="00CF6948" w:rsidRPr="009E2C29" w:rsidRDefault="00CF6948" w:rsidP="00CF6948">
            <w:pPr>
              <w:rPr>
                <w:rFonts w:ascii="Times New Roman" w:hAnsi="Times New Roman"/>
                <w:i/>
              </w:rPr>
            </w:pPr>
            <w:r w:rsidRPr="009E2C29">
              <w:rPr>
                <w:rFonts w:ascii="Times New Roman" w:hAnsi="Times New Roman"/>
                <w:i/>
              </w:rPr>
              <w:t>Home Energy Reports</w:t>
            </w:r>
          </w:p>
        </w:tc>
        <w:tc>
          <w:tcPr>
            <w:tcW w:w="1754" w:type="dxa"/>
            <w:shd w:val="clear" w:color="auto" w:fill="auto"/>
            <w:vAlign w:val="center"/>
          </w:tcPr>
          <w:p w14:paraId="7CC4CDB5" w14:textId="77777777" w:rsidR="00CF6948" w:rsidRPr="009E2C29" w:rsidRDefault="00CF6948" w:rsidP="00CF6948">
            <w:pPr>
              <w:jc w:val="center"/>
              <w:rPr>
                <w:rFonts w:ascii="Times New Roman" w:hAnsi="Times New Roman"/>
                <w:i/>
              </w:rPr>
            </w:pPr>
            <w:r>
              <w:rPr>
                <w:rFonts w:ascii="Times New Roman" w:hAnsi="Times New Roman"/>
                <w:i/>
              </w:rPr>
              <w:t>9,773</w:t>
            </w:r>
          </w:p>
        </w:tc>
        <w:tc>
          <w:tcPr>
            <w:tcW w:w="1887" w:type="dxa"/>
            <w:shd w:val="clear" w:color="auto" w:fill="auto"/>
            <w:vAlign w:val="center"/>
          </w:tcPr>
          <w:p w14:paraId="7CC4CDB6" w14:textId="77777777" w:rsidR="00CF6948" w:rsidRPr="009E2C29" w:rsidRDefault="000802FD" w:rsidP="00CF6948">
            <w:pPr>
              <w:jc w:val="center"/>
              <w:rPr>
                <w:rFonts w:ascii="Times New Roman" w:hAnsi="Times New Roman"/>
                <w:i/>
              </w:rPr>
            </w:pPr>
            <w:r>
              <w:rPr>
                <w:rFonts w:ascii="Times New Roman" w:hAnsi="Times New Roman"/>
                <w:i/>
              </w:rPr>
              <w:t>$741,433</w:t>
            </w:r>
          </w:p>
        </w:tc>
        <w:tc>
          <w:tcPr>
            <w:tcW w:w="1782" w:type="dxa"/>
            <w:shd w:val="clear" w:color="auto" w:fill="auto"/>
            <w:vAlign w:val="center"/>
          </w:tcPr>
          <w:p w14:paraId="7CC4CDB7" w14:textId="77777777" w:rsidR="00CF6948" w:rsidRPr="009E2C29" w:rsidRDefault="00CF6948" w:rsidP="00CF6948">
            <w:pPr>
              <w:jc w:val="center"/>
              <w:rPr>
                <w:rFonts w:ascii="Times New Roman" w:hAnsi="Times New Roman"/>
                <w:i/>
              </w:rPr>
            </w:pPr>
            <w:r w:rsidRPr="009E2C29">
              <w:rPr>
                <w:rFonts w:ascii="Times New Roman" w:hAnsi="Times New Roman"/>
                <w:i/>
              </w:rPr>
              <w:t>10,885</w:t>
            </w:r>
          </w:p>
        </w:tc>
        <w:tc>
          <w:tcPr>
            <w:tcW w:w="1594" w:type="dxa"/>
            <w:shd w:val="clear" w:color="auto" w:fill="auto"/>
            <w:vAlign w:val="center"/>
          </w:tcPr>
          <w:p w14:paraId="7CC4CDB8" w14:textId="77777777" w:rsidR="00CF6948" w:rsidRPr="009E2C29" w:rsidRDefault="00CF6948" w:rsidP="00CF6948">
            <w:pPr>
              <w:jc w:val="center"/>
              <w:rPr>
                <w:rFonts w:ascii="Times New Roman" w:hAnsi="Times New Roman"/>
                <w:i/>
              </w:rPr>
            </w:pPr>
            <w:r w:rsidRPr="009E2C29">
              <w:rPr>
                <w:rFonts w:ascii="Times New Roman" w:hAnsi="Times New Roman"/>
                <w:i/>
              </w:rPr>
              <w:t>$288,000</w:t>
            </w:r>
          </w:p>
        </w:tc>
      </w:tr>
      <w:tr w:rsidR="00CF6948" w:rsidRPr="009355D6" w14:paraId="7CC4CDBF" w14:textId="77777777" w:rsidTr="00F0309B">
        <w:tc>
          <w:tcPr>
            <w:tcW w:w="2415" w:type="dxa"/>
            <w:shd w:val="clear" w:color="auto" w:fill="auto"/>
          </w:tcPr>
          <w:p w14:paraId="7CC4CDBA" w14:textId="77777777" w:rsidR="00CF6948" w:rsidRPr="009E2C29" w:rsidRDefault="00CF6948" w:rsidP="00CF6948">
            <w:pPr>
              <w:rPr>
                <w:rFonts w:ascii="Times New Roman" w:hAnsi="Times New Roman"/>
              </w:rPr>
            </w:pPr>
            <w:r>
              <w:rPr>
                <w:rFonts w:ascii="Times New Roman" w:hAnsi="Times New Roman"/>
              </w:rPr>
              <w:t>Residential Total</w:t>
            </w:r>
          </w:p>
        </w:tc>
        <w:tc>
          <w:tcPr>
            <w:tcW w:w="1754" w:type="dxa"/>
            <w:shd w:val="clear" w:color="auto" w:fill="auto"/>
            <w:vAlign w:val="center"/>
          </w:tcPr>
          <w:p w14:paraId="7CC4CDBB" w14:textId="77777777" w:rsidR="00CF6948" w:rsidRPr="009E2C29" w:rsidRDefault="000802FD" w:rsidP="00CF6948">
            <w:pPr>
              <w:jc w:val="center"/>
              <w:rPr>
                <w:rFonts w:ascii="Times New Roman" w:hAnsi="Times New Roman"/>
              </w:rPr>
            </w:pPr>
            <w:r>
              <w:rPr>
                <w:rFonts w:ascii="Times New Roman" w:hAnsi="Times New Roman"/>
              </w:rPr>
              <w:t>38,819</w:t>
            </w:r>
          </w:p>
        </w:tc>
        <w:tc>
          <w:tcPr>
            <w:tcW w:w="1887" w:type="dxa"/>
            <w:shd w:val="clear" w:color="auto" w:fill="auto"/>
            <w:vAlign w:val="center"/>
          </w:tcPr>
          <w:p w14:paraId="7CC4CDBC" w14:textId="77777777" w:rsidR="00CF6948" w:rsidRPr="009E2C29" w:rsidRDefault="000802FD" w:rsidP="00CF6948">
            <w:pPr>
              <w:jc w:val="center"/>
              <w:rPr>
                <w:rFonts w:ascii="Times New Roman" w:hAnsi="Times New Roman"/>
              </w:rPr>
            </w:pPr>
            <w:r>
              <w:rPr>
                <w:rFonts w:ascii="Times New Roman" w:hAnsi="Times New Roman"/>
              </w:rPr>
              <w:t>$9,364,755</w:t>
            </w:r>
          </w:p>
        </w:tc>
        <w:tc>
          <w:tcPr>
            <w:tcW w:w="1782" w:type="dxa"/>
            <w:shd w:val="clear" w:color="auto" w:fill="auto"/>
            <w:vAlign w:val="center"/>
          </w:tcPr>
          <w:p w14:paraId="7CC4CDBD" w14:textId="77777777" w:rsidR="00CF6948" w:rsidRPr="009E2C29" w:rsidRDefault="00CF6948" w:rsidP="00CF6948">
            <w:pPr>
              <w:jc w:val="center"/>
              <w:rPr>
                <w:rFonts w:ascii="Times New Roman" w:hAnsi="Times New Roman"/>
              </w:rPr>
            </w:pPr>
            <w:r w:rsidRPr="009E2C29">
              <w:rPr>
                <w:rFonts w:ascii="Times New Roman" w:hAnsi="Times New Roman"/>
              </w:rPr>
              <w:t>30,918</w:t>
            </w:r>
          </w:p>
        </w:tc>
        <w:tc>
          <w:tcPr>
            <w:tcW w:w="1594" w:type="dxa"/>
            <w:shd w:val="clear" w:color="auto" w:fill="auto"/>
            <w:vAlign w:val="center"/>
          </w:tcPr>
          <w:p w14:paraId="7CC4CDBE" w14:textId="77777777" w:rsidR="00CF6948" w:rsidRPr="009E2C29" w:rsidRDefault="00CF6948" w:rsidP="00CF6948">
            <w:pPr>
              <w:jc w:val="center"/>
              <w:rPr>
                <w:rFonts w:ascii="Times New Roman" w:hAnsi="Times New Roman"/>
              </w:rPr>
            </w:pPr>
            <w:r w:rsidRPr="009E2C29">
              <w:rPr>
                <w:rFonts w:ascii="Times New Roman" w:hAnsi="Times New Roman"/>
              </w:rPr>
              <w:t>$6,473,</w:t>
            </w:r>
            <w:r>
              <w:rPr>
                <w:rFonts w:ascii="Times New Roman" w:hAnsi="Times New Roman"/>
              </w:rPr>
              <w:t>000</w:t>
            </w:r>
          </w:p>
        </w:tc>
      </w:tr>
      <w:tr w:rsidR="00CF6948" w:rsidRPr="009355D6" w14:paraId="7CC4CDC5" w14:textId="77777777" w:rsidTr="00F0309B">
        <w:tc>
          <w:tcPr>
            <w:tcW w:w="2415" w:type="dxa"/>
            <w:shd w:val="clear" w:color="auto" w:fill="auto"/>
          </w:tcPr>
          <w:p w14:paraId="7CC4CDC0" w14:textId="77777777" w:rsidR="00CF6948" w:rsidRPr="009E2C29" w:rsidRDefault="00CF6948" w:rsidP="00CF6948">
            <w:pPr>
              <w:rPr>
                <w:rFonts w:ascii="Times New Roman" w:hAnsi="Times New Roman"/>
              </w:rPr>
            </w:pPr>
            <w:r w:rsidRPr="009E2C29">
              <w:rPr>
                <w:rFonts w:ascii="Times New Roman" w:hAnsi="Times New Roman"/>
              </w:rPr>
              <w:t>Non-Residential</w:t>
            </w:r>
          </w:p>
        </w:tc>
        <w:tc>
          <w:tcPr>
            <w:tcW w:w="1754" w:type="dxa"/>
            <w:shd w:val="clear" w:color="auto" w:fill="auto"/>
            <w:vAlign w:val="center"/>
          </w:tcPr>
          <w:p w14:paraId="7CC4CDC1" w14:textId="77777777" w:rsidR="00CF6948" w:rsidRPr="009E2C29" w:rsidRDefault="000802FD" w:rsidP="00CF6948">
            <w:pPr>
              <w:jc w:val="center"/>
              <w:rPr>
                <w:rFonts w:ascii="Times New Roman" w:hAnsi="Times New Roman"/>
              </w:rPr>
            </w:pPr>
            <w:r>
              <w:rPr>
                <w:rFonts w:ascii="Times New Roman" w:hAnsi="Times New Roman"/>
              </w:rPr>
              <w:t>52,812</w:t>
            </w:r>
          </w:p>
        </w:tc>
        <w:tc>
          <w:tcPr>
            <w:tcW w:w="1887" w:type="dxa"/>
            <w:shd w:val="clear" w:color="auto" w:fill="auto"/>
            <w:vAlign w:val="center"/>
          </w:tcPr>
          <w:p w14:paraId="7CC4CDC2" w14:textId="77777777" w:rsidR="00CF6948" w:rsidRPr="009E2C29" w:rsidRDefault="000802FD" w:rsidP="00CF6948">
            <w:pPr>
              <w:jc w:val="center"/>
              <w:rPr>
                <w:rFonts w:ascii="Times New Roman" w:hAnsi="Times New Roman"/>
              </w:rPr>
            </w:pPr>
            <w:r>
              <w:rPr>
                <w:rFonts w:ascii="Times New Roman" w:hAnsi="Times New Roman"/>
              </w:rPr>
              <w:t>$11,616,614</w:t>
            </w:r>
          </w:p>
        </w:tc>
        <w:tc>
          <w:tcPr>
            <w:tcW w:w="1782" w:type="dxa"/>
            <w:shd w:val="clear" w:color="auto" w:fill="auto"/>
            <w:vAlign w:val="center"/>
          </w:tcPr>
          <w:p w14:paraId="7CC4CDC3" w14:textId="77777777" w:rsidR="00CF6948" w:rsidRPr="009E2C29" w:rsidRDefault="00CF6948" w:rsidP="00CF6948">
            <w:pPr>
              <w:jc w:val="center"/>
              <w:rPr>
                <w:rFonts w:ascii="Times New Roman" w:hAnsi="Times New Roman"/>
              </w:rPr>
            </w:pPr>
            <w:r w:rsidRPr="009E2C29">
              <w:rPr>
                <w:rFonts w:ascii="Times New Roman" w:hAnsi="Times New Roman"/>
              </w:rPr>
              <w:t>47,944</w:t>
            </w:r>
          </w:p>
        </w:tc>
        <w:tc>
          <w:tcPr>
            <w:tcW w:w="1594" w:type="dxa"/>
            <w:shd w:val="clear" w:color="auto" w:fill="auto"/>
            <w:vAlign w:val="center"/>
          </w:tcPr>
          <w:p w14:paraId="7CC4CDC4" w14:textId="77777777" w:rsidR="00CF6948" w:rsidRPr="009E2C29" w:rsidRDefault="00CF6948" w:rsidP="00CF6948">
            <w:pPr>
              <w:jc w:val="center"/>
              <w:rPr>
                <w:rFonts w:ascii="Times New Roman" w:hAnsi="Times New Roman"/>
              </w:rPr>
            </w:pPr>
            <w:r w:rsidRPr="009E2C29">
              <w:rPr>
                <w:rFonts w:ascii="Times New Roman" w:hAnsi="Times New Roman"/>
              </w:rPr>
              <w:t>$10,10</w:t>
            </w:r>
            <w:r>
              <w:rPr>
                <w:rFonts w:ascii="Times New Roman" w:hAnsi="Times New Roman"/>
              </w:rPr>
              <w:t>7</w:t>
            </w:r>
            <w:r w:rsidRPr="009E2C29">
              <w:rPr>
                <w:rFonts w:ascii="Times New Roman" w:hAnsi="Times New Roman"/>
              </w:rPr>
              <w:t>,</w:t>
            </w:r>
            <w:r>
              <w:rPr>
                <w:rFonts w:ascii="Times New Roman" w:hAnsi="Times New Roman"/>
              </w:rPr>
              <w:t>000</w:t>
            </w:r>
          </w:p>
        </w:tc>
      </w:tr>
      <w:tr w:rsidR="00CF6948" w:rsidRPr="009355D6" w14:paraId="7CC4CDCB" w14:textId="77777777" w:rsidTr="00F0309B">
        <w:tc>
          <w:tcPr>
            <w:tcW w:w="2415" w:type="dxa"/>
            <w:shd w:val="clear" w:color="auto" w:fill="auto"/>
          </w:tcPr>
          <w:p w14:paraId="7CC4CDC6" w14:textId="77777777" w:rsidR="00CF6948" w:rsidRPr="009E2C29" w:rsidRDefault="00CF6948" w:rsidP="00CF6948">
            <w:pPr>
              <w:rPr>
                <w:rFonts w:ascii="Times New Roman" w:hAnsi="Times New Roman"/>
              </w:rPr>
            </w:pPr>
            <w:r w:rsidRPr="009E2C29">
              <w:rPr>
                <w:rFonts w:ascii="Times New Roman" w:hAnsi="Times New Roman"/>
              </w:rPr>
              <w:t>Pilots</w:t>
            </w:r>
          </w:p>
        </w:tc>
        <w:tc>
          <w:tcPr>
            <w:tcW w:w="1754" w:type="dxa"/>
            <w:shd w:val="clear" w:color="auto" w:fill="auto"/>
            <w:vAlign w:val="center"/>
          </w:tcPr>
          <w:p w14:paraId="7CC4CDC7" w14:textId="77777777" w:rsidR="00CF6948" w:rsidRPr="009E2C29" w:rsidRDefault="00CF6948" w:rsidP="00CF6948">
            <w:pPr>
              <w:jc w:val="center"/>
              <w:rPr>
                <w:rFonts w:ascii="Times New Roman" w:hAnsi="Times New Roman"/>
              </w:rPr>
            </w:pPr>
            <w:r w:rsidRPr="009E2C29">
              <w:rPr>
                <w:rFonts w:ascii="Times New Roman" w:hAnsi="Times New Roman"/>
              </w:rPr>
              <w:t>-</w:t>
            </w:r>
          </w:p>
        </w:tc>
        <w:tc>
          <w:tcPr>
            <w:tcW w:w="1887" w:type="dxa"/>
            <w:shd w:val="clear" w:color="auto" w:fill="auto"/>
            <w:vAlign w:val="center"/>
          </w:tcPr>
          <w:p w14:paraId="7CC4CDC8" w14:textId="77777777" w:rsidR="00CF6948" w:rsidRPr="009E2C29" w:rsidRDefault="00CF6948" w:rsidP="00CF6948">
            <w:pPr>
              <w:jc w:val="center"/>
              <w:rPr>
                <w:rFonts w:ascii="Times New Roman" w:hAnsi="Times New Roman"/>
              </w:rPr>
            </w:pPr>
            <w:r w:rsidRPr="009E2C29">
              <w:rPr>
                <w:rFonts w:ascii="Times New Roman" w:hAnsi="Times New Roman"/>
              </w:rPr>
              <w:t>-</w:t>
            </w:r>
          </w:p>
        </w:tc>
        <w:tc>
          <w:tcPr>
            <w:tcW w:w="1782" w:type="dxa"/>
            <w:shd w:val="clear" w:color="auto" w:fill="auto"/>
            <w:vAlign w:val="center"/>
          </w:tcPr>
          <w:p w14:paraId="7CC4CDC9" w14:textId="77777777" w:rsidR="00CF6948" w:rsidRPr="009E2C29" w:rsidRDefault="00CF6948" w:rsidP="00CF6948">
            <w:pPr>
              <w:jc w:val="center"/>
              <w:rPr>
                <w:rFonts w:ascii="Times New Roman" w:hAnsi="Times New Roman"/>
              </w:rPr>
            </w:pPr>
            <w:r w:rsidRPr="009E2C29">
              <w:rPr>
                <w:rFonts w:ascii="Times New Roman" w:hAnsi="Times New Roman"/>
              </w:rPr>
              <w:t>-</w:t>
            </w:r>
          </w:p>
        </w:tc>
        <w:tc>
          <w:tcPr>
            <w:tcW w:w="1594" w:type="dxa"/>
            <w:shd w:val="clear" w:color="auto" w:fill="auto"/>
            <w:vAlign w:val="center"/>
          </w:tcPr>
          <w:p w14:paraId="7CC4CDCA" w14:textId="77777777" w:rsidR="00CF6948" w:rsidRPr="009E2C29" w:rsidRDefault="00CF6948" w:rsidP="00CF6948">
            <w:pPr>
              <w:jc w:val="center"/>
              <w:rPr>
                <w:rFonts w:ascii="Times New Roman" w:hAnsi="Times New Roman"/>
              </w:rPr>
            </w:pPr>
            <w:r w:rsidRPr="009E2C29">
              <w:rPr>
                <w:rFonts w:ascii="Times New Roman" w:hAnsi="Times New Roman"/>
              </w:rPr>
              <w:t>-</w:t>
            </w:r>
          </w:p>
        </w:tc>
      </w:tr>
      <w:tr w:rsidR="00CF6948" w:rsidRPr="009355D6" w14:paraId="7CC4CDD1" w14:textId="77777777" w:rsidTr="00F0309B">
        <w:tc>
          <w:tcPr>
            <w:tcW w:w="2415" w:type="dxa"/>
            <w:shd w:val="clear" w:color="auto" w:fill="auto"/>
          </w:tcPr>
          <w:p w14:paraId="7CC4CDCC" w14:textId="77777777" w:rsidR="00CF6948" w:rsidRPr="009E2C29" w:rsidRDefault="000802FD" w:rsidP="000802FD">
            <w:pPr>
              <w:rPr>
                <w:rFonts w:ascii="Times New Roman" w:hAnsi="Times New Roman"/>
              </w:rPr>
            </w:pPr>
            <w:r>
              <w:rPr>
                <w:rFonts w:ascii="Times New Roman" w:hAnsi="Times New Roman"/>
              </w:rPr>
              <w:t>NEEA</w:t>
            </w:r>
          </w:p>
        </w:tc>
        <w:tc>
          <w:tcPr>
            <w:tcW w:w="1754" w:type="dxa"/>
            <w:shd w:val="clear" w:color="auto" w:fill="auto"/>
            <w:vAlign w:val="center"/>
          </w:tcPr>
          <w:p w14:paraId="7CC4CDCD" w14:textId="77777777" w:rsidR="00CF6948" w:rsidRPr="009E2C29" w:rsidRDefault="000802FD" w:rsidP="00CF6948">
            <w:pPr>
              <w:jc w:val="center"/>
              <w:rPr>
                <w:rFonts w:ascii="Times New Roman" w:hAnsi="Times New Roman"/>
              </w:rPr>
            </w:pPr>
            <w:r>
              <w:rPr>
                <w:rFonts w:ascii="Times New Roman" w:hAnsi="Times New Roman"/>
              </w:rPr>
              <w:t>5,245</w:t>
            </w:r>
          </w:p>
        </w:tc>
        <w:tc>
          <w:tcPr>
            <w:tcW w:w="1887" w:type="dxa"/>
            <w:shd w:val="clear" w:color="auto" w:fill="auto"/>
            <w:vAlign w:val="center"/>
          </w:tcPr>
          <w:p w14:paraId="7CC4CDCE" w14:textId="77777777" w:rsidR="00CF6948" w:rsidRPr="009E2C29" w:rsidRDefault="000802FD" w:rsidP="00CF6948">
            <w:pPr>
              <w:jc w:val="center"/>
              <w:rPr>
                <w:rFonts w:ascii="Times New Roman" w:hAnsi="Times New Roman"/>
              </w:rPr>
            </w:pPr>
            <w:r>
              <w:rPr>
                <w:rFonts w:ascii="Times New Roman" w:hAnsi="Times New Roman"/>
              </w:rPr>
              <w:t>$1,821,451</w:t>
            </w:r>
          </w:p>
        </w:tc>
        <w:tc>
          <w:tcPr>
            <w:tcW w:w="1782" w:type="dxa"/>
            <w:shd w:val="clear" w:color="auto" w:fill="auto"/>
            <w:vAlign w:val="center"/>
          </w:tcPr>
          <w:p w14:paraId="7CC4CDCF" w14:textId="77777777" w:rsidR="00CF6948" w:rsidRPr="009E2C29" w:rsidRDefault="00CF6948" w:rsidP="00CF6948">
            <w:pPr>
              <w:jc w:val="center"/>
              <w:rPr>
                <w:rFonts w:ascii="Times New Roman" w:hAnsi="Times New Roman"/>
              </w:rPr>
            </w:pPr>
            <w:r w:rsidRPr="009E2C29">
              <w:rPr>
                <w:rFonts w:ascii="Times New Roman" w:hAnsi="Times New Roman"/>
              </w:rPr>
              <w:t>14,330</w:t>
            </w:r>
          </w:p>
        </w:tc>
        <w:tc>
          <w:tcPr>
            <w:tcW w:w="1594" w:type="dxa"/>
            <w:shd w:val="clear" w:color="auto" w:fill="auto"/>
            <w:vAlign w:val="center"/>
          </w:tcPr>
          <w:p w14:paraId="7CC4CDD0" w14:textId="77777777" w:rsidR="00CF6948" w:rsidRPr="009E2C29" w:rsidRDefault="00CF6948" w:rsidP="00CF6948">
            <w:pPr>
              <w:jc w:val="center"/>
              <w:rPr>
                <w:rFonts w:ascii="Times New Roman" w:hAnsi="Times New Roman"/>
              </w:rPr>
            </w:pPr>
            <w:r w:rsidRPr="009E2C29">
              <w:rPr>
                <w:rFonts w:ascii="Times New Roman" w:hAnsi="Times New Roman"/>
              </w:rPr>
              <w:t>$2,393,</w:t>
            </w:r>
            <w:r>
              <w:rPr>
                <w:rFonts w:ascii="Times New Roman" w:hAnsi="Times New Roman"/>
              </w:rPr>
              <w:t>000</w:t>
            </w:r>
          </w:p>
        </w:tc>
      </w:tr>
      <w:tr w:rsidR="00CF6948" w:rsidRPr="009355D6" w14:paraId="7CC4CDD7" w14:textId="77777777" w:rsidTr="00F0309B">
        <w:tc>
          <w:tcPr>
            <w:tcW w:w="2415" w:type="dxa"/>
            <w:shd w:val="clear" w:color="auto" w:fill="auto"/>
          </w:tcPr>
          <w:p w14:paraId="7CC4CDD2" w14:textId="77777777" w:rsidR="00CF6948" w:rsidRPr="009E2C29" w:rsidRDefault="00CF6948" w:rsidP="00CF6948">
            <w:pPr>
              <w:rPr>
                <w:rFonts w:ascii="Times New Roman" w:hAnsi="Times New Roman"/>
              </w:rPr>
            </w:pPr>
            <w:r w:rsidRPr="009E2C29">
              <w:rPr>
                <w:rFonts w:ascii="Times New Roman" w:hAnsi="Times New Roman"/>
              </w:rPr>
              <w:t>Administration/Other</w:t>
            </w:r>
          </w:p>
        </w:tc>
        <w:tc>
          <w:tcPr>
            <w:tcW w:w="1754" w:type="dxa"/>
            <w:shd w:val="clear" w:color="auto" w:fill="auto"/>
            <w:vAlign w:val="center"/>
          </w:tcPr>
          <w:p w14:paraId="7CC4CDD3" w14:textId="77777777" w:rsidR="00CF6948" w:rsidRPr="009E2C29" w:rsidRDefault="00CF6948" w:rsidP="00CF6948">
            <w:pPr>
              <w:jc w:val="center"/>
              <w:rPr>
                <w:rFonts w:ascii="Times New Roman" w:hAnsi="Times New Roman"/>
              </w:rPr>
            </w:pPr>
            <w:r w:rsidRPr="009E2C29">
              <w:rPr>
                <w:rFonts w:ascii="Times New Roman" w:hAnsi="Times New Roman"/>
              </w:rPr>
              <w:t>-</w:t>
            </w:r>
          </w:p>
        </w:tc>
        <w:tc>
          <w:tcPr>
            <w:tcW w:w="1887" w:type="dxa"/>
            <w:shd w:val="clear" w:color="auto" w:fill="auto"/>
            <w:vAlign w:val="center"/>
          </w:tcPr>
          <w:p w14:paraId="7CC4CDD4" w14:textId="77777777" w:rsidR="00CF6948" w:rsidRPr="009E2C29" w:rsidRDefault="000802FD" w:rsidP="00235597">
            <w:pPr>
              <w:jc w:val="center"/>
              <w:rPr>
                <w:rFonts w:ascii="Times New Roman" w:hAnsi="Times New Roman"/>
              </w:rPr>
            </w:pPr>
            <w:r>
              <w:rPr>
                <w:rFonts w:ascii="Times New Roman" w:hAnsi="Times New Roman"/>
              </w:rPr>
              <w:t>$</w:t>
            </w:r>
            <w:r w:rsidR="00235597">
              <w:rPr>
                <w:rFonts w:ascii="Times New Roman" w:hAnsi="Times New Roman"/>
              </w:rPr>
              <w:t>1,757,709</w:t>
            </w:r>
          </w:p>
        </w:tc>
        <w:tc>
          <w:tcPr>
            <w:tcW w:w="1782" w:type="dxa"/>
            <w:shd w:val="clear" w:color="auto" w:fill="auto"/>
            <w:vAlign w:val="center"/>
          </w:tcPr>
          <w:p w14:paraId="7CC4CDD5" w14:textId="77777777" w:rsidR="00CF6948" w:rsidRPr="009E2C29" w:rsidRDefault="00CF6948" w:rsidP="00CF6948">
            <w:pPr>
              <w:jc w:val="center"/>
              <w:rPr>
                <w:rFonts w:ascii="Times New Roman" w:hAnsi="Times New Roman"/>
              </w:rPr>
            </w:pPr>
            <w:r w:rsidRPr="009E2C29">
              <w:rPr>
                <w:rFonts w:ascii="Times New Roman" w:hAnsi="Times New Roman"/>
              </w:rPr>
              <w:t>-</w:t>
            </w:r>
          </w:p>
        </w:tc>
        <w:tc>
          <w:tcPr>
            <w:tcW w:w="1594" w:type="dxa"/>
            <w:shd w:val="clear" w:color="auto" w:fill="auto"/>
            <w:vAlign w:val="center"/>
          </w:tcPr>
          <w:p w14:paraId="7CC4CDD6" w14:textId="77777777" w:rsidR="00CF6948" w:rsidRPr="009E2C29" w:rsidRDefault="00CF6948" w:rsidP="00CF6948">
            <w:pPr>
              <w:jc w:val="center"/>
              <w:rPr>
                <w:rFonts w:ascii="Times New Roman" w:hAnsi="Times New Roman"/>
              </w:rPr>
            </w:pPr>
            <w:r w:rsidRPr="009E2C29">
              <w:rPr>
                <w:rFonts w:ascii="Times New Roman" w:hAnsi="Times New Roman"/>
              </w:rPr>
              <w:t>$1,751,</w:t>
            </w:r>
            <w:r>
              <w:rPr>
                <w:rFonts w:ascii="Times New Roman" w:hAnsi="Times New Roman"/>
              </w:rPr>
              <w:t>000</w:t>
            </w:r>
          </w:p>
        </w:tc>
      </w:tr>
      <w:tr w:rsidR="00CF6948" w:rsidRPr="00810777" w14:paraId="7CC4CDDD" w14:textId="77777777" w:rsidTr="00F0309B">
        <w:tc>
          <w:tcPr>
            <w:tcW w:w="2415" w:type="dxa"/>
            <w:shd w:val="clear" w:color="auto" w:fill="auto"/>
          </w:tcPr>
          <w:p w14:paraId="7CC4CDD8" w14:textId="77777777" w:rsidR="00CF6948" w:rsidRPr="009E2C29" w:rsidRDefault="00CF6948" w:rsidP="00CF6948">
            <w:pPr>
              <w:rPr>
                <w:rFonts w:ascii="Times New Roman" w:hAnsi="Times New Roman"/>
                <w:b/>
              </w:rPr>
            </w:pPr>
            <w:r w:rsidRPr="009E2C29">
              <w:rPr>
                <w:rFonts w:ascii="Times New Roman" w:hAnsi="Times New Roman"/>
                <w:b/>
              </w:rPr>
              <w:t>Total</w:t>
            </w:r>
          </w:p>
        </w:tc>
        <w:tc>
          <w:tcPr>
            <w:tcW w:w="1754" w:type="dxa"/>
            <w:shd w:val="clear" w:color="auto" w:fill="auto"/>
            <w:vAlign w:val="center"/>
          </w:tcPr>
          <w:p w14:paraId="7CC4CDD9" w14:textId="77777777" w:rsidR="00CF6948" w:rsidRPr="009E2C29" w:rsidRDefault="000802FD" w:rsidP="00CF6948">
            <w:pPr>
              <w:jc w:val="center"/>
              <w:rPr>
                <w:rFonts w:ascii="Times New Roman" w:hAnsi="Times New Roman"/>
                <w:b/>
              </w:rPr>
            </w:pPr>
            <w:r>
              <w:rPr>
                <w:rFonts w:ascii="Times New Roman" w:hAnsi="Times New Roman"/>
                <w:b/>
              </w:rPr>
              <w:t>96,876</w:t>
            </w:r>
          </w:p>
        </w:tc>
        <w:tc>
          <w:tcPr>
            <w:tcW w:w="1887" w:type="dxa"/>
            <w:shd w:val="clear" w:color="auto" w:fill="auto"/>
            <w:vAlign w:val="center"/>
          </w:tcPr>
          <w:p w14:paraId="7CC4CDDA" w14:textId="77777777" w:rsidR="00CF6948" w:rsidRPr="009E2C29" w:rsidRDefault="000802FD" w:rsidP="000802FD">
            <w:pPr>
              <w:jc w:val="center"/>
              <w:rPr>
                <w:rFonts w:ascii="Times New Roman" w:hAnsi="Times New Roman"/>
                <w:b/>
              </w:rPr>
            </w:pPr>
            <w:r>
              <w:rPr>
                <w:rFonts w:ascii="Times New Roman" w:hAnsi="Times New Roman"/>
                <w:b/>
              </w:rPr>
              <w:t>$24,560,529</w:t>
            </w:r>
          </w:p>
        </w:tc>
        <w:tc>
          <w:tcPr>
            <w:tcW w:w="1782" w:type="dxa"/>
            <w:shd w:val="clear" w:color="auto" w:fill="auto"/>
            <w:vAlign w:val="center"/>
          </w:tcPr>
          <w:p w14:paraId="7CC4CDDB" w14:textId="77777777" w:rsidR="00CF6948" w:rsidRPr="009E2C29" w:rsidRDefault="00CF6948" w:rsidP="00CF6948">
            <w:pPr>
              <w:jc w:val="center"/>
              <w:rPr>
                <w:rFonts w:ascii="Times New Roman" w:hAnsi="Times New Roman"/>
                <w:b/>
              </w:rPr>
            </w:pPr>
            <w:r w:rsidRPr="009E2C29">
              <w:rPr>
                <w:rFonts w:ascii="Times New Roman" w:hAnsi="Times New Roman"/>
                <w:b/>
              </w:rPr>
              <w:t>93,193</w:t>
            </w:r>
          </w:p>
        </w:tc>
        <w:tc>
          <w:tcPr>
            <w:tcW w:w="1594" w:type="dxa"/>
            <w:shd w:val="clear" w:color="auto" w:fill="auto"/>
            <w:vAlign w:val="center"/>
          </w:tcPr>
          <w:p w14:paraId="7CC4CDDC" w14:textId="77777777" w:rsidR="00CF6948" w:rsidRPr="009E2C29" w:rsidRDefault="00CF6948" w:rsidP="00CF6948">
            <w:pPr>
              <w:jc w:val="center"/>
              <w:rPr>
                <w:rFonts w:ascii="Times New Roman" w:hAnsi="Times New Roman"/>
                <w:b/>
              </w:rPr>
            </w:pPr>
            <w:r>
              <w:rPr>
                <w:rFonts w:ascii="Times New Roman" w:hAnsi="Times New Roman"/>
                <w:b/>
              </w:rPr>
              <w:t>$20,725</w:t>
            </w:r>
            <w:r w:rsidRPr="009E2C29">
              <w:rPr>
                <w:rFonts w:ascii="Times New Roman" w:hAnsi="Times New Roman"/>
                <w:b/>
              </w:rPr>
              <w:t>,</w:t>
            </w:r>
            <w:r>
              <w:rPr>
                <w:rFonts w:ascii="Times New Roman" w:hAnsi="Times New Roman"/>
                <w:b/>
              </w:rPr>
              <w:t>000</w:t>
            </w:r>
            <w:r w:rsidRPr="009E2C29">
              <w:rPr>
                <w:rFonts w:ascii="Times New Roman" w:hAnsi="Times New Roman"/>
                <w:b/>
              </w:rPr>
              <w:fldChar w:fldCharType="begin"/>
            </w:r>
            <w:r w:rsidRPr="009E2C29">
              <w:rPr>
                <w:rFonts w:ascii="Times New Roman" w:hAnsi="Times New Roman"/>
                <w:b/>
              </w:rPr>
              <w:instrText xml:space="preserve"> =SUM(ABOVE) </w:instrText>
            </w:r>
            <w:r w:rsidRPr="009E2C29">
              <w:rPr>
                <w:rFonts w:ascii="Times New Roman" w:hAnsi="Times New Roman"/>
                <w:b/>
              </w:rPr>
              <w:fldChar w:fldCharType="end"/>
            </w:r>
          </w:p>
        </w:tc>
      </w:tr>
    </w:tbl>
    <w:p w14:paraId="7CC4CDDE" w14:textId="77777777" w:rsidR="00884034" w:rsidRPr="00DE003F" w:rsidRDefault="00884034" w:rsidP="00884034">
      <w:pPr>
        <w:rPr>
          <w:rFonts w:ascii="Times New Roman" w:hAnsi="Times New Roman"/>
          <w:sz w:val="20"/>
          <w:szCs w:val="20"/>
        </w:rPr>
      </w:pPr>
      <w:r w:rsidRPr="00DE003F">
        <w:rPr>
          <w:rFonts w:ascii="Times New Roman" w:hAnsi="Times New Roman"/>
          <w:sz w:val="20"/>
          <w:szCs w:val="20"/>
        </w:rPr>
        <w:t xml:space="preserve">Note: </w:t>
      </w:r>
      <w:r w:rsidR="00235597">
        <w:rPr>
          <w:rFonts w:ascii="Times New Roman" w:hAnsi="Times New Roman"/>
          <w:sz w:val="20"/>
          <w:szCs w:val="20"/>
        </w:rPr>
        <w:t>2014-2015</w:t>
      </w:r>
      <w:r>
        <w:rPr>
          <w:rFonts w:ascii="Times New Roman" w:hAnsi="Times New Roman"/>
          <w:sz w:val="20"/>
          <w:szCs w:val="20"/>
        </w:rPr>
        <w:t xml:space="preserve"> values are as filed in the 201</w:t>
      </w:r>
      <w:r w:rsidR="00235597">
        <w:rPr>
          <w:rFonts w:ascii="Times New Roman" w:hAnsi="Times New Roman"/>
          <w:sz w:val="20"/>
          <w:szCs w:val="20"/>
        </w:rPr>
        <w:t>4</w:t>
      </w:r>
      <w:r>
        <w:rPr>
          <w:rFonts w:ascii="Times New Roman" w:hAnsi="Times New Roman"/>
          <w:sz w:val="20"/>
          <w:szCs w:val="20"/>
        </w:rPr>
        <w:t>-201</w:t>
      </w:r>
      <w:r w:rsidR="00235597">
        <w:rPr>
          <w:rFonts w:ascii="Times New Roman" w:hAnsi="Times New Roman"/>
          <w:sz w:val="20"/>
          <w:szCs w:val="20"/>
        </w:rPr>
        <w:t>5</w:t>
      </w:r>
      <w:r>
        <w:rPr>
          <w:rFonts w:ascii="Times New Roman" w:hAnsi="Times New Roman"/>
          <w:sz w:val="20"/>
          <w:szCs w:val="20"/>
        </w:rPr>
        <w:t xml:space="preserve"> BCP in Docket UE-</w:t>
      </w:r>
      <w:r w:rsidR="00235597">
        <w:rPr>
          <w:rFonts w:ascii="Times New Roman" w:hAnsi="Times New Roman"/>
          <w:sz w:val="20"/>
          <w:szCs w:val="20"/>
        </w:rPr>
        <w:t>132047</w:t>
      </w:r>
      <w:r>
        <w:rPr>
          <w:rFonts w:ascii="Times New Roman" w:hAnsi="Times New Roman"/>
          <w:sz w:val="20"/>
          <w:szCs w:val="20"/>
        </w:rPr>
        <w:t xml:space="preserve"> (pg. </w:t>
      </w:r>
      <w:r w:rsidR="00235597">
        <w:rPr>
          <w:rFonts w:ascii="Times New Roman" w:hAnsi="Times New Roman"/>
          <w:sz w:val="20"/>
          <w:szCs w:val="20"/>
        </w:rPr>
        <w:t>4</w:t>
      </w:r>
      <w:r>
        <w:rPr>
          <w:rFonts w:ascii="Times New Roman" w:hAnsi="Times New Roman"/>
          <w:sz w:val="20"/>
          <w:szCs w:val="20"/>
        </w:rPr>
        <w:t>). Columns may not add to totals, due to rounding.</w:t>
      </w:r>
    </w:p>
    <w:p w14:paraId="7CC4CDDF" w14:textId="77777777" w:rsidR="00884034" w:rsidRDefault="00884034" w:rsidP="00884034">
      <w:pPr>
        <w:rPr>
          <w:rFonts w:ascii="Times New Roman" w:hAnsi="Times New Roman"/>
          <w:b/>
          <w:u w:val="single"/>
        </w:rPr>
      </w:pPr>
    </w:p>
    <w:p w14:paraId="7CC4CDE0" w14:textId="77777777" w:rsidR="00884034" w:rsidRPr="008A2CAB" w:rsidRDefault="00884034" w:rsidP="00884034">
      <w:pPr>
        <w:rPr>
          <w:rFonts w:ascii="Times New Roman" w:hAnsi="Times New Roman"/>
          <w:b/>
          <w:u w:val="single"/>
        </w:rPr>
      </w:pPr>
      <w:r>
        <w:rPr>
          <w:rFonts w:ascii="Times New Roman" w:hAnsi="Times New Roman"/>
          <w:b/>
          <w:u w:val="single"/>
        </w:rPr>
        <w:t>Additional Discussion</w:t>
      </w:r>
    </w:p>
    <w:p w14:paraId="7CC4CDE1" w14:textId="77777777" w:rsidR="00884034" w:rsidRDefault="00884034" w:rsidP="00884034">
      <w:pPr>
        <w:rPr>
          <w:rFonts w:ascii="Times New Roman" w:hAnsi="Times New Roman"/>
        </w:rPr>
      </w:pPr>
    </w:p>
    <w:p w14:paraId="7CC4CDE2" w14:textId="77777777" w:rsidR="00884034" w:rsidRDefault="00884034" w:rsidP="00884034">
      <w:pPr>
        <w:rPr>
          <w:rFonts w:ascii="Times New Roman" w:hAnsi="Times New Roman"/>
          <w:b/>
        </w:rPr>
      </w:pPr>
      <w:r>
        <w:rPr>
          <w:rFonts w:ascii="Times New Roman" w:hAnsi="Times New Roman"/>
          <w:b/>
        </w:rPr>
        <w:t>Conditions List</w:t>
      </w:r>
    </w:p>
    <w:p w14:paraId="7CC4CDE3" w14:textId="77777777" w:rsidR="00884034" w:rsidRDefault="00884034" w:rsidP="00884034">
      <w:pPr>
        <w:rPr>
          <w:rFonts w:ascii="Times New Roman" w:hAnsi="Times New Roman"/>
          <w:b/>
        </w:rPr>
      </w:pPr>
    </w:p>
    <w:p w14:paraId="7CC4CDE8" w14:textId="493E8B09" w:rsidR="00615A9D" w:rsidRDefault="00F754B3" w:rsidP="00884034">
      <w:pPr>
        <w:rPr>
          <w:rFonts w:ascii="Times New Roman" w:hAnsi="Times New Roman"/>
          <w:b/>
        </w:rPr>
      </w:pPr>
      <w:r>
        <w:rPr>
          <w:rFonts w:ascii="Times New Roman" w:hAnsi="Times New Roman"/>
        </w:rPr>
        <w:t>As a general practice, the commission has approved utilities’ biennial conservation plans subject to a series of conditions that are intended to guide the company and the advisory group in matters of program management and implementation not explicitly covered by statute or rule. WAC 480-109, as adopted in March 2015, incorporated many of the practices covered in previous conditions lists into rule. As such, the conditions list presented in Attachment A, which has been accepted by the company and the advisory group, is smaller than in previous biennia.</w:t>
      </w:r>
    </w:p>
    <w:p w14:paraId="7CC4CDE9" w14:textId="77777777" w:rsidR="00615A9D" w:rsidRDefault="00615A9D" w:rsidP="00884034">
      <w:pPr>
        <w:rPr>
          <w:rFonts w:ascii="Times New Roman" w:hAnsi="Times New Roman"/>
          <w:b/>
        </w:rPr>
      </w:pPr>
    </w:p>
    <w:p w14:paraId="7CC4CDEA" w14:textId="77777777" w:rsidR="00884034" w:rsidRDefault="00884034" w:rsidP="00884034">
      <w:pPr>
        <w:rPr>
          <w:rFonts w:ascii="Times New Roman" w:hAnsi="Times New Roman"/>
          <w:b/>
        </w:rPr>
      </w:pPr>
      <w:r>
        <w:rPr>
          <w:rFonts w:ascii="Times New Roman" w:hAnsi="Times New Roman"/>
          <w:b/>
        </w:rPr>
        <w:t>Proposed Tariff Revisions</w:t>
      </w:r>
    </w:p>
    <w:p w14:paraId="7CC4CDEB" w14:textId="77777777" w:rsidR="00884034" w:rsidRDefault="00884034" w:rsidP="00884034">
      <w:pPr>
        <w:rPr>
          <w:rFonts w:ascii="Times New Roman" w:hAnsi="Times New Roman"/>
          <w:b/>
        </w:rPr>
      </w:pPr>
    </w:p>
    <w:p w14:paraId="7CC4CDEC" w14:textId="4A6504EB" w:rsidR="00884034" w:rsidRDefault="003317DB" w:rsidP="00884034">
      <w:pPr>
        <w:rPr>
          <w:rFonts w:ascii="Times New Roman" w:hAnsi="Times New Roman"/>
        </w:rPr>
      </w:pPr>
      <w:r>
        <w:rPr>
          <w:rFonts w:ascii="Times New Roman" w:hAnsi="Times New Roman"/>
        </w:rPr>
        <w:t xml:space="preserve">To implement its Demand-Side Management Business Plan, </w:t>
      </w:r>
      <w:r w:rsidR="00244FFD">
        <w:rPr>
          <w:rFonts w:ascii="Times New Roman" w:hAnsi="Times New Roman"/>
        </w:rPr>
        <w:t>Pacific Power</w:t>
      </w:r>
      <w:r w:rsidR="00DF07CA">
        <w:rPr>
          <w:rFonts w:ascii="Times New Roman" w:hAnsi="Times New Roman"/>
        </w:rPr>
        <w:t xml:space="preserve"> has filed two tariff revisions that will appear on the December </w:t>
      </w:r>
      <w:r>
        <w:rPr>
          <w:rFonts w:ascii="Times New Roman" w:hAnsi="Times New Roman"/>
        </w:rPr>
        <w:t xml:space="preserve">30, 2015, Open Meeting. The first, in </w:t>
      </w:r>
      <w:r w:rsidR="00BA2CBD">
        <w:rPr>
          <w:rFonts w:ascii="Times New Roman" w:hAnsi="Times New Roman"/>
        </w:rPr>
        <w:t>D</w:t>
      </w:r>
      <w:r>
        <w:rPr>
          <w:rFonts w:ascii="Times New Roman" w:hAnsi="Times New Roman"/>
        </w:rPr>
        <w:t xml:space="preserve">ocket UE-152173, would update the company’s low-income weatherization tariff with new UES values and program refinements designed to increase access. The second, in </w:t>
      </w:r>
      <w:r w:rsidR="00BA2CBD">
        <w:rPr>
          <w:rFonts w:ascii="Times New Roman" w:hAnsi="Times New Roman"/>
        </w:rPr>
        <w:t>D</w:t>
      </w:r>
      <w:r>
        <w:rPr>
          <w:rFonts w:ascii="Times New Roman" w:hAnsi="Times New Roman"/>
        </w:rPr>
        <w:t xml:space="preserve">ocket UE-152237, would cancel the company’s refrigerator recycling program because it is no longer cost effective. </w:t>
      </w:r>
    </w:p>
    <w:p w14:paraId="7CC4CDED" w14:textId="77777777" w:rsidR="003317DB" w:rsidRDefault="003317DB" w:rsidP="00884034">
      <w:pPr>
        <w:rPr>
          <w:rFonts w:ascii="Times New Roman" w:hAnsi="Times New Roman"/>
        </w:rPr>
      </w:pPr>
    </w:p>
    <w:p w14:paraId="7CC4CDEE" w14:textId="31E0F0F3" w:rsidR="000D1278" w:rsidRDefault="003317DB" w:rsidP="00884034">
      <w:pPr>
        <w:rPr>
          <w:rFonts w:ascii="Times New Roman" w:hAnsi="Times New Roman"/>
        </w:rPr>
      </w:pPr>
      <w:r>
        <w:rPr>
          <w:rFonts w:ascii="Times New Roman" w:hAnsi="Times New Roman"/>
        </w:rPr>
        <w:t>The company discussed these proposed changes in depth with the advisory group prior to making the filing</w:t>
      </w:r>
      <w:r w:rsidR="000D1278">
        <w:rPr>
          <w:rFonts w:ascii="Times New Roman" w:hAnsi="Times New Roman"/>
        </w:rPr>
        <w:t>s</w:t>
      </w:r>
      <w:r>
        <w:rPr>
          <w:rFonts w:ascii="Times New Roman" w:hAnsi="Times New Roman"/>
        </w:rPr>
        <w:t xml:space="preserve">. Staff has reviewed the filings and intends to place them on the no action </w:t>
      </w:r>
      <w:r w:rsidR="000D1278">
        <w:rPr>
          <w:rFonts w:ascii="Times New Roman" w:hAnsi="Times New Roman"/>
        </w:rPr>
        <w:t>agenda for the Dec</w:t>
      </w:r>
      <w:r w:rsidR="00942A25">
        <w:rPr>
          <w:rFonts w:ascii="Times New Roman" w:hAnsi="Times New Roman"/>
        </w:rPr>
        <w:t>ember</w:t>
      </w:r>
      <w:r w:rsidR="000D1278">
        <w:rPr>
          <w:rFonts w:ascii="Times New Roman" w:hAnsi="Times New Roman"/>
        </w:rPr>
        <w:t xml:space="preserve"> 30, 2015, Open Meeting.</w:t>
      </w:r>
    </w:p>
    <w:p w14:paraId="7CC4CDEF" w14:textId="77777777" w:rsidR="000D1278" w:rsidRDefault="000D1278" w:rsidP="00884034">
      <w:pPr>
        <w:rPr>
          <w:rFonts w:ascii="Times New Roman" w:hAnsi="Times New Roman"/>
        </w:rPr>
      </w:pPr>
    </w:p>
    <w:p w14:paraId="7CC4CDF0" w14:textId="77777777" w:rsidR="00884034" w:rsidRDefault="00884034" w:rsidP="00884034">
      <w:pPr>
        <w:rPr>
          <w:rFonts w:ascii="Times New Roman" w:hAnsi="Times New Roman"/>
          <w:b/>
        </w:rPr>
      </w:pPr>
      <w:r>
        <w:rPr>
          <w:rFonts w:ascii="Times New Roman" w:hAnsi="Times New Roman"/>
          <w:b/>
        </w:rPr>
        <w:t>Stakeholder Comments</w:t>
      </w:r>
    </w:p>
    <w:p w14:paraId="7CC4CDF1" w14:textId="77777777" w:rsidR="00884034" w:rsidRDefault="00884034" w:rsidP="00884034">
      <w:pPr>
        <w:rPr>
          <w:rFonts w:ascii="Times New Roman" w:hAnsi="Times New Roman"/>
          <w:b/>
        </w:rPr>
      </w:pPr>
    </w:p>
    <w:p w14:paraId="7CC4CDF2" w14:textId="77777777" w:rsidR="00CB4C8A" w:rsidRDefault="00884034" w:rsidP="00EF47C1">
      <w:pPr>
        <w:rPr>
          <w:rFonts w:ascii="Times New Roman" w:hAnsi="Times New Roman"/>
        </w:rPr>
      </w:pPr>
      <w:r>
        <w:rPr>
          <w:rFonts w:ascii="Times New Roman" w:hAnsi="Times New Roman"/>
        </w:rPr>
        <w:t xml:space="preserve">Aside from staff, Public Counsel was the only party to file comments. </w:t>
      </w:r>
      <w:r w:rsidR="00CB4C8A">
        <w:rPr>
          <w:rFonts w:ascii="Times New Roman" w:hAnsi="Times New Roman"/>
        </w:rPr>
        <w:t>Public Counsel noted in its comments that the plan review process has become streamlined in the four biennia since the EIA’s conservation requirements took effect.</w:t>
      </w:r>
    </w:p>
    <w:p w14:paraId="7CC4CDF3" w14:textId="77777777" w:rsidR="00CB4C8A" w:rsidRDefault="00CB4C8A" w:rsidP="00EF47C1">
      <w:pPr>
        <w:rPr>
          <w:rFonts w:ascii="Times New Roman" w:hAnsi="Times New Roman"/>
        </w:rPr>
      </w:pPr>
    </w:p>
    <w:p w14:paraId="7CC4CDF4" w14:textId="77777777" w:rsidR="00884034" w:rsidRDefault="00CB4C8A" w:rsidP="00EF47C1">
      <w:pPr>
        <w:rPr>
          <w:rFonts w:ascii="Times New Roman" w:hAnsi="Times New Roman"/>
        </w:rPr>
      </w:pPr>
      <w:r>
        <w:rPr>
          <w:rFonts w:ascii="Times New Roman" w:hAnsi="Times New Roman"/>
        </w:rPr>
        <w:t xml:space="preserve">Public Counsel summarized its participation in </w:t>
      </w:r>
      <w:r w:rsidR="00244FFD">
        <w:rPr>
          <w:rFonts w:ascii="Times New Roman" w:hAnsi="Times New Roman"/>
        </w:rPr>
        <w:t>Pacific Power</w:t>
      </w:r>
      <w:r>
        <w:rPr>
          <w:rFonts w:ascii="Times New Roman" w:hAnsi="Times New Roman"/>
        </w:rPr>
        <w:t xml:space="preserve">’s advisory group and the process by which the company and the advisory group arrived at the 10-year potential and biennial target. The comments also expressed Public Counsel’s preference for utilities to update their UES values each year, rather than using locked values as </w:t>
      </w:r>
      <w:r w:rsidR="00244FFD">
        <w:rPr>
          <w:rFonts w:ascii="Times New Roman" w:hAnsi="Times New Roman"/>
        </w:rPr>
        <w:t>Pacific Power</w:t>
      </w:r>
      <w:r>
        <w:rPr>
          <w:rFonts w:ascii="Times New Roman" w:hAnsi="Times New Roman"/>
        </w:rPr>
        <w:t xml:space="preserve"> does, and </w:t>
      </w:r>
      <w:r w:rsidR="00F542BD">
        <w:rPr>
          <w:rFonts w:ascii="Times New Roman" w:hAnsi="Times New Roman"/>
        </w:rPr>
        <w:t>potential concerns with the cost-effectiveness of the company’s recent Home Energy Reports expansion.</w:t>
      </w:r>
    </w:p>
    <w:p w14:paraId="7CC4CDF5" w14:textId="77777777" w:rsidR="00F542BD" w:rsidRDefault="00F542BD" w:rsidP="00EF47C1">
      <w:pPr>
        <w:rPr>
          <w:rFonts w:ascii="Times New Roman" w:hAnsi="Times New Roman"/>
        </w:rPr>
      </w:pPr>
    </w:p>
    <w:p w14:paraId="7CC4CDF6" w14:textId="18BCF123" w:rsidR="00F542BD" w:rsidRDefault="00F542BD" w:rsidP="00EF47C1">
      <w:pPr>
        <w:rPr>
          <w:rFonts w:ascii="Times New Roman" w:hAnsi="Times New Roman"/>
        </w:rPr>
      </w:pPr>
      <w:r>
        <w:rPr>
          <w:rFonts w:ascii="Times New Roman" w:hAnsi="Times New Roman"/>
        </w:rPr>
        <w:t xml:space="preserve">Public Counsel concluded its comments by expressing support for </w:t>
      </w:r>
      <w:r w:rsidR="00244FFD">
        <w:rPr>
          <w:rFonts w:ascii="Times New Roman" w:hAnsi="Times New Roman"/>
        </w:rPr>
        <w:t>Pacific Power</w:t>
      </w:r>
      <w:r w:rsidR="00CF4D1D">
        <w:rPr>
          <w:rFonts w:ascii="Times New Roman" w:hAnsi="Times New Roman"/>
        </w:rPr>
        <w:t>’s 10</w:t>
      </w:r>
      <w:r>
        <w:rPr>
          <w:rFonts w:ascii="Times New Roman" w:hAnsi="Times New Roman"/>
        </w:rPr>
        <w:t xml:space="preserve">-year potential and biennial target, subject to conditions agreed upon by the company and advisory group. </w:t>
      </w:r>
    </w:p>
    <w:p w14:paraId="7CC4CDF7" w14:textId="77777777" w:rsidR="00884034" w:rsidRDefault="00884034" w:rsidP="00884034">
      <w:pPr>
        <w:ind w:left="720"/>
        <w:rPr>
          <w:rFonts w:ascii="Times New Roman" w:hAnsi="Times New Roman"/>
        </w:rPr>
      </w:pPr>
    </w:p>
    <w:p w14:paraId="7CC4CDF8" w14:textId="77777777" w:rsidR="00884034" w:rsidRPr="008A2CAB" w:rsidRDefault="00884034" w:rsidP="00884034">
      <w:pPr>
        <w:rPr>
          <w:rFonts w:ascii="Times New Roman" w:hAnsi="Times New Roman"/>
          <w:b/>
          <w:u w:val="single"/>
        </w:rPr>
      </w:pPr>
      <w:r w:rsidRPr="008A2CAB">
        <w:rPr>
          <w:rFonts w:ascii="Times New Roman" w:hAnsi="Times New Roman"/>
          <w:b/>
          <w:u w:val="single"/>
        </w:rPr>
        <w:t>Conclusion</w:t>
      </w:r>
    </w:p>
    <w:p w14:paraId="7CC4CDF9" w14:textId="77777777" w:rsidR="00884034" w:rsidRPr="008A2CAB" w:rsidRDefault="00884034" w:rsidP="00884034">
      <w:pPr>
        <w:rPr>
          <w:rFonts w:ascii="Times New Roman" w:hAnsi="Times New Roman"/>
        </w:rPr>
      </w:pPr>
    </w:p>
    <w:p w14:paraId="71911639" w14:textId="77777777" w:rsidR="005D75B1" w:rsidRDefault="00884034" w:rsidP="00884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Staff recommends that the commission issue an order approving </w:t>
      </w:r>
      <w:r w:rsidR="00244FFD">
        <w:rPr>
          <w:rFonts w:ascii="Times New Roman" w:hAnsi="Times New Roman"/>
        </w:rPr>
        <w:t>Pacific Power</w:t>
      </w:r>
      <w:r w:rsidR="00CF4D1D">
        <w:rPr>
          <w:rFonts w:ascii="Times New Roman" w:hAnsi="Times New Roman"/>
        </w:rPr>
        <w:t>’s 2016-2025</w:t>
      </w:r>
      <w:r>
        <w:rPr>
          <w:rFonts w:ascii="Times New Roman" w:hAnsi="Times New Roman"/>
        </w:rPr>
        <w:t xml:space="preserve"> conservation potential of </w:t>
      </w:r>
      <w:r w:rsidR="00F542BD">
        <w:rPr>
          <w:rFonts w:ascii="Times New Roman" w:hAnsi="Times New Roman"/>
        </w:rPr>
        <w:t>457,530</w:t>
      </w:r>
      <w:r>
        <w:rPr>
          <w:rFonts w:ascii="Times New Roman" w:hAnsi="Times New Roman"/>
        </w:rPr>
        <w:t xml:space="preserve"> MWh and biennial conservation target of </w:t>
      </w:r>
      <w:r w:rsidR="00F542BD">
        <w:rPr>
          <w:rFonts w:ascii="Times New Roman" w:hAnsi="Times New Roman"/>
        </w:rPr>
        <w:t>87,814</w:t>
      </w:r>
      <w:r>
        <w:rPr>
          <w:rFonts w:ascii="Times New Roman" w:hAnsi="Times New Roman"/>
        </w:rPr>
        <w:t xml:space="preserve"> MWh</w:t>
      </w:r>
      <w:r w:rsidR="00F754B3">
        <w:rPr>
          <w:rFonts w:ascii="Times New Roman" w:hAnsi="Times New Roman"/>
        </w:rPr>
        <w:t>, subject to the conditions in Attachment A</w:t>
      </w:r>
      <w:r>
        <w:rPr>
          <w:rFonts w:ascii="Times New Roman" w:hAnsi="Times New Roman"/>
        </w:rPr>
        <w:t>.</w:t>
      </w:r>
    </w:p>
    <w:p w14:paraId="54096299" w14:textId="77777777" w:rsidR="005D75B1" w:rsidRDefault="005D75B1" w:rsidP="00884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CC4CDFA" w14:textId="07187009" w:rsidR="00884034" w:rsidRDefault="005D75B1" w:rsidP="00884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Attachment </w:t>
      </w:r>
      <w:r w:rsidR="00884034">
        <w:rPr>
          <w:rFonts w:ascii="Times New Roman" w:hAnsi="Times New Roman"/>
        </w:rPr>
        <w:t xml:space="preserve"> </w:t>
      </w:r>
    </w:p>
    <w:p w14:paraId="7CC4CDFB" w14:textId="77777777" w:rsidR="002C039A" w:rsidRPr="00AD3312" w:rsidRDefault="002C039A" w:rsidP="00AD3312">
      <w:pPr>
        <w:rPr>
          <w:rFonts w:ascii="Times New Roman" w:hAnsi="Times New Roman"/>
        </w:rPr>
      </w:pPr>
    </w:p>
    <w:sectPr w:rsidR="002C039A" w:rsidRPr="00AD3312">
      <w:headerReference w:type="default" r:id="rId9"/>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4CDFE" w14:textId="77777777" w:rsidR="00FD4D4F" w:rsidRDefault="00FD4D4F" w:rsidP="00884034">
      <w:r>
        <w:separator/>
      </w:r>
    </w:p>
  </w:endnote>
  <w:endnote w:type="continuationSeparator" w:id="0">
    <w:p w14:paraId="7CC4CDFF" w14:textId="77777777" w:rsidR="00FD4D4F" w:rsidRDefault="00FD4D4F" w:rsidP="0088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4CDFC" w14:textId="77777777" w:rsidR="00FD4D4F" w:rsidRDefault="00FD4D4F" w:rsidP="00884034">
      <w:r>
        <w:separator/>
      </w:r>
    </w:p>
  </w:footnote>
  <w:footnote w:type="continuationSeparator" w:id="0">
    <w:p w14:paraId="7CC4CDFD" w14:textId="77777777" w:rsidR="00FD4D4F" w:rsidRDefault="00FD4D4F" w:rsidP="00884034">
      <w:r>
        <w:continuationSeparator/>
      </w:r>
    </w:p>
  </w:footnote>
  <w:footnote w:id="1">
    <w:p w14:paraId="7CC4CE05" w14:textId="77777777" w:rsidR="00021515" w:rsidRPr="00367B8E" w:rsidRDefault="00021515" w:rsidP="00021515">
      <w:pPr>
        <w:pStyle w:val="FootnoteText"/>
        <w:rPr>
          <w:rFonts w:ascii="Times New Roman" w:hAnsi="Times New Roman"/>
        </w:rPr>
      </w:pPr>
      <w:r w:rsidRPr="00367B8E">
        <w:rPr>
          <w:rStyle w:val="FootnoteReference"/>
          <w:rFonts w:ascii="Times New Roman" w:hAnsi="Times New Roman"/>
        </w:rPr>
        <w:footnoteRef/>
      </w:r>
      <w:r w:rsidRPr="00367B8E">
        <w:rPr>
          <w:rFonts w:ascii="Times New Roman" w:hAnsi="Times New Roman"/>
        </w:rPr>
        <w:t xml:space="preserve"> </w:t>
      </w:r>
      <w:r>
        <w:rPr>
          <w:rFonts w:ascii="Times New Roman" w:hAnsi="Times New Roman"/>
        </w:rPr>
        <w:t>Includes</w:t>
      </w:r>
      <w:r w:rsidRPr="00367B8E">
        <w:rPr>
          <w:rFonts w:ascii="Times New Roman" w:hAnsi="Times New Roman"/>
        </w:rPr>
        <w:t xml:space="preserve"> the 10 percent conservation </w:t>
      </w:r>
      <w:r>
        <w:rPr>
          <w:rFonts w:ascii="Times New Roman" w:hAnsi="Times New Roman"/>
        </w:rPr>
        <w:t>adder.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4CE00" w14:textId="77777777" w:rsidR="00BC42CE" w:rsidRPr="009D654C" w:rsidRDefault="00FD4D4F">
    <w:pPr>
      <w:pStyle w:val="Header"/>
      <w:rPr>
        <w:rFonts w:ascii="Times New Roman" w:hAnsi="Times New Roman"/>
        <w:b/>
        <w:sz w:val="20"/>
        <w:szCs w:val="20"/>
      </w:rPr>
    </w:pPr>
    <w:r w:rsidRPr="009D654C">
      <w:rPr>
        <w:rFonts w:ascii="Times New Roman" w:hAnsi="Times New Roman"/>
        <w:b/>
        <w:sz w:val="20"/>
        <w:szCs w:val="20"/>
      </w:rPr>
      <w:t xml:space="preserve">Docket </w:t>
    </w:r>
    <w:r>
      <w:rPr>
        <w:rFonts w:ascii="Times New Roman" w:hAnsi="Times New Roman"/>
        <w:b/>
        <w:bCs/>
        <w:sz w:val="20"/>
        <w:szCs w:val="20"/>
      </w:rPr>
      <w:t>UE</w:t>
    </w:r>
    <w:r w:rsidRPr="009D654C">
      <w:rPr>
        <w:rFonts w:ascii="Times New Roman" w:hAnsi="Times New Roman"/>
        <w:b/>
        <w:bCs/>
        <w:sz w:val="20"/>
        <w:szCs w:val="20"/>
      </w:rPr>
      <w:t>-</w:t>
    </w:r>
    <w:r w:rsidR="00E60B4B">
      <w:rPr>
        <w:rFonts w:ascii="Times New Roman" w:hAnsi="Times New Roman"/>
        <w:b/>
        <w:bCs/>
        <w:sz w:val="20"/>
        <w:szCs w:val="20"/>
      </w:rPr>
      <w:t>152072</w:t>
    </w:r>
  </w:p>
  <w:p w14:paraId="7CC4CE01" w14:textId="77777777" w:rsidR="00BC42CE" w:rsidRPr="00D83AEA" w:rsidRDefault="00E60B4B">
    <w:pPr>
      <w:pStyle w:val="Header"/>
      <w:rPr>
        <w:rFonts w:ascii="Times New Roman" w:hAnsi="Times New Roman"/>
        <w:b/>
        <w:sz w:val="20"/>
        <w:szCs w:val="20"/>
      </w:rPr>
    </w:pPr>
    <w:r>
      <w:rPr>
        <w:rFonts w:ascii="Times New Roman" w:hAnsi="Times New Roman"/>
        <w:b/>
        <w:sz w:val="20"/>
        <w:szCs w:val="20"/>
      </w:rPr>
      <w:t>December 17</w:t>
    </w:r>
    <w:r w:rsidR="00FD4D4F">
      <w:rPr>
        <w:rFonts w:ascii="Times New Roman" w:hAnsi="Times New Roman"/>
        <w:b/>
        <w:sz w:val="20"/>
        <w:szCs w:val="20"/>
      </w:rPr>
      <w:t>, 201</w:t>
    </w:r>
    <w:r>
      <w:rPr>
        <w:rFonts w:ascii="Times New Roman" w:hAnsi="Times New Roman"/>
        <w:b/>
        <w:sz w:val="20"/>
        <w:szCs w:val="20"/>
      </w:rPr>
      <w:t>5</w:t>
    </w:r>
  </w:p>
  <w:p w14:paraId="7CC4CE02" w14:textId="77777777" w:rsidR="00BC42CE" w:rsidRPr="00D83AEA" w:rsidRDefault="00FD4D4F">
    <w:pPr>
      <w:pStyle w:val="Header"/>
      <w:rPr>
        <w:rStyle w:val="PageNumber"/>
        <w:rFonts w:ascii="Times New Roman" w:hAnsi="Times New Roman"/>
        <w:b/>
        <w:sz w:val="20"/>
        <w:szCs w:val="20"/>
      </w:rPr>
    </w:pPr>
    <w:r w:rsidRPr="00D83AEA">
      <w:rPr>
        <w:rFonts w:ascii="Times New Roman" w:hAnsi="Times New Roman"/>
        <w:b/>
        <w:sz w:val="20"/>
        <w:szCs w:val="20"/>
      </w:rPr>
      <w:t xml:space="preserve">Page </w:t>
    </w:r>
    <w:r w:rsidRPr="00D83AEA">
      <w:rPr>
        <w:rStyle w:val="PageNumber"/>
        <w:rFonts w:ascii="Times New Roman" w:hAnsi="Times New Roman"/>
        <w:b/>
        <w:sz w:val="20"/>
        <w:szCs w:val="20"/>
      </w:rPr>
      <w:fldChar w:fldCharType="begin"/>
    </w:r>
    <w:r w:rsidRPr="00D83AEA">
      <w:rPr>
        <w:rStyle w:val="PageNumber"/>
        <w:rFonts w:ascii="Times New Roman" w:hAnsi="Times New Roman"/>
        <w:b/>
        <w:sz w:val="20"/>
        <w:szCs w:val="20"/>
      </w:rPr>
      <w:instrText xml:space="preserve"> PAGE </w:instrText>
    </w:r>
    <w:r w:rsidRPr="00D83AEA">
      <w:rPr>
        <w:rStyle w:val="PageNumber"/>
        <w:rFonts w:ascii="Times New Roman" w:hAnsi="Times New Roman"/>
        <w:b/>
        <w:sz w:val="20"/>
        <w:szCs w:val="20"/>
      </w:rPr>
      <w:fldChar w:fldCharType="separate"/>
    </w:r>
    <w:r w:rsidR="00F23C1B">
      <w:rPr>
        <w:rStyle w:val="PageNumber"/>
        <w:rFonts w:ascii="Times New Roman" w:hAnsi="Times New Roman"/>
        <w:b/>
        <w:noProof/>
        <w:sz w:val="20"/>
        <w:szCs w:val="20"/>
      </w:rPr>
      <w:t>3</w:t>
    </w:r>
    <w:r w:rsidRPr="00D83AEA">
      <w:rPr>
        <w:rStyle w:val="PageNumber"/>
        <w:rFonts w:ascii="Times New Roman" w:hAnsi="Times New Roman"/>
        <w:b/>
        <w:sz w:val="20"/>
        <w:szCs w:val="20"/>
      </w:rPr>
      <w:fldChar w:fldCharType="end"/>
    </w:r>
  </w:p>
  <w:p w14:paraId="7CC4CE03" w14:textId="77777777" w:rsidR="00BC42CE" w:rsidRPr="00D83AEA" w:rsidRDefault="00F23C1B">
    <w:pPr>
      <w:pStyle w:val="Header"/>
      <w:rPr>
        <w:rStyle w:val="PageNumber"/>
        <w:rFonts w:ascii="Times New Roman" w:hAnsi="Times New Roman"/>
        <w:b/>
        <w:sz w:val="20"/>
        <w:szCs w:val="20"/>
      </w:rPr>
    </w:pPr>
  </w:p>
  <w:p w14:paraId="7CC4CE04" w14:textId="77777777" w:rsidR="00BC42CE" w:rsidRPr="00D83AEA" w:rsidRDefault="00F23C1B">
    <w:pPr>
      <w:pStyle w:val="Header"/>
      <w:rPr>
        <w:rFonts w:ascii="Times New Roman" w:hAnsi="Times New Roman"/>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34"/>
    <w:rsid w:val="00021515"/>
    <w:rsid w:val="000715F5"/>
    <w:rsid w:val="000802FD"/>
    <w:rsid w:val="000D1278"/>
    <w:rsid w:val="000E640C"/>
    <w:rsid w:val="001C5AB1"/>
    <w:rsid w:val="001E1D7A"/>
    <w:rsid w:val="00235597"/>
    <w:rsid w:val="00244FFD"/>
    <w:rsid w:val="002C039A"/>
    <w:rsid w:val="002C26F7"/>
    <w:rsid w:val="003317DB"/>
    <w:rsid w:val="0044193C"/>
    <w:rsid w:val="0049024F"/>
    <w:rsid w:val="00552600"/>
    <w:rsid w:val="005A6C74"/>
    <w:rsid w:val="005D75B1"/>
    <w:rsid w:val="00615A9D"/>
    <w:rsid w:val="00672F7B"/>
    <w:rsid w:val="006A403A"/>
    <w:rsid w:val="006A41EE"/>
    <w:rsid w:val="00700BE3"/>
    <w:rsid w:val="00884034"/>
    <w:rsid w:val="0092041F"/>
    <w:rsid w:val="00942A25"/>
    <w:rsid w:val="00945154"/>
    <w:rsid w:val="00956CDD"/>
    <w:rsid w:val="00A84C2A"/>
    <w:rsid w:val="00AD3312"/>
    <w:rsid w:val="00AE273E"/>
    <w:rsid w:val="00AF3E8E"/>
    <w:rsid w:val="00B13041"/>
    <w:rsid w:val="00BA2CBD"/>
    <w:rsid w:val="00BD53A3"/>
    <w:rsid w:val="00CB4C8A"/>
    <w:rsid w:val="00CF4D1D"/>
    <w:rsid w:val="00CF6948"/>
    <w:rsid w:val="00DA1B86"/>
    <w:rsid w:val="00DD2A47"/>
    <w:rsid w:val="00DF07CA"/>
    <w:rsid w:val="00E60B4B"/>
    <w:rsid w:val="00EB1F7A"/>
    <w:rsid w:val="00EF47C1"/>
    <w:rsid w:val="00F21B68"/>
    <w:rsid w:val="00F23C1B"/>
    <w:rsid w:val="00F542BD"/>
    <w:rsid w:val="00F754B3"/>
    <w:rsid w:val="00FD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CD5C"/>
  <w15:chartTrackingRefBased/>
  <w15:docId w15:val="{07B9DF8F-8C0B-455F-AF2D-2E9A20AB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034"/>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884034"/>
    <w:pPr>
      <w:tabs>
        <w:tab w:val="center" w:pos="4320"/>
        <w:tab w:val="right" w:pos="8640"/>
      </w:tabs>
    </w:pPr>
  </w:style>
  <w:style w:type="character" w:customStyle="1" w:styleId="HeaderChar">
    <w:name w:val="Header Char"/>
    <w:basedOn w:val="DefaultParagraphFont"/>
    <w:link w:val="Header"/>
    <w:rsid w:val="00884034"/>
    <w:rPr>
      <w:rFonts w:ascii="Palatino Linotype" w:eastAsia="Times New Roman" w:hAnsi="Palatino Linotype" w:cs="Times New Roman"/>
      <w:sz w:val="24"/>
      <w:szCs w:val="24"/>
    </w:rPr>
  </w:style>
  <w:style w:type="character" w:styleId="PageNumber">
    <w:name w:val="page number"/>
    <w:basedOn w:val="DefaultParagraphFont"/>
    <w:rsid w:val="00884034"/>
  </w:style>
  <w:style w:type="paragraph" w:styleId="FootnoteText">
    <w:name w:val="footnote text"/>
    <w:basedOn w:val="Normal"/>
    <w:link w:val="FootnoteTextChar"/>
    <w:uiPriority w:val="99"/>
    <w:rsid w:val="00884034"/>
    <w:rPr>
      <w:sz w:val="20"/>
      <w:szCs w:val="20"/>
    </w:rPr>
  </w:style>
  <w:style w:type="character" w:customStyle="1" w:styleId="FootnoteTextChar">
    <w:name w:val="Footnote Text Char"/>
    <w:basedOn w:val="DefaultParagraphFont"/>
    <w:link w:val="FootnoteText"/>
    <w:uiPriority w:val="99"/>
    <w:rsid w:val="00884034"/>
    <w:rPr>
      <w:rFonts w:ascii="Palatino Linotype" w:eastAsia="Times New Roman" w:hAnsi="Palatino Linotype" w:cs="Times New Roman"/>
      <w:sz w:val="20"/>
      <w:szCs w:val="20"/>
    </w:rPr>
  </w:style>
  <w:style w:type="character" w:styleId="FootnoteReference">
    <w:name w:val="footnote reference"/>
    <w:uiPriority w:val="99"/>
    <w:rsid w:val="00884034"/>
    <w:rPr>
      <w:vertAlign w:val="superscript"/>
    </w:rPr>
  </w:style>
  <w:style w:type="paragraph" w:styleId="Footer">
    <w:name w:val="footer"/>
    <w:basedOn w:val="Normal"/>
    <w:link w:val="FooterChar"/>
    <w:uiPriority w:val="99"/>
    <w:unhideWhenUsed/>
    <w:rsid w:val="00E60B4B"/>
    <w:pPr>
      <w:tabs>
        <w:tab w:val="center" w:pos="4680"/>
        <w:tab w:val="right" w:pos="9360"/>
      </w:tabs>
    </w:pPr>
  </w:style>
  <w:style w:type="character" w:customStyle="1" w:styleId="FooterChar">
    <w:name w:val="Footer Char"/>
    <w:basedOn w:val="DefaultParagraphFont"/>
    <w:link w:val="Footer"/>
    <w:uiPriority w:val="99"/>
    <w:rsid w:val="00E60B4B"/>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D2FE07C0AA5C4E814A8CE6D7513F53" ma:contentTypeVersion="111" ma:contentTypeDescription="" ma:contentTypeScope="" ma:versionID="1216e83a7323dc2bd1493151893db3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2015-12-17T08:00:00+00:00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E400B-1076-4299-A8BF-3381F1D31758}"/>
</file>

<file path=customXml/itemProps2.xml><?xml version="1.0" encoding="utf-8"?>
<ds:datastoreItem xmlns:ds="http://schemas.openxmlformats.org/officeDocument/2006/customXml" ds:itemID="{BCBCC030-9B0E-4A18-983F-80D2519B5138}"/>
</file>

<file path=customXml/itemProps3.xml><?xml version="1.0" encoding="utf-8"?>
<ds:datastoreItem xmlns:ds="http://schemas.openxmlformats.org/officeDocument/2006/customXml" ds:itemID="{7862E254-AD95-4706-8D4E-21DBDA0C079A}"/>
</file>

<file path=customXml/itemProps4.xml><?xml version="1.0" encoding="utf-8"?>
<ds:datastoreItem xmlns:ds="http://schemas.openxmlformats.org/officeDocument/2006/customXml" ds:itemID="{2C150140-44A3-435C-BE1E-B7E22FAC2D8C}"/>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7086</Characters>
  <Application>Microsoft Office Word</Application>
  <DocSecurity>0</DocSecurity>
  <Lines>236</Lines>
  <Paragraphs>155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Wyse, Lisa (UTC)</cp:lastModifiedBy>
  <cp:revision>2</cp:revision>
  <dcterms:created xsi:type="dcterms:W3CDTF">2015-12-15T00:39:00Z</dcterms:created>
  <dcterms:modified xsi:type="dcterms:W3CDTF">2015-12-15T00:39:00Z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0x0101006E56B4D1795A2E4DB2F0B01679ED314A00D9D2FE07C0AA5C4E814A8CE6D7513F53</vt:lpwstr>
  </property>
  <property fmtid="{D5CDD505-2E9C-101B-9397-08002B2CF9AE}" pid="3" name="_docset_NoMedatataSyncRequired">
    <vt:lpwstr>False</vt:lpwstr>
  </property>
</Properties>
</file>