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9F4CD" w14:textId="77777777" w:rsidR="008956A7" w:rsidRPr="0042096A"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42096A">
        <w:rPr>
          <w:sz w:val="24"/>
        </w:rPr>
        <w:t>Agenda Date:</w:t>
      </w:r>
      <w:r w:rsidRPr="0042096A">
        <w:rPr>
          <w:sz w:val="24"/>
        </w:rPr>
        <w:tab/>
      </w:r>
      <w:r w:rsidRPr="0042096A">
        <w:rPr>
          <w:sz w:val="24"/>
        </w:rPr>
        <w:tab/>
      </w:r>
      <w:r w:rsidR="00AC33DC">
        <w:rPr>
          <w:sz w:val="24"/>
        </w:rPr>
        <w:t>March 26, 2015</w:t>
      </w:r>
      <w:r>
        <w:rPr>
          <w:sz w:val="24"/>
        </w:rPr>
        <w:tab/>
      </w:r>
    </w:p>
    <w:p w14:paraId="448126BA" w14:textId="40D296F3"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Pr>
          <w:sz w:val="24"/>
        </w:rPr>
        <w:t>Item Number:</w:t>
      </w:r>
      <w:r>
        <w:rPr>
          <w:sz w:val="24"/>
        </w:rPr>
        <w:tab/>
      </w:r>
      <w:r>
        <w:rPr>
          <w:sz w:val="24"/>
        </w:rPr>
        <w:tab/>
      </w:r>
      <w:r w:rsidR="00AF0358">
        <w:rPr>
          <w:sz w:val="24"/>
        </w:rPr>
        <w:t>A1</w:t>
      </w:r>
      <w:r w:rsidRPr="0042096A">
        <w:rPr>
          <w:sz w:val="24"/>
        </w:rPr>
        <w:tab/>
      </w:r>
      <w:r w:rsidRPr="0042096A">
        <w:rPr>
          <w:sz w:val="24"/>
        </w:rPr>
        <w:tab/>
      </w:r>
      <w:r w:rsidRPr="0042096A">
        <w:rPr>
          <w:sz w:val="24"/>
        </w:rPr>
        <w:tab/>
      </w:r>
      <w:r w:rsidRPr="0042096A">
        <w:rPr>
          <w:sz w:val="24"/>
        </w:rPr>
        <w:tab/>
      </w:r>
      <w:r w:rsidRPr="0042096A">
        <w:rPr>
          <w:sz w:val="24"/>
        </w:rPr>
        <w:tab/>
      </w:r>
    </w:p>
    <w:p w14:paraId="29B787A3" w14:textId="77777777"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00DB386F" w14:textId="77777777"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42096A">
        <w:rPr>
          <w:b/>
          <w:bCs/>
          <w:sz w:val="24"/>
        </w:rPr>
        <w:t xml:space="preserve">Docket: </w:t>
      </w:r>
      <w:r w:rsidRPr="0042096A">
        <w:rPr>
          <w:b/>
          <w:bCs/>
          <w:sz w:val="24"/>
        </w:rPr>
        <w:tab/>
      </w:r>
      <w:r w:rsidRPr="0042096A">
        <w:rPr>
          <w:b/>
          <w:bCs/>
          <w:sz w:val="24"/>
        </w:rPr>
        <w:tab/>
      </w:r>
      <w:r w:rsidR="00AC33DC">
        <w:rPr>
          <w:b/>
          <w:bCs/>
          <w:sz w:val="24"/>
        </w:rPr>
        <w:t>UW-150182</w:t>
      </w:r>
    </w:p>
    <w:p w14:paraId="7510A0FC" w14:textId="77777777"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rPr>
        <w:t>Company Name:</w:t>
      </w:r>
      <w:r w:rsidRPr="0042096A">
        <w:rPr>
          <w:sz w:val="24"/>
        </w:rPr>
        <w:tab/>
      </w:r>
      <w:r w:rsidR="006840B0">
        <w:rPr>
          <w:sz w:val="24"/>
        </w:rPr>
        <w:t>Camano Hills Water Company</w:t>
      </w:r>
    </w:p>
    <w:p w14:paraId="19FCD943" w14:textId="77777777"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427AC25" w14:textId="77777777" w:rsidR="008956A7"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u w:val="single"/>
        </w:rPr>
        <w:t>Staff:</w:t>
      </w:r>
      <w:r>
        <w:rPr>
          <w:sz w:val="24"/>
        </w:rPr>
        <w:tab/>
      </w:r>
      <w:r>
        <w:rPr>
          <w:sz w:val="24"/>
        </w:rPr>
        <w:tab/>
      </w:r>
      <w:r>
        <w:rPr>
          <w:sz w:val="24"/>
        </w:rPr>
        <w:tab/>
      </w:r>
      <w:r w:rsidR="00AF48DA">
        <w:rPr>
          <w:sz w:val="24"/>
        </w:rPr>
        <w:t>Mike Young</w:t>
      </w:r>
      <w:r w:rsidRPr="0042096A">
        <w:rPr>
          <w:sz w:val="24"/>
        </w:rPr>
        <w:t>, Regulatory Analyst</w:t>
      </w:r>
    </w:p>
    <w:p w14:paraId="5103C1E2" w14:textId="77777777" w:rsidR="00AF48DA" w:rsidRDefault="00AF48DA"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Greg Hammond</w:t>
      </w:r>
      <w:r w:rsidRPr="0042096A">
        <w:rPr>
          <w:sz w:val="24"/>
        </w:rPr>
        <w:t>, Regulatory Analyst</w:t>
      </w:r>
    </w:p>
    <w:p w14:paraId="1831EF05" w14:textId="77777777"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AF48DA">
        <w:rPr>
          <w:sz w:val="24"/>
        </w:rPr>
        <w:t>John Cupp</w:t>
      </w:r>
      <w:r>
        <w:rPr>
          <w:sz w:val="24"/>
        </w:rPr>
        <w:t xml:space="preserve">, </w:t>
      </w:r>
      <w:r w:rsidR="00F061F8">
        <w:rPr>
          <w:sz w:val="24"/>
        </w:rPr>
        <w:t xml:space="preserve">Consumer </w:t>
      </w:r>
      <w:r w:rsidR="00AB1820">
        <w:rPr>
          <w:sz w:val="24"/>
        </w:rPr>
        <w:t>Protection</w:t>
      </w:r>
      <w:r w:rsidR="00F156FA">
        <w:rPr>
          <w:sz w:val="24"/>
        </w:rPr>
        <w:t xml:space="preserve"> Staff</w:t>
      </w:r>
    </w:p>
    <w:p w14:paraId="4EAB4637" w14:textId="77777777" w:rsidR="0045500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B996150" w14:textId="76373C82" w:rsidR="004E50BD" w:rsidRPr="00F720D5"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Recommendation</w:t>
      </w:r>
    </w:p>
    <w:p w14:paraId="07E2B2E0" w14:textId="77777777" w:rsidR="00340B55" w:rsidRDefault="00340B55" w:rsidP="00340B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8B95057" w14:textId="449D22B8" w:rsidR="004E50BD" w:rsidRDefault="00AF48DA" w:rsidP="00055B37">
      <w:pPr>
        <w:widowControl/>
        <w:autoSpaceDE/>
        <w:autoSpaceDN/>
        <w:adjustRightInd/>
        <w:rPr>
          <w:sz w:val="24"/>
        </w:rPr>
      </w:pPr>
      <w:r>
        <w:rPr>
          <w:sz w:val="24"/>
        </w:rPr>
        <w:t>Allow the tariff pages</w:t>
      </w:r>
      <w:r w:rsidR="001C74D1">
        <w:rPr>
          <w:sz w:val="24"/>
        </w:rPr>
        <w:t xml:space="preserve"> </w:t>
      </w:r>
      <w:r w:rsidR="007D047D" w:rsidRPr="007D047D">
        <w:rPr>
          <w:sz w:val="24"/>
        </w:rPr>
        <w:t xml:space="preserve">filed by the </w:t>
      </w:r>
      <w:r w:rsidR="001C74D1">
        <w:rPr>
          <w:sz w:val="24"/>
        </w:rPr>
        <w:t xml:space="preserve">Camano Hills Water Company </w:t>
      </w:r>
      <w:r w:rsidR="007D047D" w:rsidRPr="007D047D">
        <w:rPr>
          <w:sz w:val="24"/>
        </w:rPr>
        <w:t xml:space="preserve">on </w:t>
      </w:r>
      <w:r w:rsidR="004E50BD">
        <w:rPr>
          <w:sz w:val="24"/>
        </w:rPr>
        <w:t xml:space="preserve">February </w:t>
      </w:r>
      <w:r w:rsidR="00370FD3">
        <w:rPr>
          <w:sz w:val="24"/>
        </w:rPr>
        <w:t>4</w:t>
      </w:r>
      <w:r w:rsidR="004E50BD">
        <w:rPr>
          <w:sz w:val="24"/>
        </w:rPr>
        <w:t xml:space="preserve">, 2015, and revised on March 5, 2015, </w:t>
      </w:r>
      <w:r w:rsidR="001363CE">
        <w:rPr>
          <w:sz w:val="24"/>
        </w:rPr>
        <w:t>to become</w:t>
      </w:r>
      <w:r w:rsidR="004E50BD">
        <w:rPr>
          <w:sz w:val="24"/>
        </w:rPr>
        <w:t xml:space="preserve"> effective April 1, 2015, by operation of law. </w:t>
      </w:r>
    </w:p>
    <w:p w14:paraId="23383D97" w14:textId="77777777" w:rsidR="00CF6953" w:rsidRDefault="00CF6953" w:rsidP="00055B37">
      <w:pPr>
        <w:widowControl/>
        <w:autoSpaceDE/>
        <w:autoSpaceDN/>
        <w:adjustRightInd/>
        <w:rPr>
          <w:sz w:val="24"/>
        </w:rPr>
      </w:pPr>
    </w:p>
    <w:p w14:paraId="518C156A" w14:textId="77777777" w:rsidR="0015464D" w:rsidRPr="0042096A" w:rsidRDefault="004C29FA" w:rsidP="00055B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Background</w:t>
      </w:r>
    </w:p>
    <w:p w14:paraId="061E69A4" w14:textId="77777777" w:rsidR="00FA1A71" w:rsidRDefault="00FA1A71" w:rsidP="00055B37">
      <w:pPr>
        <w:widowControl/>
        <w:autoSpaceDE/>
        <w:autoSpaceDN/>
        <w:adjustRightInd/>
        <w:rPr>
          <w:sz w:val="24"/>
        </w:rPr>
      </w:pPr>
    </w:p>
    <w:p w14:paraId="57C772CC" w14:textId="4EF75FD0" w:rsidR="00FA1A71" w:rsidRDefault="00B34AE0" w:rsidP="00055B37">
      <w:pPr>
        <w:widowControl/>
        <w:autoSpaceDE/>
        <w:autoSpaceDN/>
        <w:adjustRightInd/>
        <w:rPr>
          <w:sz w:val="24"/>
        </w:rPr>
      </w:pPr>
      <w:r w:rsidRPr="00B34AE0">
        <w:rPr>
          <w:sz w:val="24"/>
        </w:rPr>
        <w:t xml:space="preserve">On </w:t>
      </w:r>
      <w:r w:rsidR="00C31618">
        <w:rPr>
          <w:sz w:val="24"/>
        </w:rPr>
        <w:t>February 3</w:t>
      </w:r>
      <w:r w:rsidR="00C31618" w:rsidRPr="007D047D">
        <w:rPr>
          <w:sz w:val="24"/>
        </w:rPr>
        <w:t>,</w:t>
      </w:r>
      <w:r w:rsidR="00C31618">
        <w:rPr>
          <w:sz w:val="24"/>
        </w:rPr>
        <w:t xml:space="preserve"> 2015</w:t>
      </w:r>
      <w:r w:rsidR="00FA1A71" w:rsidRPr="00FA1A71">
        <w:rPr>
          <w:sz w:val="24"/>
        </w:rPr>
        <w:t xml:space="preserve">, Camano Hills Water Company, Inc. (Camano Hills or </w:t>
      </w:r>
      <w:r w:rsidR="00CA53A4">
        <w:rPr>
          <w:sz w:val="24"/>
        </w:rPr>
        <w:t>c</w:t>
      </w:r>
      <w:r w:rsidR="00FA1A71" w:rsidRPr="00FA1A71">
        <w:rPr>
          <w:sz w:val="24"/>
        </w:rPr>
        <w:t>ompany) filed with the Utilities and Transportation Commission (</w:t>
      </w:r>
      <w:r w:rsidR="00CA53A4">
        <w:rPr>
          <w:sz w:val="24"/>
        </w:rPr>
        <w:t>c</w:t>
      </w:r>
      <w:r w:rsidR="00FA1A71" w:rsidRPr="00FA1A71">
        <w:rPr>
          <w:sz w:val="24"/>
        </w:rPr>
        <w:t xml:space="preserve">ommission) a </w:t>
      </w:r>
      <w:r w:rsidR="00A82B2F">
        <w:rPr>
          <w:sz w:val="24"/>
        </w:rPr>
        <w:t xml:space="preserve">tariff </w:t>
      </w:r>
      <w:r w:rsidR="00FA1A71" w:rsidRPr="00FA1A71">
        <w:rPr>
          <w:sz w:val="24"/>
        </w:rPr>
        <w:t xml:space="preserve">revision </w:t>
      </w:r>
      <w:r w:rsidR="00CA53A4">
        <w:rPr>
          <w:sz w:val="24"/>
        </w:rPr>
        <w:t xml:space="preserve">that would generate </w:t>
      </w:r>
      <w:r w:rsidR="00317DDF">
        <w:rPr>
          <w:sz w:val="24"/>
        </w:rPr>
        <w:t xml:space="preserve">approximately </w:t>
      </w:r>
      <w:r w:rsidR="00CA53A4">
        <w:rPr>
          <w:sz w:val="24"/>
        </w:rPr>
        <w:t>$</w:t>
      </w:r>
      <w:r w:rsidR="00C31618">
        <w:rPr>
          <w:sz w:val="24"/>
        </w:rPr>
        <w:t>22,600</w:t>
      </w:r>
      <w:r w:rsidR="00CA53A4">
        <w:rPr>
          <w:sz w:val="24"/>
        </w:rPr>
        <w:t xml:space="preserve"> (</w:t>
      </w:r>
      <w:r w:rsidR="00C31618">
        <w:rPr>
          <w:sz w:val="24"/>
        </w:rPr>
        <w:t>11.8</w:t>
      </w:r>
      <w:r w:rsidR="00CE4DDB">
        <w:rPr>
          <w:sz w:val="24"/>
        </w:rPr>
        <w:t xml:space="preserve"> </w:t>
      </w:r>
      <w:r w:rsidR="00CA53A4">
        <w:rPr>
          <w:sz w:val="24"/>
        </w:rPr>
        <w:t>percent) additional annual revenue. The</w:t>
      </w:r>
      <w:r w:rsidR="00CA53A4" w:rsidRPr="00CA53A4">
        <w:rPr>
          <w:sz w:val="24"/>
        </w:rPr>
        <w:t xml:space="preserve"> </w:t>
      </w:r>
      <w:r w:rsidR="00CA53A4">
        <w:rPr>
          <w:sz w:val="24"/>
        </w:rPr>
        <w:t>c</w:t>
      </w:r>
      <w:r w:rsidR="00CA53A4" w:rsidRPr="00FA1A71">
        <w:rPr>
          <w:sz w:val="24"/>
        </w:rPr>
        <w:t>ompany serves 1</w:t>
      </w:r>
      <w:r w:rsidR="00C31618">
        <w:rPr>
          <w:sz w:val="24"/>
        </w:rPr>
        <w:t>9</w:t>
      </w:r>
      <w:r w:rsidR="00CA53A4" w:rsidRPr="00FA1A71">
        <w:rPr>
          <w:sz w:val="24"/>
        </w:rPr>
        <w:t>8 customers located in Island County.</w:t>
      </w:r>
      <w:r w:rsidR="00CA53A4">
        <w:rPr>
          <w:sz w:val="24"/>
        </w:rPr>
        <w:t xml:space="preserve"> The company’s last general rate increase </w:t>
      </w:r>
      <w:r w:rsidR="004C1D9F">
        <w:rPr>
          <w:sz w:val="24"/>
        </w:rPr>
        <w:t xml:space="preserve">became </w:t>
      </w:r>
      <w:r w:rsidR="00317DDF">
        <w:rPr>
          <w:sz w:val="24"/>
        </w:rPr>
        <w:t xml:space="preserve">effective </w:t>
      </w:r>
      <w:r w:rsidR="00C31618">
        <w:rPr>
          <w:sz w:val="24"/>
        </w:rPr>
        <w:t>January 1</w:t>
      </w:r>
      <w:r w:rsidR="00002DB0">
        <w:rPr>
          <w:sz w:val="24"/>
        </w:rPr>
        <w:t>0</w:t>
      </w:r>
      <w:r w:rsidR="00C31618">
        <w:rPr>
          <w:sz w:val="24"/>
        </w:rPr>
        <w:t>, 201</w:t>
      </w:r>
      <w:r w:rsidR="00002DB0">
        <w:rPr>
          <w:sz w:val="24"/>
        </w:rPr>
        <w:t>0</w:t>
      </w:r>
      <w:r w:rsidR="00CA53A4">
        <w:rPr>
          <w:sz w:val="24"/>
        </w:rPr>
        <w:t>.</w:t>
      </w:r>
    </w:p>
    <w:p w14:paraId="198BDB1F" w14:textId="77777777" w:rsidR="00352087" w:rsidRDefault="00352087" w:rsidP="00055B37">
      <w:pPr>
        <w:widowControl/>
        <w:autoSpaceDE/>
        <w:autoSpaceDN/>
        <w:adjustRightInd/>
        <w:rPr>
          <w:sz w:val="24"/>
        </w:rPr>
      </w:pPr>
    </w:p>
    <w:p w14:paraId="2561F407" w14:textId="4DB6F4E8" w:rsidR="00352087" w:rsidRPr="00FA1A71" w:rsidRDefault="00352087" w:rsidP="00055B37">
      <w:pPr>
        <w:widowControl/>
        <w:autoSpaceDE/>
        <w:autoSpaceDN/>
        <w:adjustRightInd/>
        <w:rPr>
          <w:sz w:val="24"/>
        </w:rPr>
      </w:pPr>
      <w:r>
        <w:rPr>
          <w:sz w:val="24"/>
        </w:rPr>
        <w:t xml:space="preserve">The filing is a result of increases in labor </w:t>
      </w:r>
      <w:r w:rsidR="00593DC5">
        <w:rPr>
          <w:sz w:val="24"/>
        </w:rPr>
        <w:t xml:space="preserve">costs, </w:t>
      </w:r>
      <w:r w:rsidR="00A32C86">
        <w:rPr>
          <w:sz w:val="24"/>
        </w:rPr>
        <w:t>contracted operations</w:t>
      </w:r>
      <w:r w:rsidR="00213F05">
        <w:rPr>
          <w:sz w:val="24"/>
        </w:rPr>
        <w:t xml:space="preserve">, </w:t>
      </w:r>
      <w:r w:rsidR="00593DC5">
        <w:rPr>
          <w:sz w:val="24"/>
        </w:rPr>
        <w:t xml:space="preserve">insurance, </w:t>
      </w:r>
      <w:r>
        <w:rPr>
          <w:sz w:val="24"/>
        </w:rPr>
        <w:t xml:space="preserve">and other </w:t>
      </w:r>
      <w:r w:rsidR="00593DC5">
        <w:rPr>
          <w:sz w:val="24"/>
        </w:rPr>
        <w:t>general and administrative costs. The company installed an arsenic treatment</w:t>
      </w:r>
      <w:r w:rsidR="002253E3">
        <w:rPr>
          <w:sz w:val="24"/>
        </w:rPr>
        <w:t xml:space="preserve"> plant in </w:t>
      </w:r>
      <w:r w:rsidR="00CF6953">
        <w:rPr>
          <w:sz w:val="24"/>
        </w:rPr>
        <w:t>May 2014</w:t>
      </w:r>
      <w:r w:rsidR="00593DC5">
        <w:rPr>
          <w:sz w:val="24"/>
        </w:rPr>
        <w:t>, and also purchased a utili</w:t>
      </w:r>
      <w:r w:rsidR="004E50BD">
        <w:rPr>
          <w:sz w:val="24"/>
        </w:rPr>
        <w:t>t</w:t>
      </w:r>
      <w:r w:rsidR="00593DC5">
        <w:rPr>
          <w:sz w:val="24"/>
        </w:rPr>
        <w:t>y truck</w:t>
      </w:r>
      <w:r w:rsidR="002253E3">
        <w:rPr>
          <w:sz w:val="24"/>
        </w:rPr>
        <w:t>.</w:t>
      </w:r>
      <w:r w:rsidR="003E4939">
        <w:rPr>
          <w:sz w:val="24"/>
        </w:rPr>
        <w:t xml:space="preserve"> </w:t>
      </w:r>
      <w:r w:rsidR="00593DC5">
        <w:rPr>
          <w:sz w:val="24"/>
        </w:rPr>
        <w:t xml:space="preserve">Staff found in its review that the company supported </w:t>
      </w:r>
      <w:r w:rsidR="00A32C86">
        <w:rPr>
          <w:sz w:val="24"/>
        </w:rPr>
        <w:t>the requested</w:t>
      </w:r>
      <w:r w:rsidR="00593DC5">
        <w:rPr>
          <w:sz w:val="24"/>
        </w:rPr>
        <w:t xml:space="preserve"> revenue requirement</w:t>
      </w:r>
      <w:r w:rsidR="00A32C86">
        <w:rPr>
          <w:sz w:val="24"/>
        </w:rPr>
        <w:t xml:space="preserve"> and proposed rate structure</w:t>
      </w:r>
      <w:r w:rsidR="00593DC5">
        <w:rPr>
          <w:sz w:val="24"/>
        </w:rPr>
        <w:t>.</w:t>
      </w:r>
    </w:p>
    <w:p w14:paraId="33E8DF57" w14:textId="77777777" w:rsidR="004C29FA" w:rsidRPr="00FA1A71" w:rsidRDefault="004C29FA" w:rsidP="008C17A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7CCCB8D" w14:textId="77777777" w:rsidR="00480CB9" w:rsidRDefault="00480CB9" w:rsidP="00480CB9">
      <w:pPr>
        <w:rPr>
          <w:b/>
          <w:sz w:val="24"/>
          <w:u w:val="single"/>
        </w:rPr>
      </w:pPr>
      <w:r w:rsidRPr="00480CB9">
        <w:rPr>
          <w:b/>
          <w:sz w:val="24"/>
          <w:u w:val="single"/>
        </w:rPr>
        <w:t>Customer Comments</w:t>
      </w:r>
    </w:p>
    <w:p w14:paraId="56A98383" w14:textId="77777777" w:rsidR="00480CB9" w:rsidRPr="00480CB9" w:rsidRDefault="00480CB9" w:rsidP="00480CB9">
      <w:pPr>
        <w:rPr>
          <w:sz w:val="24"/>
        </w:rPr>
      </w:pPr>
    </w:p>
    <w:p w14:paraId="50684AC2" w14:textId="77777777" w:rsidR="0020554F" w:rsidRDefault="0020554F" w:rsidP="0020554F">
      <w:pPr>
        <w:rPr>
          <w:color w:val="000000"/>
          <w:sz w:val="24"/>
        </w:rPr>
      </w:pPr>
      <w:r>
        <w:rPr>
          <w:color w:val="000000"/>
          <w:sz w:val="24"/>
        </w:rPr>
        <w:t>The company notified its customers by mail of the proposed rate increase. Customers were notified that they may access relevant documents about this rate increase on the commission’s website, and that they may contact John Cupp at 1-888-333-9882 or jcupp@utc.wa.gov with questions or concerns. Staff received one comment, from a consumer opposed to the increase.</w:t>
      </w:r>
    </w:p>
    <w:p w14:paraId="4C08DCA0" w14:textId="77777777" w:rsidR="0020554F" w:rsidRDefault="0020554F" w:rsidP="0020554F"/>
    <w:p w14:paraId="0B04D266" w14:textId="77777777" w:rsidR="0020554F" w:rsidRDefault="0020554F" w:rsidP="0020554F">
      <w:r>
        <w:rPr>
          <w:b/>
          <w:color w:val="000000"/>
          <w:sz w:val="24"/>
        </w:rPr>
        <w:t>General Comments</w:t>
      </w:r>
    </w:p>
    <w:p w14:paraId="53085896" w14:textId="77777777" w:rsidR="0020554F" w:rsidRDefault="0020554F" w:rsidP="0020554F">
      <w:pPr>
        <w:widowControl/>
        <w:numPr>
          <w:ilvl w:val="0"/>
          <w:numId w:val="19"/>
        </w:numPr>
        <w:autoSpaceDE/>
        <w:autoSpaceDN/>
        <w:adjustRightInd/>
        <w:ind w:left="720" w:hanging="360"/>
      </w:pPr>
      <w:r w:rsidRPr="00F33F64">
        <w:rPr>
          <w:color w:val="000000"/>
          <w:sz w:val="24"/>
        </w:rPr>
        <w:t>Chief</w:t>
      </w:r>
      <w:r>
        <w:rPr>
          <w:color w:val="000000"/>
          <w:sz w:val="24"/>
        </w:rPr>
        <w:t xml:space="preserve"> </w:t>
      </w:r>
      <w:r w:rsidRPr="009926DD">
        <w:rPr>
          <w:color w:val="000000"/>
          <w:sz w:val="24"/>
        </w:rPr>
        <w:t>Michael Schick</w:t>
      </w:r>
      <w:r>
        <w:rPr>
          <w:color w:val="000000"/>
          <w:sz w:val="24"/>
        </w:rPr>
        <w:t xml:space="preserve"> from</w:t>
      </w:r>
      <w:r w:rsidRPr="00F33F64">
        <w:rPr>
          <w:color w:val="000000"/>
          <w:sz w:val="24"/>
        </w:rPr>
        <w:t xml:space="preserve"> Camano Island Fire and Rescue commented that rising utility cost</w:t>
      </w:r>
      <w:r>
        <w:rPr>
          <w:color w:val="000000"/>
          <w:sz w:val="24"/>
        </w:rPr>
        <w:t>s are impacting the department’s budget, as a base rate increase</w:t>
      </w:r>
      <w:r w:rsidRPr="00F33F64">
        <w:rPr>
          <w:color w:val="000000"/>
          <w:sz w:val="24"/>
        </w:rPr>
        <w:t xml:space="preserve"> will </w:t>
      </w:r>
      <w:r>
        <w:rPr>
          <w:color w:val="000000"/>
          <w:sz w:val="24"/>
        </w:rPr>
        <w:t>remove the department’s ability to save money through</w:t>
      </w:r>
      <w:r w:rsidRPr="00107681">
        <w:rPr>
          <w:color w:val="000000"/>
          <w:sz w:val="24"/>
        </w:rPr>
        <w:t xml:space="preserve"> </w:t>
      </w:r>
      <w:r>
        <w:rPr>
          <w:color w:val="000000"/>
          <w:sz w:val="24"/>
        </w:rPr>
        <w:t>water conservation</w:t>
      </w:r>
      <w:r w:rsidRPr="00107681">
        <w:rPr>
          <w:color w:val="000000"/>
          <w:sz w:val="24"/>
        </w:rPr>
        <w:t xml:space="preserve">. Chief </w:t>
      </w:r>
      <w:r>
        <w:rPr>
          <w:color w:val="000000"/>
          <w:sz w:val="24"/>
        </w:rPr>
        <w:t xml:space="preserve">Schick </w:t>
      </w:r>
      <w:r w:rsidRPr="00107681">
        <w:rPr>
          <w:color w:val="000000"/>
          <w:sz w:val="24"/>
        </w:rPr>
        <w:t>commented that he believes the increase will also have a negative impact on small and large businesses on Camano Island, as commercial facilities are commonly charged more than residential properties. He asks the commission deny the company a rate increase.</w:t>
      </w:r>
    </w:p>
    <w:p w14:paraId="023B61EA" w14:textId="77777777" w:rsidR="0020554F" w:rsidRDefault="0020554F" w:rsidP="0020554F"/>
    <w:p w14:paraId="3B28054E" w14:textId="77777777" w:rsidR="0020554F" w:rsidRDefault="0020554F" w:rsidP="0020554F">
      <w:pPr>
        <w:ind w:left="719"/>
      </w:pPr>
      <w:r>
        <w:rPr>
          <w:b/>
          <w:color w:val="000000"/>
          <w:sz w:val="24"/>
        </w:rPr>
        <w:t>Staff Response</w:t>
      </w:r>
    </w:p>
    <w:p w14:paraId="09605D21" w14:textId="77777777" w:rsidR="0020554F" w:rsidRDefault="0020554F" w:rsidP="0020554F">
      <w:pPr>
        <w:ind w:left="719"/>
        <w:rPr>
          <w:sz w:val="24"/>
        </w:rPr>
      </w:pPr>
      <w:r>
        <w:rPr>
          <w:color w:val="000000"/>
          <w:sz w:val="24"/>
        </w:rPr>
        <w:t xml:space="preserve">Staff explained that </w:t>
      </w:r>
      <w:r w:rsidRPr="003F2842">
        <w:rPr>
          <w:sz w:val="24"/>
        </w:rPr>
        <w:t>the increase in base charge is a result of additional fixed costs. The rate increase must provide sufficient revenue</w:t>
      </w:r>
      <w:r>
        <w:rPr>
          <w:sz w:val="24"/>
        </w:rPr>
        <w:t xml:space="preserve"> for the company</w:t>
      </w:r>
      <w:r w:rsidRPr="003F2842">
        <w:rPr>
          <w:sz w:val="24"/>
        </w:rPr>
        <w:t xml:space="preserve"> to cover those c</w:t>
      </w:r>
      <w:r>
        <w:rPr>
          <w:sz w:val="24"/>
        </w:rPr>
        <w:t xml:space="preserve">osts, and merely increasing </w:t>
      </w:r>
      <w:r w:rsidRPr="003F2842">
        <w:rPr>
          <w:sz w:val="24"/>
        </w:rPr>
        <w:t xml:space="preserve">usage costs would not </w:t>
      </w:r>
      <w:r>
        <w:rPr>
          <w:sz w:val="24"/>
        </w:rPr>
        <w:t>necessarily provide sufficient</w:t>
      </w:r>
      <w:r w:rsidRPr="003F2842">
        <w:rPr>
          <w:sz w:val="24"/>
        </w:rPr>
        <w:t xml:space="preserve"> revenue as usage is determined by the customer. Staff also explained that the company does not have </w:t>
      </w:r>
      <w:r w:rsidRPr="003F2842">
        <w:rPr>
          <w:sz w:val="24"/>
        </w:rPr>
        <w:lastRenderedPageBreak/>
        <w:t>residential and commercial rates. Customers with the same meter size and usage pay the same, whether they are a residential or business customer.</w:t>
      </w:r>
    </w:p>
    <w:p w14:paraId="402727A2" w14:textId="142F7660" w:rsidR="00894DBB" w:rsidRDefault="00894DBB" w:rsidP="00894D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39285309" w14:textId="77777777" w:rsidR="0046535B" w:rsidRDefault="0046535B">
      <w:pPr>
        <w:widowControl/>
        <w:autoSpaceDE/>
        <w:autoSpaceDN/>
        <w:adjustRightInd/>
        <w:rPr>
          <w:color w:val="000000"/>
          <w:sz w:val="24"/>
        </w:rPr>
      </w:pPr>
    </w:p>
    <w:p w14:paraId="5B064A4C" w14:textId="77777777" w:rsidR="008956A7" w:rsidRPr="008A2603" w:rsidRDefault="008956A7" w:rsidP="008956A7">
      <w:pPr>
        <w:jc w:val="center"/>
        <w:rPr>
          <w:b/>
          <w:sz w:val="24"/>
          <w:u w:val="single"/>
        </w:rPr>
      </w:pPr>
      <w:r w:rsidRPr="008A2603">
        <w:rPr>
          <w:b/>
          <w:sz w:val="24"/>
          <w:u w:val="single"/>
        </w:rPr>
        <w:t>Rate Comparison</w:t>
      </w:r>
    </w:p>
    <w:p w14:paraId="1B5D3122" w14:textId="77777777" w:rsidR="00AF1A52" w:rsidRPr="008A674C" w:rsidRDefault="00AF1A52" w:rsidP="008956A7">
      <w:pPr>
        <w:rPr>
          <w:sz w:val="24"/>
        </w:rPr>
      </w:pPr>
    </w:p>
    <w:p w14:paraId="6132B1ED" w14:textId="77777777" w:rsidR="00267644" w:rsidRDefault="00267644" w:rsidP="002D3175">
      <w:pPr>
        <w:pStyle w:val="Heading1"/>
        <w:jc w:val="left"/>
        <w:sectPr w:rsidR="00267644" w:rsidSect="00480CB9">
          <w:headerReference w:type="default" r:id="rId11"/>
          <w:endnotePr>
            <w:numFmt w:val="decimal"/>
            <w:numRestart w:val="eachSect"/>
          </w:endnotePr>
          <w:pgSz w:w="12240" w:h="15840" w:code="1"/>
          <w:pgMar w:top="1440" w:right="1440" w:bottom="1296" w:left="1440" w:header="1008" w:footer="720" w:gutter="0"/>
          <w:cols w:space="720"/>
          <w:noEndnote/>
          <w:titlePg/>
          <w:docGrid w:linePitch="272"/>
        </w:sectPr>
      </w:pPr>
    </w:p>
    <w:tbl>
      <w:tblPr>
        <w:tblW w:w="7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0"/>
        <w:gridCol w:w="1841"/>
        <w:gridCol w:w="2203"/>
      </w:tblGrid>
      <w:tr w:rsidR="00506059" w:rsidRPr="00591778" w14:paraId="671A3476" w14:textId="77777777" w:rsidTr="00CB2361">
        <w:trPr>
          <w:jc w:val="center"/>
        </w:trPr>
        <w:tc>
          <w:tcPr>
            <w:tcW w:w="3450" w:type="dxa"/>
          </w:tcPr>
          <w:p w14:paraId="70E0C35C" w14:textId="77777777" w:rsidR="00506059" w:rsidRPr="00591778" w:rsidRDefault="00506059" w:rsidP="00EE1966">
            <w:pPr>
              <w:pStyle w:val="Heading1"/>
              <w:rPr>
                <w:b/>
              </w:rPr>
            </w:pPr>
            <w:r w:rsidRPr="00591778">
              <w:rPr>
                <w:b/>
              </w:rPr>
              <w:lastRenderedPageBreak/>
              <w:t>Monthly Rate</w:t>
            </w:r>
          </w:p>
        </w:tc>
        <w:tc>
          <w:tcPr>
            <w:tcW w:w="1841" w:type="dxa"/>
            <w:vAlign w:val="center"/>
          </w:tcPr>
          <w:p w14:paraId="79B3A0B2" w14:textId="77777777" w:rsidR="00506059" w:rsidRPr="00591778" w:rsidRDefault="00506059" w:rsidP="00EE1966">
            <w:pPr>
              <w:jc w:val="center"/>
              <w:rPr>
                <w:b/>
                <w:sz w:val="24"/>
              </w:rPr>
            </w:pPr>
            <w:r w:rsidRPr="00591778">
              <w:rPr>
                <w:b/>
                <w:sz w:val="24"/>
              </w:rPr>
              <w:t>Current Rate</w:t>
            </w:r>
          </w:p>
        </w:tc>
        <w:tc>
          <w:tcPr>
            <w:tcW w:w="2203" w:type="dxa"/>
          </w:tcPr>
          <w:p w14:paraId="7B28CBAA" w14:textId="77777777" w:rsidR="00506059" w:rsidRPr="00591778" w:rsidRDefault="00506059" w:rsidP="00EE1966">
            <w:pPr>
              <w:jc w:val="center"/>
              <w:rPr>
                <w:b/>
                <w:sz w:val="24"/>
              </w:rPr>
            </w:pPr>
            <w:r w:rsidRPr="00591778">
              <w:rPr>
                <w:b/>
                <w:sz w:val="24"/>
              </w:rPr>
              <w:t>Proposed Rate</w:t>
            </w:r>
          </w:p>
        </w:tc>
      </w:tr>
      <w:tr w:rsidR="00506059" w:rsidRPr="008A674C" w14:paraId="79075F56" w14:textId="77777777" w:rsidTr="00CB2361">
        <w:trPr>
          <w:jc w:val="center"/>
        </w:trPr>
        <w:tc>
          <w:tcPr>
            <w:tcW w:w="3450" w:type="dxa"/>
          </w:tcPr>
          <w:p w14:paraId="735B8EDF" w14:textId="77777777" w:rsidR="00506059" w:rsidRPr="00E25CDB" w:rsidRDefault="00C3706A" w:rsidP="00CB2361">
            <w:pPr>
              <w:pStyle w:val="Heading1"/>
              <w:jc w:val="left"/>
            </w:pPr>
            <w:r>
              <w:t>Base Charge</w:t>
            </w:r>
            <w:r w:rsidR="006A7C1B">
              <w:t xml:space="preserve"> </w:t>
            </w:r>
            <w:r w:rsidR="00CB2361">
              <w:rPr>
                <w:vertAlign w:val="superscript"/>
              </w:rPr>
              <w:t>*</w:t>
            </w:r>
          </w:p>
        </w:tc>
        <w:tc>
          <w:tcPr>
            <w:tcW w:w="1841" w:type="dxa"/>
            <w:vAlign w:val="center"/>
          </w:tcPr>
          <w:p w14:paraId="1A84F275" w14:textId="77777777" w:rsidR="00506059" w:rsidRPr="00E25CDB" w:rsidRDefault="00593DC5" w:rsidP="009D63C7">
            <w:pPr>
              <w:jc w:val="center"/>
              <w:rPr>
                <w:sz w:val="24"/>
              </w:rPr>
            </w:pPr>
            <w:r>
              <w:rPr>
                <w:sz w:val="24"/>
              </w:rPr>
              <w:t>$</w:t>
            </w:r>
            <w:r w:rsidR="00C3706A">
              <w:rPr>
                <w:sz w:val="24"/>
              </w:rPr>
              <w:t>23.00</w:t>
            </w:r>
          </w:p>
        </w:tc>
        <w:tc>
          <w:tcPr>
            <w:tcW w:w="2203" w:type="dxa"/>
            <w:vAlign w:val="center"/>
          </w:tcPr>
          <w:p w14:paraId="79562647" w14:textId="77777777" w:rsidR="00506059" w:rsidRPr="00E25CDB" w:rsidRDefault="00506059" w:rsidP="00CB2361">
            <w:pPr>
              <w:jc w:val="center"/>
              <w:rPr>
                <w:sz w:val="24"/>
              </w:rPr>
            </w:pPr>
            <w:r>
              <w:rPr>
                <w:sz w:val="24"/>
              </w:rPr>
              <w:t>$</w:t>
            </w:r>
            <w:r w:rsidR="00C3706A">
              <w:rPr>
                <w:sz w:val="24"/>
              </w:rPr>
              <w:t>30.00</w:t>
            </w:r>
          </w:p>
        </w:tc>
      </w:tr>
      <w:tr w:rsidR="00C3706A" w:rsidRPr="008A674C" w14:paraId="1813884D" w14:textId="77777777" w:rsidTr="00CB2361">
        <w:trPr>
          <w:jc w:val="center"/>
        </w:trPr>
        <w:tc>
          <w:tcPr>
            <w:tcW w:w="3450" w:type="dxa"/>
          </w:tcPr>
          <w:p w14:paraId="2AE155AA" w14:textId="77777777" w:rsidR="00C3706A" w:rsidRDefault="00C3706A" w:rsidP="00207407">
            <w:pPr>
              <w:pStyle w:val="Heading1"/>
              <w:jc w:val="left"/>
            </w:pPr>
            <w:r>
              <w:t>Block 1</w:t>
            </w:r>
            <w:r w:rsidR="006A7C1B">
              <w:t xml:space="preserve"> 0-950 cubic feet</w:t>
            </w:r>
          </w:p>
        </w:tc>
        <w:tc>
          <w:tcPr>
            <w:tcW w:w="1841" w:type="dxa"/>
            <w:vAlign w:val="center"/>
          </w:tcPr>
          <w:p w14:paraId="21A01222" w14:textId="77777777" w:rsidR="00C3706A" w:rsidRDefault="00C3706A" w:rsidP="009D63C7">
            <w:pPr>
              <w:jc w:val="center"/>
              <w:rPr>
                <w:sz w:val="24"/>
              </w:rPr>
            </w:pPr>
            <w:r>
              <w:rPr>
                <w:sz w:val="24"/>
              </w:rPr>
              <w:t>$3.30</w:t>
            </w:r>
          </w:p>
        </w:tc>
        <w:tc>
          <w:tcPr>
            <w:tcW w:w="2203" w:type="dxa"/>
            <w:vAlign w:val="center"/>
          </w:tcPr>
          <w:p w14:paraId="14E45EBF" w14:textId="77777777" w:rsidR="00C3706A" w:rsidRDefault="00C3706A" w:rsidP="00CB2361">
            <w:pPr>
              <w:jc w:val="center"/>
              <w:rPr>
                <w:sz w:val="24"/>
              </w:rPr>
            </w:pPr>
            <w:r>
              <w:rPr>
                <w:sz w:val="24"/>
              </w:rPr>
              <w:t>$</w:t>
            </w:r>
            <w:r w:rsidR="006A7C1B">
              <w:rPr>
                <w:sz w:val="24"/>
              </w:rPr>
              <w:t>3.50</w:t>
            </w:r>
          </w:p>
        </w:tc>
      </w:tr>
      <w:tr w:rsidR="00C3706A" w:rsidRPr="008A674C" w14:paraId="35683423" w14:textId="77777777" w:rsidTr="00CB2361">
        <w:trPr>
          <w:jc w:val="center"/>
        </w:trPr>
        <w:tc>
          <w:tcPr>
            <w:tcW w:w="3450" w:type="dxa"/>
          </w:tcPr>
          <w:p w14:paraId="4060AD51" w14:textId="77777777" w:rsidR="00C3706A" w:rsidRDefault="00C3706A" w:rsidP="00C3706A">
            <w:pPr>
              <w:pStyle w:val="Heading1"/>
              <w:jc w:val="left"/>
            </w:pPr>
            <w:r>
              <w:t>Block 2</w:t>
            </w:r>
            <w:r w:rsidR="006A7C1B">
              <w:t xml:space="preserve"> 951-2,200 cubic feet</w:t>
            </w:r>
          </w:p>
        </w:tc>
        <w:tc>
          <w:tcPr>
            <w:tcW w:w="1841" w:type="dxa"/>
            <w:vAlign w:val="center"/>
          </w:tcPr>
          <w:p w14:paraId="57E5D0DE" w14:textId="77777777" w:rsidR="00C3706A" w:rsidRDefault="00C3706A" w:rsidP="009D63C7">
            <w:pPr>
              <w:jc w:val="center"/>
              <w:rPr>
                <w:sz w:val="24"/>
              </w:rPr>
            </w:pPr>
            <w:r>
              <w:rPr>
                <w:sz w:val="24"/>
              </w:rPr>
              <w:t>$</w:t>
            </w:r>
            <w:r w:rsidR="006A7C1B">
              <w:rPr>
                <w:sz w:val="24"/>
              </w:rPr>
              <w:t>4.30</w:t>
            </w:r>
          </w:p>
        </w:tc>
        <w:tc>
          <w:tcPr>
            <w:tcW w:w="2203" w:type="dxa"/>
            <w:vAlign w:val="center"/>
          </w:tcPr>
          <w:p w14:paraId="268AC9B0" w14:textId="77777777" w:rsidR="00C3706A" w:rsidRDefault="00C3706A" w:rsidP="00CB2361">
            <w:pPr>
              <w:jc w:val="center"/>
              <w:rPr>
                <w:sz w:val="24"/>
              </w:rPr>
            </w:pPr>
            <w:r>
              <w:rPr>
                <w:sz w:val="24"/>
              </w:rPr>
              <w:t>$</w:t>
            </w:r>
            <w:r w:rsidR="006A7C1B">
              <w:rPr>
                <w:sz w:val="24"/>
              </w:rPr>
              <w:t>4.55</w:t>
            </w:r>
          </w:p>
        </w:tc>
      </w:tr>
      <w:tr w:rsidR="00C3706A" w:rsidRPr="008A674C" w14:paraId="62DD09A2" w14:textId="77777777" w:rsidTr="00CB2361">
        <w:trPr>
          <w:jc w:val="center"/>
        </w:trPr>
        <w:tc>
          <w:tcPr>
            <w:tcW w:w="3450" w:type="dxa"/>
          </w:tcPr>
          <w:p w14:paraId="79A4FC53" w14:textId="77777777" w:rsidR="00C3706A" w:rsidRDefault="00C3706A" w:rsidP="00C3706A">
            <w:pPr>
              <w:pStyle w:val="Heading1"/>
              <w:jc w:val="left"/>
            </w:pPr>
            <w:r>
              <w:t>Block 3</w:t>
            </w:r>
            <w:r w:rsidR="006A7C1B">
              <w:t xml:space="preserve"> &gt;2,200 cubic feet</w:t>
            </w:r>
          </w:p>
        </w:tc>
        <w:tc>
          <w:tcPr>
            <w:tcW w:w="1841" w:type="dxa"/>
            <w:vAlign w:val="center"/>
          </w:tcPr>
          <w:p w14:paraId="497105A5" w14:textId="77777777" w:rsidR="00C3706A" w:rsidRDefault="00C3706A" w:rsidP="009D63C7">
            <w:pPr>
              <w:jc w:val="center"/>
              <w:rPr>
                <w:sz w:val="24"/>
              </w:rPr>
            </w:pPr>
            <w:r>
              <w:rPr>
                <w:sz w:val="24"/>
              </w:rPr>
              <w:t>$</w:t>
            </w:r>
            <w:r w:rsidR="006A7C1B">
              <w:rPr>
                <w:sz w:val="24"/>
              </w:rPr>
              <w:t>7.30</w:t>
            </w:r>
          </w:p>
        </w:tc>
        <w:tc>
          <w:tcPr>
            <w:tcW w:w="2203" w:type="dxa"/>
            <w:vAlign w:val="center"/>
          </w:tcPr>
          <w:p w14:paraId="0FF270C6" w14:textId="77777777" w:rsidR="00C3706A" w:rsidRDefault="00C3706A" w:rsidP="00CB2361">
            <w:pPr>
              <w:jc w:val="center"/>
              <w:rPr>
                <w:sz w:val="24"/>
              </w:rPr>
            </w:pPr>
            <w:r>
              <w:rPr>
                <w:sz w:val="24"/>
              </w:rPr>
              <w:t>$</w:t>
            </w:r>
            <w:r w:rsidR="006A7C1B">
              <w:rPr>
                <w:sz w:val="24"/>
              </w:rPr>
              <w:t>7.75</w:t>
            </w:r>
          </w:p>
        </w:tc>
      </w:tr>
      <w:tr w:rsidR="006A7C1B" w:rsidRPr="008A674C" w14:paraId="2A9FF331" w14:textId="77777777" w:rsidTr="00CB2361">
        <w:trPr>
          <w:jc w:val="center"/>
        </w:trPr>
        <w:tc>
          <w:tcPr>
            <w:tcW w:w="3450" w:type="dxa"/>
          </w:tcPr>
          <w:p w14:paraId="54C78469" w14:textId="77777777" w:rsidR="006A7C1B" w:rsidRDefault="006A7C1B" w:rsidP="00C3706A">
            <w:pPr>
              <w:pStyle w:val="Heading1"/>
              <w:jc w:val="left"/>
            </w:pPr>
            <w:r>
              <w:t>Ready to Serve</w:t>
            </w:r>
          </w:p>
        </w:tc>
        <w:tc>
          <w:tcPr>
            <w:tcW w:w="1841" w:type="dxa"/>
            <w:vAlign w:val="center"/>
          </w:tcPr>
          <w:p w14:paraId="052F93F4" w14:textId="77777777" w:rsidR="006A7C1B" w:rsidRDefault="009B158B" w:rsidP="009D63C7">
            <w:pPr>
              <w:jc w:val="center"/>
              <w:rPr>
                <w:sz w:val="24"/>
              </w:rPr>
            </w:pPr>
            <w:r>
              <w:rPr>
                <w:sz w:val="24"/>
              </w:rPr>
              <w:t>$23.00</w:t>
            </w:r>
          </w:p>
        </w:tc>
        <w:tc>
          <w:tcPr>
            <w:tcW w:w="2203" w:type="dxa"/>
            <w:vAlign w:val="center"/>
          </w:tcPr>
          <w:p w14:paraId="0D4BA906" w14:textId="77777777" w:rsidR="006A7C1B" w:rsidRDefault="006A7C1B" w:rsidP="00CB2361">
            <w:pPr>
              <w:jc w:val="center"/>
              <w:rPr>
                <w:sz w:val="24"/>
              </w:rPr>
            </w:pPr>
            <w:r>
              <w:rPr>
                <w:sz w:val="24"/>
              </w:rPr>
              <w:t>$30.00</w:t>
            </w:r>
          </w:p>
        </w:tc>
      </w:tr>
      <w:tr w:rsidR="006A7C1B" w:rsidRPr="008A674C" w14:paraId="3F481666" w14:textId="77777777" w:rsidTr="00CB2361">
        <w:trPr>
          <w:jc w:val="center"/>
        </w:trPr>
        <w:tc>
          <w:tcPr>
            <w:tcW w:w="3450" w:type="dxa"/>
          </w:tcPr>
          <w:p w14:paraId="5541787D" w14:textId="77777777" w:rsidR="006A7C1B" w:rsidRDefault="006A7C1B" w:rsidP="00C3706A">
            <w:pPr>
              <w:pStyle w:val="Heading1"/>
              <w:jc w:val="left"/>
            </w:pPr>
            <w:r>
              <w:t>Flat Rate Service</w:t>
            </w:r>
          </w:p>
        </w:tc>
        <w:tc>
          <w:tcPr>
            <w:tcW w:w="1841" w:type="dxa"/>
            <w:vAlign w:val="center"/>
          </w:tcPr>
          <w:p w14:paraId="4BB83D82" w14:textId="77777777" w:rsidR="006A7C1B" w:rsidRDefault="009B158B" w:rsidP="009D63C7">
            <w:pPr>
              <w:jc w:val="center"/>
              <w:rPr>
                <w:sz w:val="24"/>
              </w:rPr>
            </w:pPr>
            <w:r>
              <w:rPr>
                <w:sz w:val="24"/>
              </w:rPr>
              <w:t>$51.00</w:t>
            </w:r>
          </w:p>
        </w:tc>
        <w:tc>
          <w:tcPr>
            <w:tcW w:w="2203" w:type="dxa"/>
            <w:vAlign w:val="center"/>
          </w:tcPr>
          <w:p w14:paraId="761C85DB" w14:textId="77777777" w:rsidR="006A7C1B" w:rsidRDefault="006A7C1B" w:rsidP="00CB2361">
            <w:pPr>
              <w:jc w:val="center"/>
              <w:rPr>
                <w:sz w:val="24"/>
              </w:rPr>
            </w:pPr>
            <w:r>
              <w:rPr>
                <w:sz w:val="24"/>
              </w:rPr>
              <w:t>$60.18</w:t>
            </w:r>
          </w:p>
        </w:tc>
      </w:tr>
      <w:tr w:rsidR="006A7C1B" w:rsidRPr="008A674C" w14:paraId="1302F57F" w14:textId="77777777" w:rsidTr="00CB2361">
        <w:trPr>
          <w:jc w:val="center"/>
        </w:trPr>
        <w:tc>
          <w:tcPr>
            <w:tcW w:w="3450" w:type="dxa"/>
          </w:tcPr>
          <w:p w14:paraId="4B901A00" w14:textId="77777777" w:rsidR="006A7C1B" w:rsidRDefault="006A7C1B" w:rsidP="00C3706A">
            <w:pPr>
              <w:pStyle w:val="Heading1"/>
              <w:jc w:val="left"/>
            </w:pPr>
            <w:r>
              <w:t>Fire Flow Rate</w:t>
            </w:r>
          </w:p>
        </w:tc>
        <w:tc>
          <w:tcPr>
            <w:tcW w:w="1841" w:type="dxa"/>
            <w:vAlign w:val="center"/>
          </w:tcPr>
          <w:p w14:paraId="72424EC2" w14:textId="77777777" w:rsidR="006A7C1B" w:rsidRDefault="009B158B" w:rsidP="009D63C7">
            <w:pPr>
              <w:jc w:val="center"/>
              <w:rPr>
                <w:sz w:val="24"/>
              </w:rPr>
            </w:pPr>
            <w:r>
              <w:rPr>
                <w:sz w:val="24"/>
              </w:rPr>
              <w:t>$110.00</w:t>
            </w:r>
          </w:p>
        </w:tc>
        <w:tc>
          <w:tcPr>
            <w:tcW w:w="2203" w:type="dxa"/>
            <w:vAlign w:val="center"/>
          </w:tcPr>
          <w:p w14:paraId="74D463BB" w14:textId="77777777" w:rsidR="006A7C1B" w:rsidRDefault="006A7C1B" w:rsidP="00CB2361">
            <w:pPr>
              <w:jc w:val="center"/>
              <w:rPr>
                <w:sz w:val="24"/>
              </w:rPr>
            </w:pPr>
            <w:r>
              <w:rPr>
                <w:sz w:val="24"/>
              </w:rPr>
              <w:t>$127.60</w:t>
            </w:r>
          </w:p>
        </w:tc>
      </w:tr>
    </w:tbl>
    <w:p w14:paraId="7390C6A6" w14:textId="77777777" w:rsidR="00E14CA6" w:rsidRDefault="00E14CA6" w:rsidP="00925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rPr>
      </w:pPr>
    </w:p>
    <w:p w14:paraId="1421D361" w14:textId="77777777" w:rsidR="00055B37" w:rsidRDefault="00CB2361" w:rsidP="00925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rPr>
      </w:pPr>
      <w:r w:rsidRPr="00CB2361">
        <w:rPr>
          <w:sz w:val="24"/>
        </w:rPr>
        <w:t>*</w:t>
      </w:r>
      <w:r w:rsidR="006A7C1B" w:rsidRPr="00CB2361">
        <w:rPr>
          <w:sz w:val="24"/>
        </w:rPr>
        <w:t xml:space="preserve"> </w:t>
      </w:r>
      <w:r w:rsidRPr="00CB2361">
        <w:rPr>
          <w:sz w:val="24"/>
        </w:rPr>
        <w:t xml:space="preserve">for ¾ connection; </w:t>
      </w:r>
      <w:r w:rsidR="006A7C1B" w:rsidRPr="00CB2361">
        <w:rPr>
          <w:sz w:val="24"/>
        </w:rPr>
        <w:t>other base rates available in tariff.</w:t>
      </w:r>
    </w:p>
    <w:p w14:paraId="70B6FA7D" w14:textId="77777777" w:rsidR="006A7C1B" w:rsidRDefault="006A7C1B" w:rsidP="00925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rPr>
      </w:pPr>
    </w:p>
    <w:p w14:paraId="36B48DD7" w14:textId="77777777" w:rsidR="00A32C86" w:rsidRDefault="00A32C86" w:rsidP="008434A7">
      <w:pPr>
        <w:widowControl/>
        <w:autoSpaceDE/>
        <w:autoSpaceDN/>
        <w:adjustRightInd/>
        <w:jc w:val="center"/>
        <w:rPr>
          <w:rFonts w:eastAsia="Calibri"/>
          <w:b/>
          <w:sz w:val="24"/>
          <w:u w:val="single"/>
          <w:lang w:bidi="en-US"/>
        </w:rPr>
      </w:pPr>
    </w:p>
    <w:p w14:paraId="47B23178" w14:textId="77777777" w:rsidR="00A32C86" w:rsidRDefault="00A32C86" w:rsidP="008434A7">
      <w:pPr>
        <w:widowControl/>
        <w:autoSpaceDE/>
        <w:autoSpaceDN/>
        <w:adjustRightInd/>
        <w:jc w:val="center"/>
        <w:rPr>
          <w:rFonts w:eastAsia="Calibri"/>
          <w:b/>
          <w:sz w:val="24"/>
          <w:u w:val="single"/>
          <w:lang w:bidi="en-US"/>
        </w:rPr>
      </w:pPr>
    </w:p>
    <w:p w14:paraId="1A20A38F" w14:textId="77777777" w:rsidR="008434A7" w:rsidRDefault="008434A7" w:rsidP="008434A7">
      <w:pPr>
        <w:widowControl/>
        <w:autoSpaceDE/>
        <w:autoSpaceDN/>
        <w:adjustRightInd/>
        <w:jc w:val="center"/>
        <w:rPr>
          <w:rFonts w:eastAsia="Calibri"/>
          <w:b/>
          <w:sz w:val="24"/>
          <w:u w:val="single"/>
          <w:lang w:bidi="en-US"/>
        </w:rPr>
      </w:pPr>
      <w:r w:rsidRPr="008434A7">
        <w:rPr>
          <w:rFonts w:eastAsia="Calibri"/>
          <w:b/>
          <w:sz w:val="24"/>
          <w:u w:val="single"/>
          <w:lang w:bidi="en-US"/>
        </w:rPr>
        <w:t>Average Monthly Bill Comparison</w:t>
      </w:r>
    </w:p>
    <w:tbl>
      <w:tblPr>
        <w:tblpPr w:leftFromText="180" w:rightFromText="180" w:vertAnchor="text" w:horzAnchor="margin" w:tblpXSpec="center" w:tblpY="178"/>
        <w:tblW w:w="7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5"/>
        <w:gridCol w:w="1787"/>
        <w:gridCol w:w="2161"/>
      </w:tblGrid>
      <w:tr w:rsidR="0032605E" w:rsidRPr="008434A7" w14:paraId="594BC55D" w14:textId="77777777" w:rsidTr="004C1D9F">
        <w:tc>
          <w:tcPr>
            <w:tcW w:w="4045" w:type="dxa"/>
            <w:tcBorders>
              <w:top w:val="single" w:sz="4" w:space="0" w:color="auto"/>
              <w:left w:val="single" w:sz="4" w:space="0" w:color="auto"/>
              <w:bottom w:val="single" w:sz="4" w:space="0" w:color="auto"/>
              <w:right w:val="single" w:sz="4" w:space="0" w:color="auto"/>
            </w:tcBorders>
          </w:tcPr>
          <w:p w14:paraId="712F6C0E" w14:textId="77777777" w:rsidR="0032605E" w:rsidRPr="008434A7" w:rsidRDefault="0032605E" w:rsidP="00D6315F">
            <w:pPr>
              <w:widowControl/>
              <w:autoSpaceDE/>
              <w:autoSpaceDN/>
              <w:adjustRightInd/>
              <w:rPr>
                <w:rFonts w:eastAsia="Calibri"/>
                <w:sz w:val="24"/>
                <w:lang w:bidi="en-US"/>
              </w:rPr>
            </w:pPr>
            <w:r w:rsidRPr="008434A7">
              <w:rPr>
                <w:rFonts w:eastAsia="Calibri"/>
                <w:sz w:val="24"/>
                <w:lang w:bidi="en-US"/>
              </w:rPr>
              <w:t>Average Monthly Usage</w:t>
            </w:r>
          </w:p>
          <w:p w14:paraId="43513D63" w14:textId="77777777" w:rsidR="0032605E" w:rsidRPr="008434A7" w:rsidRDefault="00C3706A" w:rsidP="00650C66">
            <w:pPr>
              <w:widowControl/>
              <w:autoSpaceDE/>
              <w:autoSpaceDN/>
              <w:adjustRightInd/>
              <w:rPr>
                <w:rFonts w:eastAsia="Calibri"/>
                <w:sz w:val="24"/>
                <w:lang w:bidi="en-US"/>
              </w:rPr>
            </w:pPr>
            <w:r>
              <w:rPr>
                <w:rFonts w:eastAsia="Calibri"/>
                <w:sz w:val="24"/>
                <w:lang w:bidi="en-US"/>
              </w:rPr>
              <w:t>732</w:t>
            </w:r>
            <w:r w:rsidR="0032605E">
              <w:rPr>
                <w:rFonts w:eastAsia="Calibri"/>
                <w:sz w:val="24"/>
                <w:lang w:bidi="en-US"/>
              </w:rPr>
              <w:t xml:space="preserve"> cubic feet</w:t>
            </w:r>
            <w:r w:rsidR="00471E8C">
              <w:rPr>
                <w:rFonts w:eastAsia="Calibri"/>
                <w:sz w:val="24"/>
                <w:lang w:bidi="en-US"/>
              </w:rPr>
              <w:t xml:space="preserve"> </w:t>
            </w:r>
          </w:p>
        </w:tc>
        <w:tc>
          <w:tcPr>
            <w:tcW w:w="1787" w:type="dxa"/>
            <w:tcBorders>
              <w:top w:val="single" w:sz="4" w:space="0" w:color="auto"/>
              <w:left w:val="single" w:sz="4" w:space="0" w:color="auto"/>
              <w:bottom w:val="single" w:sz="4" w:space="0" w:color="auto"/>
              <w:right w:val="single" w:sz="4" w:space="0" w:color="auto"/>
            </w:tcBorders>
          </w:tcPr>
          <w:p w14:paraId="1EACD2D0" w14:textId="77777777" w:rsidR="0032605E" w:rsidRPr="008434A7" w:rsidRDefault="0032605E" w:rsidP="00D6315F">
            <w:pPr>
              <w:widowControl/>
              <w:autoSpaceDE/>
              <w:autoSpaceDN/>
              <w:adjustRightInd/>
              <w:jc w:val="center"/>
              <w:rPr>
                <w:rFonts w:eastAsia="Calibri"/>
                <w:sz w:val="24"/>
                <w:lang w:bidi="en-US"/>
              </w:rPr>
            </w:pPr>
            <w:r w:rsidRPr="008434A7">
              <w:rPr>
                <w:rFonts w:eastAsia="Calibri"/>
                <w:sz w:val="24"/>
                <w:lang w:bidi="en-US"/>
              </w:rPr>
              <w:t>Current Rate</w:t>
            </w:r>
          </w:p>
        </w:tc>
        <w:tc>
          <w:tcPr>
            <w:tcW w:w="2161" w:type="dxa"/>
            <w:tcBorders>
              <w:top w:val="single" w:sz="4" w:space="0" w:color="auto"/>
              <w:left w:val="single" w:sz="4" w:space="0" w:color="auto"/>
              <w:bottom w:val="single" w:sz="4" w:space="0" w:color="auto"/>
              <w:right w:val="single" w:sz="4" w:space="0" w:color="auto"/>
            </w:tcBorders>
          </w:tcPr>
          <w:p w14:paraId="672032DA" w14:textId="77777777" w:rsidR="0032605E" w:rsidRPr="008434A7" w:rsidRDefault="0032605E" w:rsidP="00D6315F">
            <w:pPr>
              <w:widowControl/>
              <w:autoSpaceDE/>
              <w:autoSpaceDN/>
              <w:adjustRightInd/>
              <w:jc w:val="center"/>
              <w:rPr>
                <w:rFonts w:eastAsia="Calibri"/>
                <w:sz w:val="24"/>
                <w:lang w:bidi="en-US"/>
              </w:rPr>
            </w:pPr>
            <w:r w:rsidRPr="008434A7">
              <w:rPr>
                <w:rFonts w:eastAsia="Calibri"/>
                <w:sz w:val="24"/>
                <w:lang w:bidi="en-US"/>
              </w:rPr>
              <w:t>Proposed Rate</w:t>
            </w:r>
          </w:p>
        </w:tc>
      </w:tr>
      <w:tr w:rsidR="0032605E" w:rsidRPr="008434A7" w14:paraId="6F658827" w14:textId="77777777" w:rsidTr="004C1D9F">
        <w:tc>
          <w:tcPr>
            <w:tcW w:w="4045" w:type="dxa"/>
            <w:tcBorders>
              <w:top w:val="single" w:sz="4" w:space="0" w:color="auto"/>
              <w:left w:val="single" w:sz="4" w:space="0" w:color="auto"/>
              <w:bottom w:val="single" w:sz="4" w:space="0" w:color="auto"/>
              <w:right w:val="single" w:sz="4" w:space="0" w:color="auto"/>
            </w:tcBorders>
          </w:tcPr>
          <w:p w14:paraId="4ADF5767" w14:textId="77777777" w:rsidR="0032605E" w:rsidRPr="008434A7" w:rsidRDefault="0032605E" w:rsidP="00D6315F">
            <w:pPr>
              <w:widowControl/>
              <w:autoSpaceDE/>
              <w:autoSpaceDN/>
              <w:adjustRightInd/>
              <w:rPr>
                <w:rFonts w:eastAsia="Calibri"/>
                <w:sz w:val="24"/>
                <w:lang w:bidi="en-US"/>
              </w:rPr>
            </w:pPr>
            <w:r w:rsidRPr="008434A7">
              <w:rPr>
                <w:rFonts w:eastAsia="Calibri"/>
                <w:sz w:val="24"/>
                <w:lang w:bidi="en-US"/>
              </w:rPr>
              <w:t>Base Charge – zero Allowance</w:t>
            </w:r>
          </w:p>
        </w:tc>
        <w:tc>
          <w:tcPr>
            <w:tcW w:w="1787" w:type="dxa"/>
            <w:tcBorders>
              <w:top w:val="single" w:sz="4" w:space="0" w:color="auto"/>
              <w:left w:val="single" w:sz="4" w:space="0" w:color="auto"/>
              <w:bottom w:val="single" w:sz="4" w:space="0" w:color="auto"/>
              <w:right w:val="single" w:sz="4" w:space="0" w:color="auto"/>
            </w:tcBorders>
          </w:tcPr>
          <w:p w14:paraId="7528E35B" w14:textId="77777777" w:rsidR="0032605E" w:rsidRPr="008434A7" w:rsidRDefault="0032605E" w:rsidP="00212390">
            <w:pPr>
              <w:widowControl/>
              <w:autoSpaceDE/>
              <w:autoSpaceDN/>
              <w:adjustRightInd/>
              <w:jc w:val="center"/>
              <w:rPr>
                <w:rFonts w:eastAsia="Calibri"/>
                <w:sz w:val="24"/>
                <w:lang w:bidi="en-US"/>
              </w:rPr>
            </w:pPr>
            <w:r w:rsidRPr="008434A7">
              <w:rPr>
                <w:rFonts w:eastAsia="Calibri"/>
                <w:sz w:val="24"/>
                <w:lang w:bidi="en-US"/>
              </w:rPr>
              <w:t>$2</w:t>
            </w:r>
            <w:r w:rsidR="00212390">
              <w:rPr>
                <w:rFonts w:eastAsia="Calibri"/>
                <w:sz w:val="24"/>
                <w:lang w:bidi="en-US"/>
              </w:rPr>
              <w:t>3</w:t>
            </w:r>
            <w:r w:rsidRPr="008434A7">
              <w:rPr>
                <w:rFonts w:eastAsia="Calibri"/>
                <w:sz w:val="24"/>
                <w:lang w:bidi="en-US"/>
              </w:rPr>
              <w:t>.00</w:t>
            </w:r>
          </w:p>
        </w:tc>
        <w:tc>
          <w:tcPr>
            <w:tcW w:w="2161" w:type="dxa"/>
            <w:tcBorders>
              <w:top w:val="single" w:sz="4" w:space="0" w:color="auto"/>
              <w:left w:val="single" w:sz="4" w:space="0" w:color="auto"/>
              <w:bottom w:val="single" w:sz="4" w:space="0" w:color="auto"/>
              <w:right w:val="single" w:sz="4" w:space="0" w:color="auto"/>
            </w:tcBorders>
          </w:tcPr>
          <w:p w14:paraId="3CA70B33" w14:textId="77777777" w:rsidR="0032605E" w:rsidRPr="008434A7" w:rsidRDefault="0032605E" w:rsidP="004B345C">
            <w:pPr>
              <w:widowControl/>
              <w:autoSpaceDE/>
              <w:autoSpaceDN/>
              <w:adjustRightInd/>
              <w:jc w:val="center"/>
              <w:rPr>
                <w:rFonts w:eastAsia="Calibri"/>
                <w:sz w:val="24"/>
                <w:lang w:bidi="en-US"/>
              </w:rPr>
            </w:pPr>
            <w:r w:rsidRPr="008434A7">
              <w:rPr>
                <w:rFonts w:eastAsia="Calibri"/>
                <w:sz w:val="24"/>
                <w:lang w:bidi="en-US"/>
              </w:rPr>
              <w:t>$</w:t>
            </w:r>
            <w:r w:rsidR="004B345C">
              <w:rPr>
                <w:rFonts w:eastAsia="Calibri"/>
                <w:sz w:val="24"/>
                <w:lang w:bidi="en-US"/>
              </w:rPr>
              <w:t>30</w:t>
            </w:r>
            <w:r w:rsidRPr="008434A7">
              <w:rPr>
                <w:rFonts w:eastAsia="Calibri"/>
                <w:sz w:val="24"/>
                <w:lang w:bidi="en-US"/>
              </w:rPr>
              <w:t>.00</w:t>
            </w:r>
          </w:p>
        </w:tc>
      </w:tr>
      <w:tr w:rsidR="00C3706A" w:rsidRPr="008434A7" w14:paraId="2966735C" w14:textId="77777777" w:rsidTr="004C1D9F">
        <w:tc>
          <w:tcPr>
            <w:tcW w:w="4045" w:type="dxa"/>
            <w:tcBorders>
              <w:top w:val="single" w:sz="4" w:space="0" w:color="auto"/>
              <w:left w:val="single" w:sz="4" w:space="0" w:color="auto"/>
              <w:bottom w:val="single" w:sz="4" w:space="0" w:color="auto"/>
              <w:right w:val="single" w:sz="4" w:space="0" w:color="auto"/>
            </w:tcBorders>
          </w:tcPr>
          <w:p w14:paraId="25253E33" w14:textId="77777777" w:rsidR="00C3706A" w:rsidRPr="008434A7" w:rsidRDefault="00C3706A" w:rsidP="00D6315F">
            <w:pPr>
              <w:widowControl/>
              <w:autoSpaceDE/>
              <w:autoSpaceDN/>
              <w:adjustRightInd/>
              <w:rPr>
                <w:rFonts w:eastAsia="Calibri"/>
                <w:sz w:val="24"/>
                <w:lang w:bidi="en-US"/>
              </w:rPr>
            </w:pPr>
            <w:r>
              <w:rPr>
                <w:rFonts w:eastAsia="Calibri"/>
                <w:sz w:val="24"/>
                <w:lang w:bidi="en-US"/>
              </w:rPr>
              <w:t>732  cubic feet</w:t>
            </w:r>
            <w:r w:rsidRPr="008434A7">
              <w:rPr>
                <w:rFonts w:eastAsia="Calibri"/>
                <w:sz w:val="24"/>
                <w:lang w:bidi="en-US"/>
              </w:rPr>
              <w:t xml:space="preserve"> water usage</w:t>
            </w:r>
          </w:p>
        </w:tc>
        <w:tc>
          <w:tcPr>
            <w:tcW w:w="1787" w:type="dxa"/>
            <w:tcBorders>
              <w:top w:val="single" w:sz="4" w:space="0" w:color="auto"/>
              <w:left w:val="single" w:sz="4" w:space="0" w:color="auto"/>
              <w:bottom w:val="single" w:sz="4" w:space="0" w:color="auto"/>
              <w:right w:val="single" w:sz="4" w:space="0" w:color="auto"/>
            </w:tcBorders>
          </w:tcPr>
          <w:p w14:paraId="20CFF216" w14:textId="77777777" w:rsidR="00C3706A" w:rsidRPr="003B1012" w:rsidRDefault="00C3706A" w:rsidP="00C3706A">
            <w:pPr>
              <w:widowControl/>
              <w:autoSpaceDE/>
              <w:autoSpaceDN/>
              <w:adjustRightInd/>
              <w:jc w:val="center"/>
              <w:rPr>
                <w:rFonts w:eastAsia="Calibri"/>
                <w:sz w:val="24"/>
                <w:lang w:bidi="en-US"/>
              </w:rPr>
            </w:pPr>
            <w:r w:rsidRPr="003B1012">
              <w:rPr>
                <w:rFonts w:eastAsia="Calibri"/>
                <w:sz w:val="24"/>
                <w:lang w:bidi="en-US"/>
              </w:rPr>
              <w:t>$24.16</w:t>
            </w:r>
          </w:p>
        </w:tc>
        <w:tc>
          <w:tcPr>
            <w:tcW w:w="2161" w:type="dxa"/>
            <w:tcBorders>
              <w:top w:val="single" w:sz="4" w:space="0" w:color="auto"/>
              <w:left w:val="single" w:sz="4" w:space="0" w:color="auto"/>
              <w:bottom w:val="single" w:sz="4" w:space="0" w:color="auto"/>
              <w:right w:val="single" w:sz="4" w:space="0" w:color="auto"/>
            </w:tcBorders>
          </w:tcPr>
          <w:p w14:paraId="6486FB60" w14:textId="77777777" w:rsidR="00C3706A" w:rsidRPr="008434A7" w:rsidRDefault="00C3706A" w:rsidP="00C3706A">
            <w:pPr>
              <w:widowControl/>
              <w:autoSpaceDE/>
              <w:autoSpaceDN/>
              <w:adjustRightInd/>
              <w:jc w:val="center"/>
              <w:rPr>
                <w:rFonts w:eastAsia="Calibri"/>
                <w:sz w:val="24"/>
                <w:lang w:bidi="en-US"/>
              </w:rPr>
            </w:pPr>
            <w:r w:rsidRPr="008434A7">
              <w:rPr>
                <w:rFonts w:eastAsia="Calibri"/>
                <w:sz w:val="24"/>
                <w:lang w:bidi="en-US"/>
              </w:rPr>
              <w:t>$</w:t>
            </w:r>
            <w:r>
              <w:rPr>
                <w:rFonts w:eastAsia="Calibri"/>
                <w:sz w:val="24"/>
                <w:lang w:bidi="en-US"/>
              </w:rPr>
              <w:t>25.62</w:t>
            </w:r>
          </w:p>
        </w:tc>
      </w:tr>
      <w:tr w:rsidR="00C3706A" w:rsidRPr="008434A7" w14:paraId="40BEAFBD" w14:textId="77777777" w:rsidTr="004C1D9F">
        <w:tc>
          <w:tcPr>
            <w:tcW w:w="4045" w:type="dxa"/>
            <w:tcBorders>
              <w:top w:val="single" w:sz="4" w:space="0" w:color="auto"/>
              <w:left w:val="single" w:sz="4" w:space="0" w:color="auto"/>
              <w:bottom w:val="single" w:sz="4" w:space="0" w:color="auto"/>
              <w:right w:val="single" w:sz="4" w:space="0" w:color="auto"/>
            </w:tcBorders>
          </w:tcPr>
          <w:p w14:paraId="5A644FF6" w14:textId="77777777" w:rsidR="00C3706A" w:rsidRPr="008434A7" w:rsidRDefault="00C3706A" w:rsidP="00D6315F">
            <w:pPr>
              <w:widowControl/>
              <w:autoSpaceDE/>
              <w:autoSpaceDN/>
              <w:adjustRightInd/>
              <w:rPr>
                <w:rFonts w:eastAsia="Calibri"/>
                <w:sz w:val="24"/>
                <w:lang w:bidi="en-US"/>
              </w:rPr>
            </w:pPr>
            <w:r w:rsidRPr="008434A7">
              <w:rPr>
                <w:rFonts w:eastAsia="Calibri"/>
                <w:sz w:val="24"/>
                <w:lang w:bidi="en-US"/>
              </w:rPr>
              <w:t>Average Monthly Bill</w:t>
            </w:r>
          </w:p>
        </w:tc>
        <w:tc>
          <w:tcPr>
            <w:tcW w:w="1787" w:type="dxa"/>
            <w:tcBorders>
              <w:top w:val="single" w:sz="4" w:space="0" w:color="auto"/>
              <w:left w:val="single" w:sz="4" w:space="0" w:color="auto"/>
              <w:bottom w:val="single" w:sz="4" w:space="0" w:color="auto"/>
              <w:right w:val="single" w:sz="4" w:space="0" w:color="auto"/>
            </w:tcBorders>
          </w:tcPr>
          <w:p w14:paraId="555C6B67" w14:textId="77777777" w:rsidR="00C3706A" w:rsidRPr="008434A7" w:rsidRDefault="00C3706A" w:rsidP="00C3706A">
            <w:pPr>
              <w:widowControl/>
              <w:autoSpaceDE/>
              <w:autoSpaceDN/>
              <w:adjustRightInd/>
              <w:jc w:val="center"/>
              <w:rPr>
                <w:rFonts w:eastAsia="Calibri"/>
                <w:sz w:val="24"/>
                <w:lang w:bidi="en-US"/>
              </w:rPr>
            </w:pPr>
            <w:r w:rsidRPr="008434A7">
              <w:rPr>
                <w:rFonts w:eastAsia="Calibri"/>
                <w:sz w:val="24"/>
                <w:lang w:bidi="en-US"/>
              </w:rPr>
              <w:t>$</w:t>
            </w:r>
            <w:r>
              <w:rPr>
                <w:rFonts w:eastAsia="Calibri"/>
                <w:sz w:val="24"/>
                <w:lang w:bidi="en-US"/>
              </w:rPr>
              <w:t>47.16</w:t>
            </w:r>
          </w:p>
        </w:tc>
        <w:tc>
          <w:tcPr>
            <w:tcW w:w="2161" w:type="dxa"/>
            <w:tcBorders>
              <w:top w:val="single" w:sz="4" w:space="0" w:color="auto"/>
              <w:left w:val="single" w:sz="4" w:space="0" w:color="auto"/>
              <w:bottom w:val="single" w:sz="4" w:space="0" w:color="auto"/>
              <w:right w:val="single" w:sz="4" w:space="0" w:color="auto"/>
            </w:tcBorders>
          </w:tcPr>
          <w:p w14:paraId="559142DB" w14:textId="77777777" w:rsidR="00C3706A" w:rsidRPr="008434A7" w:rsidRDefault="00C3706A" w:rsidP="00C3706A">
            <w:pPr>
              <w:widowControl/>
              <w:autoSpaceDE/>
              <w:autoSpaceDN/>
              <w:adjustRightInd/>
              <w:jc w:val="center"/>
              <w:rPr>
                <w:rFonts w:eastAsia="Calibri"/>
                <w:sz w:val="24"/>
                <w:lang w:bidi="en-US"/>
              </w:rPr>
            </w:pPr>
            <w:r>
              <w:rPr>
                <w:rFonts w:eastAsia="Calibri"/>
                <w:sz w:val="24"/>
                <w:lang w:bidi="en-US"/>
              </w:rPr>
              <w:t>$55.62</w:t>
            </w:r>
          </w:p>
        </w:tc>
      </w:tr>
      <w:tr w:rsidR="00C3706A" w:rsidRPr="008434A7" w14:paraId="32FC59C4" w14:textId="77777777" w:rsidTr="004C1D9F">
        <w:tc>
          <w:tcPr>
            <w:tcW w:w="4045" w:type="dxa"/>
            <w:vAlign w:val="bottom"/>
          </w:tcPr>
          <w:p w14:paraId="6E68B9E1" w14:textId="77777777" w:rsidR="00C3706A" w:rsidRPr="008434A7" w:rsidRDefault="00C3706A" w:rsidP="00D6315F">
            <w:pPr>
              <w:widowControl/>
              <w:autoSpaceDE/>
              <w:autoSpaceDN/>
              <w:adjustRightInd/>
              <w:rPr>
                <w:rFonts w:eastAsia="Calibri"/>
                <w:sz w:val="24"/>
                <w:lang w:bidi="en-US"/>
              </w:rPr>
            </w:pPr>
            <w:r>
              <w:rPr>
                <w:rFonts w:eastAsia="Calibri"/>
                <w:sz w:val="24"/>
                <w:lang w:bidi="en-US"/>
              </w:rPr>
              <w:t>SRF Surcharge</w:t>
            </w:r>
          </w:p>
        </w:tc>
        <w:tc>
          <w:tcPr>
            <w:tcW w:w="1787" w:type="dxa"/>
            <w:tcBorders>
              <w:top w:val="single" w:sz="4" w:space="0" w:color="auto"/>
              <w:bottom w:val="single" w:sz="4" w:space="0" w:color="auto"/>
            </w:tcBorders>
            <w:vAlign w:val="bottom"/>
          </w:tcPr>
          <w:p w14:paraId="42AFCCDF" w14:textId="77777777" w:rsidR="00C3706A" w:rsidRPr="008434A7" w:rsidRDefault="00C3706A" w:rsidP="00C3706A">
            <w:pPr>
              <w:widowControl/>
              <w:autoSpaceDE/>
              <w:autoSpaceDN/>
              <w:adjustRightInd/>
              <w:jc w:val="center"/>
              <w:rPr>
                <w:rFonts w:eastAsia="Calibri"/>
                <w:sz w:val="24"/>
                <w:lang w:bidi="en-US"/>
              </w:rPr>
            </w:pPr>
            <w:r>
              <w:rPr>
                <w:rFonts w:eastAsia="Calibri"/>
                <w:sz w:val="24"/>
                <w:lang w:bidi="en-US"/>
              </w:rPr>
              <w:t>$4.14</w:t>
            </w:r>
          </w:p>
        </w:tc>
        <w:tc>
          <w:tcPr>
            <w:tcW w:w="2161" w:type="dxa"/>
            <w:tcBorders>
              <w:top w:val="single" w:sz="4" w:space="0" w:color="auto"/>
              <w:bottom w:val="single" w:sz="4" w:space="0" w:color="auto"/>
            </w:tcBorders>
            <w:vAlign w:val="bottom"/>
          </w:tcPr>
          <w:p w14:paraId="6D5362A6" w14:textId="77777777" w:rsidR="00C3706A" w:rsidRPr="008434A7" w:rsidRDefault="00C3706A" w:rsidP="00212390">
            <w:pPr>
              <w:widowControl/>
              <w:autoSpaceDE/>
              <w:autoSpaceDN/>
              <w:adjustRightInd/>
              <w:jc w:val="center"/>
              <w:rPr>
                <w:rFonts w:eastAsia="Calibri"/>
                <w:sz w:val="24"/>
                <w:lang w:bidi="en-US"/>
              </w:rPr>
            </w:pPr>
            <w:r>
              <w:rPr>
                <w:rFonts w:eastAsia="Calibri"/>
                <w:sz w:val="24"/>
                <w:lang w:bidi="en-US"/>
              </w:rPr>
              <w:t xml:space="preserve"> $4.14</w:t>
            </w:r>
          </w:p>
        </w:tc>
      </w:tr>
      <w:tr w:rsidR="00C3706A" w:rsidRPr="008434A7" w14:paraId="4D079D0F" w14:textId="77777777" w:rsidTr="004C1D9F">
        <w:tblPrEx>
          <w:tblLook w:val="01E0" w:firstRow="1" w:lastRow="1" w:firstColumn="1" w:lastColumn="1" w:noHBand="0" w:noVBand="0"/>
        </w:tblPrEx>
        <w:tc>
          <w:tcPr>
            <w:tcW w:w="4045" w:type="dxa"/>
          </w:tcPr>
          <w:p w14:paraId="160C7791" w14:textId="77777777" w:rsidR="00C3706A" w:rsidRPr="008434A7" w:rsidRDefault="00C3706A" w:rsidP="00D6315F">
            <w:pPr>
              <w:widowControl/>
              <w:autoSpaceDE/>
              <w:autoSpaceDN/>
              <w:adjustRightInd/>
              <w:rPr>
                <w:rFonts w:eastAsia="Calibri"/>
                <w:sz w:val="24"/>
                <w:lang w:bidi="en-US"/>
              </w:rPr>
            </w:pPr>
            <w:r w:rsidRPr="008434A7">
              <w:rPr>
                <w:rFonts w:eastAsia="Calibri"/>
                <w:sz w:val="24"/>
                <w:lang w:bidi="en-US"/>
              </w:rPr>
              <w:t>Average Monthly Bill</w:t>
            </w:r>
          </w:p>
        </w:tc>
        <w:tc>
          <w:tcPr>
            <w:tcW w:w="1787" w:type="dxa"/>
            <w:tcBorders>
              <w:top w:val="single" w:sz="4" w:space="0" w:color="auto"/>
              <w:bottom w:val="single" w:sz="4" w:space="0" w:color="auto"/>
            </w:tcBorders>
          </w:tcPr>
          <w:p w14:paraId="7753B476" w14:textId="77777777" w:rsidR="00C3706A" w:rsidRPr="008434A7" w:rsidRDefault="00C3706A" w:rsidP="00C3706A">
            <w:pPr>
              <w:widowControl/>
              <w:autoSpaceDE/>
              <w:autoSpaceDN/>
              <w:adjustRightInd/>
              <w:jc w:val="center"/>
              <w:rPr>
                <w:rFonts w:eastAsia="Calibri"/>
                <w:sz w:val="24"/>
                <w:lang w:bidi="en-US"/>
              </w:rPr>
            </w:pPr>
            <w:r w:rsidRPr="008434A7">
              <w:rPr>
                <w:rFonts w:eastAsia="Calibri"/>
                <w:sz w:val="24"/>
                <w:lang w:bidi="en-US"/>
              </w:rPr>
              <w:t>$</w:t>
            </w:r>
            <w:r>
              <w:rPr>
                <w:rFonts w:eastAsia="Calibri"/>
                <w:sz w:val="24"/>
                <w:lang w:bidi="en-US"/>
              </w:rPr>
              <w:t>51.30</w:t>
            </w:r>
          </w:p>
        </w:tc>
        <w:tc>
          <w:tcPr>
            <w:tcW w:w="2161" w:type="dxa"/>
            <w:tcBorders>
              <w:top w:val="single" w:sz="4" w:space="0" w:color="auto"/>
              <w:bottom w:val="single" w:sz="4" w:space="0" w:color="auto"/>
            </w:tcBorders>
          </w:tcPr>
          <w:p w14:paraId="613F1B4F" w14:textId="77777777" w:rsidR="00C3706A" w:rsidRDefault="00C3706A" w:rsidP="00C3706A">
            <w:pPr>
              <w:widowControl/>
              <w:autoSpaceDE/>
              <w:autoSpaceDN/>
              <w:adjustRightInd/>
              <w:jc w:val="center"/>
              <w:rPr>
                <w:rFonts w:eastAsia="Calibri"/>
                <w:sz w:val="24"/>
                <w:lang w:bidi="en-US"/>
              </w:rPr>
            </w:pPr>
            <w:r>
              <w:rPr>
                <w:rFonts w:eastAsia="Calibri"/>
                <w:sz w:val="24"/>
                <w:lang w:bidi="en-US"/>
              </w:rPr>
              <w:t>$59.76</w:t>
            </w:r>
          </w:p>
        </w:tc>
      </w:tr>
      <w:tr w:rsidR="00C3706A" w:rsidRPr="008434A7" w14:paraId="618F6BE5" w14:textId="77777777" w:rsidTr="004C1D9F">
        <w:tblPrEx>
          <w:tblLook w:val="01E0" w:firstRow="1" w:lastRow="1" w:firstColumn="1" w:lastColumn="1" w:noHBand="0" w:noVBand="0"/>
        </w:tblPrEx>
        <w:tc>
          <w:tcPr>
            <w:tcW w:w="4045" w:type="dxa"/>
            <w:vAlign w:val="bottom"/>
          </w:tcPr>
          <w:p w14:paraId="38212FDA" w14:textId="0323991D" w:rsidR="00C3706A" w:rsidRPr="008434A7" w:rsidRDefault="00C3706A" w:rsidP="00212390">
            <w:pPr>
              <w:widowControl/>
              <w:autoSpaceDE/>
              <w:autoSpaceDN/>
              <w:adjustRightInd/>
              <w:rPr>
                <w:rFonts w:eastAsia="Calibri"/>
                <w:sz w:val="24"/>
                <w:lang w:bidi="en-US"/>
              </w:rPr>
            </w:pPr>
            <w:r w:rsidRPr="008434A7">
              <w:rPr>
                <w:rFonts w:eastAsia="Calibri"/>
                <w:sz w:val="24"/>
                <w:lang w:bidi="en-US"/>
              </w:rPr>
              <w:t>Increase From Current Rates</w:t>
            </w:r>
            <w:r>
              <w:rPr>
                <w:rFonts w:eastAsia="Calibri"/>
                <w:sz w:val="24"/>
                <w:lang w:bidi="en-US"/>
              </w:rPr>
              <w:t xml:space="preserve"> </w:t>
            </w:r>
          </w:p>
        </w:tc>
        <w:tc>
          <w:tcPr>
            <w:tcW w:w="1787" w:type="dxa"/>
            <w:tcBorders>
              <w:top w:val="single" w:sz="4" w:space="0" w:color="auto"/>
              <w:bottom w:val="single" w:sz="4" w:space="0" w:color="auto"/>
            </w:tcBorders>
            <w:vAlign w:val="bottom"/>
          </w:tcPr>
          <w:p w14:paraId="6C358B25" w14:textId="77777777" w:rsidR="00C3706A" w:rsidRPr="008434A7" w:rsidRDefault="00C3706A" w:rsidP="00C3706A">
            <w:pPr>
              <w:widowControl/>
              <w:autoSpaceDE/>
              <w:autoSpaceDN/>
              <w:adjustRightInd/>
              <w:jc w:val="center"/>
              <w:rPr>
                <w:rFonts w:eastAsia="Calibri"/>
                <w:sz w:val="24"/>
                <w:lang w:bidi="en-US"/>
              </w:rPr>
            </w:pPr>
          </w:p>
        </w:tc>
        <w:tc>
          <w:tcPr>
            <w:tcW w:w="2161" w:type="dxa"/>
            <w:tcBorders>
              <w:top w:val="single" w:sz="4" w:space="0" w:color="auto"/>
              <w:bottom w:val="single" w:sz="4" w:space="0" w:color="auto"/>
            </w:tcBorders>
            <w:vAlign w:val="bottom"/>
          </w:tcPr>
          <w:p w14:paraId="5D27F92F" w14:textId="48CE51D2" w:rsidR="00C3706A" w:rsidRPr="008434A7" w:rsidRDefault="00317DDF" w:rsidP="00C3706A">
            <w:pPr>
              <w:widowControl/>
              <w:autoSpaceDE/>
              <w:autoSpaceDN/>
              <w:adjustRightInd/>
              <w:jc w:val="center"/>
              <w:rPr>
                <w:rFonts w:eastAsia="Calibri"/>
                <w:sz w:val="24"/>
                <w:lang w:bidi="en-US"/>
              </w:rPr>
            </w:pPr>
            <w:r>
              <w:rPr>
                <w:rFonts w:eastAsia="Calibri"/>
                <w:sz w:val="24"/>
                <w:lang w:bidi="en-US"/>
              </w:rPr>
              <w:t>$8.46</w:t>
            </w:r>
          </w:p>
        </w:tc>
      </w:tr>
      <w:tr w:rsidR="00317DDF" w:rsidRPr="008434A7" w14:paraId="39FFCE66" w14:textId="77777777" w:rsidTr="004C1D9F">
        <w:tblPrEx>
          <w:tblLook w:val="01E0" w:firstRow="1" w:lastRow="1" w:firstColumn="1" w:lastColumn="1" w:noHBand="0" w:noVBand="0"/>
        </w:tblPrEx>
        <w:tc>
          <w:tcPr>
            <w:tcW w:w="4045" w:type="dxa"/>
            <w:vAlign w:val="bottom"/>
          </w:tcPr>
          <w:p w14:paraId="6365769B" w14:textId="73220C53" w:rsidR="00317DDF" w:rsidRPr="008434A7" w:rsidRDefault="00317DDF" w:rsidP="00212390">
            <w:pPr>
              <w:widowControl/>
              <w:autoSpaceDE/>
              <w:autoSpaceDN/>
              <w:adjustRightInd/>
              <w:rPr>
                <w:rFonts w:eastAsia="Calibri"/>
                <w:sz w:val="24"/>
                <w:lang w:bidi="en-US"/>
              </w:rPr>
            </w:pPr>
            <w:r>
              <w:rPr>
                <w:rFonts w:eastAsia="Calibri"/>
                <w:sz w:val="24"/>
                <w:lang w:bidi="en-US"/>
              </w:rPr>
              <w:t>Percent Increase from Current Rates</w:t>
            </w:r>
          </w:p>
        </w:tc>
        <w:tc>
          <w:tcPr>
            <w:tcW w:w="1787" w:type="dxa"/>
            <w:tcBorders>
              <w:top w:val="single" w:sz="4" w:space="0" w:color="auto"/>
            </w:tcBorders>
            <w:vAlign w:val="bottom"/>
          </w:tcPr>
          <w:p w14:paraId="46840F25" w14:textId="77777777" w:rsidR="00317DDF" w:rsidRPr="008434A7" w:rsidRDefault="00317DDF" w:rsidP="00C3706A">
            <w:pPr>
              <w:widowControl/>
              <w:autoSpaceDE/>
              <w:autoSpaceDN/>
              <w:adjustRightInd/>
              <w:jc w:val="center"/>
              <w:rPr>
                <w:rFonts w:eastAsia="Calibri"/>
                <w:sz w:val="24"/>
                <w:lang w:bidi="en-US"/>
              </w:rPr>
            </w:pPr>
          </w:p>
        </w:tc>
        <w:tc>
          <w:tcPr>
            <w:tcW w:w="2161" w:type="dxa"/>
            <w:tcBorders>
              <w:top w:val="single" w:sz="4" w:space="0" w:color="auto"/>
            </w:tcBorders>
            <w:vAlign w:val="bottom"/>
          </w:tcPr>
          <w:p w14:paraId="5345DB6D" w14:textId="259DE4D1" w:rsidR="00317DDF" w:rsidRDefault="00317DDF" w:rsidP="00C3706A">
            <w:pPr>
              <w:widowControl/>
              <w:autoSpaceDE/>
              <w:autoSpaceDN/>
              <w:adjustRightInd/>
              <w:jc w:val="center"/>
              <w:rPr>
                <w:rFonts w:eastAsia="Calibri"/>
                <w:sz w:val="24"/>
                <w:lang w:bidi="en-US"/>
              </w:rPr>
            </w:pPr>
            <w:r>
              <w:rPr>
                <w:rFonts w:eastAsia="Calibri"/>
                <w:sz w:val="24"/>
                <w:lang w:bidi="en-US"/>
              </w:rPr>
              <w:t>16.5%</w:t>
            </w:r>
          </w:p>
        </w:tc>
      </w:tr>
    </w:tbl>
    <w:p w14:paraId="562B18A4" w14:textId="77777777" w:rsidR="008434A7" w:rsidRPr="008434A7" w:rsidRDefault="008434A7" w:rsidP="008434A7">
      <w:pPr>
        <w:widowControl/>
        <w:autoSpaceDE/>
        <w:autoSpaceDN/>
        <w:adjustRightInd/>
        <w:jc w:val="center"/>
        <w:rPr>
          <w:rFonts w:eastAsia="Calibri"/>
          <w:sz w:val="24"/>
          <w:u w:val="single"/>
          <w:lang w:bidi="en-US"/>
        </w:rPr>
      </w:pPr>
    </w:p>
    <w:p w14:paraId="4E5D2D5C" w14:textId="77777777" w:rsidR="00471E8C" w:rsidRDefault="00471E8C" w:rsidP="004D2DE8">
      <w:pPr>
        <w:widowControl/>
        <w:autoSpaceDE/>
        <w:autoSpaceDN/>
        <w:adjustRightInd/>
        <w:rPr>
          <w:sz w:val="24"/>
        </w:rPr>
      </w:pPr>
    </w:p>
    <w:p w14:paraId="67A1FDD5" w14:textId="77777777" w:rsidR="00471E8C" w:rsidRDefault="00471E8C" w:rsidP="004D2DE8">
      <w:pPr>
        <w:widowControl/>
        <w:autoSpaceDE/>
        <w:autoSpaceDN/>
        <w:adjustRightInd/>
        <w:rPr>
          <w:sz w:val="24"/>
        </w:rPr>
      </w:pPr>
    </w:p>
    <w:p w14:paraId="4C93C54C" w14:textId="77777777" w:rsidR="00471E8C" w:rsidRDefault="00471E8C" w:rsidP="004D2DE8">
      <w:pPr>
        <w:widowControl/>
        <w:autoSpaceDE/>
        <w:autoSpaceDN/>
        <w:adjustRightInd/>
        <w:rPr>
          <w:sz w:val="24"/>
        </w:rPr>
      </w:pPr>
    </w:p>
    <w:p w14:paraId="5C04C42F" w14:textId="77777777" w:rsidR="00471E8C" w:rsidRDefault="00471E8C" w:rsidP="004D2DE8">
      <w:pPr>
        <w:widowControl/>
        <w:autoSpaceDE/>
        <w:autoSpaceDN/>
        <w:adjustRightInd/>
        <w:rPr>
          <w:sz w:val="24"/>
        </w:rPr>
      </w:pPr>
    </w:p>
    <w:p w14:paraId="3DE7152B" w14:textId="77777777" w:rsidR="00471E8C" w:rsidRDefault="00471E8C" w:rsidP="004D2DE8">
      <w:pPr>
        <w:widowControl/>
        <w:autoSpaceDE/>
        <w:autoSpaceDN/>
        <w:adjustRightInd/>
        <w:rPr>
          <w:sz w:val="24"/>
        </w:rPr>
      </w:pPr>
    </w:p>
    <w:p w14:paraId="6523E125" w14:textId="77777777" w:rsidR="00471E8C" w:rsidRDefault="00471E8C" w:rsidP="004D2DE8">
      <w:pPr>
        <w:widowControl/>
        <w:autoSpaceDE/>
        <w:autoSpaceDN/>
        <w:adjustRightInd/>
        <w:rPr>
          <w:sz w:val="24"/>
        </w:rPr>
      </w:pPr>
    </w:p>
    <w:p w14:paraId="2C813012" w14:textId="77777777" w:rsidR="00471E8C" w:rsidRDefault="00471E8C" w:rsidP="004D2DE8">
      <w:pPr>
        <w:widowControl/>
        <w:autoSpaceDE/>
        <w:autoSpaceDN/>
        <w:adjustRightInd/>
        <w:rPr>
          <w:sz w:val="24"/>
        </w:rPr>
      </w:pPr>
    </w:p>
    <w:p w14:paraId="731DDE08" w14:textId="77777777" w:rsidR="00471E8C" w:rsidRDefault="00471E8C" w:rsidP="004D2DE8">
      <w:pPr>
        <w:widowControl/>
        <w:autoSpaceDE/>
        <w:autoSpaceDN/>
        <w:adjustRightInd/>
        <w:rPr>
          <w:sz w:val="24"/>
        </w:rPr>
      </w:pPr>
    </w:p>
    <w:p w14:paraId="5BDBBB49" w14:textId="77777777" w:rsidR="00471E8C" w:rsidRDefault="00471E8C" w:rsidP="004D2DE8">
      <w:pPr>
        <w:widowControl/>
        <w:autoSpaceDE/>
        <w:autoSpaceDN/>
        <w:adjustRightInd/>
        <w:rPr>
          <w:sz w:val="24"/>
        </w:rPr>
      </w:pPr>
    </w:p>
    <w:p w14:paraId="5B29EF3E" w14:textId="77777777" w:rsidR="00471E8C" w:rsidRDefault="00471E8C" w:rsidP="004D2DE8">
      <w:pPr>
        <w:widowControl/>
        <w:autoSpaceDE/>
        <w:autoSpaceDN/>
        <w:adjustRightInd/>
        <w:rPr>
          <w:sz w:val="24"/>
        </w:rPr>
      </w:pPr>
    </w:p>
    <w:p w14:paraId="000156B0" w14:textId="5CC9D7F3" w:rsidR="004D2DE8" w:rsidRPr="004D2DE8" w:rsidRDefault="004D2DE8" w:rsidP="004D2DE8">
      <w:pPr>
        <w:widowControl/>
        <w:autoSpaceDE/>
        <w:autoSpaceDN/>
        <w:adjustRightInd/>
        <w:rPr>
          <w:rFonts w:eastAsia="Calibri"/>
          <w:sz w:val="24"/>
          <w:lang w:bidi="en-US"/>
        </w:rPr>
      </w:pPr>
    </w:p>
    <w:p w14:paraId="4E674127" w14:textId="77777777" w:rsidR="004D2DE8" w:rsidRPr="004D2DE8" w:rsidRDefault="004D2DE8" w:rsidP="004D2DE8">
      <w:pPr>
        <w:widowControl/>
        <w:autoSpaceDE/>
        <w:autoSpaceDN/>
        <w:adjustRightInd/>
        <w:rPr>
          <w:rFonts w:eastAsia="Calibri"/>
          <w:sz w:val="24"/>
          <w:lang w:bidi="en-US"/>
        </w:rPr>
      </w:pPr>
    </w:p>
    <w:p w14:paraId="6A3B5D3E" w14:textId="77777777" w:rsidR="00F720D5" w:rsidRP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Conclusion</w:t>
      </w:r>
    </w:p>
    <w:p w14:paraId="027506B1" w14:textId="77777777" w:rsidR="008C17A9" w:rsidRDefault="008C17A9" w:rsidP="008C17A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49D1E82" w14:textId="77777777" w:rsidR="004C1D9F" w:rsidRDefault="004C1D9F" w:rsidP="004C1D9F">
      <w:pPr>
        <w:widowControl/>
        <w:autoSpaceDE/>
        <w:autoSpaceDN/>
        <w:adjustRightInd/>
        <w:rPr>
          <w:sz w:val="24"/>
        </w:rPr>
      </w:pPr>
      <w:r>
        <w:rPr>
          <w:sz w:val="24"/>
        </w:rPr>
        <w:t>C</w:t>
      </w:r>
      <w:r w:rsidRPr="0050505B">
        <w:rPr>
          <w:sz w:val="24"/>
        </w:rPr>
        <w:t xml:space="preserve">ommission staff has completed its review of the company’s supporting financial documents, </w:t>
      </w:r>
    </w:p>
    <w:p w14:paraId="5AA83A64" w14:textId="77777777" w:rsidR="004C1D9F" w:rsidRDefault="004C1D9F" w:rsidP="004C1D9F">
      <w:pPr>
        <w:widowControl/>
        <w:autoSpaceDE/>
        <w:autoSpaceDN/>
        <w:adjustRightInd/>
        <w:rPr>
          <w:sz w:val="24"/>
        </w:rPr>
      </w:pPr>
      <w:proofErr w:type="gramStart"/>
      <w:r>
        <w:rPr>
          <w:sz w:val="24"/>
        </w:rPr>
        <w:t>b</w:t>
      </w:r>
      <w:r w:rsidRPr="0050505B">
        <w:rPr>
          <w:sz w:val="24"/>
        </w:rPr>
        <w:t>ooks</w:t>
      </w:r>
      <w:proofErr w:type="gramEnd"/>
      <w:r>
        <w:rPr>
          <w:sz w:val="24"/>
        </w:rPr>
        <w:t>,</w:t>
      </w:r>
      <w:r w:rsidRPr="0050505B">
        <w:rPr>
          <w:sz w:val="24"/>
        </w:rPr>
        <w:t xml:space="preserve"> and records. Staff’s review shows that the </w:t>
      </w:r>
      <w:r>
        <w:rPr>
          <w:sz w:val="24"/>
        </w:rPr>
        <w:t>propose</w:t>
      </w:r>
      <w:r w:rsidRPr="0050505B">
        <w:rPr>
          <w:sz w:val="24"/>
        </w:rPr>
        <w:t xml:space="preserve">d </w:t>
      </w:r>
      <w:r>
        <w:rPr>
          <w:sz w:val="24"/>
        </w:rPr>
        <w:t>filing</w:t>
      </w:r>
      <w:r w:rsidRPr="0050505B">
        <w:rPr>
          <w:sz w:val="24"/>
        </w:rPr>
        <w:t xml:space="preserve"> </w:t>
      </w:r>
      <w:r>
        <w:rPr>
          <w:sz w:val="24"/>
        </w:rPr>
        <w:t>is</w:t>
      </w:r>
      <w:r w:rsidRPr="0050505B">
        <w:rPr>
          <w:sz w:val="24"/>
        </w:rPr>
        <w:t xml:space="preserve"> reasonable and required as </w:t>
      </w:r>
    </w:p>
    <w:p w14:paraId="5A067401" w14:textId="7EAD396F" w:rsidR="004C1D9F" w:rsidRDefault="004C1D9F" w:rsidP="008C17A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roofErr w:type="gramStart"/>
      <w:r w:rsidRPr="0050505B">
        <w:rPr>
          <w:sz w:val="24"/>
        </w:rPr>
        <w:t>part</w:t>
      </w:r>
      <w:proofErr w:type="gramEnd"/>
      <w:r w:rsidRPr="0050505B">
        <w:rPr>
          <w:sz w:val="24"/>
        </w:rPr>
        <w:t xml:space="preserve"> of the company’s operations. The customer’s comments do not change staff’s opinion that the company’s financial information support</w:t>
      </w:r>
      <w:r>
        <w:rPr>
          <w:sz w:val="24"/>
        </w:rPr>
        <w:t>s</w:t>
      </w:r>
      <w:r w:rsidRPr="0050505B">
        <w:rPr>
          <w:sz w:val="24"/>
        </w:rPr>
        <w:t xml:space="preserve"> the revenue requirement</w:t>
      </w:r>
      <w:r>
        <w:rPr>
          <w:sz w:val="24"/>
        </w:rPr>
        <w:t>,</w:t>
      </w:r>
      <w:r w:rsidRPr="0050505B">
        <w:rPr>
          <w:sz w:val="24"/>
        </w:rPr>
        <w:t xml:space="preserve"> and </w:t>
      </w:r>
      <w:r>
        <w:rPr>
          <w:sz w:val="24"/>
        </w:rPr>
        <w:t xml:space="preserve">the </w:t>
      </w:r>
      <w:r w:rsidRPr="0050505B">
        <w:rPr>
          <w:sz w:val="24"/>
        </w:rPr>
        <w:t>rates and charges are fair, just, reasonable, and sufficient.</w:t>
      </w:r>
    </w:p>
    <w:p w14:paraId="46A220D0" w14:textId="77777777" w:rsidR="004C1D9F" w:rsidRDefault="004C1D9F" w:rsidP="008C17A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64F81F5" w14:textId="0653DA54" w:rsidR="00352087" w:rsidRDefault="004C1D9F" w:rsidP="004C1D9F">
      <w:pPr>
        <w:widowControl/>
        <w:autoSpaceDE/>
        <w:autoSpaceDN/>
        <w:adjustRightInd/>
        <w:rPr>
          <w:sz w:val="24"/>
        </w:rPr>
      </w:pPr>
      <w:r>
        <w:rPr>
          <w:sz w:val="24"/>
        </w:rPr>
        <w:t xml:space="preserve">Therefore Staff recommends the Commission </w:t>
      </w:r>
      <w:proofErr w:type="spellStart"/>
      <w:r>
        <w:rPr>
          <w:sz w:val="24"/>
        </w:rPr>
        <w:t>a</w:t>
      </w:r>
      <w:r w:rsidR="00352087">
        <w:rPr>
          <w:sz w:val="24"/>
        </w:rPr>
        <w:t>low</w:t>
      </w:r>
      <w:proofErr w:type="spellEnd"/>
      <w:r w:rsidR="00352087">
        <w:rPr>
          <w:sz w:val="24"/>
        </w:rPr>
        <w:t xml:space="preserve"> the tariff pages </w:t>
      </w:r>
      <w:r w:rsidR="00352087" w:rsidRPr="007D047D">
        <w:rPr>
          <w:sz w:val="24"/>
        </w:rPr>
        <w:t xml:space="preserve">filed by the </w:t>
      </w:r>
      <w:r w:rsidR="00352087">
        <w:rPr>
          <w:sz w:val="24"/>
        </w:rPr>
        <w:t xml:space="preserve">Camano Hills Water Company </w:t>
      </w:r>
      <w:r w:rsidR="00352087" w:rsidRPr="007D047D">
        <w:rPr>
          <w:sz w:val="24"/>
        </w:rPr>
        <w:t>on</w:t>
      </w:r>
      <w:r w:rsidR="00EA5058">
        <w:rPr>
          <w:sz w:val="24"/>
        </w:rPr>
        <w:t xml:space="preserve"> </w:t>
      </w:r>
      <w:r w:rsidR="00290F95">
        <w:rPr>
          <w:sz w:val="24"/>
        </w:rPr>
        <w:t xml:space="preserve">February </w:t>
      </w:r>
      <w:r w:rsidR="00370FD3">
        <w:rPr>
          <w:sz w:val="24"/>
        </w:rPr>
        <w:t>4</w:t>
      </w:r>
      <w:r w:rsidR="00290F95" w:rsidRPr="007D047D">
        <w:rPr>
          <w:sz w:val="24"/>
        </w:rPr>
        <w:t>,</w:t>
      </w:r>
      <w:r w:rsidR="00290F95">
        <w:rPr>
          <w:sz w:val="24"/>
        </w:rPr>
        <w:t xml:space="preserve"> 2015, and revised on March 5, 2015,</w:t>
      </w:r>
      <w:r w:rsidR="00290F95" w:rsidRPr="007D047D">
        <w:rPr>
          <w:sz w:val="24"/>
        </w:rPr>
        <w:t xml:space="preserve"> to become effective </w:t>
      </w:r>
      <w:r w:rsidR="00945D6D">
        <w:rPr>
          <w:sz w:val="24"/>
        </w:rPr>
        <w:t xml:space="preserve">     </w:t>
      </w:r>
      <w:r w:rsidR="00290F95">
        <w:rPr>
          <w:sz w:val="24"/>
        </w:rPr>
        <w:t>April 1, 2015</w:t>
      </w:r>
      <w:r w:rsidR="00290F95" w:rsidRPr="007D047D">
        <w:rPr>
          <w:sz w:val="24"/>
        </w:rPr>
        <w:t xml:space="preserve">, </w:t>
      </w:r>
      <w:r w:rsidR="00290F95">
        <w:rPr>
          <w:sz w:val="24"/>
        </w:rPr>
        <w:t>by operation of law.</w:t>
      </w:r>
    </w:p>
    <w:sectPr w:rsidR="00352087" w:rsidSect="0080067C">
      <w:footnotePr>
        <w:numRestart w:val="eachPage"/>
      </w:footnotePr>
      <w:endnotePr>
        <w:numFmt w:val="decimal"/>
        <w:numRestart w:val="eachSect"/>
      </w:endnotePr>
      <w:type w:val="continuous"/>
      <w:pgSz w:w="12240" w:h="15840" w:code="1"/>
      <w:pgMar w:top="1440" w:right="1440" w:bottom="1440" w:left="1440" w:header="1008"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DA0FF" w14:textId="77777777" w:rsidR="00EA5E6B" w:rsidRDefault="00EA5E6B">
      <w:r>
        <w:separator/>
      </w:r>
    </w:p>
  </w:endnote>
  <w:endnote w:type="continuationSeparator" w:id="0">
    <w:p w14:paraId="07B91F60" w14:textId="77777777" w:rsidR="00EA5E6B" w:rsidRDefault="00EA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BFEDA" w14:textId="77777777" w:rsidR="00EA5E6B" w:rsidRDefault="00EA5E6B">
      <w:r>
        <w:separator/>
      </w:r>
    </w:p>
  </w:footnote>
  <w:footnote w:type="continuationSeparator" w:id="0">
    <w:p w14:paraId="33EB1880" w14:textId="77777777" w:rsidR="00EA5E6B" w:rsidRDefault="00EA5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4079"/>
      <w:docPartObj>
        <w:docPartGallery w:val="Page Numbers (Top of Page)"/>
        <w:docPartUnique/>
      </w:docPartObj>
    </w:sdtPr>
    <w:sdtEndPr/>
    <w:sdtContent>
      <w:p w14:paraId="567A42FA" w14:textId="77777777" w:rsidR="005C2094" w:rsidRDefault="00055B37">
        <w:pPr>
          <w:pStyle w:val="Header"/>
        </w:pPr>
        <w:r>
          <w:t xml:space="preserve">Docket </w:t>
        </w:r>
        <w:r w:rsidR="00AC33DC">
          <w:t>UW-150182</w:t>
        </w:r>
      </w:p>
      <w:p w14:paraId="2B686436" w14:textId="77777777" w:rsidR="005C2094" w:rsidRDefault="00AC33DC">
        <w:pPr>
          <w:pStyle w:val="Header"/>
        </w:pPr>
        <w:r>
          <w:t>March 26, 2015</w:t>
        </w:r>
      </w:p>
      <w:p w14:paraId="5ED93AF7" w14:textId="77777777" w:rsidR="005C2094" w:rsidRDefault="005C2094">
        <w:pPr>
          <w:pStyle w:val="Header"/>
        </w:pPr>
        <w:r>
          <w:t xml:space="preserve">Page </w:t>
        </w:r>
        <w:r w:rsidR="00B50EF1">
          <w:fldChar w:fldCharType="begin"/>
        </w:r>
        <w:r w:rsidR="00B50EF1">
          <w:instrText xml:space="preserve"> PAGE   \* MERGEFORMAT </w:instrText>
        </w:r>
        <w:r w:rsidR="00B50EF1">
          <w:fldChar w:fldCharType="separate"/>
        </w:r>
        <w:r w:rsidR="00432964">
          <w:rPr>
            <w:noProof/>
          </w:rPr>
          <w:t>2</w:t>
        </w:r>
        <w:r w:rsidR="00B50EF1">
          <w:rPr>
            <w:noProof/>
          </w:rPr>
          <w:fldChar w:fldCharType="end"/>
        </w:r>
      </w:p>
      <w:p w14:paraId="4EB7FD48" w14:textId="77777777" w:rsidR="005C2094" w:rsidRDefault="00432964">
        <w:pPr>
          <w:pStyle w:val="Header"/>
        </w:pPr>
      </w:p>
    </w:sdtContent>
  </w:sdt>
  <w:p w14:paraId="037C8E0C" w14:textId="77777777" w:rsidR="005C2094" w:rsidRDefault="005C2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6767FFD"/>
    <w:multiLevelType w:val="hybridMultilevel"/>
    <w:tmpl w:val="06B00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BB7AE7"/>
    <w:multiLevelType w:val="hybridMultilevel"/>
    <w:tmpl w:val="3D72CA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187D30"/>
    <w:multiLevelType w:val="hybridMultilevel"/>
    <w:tmpl w:val="AF747882"/>
    <w:lvl w:ilvl="0" w:tplc="CB3EC2F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B1C69AF"/>
    <w:multiLevelType w:val="hybridMultilevel"/>
    <w:tmpl w:val="6C58D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AD6978"/>
    <w:multiLevelType w:val="hybridMultilevel"/>
    <w:tmpl w:val="BE848512"/>
    <w:lvl w:ilvl="0" w:tplc="99608D92">
      <w:start w:val="1"/>
      <w:numFmt w:val="decimal"/>
      <w:lvlText w:val="%1"/>
      <w:lvlJc w:val="left"/>
      <w:pPr>
        <w:tabs>
          <w:tab w:val="num" w:pos="720"/>
        </w:tabs>
        <w:ind w:left="72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075BC5"/>
    <w:multiLevelType w:val="hybridMultilevel"/>
    <w:tmpl w:val="1C7E83F6"/>
    <w:lvl w:ilvl="0" w:tplc="2AC2CE90">
      <w:numFmt w:val="bullet"/>
      <w:lvlText w:val=""/>
      <w:lvlJc w:val="left"/>
      <w:pPr>
        <w:ind w:left="1485" w:hanging="360"/>
      </w:pPr>
      <w:rPr>
        <w:rFonts w:ascii="Symbol" w:eastAsia="Times New Roman" w:hAnsi="Symbol"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F620AA6"/>
    <w:multiLevelType w:val="hybridMultilevel"/>
    <w:tmpl w:val="E4E82B36"/>
    <w:lvl w:ilvl="0" w:tplc="050CD67C">
      <w:start w:val="1"/>
      <w:numFmt w:val="bullet"/>
      <w:pStyle w:val="FindingsConclusions"/>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04615EC"/>
    <w:multiLevelType w:val="hybridMultilevel"/>
    <w:tmpl w:val="6DA83DAE"/>
    <w:lvl w:ilvl="0" w:tplc="83F25B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nsid w:val="6BB378C2"/>
    <w:multiLevelType w:val="hybridMultilevel"/>
    <w:tmpl w:val="6C58D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AF0449"/>
    <w:multiLevelType w:val="hybridMultilevel"/>
    <w:tmpl w:val="20585A2C"/>
    <w:lvl w:ilvl="0" w:tplc="AEC8D70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FF01BA5"/>
    <w:multiLevelType w:val="hybridMultilevel"/>
    <w:tmpl w:val="ECA4E616"/>
    <w:lvl w:ilvl="0" w:tplc="04090017">
      <w:start w:val="1"/>
      <w:numFmt w:val="lowerLetter"/>
      <w:lvlText w:val="%1)"/>
      <w:lvlJc w:val="left"/>
      <w:pPr>
        <w:ind w:left="1080" w:hanging="360"/>
      </w:pPr>
      <w:rPr>
        <w:rFonts w:hint="default"/>
      </w:rPr>
    </w:lvl>
    <w:lvl w:ilvl="1" w:tplc="74569F24">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8"/>
  </w:num>
  <w:num w:numId="3">
    <w:abstractNumId w:val="2"/>
  </w:num>
  <w:num w:numId="4">
    <w:abstractNumId w:val="17"/>
  </w:num>
  <w:num w:numId="5">
    <w:abstractNumId w:val="4"/>
  </w:num>
  <w:num w:numId="6">
    <w:abstractNumId w:val="7"/>
  </w:num>
  <w:num w:numId="7">
    <w:abstractNumId w:val="15"/>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1"/>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6"/>
  </w:num>
  <w:num w:numId="17">
    <w:abstractNumId w:val="16"/>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2DB0"/>
    <w:rsid w:val="00030B90"/>
    <w:rsid w:val="000377B4"/>
    <w:rsid w:val="00037E0B"/>
    <w:rsid w:val="0004008D"/>
    <w:rsid w:val="00041309"/>
    <w:rsid w:val="00055129"/>
    <w:rsid w:val="0005533B"/>
    <w:rsid w:val="00055B37"/>
    <w:rsid w:val="00065632"/>
    <w:rsid w:val="0006565B"/>
    <w:rsid w:val="00072E8D"/>
    <w:rsid w:val="00074C54"/>
    <w:rsid w:val="000838FA"/>
    <w:rsid w:val="00084C44"/>
    <w:rsid w:val="0009317F"/>
    <w:rsid w:val="000A0E82"/>
    <w:rsid w:val="000A2FD7"/>
    <w:rsid w:val="000B7233"/>
    <w:rsid w:val="000D23A6"/>
    <w:rsid w:val="000D6EE8"/>
    <w:rsid w:val="000E5DC6"/>
    <w:rsid w:val="000F23B0"/>
    <w:rsid w:val="000F43E5"/>
    <w:rsid w:val="000F4ACF"/>
    <w:rsid w:val="00114DD1"/>
    <w:rsid w:val="00122C4B"/>
    <w:rsid w:val="001363CE"/>
    <w:rsid w:val="00137513"/>
    <w:rsid w:val="00137D00"/>
    <w:rsid w:val="00137FE5"/>
    <w:rsid w:val="00144F9A"/>
    <w:rsid w:val="0015140F"/>
    <w:rsid w:val="00152A83"/>
    <w:rsid w:val="0015464D"/>
    <w:rsid w:val="00161E2E"/>
    <w:rsid w:val="00164BEE"/>
    <w:rsid w:val="00175973"/>
    <w:rsid w:val="00180222"/>
    <w:rsid w:val="0019005A"/>
    <w:rsid w:val="00190126"/>
    <w:rsid w:val="00194D3A"/>
    <w:rsid w:val="001A53BD"/>
    <w:rsid w:val="001B36DE"/>
    <w:rsid w:val="001B4800"/>
    <w:rsid w:val="001C1460"/>
    <w:rsid w:val="001C186D"/>
    <w:rsid w:val="001C74D1"/>
    <w:rsid w:val="001D2061"/>
    <w:rsid w:val="001D28F3"/>
    <w:rsid w:val="001D70EA"/>
    <w:rsid w:val="001E1EE6"/>
    <w:rsid w:val="001E641B"/>
    <w:rsid w:val="001E72E0"/>
    <w:rsid w:val="001F4515"/>
    <w:rsid w:val="001F467F"/>
    <w:rsid w:val="00202A6C"/>
    <w:rsid w:val="002044EE"/>
    <w:rsid w:val="00204E23"/>
    <w:rsid w:val="0020554F"/>
    <w:rsid w:val="00207407"/>
    <w:rsid w:val="00212390"/>
    <w:rsid w:val="00213F05"/>
    <w:rsid w:val="002226D3"/>
    <w:rsid w:val="002253E3"/>
    <w:rsid w:val="00233FFB"/>
    <w:rsid w:val="002348E0"/>
    <w:rsid w:val="002349CB"/>
    <w:rsid w:val="00234D12"/>
    <w:rsid w:val="0024162C"/>
    <w:rsid w:val="002418D9"/>
    <w:rsid w:val="002445BD"/>
    <w:rsid w:val="00251D04"/>
    <w:rsid w:val="002520CC"/>
    <w:rsid w:val="0026637B"/>
    <w:rsid w:val="00267644"/>
    <w:rsid w:val="002722D7"/>
    <w:rsid w:val="0027629F"/>
    <w:rsid w:val="00290F95"/>
    <w:rsid w:val="002913A8"/>
    <w:rsid w:val="0029365C"/>
    <w:rsid w:val="002974EA"/>
    <w:rsid w:val="002A1B14"/>
    <w:rsid w:val="002A5D58"/>
    <w:rsid w:val="002B02AE"/>
    <w:rsid w:val="002B3B6D"/>
    <w:rsid w:val="002C1AE1"/>
    <w:rsid w:val="002C1D40"/>
    <w:rsid w:val="002C4FE4"/>
    <w:rsid w:val="002C7517"/>
    <w:rsid w:val="002D3175"/>
    <w:rsid w:val="002D4F2A"/>
    <w:rsid w:val="003025F5"/>
    <w:rsid w:val="00307B2F"/>
    <w:rsid w:val="00313EEB"/>
    <w:rsid w:val="00317DDF"/>
    <w:rsid w:val="0032605E"/>
    <w:rsid w:val="00332B9B"/>
    <w:rsid w:val="00340B55"/>
    <w:rsid w:val="0034157C"/>
    <w:rsid w:val="00344CF7"/>
    <w:rsid w:val="00350743"/>
    <w:rsid w:val="00352087"/>
    <w:rsid w:val="00361D71"/>
    <w:rsid w:val="00361EDC"/>
    <w:rsid w:val="00370CA1"/>
    <w:rsid w:val="00370FD3"/>
    <w:rsid w:val="00376C63"/>
    <w:rsid w:val="00382C0C"/>
    <w:rsid w:val="00393E46"/>
    <w:rsid w:val="003A0501"/>
    <w:rsid w:val="003A2597"/>
    <w:rsid w:val="003A50AE"/>
    <w:rsid w:val="003B1012"/>
    <w:rsid w:val="003C134F"/>
    <w:rsid w:val="003C18AE"/>
    <w:rsid w:val="003C3D11"/>
    <w:rsid w:val="003C510E"/>
    <w:rsid w:val="003D0D1F"/>
    <w:rsid w:val="003D1063"/>
    <w:rsid w:val="003D66B0"/>
    <w:rsid w:val="003D7349"/>
    <w:rsid w:val="003D7545"/>
    <w:rsid w:val="003E2C21"/>
    <w:rsid w:val="003E4343"/>
    <w:rsid w:val="003E4939"/>
    <w:rsid w:val="003E4D88"/>
    <w:rsid w:val="003F10C8"/>
    <w:rsid w:val="0040266C"/>
    <w:rsid w:val="00404A13"/>
    <w:rsid w:val="0042096A"/>
    <w:rsid w:val="00432964"/>
    <w:rsid w:val="00433C77"/>
    <w:rsid w:val="004533CC"/>
    <w:rsid w:val="0045500C"/>
    <w:rsid w:val="00456249"/>
    <w:rsid w:val="00461E5D"/>
    <w:rsid w:val="004627CC"/>
    <w:rsid w:val="0046535B"/>
    <w:rsid w:val="00471E8C"/>
    <w:rsid w:val="004721BB"/>
    <w:rsid w:val="00475ADF"/>
    <w:rsid w:val="004764BD"/>
    <w:rsid w:val="00480CB9"/>
    <w:rsid w:val="004827C9"/>
    <w:rsid w:val="004842F7"/>
    <w:rsid w:val="00487387"/>
    <w:rsid w:val="004A640B"/>
    <w:rsid w:val="004B345C"/>
    <w:rsid w:val="004B630E"/>
    <w:rsid w:val="004C1D9F"/>
    <w:rsid w:val="004C29FA"/>
    <w:rsid w:val="004D28EE"/>
    <w:rsid w:val="004D2DA6"/>
    <w:rsid w:val="004D2DE8"/>
    <w:rsid w:val="004D4B93"/>
    <w:rsid w:val="004E50BD"/>
    <w:rsid w:val="005021D8"/>
    <w:rsid w:val="0050347B"/>
    <w:rsid w:val="00506059"/>
    <w:rsid w:val="0050781D"/>
    <w:rsid w:val="005128B0"/>
    <w:rsid w:val="00517EC8"/>
    <w:rsid w:val="0053232D"/>
    <w:rsid w:val="00547523"/>
    <w:rsid w:val="00550F09"/>
    <w:rsid w:val="0055500B"/>
    <w:rsid w:val="0055788D"/>
    <w:rsid w:val="0056068D"/>
    <w:rsid w:val="005612F3"/>
    <w:rsid w:val="00565736"/>
    <w:rsid w:val="005706D2"/>
    <w:rsid w:val="00576F1E"/>
    <w:rsid w:val="005770E2"/>
    <w:rsid w:val="00584D8E"/>
    <w:rsid w:val="00591778"/>
    <w:rsid w:val="00593DC5"/>
    <w:rsid w:val="00597EB0"/>
    <w:rsid w:val="005A0C74"/>
    <w:rsid w:val="005A1CD1"/>
    <w:rsid w:val="005B4AE8"/>
    <w:rsid w:val="005C0529"/>
    <w:rsid w:val="005C2094"/>
    <w:rsid w:val="005C27C6"/>
    <w:rsid w:val="005F4E63"/>
    <w:rsid w:val="0060344F"/>
    <w:rsid w:val="00605346"/>
    <w:rsid w:val="00610C4C"/>
    <w:rsid w:val="00611599"/>
    <w:rsid w:val="00612BDD"/>
    <w:rsid w:val="0061374A"/>
    <w:rsid w:val="00622736"/>
    <w:rsid w:val="0062357E"/>
    <w:rsid w:val="00627A32"/>
    <w:rsid w:val="006320C8"/>
    <w:rsid w:val="0064422C"/>
    <w:rsid w:val="00645AE1"/>
    <w:rsid w:val="00650C66"/>
    <w:rsid w:val="0065301B"/>
    <w:rsid w:val="006536CD"/>
    <w:rsid w:val="006540D9"/>
    <w:rsid w:val="0065659A"/>
    <w:rsid w:val="00656619"/>
    <w:rsid w:val="00663672"/>
    <w:rsid w:val="00665BFB"/>
    <w:rsid w:val="00666D66"/>
    <w:rsid w:val="00672435"/>
    <w:rsid w:val="00674E59"/>
    <w:rsid w:val="006775D8"/>
    <w:rsid w:val="0068050B"/>
    <w:rsid w:val="0068313F"/>
    <w:rsid w:val="006840B0"/>
    <w:rsid w:val="00697E4B"/>
    <w:rsid w:val="006A5D8E"/>
    <w:rsid w:val="006A7C1B"/>
    <w:rsid w:val="006C104A"/>
    <w:rsid w:val="006C40DB"/>
    <w:rsid w:val="006C46E4"/>
    <w:rsid w:val="006D1C3C"/>
    <w:rsid w:val="006E03AC"/>
    <w:rsid w:val="00701067"/>
    <w:rsid w:val="00705045"/>
    <w:rsid w:val="00712747"/>
    <w:rsid w:val="007155BE"/>
    <w:rsid w:val="00717F25"/>
    <w:rsid w:val="00736665"/>
    <w:rsid w:val="00737B9F"/>
    <w:rsid w:val="00744436"/>
    <w:rsid w:val="00754F16"/>
    <w:rsid w:val="0076457C"/>
    <w:rsid w:val="00766578"/>
    <w:rsid w:val="00772711"/>
    <w:rsid w:val="00781AD4"/>
    <w:rsid w:val="00792A0E"/>
    <w:rsid w:val="0079694E"/>
    <w:rsid w:val="007A03B4"/>
    <w:rsid w:val="007A2598"/>
    <w:rsid w:val="007A3E61"/>
    <w:rsid w:val="007C046B"/>
    <w:rsid w:val="007C1691"/>
    <w:rsid w:val="007C36D5"/>
    <w:rsid w:val="007C7B37"/>
    <w:rsid w:val="007D047D"/>
    <w:rsid w:val="007F0A9C"/>
    <w:rsid w:val="007F158A"/>
    <w:rsid w:val="007F5737"/>
    <w:rsid w:val="0080067C"/>
    <w:rsid w:val="008058FE"/>
    <w:rsid w:val="00807220"/>
    <w:rsid w:val="00807347"/>
    <w:rsid w:val="00824180"/>
    <w:rsid w:val="0082469B"/>
    <w:rsid w:val="00832AA3"/>
    <w:rsid w:val="00836F6B"/>
    <w:rsid w:val="00842072"/>
    <w:rsid w:val="008434A7"/>
    <w:rsid w:val="00845286"/>
    <w:rsid w:val="008473DC"/>
    <w:rsid w:val="008506EB"/>
    <w:rsid w:val="0085793E"/>
    <w:rsid w:val="0086311D"/>
    <w:rsid w:val="00863257"/>
    <w:rsid w:val="0086429A"/>
    <w:rsid w:val="00872E84"/>
    <w:rsid w:val="00873CFA"/>
    <w:rsid w:val="00880FCE"/>
    <w:rsid w:val="00887599"/>
    <w:rsid w:val="00894DBB"/>
    <w:rsid w:val="008956A7"/>
    <w:rsid w:val="00897C9E"/>
    <w:rsid w:val="008A49D4"/>
    <w:rsid w:val="008A5620"/>
    <w:rsid w:val="008A674C"/>
    <w:rsid w:val="008B44FE"/>
    <w:rsid w:val="008B66BD"/>
    <w:rsid w:val="008C17A9"/>
    <w:rsid w:val="008C3604"/>
    <w:rsid w:val="008D2F40"/>
    <w:rsid w:val="008D36A8"/>
    <w:rsid w:val="008E765F"/>
    <w:rsid w:val="00900DD1"/>
    <w:rsid w:val="009017F4"/>
    <w:rsid w:val="009056DD"/>
    <w:rsid w:val="009141AD"/>
    <w:rsid w:val="00916157"/>
    <w:rsid w:val="00916D1D"/>
    <w:rsid w:val="00921DA3"/>
    <w:rsid w:val="009223E9"/>
    <w:rsid w:val="0092550A"/>
    <w:rsid w:val="0093024D"/>
    <w:rsid w:val="00930429"/>
    <w:rsid w:val="009445B6"/>
    <w:rsid w:val="0094598C"/>
    <w:rsid w:val="00945D6D"/>
    <w:rsid w:val="00951684"/>
    <w:rsid w:val="00951704"/>
    <w:rsid w:val="00954092"/>
    <w:rsid w:val="00957836"/>
    <w:rsid w:val="009579C1"/>
    <w:rsid w:val="0096110F"/>
    <w:rsid w:val="00961BA1"/>
    <w:rsid w:val="00970F01"/>
    <w:rsid w:val="009745CA"/>
    <w:rsid w:val="00976DF8"/>
    <w:rsid w:val="00994777"/>
    <w:rsid w:val="009A33FE"/>
    <w:rsid w:val="009B158B"/>
    <w:rsid w:val="009D0A34"/>
    <w:rsid w:val="009D4CE3"/>
    <w:rsid w:val="009D4F84"/>
    <w:rsid w:val="009D63C7"/>
    <w:rsid w:val="009D7E7B"/>
    <w:rsid w:val="009E443D"/>
    <w:rsid w:val="009E6DD4"/>
    <w:rsid w:val="009F0527"/>
    <w:rsid w:val="00A0489E"/>
    <w:rsid w:val="00A1282A"/>
    <w:rsid w:val="00A13F6B"/>
    <w:rsid w:val="00A277CA"/>
    <w:rsid w:val="00A32C86"/>
    <w:rsid w:val="00A43AB3"/>
    <w:rsid w:val="00A53983"/>
    <w:rsid w:val="00A53CD6"/>
    <w:rsid w:val="00A57B8A"/>
    <w:rsid w:val="00A617B6"/>
    <w:rsid w:val="00A6325D"/>
    <w:rsid w:val="00A659E4"/>
    <w:rsid w:val="00A670DC"/>
    <w:rsid w:val="00A70650"/>
    <w:rsid w:val="00A77121"/>
    <w:rsid w:val="00A8065F"/>
    <w:rsid w:val="00A8224D"/>
    <w:rsid w:val="00A82B2F"/>
    <w:rsid w:val="00A833FC"/>
    <w:rsid w:val="00A84A6B"/>
    <w:rsid w:val="00A94F66"/>
    <w:rsid w:val="00AA3519"/>
    <w:rsid w:val="00AB037A"/>
    <w:rsid w:val="00AB1820"/>
    <w:rsid w:val="00AC33DC"/>
    <w:rsid w:val="00AC7EC8"/>
    <w:rsid w:val="00AD6225"/>
    <w:rsid w:val="00AE1E65"/>
    <w:rsid w:val="00AE6C13"/>
    <w:rsid w:val="00AF0358"/>
    <w:rsid w:val="00AF1A52"/>
    <w:rsid w:val="00AF245C"/>
    <w:rsid w:val="00AF48DA"/>
    <w:rsid w:val="00B00FE1"/>
    <w:rsid w:val="00B05713"/>
    <w:rsid w:val="00B07439"/>
    <w:rsid w:val="00B103F6"/>
    <w:rsid w:val="00B116F5"/>
    <w:rsid w:val="00B11E23"/>
    <w:rsid w:val="00B12018"/>
    <w:rsid w:val="00B26FB6"/>
    <w:rsid w:val="00B32FFC"/>
    <w:rsid w:val="00B34AE0"/>
    <w:rsid w:val="00B34B33"/>
    <w:rsid w:val="00B35EA6"/>
    <w:rsid w:val="00B360C9"/>
    <w:rsid w:val="00B43ED9"/>
    <w:rsid w:val="00B461C8"/>
    <w:rsid w:val="00B464B4"/>
    <w:rsid w:val="00B50EF1"/>
    <w:rsid w:val="00B511F3"/>
    <w:rsid w:val="00B51412"/>
    <w:rsid w:val="00B5670F"/>
    <w:rsid w:val="00B6188E"/>
    <w:rsid w:val="00B64ACF"/>
    <w:rsid w:val="00B67A7C"/>
    <w:rsid w:val="00B714A0"/>
    <w:rsid w:val="00B73B6A"/>
    <w:rsid w:val="00B87F9F"/>
    <w:rsid w:val="00B94DB6"/>
    <w:rsid w:val="00BA7FC1"/>
    <w:rsid w:val="00BB2F58"/>
    <w:rsid w:val="00BB7AF1"/>
    <w:rsid w:val="00BC46C3"/>
    <w:rsid w:val="00BC4974"/>
    <w:rsid w:val="00BC5CEE"/>
    <w:rsid w:val="00BC766F"/>
    <w:rsid w:val="00BD2B70"/>
    <w:rsid w:val="00BD34DB"/>
    <w:rsid w:val="00BE172A"/>
    <w:rsid w:val="00BE5729"/>
    <w:rsid w:val="00BE5825"/>
    <w:rsid w:val="00BF049E"/>
    <w:rsid w:val="00C01944"/>
    <w:rsid w:val="00C13D84"/>
    <w:rsid w:val="00C15A82"/>
    <w:rsid w:val="00C17B27"/>
    <w:rsid w:val="00C23C07"/>
    <w:rsid w:val="00C2474C"/>
    <w:rsid w:val="00C25C2C"/>
    <w:rsid w:val="00C31618"/>
    <w:rsid w:val="00C3706A"/>
    <w:rsid w:val="00C37DE9"/>
    <w:rsid w:val="00C4158A"/>
    <w:rsid w:val="00C4692D"/>
    <w:rsid w:val="00C51415"/>
    <w:rsid w:val="00C60CB2"/>
    <w:rsid w:val="00C6362B"/>
    <w:rsid w:val="00C646A4"/>
    <w:rsid w:val="00C7647C"/>
    <w:rsid w:val="00C81635"/>
    <w:rsid w:val="00C83E26"/>
    <w:rsid w:val="00C83F63"/>
    <w:rsid w:val="00C83FE0"/>
    <w:rsid w:val="00C85133"/>
    <w:rsid w:val="00C855C0"/>
    <w:rsid w:val="00C92134"/>
    <w:rsid w:val="00C96F4F"/>
    <w:rsid w:val="00CA53A4"/>
    <w:rsid w:val="00CB0299"/>
    <w:rsid w:val="00CB2361"/>
    <w:rsid w:val="00CB4D4C"/>
    <w:rsid w:val="00CC4A9A"/>
    <w:rsid w:val="00CC70B2"/>
    <w:rsid w:val="00CC71A3"/>
    <w:rsid w:val="00CD6A67"/>
    <w:rsid w:val="00CD6BE3"/>
    <w:rsid w:val="00CE1C86"/>
    <w:rsid w:val="00CE4DDB"/>
    <w:rsid w:val="00CE69A0"/>
    <w:rsid w:val="00CF3EF8"/>
    <w:rsid w:val="00CF6953"/>
    <w:rsid w:val="00D268AA"/>
    <w:rsid w:val="00D4294D"/>
    <w:rsid w:val="00D51B8A"/>
    <w:rsid w:val="00D601D2"/>
    <w:rsid w:val="00D6315F"/>
    <w:rsid w:val="00D67373"/>
    <w:rsid w:val="00D6797B"/>
    <w:rsid w:val="00D80445"/>
    <w:rsid w:val="00D85445"/>
    <w:rsid w:val="00D85988"/>
    <w:rsid w:val="00D90FDA"/>
    <w:rsid w:val="00D928CE"/>
    <w:rsid w:val="00DB41C2"/>
    <w:rsid w:val="00DC27CC"/>
    <w:rsid w:val="00DC296E"/>
    <w:rsid w:val="00DC5CC4"/>
    <w:rsid w:val="00DD0AA2"/>
    <w:rsid w:val="00DD195B"/>
    <w:rsid w:val="00DD5104"/>
    <w:rsid w:val="00DD6D79"/>
    <w:rsid w:val="00DE1D10"/>
    <w:rsid w:val="00DE7B06"/>
    <w:rsid w:val="00DF102E"/>
    <w:rsid w:val="00DF15DE"/>
    <w:rsid w:val="00DF714E"/>
    <w:rsid w:val="00E11EA0"/>
    <w:rsid w:val="00E14CA6"/>
    <w:rsid w:val="00E25CDB"/>
    <w:rsid w:val="00E26414"/>
    <w:rsid w:val="00E3062B"/>
    <w:rsid w:val="00E31C61"/>
    <w:rsid w:val="00E41204"/>
    <w:rsid w:val="00E452EA"/>
    <w:rsid w:val="00E456B4"/>
    <w:rsid w:val="00E520F8"/>
    <w:rsid w:val="00E54996"/>
    <w:rsid w:val="00E64636"/>
    <w:rsid w:val="00E7074E"/>
    <w:rsid w:val="00E754AB"/>
    <w:rsid w:val="00E82406"/>
    <w:rsid w:val="00E85A0E"/>
    <w:rsid w:val="00EA2355"/>
    <w:rsid w:val="00EA5058"/>
    <w:rsid w:val="00EA5E6B"/>
    <w:rsid w:val="00EB25CC"/>
    <w:rsid w:val="00EB3969"/>
    <w:rsid w:val="00EB469D"/>
    <w:rsid w:val="00EC0483"/>
    <w:rsid w:val="00EC634E"/>
    <w:rsid w:val="00ED2BF0"/>
    <w:rsid w:val="00ED3F91"/>
    <w:rsid w:val="00EE1966"/>
    <w:rsid w:val="00EE1F43"/>
    <w:rsid w:val="00F0086F"/>
    <w:rsid w:val="00F061F8"/>
    <w:rsid w:val="00F11665"/>
    <w:rsid w:val="00F119F2"/>
    <w:rsid w:val="00F11E09"/>
    <w:rsid w:val="00F156FA"/>
    <w:rsid w:val="00F20C23"/>
    <w:rsid w:val="00F21617"/>
    <w:rsid w:val="00F47668"/>
    <w:rsid w:val="00F70208"/>
    <w:rsid w:val="00F720D5"/>
    <w:rsid w:val="00F839AE"/>
    <w:rsid w:val="00F879A2"/>
    <w:rsid w:val="00FA1A71"/>
    <w:rsid w:val="00FA43F4"/>
    <w:rsid w:val="00FA75B0"/>
    <w:rsid w:val="00FA775F"/>
    <w:rsid w:val="00FA7860"/>
    <w:rsid w:val="00FB187C"/>
    <w:rsid w:val="00FB574E"/>
    <w:rsid w:val="00FC17DA"/>
    <w:rsid w:val="00FC2E4A"/>
    <w:rsid w:val="00FC4EA3"/>
    <w:rsid w:val="00FD0A61"/>
    <w:rsid w:val="00FD67F9"/>
    <w:rsid w:val="00FE0AD1"/>
    <w:rsid w:val="00FE25BF"/>
    <w:rsid w:val="00FE70D3"/>
    <w:rsid w:val="00FF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97F4F"/>
  <w15:docId w15:val="{166550A7-ABD2-4AAA-BC24-A962FAB1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65F"/>
    <w:pPr>
      <w:widowControl w:val="0"/>
      <w:autoSpaceDE w:val="0"/>
      <w:autoSpaceDN w:val="0"/>
      <w:adjustRightInd w:val="0"/>
    </w:pPr>
    <w:rPr>
      <w:szCs w:val="24"/>
    </w:rPr>
  </w:style>
  <w:style w:type="paragraph" w:styleId="Heading1">
    <w:name w:val="heading 1"/>
    <w:basedOn w:val="Normal"/>
    <w:next w:val="Normal"/>
    <w:qFormat/>
    <w:rsid w:val="008E765F"/>
    <w:pPr>
      <w:keepNext/>
      <w:jc w:val="center"/>
      <w:outlineLvl w:val="0"/>
    </w:pPr>
    <w:rPr>
      <w:sz w:val="24"/>
    </w:rPr>
  </w:style>
  <w:style w:type="paragraph" w:styleId="Heading2">
    <w:name w:val="heading 2"/>
    <w:basedOn w:val="Normal"/>
    <w:next w:val="Normal"/>
    <w:qFormat/>
    <w:rsid w:val="008E76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8E765F"/>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65F"/>
  </w:style>
  <w:style w:type="paragraph" w:styleId="BodyText">
    <w:name w:val="Body Text"/>
    <w:basedOn w:val="Normal"/>
    <w:rsid w:val="008E765F"/>
    <w:rPr>
      <w:rFonts w:ascii="Courier" w:hAnsi="Courier"/>
      <w:sz w:val="24"/>
    </w:rPr>
  </w:style>
  <w:style w:type="paragraph" w:styleId="Header">
    <w:name w:val="header"/>
    <w:basedOn w:val="Normal"/>
    <w:link w:val="HeaderChar"/>
    <w:uiPriority w:val="99"/>
    <w:rsid w:val="008E765F"/>
    <w:pPr>
      <w:tabs>
        <w:tab w:val="center" w:pos="4320"/>
        <w:tab w:val="right" w:pos="8640"/>
      </w:tabs>
    </w:pPr>
  </w:style>
  <w:style w:type="paragraph" w:styleId="Footer">
    <w:name w:val="footer"/>
    <w:basedOn w:val="Normal"/>
    <w:rsid w:val="008E765F"/>
    <w:pPr>
      <w:tabs>
        <w:tab w:val="center" w:pos="4320"/>
        <w:tab w:val="right" w:pos="8640"/>
      </w:tabs>
    </w:pPr>
  </w:style>
  <w:style w:type="character" w:styleId="PageNumber">
    <w:name w:val="page number"/>
    <w:basedOn w:val="DefaultParagraphFont"/>
    <w:rsid w:val="008E765F"/>
  </w:style>
  <w:style w:type="paragraph" w:styleId="BodyText2">
    <w:name w:val="Body Text 2"/>
    <w:basedOn w:val="Normal"/>
    <w:rsid w:val="008E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rsid w:val="00FB574E"/>
    <w:rPr>
      <w:sz w:val="16"/>
      <w:szCs w:val="16"/>
    </w:rPr>
  </w:style>
  <w:style w:type="paragraph" w:styleId="CommentText">
    <w:name w:val="annotation text"/>
    <w:basedOn w:val="Normal"/>
    <w:link w:val="CommentTextChar"/>
    <w:rsid w:val="00FB574E"/>
    <w:rPr>
      <w:szCs w:val="20"/>
    </w:rPr>
  </w:style>
  <w:style w:type="character" w:customStyle="1" w:styleId="CommentTextChar">
    <w:name w:val="Comment Text Char"/>
    <w:basedOn w:val="DefaultParagraphFont"/>
    <w:link w:val="CommentText"/>
    <w:rsid w:val="00FB574E"/>
  </w:style>
  <w:style w:type="paragraph" w:styleId="CommentSubject">
    <w:name w:val="annotation subject"/>
    <w:basedOn w:val="CommentText"/>
    <w:next w:val="CommentText"/>
    <w:link w:val="CommentSubjectChar"/>
    <w:rsid w:val="00FB574E"/>
    <w:rPr>
      <w:b/>
      <w:bCs/>
    </w:rPr>
  </w:style>
  <w:style w:type="character" w:customStyle="1" w:styleId="CommentSubjectChar">
    <w:name w:val="Comment Subject Char"/>
    <w:basedOn w:val="CommentTextChar"/>
    <w:link w:val="CommentSubject"/>
    <w:rsid w:val="00FB574E"/>
    <w:rPr>
      <w:b/>
      <w:bCs/>
    </w:rPr>
  </w:style>
  <w:style w:type="character" w:customStyle="1" w:styleId="HeaderChar">
    <w:name w:val="Header Char"/>
    <w:basedOn w:val="DefaultParagraphFont"/>
    <w:link w:val="Header"/>
    <w:uiPriority w:val="99"/>
    <w:rsid w:val="0080067C"/>
    <w:rPr>
      <w:szCs w:val="24"/>
    </w:rPr>
  </w:style>
  <w:style w:type="paragraph" w:styleId="Revision">
    <w:name w:val="Revision"/>
    <w:hidden/>
    <w:uiPriority w:val="99"/>
    <w:semiHidden/>
    <w:rsid w:val="009D7E7B"/>
    <w:rPr>
      <w:szCs w:val="24"/>
    </w:rPr>
  </w:style>
  <w:style w:type="paragraph" w:styleId="ListParagraph">
    <w:name w:val="List Paragraph"/>
    <w:basedOn w:val="Normal"/>
    <w:uiPriority w:val="34"/>
    <w:qFormat/>
    <w:rsid w:val="00954092"/>
    <w:pPr>
      <w:ind w:left="720"/>
      <w:contextualSpacing/>
    </w:pPr>
  </w:style>
  <w:style w:type="paragraph" w:customStyle="1" w:styleId="FindingsConclusions">
    <w:name w:val="Findings &amp; Conclusions"/>
    <w:basedOn w:val="Normal"/>
    <w:autoRedefine/>
    <w:rsid w:val="00FA1A71"/>
    <w:pPr>
      <w:widowControl/>
      <w:numPr>
        <w:numId w:val="18"/>
      </w:numPr>
      <w:autoSpaceDE/>
      <w:autoSpaceDN/>
      <w:adjustRightInd/>
      <w:spacing w:line="288"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2015-02-04T08:00:00+00:00</OpenedDate>
    <Date1 xmlns="dc463f71-b30c-4ab2-9473-d307f9d35888">2015-03-23T07:00:00+00:00</Date1>
    <IsDocumentOrder xmlns="dc463f71-b30c-4ab2-9473-d307f9d35888" xsi:nil="true"/>
    <IsHighlyConfidential xmlns="dc463f71-b30c-4ab2-9473-d307f9d35888">false</IsHighlyConfidential>
    <CaseCompanyNames xmlns="dc463f71-b30c-4ab2-9473-d307f9d35888">Camano Hills Water Company</CaseCompanyNames>
    <DocketNumber xmlns="dc463f71-b30c-4ab2-9473-d307f9d35888">150182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F9B4ABFC7E8A41846A43A976800562" ma:contentTypeVersion="119" ma:contentTypeDescription="" ma:contentTypeScope="" ma:versionID="ee391cf6c2a30082124916102ecec9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6548EE0-B176-4A24-9496-DCD2AB956AD8}"/>
</file>

<file path=customXml/itemProps2.xml><?xml version="1.0" encoding="utf-8"?>
<ds:datastoreItem xmlns:ds="http://schemas.openxmlformats.org/officeDocument/2006/customXml" ds:itemID="{E26C551F-162A-4E80-BBBC-49FAD912226B}"/>
</file>

<file path=customXml/itemProps3.xml><?xml version="1.0" encoding="utf-8"?>
<ds:datastoreItem xmlns:ds="http://schemas.openxmlformats.org/officeDocument/2006/customXml" ds:itemID="{2D297921-E98B-4F44-B202-DC8245174F06}"/>
</file>

<file path=customXml/itemProps4.xml><?xml version="1.0" encoding="utf-8"?>
<ds:datastoreItem xmlns:ds="http://schemas.openxmlformats.org/officeDocument/2006/customXml" ds:itemID="{D71F16FA-0520-4FD3-B92A-595B46116EC2}"/>
</file>

<file path=customXml/itemProps5.xml><?xml version="1.0" encoding="utf-8"?>
<ds:datastoreItem xmlns:ds="http://schemas.openxmlformats.org/officeDocument/2006/customXml" ds:itemID="{C807A9E0-9D87-438C-85F8-6C63D9E73E49}"/>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Camano Hills Water GRC</vt:lpstr>
    </vt:vector>
  </TitlesOfParts>
  <Company>WUTC</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Camano Hills Water GRC</dc:title>
  <dc:creator>Information Services</dc:creator>
  <cp:lastModifiedBy>DP Kermode</cp:lastModifiedBy>
  <cp:revision>2</cp:revision>
  <cp:lastPrinted>2010-12-22T18:27:00Z</cp:lastPrinted>
  <dcterms:created xsi:type="dcterms:W3CDTF">2015-03-23T15:27:00Z</dcterms:created>
  <dcterms:modified xsi:type="dcterms:W3CDTF">2015-03-23T15:27:00Z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0x0101006E56B4D1795A2E4DB2F0B01679ED314A002EF9B4ABFC7E8A41846A43A976800562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