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A8133" w14:textId="77777777" w:rsidR="00A618A2" w:rsidRDefault="00A618A2" w:rsidP="00A618A2">
      <w:pPr>
        <w:pStyle w:val="NoSpacing"/>
        <w:jc w:val="center"/>
        <w:rPr>
          <w:sz w:val="14"/>
        </w:rPr>
      </w:pPr>
      <w:r>
        <w:rPr>
          <w:noProof/>
        </w:rPr>
        <w:drawing>
          <wp:inline distT="0" distB="0" distL="0" distR="0" wp14:anchorId="11308F6C" wp14:editId="0EFAE3F3">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19B700D" w14:textId="77777777" w:rsidR="00A618A2" w:rsidRDefault="00A618A2" w:rsidP="00A618A2">
      <w:pPr>
        <w:pStyle w:val="NoSpacing"/>
        <w:jc w:val="center"/>
        <w:rPr>
          <w:rFonts w:ascii="Arial" w:hAnsi="Arial"/>
          <w:b/>
          <w:color w:val="008000"/>
          <w:sz w:val="18"/>
        </w:rPr>
      </w:pPr>
    </w:p>
    <w:p w14:paraId="43265320" w14:textId="77777777" w:rsidR="00A618A2" w:rsidRDefault="00A618A2" w:rsidP="00A618A2">
      <w:pPr>
        <w:pStyle w:val="NoSpacing"/>
        <w:spacing w:after="80"/>
        <w:jc w:val="center"/>
        <w:rPr>
          <w:rFonts w:ascii="Arial" w:hAnsi="Arial"/>
          <w:b/>
          <w:color w:val="008000"/>
          <w:sz w:val="18"/>
        </w:rPr>
      </w:pPr>
      <w:r>
        <w:rPr>
          <w:rFonts w:ascii="Arial" w:hAnsi="Arial"/>
          <w:b/>
          <w:color w:val="008000"/>
          <w:sz w:val="18"/>
        </w:rPr>
        <w:t>STATE OF WASHINGTON</w:t>
      </w:r>
    </w:p>
    <w:p w14:paraId="304FD981" w14:textId="77777777" w:rsidR="00A618A2" w:rsidRDefault="00A618A2" w:rsidP="00A618A2">
      <w:pPr>
        <w:pStyle w:val="NoSpacing"/>
        <w:spacing w:after="80"/>
        <w:jc w:val="center"/>
        <w:rPr>
          <w:rFonts w:ascii="Arial" w:hAnsi="Arial"/>
          <w:color w:val="008000"/>
          <w:sz w:val="28"/>
        </w:rPr>
      </w:pPr>
      <w:r>
        <w:rPr>
          <w:rFonts w:ascii="Arial" w:hAnsi="Arial"/>
          <w:color w:val="008000"/>
          <w:sz w:val="28"/>
        </w:rPr>
        <w:t>UTILITIES AND TRANSPORTATION COMMISSION</w:t>
      </w:r>
    </w:p>
    <w:p w14:paraId="0257F7DE" w14:textId="77777777" w:rsidR="00A618A2" w:rsidRDefault="00A618A2" w:rsidP="00A618A2">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03CCB680" w14:textId="77777777" w:rsidR="00A618A2" w:rsidRDefault="00A618A2" w:rsidP="00A618A2">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F81FE7A" w14:textId="77777777" w:rsidR="002B75A7" w:rsidRDefault="00D51F8D" w:rsidP="00682972">
      <w:pPr>
        <w:pStyle w:val="NoSpacing"/>
        <w:spacing w:line="264" w:lineRule="auto"/>
        <w:jc w:val="center"/>
      </w:pPr>
      <w:r>
        <w:t>Ju</w:t>
      </w:r>
      <w:r w:rsidR="00154609">
        <w:t xml:space="preserve">ly </w:t>
      </w:r>
      <w:r w:rsidR="00397E63">
        <w:t>2</w:t>
      </w:r>
      <w:r w:rsidR="005854C9">
        <w:t>8</w:t>
      </w:r>
      <w:r w:rsidR="00A618A2">
        <w:t>,</w:t>
      </w:r>
      <w:r w:rsidR="00830AEB">
        <w:t xml:space="preserve"> 201</w:t>
      </w:r>
      <w:r w:rsidR="00A618A2">
        <w:t>4</w:t>
      </w:r>
    </w:p>
    <w:p w14:paraId="190C8513" w14:textId="77777777" w:rsidR="00222EE8" w:rsidRDefault="00222EE8" w:rsidP="00682972">
      <w:pPr>
        <w:pStyle w:val="NoSpacing"/>
        <w:spacing w:line="264" w:lineRule="auto"/>
      </w:pPr>
    </w:p>
    <w:p w14:paraId="1059F0A3" w14:textId="77777777" w:rsidR="00395565" w:rsidRDefault="00395565" w:rsidP="00682972">
      <w:pPr>
        <w:pStyle w:val="NoSpacing"/>
        <w:spacing w:line="264" w:lineRule="auto"/>
      </w:pPr>
    </w:p>
    <w:p w14:paraId="6B8763EE" w14:textId="77777777" w:rsidR="0015471D" w:rsidRDefault="002B75A7" w:rsidP="00110102">
      <w:pPr>
        <w:pStyle w:val="NoSpacing"/>
        <w:spacing w:line="264" w:lineRule="auto"/>
        <w:jc w:val="center"/>
        <w:rPr>
          <w:b/>
        </w:rPr>
      </w:pPr>
      <w:r w:rsidRPr="002B75A7">
        <w:rPr>
          <w:b/>
        </w:rPr>
        <w:t xml:space="preserve">NOTICE </w:t>
      </w:r>
      <w:r w:rsidR="00110102">
        <w:rPr>
          <w:b/>
        </w:rPr>
        <w:t xml:space="preserve">THAT THE COMMISSION </w:t>
      </w:r>
    </w:p>
    <w:p w14:paraId="657162AC" w14:textId="44119CF1" w:rsidR="002B75A7" w:rsidRPr="002B75A7" w:rsidRDefault="00110102" w:rsidP="00110102">
      <w:pPr>
        <w:pStyle w:val="NoSpacing"/>
        <w:spacing w:line="264" w:lineRule="auto"/>
        <w:jc w:val="center"/>
        <w:rPr>
          <w:b/>
        </w:rPr>
      </w:pPr>
      <w:r>
        <w:rPr>
          <w:b/>
        </w:rPr>
        <w:t>WILL NOT ENTER A DECLARATORY ORDER</w:t>
      </w:r>
    </w:p>
    <w:p w14:paraId="49E348EF" w14:textId="77777777" w:rsidR="002B75A7" w:rsidRPr="002B75A7" w:rsidRDefault="002B75A7" w:rsidP="00682972">
      <w:pPr>
        <w:pStyle w:val="NoSpacing"/>
        <w:spacing w:line="264" w:lineRule="auto"/>
        <w:jc w:val="center"/>
        <w:rPr>
          <w:b/>
        </w:rPr>
      </w:pPr>
    </w:p>
    <w:p w14:paraId="2F71DA9B" w14:textId="77777777" w:rsidR="002B75A7" w:rsidRDefault="002B75A7" w:rsidP="00682972">
      <w:pPr>
        <w:pStyle w:val="NoSpacing"/>
        <w:spacing w:line="264" w:lineRule="auto"/>
      </w:pPr>
    </w:p>
    <w:p w14:paraId="46B84EC3" w14:textId="77777777" w:rsidR="002B75A7" w:rsidRDefault="002B75A7" w:rsidP="00682972">
      <w:pPr>
        <w:pStyle w:val="NoSpacing"/>
        <w:spacing w:line="264" w:lineRule="auto"/>
        <w:ind w:left="720" w:hanging="720"/>
      </w:pPr>
      <w:r>
        <w:t>RE:</w:t>
      </w:r>
      <w:r>
        <w:tab/>
      </w:r>
      <w:r w:rsidRPr="002B75A7">
        <w:rPr>
          <w:i/>
        </w:rPr>
        <w:t xml:space="preserve">In the Matter of the Petition of </w:t>
      </w:r>
      <w:r w:rsidR="000F767C">
        <w:rPr>
          <w:i/>
        </w:rPr>
        <w:t>Puget Sound Energy</w:t>
      </w:r>
      <w:r w:rsidRPr="002B75A7">
        <w:rPr>
          <w:i/>
        </w:rPr>
        <w:t xml:space="preserve"> </w:t>
      </w:r>
      <w:r w:rsidR="002B5662">
        <w:rPr>
          <w:i/>
        </w:rPr>
        <w:t>F</w:t>
      </w:r>
      <w:r w:rsidRPr="002B75A7">
        <w:rPr>
          <w:i/>
        </w:rPr>
        <w:t>or a Declaratory Order</w:t>
      </w:r>
      <w:r w:rsidR="002B5662">
        <w:rPr>
          <w:i/>
        </w:rPr>
        <w:t xml:space="preserve"> </w:t>
      </w:r>
      <w:r w:rsidR="000F767C">
        <w:rPr>
          <w:i/>
        </w:rPr>
        <w:t>on the Commitment to Accelerate Conservation as Part of PSE’s Decoupling Mechanism</w:t>
      </w:r>
      <w:r>
        <w:t xml:space="preserve">, Docket </w:t>
      </w:r>
      <w:r w:rsidR="002B5662">
        <w:t>UE-1413</w:t>
      </w:r>
      <w:r w:rsidR="000F767C">
        <w:t>57</w:t>
      </w:r>
    </w:p>
    <w:p w14:paraId="27B25E6A" w14:textId="77777777" w:rsidR="002B75A7" w:rsidRDefault="002B75A7" w:rsidP="00682972">
      <w:pPr>
        <w:pStyle w:val="NoSpacing"/>
        <w:spacing w:line="264" w:lineRule="auto"/>
      </w:pPr>
    </w:p>
    <w:p w14:paraId="00DCDE9B" w14:textId="77777777" w:rsidR="002B75A7" w:rsidRDefault="002B75A7" w:rsidP="00682972">
      <w:pPr>
        <w:pStyle w:val="NoSpacing"/>
        <w:spacing w:line="264" w:lineRule="auto"/>
      </w:pPr>
      <w:r>
        <w:t>TO ALL PARTIES AND INTERESTED PERSONS:</w:t>
      </w:r>
    </w:p>
    <w:p w14:paraId="34548879" w14:textId="77777777" w:rsidR="002B75A7" w:rsidRDefault="002B75A7" w:rsidP="00682972">
      <w:pPr>
        <w:pStyle w:val="NoSpacing"/>
        <w:spacing w:line="264" w:lineRule="auto"/>
      </w:pPr>
    </w:p>
    <w:p w14:paraId="2A044B39" w14:textId="77777777" w:rsidR="005477F2" w:rsidRDefault="002B75A7" w:rsidP="00682972">
      <w:pPr>
        <w:pStyle w:val="NoSpacing"/>
        <w:spacing w:line="264" w:lineRule="auto"/>
      </w:pPr>
      <w:r>
        <w:t xml:space="preserve">On </w:t>
      </w:r>
      <w:r w:rsidR="00D51F8D">
        <w:t>J</w:t>
      </w:r>
      <w:r w:rsidR="002B5662">
        <w:t>une 2</w:t>
      </w:r>
      <w:r w:rsidR="000F767C">
        <w:t>7</w:t>
      </w:r>
      <w:r w:rsidR="00D51F8D">
        <w:t>, 201</w:t>
      </w:r>
      <w:r w:rsidR="002B5662">
        <w:t>4</w:t>
      </w:r>
      <w:r>
        <w:t xml:space="preserve">, </w:t>
      </w:r>
      <w:r w:rsidR="000F767C">
        <w:t>Puget Sound Energy (PSE</w:t>
      </w:r>
      <w:r w:rsidR="00011525">
        <w:t xml:space="preserve"> or Company</w:t>
      </w:r>
      <w:r w:rsidR="000F767C">
        <w:t xml:space="preserve">) </w:t>
      </w:r>
      <w:r>
        <w:t xml:space="preserve">filed with the Washington Utilities and Transportation Commission (Commission) a Petition for Declaratory Order </w:t>
      </w:r>
      <w:r w:rsidR="00BF549B">
        <w:t>(Petition)</w:t>
      </w:r>
      <w:r w:rsidR="000F767C">
        <w:t xml:space="preserve"> </w:t>
      </w:r>
      <w:r w:rsidR="00154609">
        <w:t xml:space="preserve">requesting a Commission determination that: (1) </w:t>
      </w:r>
      <w:r w:rsidR="00154609" w:rsidRPr="00B9164E">
        <w:rPr>
          <w:szCs w:val="24"/>
        </w:rPr>
        <w:t>PSE’s commitment to accelerate its acquisition of energy efficiency commenced with the implementation of the decoupling mechanism in July 2013</w:t>
      </w:r>
      <w:r w:rsidR="00154609">
        <w:rPr>
          <w:szCs w:val="24"/>
        </w:rPr>
        <w:t xml:space="preserve">; </w:t>
      </w:r>
      <w:r w:rsidR="00154609" w:rsidRPr="00B9164E">
        <w:rPr>
          <w:szCs w:val="24"/>
        </w:rPr>
        <w:t xml:space="preserve"> </w:t>
      </w:r>
      <w:r w:rsidR="00154609">
        <w:rPr>
          <w:szCs w:val="24"/>
        </w:rPr>
        <w:t>(2) it is appropriate to prorate the commitment over the biennium to reflect only the period when the decoupling mechanism is in effect; and (3)</w:t>
      </w:r>
      <w:r w:rsidR="00154609" w:rsidRPr="004E2B3B">
        <w:rPr>
          <w:szCs w:val="24"/>
        </w:rPr>
        <w:t xml:space="preserve"> </w:t>
      </w:r>
      <w:r w:rsidR="00154609" w:rsidRPr="00B9164E">
        <w:rPr>
          <w:szCs w:val="24"/>
        </w:rPr>
        <w:t>PSE has not violated its commitment to accelerate its acquisition of energy efficiency by achieving 104.8</w:t>
      </w:r>
      <w:r w:rsidR="00154609">
        <w:rPr>
          <w:szCs w:val="24"/>
        </w:rPr>
        <w:t xml:space="preserve"> percent </w:t>
      </w:r>
      <w:r w:rsidR="00154609" w:rsidRPr="00B9164E">
        <w:rPr>
          <w:szCs w:val="24"/>
        </w:rPr>
        <w:t>of its conservation target in the 2012-2013 biennium.</w:t>
      </w:r>
      <w:r w:rsidR="000F767C">
        <w:t xml:space="preserve">  </w:t>
      </w:r>
    </w:p>
    <w:p w14:paraId="01C690B5" w14:textId="77777777" w:rsidR="005477F2" w:rsidRDefault="005477F2" w:rsidP="00682972">
      <w:pPr>
        <w:pStyle w:val="NoSpacing"/>
        <w:spacing w:line="264" w:lineRule="auto"/>
      </w:pPr>
    </w:p>
    <w:p w14:paraId="39AA140F" w14:textId="26ECDDF3" w:rsidR="002B75A7" w:rsidRDefault="00A43A6C" w:rsidP="00682972">
      <w:pPr>
        <w:pStyle w:val="NoSpacing"/>
        <w:spacing w:line="264" w:lineRule="auto"/>
      </w:pPr>
      <w:r>
        <w:lastRenderedPageBreak/>
        <w:t xml:space="preserve">PSE, in </w:t>
      </w:r>
      <w:r w:rsidR="005477F2">
        <w:t>effect</w:t>
      </w:r>
      <w:r>
        <w:t xml:space="preserve">, seeks a declaratory order that would </w:t>
      </w:r>
      <w:r w:rsidR="005477F2">
        <w:t xml:space="preserve">add detailed provisions to the Commission’s order approving </w:t>
      </w:r>
      <w:r w:rsidR="00011525">
        <w:t>the Company’s</w:t>
      </w:r>
      <w:r w:rsidR="005477F2">
        <w:t xml:space="preserve"> decoupling mechanisms.</w:t>
      </w:r>
      <w:r w:rsidR="00011525">
        <w:rPr>
          <w:rStyle w:val="FootnoteReference"/>
        </w:rPr>
        <w:footnoteReference w:id="1"/>
      </w:r>
      <w:r w:rsidR="005477F2">
        <w:t xml:space="preserve">  PSE’s purpose is to insulate</w:t>
      </w:r>
      <w:r>
        <w:t xml:space="preserve"> the Company from the possibility of a Commission enforcement action </w:t>
      </w:r>
      <w:r w:rsidR="00F00ED4">
        <w:t xml:space="preserve">alleging that </w:t>
      </w:r>
      <w:r>
        <w:t>PSE did not meet its</w:t>
      </w:r>
      <w:r w:rsidRPr="00A43A6C">
        <w:t xml:space="preserve"> commitment to accelerate its conservation achievement</w:t>
      </w:r>
      <w:r>
        <w:t xml:space="preserve"> during the 2012-2013 biennium as part of the </w:t>
      </w:r>
      <w:r w:rsidR="00152D3A">
        <w:t>agreement among some of the parties</w:t>
      </w:r>
      <w:r w:rsidR="00372447">
        <w:t xml:space="preserve"> </w:t>
      </w:r>
      <w:r>
        <w:t>for approval of decoupling.</w:t>
      </w:r>
    </w:p>
    <w:p w14:paraId="4CD04A4C" w14:textId="77777777" w:rsidR="002B75A7" w:rsidRDefault="002B75A7" w:rsidP="00682972">
      <w:pPr>
        <w:pStyle w:val="NoSpacing"/>
        <w:spacing w:line="264" w:lineRule="auto"/>
      </w:pPr>
    </w:p>
    <w:p w14:paraId="6DBF194D" w14:textId="77777777" w:rsidR="00110102" w:rsidRDefault="00110102" w:rsidP="00682972">
      <w:pPr>
        <w:pStyle w:val="NoSpacing"/>
        <w:spacing w:line="264" w:lineRule="auto"/>
      </w:pPr>
      <w:r>
        <w:t>T</w:t>
      </w:r>
      <w:r w:rsidR="002B75A7">
        <w:t>he Commission g</w:t>
      </w:r>
      <w:r>
        <w:t>a</w:t>
      </w:r>
      <w:r w:rsidR="002B75A7">
        <w:t xml:space="preserve">ve notice of </w:t>
      </w:r>
      <w:r w:rsidR="000F767C">
        <w:t>PSE’s</w:t>
      </w:r>
      <w:r w:rsidR="002B75A7">
        <w:t xml:space="preserve"> </w:t>
      </w:r>
      <w:r w:rsidR="00BF549B">
        <w:t>P</w:t>
      </w:r>
      <w:r w:rsidR="002B75A7">
        <w:t xml:space="preserve">etition </w:t>
      </w:r>
      <w:r>
        <w:t xml:space="preserve">as required by </w:t>
      </w:r>
      <w:r w:rsidRPr="00110102">
        <w:t xml:space="preserve">RCW 34.05.240 and WAC 480-07-930, </w:t>
      </w:r>
      <w:r>
        <w:t xml:space="preserve">and invited </w:t>
      </w:r>
      <w:r w:rsidR="002B75A7">
        <w:t>interested persons to submit a statement of fact and law</w:t>
      </w:r>
      <w:r w:rsidR="00222EE8">
        <w:t xml:space="preserve"> on the </w:t>
      </w:r>
      <w:r w:rsidR="00BF549B">
        <w:t>issues raised</w:t>
      </w:r>
      <w:r w:rsidR="00222EE8">
        <w:t xml:space="preserve"> by the </w:t>
      </w:r>
      <w:r w:rsidR="00BF549B">
        <w:t>P</w:t>
      </w:r>
      <w:r w:rsidR="00222EE8">
        <w:t>etition.</w:t>
      </w:r>
      <w:r w:rsidR="00BF549B">
        <w:t xml:space="preserve"> </w:t>
      </w:r>
      <w:r>
        <w:t xml:space="preserve"> On July 18, 2014, the Northwest Energy Coalition (NWEC) and the Commission’s regulatory staff (Staff) individually filed comments.</w:t>
      </w:r>
      <w:r w:rsidR="00BF549B">
        <w:t xml:space="preserve"> </w:t>
      </w:r>
    </w:p>
    <w:p w14:paraId="573A9B0E" w14:textId="77777777" w:rsidR="00110102" w:rsidRDefault="00110102" w:rsidP="00682972">
      <w:pPr>
        <w:pStyle w:val="NoSpacing"/>
        <w:spacing w:line="264" w:lineRule="auto"/>
      </w:pPr>
    </w:p>
    <w:p w14:paraId="7E5B3A21" w14:textId="7992D8E3" w:rsidR="002B75A7" w:rsidRDefault="00110102" w:rsidP="00A43A6C">
      <w:pPr>
        <w:pStyle w:val="NoSpacing"/>
        <w:spacing w:after="240" w:line="264" w:lineRule="auto"/>
      </w:pPr>
      <w:r w:rsidRPr="00110102">
        <w:t>RCW 34.05.240 and WAC 480-07-930</w:t>
      </w:r>
      <w:r>
        <w:t xml:space="preserve"> require the Commission, w</w:t>
      </w:r>
      <w:r w:rsidR="00BF549B">
        <w:t xml:space="preserve">ithin thirty days of receiving </w:t>
      </w:r>
      <w:r>
        <w:t>PSE’s</w:t>
      </w:r>
      <w:r w:rsidR="00BF549B">
        <w:t xml:space="preserve"> Petition, </w:t>
      </w:r>
      <w:r w:rsidR="0015471D">
        <w:t xml:space="preserve">to take one of the following actions; (1) </w:t>
      </w:r>
      <w:r w:rsidR="00BF549B">
        <w:t xml:space="preserve">enter a declaratory order, </w:t>
      </w:r>
      <w:r w:rsidR="0015471D">
        <w:t xml:space="preserve">(2) </w:t>
      </w:r>
      <w:r w:rsidR="00BF549B">
        <w:t xml:space="preserve">notify </w:t>
      </w:r>
      <w:r w:rsidR="000F767C">
        <w:t>PSE</w:t>
      </w:r>
      <w:r w:rsidR="00BF549B">
        <w:t xml:space="preserve"> that no order will be entered, </w:t>
      </w:r>
      <w:r w:rsidR="0015471D">
        <w:t xml:space="preserve">(3) </w:t>
      </w:r>
      <w:r w:rsidR="00397E63">
        <w:t>set</w:t>
      </w:r>
      <w:r w:rsidR="00BF549B">
        <w:t xml:space="preserve"> a </w:t>
      </w:r>
      <w:r w:rsidR="00724974">
        <w:t>date</w:t>
      </w:r>
      <w:r w:rsidR="00BF549B">
        <w:t xml:space="preserve"> by which the Commission will enter an order, or </w:t>
      </w:r>
      <w:r w:rsidR="0015471D">
        <w:t xml:space="preserve">(4) </w:t>
      </w:r>
      <w:r w:rsidR="00BF549B">
        <w:t xml:space="preserve">set </w:t>
      </w:r>
      <w:r w:rsidR="00724974">
        <w:t xml:space="preserve">a date and </w:t>
      </w:r>
      <w:r w:rsidR="00BF549B">
        <w:t xml:space="preserve">time for a hearing.  </w:t>
      </w:r>
    </w:p>
    <w:p w14:paraId="0CD20039" w14:textId="77777777" w:rsidR="00397E63" w:rsidRDefault="00A13486" w:rsidP="00397E63">
      <w:pPr>
        <w:pStyle w:val="NoSpacing"/>
        <w:spacing w:line="264" w:lineRule="auto"/>
      </w:pPr>
      <w:r>
        <w:t>T</w:t>
      </w:r>
      <w:r w:rsidR="00397E63" w:rsidRPr="00397E63">
        <w:t>he Commission may enter a declaratory order upon a showing:</w:t>
      </w:r>
    </w:p>
    <w:p w14:paraId="592ECA10" w14:textId="77777777" w:rsidR="008E034C" w:rsidRPr="00397E63" w:rsidRDefault="008E034C" w:rsidP="00397E63">
      <w:pPr>
        <w:pStyle w:val="NoSpacing"/>
        <w:spacing w:line="264" w:lineRule="auto"/>
      </w:pPr>
    </w:p>
    <w:p w14:paraId="6F5F4479" w14:textId="77777777" w:rsidR="00397E63" w:rsidRPr="00397E63" w:rsidRDefault="00397E63" w:rsidP="00A13486">
      <w:pPr>
        <w:pStyle w:val="NoSpacing"/>
        <w:spacing w:before="120" w:after="120" w:line="264" w:lineRule="auto"/>
        <w:ind w:left="720" w:right="720"/>
      </w:pPr>
      <w:r w:rsidRPr="00397E63">
        <w:t>(a)</w:t>
      </w:r>
      <w:r w:rsidRPr="00397E63">
        <w:tab/>
        <w:t>That uncertainty necessitating resolution exists</w:t>
      </w:r>
      <w:r w:rsidR="00A13486">
        <w:t>.</w:t>
      </w:r>
    </w:p>
    <w:p w14:paraId="34D2D7E2" w14:textId="77777777" w:rsidR="00397E63" w:rsidRPr="00397E63" w:rsidRDefault="00397E63" w:rsidP="008E034C">
      <w:pPr>
        <w:pStyle w:val="NoSpacing"/>
        <w:spacing w:after="120" w:line="264" w:lineRule="auto"/>
        <w:ind w:left="1440" w:right="720" w:hanging="720"/>
      </w:pPr>
      <w:r w:rsidRPr="00397E63">
        <w:t>(b)</w:t>
      </w:r>
      <w:r w:rsidRPr="00397E63">
        <w:tab/>
        <w:t>That there is actual controversy arising from the uncertainty such that a declaratory order will not be merely an advisory opinion</w:t>
      </w:r>
      <w:r w:rsidR="00A13486">
        <w:t>.</w:t>
      </w:r>
    </w:p>
    <w:p w14:paraId="17B0D1BF" w14:textId="77777777" w:rsidR="00397E63" w:rsidRPr="00397E63" w:rsidRDefault="00397E63" w:rsidP="00A13486">
      <w:pPr>
        <w:pStyle w:val="NoSpacing"/>
        <w:spacing w:after="120" w:line="264" w:lineRule="auto"/>
        <w:ind w:left="720" w:right="720"/>
      </w:pPr>
      <w:r w:rsidRPr="00397E63">
        <w:t>(c)</w:t>
      </w:r>
      <w:r w:rsidRPr="00397E63">
        <w:tab/>
        <w:t>That the uncertainty adversely affects the petitioner</w:t>
      </w:r>
      <w:r w:rsidR="00A13486">
        <w:t>.</w:t>
      </w:r>
    </w:p>
    <w:p w14:paraId="756B3B4A" w14:textId="77777777" w:rsidR="00397E63" w:rsidRPr="00397E63" w:rsidRDefault="00397E63" w:rsidP="008E034C">
      <w:pPr>
        <w:pStyle w:val="NoSpacing"/>
        <w:spacing w:after="120" w:line="264" w:lineRule="auto"/>
        <w:ind w:left="1440" w:right="720" w:hanging="720"/>
      </w:pPr>
      <w:r w:rsidRPr="00397E63">
        <w:t>(d)</w:t>
      </w:r>
      <w:r w:rsidRPr="00397E63">
        <w:tab/>
        <w:t>That the adverse effect of uncertainty on the petitioner outweighs any adverse effects on others or on the general public that may likely arise from the order requested</w:t>
      </w:r>
      <w:r w:rsidR="00A13486">
        <w:t>.</w:t>
      </w:r>
      <w:r w:rsidR="00A13486">
        <w:rPr>
          <w:rStyle w:val="FootnoteReference"/>
        </w:rPr>
        <w:footnoteReference w:id="2"/>
      </w:r>
      <w:r w:rsidRPr="00397E63">
        <w:t xml:space="preserve"> </w:t>
      </w:r>
    </w:p>
    <w:p w14:paraId="2DCE7AD9" w14:textId="77777777" w:rsidR="00222EE8" w:rsidRDefault="00222EE8" w:rsidP="00682972">
      <w:pPr>
        <w:pStyle w:val="NoSpacing"/>
        <w:spacing w:line="264" w:lineRule="auto"/>
      </w:pPr>
    </w:p>
    <w:p w14:paraId="654B9F23" w14:textId="77777777" w:rsidR="00222EE8" w:rsidRDefault="00A13486" w:rsidP="00682972">
      <w:pPr>
        <w:pStyle w:val="NoSpacing"/>
        <w:spacing w:line="264" w:lineRule="auto"/>
      </w:pPr>
      <w:r>
        <w:t>PSE states in its Petition that “t</w:t>
      </w:r>
      <w:r w:rsidRPr="00A13486">
        <w:t>he uncertainty to be resolved by this petition is whether PSE is in compliance with its commitment to accelerate conservation, approved by the Commission in the Decoupling Final Order.</w:t>
      </w:r>
      <w:r>
        <w:t xml:space="preserve">”  </w:t>
      </w:r>
      <w:r w:rsidR="00277454">
        <w:t>PSE states further that:</w:t>
      </w:r>
    </w:p>
    <w:p w14:paraId="2124E66C" w14:textId="77777777" w:rsidR="00277454" w:rsidRDefault="00277454" w:rsidP="00682972">
      <w:pPr>
        <w:pStyle w:val="NoSpacing"/>
        <w:spacing w:line="264" w:lineRule="auto"/>
      </w:pPr>
    </w:p>
    <w:p w14:paraId="1FA87582" w14:textId="77777777" w:rsidR="00277454" w:rsidRDefault="00277454" w:rsidP="008E034C">
      <w:pPr>
        <w:pStyle w:val="NoSpacing"/>
        <w:tabs>
          <w:tab w:val="left" w:pos="7920"/>
        </w:tabs>
        <w:ind w:left="720" w:right="720"/>
      </w:pPr>
      <w:r w:rsidRPr="00277454">
        <w:t>WUTC Staff disagrees with PSE’s interpretation of its commitment--that the obligation to accelerate decoupling began with the implementation of the decoupling mechanism.  WUTC Staff and other stakeholders are questioning whether PSE has complied with its decoupling commitment to accelerate conservation.  They have suggested that PSE may be subject to penalties for its failure to comply with its decoupling commitment.  There is an actual controversy between PSE and these stakeholders.  A Commission order will not be merely an advisory opinion but will resolve this controversy.</w:t>
      </w:r>
    </w:p>
    <w:p w14:paraId="1CB0BF84" w14:textId="77777777" w:rsidR="00222EE8" w:rsidRDefault="00222EE8" w:rsidP="00682972">
      <w:pPr>
        <w:pStyle w:val="NoSpacing"/>
        <w:spacing w:line="264" w:lineRule="auto"/>
      </w:pPr>
    </w:p>
    <w:p w14:paraId="43AFE2C6" w14:textId="77777777" w:rsidR="00BE4057" w:rsidRDefault="00277454" w:rsidP="00682972">
      <w:pPr>
        <w:pStyle w:val="NoSpacing"/>
        <w:spacing w:line="264" w:lineRule="auto"/>
      </w:pPr>
      <w:r>
        <w:t>Staff confirms via its comments filed on July 18, 2014, that it disagrees with PSE’s interpretation of the Company’s commitment</w:t>
      </w:r>
      <w:r w:rsidR="00BE4057">
        <w:t xml:space="preserve"> that would have it apply on a pro rata basis for the period following the Commission’s approval of decoupling (</w:t>
      </w:r>
      <w:r w:rsidR="00BE4057" w:rsidRPr="00011525">
        <w:rPr>
          <w:i/>
        </w:rPr>
        <w:t>i.e.,</w:t>
      </w:r>
      <w:r w:rsidR="00BE4057">
        <w:t xml:space="preserve"> one-quarter of the 2012-13 biennium)</w:t>
      </w:r>
      <w:r>
        <w:t>.</w:t>
      </w:r>
      <w:r w:rsidR="0064180E">
        <w:t xml:space="preserve">  However, Staff also states that “[n]</w:t>
      </w:r>
      <w:r w:rsidR="0064180E" w:rsidRPr="0064180E">
        <w:t xml:space="preserve">either the </w:t>
      </w:r>
      <w:r w:rsidR="0064180E" w:rsidRPr="0064180E">
        <w:rPr>
          <w:i/>
        </w:rPr>
        <w:t>Multiparty</w:t>
      </w:r>
      <w:r w:rsidR="00011525">
        <w:rPr>
          <w:i/>
        </w:rPr>
        <w:t xml:space="preserve"> </w:t>
      </w:r>
      <w:r w:rsidR="0064180E" w:rsidRPr="0064180E">
        <w:rPr>
          <w:i/>
        </w:rPr>
        <w:t>Settlement</w:t>
      </w:r>
      <w:r w:rsidR="0064180E" w:rsidRPr="0064180E">
        <w:t xml:space="preserve"> nor the </w:t>
      </w:r>
      <w:r w:rsidR="0064180E" w:rsidRPr="0064180E">
        <w:rPr>
          <w:i/>
        </w:rPr>
        <w:t>Decoupling Order</w:t>
      </w:r>
      <w:r w:rsidR="0064180E" w:rsidRPr="0064180E">
        <w:t xml:space="preserve"> provide specific guidance on PSE’s conservation commitment during this initial period.</w:t>
      </w:r>
      <w:r w:rsidR="0064180E">
        <w:t>”</w:t>
      </w:r>
      <w:r w:rsidR="0064180E">
        <w:rPr>
          <w:rStyle w:val="FootnoteReference"/>
        </w:rPr>
        <w:footnoteReference w:id="3"/>
      </w:r>
      <w:r w:rsidR="0064180E">
        <w:t xml:space="preserve"> </w:t>
      </w:r>
      <w:r w:rsidR="00A43A6C">
        <w:t xml:space="preserve"> </w:t>
      </w:r>
    </w:p>
    <w:p w14:paraId="4D9BAC22" w14:textId="77777777" w:rsidR="00BE4057" w:rsidRDefault="00BE4057" w:rsidP="00682972">
      <w:pPr>
        <w:pStyle w:val="NoSpacing"/>
        <w:spacing w:line="264" w:lineRule="auto"/>
      </w:pPr>
    </w:p>
    <w:p w14:paraId="682764E6" w14:textId="77777777" w:rsidR="00A43A6C" w:rsidRDefault="00011525" w:rsidP="00682972">
      <w:pPr>
        <w:pStyle w:val="NoSpacing"/>
        <w:spacing w:line="264" w:lineRule="auto"/>
        <w:rPr>
          <w:rFonts w:eastAsia="Times New Roman" w:cs="Times New Roman"/>
          <w:sz w:val="24"/>
          <w:szCs w:val="20"/>
        </w:rPr>
      </w:pPr>
      <w:r>
        <w:t>NWEC</w:t>
      </w:r>
      <w:r w:rsidR="00A43A6C">
        <w:t xml:space="preserve"> emphasizes that the subject PSE’s raises through its Petition simply never came up as NWEC and the Company prepared the decoupling filing and as they and Staff ultimately settled the matter.</w:t>
      </w:r>
      <w:r w:rsidR="0064180E">
        <w:t xml:space="preserve">  NWEC opines that it would be unfair to apply PSE’s commitment to periods predating Commission approval of decoupling because nothing in the record makes clear that the commitment was meant to apply during such time.  NWEC says, however, that:</w:t>
      </w:r>
      <w:r w:rsidR="00A43A6C" w:rsidRPr="00A43A6C">
        <w:rPr>
          <w:rFonts w:eastAsia="Times New Roman" w:cs="Times New Roman"/>
          <w:sz w:val="24"/>
          <w:szCs w:val="20"/>
        </w:rPr>
        <w:t xml:space="preserve"> </w:t>
      </w:r>
    </w:p>
    <w:p w14:paraId="4A56AF82" w14:textId="77777777" w:rsidR="00BE4057" w:rsidRDefault="00BE4057" w:rsidP="00682972">
      <w:pPr>
        <w:pStyle w:val="NoSpacing"/>
        <w:spacing w:line="264" w:lineRule="auto"/>
        <w:rPr>
          <w:rFonts w:eastAsia="Times New Roman" w:cs="Times New Roman"/>
          <w:sz w:val="24"/>
          <w:szCs w:val="20"/>
        </w:rPr>
      </w:pPr>
    </w:p>
    <w:p w14:paraId="7A97F3E7" w14:textId="77777777" w:rsidR="00277454" w:rsidRDefault="00A43A6C" w:rsidP="00A43A6C">
      <w:pPr>
        <w:pStyle w:val="NoSpacing"/>
        <w:ind w:left="720" w:right="720"/>
      </w:pPr>
      <w:r w:rsidRPr="00A43A6C">
        <w:t>While it would be inappropriate to apply PSE’s commitment to exceed its biennial conservation target retroactively in the absence of clear authority, the NW Energy Coalition believes the Commission should require PSE to exceed its biennial conservation target by 5% for the full 2014-15 biennium and the full 2016-17 biennium.</w:t>
      </w:r>
      <w:r w:rsidR="006F05A9">
        <w:rPr>
          <w:rStyle w:val="FootnoteReference"/>
        </w:rPr>
        <w:footnoteReference w:id="4"/>
      </w:r>
    </w:p>
    <w:p w14:paraId="3274D16A" w14:textId="77777777" w:rsidR="00277454" w:rsidRDefault="00277454" w:rsidP="00682972">
      <w:pPr>
        <w:pStyle w:val="NoSpacing"/>
        <w:spacing w:line="264" w:lineRule="auto"/>
      </w:pPr>
    </w:p>
    <w:p w14:paraId="4692A9F2" w14:textId="77777777" w:rsidR="006F05A9" w:rsidRDefault="006F05A9" w:rsidP="00682972">
      <w:pPr>
        <w:pStyle w:val="NoSpacing"/>
        <w:spacing w:line="264" w:lineRule="auto"/>
      </w:pPr>
      <w:r>
        <w:lastRenderedPageBreak/>
        <w:t>Staff supports NWEC’s proposal that the Commission treat</w:t>
      </w:r>
      <w:r w:rsidRPr="006F05A9">
        <w:t xml:space="preserve"> PSE’s last biennium as a full biennium whether or not PSE’s decoupling program remains in effect during the entire period.</w:t>
      </w:r>
      <w:r>
        <w:rPr>
          <w:rStyle w:val="FootnoteReference"/>
        </w:rPr>
        <w:footnoteReference w:id="5"/>
      </w:r>
      <w:r w:rsidR="00011525">
        <w:t xml:space="preserve">  Staff describes this as “an alternative” to resolving the question raised by PSE’s Petition.</w:t>
      </w:r>
      <w:r w:rsidR="00011525">
        <w:rPr>
          <w:rStyle w:val="FootnoteReference"/>
        </w:rPr>
        <w:footnoteReference w:id="6"/>
      </w:r>
    </w:p>
    <w:p w14:paraId="038E8BF9" w14:textId="77777777" w:rsidR="005477F2" w:rsidRDefault="005477F2" w:rsidP="00682972">
      <w:pPr>
        <w:pStyle w:val="NoSpacing"/>
        <w:spacing w:line="264" w:lineRule="auto"/>
      </w:pPr>
    </w:p>
    <w:p w14:paraId="0E9C87E2" w14:textId="38001E26" w:rsidR="005477F2" w:rsidRDefault="00F00ED4" w:rsidP="00011525">
      <w:pPr>
        <w:pStyle w:val="NoSpacing"/>
        <w:spacing w:line="264" w:lineRule="auto"/>
      </w:pPr>
      <w:r>
        <w:t xml:space="preserve">We decline to enter the requested declaratory order.  The </w:t>
      </w:r>
      <w:r w:rsidR="005477F2" w:rsidRPr="005477F2">
        <w:t xml:space="preserve">uncertainty </w:t>
      </w:r>
      <w:r>
        <w:t>described</w:t>
      </w:r>
      <w:r w:rsidR="005477F2">
        <w:t xml:space="preserve"> in PSE’s Petition and the responses </w:t>
      </w:r>
      <w:r>
        <w:t xml:space="preserve">does not give rise to an </w:t>
      </w:r>
      <w:r w:rsidR="005477F2" w:rsidRPr="005477F2">
        <w:t xml:space="preserve">actual controversy </w:t>
      </w:r>
      <w:r w:rsidR="00011525">
        <w:t xml:space="preserve">that can, or should, be resolved by means of </w:t>
      </w:r>
      <w:r w:rsidR="005477F2" w:rsidRPr="005477F2">
        <w:t>a declaratory order.</w:t>
      </w:r>
      <w:r w:rsidR="00011525">
        <w:t xml:space="preserve">  </w:t>
      </w:r>
      <w:r w:rsidR="006A4FB6">
        <w:t>Such a controversy would only arise</w:t>
      </w:r>
      <w:r w:rsidR="00011525">
        <w:t xml:space="preserve"> if Staff, or the Commission on its own motion, </w:t>
      </w:r>
      <w:r w:rsidR="006A4FB6">
        <w:t>initiates</w:t>
      </w:r>
      <w:r w:rsidR="00011525">
        <w:t xml:space="preserve"> a complaint against PSE for failing to </w:t>
      </w:r>
      <w:r w:rsidR="006A4FB6">
        <w:t>satisfy</w:t>
      </w:r>
      <w:r w:rsidR="00011525">
        <w:t xml:space="preserve"> its commitments</w:t>
      </w:r>
      <w:r w:rsidR="005477F2" w:rsidRPr="005477F2">
        <w:t>.</w:t>
      </w:r>
      <w:r w:rsidR="00011525">
        <w:t xml:space="preserve">  </w:t>
      </w:r>
      <w:r w:rsidR="00152D3A">
        <w:t xml:space="preserve">This scenario </w:t>
      </w:r>
      <w:r w:rsidR="00511779">
        <w:t>is</w:t>
      </w:r>
      <w:r w:rsidR="00152D3A">
        <w:t xml:space="preserve"> speculative</w:t>
      </w:r>
      <w:r w:rsidR="00511779">
        <w:t>, and therefore</w:t>
      </w:r>
      <w:r w:rsidR="006A4FB6">
        <w:t xml:space="preserve"> any adverse impact on PSE from the uncertainty is speculative and does not warrant Commission interpretation or clarification of PSE’s commitments through</w:t>
      </w:r>
      <w:r w:rsidR="00011525">
        <w:t xml:space="preserve"> a declaratory order.</w:t>
      </w:r>
    </w:p>
    <w:p w14:paraId="261593F6" w14:textId="77777777" w:rsidR="00463C6A" w:rsidRDefault="00463C6A" w:rsidP="00011525">
      <w:pPr>
        <w:pStyle w:val="NoSpacing"/>
        <w:spacing w:line="264" w:lineRule="auto"/>
      </w:pPr>
    </w:p>
    <w:p w14:paraId="24DA1A50" w14:textId="77777777" w:rsidR="00463C6A" w:rsidRPr="005477F2" w:rsidRDefault="00463C6A" w:rsidP="00011525">
      <w:pPr>
        <w:pStyle w:val="NoSpacing"/>
        <w:spacing w:line="264" w:lineRule="auto"/>
      </w:pPr>
      <w:r>
        <w:t xml:space="preserve">The Commission </w:t>
      </w:r>
      <w:r w:rsidR="006A4FB6">
        <w:t xml:space="preserve">nevertheless </w:t>
      </w:r>
      <w:r>
        <w:t xml:space="preserve">has an interest in resolving ambiguity and promoting clarity to prevent future conflict.  </w:t>
      </w:r>
      <w:r w:rsidR="00BE2E32">
        <w:t xml:space="preserve">We do not wish to find ourselves </w:t>
      </w:r>
      <w:r w:rsidR="00306D3D">
        <w:t xml:space="preserve">presented with the same question </w:t>
      </w:r>
      <w:r w:rsidR="006A4FB6">
        <w:t xml:space="preserve">two years from now </w:t>
      </w:r>
      <w:r w:rsidR="00306D3D">
        <w:t xml:space="preserve">regarding </w:t>
      </w:r>
      <w:r w:rsidR="00AA0DEB">
        <w:t>the application of</w:t>
      </w:r>
      <w:r w:rsidR="00BE2E32">
        <w:t xml:space="preserve"> PSE’s commitment to </w:t>
      </w:r>
      <w:r w:rsidR="00BE2E32" w:rsidRPr="00A43A6C">
        <w:t xml:space="preserve">exceed its biennial conservation target </w:t>
      </w:r>
      <w:r w:rsidR="00BE2E32">
        <w:t>to the entire 201</w:t>
      </w:r>
      <w:r w:rsidR="00AA0DEB">
        <w:t>4</w:t>
      </w:r>
      <w:r w:rsidR="00BE2E32">
        <w:t>-1</w:t>
      </w:r>
      <w:r w:rsidR="00AA0DEB">
        <w:t>5</w:t>
      </w:r>
      <w:r w:rsidR="00BE2E32">
        <w:t xml:space="preserve"> biennium.</w:t>
      </w:r>
      <w:r w:rsidR="00AA0DEB">
        <w:t xml:space="preserve">  </w:t>
      </w:r>
      <w:r w:rsidR="00BE2E32">
        <w:t xml:space="preserve">Accordingly, </w:t>
      </w:r>
      <w:r w:rsidR="006A4FB6">
        <w:t xml:space="preserve">by separate notice in Docket UE-132043 </w:t>
      </w:r>
      <w:r w:rsidR="00BE2E32">
        <w:t xml:space="preserve">we </w:t>
      </w:r>
      <w:r w:rsidR="00641584">
        <w:t xml:space="preserve">will </w:t>
      </w:r>
      <w:r w:rsidR="006A4FB6">
        <w:t>initiate a</w:t>
      </w:r>
      <w:r w:rsidR="00F44784">
        <w:t xml:space="preserve"> review </w:t>
      </w:r>
      <w:r w:rsidR="006A4FB6">
        <w:t xml:space="preserve">of </w:t>
      </w:r>
      <w:r w:rsidR="00F44784">
        <w:t xml:space="preserve">Order 01 </w:t>
      </w:r>
      <w:r w:rsidR="00306D3D">
        <w:t xml:space="preserve">in </w:t>
      </w:r>
      <w:r w:rsidR="006A4FB6">
        <w:t>that d</w:t>
      </w:r>
      <w:r w:rsidR="00306D3D">
        <w:t>ocket</w:t>
      </w:r>
      <w:r w:rsidR="00641584">
        <w:t xml:space="preserve"> </w:t>
      </w:r>
      <w:r w:rsidR="00E07051">
        <w:t xml:space="preserve">to receive party comments and </w:t>
      </w:r>
      <w:r w:rsidR="00F44784">
        <w:t xml:space="preserve">determine </w:t>
      </w:r>
      <w:r w:rsidR="00641584">
        <w:t>PSE’s obligation for the 2014-2015 biennium.</w:t>
      </w:r>
    </w:p>
    <w:p w14:paraId="5E302FA6" w14:textId="77777777" w:rsidR="0064180E" w:rsidRDefault="0064180E" w:rsidP="00682972">
      <w:pPr>
        <w:pStyle w:val="NoSpacing"/>
        <w:spacing w:line="264" w:lineRule="auto"/>
      </w:pPr>
    </w:p>
    <w:p w14:paraId="79A0E32B" w14:textId="77777777" w:rsidR="00FC1F0A" w:rsidRPr="00FC1F0A" w:rsidRDefault="00FC1F0A" w:rsidP="00FC1F0A">
      <w:pPr>
        <w:pStyle w:val="NoSpacing"/>
        <w:rPr>
          <w:b/>
        </w:rPr>
      </w:pPr>
      <w:r w:rsidRPr="00FC1F0A">
        <w:rPr>
          <w:b/>
        </w:rPr>
        <w:t xml:space="preserve">THE COMMISSION GIVES NOTICE that it finds PSE’s Petition does not satisfy the requirements for declaratory orders under RCW 34.05.240 and WAC 480-07-930 and that there are other, more suitable processes available to resolve any future controversy, should an actual controversy arise.  The Commission here notifies PSE and all other interested persons that it will not enter a declaratory order in response to PSE’s Petition.  </w:t>
      </w:r>
    </w:p>
    <w:p w14:paraId="71B940EF" w14:textId="77777777" w:rsidR="00E276E5" w:rsidRDefault="00E276E5" w:rsidP="00E276E5">
      <w:pPr>
        <w:spacing w:line="288" w:lineRule="auto"/>
        <w:rPr>
          <w:b/>
          <w:szCs w:val="25"/>
        </w:rPr>
      </w:pPr>
    </w:p>
    <w:p w14:paraId="04FA4491" w14:textId="62F59045" w:rsidR="008E034C" w:rsidRDefault="007171A0" w:rsidP="00E276E5">
      <w:pPr>
        <w:spacing w:line="288" w:lineRule="auto"/>
        <w:rPr>
          <w:szCs w:val="25"/>
        </w:rPr>
      </w:pPr>
      <w:r>
        <w:rPr>
          <w:szCs w:val="25"/>
        </w:rPr>
        <w:t>Dated at Olympia, Washington, and effective July 28, 2014.</w:t>
      </w:r>
    </w:p>
    <w:p w14:paraId="30A5C7FA" w14:textId="77777777" w:rsidR="007171A0" w:rsidRPr="008E034C" w:rsidRDefault="007171A0" w:rsidP="00E276E5">
      <w:pPr>
        <w:spacing w:line="288" w:lineRule="auto"/>
        <w:rPr>
          <w:szCs w:val="25"/>
        </w:rPr>
      </w:pPr>
    </w:p>
    <w:p w14:paraId="6AFD038A" w14:textId="77777777" w:rsidR="00E276E5" w:rsidRDefault="00E276E5" w:rsidP="00E276E5">
      <w:pPr>
        <w:spacing w:line="288" w:lineRule="auto"/>
        <w:jc w:val="center"/>
        <w:rPr>
          <w:szCs w:val="25"/>
        </w:rPr>
      </w:pPr>
      <w:r w:rsidRPr="00FB1B19">
        <w:rPr>
          <w:szCs w:val="25"/>
        </w:rPr>
        <w:t>WASHINGTON UTILITIES AND TRANSPORTATION COMMISSION</w:t>
      </w:r>
    </w:p>
    <w:p w14:paraId="077DA292" w14:textId="77777777" w:rsidR="00E276E5" w:rsidRPr="00FB1B19" w:rsidRDefault="00E276E5" w:rsidP="00E276E5">
      <w:pPr>
        <w:spacing w:line="288" w:lineRule="auto"/>
        <w:jc w:val="center"/>
        <w:rPr>
          <w:szCs w:val="25"/>
        </w:rPr>
      </w:pPr>
    </w:p>
    <w:p w14:paraId="79D281FE" w14:textId="77777777" w:rsidR="00E276E5" w:rsidRPr="00FB1B19" w:rsidRDefault="00E276E5" w:rsidP="00E276E5">
      <w:pPr>
        <w:spacing w:line="288" w:lineRule="auto"/>
        <w:jc w:val="center"/>
        <w:rPr>
          <w:szCs w:val="25"/>
        </w:rPr>
      </w:pPr>
    </w:p>
    <w:p w14:paraId="1BD1EE01" w14:textId="77777777" w:rsidR="00E276E5" w:rsidRPr="008012B9" w:rsidRDefault="00E276E5" w:rsidP="00E276E5">
      <w:pPr>
        <w:spacing w:line="288" w:lineRule="auto"/>
        <w:jc w:val="center"/>
        <w:rPr>
          <w:szCs w:val="25"/>
        </w:rPr>
      </w:pPr>
    </w:p>
    <w:p w14:paraId="5FA4523C" w14:textId="77777777" w:rsidR="00E276E5" w:rsidRDefault="00E276E5" w:rsidP="00E276E5">
      <w:pPr>
        <w:ind w:firstLine="4320"/>
        <w:rPr>
          <w:szCs w:val="25"/>
        </w:rPr>
      </w:pPr>
      <w:r>
        <w:rPr>
          <w:szCs w:val="25"/>
        </w:rPr>
        <w:t>DAVID W. DANNER, Chairman</w:t>
      </w:r>
    </w:p>
    <w:p w14:paraId="3DF3B8A4" w14:textId="77777777" w:rsidR="00E276E5" w:rsidRPr="00210111" w:rsidRDefault="00E276E5" w:rsidP="00E276E5">
      <w:pPr>
        <w:rPr>
          <w:szCs w:val="25"/>
        </w:rPr>
      </w:pPr>
    </w:p>
    <w:p w14:paraId="49FF342F" w14:textId="77777777" w:rsidR="00E276E5" w:rsidRPr="00210111" w:rsidRDefault="00E276E5" w:rsidP="00E276E5">
      <w:pPr>
        <w:rPr>
          <w:szCs w:val="25"/>
        </w:rPr>
      </w:pPr>
    </w:p>
    <w:p w14:paraId="5E81C949" w14:textId="77777777" w:rsidR="00E276E5" w:rsidRPr="00210111" w:rsidRDefault="00E276E5" w:rsidP="00E276E5">
      <w:pPr>
        <w:rPr>
          <w:szCs w:val="25"/>
        </w:rPr>
      </w:pPr>
    </w:p>
    <w:p w14:paraId="3413EA09" w14:textId="77777777" w:rsidR="00E276E5" w:rsidRDefault="00E276E5" w:rsidP="00E276E5">
      <w:pPr>
        <w:rPr>
          <w:szCs w:val="25"/>
        </w:rPr>
      </w:pPr>
      <w:r w:rsidRPr="00210111">
        <w:rPr>
          <w:szCs w:val="25"/>
        </w:rPr>
        <w:tab/>
      </w:r>
      <w:r w:rsidRPr="00210111">
        <w:rPr>
          <w:szCs w:val="25"/>
        </w:rPr>
        <w:tab/>
      </w:r>
      <w:r w:rsidRPr="00210111">
        <w:rPr>
          <w:szCs w:val="25"/>
        </w:rPr>
        <w:tab/>
      </w:r>
      <w:r w:rsidRPr="00210111">
        <w:rPr>
          <w:szCs w:val="25"/>
        </w:rPr>
        <w:tab/>
      </w:r>
      <w:r w:rsidRPr="00210111">
        <w:rPr>
          <w:szCs w:val="25"/>
        </w:rPr>
        <w:tab/>
      </w:r>
      <w:r w:rsidRPr="00210111">
        <w:rPr>
          <w:szCs w:val="25"/>
        </w:rPr>
        <w:tab/>
        <w:t>PHILIP B. JONES, Commissioner</w:t>
      </w:r>
    </w:p>
    <w:p w14:paraId="7B06200D" w14:textId="77777777" w:rsidR="00E276E5" w:rsidRDefault="00E276E5" w:rsidP="00E276E5">
      <w:pPr>
        <w:rPr>
          <w:szCs w:val="25"/>
        </w:rPr>
      </w:pPr>
    </w:p>
    <w:p w14:paraId="3508892F" w14:textId="77777777" w:rsidR="00E276E5" w:rsidRDefault="00E276E5" w:rsidP="00E276E5">
      <w:pPr>
        <w:rPr>
          <w:szCs w:val="25"/>
        </w:rPr>
      </w:pPr>
    </w:p>
    <w:p w14:paraId="2383B0A9" w14:textId="77777777" w:rsidR="00E276E5" w:rsidRDefault="00E276E5" w:rsidP="00E276E5">
      <w:pPr>
        <w:rPr>
          <w:szCs w:val="25"/>
        </w:rPr>
      </w:pPr>
    </w:p>
    <w:p w14:paraId="0E1CFC0B" w14:textId="77777777" w:rsidR="00E276E5" w:rsidRDefault="00E276E5" w:rsidP="00E276E5">
      <w:pPr>
        <w:ind w:firstLine="4320"/>
        <w:rPr>
          <w:szCs w:val="25"/>
        </w:rPr>
      </w:pPr>
      <w:r>
        <w:rPr>
          <w:szCs w:val="25"/>
        </w:rPr>
        <w:t>JEFFREY D. GOLTZ, Commissioner</w:t>
      </w:r>
    </w:p>
    <w:p w14:paraId="08FDF1C4" w14:textId="77777777" w:rsidR="004A79AD" w:rsidRDefault="004A79AD" w:rsidP="00682972">
      <w:pPr>
        <w:pStyle w:val="NoSpacing"/>
        <w:spacing w:line="264" w:lineRule="auto"/>
      </w:pPr>
    </w:p>
    <w:sectPr w:rsidR="004A79AD" w:rsidSect="008E034C">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800" w:header="144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7494D" w14:textId="77777777" w:rsidR="00B16768" w:rsidRDefault="00B16768" w:rsidP="00222EE8">
      <w:pPr>
        <w:spacing w:line="240" w:lineRule="auto"/>
      </w:pPr>
      <w:r>
        <w:separator/>
      </w:r>
    </w:p>
  </w:endnote>
  <w:endnote w:type="continuationSeparator" w:id="0">
    <w:p w14:paraId="2BB288A8" w14:textId="77777777" w:rsidR="00B16768" w:rsidRDefault="00B16768" w:rsidP="00222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F80A" w14:textId="77777777" w:rsidR="00D92031" w:rsidRDefault="00D920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A706C" w14:textId="77777777" w:rsidR="00D92031" w:rsidRDefault="00D920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A9CC0" w14:textId="77777777" w:rsidR="00D92031" w:rsidRDefault="00D92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852DB" w14:textId="77777777" w:rsidR="00B16768" w:rsidRDefault="00B16768" w:rsidP="00222EE8">
      <w:pPr>
        <w:spacing w:line="240" w:lineRule="auto"/>
      </w:pPr>
      <w:r>
        <w:separator/>
      </w:r>
    </w:p>
  </w:footnote>
  <w:footnote w:type="continuationSeparator" w:id="0">
    <w:p w14:paraId="5BD9512D" w14:textId="77777777" w:rsidR="00B16768" w:rsidRDefault="00B16768" w:rsidP="00222EE8">
      <w:pPr>
        <w:spacing w:line="240" w:lineRule="auto"/>
      </w:pPr>
      <w:r>
        <w:continuationSeparator/>
      </w:r>
    </w:p>
  </w:footnote>
  <w:footnote w:id="1">
    <w:p w14:paraId="15795F37" w14:textId="77777777" w:rsidR="00011525" w:rsidRPr="007171A0" w:rsidRDefault="00011525" w:rsidP="007171A0">
      <w:pPr>
        <w:pStyle w:val="FootnoteText"/>
        <w:spacing w:after="120"/>
        <w:rPr>
          <w:sz w:val="22"/>
          <w:szCs w:val="22"/>
        </w:rPr>
      </w:pPr>
      <w:r w:rsidRPr="007171A0">
        <w:rPr>
          <w:rStyle w:val="FootnoteReference"/>
          <w:sz w:val="22"/>
          <w:szCs w:val="22"/>
        </w:rPr>
        <w:footnoteRef/>
      </w:r>
      <w:r w:rsidRPr="007171A0">
        <w:rPr>
          <w:sz w:val="22"/>
          <w:szCs w:val="22"/>
        </w:rPr>
        <w:t xml:space="preserve"> </w:t>
      </w:r>
      <w:r w:rsidRPr="007171A0">
        <w:rPr>
          <w:i/>
          <w:sz w:val="22"/>
          <w:szCs w:val="22"/>
        </w:rPr>
        <w:t>In re Petition of Puget Sound Energy, Inc. and Northwest Energy</w:t>
      </w:r>
      <w:r w:rsidRPr="007171A0">
        <w:rPr>
          <w:bCs/>
          <w:i/>
          <w:sz w:val="22"/>
          <w:szCs w:val="22"/>
        </w:rPr>
        <w:t xml:space="preserve"> Coalition For an Order Authorizing PSE To Implement Electric and Natural Gas Decoupling Mechanisms and To Record Accounting Entries Associated With the Mechanisms</w:t>
      </w:r>
      <w:r w:rsidRPr="007171A0">
        <w:rPr>
          <w:bCs/>
          <w:sz w:val="22"/>
          <w:szCs w:val="22"/>
        </w:rPr>
        <w:t>,</w:t>
      </w:r>
      <w:r w:rsidRPr="007171A0">
        <w:rPr>
          <w:bCs/>
          <w:i/>
          <w:sz w:val="22"/>
          <w:szCs w:val="22"/>
        </w:rPr>
        <w:t xml:space="preserve"> </w:t>
      </w:r>
      <w:r w:rsidRPr="007171A0">
        <w:rPr>
          <w:bCs/>
          <w:sz w:val="22"/>
          <w:szCs w:val="22"/>
        </w:rPr>
        <w:t>Dockets UE- 121697 and UG-121705, Order 07, Final Order Granting Petition (</w:t>
      </w:r>
      <w:r w:rsidRPr="007171A0">
        <w:rPr>
          <w:bCs/>
          <w:i/>
          <w:sz w:val="22"/>
          <w:szCs w:val="22"/>
        </w:rPr>
        <w:t>Decoupling Order</w:t>
      </w:r>
      <w:r w:rsidRPr="007171A0">
        <w:rPr>
          <w:bCs/>
          <w:sz w:val="22"/>
          <w:szCs w:val="22"/>
        </w:rPr>
        <w:t>).</w:t>
      </w:r>
    </w:p>
  </w:footnote>
  <w:footnote w:id="2">
    <w:p w14:paraId="6C468A42" w14:textId="77777777" w:rsidR="00A13486" w:rsidRPr="007171A0" w:rsidRDefault="00A13486" w:rsidP="007171A0">
      <w:pPr>
        <w:pStyle w:val="FootnoteText"/>
        <w:spacing w:after="120"/>
        <w:rPr>
          <w:sz w:val="22"/>
          <w:szCs w:val="22"/>
        </w:rPr>
      </w:pPr>
      <w:r w:rsidRPr="007171A0">
        <w:rPr>
          <w:rStyle w:val="FootnoteReference"/>
          <w:sz w:val="22"/>
          <w:szCs w:val="22"/>
        </w:rPr>
        <w:footnoteRef/>
      </w:r>
      <w:r w:rsidRPr="007171A0">
        <w:rPr>
          <w:sz w:val="22"/>
          <w:szCs w:val="22"/>
        </w:rPr>
        <w:t xml:space="preserve"> RCW 34.05.240.</w:t>
      </w:r>
    </w:p>
  </w:footnote>
  <w:footnote w:id="3">
    <w:p w14:paraId="6932F88A" w14:textId="15511107" w:rsidR="0064180E" w:rsidRPr="007171A0" w:rsidRDefault="0064180E" w:rsidP="007171A0">
      <w:pPr>
        <w:pStyle w:val="FootnoteText"/>
        <w:spacing w:after="120"/>
        <w:rPr>
          <w:sz w:val="22"/>
          <w:szCs w:val="22"/>
        </w:rPr>
      </w:pPr>
      <w:r w:rsidRPr="007171A0">
        <w:rPr>
          <w:rStyle w:val="FootnoteReference"/>
          <w:sz w:val="22"/>
          <w:szCs w:val="22"/>
        </w:rPr>
        <w:footnoteRef/>
      </w:r>
      <w:r w:rsidRPr="007171A0">
        <w:rPr>
          <w:sz w:val="22"/>
          <w:szCs w:val="22"/>
        </w:rPr>
        <w:t xml:space="preserve"> Staff </w:t>
      </w:r>
      <w:r w:rsidR="00BE4057" w:rsidRPr="007171A0">
        <w:rPr>
          <w:sz w:val="22"/>
          <w:szCs w:val="22"/>
        </w:rPr>
        <w:t>Response to Petition ¶ 6.  Staff, NWEC</w:t>
      </w:r>
      <w:r w:rsidR="00511779" w:rsidRPr="007171A0">
        <w:rPr>
          <w:sz w:val="22"/>
          <w:szCs w:val="22"/>
        </w:rPr>
        <w:t>,</w:t>
      </w:r>
      <w:r w:rsidR="00BE4057" w:rsidRPr="007171A0">
        <w:rPr>
          <w:sz w:val="22"/>
          <w:szCs w:val="22"/>
        </w:rPr>
        <w:t xml:space="preserve"> and PSE were all parties to a multiparty settlement by which they proposed decoupling be approved.  While the Commission rejected the settlement, it ultimately approved PSE and NWEC’s joint petition</w:t>
      </w:r>
      <w:r w:rsidR="00011525" w:rsidRPr="007171A0">
        <w:rPr>
          <w:sz w:val="22"/>
          <w:szCs w:val="22"/>
        </w:rPr>
        <w:t>, supported by Staff,</w:t>
      </w:r>
      <w:r w:rsidR="00BE4057" w:rsidRPr="007171A0">
        <w:rPr>
          <w:sz w:val="22"/>
          <w:szCs w:val="22"/>
        </w:rPr>
        <w:t xml:space="preserve"> seeking such authority.</w:t>
      </w:r>
    </w:p>
  </w:footnote>
  <w:footnote w:id="4">
    <w:p w14:paraId="6375BBFE" w14:textId="77777777" w:rsidR="006F05A9" w:rsidRPr="007171A0" w:rsidRDefault="006F05A9" w:rsidP="007171A0">
      <w:pPr>
        <w:pStyle w:val="FootnoteText"/>
        <w:spacing w:after="120"/>
        <w:rPr>
          <w:sz w:val="22"/>
          <w:szCs w:val="22"/>
        </w:rPr>
      </w:pPr>
      <w:r w:rsidRPr="007171A0">
        <w:rPr>
          <w:rStyle w:val="FootnoteReference"/>
          <w:sz w:val="22"/>
          <w:szCs w:val="22"/>
        </w:rPr>
        <w:footnoteRef/>
      </w:r>
      <w:r w:rsidRPr="007171A0">
        <w:rPr>
          <w:sz w:val="22"/>
          <w:szCs w:val="22"/>
        </w:rPr>
        <w:t xml:space="preserve"> NWEC Response to Petition ¶ 14.</w:t>
      </w:r>
    </w:p>
  </w:footnote>
  <w:footnote w:id="5">
    <w:p w14:paraId="36B9F4C3" w14:textId="77777777" w:rsidR="006F05A9" w:rsidRPr="007171A0" w:rsidRDefault="006F05A9" w:rsidP="007171A0">
      <w:pPr>
        <w:pStyle w:val="FootnoteText"/>
        <w:spacing w:after="120"/>
        <w:rPr>
          <w:sz w:val="22"/>
          <w:szCs w:val="22"/>
        </w:rPr>
      </w:pPr>
      <w:r w:rsidRPr="007171A0">
        <w:rPr>
          <w:rStyle w:val="FootnoteReference"/>
          <w:sz w:val="22"/>
          <w:szCs w:val="22"/>
        </w:rPr>
        <w:footnoteRef/>
      </w:r>
      <w:r w:rsidRPr="007171A0">
        <w:rPr>
          <w:sz w:val="22"/>
          <w:szCs w:val="22"/>
        </w:rPr>
        <w:t xml:space="preserve"> Staff Response to Petition ¶ 16.</w:t>
      </w:r>
    </w:p>
  </w:footnote>
  <w:footnote w:id="6">
    <w:p w14:paraId="16EFAF7D" w14:textId="77777777" w:rsidR="00011525" w:rsidRPr="00011525" w:rsidRDefault="00011525" w:rsidP="007171A0">
      <w:pPr>
        <w:pStyle w:val="FootnoteText"/>
        <w:spacing w:after="120"/>
        <w:rPr>
          <w:i/>
        </w:rPr>
      </w:pPr>
      <w:r w:rsidRPr="007171A0">
        <w:rPr>
          <w:rStyle w:val="FootnoteReference"/>
          <w:sz w:val="22"/>
          <w:szCs w:val="22"/>
        </w:rPr>
        <w:footnoteRef/>
      </w:r>
      <w:r w:rsidRPr="007171A0">
        <w:rPr>
          <w:sz w:val="22"/>
          <w:szCs w:val="22"/>
        </w:rPr>
        <w:t xml:space="preserve"> </w:t>
      </w:r>
      <w:r w:rsidRPr="007171A0">
        <w:rPr>
          <w:i/>
          <w:sz w:val="22"/>
          <w:szCs w:val="22"/>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1379" w14:textId="77777777" w:rsidR="00D92031" w:rsidRDefault="00D920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F6FCA" w14:textId="77777777" w:rsidR="00222EE8" w:rsidRPr="00222EE8" w:rsidRDefault="00222EE8" w:rsidP="00222EE8">
    <w:pPr>
      <w:pStyle w:val="Header"/>
      <w:tabs>
        <w:tab w:val="clear" w:pos="9360"/>
        <w:tab w:val="right" w:pos="8730"/>
      </w:tabs>
      <w:rPr>
        <w:b/>
        <w:noProof/>
        <w:sz w:val="20"/>
        <w:szCs w:val="20"/>
      </w:rPr>
    </w:pPr>
    <w:r w:rsidRPr="00222EE8">
      <w:rPr>
        <w:b/>
        <w:sz w:val="20"/>
        <w:szCs w:val="20"/>
      </w:rPr>
      <w:t>DOCKET U</w:t>
    </w:r>
    <w:r w:rsidR="00A618A2">
      <w:rPr>
        <w:b/>
        <w:sz w:val="20"/>
        <w:szCs w:val="20"/>
      </w:rPr>
      <w:t>E-1413</w:t>
    </w:r>
    <w:r w:rsidR="000F767C">
      <w:rPr>
        <w:b/>
        <w:sz w:val="20"/>
        <w:szCs w:val="20"/>
      </w:rPr>
      <w:t>57</w:t>
    </w:r>
    <w:r w:rsidRPr="00222EE8">
      <w:rPr>
        <w:b/>
        <w:sz w:val="20"/>
        <w:szCs w:val="20"/>
      </w:rPr>
      <w:tab/>
    </w:r>
    <w:r w:rsidRPr="00222EE8">
      <w:rPr>
        <w:b/>
        <w:sz w:val="20"/>
        <w:szCs w:val="20"/>
      </w:rPr>
      <w:tab/>
      <w:t xml:space="preserve">PAGE </w:t>
    </w:r>
    <w:r w:rsidRPr="00222EE8">
      <w:rPr>
        <w:b/>
        <w:sz w:val="20"/>
        <w:szCs w:val="20"/>
      </w:rPr>
      <w:fldChar w:fldCharType="begin"/>
    </w:r>
    <w:r w:rsidRPr="00222EE8">
      <w:rPr>
        <w:b/>
        <w:sz w:val="20"/>
        <w:szCs w:val="20"/>
      </w:rPr>
      <w:instrText xml:space="preserve"> PAGE   \* MERGEFORMAT </w:instrText>
    </w:r>
    <w:r w:rsidRPr="00222EE8">
      <w:rPr>
        <w:b/>
        <w:sz w:val="20"/>
        <w:szCs w:val="20"/>
      </w:rPr>
      <w:fldChar w:fldCharType="separate"/>
    </w:r>
    <w:r w:rsidR="00980172">
      <w:rPr>
        <w:b/>
        <w:noProof/>
        <w:sz w:val="20"/>
        <w:szCs w:val="20"/>
      </w:rPr>
      <w:t>4</w:t>
    </w:r>
    <w:r w:rsidRPr="00222EE8">
      <w:rPr>
        <w:b/>
        <w:noProof/>
        <w:sz w:val="20"/>
        <w:szCs w:val="20"/>
      </w:rPr>
      <w:fldChar w:fldCharType="end"/>
    </w:r>
  </w:p>
  <w:p w14:paraId="05A0609E" w14:textId="77777777" w:rsidR="00222EE8" w:rsidRPr="00222EE8" w:rsidRDefault="00222EE8">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ADDC" w14:textId="2D5F706F" w:rsidR="00D92031" w:rsidRPr="00D92031" w:rsidRDefault="00D92031" w:rsidP="00D92031">
    <w:pPr>
      <w:pStyle w:val="Header"/>
      <w:jc w:val="right"/>
      <w:rPr>
        <w:b/>
        <w:sz w:val="20"/>
        <w:szCs w:val="20"/>
      </w:rPr>
    </w:pPr>
    <w:r>
      <w:rPr>
        <w:b/>
        <w:sz w:val="20"/>
        <w:szCs w:val="20"/>
      </w:rPr>
      <w:t xml:space="preserve">[Service date July 28, </w:t>
    </w:r>
    <w:r>
      <w:rPr>
        <w:b/>
        <w:sz w:val="20"/>
        <w:szCs w:val="20"/>
      </w:rPr>
      <w:t>2014]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A7"/>
    <w:rsid w:val="00000817"/>
    <w:rsid w:val="00000D94"/>
    <w:rsid w:val="00011525"/>
    <w:rsid w:val="000478E9"/>
    <w:rsid w:val="000A34BA"/>
    <w:rsid w:val="000C159F"/>
    <w:rsid w:val="000F4FEE"/>
    <w:rsid w:val="000F767C"/>
    <w:rsid w:val="00110102"/>
    <w:rsid w:val="00121BEA"/>
    <w:rsid w:val="00125DE3"/>
    <w:rsid w:val="0012797D"/>
    <w:rsid w:val="00134F21"/>
    <w:rsid w:val="001403F6"/>
    <w:rsid w:val="0015120F"/>
    <w:rsid w:val="00152D3A"/>
    <w:rsid w:val="00154609"/>
    <w:rsid w:val="0015471D"/>
    <w:rsid w:val="001605B2"/>
    <w:rsid w:val="00196394"/>
    <w:rsid w:val="001B7E18"/>
    <w:rsid w:val="001C040D"/>
    <w:rsid w:val="001D4E2E"/>
    <w:rsid w:val="00222EE8"/>
    <w:rsid w:val="00246C5E"/>
    <w:rsid w:val="00250368"/>
    <w:rsid w:val="0025477A"/>
    <w:rsid w:val="00262124"/>
    <w:rsid w:val="00270B6C"/>
    <w:rsid w:val="00277454"/>
    <w:rsid w:val="00281C9A"/>
    <w:rsid w:val="002861A1"/>
    <w:rsid w:val="002B5662"/>
    <w:rsid w:val="002B75A7"/>
    <w:rsid w:val="002D058C"/>
    <w:rsid w:val="002E5203"/>
    <w:rsid w:val="003004E6"/>
    <w:rsid w:val="00306D3D"/>
    <w:rsid w:val="00326C72"/>
    <w:rsid w:val="00331826"/>
    <w:rsid w:val="00331DBD"/>
    <w:rsid w:val="0035370C"/>
    <w:rsid w:val="00372447"/>
    <w:rsid w:val="00395565"/>
    <w:rsid w:val="00397E63"/>
    <w:rsid w:val="003F118C"/>
    <w:rsid w:val="003F43F9"/>
    <w:rsid w:val="00414532"/>
    <w:rsid w:val="00447C9F"/>
    <w:rsid w:val="00451B3E"/>
    <w:rsid w:val="00463C6A"/>
    <w:rsid w:val="00474A17"/>
    <w:rsid w:val="004A79AD"/>
    <w:rsid w:val="004B13DF"/>
    <w:rsid w:val="004D03CC"/>
    <w:rsid w:val="004D5E7A"/>
    <w:rsid w:val="00511779"/>
    <w:rsid w:val="00546385"/>
    <w:rsid w:val="005477F2"/>
    <w:rsid w:val="00571C63"/>
    <w:rsid w:val="0057556D"/>
    <w:rsid w:val="005854C9"/>
    <w:rsid w:val="005970BC"/>
    <w:rsid w:val="005A4601"/>
    <w:rsid w:val="005E662A"/>
    <w:rsid w:val="0060235E"/>
    <w:rsid w:val="00625F87"/>
    <w:rsid w:val="006328EE"/>
    <w:rsid w:val="00637028"/>
    <w:rsid w:val="00641584"/>
    <w:rsid w:val="0064180E"/>
    <w:rsid w:val="00647468"/>
    <w:rsid w:val="00661452"/>
    <w:rsid w:val="00667A50"/>
    <w:rsid w:val="00671E79"/>
    <w:rsid w:val="006725EB"/>
    <w:rsid w:val="00682972"/>
    <w:rsid w:val="006A4FB6"/>
    <w:rsid w:val="006B51AE"/>
    <w:rsid w:val="006C391D"/>
    <w:rsid w:val="006F05A9"/>
    <w:rsid w:val="007171A0"/>
    <w:rsid w:val="00724974"/>
    <w:rsid w:val="00751967"/>
    <w:rsid w:val="007B4594"/>
    <w:rsid w:val="007E4058"/>
    <w:rsid w:val="007E4805"/>
    <w:rsid w:val="007E6723"/>
    <w:rsid w:val="00802CF5"/>
    <w:rsid w:val="00830AEB"/>
    <w:rsid w:val="008312B2"/>
    <w:rsid w:val="00833442"/>
    <w:rsid w:val="008530CE"/>
    <w:rsid w:val="00856460"/>
    <w:rsid w:val="00857614"/>
    <w:rsid w:val="00860D9F"/>
    <w:rsid w:val="00864BE6"/>
    <w:rsid w:val="008927D2"/>
    <w:rsid w:val="008A0BC8"/>
    <w:rsid w:val="008A2759"/>
    <w:rsid w:val="008C4198"/>
    <w:rsid w:val="008E034C"/>
    <w:rsid w:val="008F56B3"/>
    <w:rsid w:val="0091303D"/>
    <w:rsid w:val="00917B6E"/>
    <w:rsid w:val="00924911"/>
    <w:rsid w:val="00944FFC"/>
    <w:rsid w:val="0094520F"/>
    <w:rsid w:val="00950B86"/>
    <w:rsid w:val="00956140"/>
    <w:rsid w:val="00980172"/>
    <w:rsid w:val="009A5465"/>
    <w:rsid w:val="009F2B54"/>
    <w:rsid w:val="009F4247"/>
    <w:rsid w:val="00A0062A"/>
    <w:rsid w:val="00A13486"/>
    <w:rsid w:val="00A13853"/>
    <w:rsid w:val="00A25D45"/>
    <w:rsid w:val="00A35B1C"/>
    <w:rsid w:val="00A43967"/>
    <w:rsid w:val="00A43A6C"/>
    <w:rsid w:val="00A618A2"/>
    <w:rsid w:val="00A64972"/>
    <w:rsid w:val="00A6618A"/>
    <w:rsid w:val="00A6640F"/>
    <w:rsid w:val="00A713EE"/>
    <w:rsid w:val="00AA0DEB"/>
    <w:rsid w:val="00AA13AE"/>
    <w:rsid w:val="00AE59D6"/>
    <w:rsid w:val="00AF3998"/>
    <w:rsid w:val="00B16768"/>
    <w:rsid w:val="00B6469B"/>
    <w:rsid w:val="00BC18E9"/>
    <w:rsid w:val="00BD4460"/>
    <w:rsid w:val="00BE2E32"/>
    <w:rsid w:val="00BE4057"/>
    <w:rsid w:val="00BF549B"/>
    <w:rsid w:val="00C3062C"/>
    <w:rsid w:val="00C32100"/>
    <w:rsid w:val="00C55CFC"/>
    <w:rsid w:val="00CB2C63"/>
    <w:rsid w:val="00CB7F41"/>
    <w:rsid w:val="00D0056C"/>
    <w:rsid w:val="00D36495"/>
    <w:rsid w:val="00D417B8"/>
    <w:rsid w:val="00D51F8D"/>
    <w:rsid w:val="00D52C02"/>
    <w:rsid w:val="00D6592D"/>
    <w:rsid w:val="00D66BDC"/>
    <w:rsid w:val="00D87DE9"/>
    <w:rsid w:val="00D92031"/>
    <w:rsid w:val="00DA4DDA"/>
    <w:rsid w:val="00DB12F0"/>
    <w:rsid w:val="00DB736B"/>
    <w:rsid w:val="00DE758E"/>
    <w:rsid w:val="00DF16E1"/>
    <w:rsid w:val="00E005E8"/>
    <w:rsid w:val="00E07051"/>
    <w:rsid w:val="00E07BC6"/>
    <w:rsid w:val="00E276E5"/>
    <w:rsid w:val="00E634B4"/>
    <w:rsid w:val="00E8527F"/>
    <w:rsid w:val="00E95080"/>
    <w:rsid w:val="00EA64C0"/>
    <w:rsid w:val="00EE42B1"/>
    <w:rsid w:val="00EE4F4B"/>
    <w:rsid w:val="00F00ED4"/>
    <w:rsid w:val="00F35267"/>
    <w:rsid w:val="00F44784"/>
    <w:rsid w:val="00F54581"/>
    <w:rsid w:val="00F558A0"/>
    <w:rsid w:val="00F700E6"/>
    <w:rsid w:val="00F763FB"/>
    <w:rsid w:val="00F80CD0"/>
    <w:rsid w:val="00FB5C4E"/>
    <w:rsid w:val="00FC1F0A"/>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A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B75A7"/>
    <w:pPr>
      <w:spacing w:line="240" w:lineRule="auto"/>
    </w:pPr>
  </w:style>
  <w:style w:type="character" w:styleId="Hyperlink">
    <w:name w:val="Hyperlink"/>
    <w:basedOn w:val="DefaultParagraphFont"/>
    <w:uiPriority w:val="99"/>
    <w:unhideWhenUsed/>
    <w:rsid w:val="002B75A7"/>
    <w:rPr>
      <w:color w:val="0000FF" w:themeColor="hyperlink"/>
      <w:u w:val="single"/>
    </w:rPr>
  </w:style>
  <w:style w:type="paragraph" w:styleId="Header">
    <w:name w:val="header"/>
    <w:basedOn w:val="Normal"/>
    <w:link w:val="HeaderChar"/>
    <w:uiPriority w:val="99"/>
    <w:unhideWhenUsed/>
    <w:rsid w:val="00222EE8"/>
    <w:pPr>
      <w:tabs>
        <w:tab w:val="center" w:pos="4680"/>
        <w:tab w:val="right" w:pos="9360"/>
      </w:tabs>
      <w:spacing w:line="240" w:lineRule="auto"/>
    </w:pPr>
  </w:style>
  <w:style w:type="character" w:customStyle="1" w:styleId="HeaderChar">
    <w:name w:val="Header Char"/>
    <w:basedOn w:val="DefaultParagraphFont"/>
    <w:link w:val="Header"/>
    <w:uiPriority w:val="99"/>
    <w:rsid w:val="00222EE8"/>
  </w:style>
  <w:style w:type="paragraph" w:styleId="Footer">
    <w:name w:val="footer"/>
    <w:basedOn w:val="Normal"/>
    <w:link w:val="FooterChar"/>
    <w:uiPriority w:val="99"/>
    <w:unhideWhenUsed/>
    <w:rsid w:val="00222EE8"/>
    <w:pPr>
      <w:tabs>
        <w:tab w:val="center" w:pos="4680"/>
        <w:tab w:val="right" w:pos="9360"/>
      </w:tabs>
      <w:spacing w:line="240" w:lineRule="auto"/>
    </w:pPr>
  </w:style>
  <w:style w:type="character" w:customStyle="1" w:styleId="FooterChar">
    <w:name w:val="Footer Char"/>
    <w:basedOn w:val="DefaultParagraphFont"/>
    <w:link w:val="Footer"/>
    <w:uiPriority w:val="99"/>
    <w:rsid w:val="00222EE8"/>
  </w:style>
  <w:style w:type="paragraph" w:styleId="BalloonText">
    <w:name w:val="Balloon Text"/>
    <w:basedOn w:val="Normal"/>
    <w:link w:val="BalloonTextChar"/>
    <w:uiPriority w:val="99"/>
    <w:semiHidden/>
    <w:unhideWhenUsed/>
    <w:rsid w:val="00A66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8A"/>
    <w:rPr>
      <w:rFonts w:ascii="Tahoma" w:hAnsi="Tahoma" w:cs="Tahoma"/>
      <w:sz w:val="16"/>
      <w:szCs w:val="16"/>
    </w:rPr>
  </w:style>
  <w:style w:type="paragraph" w:styleId="FootnoteText">
    <w:name w:val="footnote text"/>
    <w:basedOn w:val="Normal"/>
    <w:link w:val="FootnoteTextChar"/>
    <w:uiPriority w:val="99"/>
    <w:semiHidden/>
    <w:unhideWhenUsed/>
    <w:rsid w:val="00397E63"/>
    <w:pPr>
      <w:spacing w:line="240" w:lineRule="auto"/>
    </w:pPr>
    <w:rPr>
      <w:sz w:val="20"/>
      <w:szCs w:val="20"/>
    </w:rPr>
  </w:style>
  <w:style w:type="character" w:customStyle="1" w:styleId="FootnoteTextChar">
    <w:name w:val="Footnote Text Char"/>
    <w:basedOn w:val="DefaultParagraphFont"/>
    <w:link w:val="FootnoteText"/>
    <w:uiPriority w:val="99"/>
    <w:semiHidden/>
    <w:rsid w:val="00397E63"/>
    <w:rPr>
      <w:sz w:val="20"/>
      <w:szCs w:val="20"/>
    </w:rPr>
  </w:style>
  <w:style w:type="character" w:styleId="FootnoteReference">
    <w:name w:val="footnote reference"/>
    <w:basedOn w:val="DefaultParagraphFont"/>
    <w:semiHidden/>
    <w:unhideWhenUsed/>
    <w:rsid w:val="00A13486"/>
    <w:rPr>
      <w:vertAlign w:val="superscript"/>
    </w:rPr>
  </w:style>
  <w:style w:type="character" w:styleId="CommentReference">
    <w:name w:val="annotation reference"/>
    <w:basedOn w:val="DefaultParagraphFont"/>
    <w:uiPriority w:val="99"/>
    <w:semiHidden/>
    <w:unhideWhenUsed/>
    <w:rsid w:val="004A79AD"/>
    <w:rPr>
      <w:sz w:val="16"/>
      <w:szCs w:val="16"/>
    </w:rPr>
  </w:style>
  <w:style w:type="paragraph" w:styleId="CommentText">
    <w:name w:val="annotation text"/>
    <w:basedOn w:val="Normal"/>
    <w:link w:val="CommentTextChar"/>
    <w:uiPriority w:val="99"/>
    <w:semiHidden/>
    <w:unhideWhenUsed/>
    <w:rsid w:val="004A79AD"/>
    <w:pPr>
      <w:spacing w:line="240" w:lineRule="auto"/>
    </w:pPr>
    <w:rPr>
      <w:sz w:val="20"/>
      <w:szCs w:val="20"/>
    </w:rPr>
  </w:style>
  <w:style w:type="character" w:customStyle="1" w:styleId="CommentTextChar">
    <w:name w:val="Comment Text Char"/>
    <w:basedOn w:val="DefaultParagraphFont"/>
    <w:link w:val="CommentText"/>
    <w:uiPriority w:val="99"/>
    <w:semiHidden/>
    <w:rsid w:val="004A79AD"/>
    <w:rPr>
      <w:sz w:val="20"/>
      <w:szCs w:val="20"/>
    </w:rPr>
  </w:style>
  <w:style w:type="paragraph" w:styleId="CommentSubject">
    <w:name w:val="annotation subject"/>
    <w:basedOn w:val="CommentText"/>
    <w:next w:val="CommentText"/>
    <w:link w:val="CommentSubjectChar"/>
    <w:uiPriority w:val="99"/>
    <w:semiHidden/>
    <w:unhideWhenUsed/>
    <w:rsid w:val="004A79AD"/>
    <w:rPr>
      <w:b/>
      <w:bCs/>
    </w:rPr>
  </w:style>
  <w:style w:type="character" w:customStyle="1" w:styleId="CommentSubjectChar">
    <w:name w:val="Comment Subject Char"/>
    <w:basedOn w:val="CommentTextChar"/>
    <w:link w:val="CommentSubject"/>
    <w:uiPriority w:val="99"/>
    <w:semiHidden/>
    <w:rsid w:val="004A79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521CD64E66D14996E5573361FF229D" ma:contentTypeVersion="175" ma:contentTypeDescription="" ma:contentTypeScope="" ma:versionID="b56e67f2da0217cfd5401ac62f65cb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2014-06-30T07:00:00+00:00</OpenedDate>
    <Date1 xmlns="dc463f71-b30c-4ab2-9473-d307f9d35888">2014-07-28T07:00:00+00:00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141357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F5D7FE1-E085-4FB3-A2D6-61097A7E9A2E}"/>
</file>

<file path=customXml/itemProps2.xml><?xml version="1.0" encoding="utf-8"?>
<ds:datastoreItem xmlns:ds="http://schemas.openxmlformats.org/officeDocument/2006/customXml" ds:itemID="{5FF14FBA-8648-4A5C-89DA-7A0426AEA7E9}"/>
</file>

<file path=customXml/itemProps3.xml><?xml version="1.0" encoding="utf-8"?>
<ds:datastoreItem xmlns:ds="http://schemas.openxmlformats.org/officeDocument/2006/customXml" ds:itemID="{4ED91824-FE6C-486B-9C08-4BE3DC001712}"/>
</file>

<file path=customXml/itemProps4.xml><?xml version="1.0" encoding="utf-8"?>
<ds:datastoreItem xmlns:ds="http://schemas.openxmlformats.org/officeDocument/2006/customXml" ds:itemID="{4C625763-5C53-4A87-8DAC-8FD1254E4AD1}"/>
</file>

<file path=customXml/itemProps5.xml><?xml version="1.0" encoding="utf-8"?>
<ds:datastoreItem xmlns:ds="http://schemas.openxmlformats.org/officeDocument/2006/customXml" ds:itemID="{D2BF1426-C633-4BF3-A81F-9A80FB9FAE25}"/>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2014-07-28T16:21:00Z</dcterms:created>
  <dcterms:modified xsi:type="dcterms:W3CDTF">2014-07-28T16:40:00Z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0x0101006E56B4D1795A2E4DB2F0B01679ED314A0038521CD64E66D14996E5573361FF229D</vt:lpwstr>
  </property>
  <property fmtid="{D5CDD505-2E9C-101B-9397-08002B2CF9AE}" pid="3" name="_docset_NoMedatataSyncRequired">
    <vt:lpwstr>False</vt:lpwstr>
  </property>
</Properties>
</file>