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08" w:rsidRPr="00AC5FF0" w:rsidRDefault="0091770F" w:rsidP="00D0215C">
      <w:pPr>
        <w:jc w:val="center"/>
        <w:rPr>
          <w:rFonts w:ascii="Times New Roman" w:hAnsi="Times New Roman"/>
          <w:b/>
          <w:color w:val="000000" w:themeColor="text1"/>
          <w:szCs w:val="24"/>
        </w:rPr>
      </w:pPr>
      <w:r w:rsidRPr="00AC5FF0">
        <w:rPr>
          <w:rFonts w:ascii="Times New Roman" w:hAnsi="Times New Roman"/>
          <w:b/>
          <w:color w:val="000000" w:themeColor="text1"/>
          <w:szCs w:val="24"/>
        </w:rPr>
        <w:t>BEFORE THE WASHINGTON</w:t>
      </w:r>
    </w:p>
    <w:p w:rsidR="00D0215C" w:rsidRPr="00AC5FF0" w:rsidRDefault="0091770F" w:rsidP="00D0215C">
      <w:pPr>
        <w:jc w:val="center"/>
        <w:rPr>
          <w:rFonts w:ascii="Times New Roman" w:hAnsi="Times New Roman"/>
          <w:b/>
          <w:color w:val="000000" w:themeColor="text1"/>
          <w:szCs w:val="24"/>
        </w:rPr>
      </w:pPr>
      <w:r w:rsidRPr="00AC5FF0">
        <w:rPr>
          <w:rFonts w:ascii="Times New Roman" w:hAnsi="Times New Roman"/>
          <w:b/>
          <w:color w:val="000000" w:themeColor="text1"/>
          <w:szCs w:val="24"/>
        </w:rPr>
        <w:t xml:space="preserve">UTILITIES </w:t>
      </w:r>
      <w:smartTag w:uri="urn:schemas-microsoft-com:office:smarttags" w:element="stockticker">
        <w:r w:rsidRPr="00AC5FF0">
          <w:rPr>
            <w:rFonts w:ascii="Times New Roman" w:hAnsi="Times New Roman"/>
            <w:b/>
            <w:color w:val="000000" w:themeColor="text1"/>
            <w:szCs w:val="24"/>
          </w:rPr>
          <w:t>AND</w:t>
        </w:r>
      </w:smartTag>
      <w:r w:rsidRPr="00AC5FF0">
        <w:rPr>
          <w:rFonts w:ascii="Times New Roman" w:hAnsi="Times New Roman"/>
          <w:b/>
          <w:color w:val="000000" w:themeColor="text1"/>
          <w:szCs w:val="24"/>
        </w:rPr>
        <w:t xml:space="preserve"> TRANSPORTATION COMMISSION</w:t>
      </w:r>
    </w:p>
    <w:p w:rsidR="00D0215C" w:rsidRDefault="00D0215C" w:rsidP="00D0215C">
      <w:pPr>
        <w:jc w:val="center"/>
        <w:rPr>
          <w:rFonts w:ascii="Times New Roman" w:hAnsi="Times New Roman"/>
          <w:b/>
          <w:color w:val="000000" w:themeColor="text1"/>
          <w:szCs w:val="24"/>
        </w:rPr>
      </w:pPr>
    </w:p>
    <w:p w:rsidR="004E65A0" w:rsidRPr="00AC5FF0" w:rsidRDefault="004E65A0" w:rsidP="00D0215C">
      <w:pPr>
        <w:jc w:val="center"/>
        <w:rPr>
          <w:rFonts w:ascii="Times New Roman" w:hAnsi="Times New Roman"/>
          <w:b/>
          <w:color w:val="000000" w:themeColor="text1"/>
          <w:szCs w:val="24"/>
        </w:rPr>
      </w:pPr>
    </w:p>
    <w:tbl>
      <w:tblPr>
        <w:tblStyle w:val="TableGrid"/>
        <w:tblW w:w="0" w:type="auto"/>
        <w:tblLook w:val="01E0" w:firstRow="1" w:lastRow="1" w:firstColumn="1" w:lastColumn="1" w:noHBand="0" w:noVBand="0"/>
      </w:tblPr>
      <w:tblGrid>
        <w:gridCol w:w="4698"/>
        <w:gridCol w:w="4158"/>
      </w:tblGrid>
      <w:tr w:rsidR="004E65A0" w:rsidRPr="00AC5FF0" w:rsidTr="004E65A0">
        <w:tc>
          <w:tcPr>
            <w:tcW w:w="4698" w:type="dxa"/>
            <w:tcBorders>
              <w:top w:val="nil"/>
              <w:left w:val="nil"/>
              <w:bottom w:val="single" w:sz="4" w:space="0" w:color="auto"/>
            </w:tcBorders>
          </w:tcPr>
          <w:p w:rsidR="004E65A0" w:rsidRDefault="004E65A0" w:rsidP="00D72C19">
            <w:pPr>
              <w:spacing w:after="240"/>
              <w:ind w:right="619"/>
              <w:rPr>
                <w:rFonts w:ascii="Times New Roman" w:hAnsi="Times New Roman"/>
                <w:color w:val="000000" w:themeColor="text1"/>
                <w:szCs w:val="24"/>
              </w:rPr>
            </w:pPr>
            <w:r>
              <w:rPr>
                <w:rFonts w:ascii="Times New Roman" w:hAnsi="Times New Roman"/>
                <w:color w:val="000000" w:themeColor="text1"/>
                <w:szCs w:val="24"/>
              </w:rPr>
              <w:t>WASHINGTON UTILITIES AND TRANSPOR</w:t>
            </w:r>
            <w:r w:rsidR="00D72C19">
              <w:rPr>
                <w:rFonts w:ascii="Times New Roman" w:hAnsi="Times New Roman"/>
                <w:color w:val="000000" w:themeColor="text1"/>
                <w:szCs w:val="24"/>
              </w:rPr>
              <w:t>TATION COMMISSION,</w:t>
            </w:r>
          </w:p>
          <w:p w:rsidR="004E65A0" w:rsidRDefault="004E65A0" w:rsidP="0020290B">
            <w:pPr>
              <w:spacing w:after="120"/>
              <w:ind w:left="2160" w:right="619"/>
              <w:rPr>
                <w:rFonts w:ascii="Times New Roman" w:hAnsi="Times New Roman"/>
                <w:color w:val="000000" w:themeColor="text1"/>
                <w:szCs w:val="24"/>
              </w:rPr>
            </w:pPr>
            <w:r>
              <w:rPr>
                <w:rFonts w:ascii="Times New Roman" w:hAnsi="Times New Roman"/>
                <w:color w:val="000000" w:themeColor="text1"/>
                <w:szCs w:val="24"/>
              </w:rPr>
              <w:t>Complainant,</w:t>
            </w:r>
          </w:p>
          <w:p w:rsidR="004E65A0" w:rsidRDefault="004E65A0" w:rsidP="00D72C19">
            <w:pPr>
              <w:spacing w:after="240"/>
              <w:ind w:left="720" w:right="619"/>
              <w:rPr>
                <w:rFonts w:ascii="Times New Roman" w:hAnsi="Times New Roman"/>
                <w:color w:val="000000" w:themeColor="text1"/>
                <w:szCs w:val="24"/>
              </w:rPr>
            </w:pPr>
            <w:proofErr w:type="gramStart"/>
            <w:r>
              <w:rPr>
                <w:rFonts w:ascii="Times New Roman" w:hAnsi="Times New Roman"/>
                <w:color w:val="000000" w:themeColor="text1"/>
                <w:szCs w:val="24"/>
              </w:rPr>
              <w:t>v</w:t>
            </w:r>
            <w:proofErr w:type="gramEnd"/>
            <w:r>
              <w:rPr>
                <w:rFonts w:ascii="Times New Roman" w:hAnsi="Times New Roman"/>
                <w:color w:val="000000" w:themeColor="text1"/>
                <w:szCs w:val="24"/>
              </w:rPr>
              <w:t>.</w:t>
            </w:r>
          </w:p>
          <w:p w:rsidR="004E65A0" w:rsidRDefault="00076F2D" w:rsidP="00D72C19">
            <w:pPr>
              <w:spacing w:after="240"/>
              <w:ind w:right="619"/>
              <w:rPr>
                <w:rFonts w:ascii="Times New Roman" w:hAnsi="Times New Roman"/>
                <w:color w:val="000000" w:themeColor="text1"/>
                <w:szCs w:val="24"/>
              </w:rPr>
            </w:pPr>
            <w:r>
              <w:rPr>
                <w:rFonts w:ascii="Times New Roman" w:hAnsi="Times New Roman"/>
                <w:color w:val="000000" w:themeColor="text1"/>
                <w:szCs w:val="24"/>
              </w:rPr>
              <w:t>PACIFIC POWER &amp; LIGHT COMPANY,</w:t>
            </w:r>
          </w:p>
          <w:p w:rsidR="004E65A0" w:rsidRPr="00AC5FF0" w:rsidRDefault="004E65A0" w:rsidP="0020290B">
            <w:pPr>
              <w:spacing w:after="120"/>
              <w:ind w:left="2160" w:right="619"/>
              <w:rPr>
                <w:rFonts w:ascii="Times New Roman" w:hAnsi="Times New Roman"/>
                <w:color w:val="000000" w:themeColor="text1"/>
                <w:szCs w:val="24"/>
              </w:rPr>
            </w:pPr>
            <w:r>
              <w:rPr>
                <w:rFonts w:ascii="Times New Roman" w:hAnsi="Times New Roman"/>
                <w:color w:val="000000" w:themeColor="text1"/>
                <w:szCs w:val="24"/>
              </w:rPr>
              <w:t>Respondent.</w:t>
            </w:r>
          </w:p>
        </w:tc>
        <w:tc>
          <w:tcPr>
            <w:tcW w:w="4158" w:type="dxa"/>
            <w:tcBorders>
              <w:top w:val="nil"/>
              <w:bottom w:val="nil"/>
              <w:right w:val="nil"/>
            </w:tcBorders>
          </w:tcPr>
          <w:p w:rsidR="004E65A0" w:rsidRPr="00AC5FF0" w:rsidRDefault="004E65A0" w:rsidP="004B76C3">
            <w:pPr>
              <w:rPr>
                <w:rFonts w:ascii="Times New Roman" w:hAnsi="Times New Roman"/>
                <w:color w:val="000000" w:themeColor="text1"/>
                <w:szCs w:val="24"/>
              </w:rPr>
            </w:pPr>
            <w:r>
              <w:rPr>
                <w:rFonts w:ascii="Times New Roman" w:hAnsi="Times New Roman"/>
                <w:color w:val="000000" w:themeColor="text1"/>
                <w:szCs w:val="24"/>
              </w:rPr>
              <w:t xml:space="preserve">DOCKET UE-140762 </w:t>
            </w:r>
            <w:r>
              <w:rPr>
                <w:rFonts w:ascii="Times New Roman" w:hAnsi="Times New Roman"/>
                <w:color w:val="000000" w:themeColor="text1"/>
                <w:szCs w:val="24"/>
              </w:rPr>
              <w:br/>
              <w:t>and UE-140617 (</w:t>
            </w:r>
            <w:r w:rsidRPr="004E65A0">
              <w:rPr>
                <w:rFonts w:ascii="Times New Roman" w:hAnsi="Times New Roman"/>
                <w:i/>
                <w:color w:val="000000" w:themeColor="text1"/>
                <w:szCs w:val="24"/>
              </w:rPr>
              <w:t>consolidated</w:t>
            </w:r>
            <w:r>
              <w:rPr>
                <w:rFonts w:ascii="Times New Roman" w:hAnsi="Times New Roman"/>
                <w:color w:val="000000" w:themeColor="text1"/>
                <w:szCs w:val="24"/>
              </w:rPr>
              <w:t>)</w:t>
            </w:r>
          </w:p>
        </w:tc>
      </w:tr>
      <w:tr w:rsidR="004E65A0" w:rsidRPr="00AC5FF0" w:rsidTr="004E65A0">
        <w:tc>
          <w:tcPr>
            <w:tcW w:w="4698" w:type="dxa"/>
            <w:tcBorders>
              <w:top w:val="single" w:sz="4" w:space="0" w:color="auto"/>
              <w:left w:val="nil"/>
              <w:bottom w:val="single" w:sz="4" w:space="0" w:color="auto"/>
            </w:tcBorders>
          </w:tcPr>
          <w:p w:rsidR="00076F2D" w:rsidRPr="00AC5FF0" w:rsidRDefault="00076F2D" w:rsidP="00D72C19">
            <w:pPr>
              <w:spacing w:before="120" w:after="240"/>
              <w:rPr>
                <w:rFonts w:ascii="Times New Roman" w:hAnsi="Times New Roman"/>
                <w:color w:val="000000" w:themeColor="text1"/>
                <w:szCs w:val="24"/>
              </w:rPr>
            </w:pPr>
            <w:r w:rsidRPr="00AC5FF0">
              <w:rPr>
                <w:rFonts w:ascii="Times New Roman" w:hAnsi="Times New Roman"/>
                <w:color w:val="000000" w:themeColor="text1"/>
                <w:szCs w:val="24"/>
              </w:rPr>
              <w:t>In the Matter of</w:t>
            </w:r>
          </w:p>
          <w:p w:rsidR="00076F2D" w:rsidRPr="00AC5FF0" w:rsidRDefault="00076F2D" w:rsidP="00D72C19">
            <w:pPr>
              <w:spacing w:after="240"/>
              <w:rPr>
                <w:rFonts w:ascii="Times New Roman" w:hAnsi="Times New Roman"/>
                <w:color w:val="000000" w:themeColor="text1"/>
                <w:szCs w:val="24"/>
              </w:rPr>
            </w:pPr>
            <w:r w:rsidRPr="00AC5FF0">
              <w:rPr>
                <w:rFonts w:ascii="Times New Roman" w:hAnsi="Times New Roman"/>
                <w:color w:val="000000" w:themeColor="text1"/>
                <w:szCs w:val="24"/>
              </w:rPr>
              <w:t>PACIFIC POWER &amp; LIGHT COMPANY</w:t>
            </w:r>
          </w:p>
          <w:p w:rsidR="004E65A0" w:rsidRPr="00AC5FF0" w:rsidRDefault="00076F2D" w:rsidP="00076F2D">
            <w:pPr>
              <w:spacing w:after="120"/>
              <w:rPr>
                <w:rFonts w:ascii="Times New Roman" w:hAnsi="Times New Roman"/>
                <w:color w:val="000000" w:themeColor="text1"/>
                <w:szCs w:val="24"/>
              </w:rPr>
            </w:pPr>
            <w:r w:rsidRPr="00AC5FF0">
              <w:rPr>
                <w:rFonts w:ascii="Times New Roman" w:hAnsi="Times New Roman"/>
                <w:color w:val="000000" w:themeColor="text1"/>
                <w:szCs w:val="24"/>
              </w:rPr>
              <w:t>Petition for an Orde</w:t>
            </w:r>
            <w:bookmarkStart w:id="0" w:name="_GoBack"/>
            <w:bookmarkEnd w:id="0"/>
            <w:r w:rsidRPr="00AC5FF0">
              <w:rPr>
                <w:rFonts w:ascii="Times New Roman" w:hAnsi="Times New Roman"/>
                <w:color w:val="000000" w:themeColor="text1"/>
                <w:szCs w:val="24"/>
              </w:rPr>
              <w:t>r Approving Deferral of</w:t>
            </w:r>
            <w:r>
              <w:rPr>
                <w:rFonts w:ascii="Times New Roman" w:hAnsi="Times New Roman"/>
                <w:color w:val="000000" w:themeColor="text1"/>
                <w:szCs w:val="24"/>
              </w:rPr>
              <w:t xml:space="preserve"> the Washington-Allocated Revenue Requirement Associated with the </w:t>
            </w:r>
            <w:proofErr w:type="spellStart"/>
            <w:r>
              <w:rPr>
                <w:rFonts w:ascii="Times New Roman" w:hAnsi="Times New Roman"/>
                <w:color w:val="000000" w:themeColor="text1"/>
                <w:szCs w:val="24"/>
              </w:rPr>
              <w:t>Merwin</w:t>
            </w:r>
            <w:proofErr w:type="spellEnd"/>
            <w:r>
              <w:rPr>
                <w:rFonts w:ascii="Times New Roman" w:hAnsi="Times New Roman"/>
                <w:color w:val="000000" w:themeColor="text1"/>
                <w:szCs w:val="24"/>
              </w:rPr>
              <w:t xml:space="preserve"> Fish Collector.</w:t>
            </w:r>
          </w:p>
        </w:tc>
        <w:tc>
          <w:tcPr>
            <w:tcW w:w="4158" w:type="dxa"/>
            <w:tcBorders>
              <w:top w:val="nil"/>
              <w:bottom w:val="nil"/>
              <w:right w:val="nil"/>
            </w:tcBorders>
          </w:tcPr>
          <w:p w:rsidR="004E65A0" w:rsidRPr="00AC5FF0" w:rsidRDefault="004E65A0" w:rsidP="004B76C3">
            <w:pPr>
              <w:rPr>
                <w:rFonts w:ascii="Times New Roman" w:hAnsi="Times New Roman"/>
                <w:color w:val="000000" w:themeColor="text1"/>
                <w:szCs w:val="24"/>
              </w:rPr>
            </w:pPr>
          </w:p>
        </w:tc>
      </w:tr>
      <w:tr w:rsidR="00D0215C" w:rsidRPr="00AC5FF0" w:rsidTr="004E65A0">
        <w:tc>
          <w:tcPr>
            <w:tcW w:w="4698" w:type="dxa"/>
            <w:tcBorders>
              <w:top w:val="single" w:sz="4" w:space="0" w:color="auto"/>
              <w:left w:val="nil"/>
              <w:bottom w:val="single" w:sz="4" w:space="0" w:color="auto"/>
            </w:tcBorders>
          </w:tcPr>
          <w:p w:rsidR="00494C7D" w:rsidRDefault="00494C7D" w:rsidP="00494C7D">
            <w:pPr>
              <w:spacing w:before="120" w:after="240"/>
              <w:rPr>
                <w:rFonts w:ascii="Times New Roman" w:hAnsi="Times New Roman"/>
                <w:color w:val="000000" w:themeColor="text1"/>
                <w:szCs w:val="24"/>
              </w:rPr>
            </w:pPr>
            <w:r>
              <w:rPr>
                <w:rFonts w:ascii="Times New Roman" w:hAnsi="Times New Roman"/>
                <w:color w:val="000000" w:themeColor="text1"/>
                <w:szCs w:val="24"/>
              </w:rPr>
              <w:t xml:space="preserve">In the Matter of </w:t>
            </w:r>
          </w:p>
          <w:p w:rsidR="00494C7D" w:rsidRDefault="00494C7D" w:rsidP="00494C7D">
            <w:pPr>
              <w:spacing w:after="240"/>
              <w:rPr>
                <w:rFonts w:ascii="Times New Roman" w:hAnsi="Times New Roman"/>
                <w:color w:val="000000" w:themeColor="text1"/>
                <w:szCs w:val="24"/>
              </w:rPr>
            </w:pPr>
            <w:r>
              <w:rPr>
                <w:rFonts w:ascii="Times New Roman" w:hAnsi="Times New Roman"/>
                <w:color w:val="000000" w:themeColor="text1"/>
                <w:szCs w:val="24"/>
              </w:rPr>
              <w:t>PACIFICORP d/b/a PACIFIC POWER &amp; LIGHT COMPANY</w:t>
            </w:r>
          </w:p>
          <w:p w:rsidR="004E65A0" w:rsidRPr="00AC5FF0" w:rsidRDefault="00494C7D" w:rsidP="00494C7D">
            <w:pPr>
              <w:spacing w:before="120" w:after="240"/>
              <w:rPr>
                <w:rFonts w:ascii="Times New Roman" w:hAnsi="Times New Roman"/>
                <w:color w:val="000000" w:themeColor="text1"/>
                <w:szCs w:val="24"/>
              </w:rPr>
            </w:pPr>
            <w:r>
              <w:rPr>
                <w:rFonts w:ascii="Times New Roman" w:hAnsi="Times New Roman"/>
                <w:color w:val="000000" w:themeColor="text1"/>
                <w:szCs w:val="24"/>
              </w:rPr>
              <w:t>Petition for an Order Approving Deferral of Costs Related to Colstrip Outage.</w:t>
            </w:r>
          </w:p>
        </w:tc>
        <w:tc>
          <w:tcPr>
            <w:tcW w:w="4158" w:type="dxa"/>
            <w:tcBorders>
              <w:top w:val="nil"/>
              <w:bottom w:val="nil"/>
              <w:right w:val="nil"/>
            </w:tcBorders>
          </w:tcPr>
          <w:p w:rsidR="00D0215C" w:rsidRPr="00AC5FF0" w:rsidRDefault="00962448" w:rsidP="00D72C19">
            <w:pPr>
              <w:spacing w:before="120"/>
              <w:rPr>
                <w:rFonts w:ascii="Times New Roman" w:hAnsi="Times New Roman"/>
                <w:color w:val="000000" w:themeColor="text1"/>
                <w:szCs w:val="24"/>
              </w:rPr>
            </w:pPr>
            <w:r w:rsidRPr="00AC5FF0">
              <w:rPr>
                <w:rFonts w:ascii="Times New Roman" w:hAnsi="Times New Roman"/>
                <w:color w:val="000000" w:themeColor="text1"/>
                <w:szCs w:val="24"/>
              </w:rPr>
              <w:t>DOCKET UE-</w:t>
            </w:r>
            <w:r w:rsidR="00494C7D">
              <w:rPr>
                <w:rFonts w:ascii="Times New Roman" w:hAnsi="Times New Roman"/>
                <w:color w:val="000000" w:themeColor="text1"/>
                <w:szCs w:val="24"/>
              </w:rPr>
              <w:t>131384</w:t>
            </w:r>
          </w:p>
          <w:p w:rsidR="00D0215C" w:rsidRPr="00AC5FF0" w:rsidRDefault="00D0215C" w:rsidP="00E36FD7">
            <w:pPr>
              <w:rPr>
                <w:rFonts w:ascii="Times New Roman" w:hAnsi="Times New Roman"/>
                <w:color w:val="000000" w:themeColor="text1"/>
                <w:szCs w:val="24"/>
              </w:rPr>
            </w:pPr>
          </w:p>
        </w:tc>
      </w:tr>
      <w:tr w:rsidR="004E65A0" w:rsidRPr="00AC5FF0" w:rsidTr="0020290B">
        <w:tc>
          <w:tcPr>
            <w:tcW w:w="4698" w:type="dxa"/>
            <w:tcBorders>
              <w:top w:val="single" w:sz="4" w:space="0" w:color="auto"/>
              <w:left w:val="nil"/>
              <w:bottom w:val="single" w:sz="4" w:space="0" w:color="auto"/>
            </w:tcBorders>
          </w:tcPr>
          <w:p w:rsidR="00494C7D" w:rsidRPr="00AC5FF0" w:rsidRDefault="00494C7D" w:rsidP="00494C7D">
            <w:pPr>
              <w:spacing w:before="120" w:after="240"/>
              <w:rPr>
                <w:rFonts w:ascii="Times New Roman" w:hAnsi="Times New Roman"/>
                <w:color w:val="000000" w:themeColor="text1"/>
                <w:szCs w:val="24"/>
              </w:rPr>
            </w:pPr>
            <w:r w:rsidRPr="00AC5FF0">
              <w:rPr>
                <w:rFonts w:ascii="Times New Roman" w:hAnsi="Times New Roman"/>
                <w:color w:val="000000" w:themeColor="text1"/>
                <w:szCs w:val="24"/>
              </w:rPr>
              <w:t>In the Matter of</w:t>
            </w:r>
          </w:p>
          <w:p w:rsidR="00494C7D" w:rsidRPr="00AC5FF0" w:rsidRDefault="00494C7D" w:rsidP="00494C7D">
            <w:pPr>
              <w:spacing w:after="240"/>
              <w:rPr>
                <w:rFonts w:ascii="Times New Roman" w:hAnsi="Times New Roman"/>
                <w:color w:val="000000" w:themeColor="text1"/>
                <w:szCs w:val="24"/>
              </w:rPr>
            </w:pPr>
            <w:r w:rsidRPr="00AC5FF0">
              <w:rPr>
                <w:rFonts w:ascii="Times New Roman" w:hAnsi="Times New Roman"/>
                <w:color w:val="000000" w:themeColor="text1"/>
                <w:szCs w:val="24"/>
              </w:rPr>
              <w:t>PACIFICORP d/b/a PACIFIC POWER &amp; LIGHT COMPANY</w:t>
            </w:r>
          </w:p>
          <w:p w:rsidR="004E65A0" w:rsidRPr="00AC5FF0" w:rsidRDefault="00494C7D" w:rsidP="00494C7D">
            <w:pPr>
              <w:spacing w:after="120"/>
              <w:rPr>
                <w:rFonts w:ascii="Times New Roman" w:hAnsi="Times New Roman"/>
                <w:color w:val="000000" w:themeColor="text1"/>
                <w:szCs w:val="24"/>
              </w:rPr>
            </w:pPr>
            <w:r w:rsidRPr="00AC5FF0">
              <w:rPr>
                <w:rFonts w:ascii="Times New Roman" w:hAnsi="Times New Roman"/>
                <w:color w:val="000000" w:themeColor="text1"/>
                <w:szCs w:val="24"/>
              </w:rPr>
              <w:t>Petition for an Order Approving Deferral of Costs Related to Declining Hydro Generation</w:t>
            </w:r>
            <w:r>
              <w:rPr>
                <w:rFonts w:ascii="Times New Roman" w:hAnsi="Times New Roman"/>
                <w:color w:val="000000" w:themeColor="text1"/>
                <w:szCs w:val="24"/>
              </w:rPr>
              <w:t>.</w:t>
            </w:r>
          </w:p>
        </w:tc>
        <w:tc>
          <w:tcPr>
            <w:tcW w:w="4158" w:type="dxa"/>
            <w:tcBorders>
              <w:top w:val="nil"/>
              <w:bottom w:val="nil"/>
              <w:right w:val="nil"/>
            </w:tcBorders>
          </w:tcPr>
          <w:p w:rsidR="004E65A0" w:rsidRPr="00AC5FF0" w:rsidRDefault="00D72C19" w:rsidP="00494C7D">
            <w:pPr>
              <w:spacing w:before="120"/>
              <w:rPr>
                <w:rFonts w:ascii="Times New Roman" w:hAnsi="Times New Roman"/>
                <w:color w:val="000000" w:themeColor="text1"/>
                <w:szCs w:val="24"/>
              </w:rPr>
            </w:pPr>
            <w:r>
              <w:rPr>
                <w:rFonts w:ascii="Times New Roman" w:hAnsi="Times New Roman"/>
                <w:color w:val="000000" w:themeColor="text1"/>
                <w:szCs w:val="24"/>
              </w:rPr>
              <w:t>DOCKET</w:t>
            </w:r>
            <w:r w:rsidR="004E65A0">
              <w:rPr>
                <w:rFonts w:ascii="Times New Roman" w:hAnsi="Times New Roman"/>
                <w:color w:val="000000" w:themeColor="text1"/>
                <w:szCs w:val="24"/>
              </w:rPr>
              <w:t xml:space="preserve"> UE-</w:t>
            </w:r>
            <w:r w:rsidR="00494C7D" w:rsidRPr="00AC5FF0">
              <w:rPr>
                <w:rFonts w:ascii="Times New Roman" w:hAnsi="Times New Roman"/>
                <w:color w:val="000000" w:themeColor="text1"/>
                <w:szCs w:val="24"/>
              </w:rPr>
              <w:t>14</w:t>
            </w:r>
            <w:r w:rsidR="00494C7D">
              <w:rPr>
                <w:rFonts w:ascii="Times New Roman" w:hAnsi="Times New Roman"/>
                <w:color w:val="000000" w:themeColor="text1"/>
                <w:szCs w:val="24"/>
              </w:rPr>
              <w:t>0094</w:t>
            </w:r>
          </w:p>
        </w:tc>
      </w:tr>
    </w:tbl>
    <w:p w:rsidR="00D0215C" w:rsidRDefault="00D0215C" w:rsidP="00D72C19">
      <w:pPr>
        <w:rPr>
          <w:rFonts w:ascii="Times New Roman" w:hAnsi="Times New Roman"/>
          <w:color w:val="000000" w:themeColor="text1"/>
          <w:szCs w:val="24"/>
        </w:rPr>
      </w:pPr>
    </w:p>
    <w:p w:rsidR="00D72C19" w:rsidRPr="00D72C19" w:rsidRDefault="00D72C19" w:rsidP="00D72C19">
      <w:pPr>
        <w:jc w:val="center"/>
        <w:rPr>
          <w:rFonts w:ascii="Times New Roman" w:hAnsi="Times New Roman"/>
          <w:b/>
          <w:color w:val="000000" w:themeColor="text1"/>
          <w:szCs w:val="24"/>
          <w:u w:val="single"/>
        </w:rPr>
      </w:pPr>
      <w:r w:rsidRPr="00D72C19">
        <w:rPr>
          <w:rFonts w:ascii="Times New Roman" w:hAnsi="Times New Roman"/>
          <w:b/>
          <w:color w:val="000000" w:themeColor="text1"/>
          <w:szCs w:val="24"/>
          <w:u w:val="single"/>
        </w:rPr>
        <w:t>PACIFIC POWER &amp; LIGHT COMPANY’S MOTION TO CONSOLIDATE</w:t>
      </w:r>
    </w:p>
    <w:p w:rsidR="007B79E5" w:rsidRPr="00AC5FF0" w:rsidRDefault="007B79E5" w:rsidP="00D72C19">
      <w:pPr>
        <w:keepNext/>
        <w:rPr>
          <w:rFonts w:ascii="Times New Roman" w:hAnsi="Times New Roman"/>
          <w:color w:val="000000" w:themeColor="text1"/>
          <w:szCs w:val="24"/>
        </w:rPr>
      </w:pPr>
    </w:p>
    <w:p w:rsidR="00B27E85" w:rsidRDefault="00B27E85" w:rsidP="00B27E85">
      <w:pPr>
        <w:pStyle w:val="ListParagraph"/>
        <w:spacing w:line="480" w:lineRule="auto"/>
        <w:ind w:left="0"/>
        <w:jc w:val="center"/>
        <w:rPr>
          <w:rFonts w:ascii="Times New Roman" w:hAnsi="Times New Roman"/>
          <w:color w:val="000000" w:themeColor="text1"/>
          <w:szCs w:val="24"/>
        </w:rPr>
      </w:pPr>
      <w:r w:rsidRPr="00B27E85">
        <w:rPr>
          <w:rFonts w:ascii="Times New Roman" w:hAnsi="Times New Roman"/>
          <w:b/>
          <w:color w:val="000000" w:themeColor="text1"/>
          <w:szCs w:val="24"/>
        </w:rPr>
        <w:t>I.</w:t>
      </w:r>
      <w:r w:rsidRPr="00B27E85">
        <w:rPr>
          <w:rFonts w:ascii="Times New Roman" w:hAnsi="Times New Roman"/>
          <w:b/>
          <w:color w:val="000000" w:themeColor="text1"/>
          <w:szCs w:val="24"/>
        </w:rPr>
        <w:tab/>
      </w:r>
      <w:r w:rsidR="0027511D">
        <w:rPr>
          <w:rFonts w:ascii="Times New Roman" w:hAnsi="Times New Roman"/>
          <w:b/>
          <w:color w:val="000000" w:themeColor="text1"/>
          <w:szCs w:val="24"/>
        </w:rPr>
        <w:t>INTRODUCTION</w:t>
      </w:r>
    </w:p>
    <w:p w:rsidR="0027511D" w:rsidRDefault="00B27E85" w:rsidP="009D0706">
      <w:pPr>
        <w:pStyle w:val="ListParagraph"/>
        <w:numPr>
          <w:ilvl w:val="0"/>
          <w:numId w:val="2"/>
        </w:numPr>
        <w:spacing w:line="480" w:lineRule="auto"/>
        <w:rPr>
          <w:rFonts w:ascii="Times New Roman" w:hAnsi="Times New Roman"/>
          <w:color w:val="000000" w:themeColor="text1"/>
          <w:szCs w:val="24"/>
        </w:rPr>
      </w:pPr>
      <w:r>
        <w:rPr>
          <w:rFonts w:ascii="Times New Roman" w:hAnsi="Times New Roman"/>
          <w:color w:val="000000" w:themeColor="text1"/>
          <w:szCs w:val="24"/>
        </w:rPr>
        <w:tab/>
      </w:r>
      <w:r w:rsidR="000C7BE5">
        <w:rPr>
          <w:rFonts w:ascii="Times New Roman" w:hAnsi="Times New Roman"/>
          <w:color w:val="000000" w:themeColor="text1"/>
          <w:szCs w:val="24"/>
        </w:rPr>
        <w:t xml:space="preserve">On May 1, 2014, </w:t>
      </w:r>
      <w:r w:rsidR="0091770F" w:rsidRPr="00AC5FF0">
        <w:rPr>
          <w:rFonts w:ascii="Times New Roman" w:hAnsi="Times New Roman"/>
          <w:color w:val="000000" w:themeColor="text1"/>
          <w:szCs w:val="24"/>
        </w:rPr>
        <w:t>Pacific Power &amp; Light Company (Pacifi</w:t>
      </w:r>
      <w:r w:rsidR="000C7BE5">
        <w:rPr>
          <w:rFonts w:ascii="Times New Roman" w:hAnsi="Times New Roman"/>
          <w:color w:val="000000" w:themeColor="text1"/>
          <w:szCs w:val="24"/>
        </w:rPr>
        <w:t>c Power</w:t>
      </w:r>
      <w:r w:rsidR="0091770F" w:rsidRPr="00AC5FF0">
        <w:rPr>
          <w:rFonts w:ascii="Times New Roman" w:hAnsi="Times New Roman"/>
          <w:color w:val="000000" w:themeColor="text1"/>
          <w:szCs w:val="24"/>
        </w:rPr>
        <w:t xml:space="preserve"> or Company)</w:t>
      </w:r>
      <w:r w:rsidR="000C7BE5">
        <w:rPr>
          <w:rFonts w:ascii="Times New Roman" w:hAnsi="Times New Roman"/>
          <w:color w:val="000000" w:themeColor="text1"/>
          <w:szCs w:val="24"/>
        </w:rPr>
        <w:t>, a division of PacifiCorp,</w:t>
      </w:r>
      <w:r w:rsidR="0091770F" w:rsidRPr="00AC5FF0">
        <w:rPr>
          <w:rFonts w:ascii="Times New Roman" w:hAnsi="Times New Roman"/>
          <w:color w:val="000000" w:themeColor="text1"/>
          <w:szCs w:val="24"/>
        </w:rPr>
        <w:t xml:space="preserve"> </w:t>
      </w:r>
      <w:r w:rsidR="000C7BE5">
        <w:rPr>
          <w:rFonts w:ascii="Times New Roman" w:hAnsi="Times New Roman"/>
          <w:color w:val="000000" w:themeColor="text1"/>
          <w:szCs w:val="24"/>
        </w:rPr>
        <w:t xml:space="preserve">filed a general rate </w:t>
      </w:r>
      <w:r w:rsidR="001E63EF">
        <w:rPr>
          <w:rFonts w:ascii="Times New Roman" w:hAnsi="Times New Roman"/>
          <w:color w:val="000000" w:themeColor="text1"/>
          <w:szCs w:val="24"/>
        </w:rPr>
        <w:t>case</w:t>
      </w:r>
      <w:r w:rsidR="000C7BE5">
        <w:rPr>
          <w:rFonts w:ascii="Times New Roman" w:hAnsi="Times New Roman"/>
          <w:color w:val="000000" w:themeColor="text1"/>
          <w:szCs w:val="24"/>
        </w:rPr>
        <w:t xml:space="preserve">, Docket UE-140762 (2014 Rate Case).  </w:t>
      </w:r>
      <w:r w:rsidR="000C7BE5">
        <w:rPr>
          <w:rFonts w:ascii="Times New Roman" w:hAnsi="Times New Roman"/>
          <w:color w:val="000000" w:themeColor="text1"/>
          <w:szCs w:val="24"/>
        </w:rPr>
        <w:lastRenderedPageBreak/>
        <w:t>In</w:t>
      </w:r>
      <w:r w:rsidR="009D0706">
        <w:rPr>
          <w:rFonts w:ascii="Times New Roman" w:hAnsi="Times New Roman"/>
          <w:color w:val="000000" w:themeColor="text1"/>
          <w:szCs w:val="24"/>
        </w:rPr>
        <w:t> </w:t>
      </w:r>
      <w:r w:rsidR="000C7BE5">
        <w:rPr>
          <w:rFonts w:ascii="Times New Roman" w:hAnsi="Times New Roman"/>
          <w:color w:val="000000" w:themeColor="text1"/>
          <w:szCs w:val="24"/>
        </w:rPr>
        <w:t>addition to its request for an overall price change, the Company’s 2014 Rate Case included a request to amortize amounts associated with two pending accounting petitions: (1) a request</w:t>
      </w:r>
      <w:r w:rsidR="001E63EF">
        <w:rPr>
          <w:rFonts w:ascii="Times New Roman" w:hAnsi="Times New Roman"/>
          <w:color w:val="000000" w:themeColor="text1"/>
          <w:szCs w:val="24"/>
        </w:rPr>
        <w:t xml:space="preserve"> to defer the costs associated with an outage at Unit 4 of the Colstrip generating plant, Docket UE-131384 (Colstrip Deferral); and (2) a request to defer the costs associated with low hydro conditions, Docket UE-14009</w:t>
      </w:r>
      <w:r w:rsidR="00EF5CEC">
        <w:rPr>
          <w:rFonts w:ascii="Times New Roman" w:hAnsi="Times New Roman"/>
          <w:color w:val="000000" w:themeColor="text1"/>
          <w:szCs w:val="24"/>
        </w:rPr>
        <w:t>4</w:t>
      </w:r>
      <w:r w:rsidR="001E63EF">
        <w:rPr>
          <w:rFonts w:ascii="Times New Roman" w:hAnsi="Times New Roman"/>
          <w:color w:val="000000" w:themeColor="text1"/>
          <w:szCs w:val="24"/>
        </w:rPr>
        <w:t xml:space="preserve"> (Hydro Deferral).</w:t>
      </w:r>
      <w:r w:rsidR="001E63EF">
        <w:rPr>
          <w:rStyle w:val="FootnoteReference"/>
          <w:rFonts w:ascii="Times New Roman" w:hAnsi="Times New Roman"/>
          <w:color w:val="000000" w:themeColor="text1"/>
          <w:szCs w:val="24"/>
        </w:rPr>
        <w:footnoteReference w:id="1"/>
      </w:r>
      <w:r w:rsidR="0027511D" w:rsidRPr="0027511D">
        <w:rPr>
          <w:rFonts w:ascii="Times New Roman" w:hAnsi="Times New Roman"/>
          <w:color w:val="000000" w:themeColor="text1"/>
          <w:szCs w:val="24"/>
        </w:rPr>
        <w:t xml:space="preserve"> </w:t>
      </w:r>
    </w:p>
    <w:p w:rsidR="000C7BE5" w:rsidRPr="005D7F54" w:rsidRDefault="0027511D" w:rsidP="000C7BE5">
      <w:pPr>
        <w:pStyle w:val="ListParagraph"/>
        <w:numPr>
          <w:ilvl w:val="0"/>
          <w:numId w:val="2"/>
        </w:numPr>
        <w:spacing w:line="480" w:lineRule="auto"/>
        <w:rPr>
          <w:rFonts w:ascii="Times New Roman" w:hAnsi="Times New Roman"/>
          <w:color w:val="000000" w:themeColor="text1"/>
          <w:szCs w:val="24"/>
        </w:rPr>
      </w:pPr>
      <w:r w:rsidRPr="005D7F54">
        <w:rPr>
          <w:rFonts w:ascii="Times New Roman" w:hAnsi="Times New Roman"/>
          <w:color w:val="000000" w:themeColor="text1"/>
          <w:szCs w:val="24"/>
        </w:rPr>
        <w:tab/>
      </w:r>
      <w:r w:rsidR="005D7F54" w:rsidRPr="005D7F54">
        <w:rPr>
          <w:rFonts w:ascii="Times New Roman" w:hAnsi="Times New Roman"/>
          <w:color w:val="000000" w:themeColor="text1"/>
          <w:szCs w:val="24"/>
        </w:rPr>
        <w:t xml:space="preserve">Because these proceedings involve </w:t>
      </w:r>
      <w:r w:rsidR="00C40796">
        <w:rPr>
          <w:rFonts w:ascii="Times New Roman" w:hAnsi="Times New Roman"/>
          <w:color w:val="000000" w:themeColor="text1"/>
          <w:szCs w:val="24"/>
        </w:rPr>
        <w:t>common issues of law and fact,</w:t>
      </w:r>
      <w:r w:rsidR="005D7F54">
        <w:rPr>
          <w:rStyle w:val="FootnoteReference"/>
          <w:rFonts w:ascii="Times New Roman" w:hAnsi="Times New Roman"/>
          <w:color w:val="000000" w:themeColor="text1"/>
          <w:szCs w:val="24"/>
        </w:rPr>
        <w:footnoteReference w:id="2"/>
      </w:r>
      <w:r w:rsidRPr="005D7F54">
        <w:rPr>
          <w:rFonts w:ascii="Times New Roman" w:hAnsi="Times New Roman"/>
          <w:color w:val="000000" w:themeColor="text1"/>
          <w:szCs w:val="24"/>
        </w:rPr>
        <w:t xml:space="preserve"> the Company respectfully moves the Washington Utilities and Transportation Commission (Commission) for an order consolidating Docket UE-</w:t>
      </w:r>
      <w:r w:rsidR="00494C7D">
        <w:rPr>
          <w:rFonts w:ascii="Times New Roman" w:hAnsi="Times New Roman"/>
          <w:color w:val="000000" w:themeColor="text1"/>
          <w:szCs w:val="24"/>
        </w:rPr>
        <w:t>131384</w:t>
      </w:r>
      <w:r w:rsidRPr="005D7F54">
        <w:rPr>
          <w:rFonts w:ascii="Times New Roman" w:hAnsi="Times New Roman"/>
          <w:color w:val="000000" w:themeColor="text1"/>
          <w:szCs w:val="24"/>
        </w:rPr>
        <w:t xml:space="preserve"> (Colstrip Deferral) and Docket UE-</w:t>
      </w:r>
      <w:r w:rsidR="00494C7D" w:rsidRPr="005D7F54">
        <w:rPr>
          <w:rFonts w:ascii="Times New Roman" w:hAnsi="Times New Roman"/>
          <w:color w:val="000000" w:themeColor="text1"/>
          <w:szCs w:val="24"/>
        </w:rPr>
        <w:t>140094</w:t>
      </w:r>
      <w:r w:rsidRPr="005D7F54">
        <w:rPr>
          <w:rFonts w:ascii="Times New Roman" w:hAnsi="Times New Roman"/>
          <w:color w:val="000000" w:themeColor="text1"/>
          <w:szCs w:val="24"/>
        </w:rPr>
        <w:t xml:space="preserve"> (Hydro Deferral) with Dockets UE-140762 (2014 Rate Case) and UE-140617 (</w:t>
      </w:r>
      <w:proofErr w:type="spellStart"/>
      <w:r w:rsidRPr="005D7F54">
        <w:rPr>
          <w:rFonts w:ascii="Times New Roman" w:hAnsi="Times New Roman"/>
          <w:color w:val="000000" w:themeColor="text1"/>
          <w:szCs w:val="24"/>
        </w:rPr>
        <w:t>Merwin</w:t>
      </w:r>
      <w:proofErr w:type="spellEnd"/>
      <w:r w:rsidRPr="005D7F54">
        <w:rPr>
          <w:rFonts w:ascii="Times New Roman" w:hAnsi="Times New Roman"/>
          <w:color w:val="000000" w:themeColor="text1"/>
          <w:szCs w:val="24"/>
        </w:rPr>
        <w:t xml:space="preserve"> Fish Collector Deferral).</w:t>
      </w:r>
      <w:r w:rsidRPr="005D7F54">
        <w:rPr>
          <w:rFonts w:ascii="Times New Roman" w:hAnsi="Times New Roman"/>
        </w:rPr>
        <w:t xml:space="preserve">  The Commission previously issued an order consolidating the </w:t>
      </w:r>
      <w:proofErr w:type="spellStart"/>
      <w:r w:rsidRPr="005D7F54">
        <w:rPr>
          <w:rFonts w:ascii="Times New Roman" w:hAnsi="Times New Roman"/>
        </w:rPr>
        <w:t>Merwin</w:t>
      </w:r>
      <w:proofErr w:type="spellEnd"/>
      <w:r w:rsidRPr="005D7F54">
        <w:rPr>
          <w:rFonts w:ascii="Times New Roman" w:hAnsi="Times New Roman"/>
        </w:rPr>
        <w:t xml:space="preserve"> Fish Collector Deferral with the 2014 Rate Case.</w:t>
      </w:r>
      <w:r>
        <w:rPr>
          <w:rStyle w:val="FootnoteReference"/>
          <w:rFonts w:ascii="Times New Roman" w:hAnsi="Times New Roman"/>
        </w:rPr>
        <w:footnoteReference w:id="3"/>
      </w:r>
      <w:r w:rsidR="009D0706" w:rsidRPr="005D7F54">
        <w:rPr>
          <w:rFonts w:ascii="Times New Roman" w:hAnsi="Times New Roman"/>
        </w:rPr>
        <w:t xml:space="preserve">  </w:t>
      </w:r>
    </w:p>
    <w:p w:rsidR="00EB143A" w:rsidRPr="00AC5FF0" w:rsidRDefault="00EB143A" w:rsidP="00324C07">
      <w:pPr>
        <w:pStyle w:val="Heading1"/>
        <w:keepNext w:val="0"/>
        <w:spacing w:line="480" w:lineRule="auto"/>
        <w:rPr>
          <w:color w:val="000000" w:themeColor="text1"/>
          <w:szCs w:val="24"/>
        </w:rPr>
      </w:pPr>
      <w:r w:rsidRPr="00AC5FF0">
        <w:rPr>
          <w:color w:val="000000" w:themeColor="text1"/>
          <w:szCs w:val="24"/>
        </w:rPr>
        <w:t>II.</w:t>
      </w:r>
      <w:r w:rsidR="00C55210" w:rsidRPr="00AC5FF0">
        <w:rPr>
          <w:color w:val="000000" w:themeColor="text1"/>
          <w:szCs w:val="24"/>
        </w:rPr>
        <w:tab/>
      </w:r>
      <w:r w:rsidR="005D7F54">
        <w:rPr>
          <w:color w:val="000000" w:themeColor="text1"/>
          <w:szCs w:val="24"/>
        </w:rPr>
        <w:t>NATURE OF THE DOCKETS</w:t>
      </w:r>
    </w:p>
    <w:p w:rsidR="004B76C3" w:rsidRPr="00252419" w:rsidRDefault="00252419" w:rsidP="00252419">
      <w:pPr>
        <w:pStyle w:val="ListParagraph"/>
        <w:numPr>
          <w:ilvl w:val="0"/>
          <w:numId w:val="2"/>
        </w:numPr>
        <w:spacing w:line="480" w:lineRule="auto"/>
        <w:rPr>
          <w:rFonts w:ascii="Times New Roman" w:hAnsi="Times New Roman"/>
          <w:color w:val="000000" w:themeColor="text1"/>
          <w:szCs w:val="24"/>
        </w:rPr>
      </w:pPr>
      <w:r>
        <w:rPr>
          <w:rFonts w:ascii="Times New Roman" w:hAnsi="Times New Roman"/>
          <w:b/>
          <w:color w:val="000000" w:themeColor="text1"/>
          <w:szCs w:val="24"/>
        </w:rPr>
        <w:tab/>
      </w:r>
      <w:r w:rsidR="005D7F54" w:rsidRPr="00252419">
        <w:rPr>
          <w:rFonts w:ascii="Times New Roman" w:hAnsi="Times New Roman"/>
          <w:b/>
          <w:color w:val="000000" w:themeColor="text1"/>
          <w:szCs w:val="24"/>
        </w:rPr>
        <w:t>Docket UE-140762 (2014 Rate Case).</w:t>
      </w:r>
      <w:r w:rsidR="005D7F54" w:rsidRPr="00252419">
        <w:rPr>
          <w:rFonts w:ascii="Times New Roman" w:hAnsi="Times New Roman"/>
          <w:color w:val="000000" w:themeColor="text1"/>
          <w:szCs w:val="24"/>
        </w:rPr>
        <w:t xml:space="preserve">  This docket is Pacific Power’s 2014 general rate case, filed May 1, 2014.  In the initial filing in this case, Pacific Power requested that the Hydro Deferral and Colstrip Deferrals be approved and amortized as part of the 2014 Rate Case.</w:t>
      </w:r>
      <w:r>
        <w:rPr>
          <w:rStyle w:val="FootnoteReference"/>
          <w:rFonts w:ascii="Times New Roman" w:hAnsi="Times New Roman"/>
          <w:color w:val="000000" w:themeColor="text1"/>
          <w:szCs w:val="24"/>
        </w:rPr>
        <w:footnoteReference w:id="4"/>
      </w:r>
      <w:r w:rsidRPr="00252419">
        <w:rPr>
          <w:rFonts w:ascii="Times New Roman" w:hAnsi="Times New Roman"/>
          <w:color w:val="000000" w:themeColor="text1"/>
          <w:szCs w:val="24"/>
        </w:rPr>
        <w:t xml:space="preserve">  A prehearing conference was held in this docket on May 30, 2014, and discovery has begun.</w:t>
      </w:r>
    </w:p>
    <w:p w:rsidR="00252419" w:rsidRPr="00252419" w:rsidRDefault="00252419" w:rsidP="00252419">
      <w:pPr>
        <w:pStyle w:val="ListParagraph"/>
        <w:numPr>
          <w:ilvl w:val="0"/>
          <w:numId w:val="2"/>
        </w:numPr>
        <w:spacing w:line="480" w:lineRule="auto"/>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b/>
          <w:color w:val="000000" w:themeColor="text1"/>
          <w:szCs w:val="24"/>
        </w:rPr>
        <w:t>Docket UE</w:t>
      </w:r>
      <w:r w:rsidR="00EF5CEC">
        <w:rPr>
          <w:rFonts w:ascii="Times New Roman" w:hAnsi="Times New Roman"/>
          <w:b/>
          <w:color w:val="000000" w:themeColor="text1"/>
          <w:szCs w:val="24"/>
        </w:rPr>
        <w:t>-</w:t>
      </w:r>
      <w:r>
        <w:rPr>
          <w:rFonts w:ascii="Times New Roman" w:hAnsi="Times New Roman"/>
          <w:b/>
          <w:color w:val="000000" w:themeColor="text1"/>
          <w:szCs w:val="24"/>
        </w:rPr>
        <w:t>140617 (</w:t>
      </w:r>
      <w:proofErr w:type="spellStart"/>
      <w:r>
        <w:rPr>
          <w:rFonts w:ascii="Times New Roman" w:hAnsi="Times New Roman"/>
          <w:b/>
          <w:color w:val="000000" w:themeColor="text1"/>
          <w:szCs w:val="24"/>
        </w:rPr>
        <w:t>Merwin</w:t>
      </w:r>
      <w:proofErr w:type="spellEnd"/>
      <w:r>
        <w:rPr>
          <w:rFonts w:ascii="Times New Roman" w:hAnsi="Times New Roman"/>
          <w:b/>
          <w:color w:val="000000" w:themeColor="text1"/>
          <w:szCs w:val="24"/>
        </w:rPr>
        <w:t xml:space="preserve"> Fish Collector Deferral).</w:t>
      </w:r>
      <w:r>
        <w:rPr>
          <w:rFonts w:ascii="Times New Roman" w:hAnsi="Times New Roman"/>
          <w:color w:val="000000" w:themeColor="text1"/>
          <w:szCs w:val="24"/>
        </w:rPr>
        <w:t xml:space="preserve">  In this docket, the Company requested approval of a separate tariff rider to include in customer rates the revenue </w:t>
      </w:r>
      <w:r>
        <w:rPr>
          <w:rFonts w:ascii="Times New Roman" w:hAnsi="Times New Roman"/>
          <w:color w:val="000000" w:themeColor="text1"/>
          <w:szCs w:val="24"/>
        </w:rPr>
        <w:lastRenderedPageBreak/>
        <w:t xml:space="preserve">requirement associated with the Company’s investment in the </w:t>
      </w:r>
      <w:proofErr w:type="spellStart"/>
      <w:r>
        <w:rPr>
          <w:rFonts w:ascii="Times New Roman" w:hAnsi="Times New Roman"/>
          <w:color w:val="000000" w:themeColor="text1"/>
          <w:szCs w:val="24"/>
        </w:rPr>
        <w:t>Merwin</w:t>
      </w:r>
      <w:proofErr w:type="spellEnd"/>
      <w:r>
        <w:rPr>
          <w:rFonts w:ascii="Times New Roman" w:hAnsi="Times New Roman"/>
          <w:color w:val="000000" w:themeColor="text1"/>
          <w:szCs w:val="24"/>
        </w:rPr>
        <w:t xml:space="preserve"> Fish Collector, a fish passage project mandated by the Federal Energy Regulatory Commission licenses for the Lewis River hydroelectric project.  In the alternative, the Company requested an order approving deferred accounting of the full revenue requirement associated with the fish collector.  The Commission approved the Company’s alternative request for an accounting order on May 29, 2014.</w:t>
      </w:r>
      <w:r>
        <w:rPr>
          <w:rStyle w:val="FootnoteReference"/>
          <w:rFonts w:ascii="Times New Roman" w:hAnsi="Times New Roman"/>
          <w:color w:val="000000" w:themeColor="text1"/>
          <w:szCs w:val="24"/>
        </w:rPr>
        <w:footnoteReference w:id="5"/>
      </w:r>
      <w:r>
        <w:rPr>
          <w:rFonts w:ascii="Times New Roman" w:hAnsi="Times New Roman"/>
          <w:color w:val="000000" w:themeColor="text1"/>
          <w:szCs w:val="24"/>
        </w:rPr>
        <w:t xml:space="preserve">  In the order approving the alternative request, the Commission also consolidated Dockets UE-140617 (</w:t>
      </w:r>
      <w:proofErr w:type="spellStart"/>
      <w:r>
        <w:rPr>
          <w:rFonts w:ascii="Times New Roman" w:hAnsi="Times New Roman"/>
          <w:color w:val="000000" w:themeColor="text1"/>
          <w:szCs w:val="24"/>
        </w:rPr>
        <w:t>Merwin</w:t>
      </w:r>
      <w:proofErr w:type="spellEnd"/>
      <w:r>
        <w:rPr>
          <w:rFonts w:ascii="Times New Roman" w:hAnsi="Times New Roman"/>
          <w:color w:val="000000" w:themeColor="text1"/>
          <w:szCs w:val="24"/>
        </w:rPr>
        <w:t xml:space="preserve"> Fish Collector Deferral) and UE-140762 (2014 Rate Case) to allow the prudence of the fish collector and amortization of the deferred amounts to be addressed in the 2014 Rate Case.</w:t>
      </w:r>
      <w:r>
        <w:rPr>
          <w:rStyle w:val="FootnoteReference"/>
          <w:rFonts w:ascii="Times New Roman" w:hAnsi="Times New Roman"/>
          <w:color w:val="000000" w:themeColor="text1"/>
          <w:szCs w:val="24"/>
        </w:rPr>
        <w:footnoteReference w:id="6"/>
      </w:r>
      <w:r>
        <w:rPr>
          <w:rFonts w:ascii="Times New Roman" w:hAnsi="Times New Roman"/>
          <w:color w:val="000000" w:themeColor="text1"/>
          <w:szCs w:val="24"/>
        </w:rPr>
        <w:t xml:space="preserve">  </w:t>
      </w:r>
    </w:p>
    <w:p w:rsidR="00CA6288" w:rsidRDefault="00C40796" w:rsidP="00C40796">
      <w:pPr>
        <w:pStyle w:val="ListParagraph"/>
        <w:numPr>
          <w:ilvl w:val="0"/>
          <w:numId w:val="2"/>
        </w:numPr>
        <w:spacing w:line="480" w:lineRule="auto"/>
        <w:rPr>
          <w:rFonts w:ascii="Times New Roman" w:hAnsi="Times New Roman"/>
          <w:color w:val="000000" w:themeColor="text1"/>
          <w:szCs w:val="24"/>
        </w:rPr>
      </w:pPr>
      <w:r>
        <w:rPr>
          <w:rFonts w:ascii="Times New Roman" w:hAnsi="Times New Roman"/>
          <w:b/>
          <w:color w:val="000000" w:themeColor="text1"/>
          <w:szCs w:val="24"/>
        </w:rPr>
        <w:tab/>
      </w:r>
      <w:r w:rsidRPr="00C40796">
        <w:rPr>
          <w:rFonts w:ascii="Times New Roman" w:hAnsi="Times New Roman"/>
          <w:b/>
          <w:color w:val="000000" w:themeColor="text1"/>
          <w:szCs w:val="24"/>
        </w:rPr>
        <w:t>Docket UE-1</w:t>
      </w:r>
      <w:r w:rsidR="00494C7D">
        <w:rPr>
          <w:rFonts w:ascii="Times New Roman" w:hAnsi="Times New Roman"/>
          <w:b/>
          <w:color w:val="000000" w:themeColor="text1"/>
          <w:szCs w:val="24"/>
        </w:rPr>
        <w:t>31384</w:t>
      </w:r>
      <w:r w:rsidRPr="00C40796">
        <w:rPr>
          <w:rFonts w:ascii="Times New Roman" w:hAnsi="Times New Roman"/>
          <w:b/>
          <w:color w:val="000000" w:themeColor="text1"/>
          <w:szCs w:val="24"/>
        </w:rPr>
        <w:t xml:space="preserve"> (Colstrip Deferral).</w:t>
      </w:r>
      <w:r>
        <w:rPr>
          <w:rFonts w:ascii="Times New Roman" w:hAnsi="Times New Roman"/>
          <w:color w:val="000000" w:themeColor="text1"/>
          <w:szCs w:val="24"/>
        </w:rPr>
        <w:t xml:space="preserve">  In this docket, Pacific Power filed a petition for </w:t>
      </w:r>
      <w:r w:rsidRPr="00324C07">
        <w:rPr>
          <w:rFonts w:ascii="Times New Roman" w:hAnsi="Times New Roman"/>
          <w:color w:val="000000" w:themeColor="text1"/>
          <w:szCs w:val="24"/>
        </w:rPr>
        <w:t>an</w:t>
      </w:r>
      <w:r>
        <w:rPr>
          <w:rFonts w:ascii="Times New Roman" w:hAnsi="Times New Roman"/>
          <w:color w:val="000000" w:themeColor="text1"/>
          <w:szCs w:val="24"/>
        </w:rPr>
        <w:t xml:space="preserve"> accounting</w:t>
      </w:r>
      <w:r w:rsidRPr="00324C07">
        <w:rPr>
          <w:rFonts w:ascii="Times New Roman" w:hAnsi="Times New Roman"/>
          <w:color w:val="000000" w:themeColor="text1"/>
          <w:szCs w:val="24"/>
        </w:rPr>
        <w:t xml:space="preserve"> order authorizing the Company to defer </w:t>
      </w:r>
      <w:r>
        <w:rPr>
          <w:rFonts w:ascii="Times New Roman" w:hAnsi="Times New Roman"/>
          <w:color w:val="000000" w:themeColor="text1"/>
          <w:szCs w:val="24"/>
        </w:rPr>
        <w:t>its</w:t>
      </w:r>
      <w:r w:rsidRPr="00324C07">
        <w:rPr>
          <w:rFonts w:ascii="Times New Roman" w:hAnsi="Times New Roman"/>
          <w:color w:val="000000" w:themeColor="text1"/>
          <w:szCs w:val="24"/>
        </w:rPr>
        <w:t xml:space="preserve"> costs for repair and replacement purchase power for an outage at the 740-megawatt unit 4 of the Colstrip generating plant located in Colstrip, Montana.  PacifiCorp s</w:t>
      </w:r>
      <w:r>
        <w:rPr>
          <w:rFonts w:ascii="Times New Roman" w:hAnsi="Times New Roman"/>
          <w:color w:val="000000" w:themeColor="text1"/>
          <w:szCs w:val="24"/>
        </w:rPr>
        <w:t>ought</w:t>
      </w:r>
      <w:r w:rsidRPr="00324C07">
        <w:rPr>
          <w:rFonts w:ascii="Times New Roman" w:hAnsi="Times New Roman"/>
          <w:color w:val="000000" w:themeColor="text1"/>
          <w:szCs w:val="24"/>
        </w:rPr>
        <w:t xml:space="preserve"> deferral of these costs to track and preserve them for later incorporation into rates.</w:t>
      </w:r>
      <w:r>
        <w:rPr>
          <w:rFonts w:ascii="Times New Roman" w:hAnsi="Times New Roman"/>
          <w:color w:val="000000" w:themeColor="text1"/>
          <w:szCs w:val="24"/>
        </w:rPr>
        <w:t xml:space="preserve">  There has been limited discovery in this proceeding, but the Commission has not yet acted on this petition.</w:t>
      </w:r>
    </w:p>
    <w:p w:rsidR="00C40796" w:rsidRPr="00EF5CEC" w:rsidRDefault="00C40796" w:rsidP="00EF5CEC">
      <w:pPr>
        <w:pStyle w:val="ListParagraph"/>
        <w:numPr>
          <w:ilvl w:val="0"/>
          <w:numId w:val="2"/>
        </w:numPr>
        <w:spacing w:line="480" w:lineRule="auto"/>
        <w:rPr>
          <w:rFonts w:ascii="Times New Roman" w:hAnsi="Times New Roman"/>
          <w:color w:val="000000" w:themeColor="text1"/>
          <w:szCs w:val="24"/>
        </w:rPr>
      </w:pPr>
      <w:r w:rsidRPr="00EF5CEC">
        <w:rPr>
          <w:rFonts w:ascii="Times New Roman" w:hAnsi="Times New Roman"/>
          <w:color w:val="000000" w:themeColor="text1"/>
          <w:szCs w:val="24"/>
        </w:rPr>
        <w:tab/>
      </w:r>
      <w:r w:rsidRPr="00EF5CEC">
        <w:rPr>
          <w:rFonts w:ascii="Times New Roman" w:hAnsi="Times New Roman"/>
          <w:b/>
          <w:color w:val="000000" w:themeColor="text1"/>
          <w:szCs w:val="24"/>
        </w:rPr>
        <w:t>Docket UE-1</w:t>
      </w:r>
      <w:r w:rsidR="00494C7D">
        <w:rPr>
          <w:rFonts w:ascii="Times New Roman" w:hAnsi="Times New Roman"/>
          <w:b/>
          <w:color w:val="000000" w:themeColor="text1"/>
          <w:szCs w:val="24"/>
        </w:rPr>
        <w:t>40094</w:t>
      </w:r>
      <w:r w:rsidRPr="00EF5CEC">
        <w:rPr>
          <w:rFonts w:ascii="Times New Roman" w:hAnsi="Times New Roman"/>
          <w:b/>
          <w:color w:val="000000" w:themeColor="text1"/>
          <w:szCs w:val="24"/>
        </w:rPr>
        <w:t xml:space="preserve"> (Hydro Deferral).</w:t>
      </w:r>
      <w:r w:rsidRPr="00EF5CEC">
        <w:rPr>
          <w:rFonts w:ascii="Times New Roman" w:hAnsi="Times New Roman"/>
          <w:color w:val="000000" w:themeColor="text1"/>
          <w:szCs w:val="24"/>
        </w:rPr>
        <w:t xml:space="preserve">  In this proceeding, Pacific Power filed a petition for an accounting order authorizing deferral</w:t>
      </w:r>
      <w:r w:rsidRPr="00EF5CEC">
        <w:rPr>
          <w:rFonts w:ascii="Times New Roman" w:hAnsi="Times New Roman"/>
          <w:b/>
          <w:color w:val="000000" w:themeColor="text1"/>
          <w:szCs w:val="24"/>
        </w:rPr>
        <w:t xml:space="preserve"> </w:t>
      </w:r>
      <w:r w:rsidRPr="00EF5CEC">
        <w:rPr>
          <w:rFonts w:ascii="Times New Roman" w:hAnsi="Times New Roman"/>
          <w:color w:val="000000" w:themeColor="text1"/>
          <w:szCs w:val="24"/>
        </w:rPr>
        <w:t>for later ratemaking treatment costs associated with significant declines in hydro generation due to abnormally dry weather conditions and low water availability.  There has been limited discovery in this proceeding, but the Commission has not yet acted on this petition.</w:t>
      </w:r>
    </w:p>
    <w:p w:rsidR="0073313F" w:rsidRDefault="00EB143A" w:rsidP="00EF5CEC">
      <w:pPr>
        <w:pStyle w:val="Heading1"/>
        <w:rPr>
          <w:color w:val="000000" w:themeColor="text1"/>
          <w:szCs w:val="24"/>
        </w:rPr>
      </w:pPr>
      <w:r w:rsidRPr="00AC5FF0">
        <w:rPr>
          <w:color w:val="000000" w:themeColor="text1"/>
          <w:szCs w:val="24"/>
        </w:rPr>
        <w:lastRenderedPageBreak/>
        <w:t>III.</w:t>
      </w:r>
      <w:r w:rsidR="00C55210" w:rsidRPr="00AC5FF0">
        <w:rPr>
          <w:color w:val="000000" w:themeColor="text1"/>
          <w:szCs w:val="24"/>
        </w:rPr>
        <w:tab/>
      </w:r>
      <w:r w:rsidR="00EF5CEC">
        <w:rPr>
          <w:color w:val="000000" w:themeColor="text1"/>
          <w:szCs w:val="24"/>
        </w:rPr>
        <w:t>ARGUMENT</w:t>
      </w:r>
    </w:p>
    <w:p w:rsidR="00EF5CEC" w:rsidRPr="00EF5CEC" w:rsidRDefault="00EF5CEC" w:rsidP="00EF5CEC">
      <w:pPr>
        <w:keepNext/>
        <w:rPr>
          <w:rFonts w:ascii="Times New Roman" w:hAnsi="Times New Roman"/>
        </w:rPr>
      </w:pPr>
    </w:p>
    <w:p w:rsidR="00EF5CEC" w:rsidRPr="00EF5CEC" w:rsidRDefault="00EF5CEC" w:rsidP="00EF5CEC">
      <w:pPr>
        <w:pStyle w:val="ListParagraph"/>
        <w:numPr>
          <w:ilvl w:val="0"/>
          <w:numId w:val="2"/>
        </w:numPr>
        <w:spacing w:line="480" w:lineRule="auto"/>
      </w:pPr>
      <w:r>
        <w:tab/>
        <w:t>In the 2014 Rate Case, the Commission will thoroughly examin</w:t>
      </w:r>
      <w:r w:rsidR="00494C7D">
        <w:t xml:space="preserve">e </w:t>
      </w:r>
      <w:r>
        <w:t>the Company’s revenues and expenses, including net power costs.  In examining the Company’s net power costs, the Commission determines the appropriate forced outage rate assumptions for each of the generating units in Pacific Power’s west control area.  In addition, f</w:t>
      </w:r>
      <w:r>
        <w:rPr>
          <w:rFonts w:ascii="Times New Roman" w:hAnsi="Times New Roman"/>
          <w:color w:val="000000" w:themeColor="text1"/>
          <w:szCs w:val="24"/>
        </w:rPr>
        <w:t>or the purpose of setting rates in a general rate case, the Company uses a single-year median water year developed based on the available history of the Company’s major hydro facilities, which range from 40 years to over 90 years.</w:t>
      </w:r>
    </w:p>
    <w:p w:rsidR="00EF5CEC" w:rsidRPr="00494C7D" w:rsidRDefault="00EF5CEC" w:rsidP="00EF5CEC">
      <w:pPr>
        <w:pStyle w:val="ListParagraph"/>
        <w:numPr>
          <w:ilvl w:val="0"/>
          <w:numId w:val="2"/>
        </w:numPr>
        <w:spacing w:line="480" w:lineRule="auto"/>
      </w:pPr>
      <w:r>
        <w:rPr>
          <w:rFonts w:ascii="Times New Roman" w:hAnsi="Times New Roman"/>
          <w:color w:val="000000" w:themeColor="text1"/>
          <w:szCs w:val="24"/>
        </w:rPr>
        <w:tab/>
      </w:r>
      <w:r w:rsidR="00494C7D">
        <w:rPr>
          <w:rFonts w:ascii="Times New Roman" w:hAnsi="Times New Roman"/>
          <w:color w:val="000000" w:themeColor="text1"/>
          <w:szCs w:val="24"/>
        </w:rPr>
        <w:t>In the Colstrip Deferral, Pacific Power requested deferral of the increase in net power costs resulting from an unexpected and extended forced outage at Colstrip unit 4.  Determining whether Pacific Power’s request should be approved and whether the excess net power costs should be included in customer rates involves the same issues of law and fact that will be addressed in determining net power costs in the 2014 Rate Case.  It is therefore appropriate under WAC 480-07-310 to consolidate the Colstrip Deferral with the 2014 Rate Case.</w:t>
      </w:r>
    </w:p>
    <w:p w:rsidR="00494C7D" w:rsidRDefault="00494C7D" w:rsidP="00EF5CEC">
      <w:pPr>
        <w:pStyle w:val="ListParagraph"/>
        <w:numPr>
          <w:ilvl w:val="0"/>
          <w:numId w:val="2"/>
        </w:numPr>
        <w:spacing w:line="480" w:lineRule="auto"/>
      </w:pPr>
      <w:r>
        <w:tab/>
        <w:t>In the Hydro Deferral, Pacific Power requested deferral of increased costs related to unexpectedly low hydro conditions.  Like the Colstrip Deferral, determining whether the Hydro Deferral should be approved and whether these costs should be included in customer rates involves the same issues of law and fact that will be addressed in determining an appropriate level of costs for hydro generation in the Company’s 2014 Rate Case.  It is therefore appropriate to consolidate the Hydro Deferral with the 2014 Rate Case.</w:t>
      </w:r>
    </w:p>
    <w:p w:rsidR="00494C7D" w:rsidRPr="00EF5CEC" w:rsidRDefault="00494C7D" w:rsidP="00EF5CEC">
      <w:pPr>
        <w:pStyle w:val="ListParagraph"/>
        <w:numPr>
          <w:ilvl w:val="0"/>
          <w:numId w:val="2"/>
        </w:numPr>
        <w:spacing w:line="480" w:lineRule="auto"/>
      </w:pPr>
      <w:r>
        <w:lastRenderedPageBreak/>
        <w:tab/>
        <w:t xml:space="preserve">In addition, consolidating the Colstrip and Hydro deferrals with the 2014 Rate Case will promote regulatory efficiency by resolving related factual and legal issues in one proceeding.  </w:t>
      </w:r>
    </w:p>
    <w:p w:rsidR="00ED18AD" w:rsidRPr="00AC5FF0" w:rsidRDefault="00ED18AD" w:rsidP="00324C07">
      <w:pPr>
        <w:pStyle w:val="Heading1"/>
        <w:keepNext w:val="0"/>
        <w:spacing w:line="240" w:lineRule="auto"/>
        <w:rPr>
          <w:color w:val="000000" w:themeColor="text1"/>
          <w:szCs w:val="24"/>
        </w:rPr>
      </w:pPr>
      <w:r w:rsidRPr="00AC5FF0">
        <w:rPr>
          <w:color w:val="000000" w:themeColor="text1"/>
          <w:szCs w:val="24"/>
        </w:rPr>
        <w:t>IV.</w:t>
      </w:r>
      <w:r w:rsidR="00AC01BB" w:rsidRPr="00AC5FF0">
        <w:rPr>
          <w:color w:val="000000" w:themeColor="text1"/>
          <w:szCs w:val="24"/>
        </w:rPr>
        <w:tab/>
      </w:r>
      <w:r w:rsidRPr="00AC5FF0">
        <w:rPr>
          <w:color w:val="000000" w:themeColor="text1"/>
          <w:szCs w:val="24"/>
        </w:rPr>
        <w:t>CONCLUSION</w:t>
      </w:r>
    </w:p>
    <w:p w:rsidR="007B79E5" w:rsidRPr="00AC5FF0" w:rsidRDefault="007B79E5" w:rsidP="00324C07">
      <w:pPr>
        <w:rPr>
          <w:rFonts w:ascii="Times New Roman" w:hAnsi="Times New Roman"/>
          <w:color w:val="000000" w:themeColor="text1"/>
          <w:szCs w:val="24"/>
        </w:rPr>
      </w:pPr>
    </w:p>
    <w:p w:rsidR="00477F70" w:rsidRPr="00AC5FF0" w:rsidRDefault="00EF5CEC" w:rsidP="00EF5CEC">
      <w:pPr>
        <w:pStyle w:val="ListParagraph"/>
        <w:numPr>
          <w:ilvl w:val="0"/>
          <w:numId w:val="2"/>
        </w:numPr>
        <w:spacing w:line="480" w:lineRule="auto"/>
        <w:rPr>
          <w:rFonts w:ascii="Times New Roman" w:hAnsi="Times New Roman"/>
          <w:color w:val="000000" w:themeColor="text1"/>
          <w:szCs w:val="24"/>
        </w:rPr>
      </w:pPr>
      <w:r>
        <w:rPr>
          <w:rFonts w:ascii="Times New Roman" w:hAnsi="Times New Roman"/>
          <w:i/>
          <w:color w:val="000000" w:themeColor="text1"/>
          <w:szCs w:val="24"/>
        </w:rPr>
        <w:tab/>
      </w:r>
      <w:r w:rsidR="00D72C19">
        <w:rPr>
          <w:rFonts w:ascii="Times New Roman" w:hAnsi="Times New Roman"/>
          <w:color w:val="000000" w:themeColor="text1"/>
          <w:szCs w:val="24"/>
        </w:rPr>
        <w:t xml:space="preserve">For the reasons set forth above, </w:t>
      </w:r>
      <w:r w:rsidR="00ED18AD" w:rsidRPr="00AC5FF0">
        <w:rPr>
          <w:rFonts w:ascii="Times New Roman" w:hAnsi="Times New Roman"/>
          <w:color w:val="000000" w:themeColor="text1"/>
          <w:szCs w:val="24"/>
        </w:rPr>
        <w:t>Pacifi</w:t>
      </w:r>
      <w:r w:rsidR="00C66DF5">
        <w:rPr>
          <w:rFonts w:ascii="Times New Roman" w:hAnsi="Times New Roman"/>
          <w:color w:val="000000" w:themeColor="text1"/>
          <w:szCs w:val="24"/>
        </w:rPr>
        <w:t>c Power</w:t>
      </w:r>
      <w:r w:rsidR="00ED18AD" w:rsidRPr="00AC5FF0">
        <w:rPr>
          <w:rFonts w:ascii="Times New Roman" w:hAnsi="Times New Roman"/>
          <w:color w:val="000000" w:themeColor="text1"/>
          <w:szCs w:val="24"/>
        </w:rPr>
        <w:t xml:space="preserve"> respectfully requests that the </w:t>
      </w:r>
      <w:r w:rsidR="00D72C19">
        <w:rPr>
          <w:rFonts w:ascii="Times New Roman" w:hAnsi="Times New Roman"/>
          <w:color w:val="000000" w:themeColor="text1"/>
          <w:szCs w:val="24"/>
        </w:rPr>
        <w:t xml:space="preserve">Commission consolidate </w:t>
      </w:r>
      <w:r w:rsidR="00D72C19" w:rsidRPr="00EF5CEC">
        <w:t>Docket</w:t>
      </w:r>
      <w:r w:rsidR="00D72C19">
        <w:rPr>
          <w:rFonts w:ascii="Times New Roman" w:hAnsi="Times New Roman"/>
          <w:color w:val="000000" w:themeColor="text1"/>
          <w:szCs w:val="24"/>
        </w:rPr>
        <w:t xml:space="preserve"> UE-140094 (Hydro Deferral) and Docket UE-131384 (Colstrip Deferral) with Dockets UE-140762 (2014 Rate Case) and UE-140617 (</w:t>
      </w:r>
      <w:proofErr w:type="spellStart"/>
      <w:r w:rsidR="00D72C19">
        <w:rPr>
          <w:rFonts w:ascii="Times New Roman" w:hAnsi="Times New Roman"/>
          <w:color w:val="000000" w:themeColor="text1"/>
          <w:szCs w:val="24"/>
        </w:rPr>
        <w:t>Merwin</w:t>
      </w:r>
      <w:proofErr w:type="spellEnd"/>
      <w:r w:rsidR="00D72C19">
        <w:rPr>
          <w:rFonts w:ascii="Times New Roman" w:hAnsi="Times New Roman"/>
          <w:color w:val="000000" w:themeColor="text1"/>
          <w:szCs w:val="24"/>
        </w:rPr>
        <w:t xml:space="preserve"> Fish Collector Deferral)</w:t>
      </w:r>
      <w:r w:rsidR="00ED18AD" w:rsidRPr="00AC5FF0">
        <w:rPr>
          <w:rFonts w:ascii="Times New Roman" w:hAnsi="Times New Roman"/>
          <w:color w:val="000000" w:themeColor="text1"/>
          <w:szCs w:val="24"/>
        </w:rPr>
        <w:t xml:space="preserve">.  </w:t>
      </w:r>
    </w:p>
    <w:p w:rsidR="00D0215C" w:rsidRPr="00AC5FF0" w:rsidRDefault="00477F70" w:rsidP="009D0706">
      <w:pPr>
        <w:spacing w:line="480" w:lineRule="auto"/>
        <w:ind w:firstLine="720"/>
        <w:rPr>
          <w:rFonts w:ascii="Times New Roman" w:hAnsi="Times New Roman"/>
          <w:color w:val="000000" w:themeColor="text1"/>
          <w:szCs w:val="24"/>
          <w:highlight w:val="yellow"/>
        </w:rPr>
      </w:pPr>
      <w:r w:rsidRPr="00AC5FF0">
        <w:rPr>
          <w:rFonts w:ascii="Times New Roman" w:hAnsi="Times New Roman"/>
          <w:color w:val="000000" w:themeColor="text1"/>
          <w:szCs w:val="24"/>
        </w:rPr>
        <w:t xml:space="preserve">Respectfully submitted this </w:t>
      </w:r>
      <w:r w:rsidR="00A46D43">
        <w:rPr>
          <w:rFonts w:ascii="Times New Roman" w:hAnsi="Times New Roman"/>
          <w:color w:val="000000" w:themeColor="text1"/>
          <w:szCs w:val="24"/>
        </w:rPr>
        <w:t>1</w:t>
      </w:r>
      <w:r w:rsidR="00C66DF5">
        <w:rPr>
          <w:rFonts w:ascii="Times New Roman" w:hAnsi="Times New Roman"/>
          <w:color w:val="000000" w:themeColor="text1"/>
          <w:szCs w:val="24"/>
        </w:rPr>
        <w:t>3</w:t>
      </w:r>
      <w:r w:rsidR="00D72C19">
        <w:rPr>
          <w:rFonts w:ascii="Times New Roman" w:hAnsi="Times New Roman"/>
          <w:color w:val="000000" w:themeColor="text1"/>
          <w:szCs w:val="24"/>
        </w:rPr>
        <w:t>th</w:t>
      </w:r>
      <w:r w:rsidR="008857DE" w:rsidRPr="00AC5FF0">
        <w:rPr>
          <w:rFonts w:ascii="Times New Roman" w:hAnsi="Times New Roman"/>
          <w:color w:val="000000" w:themeColor="text1"/>
          <w:szCs w:val="24"/>
        </w:rPr>
        <w:t xml:space="preserve"> day of J</w:t>
      </w:r>
      <w:r w:rsidR="00D72C19">
        <w:rPr>
          <w:rFonts w:ascii="Times New Roman" w:hAnsi="Times New Roman"/>
          <w:color w:val="000000" w:themeColor="text1"/>
          <w:szCs w:val="24"/>
        </w:rPr>
        <w:t>une</w:t>
      </w:r>
      <w:r w:rsidR="008857DE" w:rsidRPr="00AC5FF0">
        <w:rPr>
          <w:rFonts w:ascii="Times New Roman" w:hAnsi="Times New Roman"/>
          <w:color w:val="000000" w:themeColor="text1"/>
          <w:szCs w:val="24"/>
        </w:rPr>
        <w:t>, 2014</w:t>
      </w:r>
      <w:r w:rsidRPr="00AC5FF0">
        <w:rPr>
          <w:rFonts w:ascii="Times New Roman" w:hAnsi="Times New Roman"/>
          <w:color w:val="000000" w:themeColor="text1"/>
          <w:szCs w:val="24"/>
        </w:rPr>
        <w:t>.</w:t>
      </w:r>
    </w:p>
    <w:p w:rsidR="00D0215C" w:rsidRPr="00AC5FF0" w:rsidRDefault="00D0215C" w:rsidP="00477F70">
      <w:pPr>
        <w:ind w:left="4320"/>
        <w:jc w:val="right"/>
        <w:rPr>
          <w:rFonts w:ascii="Times New Roman" w:hAnsi="Times New Roman"/>
          <w:color w:val="000000" w:themeColor="text1"/>
          <w:szCs w:val="24"/>
        </w:rPr>
      </w:pPr>
    </w:p>
    <w:p w:rsidR="00D0215C" w:rsidRPr="00AC5FF0" w:rsidRDefault="00D0215C" w:rsidP="00324C07">
      <w:pPr>
        <w:ind w:left="4320"/>
        <w:rPr>
          <w:rFonts w:ascii="Times New Roman" w:hAnsi="Times New Roman"/>
          <w:color w:val="000000" w:themeColor="text1"/>
          <w:szCs w:val="24"/>
        </w:rPr>
      </w:pPr>
    </w:p>
    <w:p w:rsidR="00D0215C" w:rsidRPr="00AC5FF0" w:rsidRDefault="00477F70" w:rsidP="00324C07">
      <w:pPr>
        <w:ind w:left="3600" w:hanging="720"/>
        <w:rPr>
          <w:rFonts w:ascii="Times New Roman" w:hAnsi="Times New Roman"/>
          <w:color w:val="000000" w:themeColor="text1"/>
          <w:szCs w:val="24"/>
        </w:rPr>
      </w:pPr>
      <w:r w:rsidRPr="00AC5FF0">
        <w:rPr>
          <w:rFonts w:ascii="Times New Roman" w:hAnsi="Times New Roman"/>
          <w:color w:val="000000" w:themeColor="text1"/>
          <w:szCs w:val="24"/>
        </w:rPr>
        <w:t>By:</w:t>
      </w:r>
      <w:r w:rsidRPr="00AC5FF0">
        <w:rPr>
          <w:rFonts w:ascii="Times New Roman" w:hAnsi="Times New Roman"/>
          <w:color w:val="000000" w:themeColor="text1"/>
          <w:szCs w:val="24"/>
        </w:rPr>
        <w:tab/>
      </w:r>
      <w:r w:rsidR="0091770F" w:rsidRPr="00AC5FF0">
        <w:rPr>
          <w:rFonts w:ascii="Times New Roman" w:hAnsi="Times New Roman"/>
          <w:color w:val="000000" w:themeColor="text1"/>
          <w:szCs w:val="24"/>
        </w:rPr>
        <w:t>__________</w:t>
      </w:r>
      <w:r w:rsidRPr="00AC5FF0">
        <w:rPr>
          <w:rFonts w:ascii="Times New Roman" w:hAnsi="Times New Roman"/>
          <w:color w:val="000000" w:themeColor="text1"/>
          <w:szCs w:val="24"/>
        </w:rPr>
        <w:t>___</w:t>
      </w:r>
      <w:r w:rsidR="0091770F" w:rsidRPr="00AC5FF0">
        <w:rPr>
          <w:rFonts w:ascii="Times New Roman" w:hAnsi="Times New Roman"/>
          <w:color w:val="000000" w:themeColor="text1"/>
          <w:szCs w:val="24"/>
        </w:rPr>
        <w:t>______________</w:t>
      </w:r>
    </w:p>
    <w:p w:rsidR="00D0215C" w:rsidRPr="00AC5FF0" w:rsidRDefault="00C13619" w:rsidP="00324C07">
      <w:pPr>
        <w:ind w:left="4320" w:hanging="720"/>
        <w:rPr>
          <w:rFonts w:ascii="Times New Roman" w:hAnsi="Times New Roman"/>
          <w:color w:val="000000" w:themeColor="text1"/>
          <w:szCs w:val="24"/>
        </w:rPr>
      </w:pPr>
      <w:r w:rsidRPr="00AC5FF0">
        <w:rPr>
          <w:rFonts w:ascii="Times New Roman" w:hAnsi="Times New Roman"/>
          <w:color w:val="000000" w:themeColor="text1"/>
          <w:szCs w:val="24"/>
        </w:rPr>
        <w:t xml:space="preserve">Sarah </w:t>
      </w:r>
      <w:r w:rsidR="00477F70" w:rsidRPr="00AC5FF0">
        <w:rPr>
          <w:rFonts w:ascii="Times New Roman" w:hAnsi="Times New Roman"/>
          <w:color w:val="000000" w:themeColor="text1"/>
          <w:szCs w:val="24"/>
        </w:rPr>
        <w:t xml:space="preserve">K. </w:t>
      </w:r>
      <w:r w:rsidRPr="00AC5FF0">
        <w:rPr>
          <w:rFonts w:ascii="Times New Roman" w:hAnsi="Times New Roman"/>
          <w:color w:val="000000" w:themeColor="text1"/>
          <w:szCs w:val="24"/>
        </w:rPr>
        <w:t>Wallace</w:t>
      </w:r>
    </w:p>
    <w:p w:rsidR="00D0215C" w:rsidRPr="00AC5FF0" w:rsidRDefault="00D72C19" w:rsidP="00324C07">
      <w:pPr>
        <w:ind w:left="4320" w:hanging="720"/>
        <w:rPr>
          <w:rFonts w:ascii="Times New Roman" w:hAnsi="Times New Roman"/>
          <w:color w:val="000000" w:themeColor="text1"/>
          <w:szCs w:val="24"/>
        </w:rPr>
      </w:pPr>
      <w:r>
        <w:rPr>
          <w:rFonts w:ascii="Times New Roman" w:hAnsi="Times New Roman"/>
          <w:color w:val="000000" w:themeColor="text1"/>
          <w:szCs w:val="24"/>
        </w:rPr>
        <w:t>Assistant General Counsel</w:t>
      </w:r>
    </w:p>
    <w:p w:rsidR="00D0215C" w:rsidRPr="00AC5FF0" w:rsidRDefault="00477F70" w:rsidP="00324C07">
      <w:pPr>
        <w:ind w:left="4320" w:hanging="720"/>
        <w:rPr>
          <w:rFonts w:ascii="Times New Roman" w:hAnsi="Times New Roman"/>
          <w:color w:val="000000" w:themeColor="text1"/>
          <w:szCs w:val="24"/>
        </w:rPr>
      </w:pPr>
      <w:r w:rsidRPr="00AC5FF0">
        <w:rPr>
          <w:rFonts w:ascii="Times New Roman" w:hAnsi="Times New Roman"/>
          <w:color w:val="000000" w:themeColor="text1"/>
          <w:szCs w:val="24"/>
        </w:rPr>
        <w:t>Pacific Power &amp; Light Company</w:t>
      </w:r>
    </w:p>
    <w:p w:rsidR="00AC5FF0" w:rsidRDefault="00AC5FF0">
      <w:pPr>
        <w:ind w:left="4320" w:hanging="720"/>
        <w:rPr>
          <w:rFonts w:ascii="Times New Roman" w:hAnsi="Times New Roman"/>
          <w:color w:val="000000" w:themeColor="text1"/>
          <w:szCs w:val="24"/>
        </w:rPr>
      </w:pPr>
    </w:p>
    <w:p w:rsidR="00D72C19" w:rsidRDefault="00D72C19">
      <w:pPr>
        <w:ind w:left="4320" w:hanging="720"/>
        <w:rPr>
          <w:rFonts w:ascii="Times New Roman" w:hAnsi="Times New Roman"/>
          <w:color w:val="000000" w:themeColor="text1"/>
          <w:szCs w:val="24"/>
        </w:rPr>
      </w:pPr>
      <w:r>
        <w:rPr>
          <w:rFonts w:ascii="Times New Roman" w:hAnsi="Times New Roman"/>
          <w:color w:val="000000" w:themeColor="text1"/>
          <w:szCs w:val="24"/>
        </w:rPr>
        <w:t>Katherine A. McDowell</w:t>
      </w:r>
    </w:p>
    <w:p w:rsidR="00D72C19" w:rsidRDefault="00D72C19">
      <w:pPr>
        <w:ind w:left="4320" w:hanging="720"/>
        <w:rPr>
          <w:rFonts w:ascii="Times New Roman" w:hAnsi="Times New Roman"/>
          <w:color w:val="000000" w:themeColor="text1"/>
          <w:szCs w:val="24"/>
        </w:rPr>
      </w:pPr>
      <w:r>
        <w:rPr>
          <w:rFonts w:ascii="Times New Roman" w:hAnsi="Times New Roman"/>
          <w:color w:val="000000" w:themeColor="text1"/>
          <w:szCs w:val="24"/>
        </w:rPr>
        <w:t>McDowell, Rackner &amp; Gibson</w:t>
      </w:r>
    </w:p>
    <w:p w:rsidR="00D72C19" w:rsidRDefault="00D72C19">
      <w:pPr>
        <w:ind w:left="4320" w:hanging="720"/>
        <w:rPr>
          <w:rFonts w:ascii="Times New Roman" w:hAnsi="Times New Roman"/>
          <w:color w:val="000000" w:themeColor="text1"/>
          <w:szCs w:val="24"/>
        </w:rPr>
      </w:pPr>
    </w:p>
    <w:p w:rsidR="00D72C19" w:rsidRPr="00AC5FF0" w:rsidRDefault="00D72C19">
      <w:pPr>
        <w:ind w:left="4320" w:hanging="720"/>
        <w:rPr>
          <w:rFonts w:ascii="Times New Roman" w:hAnsi="Times New Roman"/>
          <w:color w:val="000000" w:themeColor="text1"/>
          <w:szCs w:val="24"/>
        </w:rPr>
      </w:pPr>
      <w:r>
        <w:rPr>
          <w:rFonts w:ascii="Times New Roman" w:hAnsi="Times New Roman"/>
          <w:color w:val="000000" w:themeColor="text1"/>
          <w:szCs w:val="24"/>
        </w:rPr>
        <w:t>Attorneys for Pacific Power &amp; Light Company</w:t>
      </w:r>
    </w:p>
    <w:sectPr w:rsidR="00D72C19" w:rsidRPr="00AC5FF0" w:rsidSect="00D72C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77" w:rsidRDefault="00436877" w:rsidP="00232A38">
      <w:r>
        <w:separator/>
      </w:r>
    </w:p>
  </w:endnote>
  <w:endnote w:type="continuationSeparator" w:id="0">
    <w:p w:rsidR="00436877" w:rsidRDefault="00436877"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51" w:rsidRDefault="00743F51" w:rsidP="00D72C19">
    <w:pPr>
      <w:pStyle w:val="Footer"/>
      <w:rPr>
        <w:rFonts w:ascii="Times New Roman" w:hAnsi="Times New Roman"/>
        <w:szCs w:val="24"/>
      </w:rPr>
    </w:pPr>
    <w:r w:rsidRPr="0091770F">
      <w:rPr>
        <w:rFonts w:ascii="Times New Roman" w:hAnsi="Times New Roman"/>
        <w:szCs w:val="24"/>
      </w:rPr>
      <w:t>Pacifi</w:t>
    </w:r>
    <w:r w:rsidR="00D72C19">
      <w:rPr>
        <w:rFonts w:ascii="Times New Roman" w:hAnsi="Times New Roman"/>
        <w:szCs w:val="24"/>
      </w:rPr>
      <w:t xml:space="preserve">c Power &amp; Light Company’s Motion </w:t>
    </w:r>
    <w:r w:rsidR="001E63EF">
      <w:rPr>
        <w:rFonts w:ascii="Times New Roman" w:hAnsi="Times New Roman"/>
        <w:szCs w:val="24"/>
      </w:rPr>
      <w:t>t</w:t>
    </w:r>
    <w:r w:rsidR="00D72C19">
      <w:rPr>
        <w:rFonts w:ascii="Times New Roman" w:hAnsi="Times New Roman"/>
        <w:szCs w:val="24"/>
      </w:rPr>
      <w:t>o Consolidat</w:t>
    </w:r>
    <w:r w:rsidR="001E63EF">
      <w:rPr>
        <w:rFonts w:ascii="Times New Roman" w:hAnsi="Times New Roman"/>
        <w:szCs w:val="24"/>
      </w:rPr>
      <w:t>e</w:t>
    </w:r>
    <w:sdt>
      <w:sdtPr>
        <w:rPr>
          <w:rFonts w:ascii="Times New Roman" w:hAnsi="Times New Roman"/>
          <w:szCs w:val="24"/>
        </w:rPr>
        <w:id w:val="349138827"/>
        <w:docPartObj>
          <w:docPartGallery w:val="Page Numbers (Bottom of Page)"/>
          <w:docPartUnique/>
        </w:docPartObj>
      </w:sdtPr>
      <w:sdtEndPr/>
      <w:sdtContent>
        <w:r>
          <w:rPr>
            <w:rFonts w:ascii="Times New Roman" w:hAnsi="Times New Roman"/>
            <w:szCs w:val="24"/>
          </w:rPr>
          <w:tab/>
        </w:r>
        <w:r w:rsidR="00AD21F7"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00AD21F7" w:rsidRPr="00F91408">
          <w:rPr>
            <w:rFonts w:ascii="Times New Roman" w:hAnsi="Times New Roman"/>
            <w:szCs w:val="24"/>
          </w:rPr>
          <w:fldChar w:fldCharType="separate"/>
        </w:r>
        <w:r w:rsidR="00F94FEC">
          <w:rPr>
            <w:rFonts w:ascii="Times New Roman" w:hAnsi="Times New Roman"/>
            <w:noProof/>
            <w:szCs w:val="24"/>
          </w:rPr>
          <w:t>1</w:t>
        </w:r>
        <w:r w:rsidR="00AD21F7" w:rsidRPr="00F91408">
          <w:rPr>
            <w:rFonts w:ascii="Times New Roman" w:hAnsi="Times New Roman"/>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77" w:rsidRDefault="00436877" w:rsidP="00232A38">
      <w:r>
        <w:separator/>
      </w:r>
    </w:p>
  </w:footnote>
  <w:footnote w:type="continuationSeparator" w:id="0">
    <w:p w:rsidR="00436877" w:rsidRDefault="00436877" w:rsidP="00232A38">
      <w:r>
        <w:continuationSeparator/>
      </w:r>
    </w:p>
  </w:footnote>
  <w:footnote w:id="1">
    <w:p w:rsidR="001E63EF" w:rsidRPr="00EF5CEC" w:rsidRDefault="001E63EF" w:rsidP="00B27E85">
      <w:pPr>
        <w:autoSpaceDE w:val="0"/>
        <w:autoSpaceDN w:val="0"/>
        <w:adjustRightInd w:val="0"/>
        <w:rPr>
          <w:rFonts w:ascii="Times New Roman" w:hAnsi="Times New Roman"/>
          <w:sz w:val="20"/>
        </w:rPr>
      </w:pPr>
      <w:r w:rsidRPr="00EF5CEC">
        <w:rPr>
          <w:rStyle w:val="FootnoteReference"/>
          <w:rFonts w:ascii="Times New Roman" w:hAnsi="Times New Roman"/>
          <w:sz w:val="20"/>
        </w:rPr>
        <w:footnoteRef/>
      </w:r>
      <w:r w:rsidRPr="00EF5CEC">
        <w:rPr>
          <w:rFonts w:ascii="Times New Roman" w:hAnsi="Times New Roman"/>
          <w:sz w:val="20"/>
        </w:rPr>
        <w:t xml:space="preserve"> In Order 01 in Docket UE-132</w:t>
      </w:r>
      <w:r w:rsidR="00B27E85" w:rsidRPr="00EF5CEC">
        <w:rPr>
          <w:rFonts w:ascii="Times New Roman" w:hAnsi="Times New Roman"/>
          <w:sz w:val="20"/>
        </w:rPr>
        <w:t>350, the Commission approved the Company’s request to defer the reduction in depreciation expense related to the difference between the depreciation rates approved in Docket UE-130052 (the Company’s 2013 depreciation study) and the depreciation rates reflected in the Company’s 2013 general rate case, Docket UE-130043.  As part of the 2014 Rate Case filing, the Company propose</w:t>
      </w:r>
      <w:r w:rsidR="00C66DF5">
        <w:rPr>
          <w:rFonts w:ascii="Times New Roman" w:hAnsi="Times New Roman"/>
          <w:sz w:val="20"/>
        </w:rPr>
        <w:t>s</w:t>
      </w:r>
      <w:r w:rsidR="00B27E85" w:rsidRPr="00EF5CEC">
        <w:rPr>
          <w:rFonts w:ascii="Times New Roman" w:hAnsi="Times New Roman"/>
          <w:sz w:val="20"/>
        </w:rPr>
        <w:t xml:space="preserve"> to amortize these deferred amounts.  The Company is not, however, seeking to consolidate Docket UE-132350 with the 2014 Rate Case because Docket UE-132350 was closed after the order approving deferred accounting was issued.</w:t>
      </w:r>
    </w:p>
  </w:footnote>
  <w:footnote w:id="2">
    <w:p w:rsidR="005D7F54" w:rsidRPr="00EF5CEC" w:rsidRDefault="005D7F54">
      <w:pPr>
        <w:pStyle w:val="FootnoteText"/>
        <w:rPr>
          <w:rFonts w:ascii="Times New Roman" w:hAnsi="Times New Roman"/>
        </w:rPr>
      </w:pPr>
      <w:r w:rsidRPr="00EF5CEC">
        <w:rPr>
          <w:rStyle w:val="FootnoteReference"/>
          <w:rFonts w:ascii="Times New Roman" w:hAnsi="Times New Roman"/>
        </w:rPr>
        <w:footnoteRef/>
      </w:r>
      <w:r w:rsidRPr="00EF5CEC">
        <w:rPr>
          <w:rFonts w:ascii="Times New Roman" w:hAnsi="Times New Roman"/>
        </w:rPr>
        <w:t xml:space="preserve"> </w:t>
      </w:r>
      <w:proofErr w:type="gramStart"/>
      <w:r w:rsidRPr="00EF5CEC">
        <w:rPr>
          <w:rFonts w:ascii="Times New Roman" w:hAnsi="Times New Roman"/>
        </w:rPr>
        <w:t>WAC 480-07-310.</w:t>
      </w:r>
      <w:proofErr w:type="gramEnd"/>
    </w:p>
  </w:footnote>
  <w:footnote w:id="3">
    <w:p w:rsidR="0027511D" w:rsidRPr="00EF5CEC" w:rsidRDefault="0027511D" w:rsidP="0027511D">
      <w:pPr>
        <w:pStyle w:val="FootnoteText"/>
        <w:rPr>
          <w:rFonts w:ascii="Times New Roman" w:hAnsi="Times New Roman"/>
        </w:rPr>
      </w:pPr>
      <w:r w:rsidRPr="00EF5CEC">
        <w:rPr>
          <w:rStyle w:val="FootnoteReference"/>
          <w:rFonts w:ascii="Times New Roman" w:hAnsi="Times New Roman"/>
        </w:rPr>
        <w:footnoteRef/>
      </w:r>
      <w:r w:rsidRPr="00EF5CEC">
        <w:rPr>
          <w:rFonts w:ascii="Times New Roman" w:hAnsi="Times New Roman"/>
        </w:rPr>
        <w:t xml:space="preserve"> Order 01 in Docket UE-140617, Order 03 in Docket UE-140762 (May 29, 2014).</w:t>
      </w:r>
    </w:p>
  </w:footnote>
  <w:footnote w:id="4">
    <w:p w:rsidR="00252419" w:rsidRDefault="00252419">
      <w:pPr>
        <w:pStyle w:val="FootnoteText"/>
      </w:pPr>
      <w:r w:rsidRPr="00EF5CEC">
        <w:rPr>
          <w:rStyle w:val="FootnoteReference"/>
          <w:rFonts w:ascii="Times New Roman" w:hAnsi="Times New Roman"/>
        </w:rPr>
        <w:footnoteRef/>
      </w:r>
      <w:r w:rsidRPr="00EF5CEC">
        <w:rPr>
          <w:rFonts w:ascii="Times New Roman" w:hAnsi="Times New Roman"/>
        </w:rPr>
        <w:t xml:space="preserve"> Docket UE-140762, Direct Testimony of Ms. Natasha C. Siores, Exhibit No. NCS-1T at 8-9.</w:t>
      </w:r>
    </w:p>
  </w:footnote>
  <w:footnote w:id="5">
    <w:p w:rsidR="00252419" w:rsidRPr="00EF5CEC" w:rsidRDefault="00252419">
      <w:pPr>
        <w:pStyle w:val="FootnoteText"/>
        <w:rPr>
          <w:rFonts w:ascii="Times New Roman" w:hAnsi="Times New Roman"/>
        </w:rPr>
      </w:pPr>
      <w:r w:rsidRPr="00EF5CEC">
        <w:rPr>
          <w:rStyle w:val="FootnoteReference"/>
          <w:rFonts w:ascii="Times New Roman" w:hAnsi="Times New Roman"/>
        </w:rPr>
        <w:footnoteRef/>
      </w:r>
      <w:r w:rsidRPr="00EF5CEC">
        <w:rPr>
          <w:rFonts w:ascii="Times New Roman" w:hAnsi="Times New Roman"/>
        </w:rPr>
        <w:t xml:space="preserve"> Order 01 in Docket UE-140617, Order 03 in Docket UE-140762 (May 29, 2014).</w:t>
      </w:r>
    </w:p>
  </w:footnote>
  <w:footnote w:id="6">
    <w:p w:rsidR="00252419" w:rsidRPr="00C40796" w:rsidRDefault="00252419">
      <w:pPr>
        <w:pStyle w:val="FootnoteText"/>
      </w:pPr>
      <w:r w:rsidRPr="00EF5CEC">
        <w:rPr>
          <w:rStyle w:val="FootnoteReference"/>
          <w:rFonts w:ascii="Times New Roman" w:hAnsi="Times New Roman"/>
        </w:rPr>
        <w:footnoteRef/>
      </w:r>
      <w:r w:rsidRPr="00EF5CEC">
        <w:rPr>
          <w:rFonts w:ascii="Times New Roman" w:hAnsi="Times New Roman"/>
        </w:rPr>
        <w:t xml:space="preserve"> </w:t>
      </w:r>
      <w:proofErr w:type="gramStart"/>
      <w:r w:rsidRPr="00EF5CEC">
        <w:rPr>
          <w:rFonts w:ascii="Times New Roman" w:hAnsi="Times New Roman"/>
          <w:i/>
        </w:rPr>
        <w:t>Id.</w:t>
      </w:r>
      <w:r w:rsidR="00C40796" w:rsidRPr="00EF5CEC">
        <w:rPr>
          <w:rFonts w:ascii="Times New Roman" w:hAnsi="Times New Roman"/>
        </w:rPr>
        <w:t xml:space="preserve"> ¶¶ 10, 12, 18, 21.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EC" w:rsidRDefault="00F94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27B7E"/>
    <w:multiLevelType w:val="hybridMultilevel"/>
    <w:tmpl w:val="24264198"/>
    <w:lvl w:ilvl="0" w:tplc="606EE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C28C2"/>
    <w:multiLevelType w:val="hybridMultilevel"/>
    <w:tmpl w:val="AFC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D21D4"/>
    <w:multiLevelType w:val="hybridMultilevel"/>
    <w:tmpl w:val="A08CCD42"/>
    <w:lvl w:ilvl="0" w:tplc="ECE0F71A">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62244E8D"/>
    <w:multiLevelType w:val="hybridMultilevel"/>
    <w:tmpl w:val="DC1EF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30881"/>
    <w:rsid w:val="00032499"/>
    <w:rsid w:val="00063E95"/>
    <w:rsid w:val="000662E7"/>
    <w:rsid w:val="0007310F"/>
    <w:rsid w:val="00076F2D"/>
    <w:rsid w:val="0008005C"/>
    <w:rsid w:val="000A55FA"/>
    <w:rsid w:val="000B1430"/>
    <w:rsid w:val="000C7BE5"/>
    <w:rsid w:val="001010D2"/>
    <w:rsid w:val="00117443"/>
    <w:rsid w:val="001433AC"/>
    <w:rsid w:val="00144A3D"/>
    <w:rsid w:val="0015310D"/>
    <w:rsid w:val="00162A02"/>
    <w:rsid w:val="00164D52"/>
    <w:rsid w:val="00180866"/>
    <w:rsid w:val="00181DEA"/>
    <w:rsid w:val="00196E53"/>
    <w:rsid w:val="001A18F6"/>
    <w:rsid w:val="001A4D4F"/>
    <w:rsid w:val="001B5F65"/>
    <w:rsid w:val="001E63EF"/>
    <w:rsid w:val="0020290B"/>
    <w:rsid w:val="00204AFC"/>
    <w:rsid w:val="0022446E"/>
    <w:rsid w:val="0022511A"/>
    <w:rsid w:val="00232A38"/>
    <w:rsid w:val="002339FD"/>
    <w:rsid w:val="00252419"/>
    <w:rsid w:val="0027511D"/>
    <w:rsid w:val="00292729"/>
    <w:rsid w:val="002B10EC"/>
    <w:rsid w:val="002B1315"/>
    <w:rsid w:val="002B29FB"/>
    <w:rsid w:val="002B383D"/>
    <w:rsid w:val="002D1319"/>
    <w:rsid w:val="002D3B53"/>
    <w:rsid w:val="002D47CB"/>
    <w:rsid w:val="002F58D7"/>
    <w:rsid w:val="00303467"/>
    <w:rsid w:val="003203F1"/>
    <w:rsid w:val="00324C07"/>
    <w:rsid w:val="00332B49"/>
    <w:rsid w:val="00351E00"/>
    <w:rsid w:val="0037220F"/>
    <w:rsid w:val="003732BC"/>
    <w:rsid w:val="00374F84"/>
    <w:rsid w:val="003C518D"/>
    <w:rsid w:val="003D2FC4"/>
    <w:rsid w:val="003D569D"/>
    <w:rsid w:val="003D6BCB"/>
    <w:rsid w:val="004319B0"/>
    <w:rsid w:val="00432357"/>
    <w:rsid w:val="00436877"/>
    <w:rsid w:val="004450DF"/>
    <w:rsid w:val="004624CE"/>
    <w:rsid w:val="004662B8"/>
    <w:rsid w:val="00477F70"/>
    <w:rsid w:val="00493BBD"/>
    <w:rsid w:val="00494C7D"/>
    <w:rsid w:val="004B1CFC"/>
    <w:rsid w:val="004B76C3"/>
    <w:rsid w:val="004E65A0"/>
    <w:rsid w:val="004F0742"/>
    <w:rsid w:val="004F40E7"/>
    <w:rsid w:val="004F5268"/>
    <w:rsid w:val="0050455C"/>
    <w:rsid w:val="0050529F"/>
    <w:rsid w:val="00507716"/>
    <w:rsid w:val="00513011"/>
    <w:rsid w:val="00520F4C"/>
    <w:rsid w:val="005431F2"/>
    <w:rsid w:val="0055462C"/>
    <w:rsid w:val="00563246"/>
    <w:rsid w:val="00573263"/>
    <w:rsid w:val="005921C3"/>
    <w:rsid w:val="005931D8"/>
    <w:rsid w:val="00593558"/>
    <w:rsid w:val="005A04E5"/>
    <w:rsid w:val="005B100C"/>
    <w:rsid w:val="005C6279"/>
    <w:rsid w:val="005D7F54"/>
    <w:rsid w:val="005E0C86"/>
    <w:rsid w:val="005F58D5"/>
    <w:rsid w:val="0060273D"/>
    <w:rsid w:val="00613B45"/>
    <w:rsid w:val="00613BBB"/>
    <w:rsid w:val="0065131B"/>
    <w:rsid w:val="0065619D"/>
    <w:rsid w:val="00663E03"/>
    <w:rsid w:val="006A1DF6"/>
    <w:rsid w:val="006A55C0"/>
    <w:rsid w:val="006B5095"/>
    <w:rsid w:val="006E1EF4"/>
    <w:rsid w:val="006E63C3"/>
    <w:rsid w:val="00723ACD"/>
    <w:rsid w:val="0073313F"/>
    <w:rsid w:val="0073434A"/>
    <w:rsid w:val="00743F51"/>
    <w:rsid w:val="00745C69"/>
    <w:rsid w:val="007577F3"/>
    <w:rsid w:val="00777973"/>
    <w:rsid w:val="007A21D6"/>
    <w:rsid w:val="007B59D7"/>
    <w:rsid w:val="007B79E5"/>
    <w:rsid w:val="00811F82"/>
    <w:rsid w:val="00821B71"/>
    <w:rsid w:val="0082294F"/>
    <w:rsid w:val="008302FC"/>
    <w:rsid w:val="008857DE"/>
    <w:rsid w:val="00896FA2"/>
    <w:rsid w:val="008B756E"/>
    <w:rsid w:val="008C149B"/>
    <w:rsid w:val="008C4BD0"/>
    <w:rsid w:val="00907E25"/>
    <w:rsid w:val="0091770F"/>
    <w:rsid w:val="00925748"/>
    <w:rsid w:val="0093315F"/>
    <w:rsid w:val="00937788"/>
    <w:rsid w:val="00941E51"/>
    <w:rsid w:val="00943120"/>
    <w:rsid w:val="009551AA"/>
    <w:rsid w:val="00962448"/>
    <w:rsid w:val="009976E1"/>
    <w:rsid w:val="009C665C"/>
    <w:rsid w:val="009D0706"/>
    <w:rsid w:val="009D65B9"/>
    <w:rsid w:val="009F05DF"/>
    <w:rsid w:val="009F1261"/>
    <w:rsid w:val="009F4EC6"/>
    <w:rsid w:val="00A045C1"/>
    <w:rsid w:val="00A10FFD"/>
    <w:rsid w:val="00A14F28"/>
    <w:rsid w:val="00A30865"/>
    <w:rsid w:val="00A3485F"/>
    <w:rsid w:val="00A46D43"/>
    <w:rsid w:val="00A55E40"/>
    <w:rsid w:val="00A67778"/>
    <w:rsid w:val="00A67BD3"/>
    <w:rsid w:val="00A8159A"/>
    <w:rsid w:val="00A92E2C"/>
    <w:rsid w:val="00AA641E"/>
    <w:rsid w:val="00AC01BB"/>
    <w:rsid w:val="00AC4D26"/>
    <w:rsid w:val="00AC5FF0"/>
    <w:rsid w:val="00AC74BD"/>
    <w:rsid w:val="00AD0363"/>
    <w:rsid w:val="00AD21F7"/>
    <w:rsid w:val="00AD74F0"/>
    <w:rsid w:val="00B27E85"/>
    <w:rsid w:val="00B309B2"/>
    <w:rsid w:val="00B73594"/>
    <w:rsid w:val="00B93612"/>
    <w:rsid w:val="00B976F7"/>
    <w:rsid w:val="00BA093B"/>
    <w:rsid w:val="00BB1B3A"/>
    <w:rsid w:val="00BB5881"/>
    <w:rsid w:val="00BD0580"/>
    <w:rsid w:val="00BD6BC9"/>
    <w:rsid w:val="00BE05A2"/>
    <w:rsid w:val="00BE5AAA"/>
    <w:rsid w:val="00BF02A8"/>
    <w:rsid w:val="00BF7042"/>
    <w:rsid w:val="00C01215"/>
    <w:rsid w:val="00C13619"/>
    <w:rsid w:val="00C14E15"/>
    <w:rsid w:val="00C2159F"/>
    <w:rsid w:val="00C40796"/>
    <w:rsid w:val="00C54D0F"/>
    <w:rsid w:val="00C55210"/>
    <w:rsid w:val="00C66DF5"/>
    <w:rsid w:val="00C74CA6"/>
    <w:rsid w:val="00C8345D"/>
    <w:rsid w:val="00C97B33"/>
    <w:rsid w:val="00C97E7A"/>
    <w:rsid w:val="00CA6288"/>
    <w:rsid w:val="00CB7D7B"/>
    <w:rsid w:val="00CC01A1"/>
    <w:rsid w:val="00CD0DF5"/>
    <w:rsid w:val="00CD596B"/>
    <w:rsid w:val="00CD7292"/>
    <w:rsid w:val="00CE5C7D"/>
    <w:rsid w:val="00CE7601"/>
    <w:rsid w:val="00CF4026"/>
    <w:rsid w:val="00D0215C"/>
    <w:rsid w:val="00D065BD"/>
    <w:rsid w:val="00D14A61"/>
    <w:rsid w:val="00D334BA"/>
    <w:rsid w:val="00D36608"/>
    <w:rsid w:val="00D407FD"/>
    <w:rsid w:val="00D55F05"/>
    <w:rsid w:val="00D63BFF"/>
    <w:rsid w:val="00D72C19"/>
    <w:rsid w:val="00D9241F"/>
    <w:rsid w:val="00DA7343"/>
    <w:rsid w:val="00DC489C"/>
    <w:rsid w:val="00DD4111"/>
    <w:rsid w:val="00DF3FA8"/>
    <w:rsid w:val="00E021AF"/>
    <w:rsid w:val="00E23117"/>
    <w:rsid w:val="00E24805"/>
    <w:rsid w:val="00E25A1D"/>
    <w:rsid w:val="00E36FD7"/>
    <w:rsid w:val="00E47857"/>
    <w:rsid w:val="00E51130"/>
    <w:rsid w:val="00E55BA9"/>
    <w:rsid w:val="00E61296"/>
    <w:rsid w:val="00E86061"/>
    <w:rsid w:val="00EB143A"/>
    <w:rsid w:val="00EB629D"/>
    <w:rsid w:val="00EC46F6"/>
    <w:rsid w:val="00EC683E"/>
    <w:rsid w:val="00EC6D45"/>
    <w:rsid w:val="00ED18AD"/>
    <w:rsid w:val="00EE4930"/>
    <w:rsid w:val="00EF5CEC"/>
    <w:rsid w:val="00F01FEA"/>
    <w:rsid w:val="00F2193A"/>
    <w:rsid w:val="00F26C95"/>
    <w:rsid w:val="00F35F64"/>
    <w:rsid w:val="00F40697"/>
    <w:rsid w:val="00F6535B"/>
    <w:rsid w:val="00F7799E"/>
    <w:rsid w:val="00F800E1"/>
    <w:rsid w:val="00F8210B"/>
    <w:rsid w:val="00F85589"/>
    <w:rsid w:val="00F91408"/>
    <w:rsid w:val="00F94FEC"/>
    <w:rsid w:val="00FC06D6"/>
    <w:rsid w:val="00FD374F"/>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61296"/>
    <w:rPr>
      <w:sz w:val="20"/>
    </w:rPr>
  </w:style>
  <w:style w:type="character" w:customStyle="1" w:styleId="FootnoteTextChar">
    <w:name w:val="Footnote Text Char"/>
    <w:basedOn w:val="DefaultParagraphFont"/>
    <w:link w:val="FootnoteText"/>
    <w:uiPriority w:val="99"/>
    <w:semiHidden/>
    <w:rsid w:val="00E61296"/>
    <w:rPr>
      <w:rFonts w:ascii="Times" w:eastAsia="Times" w:hAnsi="Times" w:cs="Times New Roman"/>
      <w:sz w:val="20"/>
      <w:szCs w:val="20"/>
    </w:rPr>
  </w:style>
  <w:style w:type="character" w:styleId="FootnoteReference">
    <w:name w:val="footnote reference"/>
    <w:basedOn w:val="DefaultParagraphFont"/>
    <w:uiPriority w:val="99"/>
    <w:semiHidden/>
    <w:unhideWhenUsed/>
    <w:rsid w:val="00E612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35F64"/>
    <w:pPr>
      <w:keepNext/>
      <w:spacing w:line="480" w:lineRule="exact"/>
      <w:jc w:val="center"/>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5632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character" w:customStyle="1" w:styleId="Heading1Char">
    <w:name w:val="Heading 1 Char"/>
    <w:basedOn w:val="DefaultParagraphFont"/>
    <w:link w:val="Heading1"/>
    <w:rsid w:val="00F35F64"/>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324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E61296"/>
    <w:rPr>
      <w:sz w:val="20"/>
    </w:rPr>
  </w:style>
  <w:style w:type="character" w:customStyle="1" w:styleId="FootnoteTextChar">
    <w:name w:val="Footnote Text Char"/>
    <w:basedOn w:val="DefaultParagraphFont"/>
    <w:link w:val="FootnoteText"/>
    <w:uiPriority w:val="99"/>
    <w:semiHidden/>
    <w:rsid w:val="00E61296"/>
    <w:rPr>
      <w:rFonts w:ascii="Times" w:eastAsia="Times" w:hAnsi="Times" w:cs="Times New Roman"/>
      <w:sz w:val="20"/>
      <w:szCs w:val="20"/>
    </w:rPr>
  </w:style>
  <w:style w:type="character" w:styleId="FootnoteReference">
    <w:name w:val="footnote reference"/>
    <w:basedOn w:val="DefaultParagraphFont"/>
    <w:uiPriority w:val="99"/>
    <w:semiHidden/>
    <w:unhideWhenUsed/>
    <w:rsid w:val="00E61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2014-01-17T08:00:00+00:00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1483DF8C5DA46BF53F229AA0C58CF" ma:contentTypeVersion="175" ma:contentTypeDescription="" ma:contentTypeScope="" ma:versionID="79448836dea0a506d17e483912fc2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71EC03-9CCB-4B7C-8247-2A3CA00DF229}"/>
</file>

<file path=customXml/itemProps2.xml><?xml version="1.0" encoding="utf-8"?>
<ds:datastoreItem xmlns:ds="http://schemas.openxmlformats.org/officeDocument/2006/customXml" ds:itemID="{E9E8E116-F4B8-4661-8C45-B36AE428F2BC}"/>
</file>

<file path=customXml/itemProps3.xml><?xml version="1.0" encoding="utf-8"?>
<ds:datastoreItem xmlns:ds="http://schemas.openxmlformats.org/officeDocument/2006/customXml" ds:itemID="{82F29C07-81BA-4876-954E-43CD895D4106}"/>
</file>

<file path=customXml/itemProps4.xml><?xml version="1.0" encoding="utf-8"?>
<ds:datastoreItem xmlns:ds="http://schemas.openxmlformats.org/officeDocument/2006/customXml" ds:itemID="{07EA29BD-2AA8-4563-90FE-E47549180D32}"/>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2014-06-12T23:53:00Z</dcterms:created>
  <dcterms:modified xsi:type="dcterms:W3CDTF">2014-06-13T20:12:00Z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0x0101006E56B4D1795A2E4DB2F0B01679ED314A004B51483DF8C5DA46BF53F229AA0C58CF</vt:lpwstr>
  </property>
  <property fmtid="{D5CDD505-2E9C-101B-9397-08002B2CF9AE}" pid="4" name="_docset_NoMedatataSyncRequired">
    <vt:lpwstr>False</vt:lpwstr>
  </property>
</Properties>
</file>