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1FF0" w:rsidRPr="0073755B" w:rsidRDefault="00715CCF" w:rsidP="0073755B">
      <w:pPr>
        <w:tabs>
          <w:tab w:val="left" w:pos="360"/>
          <w:tab w:val="left" w:pos="5040"/>
        </w:tabs>
        <w:jc w:val="both"/>
        <w:rPr>
          <w:u w:val="single"/>
        </w:rPr>
      </w:pPr>
      <w:r>
        <w:rPr>
          <w:noProof/>
          <w:u w:val="single"/>
          <w:lang w:eastAsia="en-US"/>
        </w:rPr>
        <mc:AlternateContent>
          <mc:Choice Requires="wps">
            <w:drawing>
              <wp:anchor distT="0" distB="0" distL="114300" distR="114300" simplePos="0" relativeHeight="251660288" behindDoc="0" locked="0" layoutInCell="1" allowOverlap="1" wp14:anchorId="6AEE5E95" wp14:editId="55AF77C8">
                <wp:simplePos x="0" y="0"/>
                <wp:positionH relativeFrom="column">
                  <wp:posOffset>6286500</wp:posOffset>
                </wp:positionH>
                <wp:positionV relativeFrom="paragraph">
                  <wp:posOffset>-1096645</wp:posOffset>
                </wp:positionV>
                <wp:extent cx="0" cy="88773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887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86.35pt" to="495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" strokecolor="black [3213]"/>
            </w:pict>
          </mc:Fallback>
        </mc:AlternateContent>
      </w:r>
      <w:r>
        <w:rPr>
          <w:noProof/>
          <w:u w:val="single"/>
          <w:lang w:eastAsia="en-US"/>
        </w:rPr>
        <mc:AlternateContent>
          <mc:Choice Requires="wps">
            <w:drawing>
              <wp:anchor distT="0" distB="0" distL="114300" distR="114300" simplePos="0" relativeHeight="251659264" behindDoc="0" locked="0" layoutInCell="1" allowOverlap="1" wp14:anchorId="47932506" wp14:editId="73002A33">
                <wp:simplePos x="0" y="0"/>
                <wp:positionH relativeFrom="column">
                  <wp:posOffset>6096000</wp:posOffset>
                </wp:positionH>
                <wp:positionV relativeFrom="paragraph">
                  <wp:posOffset>-1430020</wp:posOffset>
                </wp:positionV>
                <wp:extent cx="704850" cy="9925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4850" cy="992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CCF" w:rsidRDefault="00715CCF" w:rsidP="00715CCF">
                            <w:pPr>
                              <w:rPr>
                                <w:rFonts w:ascii="Arial" w:hAnsi="Arial" w:cs="Arial"/>
                                <w:sz w:val="20"/>
                              </w:rPr>
                            </w:pPr>
                          </w:p>
                          <w:p w:rsidR="00715CCF" w:rsidRDefault="00715CCF" w:rsidP="00715CCF">
                            <w:pPr>
                              <w:rPr>
                                <w:rFonts w:ascii="Arial" w:hAnsi="Arial" w:cs="Arial"/>
                                <w:sz w:val="20"/>
                              </w:rPr>
                            </w:pPr>
                            <w:r>
                              <w:rPr>
                                <w:rFonts w:ascii="Arial" w:hAnsi="Arial" w:cs="Arial"/>
                                <w:sz w:val="20"/>
                              </w:rPr>
                              <w:t>(N)</w:t>
                            </w: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Pr="0070393C" w:rsidRDefault="00715CCF" w:rsidP="00715CCF">
                            <w:pPr>
                              <w:rPr>
                                <w:rFonts w:ascii="Arial" w:hAnsi="Arial" w:cs="Arial"/>
                                <w:sz w:val="20"/>
                              </w:rPr>
                            </w:pPr>
                            <w:r>
                              <w:rPr>
                                <w:rFonts w:ascii="Arial" w:hAnsi="Arial" w:cs="Arial"/>
                                <w:sz w:val="20"/>
                              </w:rPr>
                              <w:t>(N)</w:t>
                            </w:r>
                          </w:p>
                          <w:p w:rsidR="00715CCF" w:rsidRPr="0070393C" w:rsidRDefault="00715CCF" w:rsidP="00715CC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0pt;margin-top:-112.6pt;width:55.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" filled="f" stroked="f" strokeweight=".5pt">
                <v:textbox>
                  <w:txbxContent>
                    <w:p w:rsidR="00715CCF" w:rsidRDefault="00715CCF" w:rsidP="00715CCF">
                      <w:pPr>
                        <w:rPr>
                          <w:rFonts w:ascii="Arial" w:hAnsi="Arial" w:cs="Arial"/>
                          <w:sz w:val="20"/>
                        </w:rPr>
                      </w:pPr>
                    </w:p>
                    <w:p w:rsidR="00715CCF" w:rsidRDefault="00715CCF" w:rsidP="00715CCF">
                      <w:pPr>
                        <w:rPr>
                          <w:rFonts w:ascii="Arial" w:hAnsi="Arial" w:cs="Arial"/>
                          <w:sz w:val="20"/>
                        </w:rPr>
                      </w:pPr>
                      <w:r>
                        <w:rPr>
                          <w:rFonts w:ascii="Arial" w:hAnsi="Arial" w:cs="Arial"/>
                          <w:sz w:val="20"/>
                        </w:rPr>
                        <w:t>(N)</w:t>
                      </w: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Default="00715CCF" w:rsidP="00715CCF">
                      <w:pPr>
                        <w:rPr>
                          <w:rFonts w:ascii="Arial" w:hAnsi="Arial" w:cs="Arial"/>
                          <w:sz w:val="20"/>
                        </w:rPr>
                      </w:pPr>
                    </w:p>
                    <w:p w:rsidR="00715CCF" w:rsidRPr="0070393C" w:rsidRDefault="00715CCF" w:rsidP="00715CCF">
                      <w:pPr>
                        <w:rPr>
                          <w:rFonts w:ascii="Arial" w:hAnsi="Arial" w:cs="Arial"/>
                          <w:sz w:val="20"/>
                        </w:rPr>
                      </w:pPr>
                      <w:r>
                        <w:rPr>
                          <w:rFonts w:ascii="Arial" w:hAnsi="Arial" w:cs="Arial"/>
                          <w:sz w:val="20"/>
                        </w:rPr>
                        <w:t>(N)</w:t>
                      </w:r>
                    </w:p>
                    <w:p w:rsidR="00715CCF" w:rsidRPr="0070393C" w:rsidRDefault="00715CCF" w:rsidP="00715CCF">
                      <w:pPr>
                        <w:rPr>
                          <w:rFonts w:ascii="Arial" w:hAnsi="Arial" w:cs="Arial"/>
                          <w:sz w:val="20"/>
                        </w:rPr>
                      </w:pPr>
                    </w:p>
                  </w:txbxContent>
                </v:textbox>
              </v:shape>
            </w:pict>
          </mc:Fallback>
        </mc:AlternateContent>
      </w:r>
    </w:p>
    <w:p w:rsidR="000B1FF0" w:rsidRDefault="000B1FF0" w:rsidP="000B1FF0">
      <w:pPr>
        <w:jc w:val="both"/>
        <w:rPr>
          <w:rFonts w:ascii="Arial" w:hAnsi="Arial" w:cs="Arial"/>
          <w:sz w:val="20"/>
        </w:rPr>
      </w:pPr>
      <w:r>
        <w:rPr>
          <w:rFonts w:ascii="Arial" w:hAnsi="Arial" w:cs="Arial"/>
          <w:b/>
          <w:sz w:val="20"/>
        </w:rPr>
        <w:t>C</w:t>
      </w:r>
      <w:r w:rsidR="0073755B">
        <w:rPr>
          <w:rFonts w:ascii="Arial" w:hAnsi="Arial" w:cs="Arial"/>
          <w:b/>
          <w:sz w:val="20"/>
        </w:rPr>
        <w:t>.  APPLICATIONS</w:t>
      </w:r>
      <w:r w:rsidRPr="00CF10B9">
        <w:rPr>
          <w:rFonts w:ascii="Arial" w:hAnsi="Arial" w:cs="Arial"/>
          <w:sz w:val="20"/>
        </w:rPr>
        <w:t xml:space="preserve"> (continued)</w:t>
      </w:r>
      <w:r>
        <w:rPr>
          <w:rFonts w:ascii="Arial" w:hAnsi="Arial" w:cs="Arial"/>
          <w:sz w:val="20"/>
        </w:rPr>
        <w:tab/>
      </w:r>
    </w:p>
    <w:p w:rsidR="0073755B" w:rsidRDefault="0073755B" w:rsidP="000B1FF0">
      <w:pPr>
        <w:jc w:val="both"/>
        <w:rPr>
          <w:rFonts w:ascii="Arial" w:hAnsi="Arial" w:cs="Arial"/>
          <w:sz w:val="20"/>
        </w:rPr>
      </w:pPr>
    </w:p>
    <w:p w:rsidR="0073755B" w:rsidRPr="001A1B0D" w:rsidRDefault="0073755B" w:rsidP="0073755B">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3.  Tier 3 Application Timeline</w:t>
      </w:r>
    </w:p>
    <w:p w:rsidR="0073755B" w:rsidRDefault="0073755B" w:rsidP="0073755B">
      <w:pPr>
        <w:pStyle w:val="ListParagraph"/>
        <w:ind w:hanging="360"/>
        <w:jc w:val="both"/>
        <w:rPr>
          <w:rFonts w:ascii="Arial" w:hAnsi="Arial" w:cs="Arial"/>
          <w:b/>
          <w:sz w:val="20"/>
        </w:rPr>
      </w:pPr>
      <w:r w:rsidRPr="0073755B">
        <w:rPr>
          <w:rFonts w:ascii="Arial" w:hAnsi="Arial" w:cs="Arial"/>
          <w:sz w:val="20"/>
        </w:rPr>
        <w:t>c)</w:t>
      </w:r>
      <w:r>
        <w:rPr>
          <w:rFonts w:ascii="Arial" w:hAnsi="Arial" w:cs="Arial"/>
          <w:b/>
          <w:sz w:val="20"/>
        </w:rPr>
        <w:tab/>
        <w:t xml:space="preserve">Technical review and additional studies. </w:t>
      </w:r>
      <w:r w:rsidRPr="0073755B">
        <w:rPr>
          <w:rFonts w:ascii="Arial" w:hAnsi="Arial" w:cs="Arial"/>
          <w:sz w:val="20"/>
        </w:rPr>
        <w:t>(</w:t>
      </w:r>
      <w:proofErr w:type="gramStart"/>
      <w:r w:rsidRPr="0073755B">
        <w:rPr>
          <w:rFonts w:ascii="Arial" w:hAnsi="Arial" w:cs="Arial"/>
          <w:sz w:val="20"/>
        </w:rPr>
        <w:t>continued</w:t>
      </w:r>
      <w:proofErr w:type="gramEnd"/>
      <w:r w:rsidRPr="0073755B">
        <w:rPr>
          <w:rFonts w:ascii="Arial" w:hAnsi="Arial" w:cs="Arial"/>
          <w:sz w:val="20"/>
        </w:rPr>
        <w:t xml:space="preserve">) </w:t>
      </w:r>
    </w:p>
    <w:p w:rsidR="0073755B" w:rsidRDefault="000B1FF0" w:rsidP="0073755B">
      <w:pPr>
        <w:pStyle w:val="ListParagraph"/>
        <w:ind w:left="1440" w:hanging="360"/>
        <w:jc w:val="both"/>
        <w:rPr>
          <w:rFonts w:ascii="Arial" w:hAnsi="Arial" w:cs="Arial"/>
          <w:b/>
          <w:sz w:val="20"/>
        </w:rPr>
      </w:pPr>
      <w:r w:rsidRPr="001D02F7">
        <w:rPr>
          <w:rFonts w:ascii="Arial" w:hAnsi="Arial" w:cs="Arial"/>
          <w:sz w:val="20"/>
        </w:rPr>
        <w:t>(ii)</w:t>
      </w:r>
      <w:r w:rsidR="0073755B">
        <w:rPr>
          <w:rFonts w:ascii="Arial" w:hAnsi="Arial" w:cs="Arial"/>
          <w:sz w:val="20"/>
        </w:rPr>
        <w:tab/>
      </w:r>
      <w:r w:rsidR="00093361">
        <w:rPr>
          <w:rFonts w:ascii="Arial" w:hAnsi="Arial" w:cs="Arial"/>
          <w:b/>
          <w:sz w:val="20"/>
        </w:rPr>
        <w:t>Approval with no additional studies.</w:t>
      </w:r>
      <w:r w:rsidR="00093361">
        <w:rPr>
          <w:rFonts w:ascii="Arial" w:hAnsi="Arial" w:cs="Arial"/>
          <w:sz w:val="20"/>
        </w:rPr>
        <w:t xml:space="preserve"> If the Company notifies the interconnection customer that the request complies with the technical requirements established in WAC 480-108-020 and no additional studies are requires </w:t>
      </w:r>
      <w:proofErr w:type="gramStart"/>
      <w:r w:rsidR="00093361">
        <w:rPr>
          <w:rFonts w:ascii="Arial" w:hAnsi="Arial" w:cs="Arial"/>
          <w:sz w:val="20"/>
        </w:rPr>
        <w:t>to determine</w:t>
      </w:r>
      <w:proofErr w:type="gramEnd"/>
      <w:r w:rsidR="00093361">
        <w:rPr>
          <w:rFonts w:ascii="Arial" w:hAnsi="Arial" w:cs="Arial"/>
          <w:sz w:val="20"/>
        </w:rPr>
        <w:t xml:space="preserve"> the feasibility of the interconnection, the Company must offer the interconnection customer an executable interconnection agreement within five business days of such notification. The Company also will provide any additional interim agreements, such as construction agreements, that may be necessary and a good faith estimate of the cost and the time necessary to complete the interconnection.</w:t>
      </w:r>
    </w:p>
    <w:p w:rsidR="0073755B" w:rsidRDefault="0073755B" w:rsidP="0073755B">
      <w:pPr>
        <w:pStyle w:val="ListParagraph"/>
        <w:ind w:left="1440" w:hanging="360"/>
        <w:jc w:val="both"/>
        <w:rPr>
          <w:rFonts w:ascii="Arial" w:hAnsi="Arial" w:cs="Arial"/>
          <w:b/>
          <w:sz w:val="20"/>
        </w:rPr>
      </w:pPr>
      <w:r>
        <w:rPr>
          <w:rFonts w:ascii="Arial" w:hAnsi="Arial" w:cs="Arial"/>
          <w:sz w:val="20"/>
        </w:rPr>
        <w:t>(iii)</w:t>
      </w:r>
      <w:r>
        <w:rPr>
          <w:rFonts w:ascii="Arial" w:hAnsi="Arial" w:cs="Arial"/>
          <w:sz w:val="20"/>
        </w:rPr>
        <w:tab/>
      </w:r>
      <w:r>
        <w:rPr>
          <w:rFonts w:ascii="Arial" w:hAnsi="Arial" w:cs="Arial"/>
          <w:b/>
          <w:sz w:val="20"/>
        </w:rPr>
        <w:t xml:space="preserve">Cost of additional studies and upgrades. </w:t>
      </w:r>
    </w:p>
    <w:p w:rsidR="0073755B" w:rsidRPr="0073755B" w:rsidRDefault="0073755B" w:rsidP="0073755B">
      <w:pPr>
        <w:pStyle w:val="ListParagraph"/>
        <w:ind w:left="1440" w:hanging="360"/>
        <w:jc w:val="both"/>
        <w:rPr>
          <w:rFonts w:ascii="Arial" w:hAnsi="Arial" w:cs="Arial"/>
          <w:b/>
          <w:sz w:val="12"/>
          <w:szCs w:val="12"/>
        </w:rPr>
      </w:pPr>
    </w:p>
    <w:p w:rsidR="0073755B" w:rsidRPr="0073755B" w:rsidRDefault="0073755B" w:rsidP="0073755B">
      <w:pPr>
        <w:pStyle w:val="ListParagraph"/>
        <w:numPr>
          <w:ilvl w:val="0"/>
          <w:numId w:val="17"/>
        </w:numPr>
        <w:ind w:left="1980" w:hanging="180"/>
        <w:jc w:val="both"/>
        <w:rPr>
          <w:rFonts w:ascii="Arial" w:hAnsi="Arial" w:cs="Arial"/>
          <w:b/>
          <w:sz w:val="20"/>
        </w:rPr>
      </w:pPr>
      <w:r w:rsidRPr="005750D7">
        <w:rPr>
          <w:rFonts w:ascii="Arial" w:hAnsi="Arial" w:cs="Arial"/>
          <w:b/>
          <w:sz w:val="20"/>
        </w:rPr>
        <w:t>Cost Allocation</w:t>
      </w:r>
      <w:r>
        <w:rPr>
          <w:rFonts w:ascii="Arial" w:hAnsi="Arial" w:cs="Arial"/>
          <w:b/>
          <w:sz w:val="20"/>
        </w:rPr>
        <w:t xml:space="preserve">. </w:t>
      </w:r>
      <w:r>
        <w:rPr>
          <w:rFonts w:ascii="Arial" w:hAnsi="Arial" w:cs="Arial"/>
          <w:sz w:val="20"/>
        </w:rPr>
        <w:t>The interconnection customer is responsible for all reasonable costs incurred by the Company to study the proposed interconnection and to design and construct any required interconnection facilities and or system upgrades. The interconnection customer is responsible for reasonable ongoing operation and maintenance costs for facilities added to the electric system that are dedicated to that interconnection customer’s use.</w:t>
      </w:r>
    </w:p>
    <w:p w:rsidR="0073755B" w:rsidRPr="0073755B" w:rsidRDefault="0073755B" w:rsidP="0073755B">
      <w:pPr>
        <w:pStyle w:val="ListParagraph"/>
        <w:ind w:left="1980"/>
        <w:jc w:val="both"/>
        <w:rPr>
          <w:rFonts w:ascii="Arial" w:hAnsi="Arial" w:cs="Arial"/>
          <w:b/>
          <w:sz w:val="12"/>
          <w:szCs w:val="12"/>
        </w:rPr>
      </w:pPr>
    </w:p>
    <w:p w:rsidR="0073755B" w:rsidRPr="0073755B" w:rsidRDefault="0073755B" w:rsidP="0073755B">
      <w:pPr>
        <w:pStyle w:val="ListParagraph"/>
        <w:numPr>
          <w:ilvl w:val="0"/>
          <w:numId w:val="17"/>
        </w:numPr>
        <w:ind w:left="1980" w:hanging="180"/>
        <w:jc w:val="both"/>
        <w:rPr>
          <w:rFonts w:ascii="Arial" w:hAnsi="Arial" w:cs="Arial"/>
          <w:b/>
          <w:sz w:val="20"/>
        </w:rPr>
      </w:pPr>
      <w:r w:rsidRPr="001D02F7">
        <w:rPr>
          <w:rFonts w:ascii="Arial" w:hAnsi="Arial" w:cs="Arial"/>
          <w:b/>
          <w:sz w:val="20"/>
        </w:rPr>
        <w:t>Cost Disputes.</w:t>
      </w:r>
      <w:r w:rsidRPr="001D02F7">
        <w:rPr>
          <w:rFonts w:ascii="Arial" w:hAnsi="Arial" w:cs="Arial"/>
          <w:sz w:val="20"/>
        </w:rPr>
        <w:t xml:space="preserve"> Within thirty business days after receiving a notice that additional studies are required, as described in (C)(1) of this subsection, the interconnection customer may supply an alternative cost estimate from a third-party qualified to perform the studies required by the Company.</w:t>
      </w:r>
    </w:p>
    <w:p w:rsidR="0073755B" w:rsidRPr="001D02F7" w:rsidRDefault="0073755B" w:rsidP="0073755B">
      <w:pPr>
        <w:pStyle w:val="ListParagraph"/>
        <w:ind w:left="1980"/>
        <w:jc w:val="both"/>
        <w:rPr>
          <w:rFonts w:ascii="Arial" w:hAnsi="Arial" w:cs="Arial"/>
          <w:b/>
          <w:sz w:val="20"/>
        </w:rPr>
      </w:pPr>
    </w:p>
    <w:p w:rsidR="0073755B" w:rsidRPr="0073755B" w:rsidRDefault="0073755B" w:rsidP="0073755B">
      <w:pPr>
        <w:pStyle w:val="ListParagraph"/>
        <w:numPr>
          <w:ilvl w:val="0"/>
          <w:numId w:val="17"/>
        </w:numPr>
        <w:ind w:left="1980" w:hanging="180"/>
        <w:jc w:val="both"/>
        <w:rPr>
          <w:rFonts w:ascii="Arial" w:hAnsi="Arial" w:cs="Arial"/>
          <w:b/>
          <w:sz w:val="20"/>
        </w:rPr>
      </w:pPr>
      <w:r w:rsidRPr="001D02F7">
        <w:rPr>
          <w:rFonts w:ascii="Arial" w:hAnsi="Arial" w:cs="Arial"/>
          <w:b/>
          <w:sz w:val="20"/>
        </w:rPr>
        <w:t>Study agreement and deposit.</w:t>
      </w:r>
      <w:r w:rsidRPr="001D02F7">
        <w:rPr>
          <w:rFonts w:ascii="Arial" w:hAnsi="Arial" w:cs="Arial"/>
          <w:sz w:val="20"/>
        </w:rPr>
        <w:t xml:space="preserve"> After the Company and the interconnection customer agree on the estimated cost of the required studies and the identity of parties to perform the required studies, the interconnection customer and Company must execute an agreement describing these studies and any deposit to be paid to the Company. The deposit is note to exceed the lower of one thousand dollars or fifty percent of the estimated study costs. After a study agreement is executed, the Company shall make its best effort to complete the required studies, consistent with time requirements for the studies and other service </w:t>
      </w:r>
      <w:r>
        <w:rPr>
          <w:rFonts w:ascii="Arial" w:hAnsi="Arial" w:cs="Arial"/>
          <w:sz w:val="20"/>
        </w:rPr>
        <w:t>requests of a similar magnitude.</w:t>
      </w:r>
    </w:p>
    <w:p w:rsidR="0073755B" w:rsidRPr="0073755B" w:rsidRDefault="0073755B" w:rsidP="0073755B">
      <w:pPr>
        <w:pStyle w:val="ListParagraph"/>
        <w:ind w:left="1980"/>
        <w:jc w:val="both"/>
        <w:rPr>
          <w:rFonts w:ascii="Arial" w:hAnsi="Arial" w:cs="Arial"/>
          <w:b/>
          <w:sz w:val="12"/>
          <w:szCs w:val="12"/>
        </w:rPr>
      </w:pPr>
    </w:p>
    <w:p w:rsidR="0073755B" w:rsidRPr="0073755B" w:rsidRDefault="0073755B" w:rsidP="0073755B">
      <w:pPr>
        <w:pStyle w:val="ListParagraph"/>
        <w:numPr>
          <w:ilvl w:val="0"/>
          <w:numId w:val="17"/>
        </w:numPr>
        <w:ind w:left="1980" w:hanging="180"/>
        <w:jc w:val="both"/>
        <w:rPr>
          <w:rFonts w:ascii="Arial" w:hAnsi="Arial" w:cs="Arial"/>
          <w:b/>
          <w:sz w:val="20"/>
        </w:rPr>
      </w:pPr>
      <w:r>
        <w:rPr>
          <w:rFonts w:ascii="Arial" w:hAnsi="Arial" w:cs="Arial"/>
          <w:b/>
          <w:sz w:val="20"/>
        </w:rPr>
        <w:t>Denial after additional studies.</w:t>
      </w:r>
      <w:r>
        <w:rPr>
          <w:rFonts w:ascii="Arial" w:hAnsi="Arial" w:cs="Arial"/>
          <w:sz w:val="20"/>
        </w:rPr>
        <w:t xml:space="preserve"> The Company will provide the interconnection customer with the results of the studies conducted under the subsection. If the studies determine that the interconnection is not feasible, the Company will provide notice of denial to interconnection customer and the reasons for denial.</w:t>
      </w:r>
    </w:p>
    <w:p w:rsidR="0073755B" w:rsidRPr="0073755B" w:rsidRDefault="0073755B" w:rsidP="0073755B">
      <w:pPr>
        <w:pStyle w:val="ListParagraph"/>
        <w:ind w:left="1980"/>
        <w:jc w:val="both"/>
        <w:rPr>
          <w:rFonts w:ascii="Arial" w:hAnsi="Arial" w:cs="Arial"/>
          <w:b/>
          <w:sz w:val="12"/>
          <w:szCs w:val="12"/>
        </w:rPr>
      </w:pPr>
    </w:p>
    <w:p w:rsidR="0092421B" w:rsidRPr="0073755B" w:rsidRDefault="0073755B" w:rsidP="0073755B">
      <w:pPr>
        <w:pStyle w:val="ListParagraph"/>
        <w:numPr>
          <w:ilvl w:val="0"/>
          <w:numId w:val="17"/>
        </w:numPr>
        <w:ind w:left="1980" w:hanging="180"/>
        <w:jc w:val="both"/>
        <w:rPr>
          <w:rFonts w:ascii="Arial" w:hAnsi="Arial" w:cs="Arial"/>
          <w:b/>
          <w:sz w:val="20"/>
        </w:rPr>
      </w:pPr>
      <w:r>
        <w:rPr>
          <w:rFonts w:ascii="Arial" w:hAnsi="Arial" w:cs="Arial"/>
          <w:b/>
          <w:sz w:val="20"/>
        </w:rPr>
        <w:t>Modification after additional studies.</w:t>
      </w:r>
      <w:r>
        <w:rPr>
          <w:rFonts w:ascii="Arial" w:hAnsi="Arial" w:cs="Arial"/>
          <w:sz w:val="20"/>
        </w:rPr>
        <w:t xml:space="preserve"> Based on the results of the studies, the Company and interconnection customer may agree to modify the previously complete application without penalty to the interconnection customer. A modified application shall be considered an approved final application.</w:t>
      </w:r>
    </w:p>
    <w:sectPr w:rsidR="0092421B" w:rsidRPr="0073755B"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FA" w:rsidRDefault="007D7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4B7C51" w:rsidRDefault="004B7C51" w:rsidP="004B7C5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4C1F9D">
      <w:rPr>
        <w:rFonts w:ascii="Arial" w:hAnsi="Arial" w:cs="Arial"/>
        <w:sz w:val="20"/>
      </w:rPr>
      <w:t>2</w:t>
    </w:r>
    <w:r w:rsidR="00F368DD">
      <w:rPr>
        <w:rFonts w:ascii="Arial" w:hAnsi="Arial" w:cs="Arial"/>
        <w:sz w:val="20"/>
      </w:rPr>
      <w:t>7</w:t>
    </w:r>
    <w:r>
      <w:rPr>
        <w:rFonts w:ascii="Arial" w:hAnsi="Arial" w:cs="Arial"/>
        <w:sz w:val="20"/>
      </w:rPr>
      <w:t>, 2013</w:t>
    </w:r>
    <w:r>
      <w:rPr>
        <w:rFonts w:ascii="Arial" w:hAnsi="Arial" w:cs="Arial"/>
        <w:sz w:val="20"/>
      </w:rPr>
      <w:tab/>
    </w:r>
    <w:r w:rsidR="007D78FA">
      <w:rPr>
        <w:rFonts w:ascii="Arial" w:hAnsi="Arial" w:cs="Arial"/>
        <w:b/>
        <w:sz w:val="20"/>
      </w:rPr>
      <w:t>Effective:</w:t>
    </w:r>
    <w:r w:rsidR="007D78FA">
      <w:rPr>
        <w:rFonts w:ascii="Arial" w:hAnsi="Arial" w:cs="Arial"/>
        <w:sz w:val="20"/>
      </w:rPr>
      <w:t xml:space="preserve"> January 1, 2014</w:t>
    </w:r>
    <w:r>
      <w:rPr>
        <w:rFonts w:ascii="Arial" w:hAnsi="Arial" w:cs="Arial"/>
        <w:sz w:val="20"/>
      </w:rPr>
      <w:tab/>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A18340D" wp14:editId="3D91D07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F7DEE5" wp14:editId="492EB35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FA3A4CB" wp14:editId="63F5C77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FA" w:rsidRDefault="007D7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FA" w:rsidRDefault="007D7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30058" w:rsidRDefault="00530058"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530058">
      <w:rPr>
        <w:rFonts w:ascii="Arial" w:hAnsi="Arial" w:cs="Arial"/>
        <w:sz w:val="20"/>
      </w:rPr>
      <w:t>11</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FA" w:rsidRDefault="007D7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26CE3542"/>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58422907"/>
    <w:multiLevelType w:val="hybridMultilevel"/>
    <w:tmpl w:val="6E58C02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4"/>
  </w:num>
  <w:num w:numId="5">
    <w:abstractNumId w:val="8"/>
  </w:num>
  <w:num w:numId="6">
    <w:abstractNumId w:val="10"/>
  </w:num>
  <w:num w:numId="7">
    <w:abstractNumId w:val="3"/>
  </w:num>
  <w:num w:numId="8">
    <w:abstractNumId w:val="16"/>
  </w:num>
  <w:num w:numId="9">
    <w:abstractNumId w:val="0"/>
  </w:num>
  <w:num w:numId="10">
    <w:abstractNumId w:val="7"/>
  </w:num>
  <w:num w:numId="11">
    <w:abstractNumId w:val="9"/>
  </w:num>
  <w:num w:numId="12">
    <w:abstractNumId w:val="17"/>
  </w:num>
  <w:num w:numId="13">
    <w:abstractNumId w:val="6"/>
  </w:num>
  <w:num w:numId="14">
    <w:abstractNumId w:val="5"/>
  </w:num>
  <w:num w:numId="15">
    <w:abstractNumId w:val="11"/>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93361"/>
    <w:rsid w:val="000A0FF1"/>
    <w:rsid w:val="000B1FF0"/>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02F7"/>
    <w:rsid w:val="001D44FC"/>
    <w:rsid w:val="001D4F15"/>
    <w:rsid w:val="001F19AC"/>
    <w:rsid w:val="001F372F"/>
    <w:rsid w:val="002020DC"/>
    <w:rsid w:val="00204381"/>
    <w:rsid w:val="00205735"/>
    <w:rsid w:val="00257BDC"/>
    <w:rsid w:val="00266E07"/>
    <w:rsid w:val="002739D8"/>
    <w:rsid w:val="002771BF"/>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B7C51"/>
    <w:rsid w:val="004C1F9D"/>
    <w:rsid w:val="004C3D14"/>
    <w:rsid w:val="004C5FE8"/>
    <w:rsid w:val="004E27B9"/>
    <w:rsid w:val="00530058"/>
    <w:rsid w:val="00534D32"/>
    <w:rsid w:val="005369F8"/>
    <w:rsid w:val="005451C7"/>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5CCF"/>
    <w:rsid w:val="00716B4A"/>
    <w:rsid w:val="0072316D"/>
    <w:rsid w:val="0073755B"/>
    <w:rsid w:val="00746611"/>
    <w:rsid w:val="007504BF"/>
    <w:rsid w:val="0077488B"/>
    <w:rsid w:val="007854E0"/>
    <w:rsid w:val="0079024E"/>
    <w:rsid w:val="00790CE2"/>
    <w:rsid w:val="007B01F4"/>
    <w:rsid w:val="007B1728"/>
    <w:rsid w:val="007B7A3F"/>
    <w:rsid w:val="007D78FA"/>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23AB3"/>
    <w:rsid w:val="00D313E0"/>
    <w:rsid w:val="00D45A57"/>
    <w:rsid w:val="00D60206"/>
    <w:rsid w:val="00D9021F"/>
    <w:rsid w:val="00D932B5"/>
    <w:rsid w:val="00DA1394"/>
    <w:rsid w:val="00DB2070"/>
    <w:rsid w:val="00DE2657"/>
    <w:rsid w:val="00DE409D"/>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68DD"/>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A2B6FC-00B0-40F2-829F-081020D459F2}"/>
</file>

<file path=customXml/itemProps2.xml><?xml version="1.0" encoding="utf-8"?>
<ds:datastoreItem xmlns:ds="http://schemas.openxmlformats.org/officeDocument/2006/customXml" ds:itemID="{73827178-7FB2-4D1E-914D-BF798D499F83}"/>
</file>

<file path=customXml/itemProps3.xml><?xml version="1.0" encoding="utf-8"?>
<ds:datastoreItem xmlns:ds="http://schemas.openxmlformats.org/officeDocument/2006/customXml" ds:itemID="{9B5B4719-8815-4400-A7FC-A4EB4B34675F}"/>
</file>

<file path=customXml/itemProps4.xml><?xml version="1.0" encoding="utf-8"?>
<ds:datastoreItem xmlns:ds="http://schemas.openxmlformats.org/officeDocument/2006/customXml" ds:itemID="{A4B8A93E-A4CE-4DE1-8FD3-62B299B1D141}"/>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2013-11-27T17:35:00Z</dcterms:created>
  <dcterms:modified xsi:type="dcterms:W3CDTF">2013-11-27T17:35:00Z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