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7ED8F" w14:textId="0F367059" w:rsidR="00046A19" w:rsidRDefault="00046A19" w:rsidP="00046A19">
      <w:bookmarkStart w:id="0" w:name="_GoBack"/>
      <w:bookmarkEnd w:id="0"/>
      <w:r w:rsidRPr="00EB4CE3">
        <w:t xml:space="preserve">Agenda Date: </w:t>
      </w:r>
      <w:r w:rsidRPr="00EB4CE3">
        <w:tab/>
      </w:r>
      <w:r w:rsidRPr="00EB4CE3">
        <w:tab/>
      </w:r>
      <w:r w:rsidR="003D33C1">
        <w:t>December 13</w:t>
      </w:r>
      <w:r w:rsidRPr="00EB4CE3">
        <w:t xml:space="preserve">, </w:t>
      </w:r>
      <w:r w:rsidR="007E2FCB">
        <w:t>2012</w:t>
      </w:r>
      <w:r>
        <w:tab/>
      </w:r>
      <w:r>
        <w:tab/>
      </w:r>
    </w:p>
    <w:p w14:paraId="6707ED90" w14:textId="1A466E3C" w:rsidR="00046A19" w:rsidRDefault="00046A19" w:rsidP="00046A19">
      <w:r w:rsidRPr="00EB4CE3">
        <w:t>Item Number:</w:t>
      </w:r>
      <w:r w:rsidRPr="00EB4CE3">
        <w:tab/>
      </w:r>
      <w:r w:rsidRPr="00EB4CE3">
        <w:tab/>
      </w:r>
      <w:r w:rsidR="007E2FCB">
        <w:t>A</w:t>
      </w:r>
      <w:r w:rsidR="00BE605F">
        <w:t>3</w:t>
      </w:r>
    </w:p>
    <w:p w14:paraId="6707ED91" w14:textId="77777777" w:rsidR="000B6B1A" w:rsidRPr="00EB4CE3" w:rsidRDefault="000B6B1A" w:rsidP="00046A19"/>
    <w:p w14:paraId="6707ED92" w14:textId="27CFBC0D" w:rsidR="00046A19" w:rsidRPr="00EB4CE3" w:rsidRDefault="00046A19" w:rsidP="00046A19">
      <w:r w:rsidRPr="00EB4CE3">
        <w:t xml:space="preserve">Docket: </w:t>
      </w:r>
      <w:r w:rsidRPr="00EB4CE3">
        <w:tab/>
      </w:r>
      <w:r w:rsidRPr="00EB4CE3">
        <w:tab/>
        <w:t>UW-</w:t>
      </w:r>
      <w:r w:rsidR="000F032E">
        <w:t>121523</w:t>
      </w:r>
    </w:p>
    <w:p w14:paraId="6707ED93" w14:textId="57AB7612" w:rsidR="00046A19" w:rsidRPr="00EB4CE3" w:rsidRDefault="00046A19" w:rsidP="00046A19">
      <w:r w:rsidRPr="00EB4CE3">
        <w:t>Company Name:</w:t>
      </w:r>
      <w:r w:rsidRPr="00EB4CE3">
        <w:tab/>
      </w:r>
      <w:r w:rsidR="000F032E">
        <w:t>Scenic Shores Water Company</w:t>
      </w:r>
    </w:p>
    <w:p w14:paraId="6707ED94" w14:textId="77777777" w:rsidR="00046A19" w:rsidRPr="00EB4CE3" w:rsidRDefault="00046A19" w:rsidP="00046A19"/>
    <w:p w14:paraId="6707ED95" w14:textId="52F873E4" w:rsidR="00046A19" w:rsidRDefault="00046A19" w:rsidP="00046A19">
      <w:r>
        <w:t xml:space="preserve">Staff: </w:t>
      </w:r>
      <w:r>
        <w:tab/>
      </w:r>
      <w:r>
        <w:tab/>
      </w:r>
      <w:r>
        <w:tab/>
      </w:r>
      <w:r w:rsidR="000F032E">
        <w:t>Jim Ward</w:t>
      </w:r>
      <w:r w:rsidRPr="00EB4CE3">
        <w:t>, Regulatory Analyst</w:t>
      </w:r>
    </w:p>
    <w:p w14:paraId="6707ED96" w14:textId="22F0D2FA" w:rsidR="00046A19" w:rsidRPr="00EB4CE3" w:rsidRDefault="00E75722" w:rsidP="00046A19">
      <w:pPr>
        <w:ind w:left="1440" w:firstLine="720"/>
      </w:pPr>
      <w:r>
        <w:t>John Cupp</w:t>
      </w:r>
      <w:r w:rsidR="00046A19" w:rsidRPr="00EB4CE3">
        <w:t>, Consumer Protection Staff</w:t>
      </w:r>
    </w:p>
    <w:p w14:paraId="6707ED97" w14:textId="77777777" w:rsidR="00046A19" w:rsidRPr="00EB4CE3" w:rsidRDefault="00046A19" w:rsidP="00046A19"/>
    <w:p w14:paraId="6707ED98" w14:textId="77777777" w:rsidR="00046A19" w:rsidRPr="00935AF2" w:rsidRDefault="00046A19" w:rsidP="000F032E">
      <w:pPr>
        <w:rPr>
          <w:b/>
          <w:u w:val="single"/>
        </w:rPr>
      </w:pPr>
      <w:r w:rsidRPr="00935AF2">
        <w:rPr>
          <w:b/>
          <w:u w:val="single"/>
        </w:rPr>
        <w:t>Recommendation</w:t>
      </w:r>
    </w:p>
    <w:p w14:paraId="6707ED99" w14:textId="77777777" w:rsidR="00046A19" w:rsidRDefault="00046A19" w:rsidP="000F032E">
      <w:pPr>
        <w:widowControl w:val="0"/>
        <w:autoSpaceDE w:val="0"/>
        <w:autoSpaceDN w:val="0"/>
        <w:adjustRightInd w:val="0"/>
        <w:rPr>
          <w:rFonts w:eastAsia="Times New Roman"/>
          <w:color w:val="000000"/>
          <w:lang w:bidi="ar-SA"/>
        </w:rPr>
      </w:pPr>
    </w:p>
    <w:p w14:paraId="0FE1FF9B" w14:textId="77777777" w:rsidR="003F651E" w:rsidRPr="00AA4488" w:rsidRDefault="003F651E" w:rsidP="003F6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AA4488">
        <w:t>Issue an Order to:</w:t>
      </w:r>
    </w:p>
    <w:p w14:paraId="6C178A6A" w14:textId="77777777" w:rsidR="003F651E" w:rsidRPr="00AA4488" w:rsidRDefault="003F651E" w:rsidP="003F6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5E25EBAF" w14:textId="537F7D41" w:rsidR="003F651E" w:rsidRPr="00AA4488" w:rsidRDefault="003F651E" w:rsidP="003F651E">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rPr>
          <w:color w:val="000000"/>
        </w:rPr>
        <w:t xml:space="preserve">Dismiss the Complaint and Order Suspending the Tariff Revision filed by </w:t>
      </w:r>
      <w:r w:rsidR="00E04176">
        <w:t>Scenic Shores Water Company</w:t>
      </w:r>
      <w:r w:rsidRPr="00AA4488">
        <w:t xml:space="preserve"> in Docket UW-</w:t>
      </w:r>
      <w:r>
        <w:t>1</w:t>
      </w:r>
      <w:r w:rsidR="00E04176">
        <w:t>21523</w:t>
      </w:r>
      <w:r w:rsidRPr="00AA4488">
        <w:t xml:space="preserve"> dated October 1</w:t>
      </w:r>
      <w:r>
        <w:t>1</w:t>
      </w:r>
      <w:r w:rsidR="00E04176">
        <w:t>, 2012</w:t>
      </w:r>
      <w:r w:rsidRPr="00AA4488">
        <w:t>.</w:t>
      </w:r>
    </w:p>
    <w:p w14:paraId="6FCF770E" w14:textId="77777777" w:rsidR="003F651E" w:rsidRPr="00AA4488" w:rsidRDefault="003F651E" w:rsidP="003D3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0517562A" w14:textId="5CF50924" w:rsidR="003F651E" w:rsidRDefault="003F651E" w:rsidP="003F651E">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 xml:space="preserve">Allow the revised rates and tariff revision filed by </w:t>
      </w:r>
      <w:r w:rsidR="00E04176">
        <w:t>Scenic Shores Water Company</w:t>
      </w:r>
      <w:r w:rsidRPr="00AA4488">
        <w:t xml:space="preserve"> on </w:t>
      </w:r>
      <w:r w:rsidR="00E04176">
        <w:t xml:space="preserve">November </w:t>
      </w:r>
      <w:r w:rsidR="00B32F59">
        <w:t>2</w:t>
      </w:r>
      <w:r w:rsidR="00C3641F">
        <w:t>8</w:t>
      </w:r>
      <w:r>
        <w:t>, 201</w:t>
      </w:r>
      <w:r w:rsidR="00E04176">
        <w:t>2</w:t>
      </w:r>
      <w:r>
        <w:t xml:space="preserve">, </w:t>
      </w:r>
      <w:r w:rsidRPr="00AA4488">
        <w:t xml:space="preserve">to become effective </w:t>
      </w:r>
      <w:r w:rsidR="003D33C1">
        <w:t>Dec</w:t>
      </w:r>
      <w:r w:rsidR="00E04176">
        <w:t xml:space="preserve">ember </w:t>
      </w:r>
      <w:r w:rsidR="003D33C1">
        <w:t>2</w:t>
      </w:r>
      <w:r w:rsidR="00E04176">
        <w:t>0</w:t>
      </w:r>
      <w:r w:rsidRPr="00AA4488">
        <w:t>, 2012.</w:t>
      </w:r>
    </w:p>
    <w:p w14:paraId="5F6109B1" w14:textId="77777777" w:rsidR="00BE605F" w:rsidRDefault="00BE605F" w:rsidP="003A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p>
    <w:p w14:paraId="15C2DA4F" w14:textId="45FB8745" w:rsidR="00AD4633" w:rsidRPr="00AD4633" w:rsidRDefault="00AD4633" w:rsidP="00AD4633">
      <w:pPr>
        <w:pStyle w:val="ListParagraph"/>
        <w:numPr>
          <w:ilvl w:val="0"/>
          <w:numId w:val="6"/>
        </w:numPr>
        <w:rPr>
          <w:rFonts w:ascii="Times New Roman" w:hAnsi="Times New Roman"/>
          <w:sz w:val="24"/>
          <w:szCs w:val="24"/>
          <w:lang w:bidi="en-US"/>
        </w:rPr>
      </w:pPr>
      <w:r w:rsidRPr="00AD4633">
        <w:rPr>
          <w:rFonts w:ascii="Times New Roman" w:hAnsi="Times New Roman"/>
          <w:sz w:val="24"/>
          <w:szCs w:val="24"/>
          <w:lang w:bidi="en-US"/>
        </w:rPr>
        <w:t xml:space="preserve">Require Scenic Shores Water Company to file, no later than February 1, 2014, copies of bills sent to water customers receiving regulated service to demonstrate that the company is in </w:t>
      </w:r>
      <w:r w:rsidR="00977C9C" w:rsidRPr="00AD4633">
        <w:rPr>
          <w:rFonts w:ascii="Times New Roman" w:hAnsi="Times New Roman"/>
          <w:sz w:val="24"/>
          <w:szCs w:val="24"/>
          <w:lang w:bidi="en-US"/>
        </w:rPr>
        <w:t>compliance</w:t>
      </w:r>
      <w:r w:rsidRPr="00AD4633">
        <w:rPr>
          <w:rFonts w:ascii="Times New Roman" w:hAnsi="Times New Roman"/>
          <w:sz w:val="24"/>
          <w:szCs w:val="24"/>
          <w:lang w:bidi="en-US"/>
        </w:rPr>
        <w:t xml:space="preserve"> with its tariff</w:t>
      </w:r>
      <w:r w:rsidR="00CE3403">
        <w:rPr>
          <w:rFonts w:ascii="Times New Roman" w:hAnsi="Times New Roman"/>
          <w:sz w:val="24"/>
          <w:szCs w:val="24"/>
          <w:lang w:bidi="en-US"/>
        </w:rPr>
        <w:t xml:space="preserve"> that will become effective December 20, 201</w:t>
      </w:r>
      <w:r w:rsidR="00C10F50">
        <w:rPr>
          <w:rFonts w:ascii="Times New Roman" w:hAnsi="Times New Roman"/>
          <w:sz w:val="24"/>
          <w:szCs w:val="24"/>
          <w:lang w:bidi="en-US"/>
        </w:rPr>
        <w:t>3</w:t>
      </w:r>
      <w:r w:rsidRPr="00AD4633">
        <w:rPr>
          <w:rFonts w:ascii="Times New Roman" w:hAnsi="Times New Roman"/>
          <w:sz w:val="24"/>
          <w:szCs w:val="24"/>
          <w:lang w:bidi="en-US"/>
        </w:rPr>
        <w:t>.</w:t>
      </w:r>
    </w:p>
    <w:p w14:paraId="6707ED9C" w14:textId="2A2673D9" w:rsidR="00046A19" w:rsidRPr="00935AF2" w:rsidRDefault="00046A19" w:rsidP="000F032E">
      <w:pPr>
        <w:rPr>
          <w:b/>
          <w:u w:val="single"/>
        </w:rPr>
      </w:pPr>
      <w:r w:rsidRPr="00935AF2">
        <w:rPr>
          <w:b/>
          <w:u w:val="single"/>
        </w:rPr>
        <w:t>Discussion</w:t>
      </w:r>
    </w:p>
    <w:p w14:paraId="76AD25D1" w14:textId="77777777" w:rsidR="00D157A4" w:rsidRPr="000F032E" w:rsidRDefault="00D157A4" w:rsidP="000F032E">
      <w:pPr>
        <w:rPr>
          <w:rFonts w:eastAsia="Times New Roman"/>
          <w:lang w:bidi="ar-SA"/>
        </w:rPr>
      </w:pPr>
    </w:p>
    <w:p w14:paraId="6E75E4A8" w14:textId="5D813563" w:rsidR="006C71E3" w:rsidRPr="000F032E" w:rsidRDefault="00046A19" w:rsidP="000F032E">
      <w:pPr>
        <w:rPr>
          <w:rFonts w:eastAsia="Times New Roman"/>
          <w:lang w:bidi="ar-SA"/>
        </w:rPr>
      </w:pPr>
      <w:r w:rsidRPr="000F032E">
        <w:rPr>
          <w:rFonts w:eastAsia="Times New Roman"/>
          <w:lang w:bidi="ar-SA"/>
        </w:rPr>
        <w:t xml:space="preserve">On </w:t>
      </w:r>
      <w:r w:rsidR="000F032E" w:rsidRPr="000F032E">
        <w:rPr>
          <w:rFonts w:eastAsia="Times New Roman"/>
          <w:lang w:bidi="ar-SA"/>
        </w:rPr>
        <w:t xml:space="preserve">September 17, 2012, Scenic Shores Water Company (Scenic Shores or company) filed with the Utilities and Transportation Commission (commission) tariff revision that would </w:t>
      </w:r>
      <w:r w:rsidR="00AD4633">
        <w:rPr>
          <w:rFonts w:eastAsia="Times New Roman"/>
          <w:lang w:bidi="ar-SA"/>
        </w:rPr>
        <w:t xml:space="preserve">increase rates and </w:t>
      </w:r>
      <w:r w:rsidR="000F032E" w:rsidRPr="000F032E">
        <w:rPr>
          <w:rFonts w:eastAsia="Times New Roman"/>
          <w:lang w:bidi="ar-SA"/>
        </w:rPr>
        <w:t>generate $8,341 (33 percent) additional annual revenue. The company is a homeowners</w:t>
      </w:r>
      <w:r w:rsidR="004558FB">
        <w:rPr>
          <w:rFonts w:eastAsia="Times New Roman"/>
          <w:lang w:bidi="ar-SA"/>
        </w:rPr>
        <w:t>’</w:t>
      </w:r>
      <w:r w:rsidR="000F032E" w:rsidRPr="000F032E">
        <w:rPr>
          <w:rFonts w:eastAsia="Times New Roman"/>
          <w:lang w:bidi="ar-SA"/>
        </w:rPr>
        <w:t xml:space="preserve"> association</w:t>
      </w:r>
      <w:r w:rsidR="004558FB">
        <w:rPr>
          <w:rFonts w:eastAsia="Times New Roman"/>
          <w:lang w:bidi="ar-SA"/>
        </w:rPr>
        <w:t xml:space="preserve"> that </w:t>
      </w:r>
      <w:r w:rsidR="000F032E" w:rsidRPr="000F032E">
        <w:rPr>
          <w:rFonts w:eastAsia="Times New Roman"/>
          <w:lang w:bidi="ar-SA"/>
        </w:rPr>
        <w:t>operat</w:t>
      </w:r>
      <w:r w:rsidR="004558FB">
        <w:rPr>
          <w:rFonts w:eastAsia="Times New Roman"/>
          <w:lang w:bidi="ar-SA"/>
        </w:rPr>
        <w:t>es a</w:t>
      </w:r>
      <w:r w:rsidR="000F032E" w:rsidRPr="000F032E">
        <w:rPr>
          <w:rFonts w:eastAsia="Times New Roman"/>
          <w:lang w:bidi="ar-SA"/>
        </w:rPr>
        <w:t xml:space="preserve"> water system </w:t>
      </w:r>
      <w:r w:rsidR="00AD4633">
        <w:rPr>
          <w:rFonts w:eastAsia="Times New Roman"/>
          <w:lang w:bidi="ar-SA"/>
        </w:rPr>
        <w:t xml:space="preserve">located near </w:t>
      </w:r>
      <w:r w:rsidR="004558FB" w:rsidRPr="000F032E">
        <w:rPr>
          <w:rFonts w:eastAsia="Times New Roman"/>
          <w:lang w:bidi="ar-SA"/>
        </w:rPr>
        <w:t>Lake Lawrence in Thurston County</w:t>
      </w:r>
      <w:r w:rsidR="004558FB">
        <w:rPr>
          <w:rFonts w:eastAsia="Times New Roman"/>
          <w:lang w:bidi="ar-SA"/>
        </w:rPr>
        <w:t>. The company</w:t>
      </w:r>
      <w:r w:rsidR="004558FB" w:rsidRPr="000F032E">
        <w:rPr>
          <w:rFonts w:eastAsia="Times New Roman"/>
          <w:lang w:bidi="ar-SA"/>
        </w:rPr>
        <w:t xml:space="preserve"> </w:t>
      </w:r>
      <w:r w:rsidR="000F032E" w:rsidRPr="000F032E">
        <w:rPr>
          <w:rFonts w:eastAsia="Times New Roman"/>
          <w:lang w:bidi="ar-SA"/>
        </w:rPr>
        <w:t xml:space="preserve">provides non-regulated </w:t>
      </w:r>
      <w:r w:rsidR="00AD4633">
        <w:rPr>
          <w:rFonts w:eastAsia="Times New Roman"/>
          <w:lang w:bidi="ar-SA"/>
        </w:rPr>
        <w:t xml:space="preserve">water </w:t>
      </w:r>
      <w:r w:rsidR="000F032E" w:rsidRPr="000F032E">
        <w:rPr>
          <w:rFonts w:eastAsia="Times New Roman"/>
          <w:lang w:bidi="ar-SA"/>
        </w:rPr>
        <w:t xml:space="preserve">service to 201 members and regulated </w:t>
      </w:r>
      <w:r w:rsidR="00AD4633">
        <w:rPr>
          <w:rFonts w:eastAsia="Times New Roman"/>
          <w:lang w:bidi="ar-SA"/>
        </w:rPr>
        <w:t xml:space="preserve">water </w:t>
      </w:r>
      <w:r w:rsidR="000F032E" w:rsidRPr="000F032E">
        <w:rPr>
          <w:rFonts w:eastAsia="Times New Roman"/>
          <w:lang w:bidi="ar-SA"/>
        </w:rPr>
        <w:t>service to 35 non-member</w:t>
      </w:r>
      <w:r w:rsidR="004558FB">
        <w:rPr>
          <w:rFonts w:eastAsia="Times New Roman"/>
          <w:lang w:bidi="ar-SA"/>
        </w:rPr>
        <w:t>s</w:t>
      </w:r>
      <w:r w:rsidR="000F032E" w:rsidRPr="000F032E">
        <w:rPr>
          <w:rFonts w:eastAsia="Times New Roman"/>
          <w:lang w:bidi="ar-SA"/>
        </w:rPr>
        <w:t xml:space="preserve">. The proposed effective date </w:t>
      </w:r>
      <w:r w:rsidR="00875861">
        <w:rPr>
          <w:rFonts w:eastAsia="Times New Roman"/>
          <w:lang w:bidi="ar-SA"/>
        </w:rPr>
        <w:t>wa</w:t>
      </w:r>
      <w:r w:rsidR="000F032E" w:rsidRPr="000F032E">
        <w:rPr>
          <w:rFonts w:eastAsia="Times New Roman"/>
          <w:lang w:bidi="ar-SA"/>
        </w:rPr>
        <w:t xml:space="preserve">s October 20, 2012. The company’s last rate increase was effective </w:t>
      </w:r>
      <w:r w:rsidR="004558FB">
        <w:rPr>
          <w:rFonts w:eastAsia="Times New Roman"/>
          <w:lang w:bidi="ar-SA"/>
        </w:rPr>
        <w:t>on</w:t>
      </w:r>
      <w:r w:rsidR="00750A48">
        <w:rPr>
          <w:rFonts w:eastAsia="Times New Roman"/>
          <w:lang w:bidi="ar-SA"/>
        </w:rPr>
        <w:t xml:space="preserve"> </w:t>
      </w:r>
      <w:r w:rsidR="000F032E" w:rsidRPr="000F032E">
        <w:rPr>
          <w:rFonts w:eastAsia="Times New Roman"/>
          <w:lang w:bidi="ar-SA"/>
        </w:rPr>
        <w:t>April 20, 2010.</w:t>
      </w:r>
    </w:p>
    <w:p w14:paraId="6707ED9F" w14:textId="77777777" w:rsidR="00046A19" w:rsidRPr="000F032E" w:rsidRDefault="00046A19" w:rsidP="000F032E">
      <w:pPr>
        <w:pStyle w:val="NoSpacing"/>
        <w:rPr>
          <w:rFonts w:eastAsia="Times New Roman"/>
          <w:szCs w:val="24"/>
          <w:lang w:bidi="ar-SA"/>
        </w:rPr>
      </w:pPr>
    </w:p>
    <w:p w14:paraId="5C70A3AF" w14:textId="4EE18208" w:rsidR="003F651E" w:rsidRPr="00E04176" w:rsidRDefault="003F651E" w:rsidP="00E0417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rPr>
          <w:rFonts w:ascii="Times New Roman" w:eastAsia="Times New Roman" w:hAnsi="Times New Roman"/>
          <w:sz w:val="24"/>
          <w:szCs w:val="24"/>
        </w:rPr>
      </w:pPr>
      <w:r w:rsidRPr="00E04176">
        <w:rPr>
          <w:rFonts w:ascii="Times New Roman" w:eastAsia="Times New Roman" w:hAnsi="Times New Roman"/>
          <w:sz w:val="24"/>
          <w:szCs w:val="24"/>
        </w:rPr>
        <w:t xml:space="preserve">On October </w:t>
      </w:r>
      <w:r w:rsidR="00E04176">
        <w:rPr>
          <w:rFonts w:ascii="Times New Roman" w:eastAsia="Times New Roman" w:hAnsi="Times New Roman"/>
          <w:sz w:val="24"/>
          <w:szCs w:val="24"/>
        </w:rPr>
        <w:t>11</w:t>
      </w:r>
      <w:r w:rsidRPr="00E04176">
        <w:rPr>
          <w:rFonts w:ascii="Times New Roman" w:eastAsia="Times New Roman" w:hAnsi="Times New Roman"/>
          <w:sz w:val="24"/>
          <w:szCs w:val="24"/>
        </w:rPr>
        <w:t>, 201</w:t>
      </w:r>
      <w:r w:rsidR="00E04176">
        <w:rPr>
          <w:rFonts w:ascii="Times New Roman" w:eastAsia="Times New Roman" w:hAnsi="Times New Roman"/>
          <w:sz w:val="24"/>
          <w:szCs w:val="24"/>
        </w:rPr>
        <w:t>2</w:t>
      </w:r>
      <w:r w:rsidRPr="00E04176">
        <w:rPr>
          <w:rFonts w:ascii="Times New Roman" w:eastAsia="Times New Roman" w:hAnsi="Times New Roman"/>
          <w:sz w:val="24"/>
          <w:szCs w:val="24"/>
        </w:rPr>
        <w:t>, the commission issued an order suspending this filing for further review.</w:t>
      </w:r>
      <w:r w:rsidR="00E04176">
        <w:rPr>
          <w:rFonts w:ascii="Times New Roman" w:eastAsia="Times New Roman" w:hAnsi="Times New Roman"/>
          <w:sz w:val="24"/>
          <w:szCs w:val="24"/>
        </w:rPr>
        <w:t xml:space="preserve"> </w:t>
      </w:r>
      <w:r w:rsidRPr="00E04176">
        <w:rPr>
          <w:rFonts w:ascii="Times New Roman" w:eastAsia="Times New Roman" w:hAnsi="Times New Roman"/>
          <w:sz w:val="24"/>
          <w:szCs w:val="24"/>
        </w:rPr>
        <w:t>After review, staff found the proposed rates would generate excessive revenues. Staff determined that the company’s books and records supported a lower revenue requirement of $</w:t>
      </w:r>
      <w:r w:rsidR="000839F3">
        <w:rPr>
          <w:rFonts w:ascii="Times New Roman" w:eastAsia="Times New Roman" w:hAnsi="Times New Roman"/>
          <w:sz w:val="24"/>
          <w:szCs w:val="24"/>
        </w:rPr>
        <w:t>6,805</w:t>
      </w:r>
      <w:r w:rsidR="00FF2585">
        <w:rPr>
          <w:rFonts w:ascii="Times New Roman" w:eastAsia="Times New Roman" w:hAnsi="Times New Roman"/>
          <w:sz w:val="24"/>
          <w:szCs w:val="24"/>
        </w:rPr>
        <w:t xml:space="preserve"> (</w:t>
      </w:r>
      <w:r w:rsidR="000839F3">
        <w:rPr>
          <w:rFonts w:ascii="Times New Roman" w:eastAsia="Times New Roman" w:hAnsi="Times New Roman"/>
          <w:sz w:val="24"/>
          <w:szCs w:val="24"/>
        </w:rPr>
        <w:t>27</w:t>
      </w:r>
      <w:r w:rsidRPr="00E04176">
        <w:rPr>
          <w:rFonts w:ascii="Times New Roman" w:eastAsia="Times New Roman" w:hAnsi="Times New Roman"/>
          <w:sz w:val="24"/>
          <w:szCs w:val="24"/>
        </w:rPr>
        <w:t xml:space="preserve"> percent) additional annual revenue. Staff and the company have agreed to a revised rate design that would generate the </w:t>
      </w:r>
      <w:r w:rsidRPr="000839F3">
        <w:rPr>
          <w:rFonts w:ascii="Times New Roman" w:eastAsia="Times New Roman" w:hAnsi="Times New Roman"/>
          <w:sz w:val="24"/>
          <w:szCs w:val="24"/>
        </w:rPr>
        <w:t>additional $</w:t>
      </w:r>
      <w:r w:rsidR="000839F3" w:rsidRPr="000839F3">
        <w:rPr>
          <w:rFonts w:ascii="Times New Roman" w:eastAsia="Times New Roman" w:hAnsi="Times New Roman"/>
          <w:sz w:val="24"/>
          <w:szCs w:val="24"/>
        </w:rPr>
        <w:t>6,805</w:t>
      </w:r>
      <w:r w:rsidRPr="00E04176">
        <w:rPr>
          <w:rFonts w:ascii="Times New Roman" w:eastAsia="Times New Roman" w:hAnsi="Times New Roman"/>
          <w:sz w:val="24"/>
          <w:szCs w:val="24"/>
        </w:rPr>
        <w:t xml:space="preserve"> revenue. All revised rates are equal to, or less than the company’s original proposed rates.</w:t>
      </w:r>
    </w:p>
    <w:p w14:paraId="5B6B9AB7" w14:textId="39753403" w:rsidR="00E14FC8" w:rsidRDefault="00E14FC8" w:rsidP="00E14FC8">
      <w:pPr>
        <w:contextualSpacing/>
      </w:pPr>
      <w:r>
        <w:t>The current rate design includes a base rate, a “</w:t>
      </w:r>
      <w:r w:rsidR="00270F01">
        <w:t xml:space="preserve">flat rate </w:t>
      </w:r>
      <w:r>
        <w:t xml:space="preserve">allowance” block for </w:t>
      </w:r>
      <w:r w:rsidR="00270F01">
        <w:t xml:space="preserve">up to </w:t>
      </w:r>
      <w:r>
        <w:t xml:space="preserve">1,000 cubic feet, and a “usage” block for more than 1,000 cubic feet. The company has historically </w:t>
      </w:r>
      <w:r w:rsidRPr="00FF2585">
        <w:t>charge</w:t>
      </w:r>
      <w:r>
        <w:t>d</w:t>
      </w:r>
      <w:r w:rsidRPr="00FF2585">
        <w:t xml:space="preserve"> </w:t>
      </w:r>
      <w:r>
        <w:t xml:space="preserve">the </w:t>
      </w:r>
      <w:r w:rsidRPr="00FF2585">
        <w:t xml:space="preserve">full </w:t>
      </w:r>
      <w:r>
        <w:t xml:space="preserve">“allowance” </w:t>
      </w:r>
      <w:r w:rsidRPr="00FF2585">
        <w:t xml:space="preserve">block rate of $9.00 for any amount </w:t>
      </w:r>
      <w:r>
        <w:t xml:space="preserve">of water </w:t>
      </w:r>
      <w:r w:rsidRPr="00FF2585">
        <w:t xml:space="preserve">used in the first block. </w:t>
      </w:r>
      <w:r>
        <w:t>Staff believes this rate design and billing practice does not promote conservation.</w:t>
      </w:r>
    </w:p>
    <w:p w14:paraId="19ACD023" w14:textId="505F705F" w:rsidR="00E14FC8" w:rsidRDefault="00E14FC8" w:rsidP="00BE605F">
      <w:pPr>
        <w:contextualSpacing/>
      </w:pPr>
    </w:p>
    <w:p w14:paraId="3E76D529" w14:textId="0E3D969D" w:rsidR="00BE605F" w:rsidRDefault="00BE605F" w:rsidP="00BE605F">
      <w:pPr>
        <w:contextualSpacing/>
      </w:pPr>
      <w:r>
        <w:t xml:space="preserve">The revised </w:t>
      </w:r>
      <w:r w:rsidR="00190F98">
        <w:t xml:space="preserve">rate design </w:t>
      </w:r>
      <w:r>
        <w:t>p</w:t>
      </w:r>
      <w:r w:rsidRPr="00FF2585">
        <w:t>ropose</w:t>
      </w:r>
      <w:r>
        <w:t>s to shift the company’s tariff to a pay-as-you-use</w:t>
      </w:r>
      <w:r w:rsidR="000804D9">
        <w:t>,</w:t>
      </w:r>
      <w:r>
        <w:t xml:space="preserve"> conservation oriented rate design</w:t>
      </w:r>
      <w:r w:rsidR="00920F06">
        <w:t xml:space="preserve"> in two steps</w:t>
      </w:r>
      <w:r>
        <w:t>.</w:t>
      </w:r>
      <w:r w:rsidR="00920F06">
        <w:t xml:space="preserve"> Step </w:t>
      </w:r>
      <w:r w:rsidR="00E44EFA">
        <w:t>one</w:t>
      </w:r>
      <w:r w:rsidR="00920F06">
        <w:t xml:space="preserve">, effective December 20, 2012, </w:t>
      </w:r>
      <w:r w:rsidR="00F906F9">
        <w:t xml:space="preserve">would </w:t>
      </w:r>
      <w:r w:rsidR="00920F06">
        <w:t xml:space="preserve">decrease the </w:t>
      </w:r>
      <w:r w:rsidR="00AA5B72">
        <w:lastRenderedPageBreak/>
        <w:t>“</w:t>
      </w:r>
      <w:r w:rsidR="00190F98">
        <w:t xml:space="preserve">flat rate </w:t>
      </w:r>
      <w:r w:rsidR="00AA5B72">
        <w:t>allowance”</w:t>
      </w:r>
      <w:r w:rsidR="00920F06">
        <w:t xml:space="preserve"> block</w:t>
      </w:r>
      <w:r w:rsidR="00F906F9">
        <w:t xml:space="preserve"> from</w:t>
      </w:r>
      <w:r w:rsidR="00920F06">
        <w:t xml:space="preserve"> 1,000 cubic feet to 500 cubic feet</w:t>
      </w:r>
      <w:r w:rsidR="00F13EA6">
        <w:t xml:space="preserve"> and add a new usage block for 501 cubic feet to 1,000 cubic </w:t>
      </w:r>
      <w:r w:rsidR="009B70CF">
        <w:t>feet</w:t>
      </w:r>
      <w:r w:rsidR="005D2F67">
        <w:t xml:space="preserve"> and a rate of $1.15 per 100 cubic feet</w:t>
      </w:r>
      <w:r w:rsidR="009B70CF">
        <w:t xml:space="preserve">. </w:t>
      </w:r>
      <w:r w:rsidR="00F906F9">
        <w:t xml:space="preserve">Step </w:t>
      </w:r>
      <w:r w:rsidR="00E44EFA">
        <w:t>two</w:t>
      </w:r>
      <w:r w:rsidR="00F906F9">
        <w:t>, effective December 20, 2013, would eliminate the</w:t>
      </w:r>
      <w:r w:rsidR="00DD600E">
        <w:t xml:space="preserve"> 500 cubic foot</w:t>
      </w:r>
      <w:r w:rsidR="00F906F9">
        <w:t xml:space="preserve"> </w:t>
      </w:r>
      <w:r w:rsidR="00AA5B72">
        <w:t>“</w:t>
      </w:r>
      <w:r w:rsidR="00190F98">
        <w:t xml:space="preserve">flat rate </w:t>
      </w:r>
      <w:r w:rsidR="00AA5B72">
        <w:t xml:space="preserve">allowance” block </w:t>
      </w:r>
      <w:r w:rsidR="00F13EA6">
        <w:t xml:space="preserve">and expand the first usage block to </w:t>
      </w:r>
      <w:r w:rsidR="009B70CF">
        <w:t>zero</w:t>
      </w:r>
      <w:r w:rsidR="00270F01">
        <w:t xml:space="preserve"> </w:t>
      </w:r>
      <w:r w:rsidR="00F13EA6">
        <w:t>to 1,000 cubic feet</w:t>
      </w:r>
      <w:r w:rsidR="00AA5B72">
        <w:t>.</w:t>
      </w:r>
      <w:r w:rsidR="00920F06">
        <w:t xml:space="preserve"> </w:t>
      </w:r>
      <w:r w:rsidR="009B70CF">
        <w:t xml:space="preserve">This would allow customers to pay-as-they-use for all water </w:t>
      </w:r>
      <w:r w:rsidR="00D51B27">
        <w:t>received</w:t>
      </w:r>
      <w:r w:rsidR="009B70CF">
        <w:t>.</w:t>
      </w:r>
    </w:p>
    <w:p w14:paraId="6FDC4881" w14:textId="77777777" w:rsidR="00BE605F" w:rsidRDefault="00BE605F" w:rsidP="00BE605F">
      <w:pPr>
        <w:contextualSpacing/>
      </w:pPr>
    </w:p>
    <w:p w14:paraId="5D476128" w14:textId="37CCBD16" w:rsidR="00270F01" w:rsidRDefault="00270F01" w:rsidP="00BE605F">
      <w:pPr>
        <w:contextualSpacing/>
      </w:pPr>
      <w:r>
        <w:t xml:space="preserve">The current and </w:t>
      </w:r>
      <w:r w:rsidR="007448C3">
        <w:t>revised</w:t>
      </w:r>
      <w:r>
        <w:t xml:space="preserve"> rate designs are shown below:</w:t>
      </w:r>
    </w:p>
    <w:p w14:paraId="4A937DC1" w14:textId="6D8E2F3C" w:rsidR="00496D03" w:rsidRDefault="00496D03" w:rsidP="00270F01">
      <w:pPr>
        <w:contextualSpacing/>
      </w:pPr>
    </w:p>
    <w:p w14:paraId="174C388C" w14:textId="095B4B1D" w:rsidR="00496D03" w:rsidRDefault="00FC502C" w:rsidP="00270F01">
      <w:pPr>
        <w:contextualSpacing/>
      </w:pPr>
      <w:r w:rsidRPr="00FC502C">
        <w:rPr>
          <w:noProof/>
          <w:lang w:bidi="ar-SA"/>
        </w:rPr>
        <w:drawing>
          <wp:inline distT="0" distB="0" distL="0" distR="0" wp14:anchorId="19618620" wp14:editId="58F8905B">
            <wp:extent cx="5943600" cy="260173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601733"/>
                    </a:xfrm>
                    <a:prstGeom prst="rect">
                      <a:avLst/>
                    </a:prstGeom>
                    <a:noFill/>
                    <a:ln>
                      <a:noFill/>
                    </a:ln>
                  </pic:spPr>
                </pic:pic>
              </a:graphicData>
            </a:graphic>
          </wp:inline>
        </w:drawing>
      </w:r>
    </w:p>
    <w:p w14:paraId="17394378" w14:textId="77777777" w:rsidR="00C62E98" w:rsidRDefault="00C62E98" w:rsidP="00270F01">
      <w:pPr>
        <w:contextualSpacing/>
      </w:pPr>
    </w:p>
    <w:p w14:paraId="7F6D1584" w14:textId="1AFFB297" w:rsidR="00270F01" w:rsidRDefault="00270F01" w:rsidP="00270F01">
      <w:pPr>
        <w:contextualSpacing/>
      </w:pPr>
      <w:r>
        <w:t xml:space="preserve">To ensure the company implements the rate changes scheduled to become effective </w:t>
      </w:r>
      <w:r w:rsidR="003120DB">
        <w:t xml:space="preserve">      </w:t>
      </w:r>
      <w:r>
        <w:t>December 20, 2013, staff recommends that the commission require the company to make a compliance filing no later than February 1, 2014, demonstrating the company has implemented the final rate design.</w:t>
      </w:r>
    </w:p>
    <w:p w14:paraId="3CA6F564" w14:textId="77777777" w:rsidR="00496D03" w:rsidRDefault="00496D03" w:rsidP="00E041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2F3A4BE3" w14:textId="7DFE4E13" w:rsidR="00E04176" w:rsidRDefault="00E04176" w:rsidP="00E041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b/>
          <w:u w:val="single"/>
          <w:lang w:bidi="ar-SA"/>
        </w:rPr>
      </w:pPr>
      <w:r w:rsidRPr="00A8749C">
        <w:rPr>
          <w:rFonts w:eastAsia="Times New Roman"/>
          <w:b/>
          <w:u w:val="single"/>
          <w:lang w:bidi="ar-SA"/>
        </w:rPr>
        <w:t xml:space="preserve">Customer Comments </w:t>
      </w:r>
    </w:p>
    <w:p w14:paraId="6A7E1AFB" w14:textId="77777777" w:rsidR="00E04176" w:rsidRPr="006A4E99" w:rsidRDefault="00E04176" w:rsidP="00E04176">
      <w:pPr>
        <w:pStyle w:val="ListParagraph"/>
        <w:spacing w:after="0" w:line="240" w:lineRule="auto"/>
        <w:ind w:left="0"/>
        <w:rPr>
          <w:rFonts w:ascii="Times New Roman" w:hAnsi="Times New Roman"/>
          <w:sz w:val="24"/>
          <w:szCs w:val="24"/>
        </w:rPr>
      </w:pPr>
    </w:p>
    <w:p w14:paraId="10EC2D98" w14:textId="1805F0F3" w:rsidR="006A4E99" w:rsidRPr="006A4E99" w:rsidRDefault="00E04176" w:rsidP="006A4E99">
      <w:pPr>
        <w:pStyle w:val="ListParagraph"/>
        <w:spacing w:after="0" w:line="240" w:lineRule="auto"/>
        <w:ind w:left="0"/>
        <w:rPr>
          <w:rFonts w:ascii="Times New Roman" w:hAnsi="Times New Roman"/>
        </w:rPr>
      </w:pPr>
      <w:r w:rsidRPr="006A4E99">
        <w:rPr>
          <w:rFonts w:ascii="Times New Roman" w:hAnsi="Times New Roman"/>
          <w:sz w:val="24"/>
          <w:szCs w:val="24"/>
        </w:rPr>
        <w:t>O</w:t>
      </w:r>
      <w:r w:rsidR="006A4E99" w:rsidRPr="006A4E99">
        <w:rPr>
          <w:rFonts w:ascii="Times New Roman" w:hAnsi="Times New Roman"/>
          <w:color w:val="000000"/>
          <w:sz w:val="24"/>
        </w:rPr>
        <w:t>n September 15, 2012, the company notified its customers of the proposed rate increase by mail. Staff received four consumer comments, all of which opposed the proposed rate increase. Customers were notified that they may access documents about this rate increase on the commission’s website, and that they may contact John Cupp at 1-888-333-WUTC (9882) or jcupp@utc.wa.gov with questions or concerns.</w:t>
      </w:r>
    </w:p>
    <w:p w14:paraId="238926CB" w14:textId="77777777" w:rsidR="00C62E98" w:rsidRPr="00C62E98" w:rsidRDefault="00C62E98" w:rsidP="00C62E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243FE323" w14:textId="0091574A" w:rsidR="006A4E99" w:rsidRDefault="006A4E99" w:rsidP="00C62E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b/>
          <w:u w:val="single"/>
          <w:lang w:bidi="ar-SA"/>
        </w:rPr>
      </w:pPr>
      <w:r w:rsidRPr="00C62E98">
        <w:rPr>
          <w:rFonts w:eastAsia="Times New Roman"/>
          <w:b/>
          <w:u w:val="single"/>
          <w:lang w:bidi="ar-SA"/>
        </w:rPr>
        <w:t>Business Practices</w:t>
      </w:r>
    </w:p>
    <w:p w14:paraId="29952C05" w14:textId="77777777" w:rsidR="00C62E98" w:rsidRPr="00C62E98" w:rsidRDefault="00C62E98" w:rsidP="00C62E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b/>
          <w:u w:val="single"/>
          <w:lang w:bidi="ar-SA"/>
        </w:rPr>
      </w:pPr>
    </w:p>
    <w:p w14:paraId="41F9819E" w14:textId="77777777" w:rsidR="006A4E99" w:rsidRPr="006A4E99" w:rsidRDefault="006A4E99" w:rsidP="006A4E99">
      <w:pPr>
        <w:numPr>
          <w:ilvl w:val="0"/>
          <w:numId w:val="10"/>
        </w:numPr>
        <w:ind w:left="720" w:hanging="360"/>
      </w:pPr>
      <w:r w:rsidRPr="006A4E99">
        <w:rPr>
          <w:color w:val="000000"/>
        </w:rPr>
        <w:t>One customer stated that the company has monopolized its back flow testing, and that the company trespasses on her property.</w:t>
      </w:r>
    </w:p>
    <w:p w14:paraId="1BEE6451" w14:textId="77777777" w:rsidR="006A4E99" w:rsidRPr="006A4E99" w:rsidRDefault="006A4E99" w:rsidP="006A4E99"/>
    <w:p w14:paraId="0EA1C8A1" w14:textId="77777777" w:rsidR="00C62E98" w:rsidRDefault="00C62E98">
      <w:pPr>
        <w:spacing w:after="200" w:line="276" w:lineRule="auto"/>
        <w:rPr>
          <w:b/>
          <w:color w:val="000000"/>
        </w:rPr>
      </w:pPr>
      <w:r>
        <w:rPr>
          <w:b/>
          <w:color w:val="000000"/>
        </w:rPr>
        <w:br w:type="page"/>
      </w:r>
    </w:p>
    <w:p w14:paraId="238B29B4" w14:textId="5AC6907C" w:rsidR="006A4E99" w:rsidRPr="006A4E99" w:rsidRDefault="006A4E99" w:rsidP="006A4E99">
      <w:pPr>
        <w:ind w:left="719"/>
      </w:pPr>
      <w:r w:rsidRPr="006A4E99">
        <w:rPr>
          <w:b/>
          <w:color w:val="000000"/>
        </w:rPr>
        <w:lastRenderedPageBreak/>
        <w:t>Staff Response</w:t>
      </w:r>
    </w:p>
    <w:p w14:paraId="2CCBB3A9" w14:textId="77777777" w:rsidR="006A4E99" w:rsidRPr="006A4E99" w:rsidRDefault="006A4E99" w:rsidP="006A4E99">
      <w:pPr>
        <w:ind w:left="719"/>
      </w:pPr>
      <w:r w:rsidRPr="006A4E99">
        <w:rPr>
          <w:color w:val="000000"/>
        </w:rPr>
        <w:t>Staff is working with this customer to get more information about these issues.</w:t>
      </w:r>
    </w:p>
    <w:p w14:paraId="1DB828FF" w14:textId="77777777" w:rsidR="006A4E99" w:rsidRPr="006A4E99" w:rsidRDefault="006A4E99" w:rsidP="006A4E99">
      <w:pPr>
        <w:ind w:left="719"/>
      </w:pPr>
    </w:p>
    <w:p w14:paraId="3D0986DE" w14:textId="77777777" w:rsidR="006A4E99" w:rsidRDefault="006A4E99" w:rsidP="006A4E99">
      <w:pPr>
        <w:rPr>
          <w:b/>
          <w:color w:val="000000"/>
        </w:rPr>
      </w:pPr>
      <w:r w:rsidRPr="006A4E99">
        <w:rPr>
          <w:b/>
          <w:color w:val="000000"/>
        </w:rPr>
        <w:t>General Comments</w:t>
      </w:r>
    </w:p>
    <w:p w14:paraId="5FA5B75F" w14:textId="77777777" w:rsidR="006A4E99" w:rsidRPr="006A4E99" w:rsidRDefault="006A4E99" w:rsidP="006A4E99"/>
    <w:p w14:paraId="3187D063" w14:textId="77777777" w:rsidR="006A4E99" w:rsidRPr="006A4E99" w:rsidRDefault="006A4E99" w:rsidP="006A4E99">
      <w:pPr>
        <w:numPr>
          <w:ilvl w:val="0"/>
          <w:numId w:val="11"/>
        </w:numPr>
        <w:ind w:left="720" w:hanging="360"/>
      </w:pPr>
      <w:r w:rsidRPr="006A4E99">
        <w:rPr>
          <w:color w:val="000000"/>
        </w:rPr>
        <w:t>Three customers said they believe it is unfair to be charged more for water than customers of the same company who are members of the homeowners association.</w:t>
      </w:r>
    </w:p>
    <w:p w14:paraId="4252225B" w14:textId="77777777" w:rsidR="006A4E99" w:rsidRPr="006A4E99" w:rsidRDefault="006A4E99" w:rsidP="006A4E99"/>
    <w:p w14:paraId="63FCE655" w14:textId="77777777" w:rsidR="006A4E99" w:rsidRPr="006A4E99" w:rsidRDefault="006A4E99" w:rsidP="006A4E99">
      <w:pPr>
        <w:ind w:left="719"/>
      </w:pPr>
      <w:r w:rsidRPr="006A4E99">
        <w:rPr>
          <w:b/>
          <w:color w:val="000000"/>
        </w:rPr>
        <w:t>Staff Response</w:t>
      </w:r>
    </w:p>
    <w:p w14:paraId="5F74FF2A" w14:textId="3B9E418A" w:rsidR="00237B3E" w:rsidRPr="00DB4D1D" w:rsidRDefault="002E080F" w:rsidP="00237B3E">
      <w:pPr>
        <w:tabs>
          <w:tab w:val="left" w:pos="4410"/>
        </w:tabs>
        <w:ind w:left="719"/>
        <w:rPr>
          <w:color w:val="000000"/>
        </w:rPr>
      </w:pPr>
      <w:r>
        <w:rPr>
          <w:color w:val="000000"/>
        </w:rPr>
        <w:t>Due to the larger lot sizes and elevations of the regulated c</w:t>
      </w:r>
      <w:r w:rsidR="00087759">
        <w:rPr>
          <w:color w:val="000000"/>
        </w:rPr>
        <w:t>ustomers</w:t>
      </w:r>
      <w:r w:rsidR="006A4E99" w:rsidRPr="006A4E99">
        <w:rPr>
          <w:color w:val="000000"/>
        </w:rPr>
        <w:t xml:space="preserve">, </w:t>
      </w:r>
      <w:r>
        <w:rPr>
          <w:color w:val="000000"/>
        </w:rPr>
        <w:t xml:space="preserve">larger meters have been installed. </w:t>
      </w:r>
      <w:r w:rsidR="006A4E99" w:rsidRPr="006A4E99">
        <w:rPr>
          <w:color w:val="000000"/>
        </w:rPr>
        <w:t>According to industry standards, a one-inch meter has the capacity to carry 1.</w:t>
      </w:r>
      <w:r w:rsidR="006A4E99">
        <w:rPr>
          <w:color w:val="000000"/>
        </w:rPr>
        <w:t>6</w:t>
      </w:r>
      <w:r w:rsidR="006A4E99" w:rsidRPr="006A4E99">
        <w:rPr>
          <w:color w:val="000000"/>
        </w:rPr>
        <w:t xml:space="preserve">7 times the water a </w:t>
      </w:r>
      <w:r w:rsidR="006A4E99">
        <w:rPr>
          <w:color w:val="000000"/>
        </w:rPr>
        <w:t>3/4</w:t>
      </w:r>
      <w:r w:rsidR="006A4E99" w:rsidRPr="006A4E99">
        <w:rPr>
          <w:color w:val="000000"/>
        </w:rPr>
        <w:t xml:space="preserve">-inch meter can carry. </w:t>
      </w:r>
      <w:r w:rsidR="00237B3E" w:rsidRPr="006A4E99">
        <w:rPr>
          <w:color w:val="000000"/>
        </w:rPr>
        <w:t xml:space="preserve">Larger meters are assigned higher base charges according to the larger meter’s higher capacity to carry water. </w:t>
      </w:r>
      <w:r w:rsidR="00237B3E" w:rsidRPr="00DB4D1D">
        <w:rPr>
          <w:color w:val="000000"/>
        </w:rPr>
        <w:t>The increase in the base rate for the larger meters is based on upsize meter</w:t>
      </w:r>
      <w:r w:rsidR="00237B3E">
        <w:rPr>
          <w:color w:val="000000"/>
        </w:rPr>
        <w:t xml:space="preserve"> factor</w:t>
      </w:r>
      <w:r w:rsidR="00237B3E" w:rsidRPr="00DB4D1D">
        <w:rPr>
          <w:color w:val="000000"/>
        </w:rPr>
        <w:t>s applied to the company</w:t>
      </w:r>
      <w:r w:rsidR="00237B3E">
        <w:rPr>
          <w:color w:val="000000"/>
        </w:rPr>
        <w:t>’s</w:t>
      </w:r>
      <w:r w:rsidR="00237B3E" w:rsidRPr="00DB4D1D">
        <w:rPr>
          <w:color w:val="000000"/>
        </w:rPr>
        <w:t xml:space="preserve"> </w:t>
      </w:r>
      <w:r w:rsidR="00237B3E">
        <w:rPr>
          <w:color w:val="000000"/>
        </w:rPr>
        <w:t xml:space="preserve">base </w:t>
      </w:r>
      <w:r w:rsidR="00237B3E" w:rsidRPr="00DB4D1D">
        <w:rPr>
          <w:color w:val="000000"/>
        </w:rPr>
        <w:t>charge for its 3/4 inch meter customers.</w:t>
      </w:r>
    </w:p>
    <w:p w14:paraId="12444AF1" w14:textId="77777777" w:rsidR="006A4E99" w:rsidRPr="006A4E99" w:rsidRDefault="006A4E99" w:rsidP="006A4E99">
      <w:pPr>
        <w:ind w:left="719"/>
        <w:rPr>
          <w:color w:val="000000"/>
        </w:rPr>
      </w:pPr>
    </w:p>
    <w:p w14:paraId="60FBA7EF" w14:textId="7291B866" w:rsidR="006A4E99" w:rsidRPr="006A4E99" w:rsidRDefault="006A4E99" w:rsidP="006A4E99">
      <w:pPr>
        <w:numPr>
          <w:ilvl w:val="0"/>
          <w:numId w:val="12"/>
        </w:numPr>
      </w:pPr>
      <w:r w:rsidRPr="006A4E99">
        <w:t xml:space="preserve">The developer who sold homes to customers outside the homeowners association donated two generators to the water company. Two of these </w:t>
      </w:r>
      <w:r w:rsidR="00BE09BD">
        <w:t>customers</w:t>
      </w:r>
      <w:r w:rsidRPr="006A4E99">
        <w:t xml:space="preserve"> stated that they paid for the generators and they should be compensated if the generators are used to benefit </w:t>
      </w:r>
      <w:r w:rsidR="00B9518A" w:rsidRPr="006A4E99">
        <w:t>homeowner’s</w:t>
      </w:r>
      <w:r w:rsidRPr="006A4E99">
        <w:t xml:space="preserve"> association members.</w:t>
      </w:r>
    </w:p>
    <w:p w14:paraId="3166785B" w14:textId="77777777" w:rsidR="006A4E99" w:rsidRPr="006A4E99" w:rsidRDefault="006A4E99" w:rsidP="006A4E99"/>
    <w:p w14:paraId="4324108D" w14:textId="77777777" w:rsidR="006A4E99" w:rsidRPr="006A4E99" w:rsidRDefault="006A4E99" w:rsidP="006A4E99">
      <w:pPr>
        <w:ind w:left="720"/>
        <w:rPr>
          <w:b/>
        </w:rPr>
      </w:pPr>
      <w:r w:rsidRPr="006A4E99">
        <w:rPr>
          <w:b/>
        </w:rPr>
        <w:t>Staff Response</w:t>
      </w:r>
    </w:p>
    <w:p w14:paraId="6BD653AC" w14:textId="31E027A1" w:rsidR="006A4E99" w:rsidRPr="006A4E99" w:rsidRDefault="006A4E99" w:rsidP="006A4E99">
      <w:pPr>
        <w:pStyle w:val="ListParagraph"/>
        <w:spacing w:after="0" w:line="240" w:lineRule="auto"/>
        <w:rPr>
          <w:rFonts w:ascii="Times New Roman" w:hAnsi="Times New Roman"/>
          <w:sz w:val="24"/>
          <w:szCs w:val="24"/>
        </w:rPr>
      </w:pPr>
      <w:r w:rsidRPr="006A4E99">
        <w:rPr>
          <w:rFonts w:ascii="Times New Roman" w:hAnsi="Times New Roman"/>
          <w:sz w:val="24"/>
          <w:szCs w:val="24"/>
        </w:rPr>
        <w:t xml:space="preserve">The cost of the generators and the developer’s contribution to that cost are considered in a rate case. </w:t>
      </w:r>
      <w:r w:rsidR="00A303A9">
        <w:rPr>
          <w:rFonts w:ascii="Times New Roman" w:hAnsi="Times New Roman"/>
          <w:sz w:val="24"/>
          <w:szCs w:val="24"/>
        </w:rPr>
        <w:t xml:space="preserve">Staff removed </w:t>
      </w:r>
      <w:r w:rsidRPr="006A4E99">
        <w:rPr>
          <w:rFonts w:ascii="Times New Roman" w:hAnsi="Times New Roman"/>
          <w:sz w:val="24"/>
          <w:szCs w:val="24"/>
        </w:rPr>
        <w:t xml:space="preserve">contributed cost from the overall cost of providing service, and </w:t>
      </w:r>
      <w:r w:rsidR="00A303A9">
        <w:rPr>
          <w:rFonts w:ascii="Times New Roman" w:hAnsi="Times New Roman"/>
          <w:sz w:val="24"/>
          <w:szCs w:val="24"/>
        </w:rPr>
        <w:t xml:space="preserve">it </w:t>
      </w:r>
      <w:r w:rsidRPr="006A4E99">
        <w:rPr>
          <w:rFonts w:ascii="Times New Roman" w:hAnsi="Times New Roman"/>
          <w:sz w:val="24"/>
          <w:szCs w:val="24"/>
        </w:rPr>
        <w:t xml:space="preserve">is not </w:t>
      </w:r>
      <w:r w:rsidR="00A303A9">
        <w:rPr>
          <w:rFonts w:ascii="Times New Roman" w:hAnsi="Times New Roman"/>
          <w:sz w:val="24"/>
          <w:szCs w:val="24"/>
        </w:rPr>
        <w:t>included in</w:t>
      </w:r>
      <w:r w:rsidRPr="006A4E99">
        <w:rPr>
          <w:rFonts w:ascii="Times New Roman" w:hAnsi="Times New Roman"/>
          <w:sz w:val="24"/>
          <w:szCs w:val="24"/>
        </w:rPr>
        <w:t xml:space="preserve"> the rates charged to customers.</w:t>
      </w:r>
    </w:p>
    <w:p w14:paraId="644A5029" w14:textId="77777777" w:rsidR="00841F3C" w:rsidRPr="006A4E99" w:rsidRDefault="00841F3C" w:rsidP="00E04176">
      <w:pPr>
        <w:pStyle w:val="ListParagraph"/>
        <w:spacing w:after="0" w:line="240" w:lineRule="auto"/>
        <w:ind w:left="0"/>
        <w:rPr>
          <w:rFonts w:ascii="Times New Roman" w:hAnsi="Times New Roman"/>
        </w:rPr>
      </w:pPr>
    </w:p>
    <w:p w14:paraId="76AAE5E9" w14:textId="16DFC9E5" w:rsidR="006612F2" w:rsidRDefault="003F651E">
      <w:pPr>
        <w:spacing w:after="200" w:line="276" w:lineRule="auto"/>
        <w:rPr>
          <w:b/>
          <w:u w:val="single"/>
        </w:rPr>
      </w:pPr>
      <w:r w:rsidRPr="00F2747D">
        <w:t>Current</w:t>
      </w:r>
      <w:r>
        <w:t>,</w:t>
      </w:r>
      <w:r w:rsidRPr="00F2747D">
        <w:t xml:space="preserve"> proposed </w:t>
      </w:r>
      <w:r>
        <w:t xml:space="preserve">and revised </w:t>
      </w:r>
      <w:r w:rsidRPr="00F2747D">
        <w:t>rates are shown below</w:t>
      </w:r>
      <w:r w:rsidR="00692E5A">
        <w:t>:</w:t>
      </w:r>
    </w:p>
    <w:p w14:paraId="6707EDBD" w14:textId="281632E3" w:rsidR="00640061" w:rsidRDefault="00640061" w:rsidP="000F032E">
      <w:pPr>
        <w:spacing w:after="200"/>
        <w:jc w:val="center"/>
        <w:rPr>
          <w:b/>
          <w:u w:val="single"/>
        </w:rPr>
      </w:pPr>
      <w:r w:rsidRPr="00450175">
        <w:rPr>
          <w:b/>
          <w:u w:val="single"/>
        </w:rPr>
        <w:t>Rate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164"/>
        <w:gridCol w:w="1176"/>
        <w:gridCol w:w="2250"/>
        <w:gridCol w:w="2178"/>
      </w:tblGrid>
      <w:tr w:rsidR="000345FA" w:rsidRPr="009270B9" w14:paraId="6707EDC1" w14:textId="1DC9D425" w:rsidTr="00C62E98">
        <w:tc>
          <w:tcPr>
            <w:tcW w:w="1466" w:type="pct"/>
            <w:vAlign w:val="center"/>
          </w:tcPr>
          <w:p w14:paraId="46C27581" w14:textId="77777777" w:rsidR="000804D9" w:rsidRDefault="000804D9">
            <w:pPr>
              <w:keepNext/>
              <w:widowControl w:val="0"/>
              <w:autoSpaceDE w:val="0"/>
              <w:autoSpaceDN w:val="0"/>
              <w:adjustRightInd w:val="0"/>
              <w:jc w:val="center"/>
              <w:outlineLvl w:val="0"/>
              <w:rPr>
                <w:rFonts w:eastAsia="Times New Roman"/>
                <w:b/>
                <w:lang w:bidi="ar-SA"/>
              </w:rPr>
            </w:pPr>
          </w:p>
          <w:p w14:paraId="6707EDBE" w14:textId="32A2D7AC" w:rsidR="000345FA" w:rsidRPr="009270B9" w:rsidRDefault="000345FA">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p>
        </w:tc>
        <w:tc>
          <w:tcPr>
            <w:tcW w:w="608" w:type="pct"/>
            <w:shd w:val="clear" w:color="auto" w:fill="F2F2F2" w:themeFill="background1" w:themeFillShade="F2"/>
            <w:vAlign w:val="center"/>
          </w:tcPr>
          <w:p w14:paraId="6707EDBF" w14:textId="77777777" w:rsidR="000345FA" w:rsidRPr="009270B9" w:rsidRDefault="000345FA">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614" w:type="pct"/>
            <w:shd w:val="clear" w:color="auto" w:fill="F2F2F2" w:themeFill="background1" w:themeFillShade="F2"/>
            <w:vAlign w:val="center"/>
          </w:tcPr>
          <w:p w14:paraId="6707EDC0" w14:textId="77777777" w:rsidR="000345FA" w:rsidRPr="009270B9" w:rsidRDefault="000345FA">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c>
          <w:tcPr>
            <w:tcW w:w="1175" w:type="pct"/>
            <w:shd w:val="clear" w:color="auto" w:fill="F2F2F2" w:themeFill="background1" w:themeFillShade="F2"/>
            <w:vAlign w:val="center"/>
          </w:tcPr>
          <w:p w14:paraId="6A0045DA" w14:textId="5708AA54" w:rsidR="000345FA" w:rsidRDefault="000345FA">
            <w:pPr>
              <w:widowControl w:val="0"/>
              <w:autoSpaceDE w:val="0"/>
              <w:autoSpaceDN w:val="0"/>
              <w:adjustRightInd w:val="0"/>
              <w:jc w:val="center"/>
              <w:rPr>
                <w:rFonts w:eastAsia="Times New Roman"/>
                <w:b/>
                <w:lang w:bidi="ar-SA"/>
              </w:rPr>
            </w:pPr>
            <w:r>
              <w:rPr>
                <w:rFonts w:eastAsia="Times New Roman"/>
                <w:b/>
                <w:lang w:bidi="ar-SA"/>
              </w:rPr>
              <w:t xml:space="preserve">Revised Rate </w:t>
            </w:r>
            <w:r w:rsidR="000804D9">
              <w:rPr>
                <w:rFonts w:eastAsia="Times New Roman"/>
                <w:b/>
                <w:lang w:bidi="ar-SA"/>
              </w:rPr>
              <w:t xml:space="preserve">Effective December 20, 2012, </w:t>
            </w:r>
            <w:r w:rsidR="00692E5A">
              <w:rPr>
                <w:rFonts w:eastAsia="Times New Roman"/>
                <w:b/>
                <w:lang w:bidi="ar-SA"/>
              </w:rPr>
              <w:t>Through</w:t>
            </w:r>
            <w:r w:rsidR="000804D9">
              <w:rPr>
                <w:rFonts w:eastAsia="Times New Roman"/>
                <w:b/>
                <w:lang w:bidi="ar-SA"/>
              </w:rPr>
              <w:t xml:space="preserve">  </w:t>
            </w:r>
            <w:r>
              <w:rPr>
                <w:rFonts w:eastAsia="Times New Roman"/>
                <w:b/>
                <w:lang w:bidi="ar-SA"/>
              </w:rPr>
              <w:t>December 1</w:t>
            </w:r>
            <w:r w:rsidR="003D33C1">
              <w:rPr>
                <w:rFonts w:eastAsia="Times New Roman"/>
                <w:b/>
                <w:lang w:bidi="ar-SA"/>
              </w:rPr>
              <w:t>9</w:t>
            </w:r>
            <w:r>
              <w:rPr>
                <w:rFonts w:eastAsia="Times New Roman"/>
                <w:b/>
                <w:lang w:bidi="ar-SA"/>
              </w:rPr>
              <w:t>, 2013</w:t>
            </w:r>
          </w:p>
        </w:tc>
        <w:tc>
          <w:tcPr>
            <w:tcW w:w="1137" w:type="pct"/>
            <w:shd w:val="clear" w:color="auto" w:fill="F2F2F2" w:themeFill="background1" w:themeFillShade="F2"/>
            <w:vAlign w:val="center"/>
          </w:tcPr>
          <w:p w14:paraId="62DC471D" w14:textId="027B34D5" w:rsidR="000345FA" w:rsidRPr="009270B9" w:rsidRDefault="000345FA">
            <w:pPr>
              <w:widowControl w:val="0"/>
              <w:autoSpaceDE w:val="0"/>
              <w:autoSpaceDN w:val="0"/>
              <w:adjustRightInd w:val="0"/>
              <w:jc w:val="center"/>
              <w:rPr>
                <w:rFonts w:eastAsia="Times New Roman"/>
                <w:b/>
                <w:lang w:bidi="ar-SA"/>
              </w:rPr>
            </w:pPr>
            <w:r>
              <w:rPr>
                <w:rFonts w:eastAsia="Times New Roman"/>
                <w:b/>
                <w:lang w:bidi="ar-SA"/>
              </w:rPr>
              <w:t xml:space="preserve">Revised Rate </w:t>
            </w:r>
            <w:r w:rsidR="000804D9">
              <w:rPr>
                <w:rFonts w:eastAsia="Times New Roman"/>
                <w:b/>
                <w:lang w:bidi="ar-SA"/>
              </w:rPr>
              <w:t>Effective</w:t>
            </w:r>
            <w:r>
              <w:rPr>
                <w:rFonts w:eastAsia="Times New Roman"/>
                <w:b/>
                <w:lang w:bidi="ar-SA"/>
              </w:rPr>
              <w:t xml:space="preserve"> </w:t>
            </w:r>
            <w:r w:rsidR="003D33C1">
              <w:rPr>
                <w:rFonts w:eastAsia="Times New Roman"/>
                <w:b/>
                <w:lang w:bidi="ar-SA"/>
              </w:rPr>
              <w:t>December 20</w:t>
            </w:r>
            <w:r>
              <w:rPr>
                <w:rFonts w:eastAsia="Times New Roman"/>
                <w:b/>
                <w:lang w:bidi="ar-SA"/>
              </w:rPr>
              <w:t>, 201</w:t>
            </w:r>
            <w:r w:rsidR="003D33C1">
              <w:rPr>
                <w:rFonts w:eastAsia="Times New Roman"/>
                <w:b/>
                <w:lang w:bidi="ar-SA"/>
              </w:rPr>
              <w:t>3</w:t>
            </w:r>
          </w:p>
        </w:tc>
      </w:tr>
      <w:tr w:rsidR="000345FA" w:rsidRPr="009270B9" w14:paraId="6707EDC9" w14:textId="37A0FBCD" w:rsidTr="000345FA">
        <w:tc>
          <w:tcPr>
            <w:tcW w:w="1466" w:type="pct"/>
          </w:tcPr>
          <w:p w14:paraId="6707EDC6" w14:textId="331D5CCF" w:rsidR="000345FA" w:rsidRPr="009270B9" w:rsidRDefault="000345FA" w:rsidP="00BE09BD">
            <w:pPr>
              <w:keepNext/>
              <w:widowControl w:val="0"/>
              <w:autoSpaceDE w:val="0"/>
              <w:autoSpaceDN w:val="0"/>
              <w:adjustRightInd w:val="0"/>
              <w:outlineLvl w:val="0"/>
              <w:rPr>
                <w:rFonts w:eastAsia="Times New Roman"/>
                <w:lang w:bidi="ar-SA"/>
              </w:rPr>
            </w:pPr>
            <w:r>
              <w:rPr>
                <w:rFonts w:eastAsia="Times New Roman"/>
                <w:lang w:bidi="ar-SA"/>
              </w:rPr>
              <w:t xml:space="preserve">Base Rate (1-inch) </w:t>
            </w:r>
          </w:p>
        </w:tc>
        <w:tc>
          <w:tcPr>
            <w:tcW w:w="608" w:type="pct"/>
          </w:tcPr>
          <w:p w14:paraId="6707EDC7" w14:textId="4F3C500A" w:rsidR="000345FA" w:rsidRPr="009270B9" w:rsidRDefault="000345FA" w:rsidP="00AA3232">
            <w:pPr>
              <w:widowControl w:val="0"/>
              <w:autoSpaceDE w:val="0"/>
              <w:autoSpaceDN w:val="0"/>
              <w:adjustRightInd w:val="0"/>
              <w:jc w:val="center"/>
              <w:rPr>
                <w:rFonts w:eastAsia="Times New Roman"/>
                <w:lang w:bidi="ar-SA"/>
              </w:rPr>
            </w:pPr>
            <w:r>
              <w:rPr>
                <w:rFonts w:eastAsia="Times New Roman"/>
                <w:lang w:bidi="ar-SA"/>
              </w:rPr>
              <w:t>$42.50</w:t>
            </w:r>
          </w:p>
        </w:tc>
        <w:tc>
          <w:tcPr>
            <w:tcW w:w="614" w:type="pct"/>
          </w:tcPr>
          <w:p w14:paraId="6707EDC8" w14:textId="754CD61C" w:rsidR="000345FA" w:rsidRPr="009270B9" w:rsidRDefault="000345FA" w:rsidP="00AA3232">
            <w:pPr>
              <w:widowControl w:val="0"/>
              <w:autoSpaceDE w:val="0"/>
              <w:autoSpaceDN w:val="0"/>
              <w:adjustRightInd w:val="0"/>
              <w:jc w:val="center"/>
              <w:rPr>
                <w:rFonts w:eastAsia="Times New Roman"/>
                <w:lang w:bidi="ar-SA"/>
              </w:rPr>
            </w:pPr>
            <w:r>
              <w:rPr>
                <w:rFonts w:eastAsia="Times New Roman"/>
                <w:lang w:bidi="ar-SA"/>
              </w:rPr>
              <w:t>$46.75</w:t>
            </w:r>
          </w:p>
        </w:tc>
        <w:tc>
          <w:tcPr>
            <w:tcW w:w="1175" w:type="pct"/>
          </w:tcPr>
          <w:p w14:paraId="2B383F96" w14:textId="017D2CAE" w:rsidR="000345FA" w:rsidRDefault="000345FA" w:rsidP="00AA3232">
            <w:pPr>
              <w:widowControl w:val="0"/>
              <w:autoSpaceDE w:val="0"/>
              <w:autoSpaceDN w:val="0"/>
              <w:adjustRightInd w:val="0"/>
              <w:jc w:val="center"/>
              <w:rPr>
                <w:rFonts w:eastAsia="Times New Roman"/>
                <w:lang w:bidi="ar-SA"/>
              </w:rPr>
            </w:pPr>
            <w:r>
              <w:rPr>
                <w:rFonts w:eastAsia="Times New Roman"/>
                <w:lang w:bidi="ar-SA"/>
              </w:rPr>
              <w:t>$46.75</w:t>
            </w:r>
          </w:p>
        </w:tc>
        <w:tc>
          <w:tcPr>
            <w:tcW w:w="1137" w:type="pct"/>
          </w:tcPr>
          <w:p w14:paraId="35E8C043" w14:textId="2FD8CCDE" w:rsidR="000345FA" w:rsidRDefault="000345FA" w:rsidP="00AA3232">
            <w:pPr>
              <w:widowControl w:val="0"/>
              <w:autoSpaceDE w:val="0"/>
              <w:autoSpaceDN w:val="0"/>
              <w:adjustRightInd w:val="0"/>
              <w:jc w:val="center"/>
              <w:rPr>
                <w:rFonts w:eastAsia="Times New Roman"/>
                <w:lang w:bidi="ar-SA"/>
              </w:rPr>
            </w:pPr>
            <w:r>
              <w:rPr>
                <w:rFonts w:eastAsia="Times New Roman"/>
                <w:lang w:bidi="ar-SA"/>
              </w:rPr>
              <w:t>$46.75</w:t>
            </w:r>
          </w:p>
        </w:tc>
      </w:tr>
      <w:tr w:rsidR="000345FA" w:rsidRPr="009270B9" w14:paraId="6707EDCD" w14:textId="3D24AD8C" w:rsidTr="000345FA">
        <w:tc>
          <w:tcPr>
            <w:tcW w:w="1466" w:type="pct"/>
          </w:tcPr>
          <w:p w14:paraId="6707EDCA" w14:textId="40EF1CE2" w:rsidR="000345FA" w:rsidRPr="009270B9" w:rsidRDefault="000345FA" w:rsidP="00AA3232">
            <w:pPr>
              <w:widowControl w:val="0"/>
              <w:autoSpaceDE w:val="0"/>
              <w:autoSpaceDN w:val="0"/>
              <w:adjustRightInd w:val="0"/>
              <w:rPr>
                <w:rFonts w:eastAsia="Times New Roman"/>
                <w:lang w:bidi="ar-SA"/>
              </w:rPr>
            </w:pPr>
            <w:r w:rsidRPr="009270B9">
              <w:rPr>
                <w:rFonts w:eastAsia="Times New Roman"/>
                <w:lang w:bidi="ar-SA"/>
              </w:rPr>
              <w:t xml:space="preserve">0 – </w:t>
            </w:r>
            <w:r>
              <w:rPr>
                <w:rFonts w:eastAsia="Times New Roman"/>
                <w:lang w:bidi="ar-SA"/>
              </w:rPr>
              <w:t>1,0</w:t>
            </w:r>
            <w:r w:rsidRPr="009270B9">
              <w:rPr>
                <w:rFonts w:eastAsia="Times New Roman"/>
                <w:lang w:bidi="ar-SA"/>
              </w:rPr>
              <w:t>00 Cubic Feet</w:t>
            </w:r>
            <w:r>
              <w:rPr>
                <w:rFonts w:eastAsia="Times New Roman"/>
                <w:lang w:bidi="ar-SA"/>
              </w:rPr>
              <w:t>*</w:t>
            </w:r>
          </w:p>
        </w:tc>
        <w:tc>
          <w:tcPr>
            <w:tcW w:w="608" w:type="pct"/>
          </w:tcPr>
          <w:p w14:paraId="6707EDCB" w14:textId="2A6047BC" w:rsidR="000345FA" w:rsidRPr="009270B9" w:rsidRDefault="000345FA" w:rsidP="001811BA">
            <w:pPr>
              <w:widowControl w:val="0"/>
              <w:autoSpaceDE w:val="0"/>
              <w:autoSpaceDN w:val="0"/>
              <w:adjustRightInd w:val="0"/>
              <w:jc w:val="center"/>
              <w:rPr>
                <w:rFonts w:eastAsia="Times New Roman"/>
                <w:lang w:bidi="ar-SA"/>
              </w:rPr>
            </w:pPr>
            <w:r>
              <w:rPr>
                <w:rFonts w:eastAsia="Times New Roman"/>
                <w:lang w:bidi="ar-SA"/>
              </w:rPr>
              <w:t>$9.00</w:t>
            </w:r>
          </w:p>
        </w:tc>
        <w:tc>
          <w:tcPr>
            <w:tcW w:w="614" w:type="pct"/>
          </w:tcPr>
          <w:p w14:paraId="6707EDCC" w14:textId="5E31894C" w:rsidR="000345FA" w:rsidRPr="009270B9" w:rsidRDefault="000345FA" w:rsidP="001811BA">
            <w:pPr>
              <w:widowControl w:val="0"/>
              <w:autoSpaceDE w:val="0"/>
              <w:autoSpaceDN w:val="0"/>
              <w:adjustRightInd w:val="0"/>
              <w:jc w:val="center"/>
              <w:rPr>
                <w:rFonts w:eastAsia="Times New Roman"/>
                <w:lang w:bidi="ar-SA"/>
              </w:rPr>
            </w:pPr>
            <w:r>
              <w:rPr>
                <w:rFonts w:eastAsia="Times New Roman"/>
                <w:lang w:bidi="ar-SA"/>
              </w:rPr>
              <w:t>$11.50</w:t>
            </w:r>
          </w:p>
        </w:tc>
        <w:tc>
          <w:tcPr>
            <w:tcW w:w="1175" w:type="pct"/>
          </w:tcPr>
          <w:p w14:paraId="119D8ED8" w14:textId="3A27B055" w:rsidR="000345FA" w:rsidRDefault="000345FA" w:rsidP="001811BA">
            <w:pPr>
              <w:widowControl w:val="0"/>
              <w:autoSpaceDE w:val="0"/>
              <w:autoSpaceDN w:val="0"/>
              <w:adjustRightInd w:val="0"/>
              <w:jc w:val="center"/>
              <w:rPr>
                <w:rFonts w:eastAsia="Times New Roman"/>
                <w:lang w:bidi="ar-SA"/>
              </w:rPr>
            </w:pPr>
            <w:r>
              <w:rPr>
                <w:rFonts w:eastAsia="Times New Roman"/>
                <w:lang w:bidi="ar-SA"/>
              </w:rPr>
              <w:t>NA</w:t>
            </w:r>
          </w:p>
        </w:tc>
        <w:tc>
          <w:tcPr>
            <w:tcW w:w="1137" w:type="pct"/>
          </w:tcPr>
          <w:p w14:paraId="43229A38" w14:textId="0D4455D5" w:rsidR="000345FA" w:rsidRDefault="000345FA" w:rsidP="001811BA">
            <w:pPr>
              <w:widowControl w:val="0"/>
              <w:autoSpaceDE w:val="0"/>
              <w:autoSpaceDN w:val="0"/>
              <w:adjustRightInd w:val="0"/>
              <w:jc w:val="center"/>
              <w:rPr>
                <w:rFonts w:eastAsia="Times New Roman"/>
                <w:lang w:bidi="ar-SA"/>
              </w:rPr>
            </w:pPr>
            <w:r>
              <w:rPr>
                <w:rFonts w:eastAsia="Times New Roman"/>
                <w:lang w:bidi="ar-SA"/>
              </w:rPr>
              <w:t>NA</w:t>
            </w:r>
          </w:p>
        </w:tc>
      </w:tr>
      <w:tr w:rsidR="000345FA" w:rsidRPr="009270B9" w14:paraId="333C06AE" w14:textId="77777777" w:rsidTr="000345FA">
        <w:tc>
          <w:tcPr>
            <w:tcW w:w="1466" w:type="pct"/>
          </w:tcPr>
          <w:p w14:paraId="3EC14F67" w14:textId="315E30F4" w:rsidR="000345FA" w:rsidRPr="009270B9" w:rsidRDefault="00EC3CFF" w:rsidP="00727D34">
            <w:pPr>
              <w:widowControl w:val="0"/>
              <w:autoSpaceDE w:val="0"/>
              <w:autoSpaceDN w:val="0"/>
              <w:adjustRightInd w:val="0"/>
              <w:rPr>
                <w:rFonts w:eastAsia="Times New Roman"/>
                <w:lang w:bidi="ar-SA"/>
              </w:rPr>
            </w:pPr>
            <w:r>
              <w:rPr>
                <w:rFonts w:eastAsia="Times New Roman"/>
                <w:lang w:bidi="ar-SA"/>
              </w:rPr>
              <w:t xml:space="preserve">0 – 500 Cubic Feet </w:t>
            </w:r>
          </w:p>
        </w:tc>
        <w:tc>
          <w:tcPr>
            <w:tcW w:w="608" w:type="pct"/>
          </w:tcPr>
          <w:p w14:paraId="1910015B" w14:textId="1CF648F3" w:rsidR="000345FA" w:rsidRDefault="000345FA" w:rsidP="00FF2585">
            <w:pPr>
              <w:widowControl w:val="0"/>
              <w:autoSpaceDE w:val="0"/>
              <w:autoSpaceDN w:val="0"/>
              <w:adjustRightInd w:val="0"/>
              <w:jc w:val="center"/>
              <w:rPr>
                <w:rFonts w:eastAsia="Times New Roman"/>
                <w:lang w:bidi="ar-SA"/>
              </w:rPr>
            </w:pPr>
            <w:r>
              <w:rPr>
                <w:rFonts w:eastAsia="Times New Roman"/>
                <w:lang w:bidi="ar-SA"/>
              </w:rPr>
              <w:t>NA</w:t>
            </w:r>
          </w:p>
        </w:tc>
        <w:tc>
          <w:tcPr>
            <w:tcW w:w="614" w:type="pct"/>
          </w:tcPr>
          <w:p w14:paraId="1610B8DB" w14:textId="4F7005DB" w:rsidR="000345FA" w:rsidRDefault="000345FA" w:rsidP="00FF2585">
            <w:pPr>
              <w:widowControl w:val="0"/>
              <w:autoSpaceDE w:val="0"/>
              <w:autoSpaceDN w:val="0"/>
              <w:adjustRightInd w:val="0"/>
              <w:jc w:val="center"/>
              <w:rPr>
                <w:rFonts w:eastAsia="Times New Roman"/>
                <w:lang w:bidi="ar-SA"/>
              </w:rPr>
            </w:pPr>
            <w:r>
              <w:rPr>
                <w:rFonts w:eastAsia="Times New Roman"/>
                <w:lang w:bidi="ar-SA"/>
              </w:rPr>
              <w:t>NA</w:t>
            </w:r>
          </w:p>
        </w:tc>
        <w:tc>
          <w:tcPr>
            <w:tcW w:w="1175" w:type="pct"/>
          </w:tcPr>
          <w:p w14:paraId="444A58F5" w14:textId="0588C6ED" w:rsidR="000345FA" w:rsidRDefault="000345FA" w:rsidP="00FF2585">
            <w:pPr>
              <w:widowControl w:val="0"/>
              <w:autoSpaceDE w:val="0"/>
              <w:autoSpaceDN w:val="0"/>
              <w:adjustRightInd w:val="0"/>
              <w:jc w:val="center"/>
              <w:rPr>
                <w:rFonts w:eastAsia="Times New Roman"/>
                <w:lang w:bidi="ar-SA"/>
              </w:rPr>
            </w:pPr>
            <w:r>
              <w:rPr>
                <w:rFonts w:eastAsia="Times New Roman"/>
                <w:lang w:bidi="ar-SA"/>
              </w:rPr>
              <w:t>$5.75</w:t>
            </w:r>
            <w:r w:rsidR="00EC3CFF">
              <w:rPr>
                <w:rFonts w:eastAsia="Times New Roman"/>
                <w:lang w:bidi="ar-SA"/>
              </w:rPr>
              <w:t xml:space="preserve"> *</w:t>
            </w:r>
            <w:r>
              <w:rPr>
                <w:rFonts w:eastAsia="Times New Roman"/>
                <w:lang w:bidi="ar-SA"/>
              </w:rPr>
              <w:t xml:space="preserve"> </w:t>
            </w:r>
          </w:p>
        </w:tc>
        <w:tc>
          <w:tcPr>
            <w:tcW w:w="1137" w:type="pct"/>
          </w:tcPr>
          <w:p w14:paraId="1A907743" w14:textId="6B44341B" w:rsidR="000345FA" w:rsidRDefault="000345FA" w:rsidP="00FF2585">
            <w:pPr>
              <w:widowControl w:val="0"/>
              <w:autoSpaceDE w:val="0"/>
              <w:autoSpaceDN w:val="0"/>
              <w:adjustRightInd w:val="0"/>
              <w:jc w:val="center"/>
              <w:rPr>
                <w:rFonts w:eastAsia="Times New Roman"/>
                <w:lang w:bidi="ar-SA"/>
              </w:rPr>
            </w:pPr>
            <w:r>
              <w:rPr>
                <w:rFonts w:eastAsia="Times New Roman"/>
                <w:lang w:bidi="ar-SA"/>
              </w:rPr>
              <w:t>$1.15</w:t>
            </w:r>
            <w:r w:rsidR="00EC3CFF">
              <w:rPr>
                <w:rFonts w:eastAsia="Times New Roman"/>
                <w:lang w:bidi="ar-SA"/>
              </w:rPr>
              <w:t xml:space="preserve"> **</w:t>
            </w:r>
          </w:p>
        </w:tc>
      </w:tr>
      <w:tr w:rsidR="000345FA" w:rsidRPr="009270B9" w14:paraId="23BA6A3B" w14:textId="77777777" w:rsidTr="000345FA">
        <w:tc>
          <w:tcPr>
            <w:tcW w:w="1466" w:type="pct"/>
          </w:tcPr>
          <w:p w14:paraId="3F1EF4E0" w14:textId="32ED29F9" w:rsidR="000345FA" w:rsidRDefault="000345FA" w:rsidP="00727D34">
            <w:pPr>
              <w:widowControl w:val="0"/>
              <w:autoSpaceDE w:val="0"/>
              <w:autoSpaceDN w:val="0"/>
              <w:adjustRightInd w:val="0"/>
              <w:rPr>
                <w:rFonts w:eastAsia="Times New Roman"/>
                <w:lang w:bidi="ar-SA"/>
              </w:rPr>
            </w:pPr>
            <w:r>
              <w:rPr>
                <w:rFonts w:eastAsia="Times New Roman"/>
                <w:lang w:bidi="ar-SA"/>
              </w:rPr>
              <w:t>50</w:t>
            </w:r>
            <w:r w:rsidRPr="009270B9">
              <w:rPr>
                <w:rFonts w:eastAsia="Times New Roman"/>
                <w:lang w:bidi="ar-SA"/>
              </w:rPr>
              <w:t>0</w:t>
            </w:r>
            <w:r>
              <w:rPr>
                <w:rFonts w:eastAsia="Times New Roman"/>
                <w:lang w:bidi="ar-SA"/>
              </w:rPr>
              <w:t xml:space="preserve"> </w:t>
            </w:r>
            <w:r w:rsidRPr="009270B9">
              <w:rPr>
                <w:rFonts w:eastAsia="Times New Roman"/>
                <w:lang w:bidi="ar-SA"/>
              </w:rPr>
              <w:t>–</w:t>
            </w:r>
            <w:r>
              <w:rPr>
                <w:rFonts w:eastAsia="Times New Roman"/>
                <w:lang w:bidi="ar-SA"/>
              </w:rPr>
              <w:t xml:space="preserve"> 1,0</w:t>
            </w:r>
            <w:r w:rsidRPr="009270B9">
              <w:rPr>
                <w:rFonts w:eastAsia="Times New Roman"/>
                <w:lang w:bidi="ar-SA"/>
              </w:rPr>
              <w:t>00 Cubic Feet</w:t>
            </w:r>
            <w:r>
              <w:rPr>
                <w:rFonts w:eastAsia="Times New Roman"/>
                <w:lang w:bidi="ar-SA"/>
              </w:rPr>
              <w:t xml:space="preserve"> **</w:t>
            </w:r>
          </w:p>
        </w:tc>
        <w:tc>
          <w:tcPr>
            <w:tcW w:w="608" w:type="pct"/>
          </w:tcPr>
          <w:p w14:paraId="21A4FCC9" w14:textId="70EE4B9B" w:rsidR="000345FA" w:rsidRPr="009270B9" w:rsidRDefault="000345FA" w:rsidP="00FF2585">
            <w:pPr>
              <w:widowControl w:val="0"/>
              <w:autoSpaceDE w:val="0"/>
              <w:autoSpaceDN w:val="0"/>
              <w:adjustRightInd w:val="0"/>
              <w:jc w:val="center"/>
              <w:rPr>
                <w:rFonts w:eastAsia="Times New Roman"/>
                <w:lang w:bidi="ar-SA"/>
              </w:rPr>
            </w:pPr>
            <w:r>
              <w:rPr>
                <w:rFonts w:eastAsia="Times New Roman"/>
                <w:lang w:bidi="ar-SA"/>
              </w:rPr>
              <w:t>NA</w:t>
            </w:r>
          </w:p>
        </w:tc>
        <w:tc>
          <w:tcPr>
            <w:tcW w:w="614" w:type="pct"/>
          </w:tcPr>
          <w:p w14:paraId="51827978" w14:textId="64635383" w:rsidR="000345FA" w:rsidRDefault="000345FA" w:rsidP="00FF2585">
            <w:pPr>
              <w:widowControl w:val="0"/>
              <w:autoSpaceDE w:val="0"/>
              <w:autoSpaceDN w:val="0"/>
              <w:adjustRightInd w:val="0"/>
              <w:jc w:val="center"/>
              <w:rPr>
                <w:rFonts w:eastAsia="Times New Roman"/>
                <w:lang w:bidi="ar-SA"/>
              </w:rPr>
            </w:pPr>
            <w:r>
              <w:rPr>
                <w:rFonts w:eastAsia="Times New Roman"/>
                <w:lang w:bidi="ar-SA"/>
              </w:rPr>
              <w:t>NA</w:t>
            </w:r>
          </w:p>
        </w:tc>
        <w:tc>
          <w:tcPr>
            <w:tcW w:w="1175" w:type="pct"/>
          </w:tcPr>
          <w:p w14:paraId="7EE30F49" w14:textId="44206A7F" w:rsidR="000345FA" w:rsidRDefault="00EC3CFF" w:rsidP="00FF2585">
            <w:pPr>
              <w:widowControl w:val="0"/>
              <w:autoSpaceDE w:val="0"/>
              <w:autoSpaceDN w:val="0"/>
              <w:adjustRightInd w:val="0"/>
              <w:jc w:val="center"/>
              <w:rPr>
                <w:rFonts w:eastAsia="Times New Roman"/>
                <w:lang w:bidi="ar-SA"/>
              </w:rPr>
            </w:pPr>
            <w:r>
              <w:rPr>
                <w:rFonts w:eastAsia="Times New Roman"/>
                <w:lang w:bidi="ar-SA"/>
              </w:rPr>
              <w:t>$1.15</w:t>
            </w:r>
          </w:p>
        </w:tc>
        <w:tc>
          <w:tcPr>
            <w:tcW w:w="1137" w:type="pct"/>
          </w:tcPr>
          <w:p w14:paraId="157AD141" w14:textId="73437B6E" w:rsidR="000345FA" w:rsidRDefault="000345FA" w:rsidP="00FF2585">
            <w:pPr>
              <w:widowControl w:val="0"/>
              <w:autoSpaceDE w:val="0"/>
              <w:autoSpaceDN w:val="0"/>
              <w:adjustRightInd w:val="0"/>
              <w:jc w:val="center"/>
              <w:rPr>
                <w:rFonts w:eastAsia="Times New Roman"/>
                <w:lang w:bidi="ar-SA"/>
              </w:rPr>
            </w:pPr>
            <w:r>
              <w:rPr>
                <w:rFonts w:eastAsia="Times New Roman"/>
                <w:lang w:bidi="ar-SA"/>
              </w:rPr>
              <w:t>$1.15</w:t>
            </w:r>
          </w:p>
        </w:tc>
      </w:tr>
      <w:tr w:rsidR="000345FA" w:rsidRPr="009270B9" w14:paraId="6707EDD1" w14:textId="21831F53" w:rsidTr="000345FA">
        <w:tc>
          <w:tcPr>
            <w:tcW w:w="1466" w:type="pct"/>
          </w:tcPr>
          <w:p w14:paraId="6707EDCE" w14:textId="2993C3E8" w:rsidR="000345FA" w:rsidRPr="009270B9" w:rsidRDefault="000345FA" w:rsidP="00AA3232">
            <w:pPr>
              <w:widowControl w:val="0"/>
              <w:autoSpaceDE w:val="0"/>
              <w:autoSpaceDN w:val="0"/>
              <w:adjustRightInd w:val="0"/>
              <w:rPr>
                <w:rFonts w:eastAsia="Times New Roman"/>
                <w:lang w:bidi="ar-SA"/>
              </w:rPr>
            </w:pPr>
            <w:r>
              <w:rPr>
                <w:rFonts w:eastAsia="Times New Roman"/>
                <w:lang w:bidi="ar-SA"/>
              </w:rPr>
              <w:t>Over</w:t>
            </w:r>
            <w:r w:rsidRPr="009270B9">
              <w:rPr>
                <w:rFonts w:eastAsia="Times New Roman"/>
                <w:lang w:bidi="ar-SA"/>
              </w:rPr>
              <w:t xml:space="preserve"> </w:t>
            </w:r>
            <w:r>
              <w:rPr>
                <w:rFonts w:eastAsia="Times New Roman"/>
                <w:lang w:bidi="ar-SA"/>
              </w:rPr>
              <w:t>1,0</w:t>
            </w:r>
            <w:r w:rsidRPr="009270B9">
              <w:rPr>
                <w:rFonts w:eastAsia="Times New Roman"/>
                <w:lang w:bidi="ar-SA"/>
              </w:rPr>
              <w:t>00 Cubic Feet</w:t>
            </w:r>
            <w:r>
              <w:rPr>
                <w:rFonts w:eastAsia="Times New Roman"/>
                <w:lang w:bidi="ar-SA"/>
              </w:rPr>
              <w:t xml:space="preserve"> **</w:t>
            </w:r>
          </w:p>
        </w:tc>
        <w:tc>
          <w:tcPr>
            <w:tcW w:w="608" w:type="pct"/>
          </w:tcPr>
          <w:p w14:paraId="6707EDCF" w14:textId="38215EC8" w:rsidR="000345FA" w:rsidRPr="009270B9" w:rsidRDefault="000345FA" w:rsidP="000F032E">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w:t>
            </w:r>
            <w:r w:rsidRPr="009270B9">
              <w:rPr>
                <w:rFonts w:eastAsia="Times New Roman"/>
                <w:lang w:bidi="ar-SA"/>
              </w:rPr>
              <w:t>.</w:t>
            </w:r>
            <w:r>
              <w:rPr>
                <w:rFonts w:eastAsia="Times New Roman"/>
                <w:lang w:bidi="ar-SA"/>
              </w:rPr>
              <w:t>00</w:t>
            </w:r>
          </w:p>
        </w:tc>
        <w:tc>
          <w:tcPr>
            <w:tcW w:w="614" w:type="pct"/>
          </w:tcPr>
          <w:p w14:paraId="6707EDD0" w14:textId="10B6A2F9" w:rsidR="000345FA" w:rsidRPr="009270B9" w:rsidRDefault="000345FA" w:rsidP="00AA3232">
            <w:pPr>
              <w:widowControl w:val="0"/>
              <w:autoSpaceDE w:val="0"/>
              <w:autoSpaceDN w:val="0"/>
              <w:adjustRightInd w:val="0"/>
              <w:jc w:val="center"/>
              <w:rPr>
                <w:rFonts w:eastAsia="Times New Roman"/>
                <w:lang w:bidi="ar-SA"/>
              </w:rPr>
            </w:pPr>
            <w:r>
              <w:rPr>
                <w:rFonts w:eastAsia="Times New Roman"/>
                <w:lang w:bidi="ar-SA"/>
              </w:rPr>
              <w:t>$2.80</w:t>
            </w:r>
          </w:p>
        </w:tc>
        <w:tc>
          <w:tcPr>
            <w:tcW w:w="1175" w:type="pct"/>
          </w:tcPr>
          <w:p w14:paraId="75167377" w14:textId="07DA96D0" w:rsidR="000345FA" w:rsidRDefault="00EC3CFF" w:rsidP="00AA3232">
            <w:pPr>
              <w:widowControl w:val="0"/>
              <w:autoSpaceDE w:val="0"/>
              <w:autoSpaceDN w:val="0"/>
              <w:adjustRightInd w:val="0"/>
              <w:jc w:val="center"/>
              <w:rPr>
                <w:rFonts w:eastAsia="Times New Roman"/>
                <w:lang w:bidi="ar-SA"/>
              </w:rPr>
            </w:pPr>
            <w:r>
              <w:rPr>
                <w:rFonts w:eastAsia="Times New Roman"/>
                <w:lang w:bidi="ar-SA"/>
              </w:rPr>
              <w:t>$2.80</w:t>
            </w:r>
          </w:p>
        </w:tc>
        <w:tc>
          <w:tcPr>
            <w:tcW w:w="1137" w:type="pct"/>
          </w:tcPr>
          <w:p w14:paraId="3E5589D8" w14:textId="67CE6C1D" w:rsidR="000345FA" w:rsidRDefault="000345FA" w:rsidP="00AA3232">
            <w:pPr>
              <w:widowControl w:val="0"/>
              <w:autoSpaceDE w:val="0"/>
              <w:autoSpaceDN w:val="0"/>
              <w:adjustRightInd w:val="0"/>
              <w:jc w:val="center"/>
              <w:rPr>
                <w:rFonts w:eastAsia="Times New Roman"/>
                <w:lang w:bidi="ar-SA"/>
              </w:rPr>
            </w:pPr>
            <w:r>
              <w:rPr>
                <w:rFonts w:eastAsia="Times New Roman"/>
                <w:lang w:bidi="ar-SA"/>
              </w:rPr>
              <w:t>$2.80</w:t>
            </w:r>
          </w:p>
        </w:tc>
      </w:tr>
      <w:tr w:rsidR="000345FA" w:rsidRPr="009270B9" w14:paraId="6707EDD5" w14:textId="72960360" w:rsidTr="000345FA">
        <w:tc>
          <w:tcPr>
            <w:tcW w:w="1466" w:type="pct"/>
          </w:tcPr>
          <w:p w14:paraId="6707EDD2" w14:textId="37BCBBDF" w:rsidR="000345FA" w:rsidRPr="009270B9" w:rsidRDefault="000345FA" w:rsidP="00AA3232">
            <w:pPr>
              <w:widowControl w:val="0"/>
              <w:autoSpaceDE w:val="0"/>
              <w:autoSpaceDN w:val="0"/>
              <w:adjustRightInd w:val="0"/>
              <w:rPr>
                <w:rFonts w:eastAsia="Times New Roman"/>
                <w:lang w:bidi="ar-SA"/>
              </w:rPr>
            </w:pPr>
            <w:r>
              <w:rPr>
                <w:rFonts w:eastAsia="Times New Roman"/>
                <w:lang w:bidi="ar-SA"/>
              </w:rPr>
              <w:t>Public Utility Tax</w:t>
            </w:r>
          </w:p>
        </w:tc>
        <w:tc>
          <w:tcPr>
            <w:tcW w:w="608" w:type="pct"/>
          </w:tcPr>
          <w:p w14:paraId="6707EDD3" w14:textId="76B10B1B" w:rsidR="000345FA" w:rsidRPr="009270B9" w:rsidRDefault="000345FA" w:rsidP="000F032E">
            <w:pPr>
              <w:widowControl w:val="0"/>
              <w:autoSpaceDE w:val="0"/>
              <w:autoSpaceDN w:val="0"/>
              <w:adjustRightInd w:val="0"/>
              <w:jc w:val="center"/>
              <w:rPr>
                <w:rFonts w:eastAsia="Times New Roman"/>
                <w:lang w:bidi="ar-SA"/>
              </w:rPr>
            </w:pPr>
            <w:r>
              <w:rPr>
                <w:rFonts w:eastAsia="Times New Roman"/>
                <w:lang w:bidi="ar-SA"/>
              </w:rPr>
              <w:t>NA</w:t>
            </w:r>
          </w:p>
        </w:tc>
        <w:tc>
          <w:tcPr>
            <w:tcW w:w="614" w:type="pct"/>
          </w:tcPr>
          <w:p w14:paraId="6707EDD4" w14:textId="132D0395" w:rsidR="000345FA" w:rsidRPr="009270B9" w:rsidRDefault="000345FA" w:rsidP="000F032E">
            <w:pPr>
              <w:widowControl w:val="0"/>
              <w:autoSpaceDE w:val="0"/>
              <w:autoSpaceDN w:val="0"/>
              <w:adjustRightInd w:val="0"/>
              <w:jc w:val="center"/>
              <w:rPr>
                <w:rFonts w:eastAsia="Times New Roman"/>
                <w:lang w:bidi="ar-SA"/>
              </w:rPr>
            </w:pPr>
            <w:r>
              <w:rPr>
                <w:rFonts w:eastAsia="Times New Roman"/>
                <w:lang w:bidi="ar-SA"/>
              </w:rPr>
              <w:t>5.029%</w:t>
            </w:r>
          </w:p>
        </w:tc>
        <w:tc>
          <w:tcPr>
            <w:tcW w:w="1175" w:type="pct"/>
          </w:tcPr>
          <w:p w14:paraId="584236F6" w14:textId="6480AA9F" w:rsidR="000345FA" w:rsidRDefault="00EC3CFF" w:rsidP="00EC3CFF">
            <w:pPr>
              <w:widowControl w:val="0"/>
              <w:autoSpaceDE w:val="0"/>
              <w:autoSpaceDN w:val="0"/>
              <w:adjustRightInd w:val="0"/>
              <w:jc w:val="center"/>
              <w:rPr>
                <w:rFonts w:eastAsia="Times New Roman"/>
                <w:lang w:bidi="ar-SA"/>
              </w:rPr>
            </w:pPr>
            <w:r>
              <w:rPr>
                <w:rFonts w:eastAsia="Times New Roman"/>
                <w:lang w:bidi="ar-SA"/>
              </w:rPr>
              <w:t>5.029%</w:t>
            </w:r>
          </w:p>
        </w:tc>
        <w:tc>
          <w:tcPr>
            <w:tcW w:w="1137" w:type="pct"/>
          </w:tcPr>
          <w:p w14:paraId="000C66E6" w14:textId="371E7299" w:rsidR="000345FA" w:rsidRDefault="000345FA" w:rsidP="00EC3CFF">
            <w:pPr>
              <w:widowControl w:val="0"/>
              <w:autoSpaceDE w:val="0"/>
              <w:autoSpaceDN w:val="0"/>
              <w:adjustRightInd w:val="0"/>
              <w:jc w:val="center"/>
              <w:rPr>
                <w:rFonts w:eastAsia="Times New Roman"/>
                <w:lang w:bidi="ar-SA"/>
              </w:rPr>
            </w:pPr>
            <w:r>
              <w:rPr>
                <w:rFonts w:eastAsia="Times New Roman"/>
                <w:lang w:bidi="ar-SA"/>
              </w:rPr>
              <w:t>5.029%</w:t>
            </w:r>
          </w:p>
        </w:tc>
      </w:tr>
    </w:tbl>
    <w:p w14:paraId="7DD5F03F" w14:textId="446327AF" w:rsidR="001811BA" w:rsidRDefault="001811BA" w:rsidP="001811BA">
      <w:pPr>
        <w:rPr>
          <w:rFonts w:eastAsia="Times New Roman"/>
          <w:sz w:val="20"/>
          <w:szCs w:val="20"/>
        </w:rPr>
      </w:pPr>
      <w:r>
        <w:rPr>
          <w:rFonts w:eastAsia="Times New Roman"/>
          <w:sz w:val="20"/>
          <w:szCs w:val="20"/>
        </w:rPr>
        <w:t xml:space="preserve">*No proration, flat charge </w:t>
      </w:r>
      <w:r w:rsidR="00003188">
        <w:rPr>
          <w:rFonts w:eastAsia="Times New Roman"/>
          <w:sz w:val="20"/>
          <w:szCs w:val="20"/>
        </w:rPr>
        <w:t xml:space="preserve">for </w:t>
      </w:r>
      <w:r w:rsidR="006075AF">
        <w:rPr>
          <w:rFonts w:eastAsia="Times New Roman"/>
          <w:sz w:val="20"/>
          <w:szCs w:val="20"/>
        </w:rPr>
        <w:t>any</w:t>
      </w:r>
      <w:r>
        <w:rPr>
          <w:rFonts w:eastAsia="Times New Roman"/>
          <w:sz w:val="20"/>
          <w:szCs w:val="20"/>
        </w:rPr>
        <w:t xml:space="preserve"> </w:t>
      </w:r>
      <w:r w:rsidR="003F1A0E">
        <w:rPr>
          <w:rFonts w:eastAsia="Times New Roman"/>
          <w:sz w:val="20"/>
          <w:szCs w:val="20"/>
        </w:rPr>
        <w:t xml:space="preserve">amount of </w:t>
      </w:r>
      <w:r>
        <w:rPr>
          <w:rFonts w:eastAsia="Times New Roman"/>
          <w:sz w:val="20"/>
          <w:szCs w:val="20"/>
        </w:rPr>
        <w:t>water used.</w:t>
      </w:r>
    </w:p>
    <w:p w14:paraId="6707EE05" w14:textId="087E4B0B" w:rsidR="00A46C58" w:rsidRPr="001811BA" w:rsidRDefault="001811BA" w:rsidP="001811BA">
      <w:pPr>
        <w:rPr>
          <w:rFonts w:eastAsia="Times New Roman"/>
          <w:sz w:val="20"/>
          <w:szCs w:val="20"/>
        </w:rPr>
      </w:pPr>
      <w:r w:rsidRPr="001811BA">
        <w:rPr>
          <w:rFonts w:eastAsia="Times New Roman"/>
          <w:sz w:val="20"/>
          <w:szCs w:val="20"/>
        </w:rPr>
        <w:t>**</w:t>
      </w:r>
      <w:r w:rsidR="00AA3232" w:rsidRPr="001811BA">
        <w:rPr>
          <w:rFonts w:eastAsia="Times New Roman"/>
          <w:sz w:val="20"/>
          <w:szCs w:val="20"/>
        </w:rPr>
        <w:t>Per 100 Cubic Feet</w:t>
      </w:r>
      <w:r w:rsidR="00C743CB">
        <w:rPr>
          <w:rFonts w:eastAsia="Times New Roman"/>
          <w:sz w:val="20"/>
          <w:szCs w:val="20"/>
        </w:rPr>
        <w:t xml:space="preserve">, or </w:t>
      </w:r>
      <w:r w:rsidR="00BE09BD">
        <w:rPr>
          <w:rFonts w:eastAsia="Times New Roman"/>
          <w:sz w:val="20"/>
          <w:szCs w:val="20"/>
        </w:rPr>
        <w:t>portion</w:t>
      </w:r>
      <w:r w:rsidR="00C743CB">
        <w:rPr>
          <w:rFonts w:eastAsia="Times New Roman"/>
          <w:sz w:val="20"/>
          <w:szCs w:val="20"/>
        </w:rPr>
        <w:t xml:space="preserve"> thereof.</w:t>
      </w:r>
    </w:p>
    <w:p w14:paraId="18092CE1" w14:textId="77777777" w:rsidR="003F651E" w:rsidRDefault="003F651E" w:rsidP="003F6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lang w:bidi="ar-SA"/>
        </w:rPr>
      </w:pPr>
    </w:p>
    <w:p w14:paraId="79E4F8C2" w14:textId="53C3BD12" w:rsidR="002613FA" w:rsidRDefault="003F651E" w:rsidP="003A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eastAsia="Times New Roman"/>
          <w:lang w:bidi="ar-SA"/>
        </w:rPr>
        <w:lastRenderedPageBreak/>
        <w:t xml:space="preserve">Using </w:t>
      </w:r>
      <w:r w:rsidRPr="0080117F">
        <w:rPr>
          <w:rFonts w:eastAsia="Times New Roman"/>
          <w:lang w:bidi="ar-SA"/>
        </w:rPr>
        <w:t xml:space="preserve">the calculated </w:t>
      </w:r>
      <w:r>
        <w:rPr>
          <w:rFonts w:eastAsia="Times New Roman"/>
          <w:lang w:bidi="ar-SA"/>
        </w:rPr>
        <w:t>average usage of 950</w:t>
      </w:r>
      <w:r w:rsidRPr="0080117F">
        <w:rPr>
          <w:rFonts w:eastAsia="Times New Roman"/>
          <w:lang w:bidi="ar-SA"/>
        </w:rPr>
        <w:t xml:space="preserve"> cubic feet of water per month</w:t>
      </w:r>
      <w:r>
        <w:rPr>
          <w:rFonts w:eastAsia="Times New Roman"/>
          <w:lang w:bidi="ar-SA"/>
        </w:rPr>
        <w:t>,</w:t>
      </w:r>
      <w:r w:rsidRPr="0080117F">
        <w:rPr>
          <w:rFonts w:eastAsia="Times New Roman"/>
          <w:lang w:bidi="ar-SA"/>
        </w:rPr>
        <w:t xml:space="preserve"> </w:t>
      </w:r>
      <w:r>
        <w:rPr>
          <w:rFonts w:eastAsia="Times New Roman"/>
          <w:lang w:bidi="ar-SA"/>
        </w:rPr>
        <w:t xml:space="preserve">a </w:t>
      </w:r>
      <w:r w:rsidR="00F906F9">
        <w:rPr>
          <w:rFonts w:eastAsia="Times New Roman"/>
          <w:lang w:bidi="ar-SA"/>
        </w:rPr>
        <w:t xml:space="preserve">regulated </w:t>
      </w:r>
      <w:r>
        <w:rPr>
          <w:rFonts w:eastAsia="Times New Roman"/>
          <w:lang w:bidi="ar-SA"/>
        </w:rPr>
        <w:t xml:space="preserve">customer </w:t>
      </w:r>
      <w:r w:rsidRPr="009553EB">
        <w:rPr>
          <w:rFonts w:eastAsia="Times New Roman"/>
          <w:lang w:bidi="ar-SA"/>
        </w:rPr>
        <w:t>would pay $</w:t>
      </w:r>
      <w:r>
        <w:rPr>
          <w:rFonts w:eastAsia="Times New Roman"/>
          <w:lang w:bidi="ar-SA"/>
        </w:rPr>
        <w:t>9.</w:t>
      </w:r>
      <w:r w:rsidR="000839F3">
        <w:rPr>
          <w:rFonts w:eastAsia="Times New Roman"/>
          <w:lang w:bidi="ar-SA"/>
        </w:rPr>
        <w:t>0</w:t>
      </w:r>
      <w:r>
        <w:rPr>
          <w:rFonts w:eastAsia="Times New Roman"/>
          <w:lang w:bidi="ar-SA"/>
        </w:rPr>
        <w:t>8</w:t>
      </w:r>
      <w:r w:rsidRPr="009553EB">
        <w:rPr>
          <w:rFonts w:eastAsia="Times New Roman"/>
          <w:lang w:bidi="ar-SA"/>
        </w:rPr>
        <w:t xml:space="preserve"> (1</w:t>
      </w:r>
      <w:r w:rsidR="000839F3">
        <w:rPr>
          <w:rFonts w:eastAsia="Times New Roman"/>
          <w:lang w:bidi="ar-SA"/>
        </w:rPr>
        <w:t>7.6</w:t>
      </w:r>
      <w:r w:rsidRPr="009553EB">
        <w:rPr>
          <w:rFonts w:eastAsia="Times New Roman"/>
          <w:lang w:bidi="ar-SA"/>
        </w:rPr>
        <w:t xml:space="preserve"> percent)</w:t>
      </w:r>
      <w:r w:rsidRPr="0080117F">
        <w:rPr>
          <w:rFonts w:eastAsia="Times New Roman"/>
          <w:lang w:bidi="ar-SA"/>
        </w:rPr>
        <w:t xml:space="preserve"> more </w:t>
      </w:r>
      <w:r>
        <w:rPr>
          <w:rFonts w:eastAsia="Times New Roman"/>
          <w:lang w:bidi="ar-SA"/>
        </w:rPr>
        <w:t>than</w:t>
      </w:r>
      <w:r w:rsidRPr="0080117F">
        <w:rPr>
          <w:rFonts w:eastAsia="Times New Roman"/>
          <w:lang w:bidi="ar-SA"/>
        </w:rPr>
        <w:t xml:space="preserve"> the </w:t>
      </w:r>
      <w:r>
        <w:rPr>
          <w:rFonts w:eastAsia="Times New Roman"/>
          <w:lang w:bidi="ar-SA"/>
        </w:rPr>
        <w:t>current</w:t>
      </w:r>
      <w:r w:rsidRPr="0080117F">
        <w:rPr>
          <w:rFonts w:eastAsia="Times New Roman"/>
          <w:lang w:bidi="ar-SA"/>
        </w:rPr>
        <w:t xml:space="preserve"> rates (see “Average Bill Comparison” table below).</w:t>
      </w:r>
      <w:r w:rsidRPr="00BE1B5B">
        <w:t xml:space="preserve"> </w:t>
      </w:r>
      <w:r w:rsidRPr="006E4410">
        <w:t>Current</w:t>
      </w:r>
      <w:r w:rsidR="00F904A0">
        <w:t>,</w:t>
      </w:r>
      <w:r w:rsidRPr="00BF601A">
        <w:t xml:space="preserve"> proposed </w:t>
      </w:r>
      <w:r w:rsidR="00F904A0">
        <w:t xml:space="preserve">and revised </w:t>
      </w:r>
      <w:r w:rsidR="0088748E">
        <w:t>average bill</w:t>
      </w:r>
      <w:r w:rsidRPr="00BF601A">
        <w:t>s are shown below</w:t>
      </w:r>
      <w:r>
        <w:t xml:space="preserve"> for </w:t>
      </w:r>
      <w:r w:rsidR="0088748E">
        <w:t>comparison</w:t>
      </w:r>
      <w:r w:rsidRPr="00BF601A">
        <w:t>.</w:t>
      </w:r>
      <w:r w:rsidR="00BE09BD">
        <w:t xml:space="preserve"> </w:t>
      </w:r>
    </w:p>
    <w:p w14:paraId="465BAD5A" w14:textId="77777777" w:rsidR="00692E5A" w:rsidRDefault="00692E5A" w:rsidP="003A6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u w:val="single"/>
          <w:lang w:bidi="ar-SA"/>
        </w:rPr>
      </w:pPr>
    </w:p>
    <w:p w14:paraId="6707EE06" w14:textId="77777777" w:rsidR="00640061" w:rsidRPr="009270B9" w:rsidRDefault="00640061" w:rsidP="000F032E">
      <w:pPr>
        <w:jc w:val="center"/>
        <w:rPr>
          <w:rFonts w:eastAsia="Times New Roman"/>
          <w:b/>
          <w:u w:val="single"/>
          <w:lang w:bidi="ar-SA"/>
        </w:rPr>
      </w:pPr>
      <w:r w:rsidRPr="009270B9">
        <w:rPr>
          <w:rFonts w:eastAsia="Times New Roman"/>
          <w:b/>
          <w:u w:val="single"/>
          <w:lang w:bidi="ar-SA"/>
        </w:rPr>
        <w:t>Average Bill Comparison</w:t>
      </w:r>
    </w:p>
    <w:p w14:paraId="6707EE07" w14:textId="77777777" w:rsidR="00640061" w:rsidRPr="009270B9" w:rsidRDefault="00640061" w:rsidP="000F03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0"/>
        <w:gridCol w:w="1083"/>
        <w:gridCol w:w="1256"/>
        <w:gridCol w:w="2160"/>
        <w:gridCol w:w="2250"/>
      </w:tblGrid>
      <w:tr w:rsidR="004E3DFF" w:rsidRPr="009270B9" w14:paraId="6707EE0E" w14:textId="1340441A" w:rsidTr="00C62E98">
        <w:trPr>
          <w:trHeight w:val="675"/>
        </w:trPr>
        <w:tc>
          <w:tcPr>
            <w:tcW w:w="1535" w:type="pct"/>
            <w:tcBorders>
              <w:top w:val="single" w:sz="4" w:space="0" w:color="auto"/>
            </w:tcBorders>
            <w:vAlign w:val="center"/>
          </w:tcPr>
          <w:p w14:paraId="6707EE08" w14:textId="3252D238" w:rsidR="005A314D" w:rsidRPr="009270B9" w:rsidRDefault="005A314D">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 xml:space="preserve">Average Monthly </w:t>
            </w:r>
            <w:r>
              <w:rPr>
                <w:rFonts w:eastAsia="Times New Roman"/>
                <w:b/>
                <w:lang w:bidi="ar-SA"/>
              </w:rPr>
              <w:t>Usage</w:t>
            </w:r>
          </w:p>
          <w:p w14:paraId="6707EE09" w14:textId="429B8CED" w:rsidR="005A314D" w:rsidRPr="009270B9" w:rsidRDefault="005A314D">
            <w:pPr>
              <w:keepNext/>
              <w:widowControl w:val="0"/>
              <w:autoSpaceDE w:val="0"/>
              <w:autoSpaceDN w:val="0"/>
              <w:adjustRightInd w:val="0"/>
              <w:jc w:val="center"/>
              <w:outlineLvl w:val="0"/>
              <w:rPr>
                <w:rFonts w:eastAsia="Times New Roman"/>
                <w:b/>
                <w:lang w:bidi="ar-SA"/>
              </w:rPr>
            </w:pPr>
            <w:r>
              <w:rPr>
                <w:rFonts w:eastAsia="Times New Roman"/>
                <w:b/>
                <w:lang w:bidi="ar-SA"/>
              </w:rPr>
              <w:t>950</w:t>
            </w:r>
            <w:r w:rsidRPr="009270B9">
              <w:rPr>
                <w:rFonts w:eastAsia="Times New Roman"/>
                <w:b/>
                <w:lang w:bidi="ar-SA"/>
              </w:rPr>
              <w:t xml:space="preserve"> </w:t>
            </w:r>
            <w:r>
              <w:rPr>
                <w:rFonts w:eastAsia="Times New Roman"/>
                <w:b/>
                <w:lang w:bidi="ar-SA"/>
              </w:rPr>
              <w:t>C</w:t>
            </w:r>
            <w:r w:rsidRPr="009270B9">
              <w:rPr>
                <w:rFonts w:eastAsia="Times New Roman"/>
                <w:b/>
                <w:lang w:bidi="ar-SA"/>
              </w:rPr>
              <w:t xml:space="preserve">ubic </w:t>
            </w:r>
            <w:r>
              <w:rPr>
                <w:rFonts w:eastAsia="Times New Roman"/>
                <w:b/>
                <w:lang w:bidi="ar-SA"/>
              </w:rPr>
              <w:t>F</w:t>
            </w:r>
            <w:r w:rsidRPr="009270B9">
              <w:rPr>
                <w:rFonts w:eastAsia="Times New Roman"/>
                <w:b/>
                <w:lang w:bidi="ar-SA"/>
              </w:rPr>
              <w:t>eet</w:t>
            </w:r>
          </w:p>
        </w:tc>
        <w:tc>
          <w:tcPr>
            <w:tcW w:w="556" w:type="pct"/>
            <w:tcBorders>
              <w:top w:val="single" w:sz="4" w:space="0" w:color="auto"/>
            </w:tcBorders>
            <w:shd w:val="clear" w:color="auto" w:fill="F2F2F2" w:themeFill="background1" w:themeFillShade="F2"/>
            <w:vAlign w:val="center"/>
          </w:tcPr>
          <w:p w14:paraId="6707EE0B" w14:textId="77777777" w:rsidR="005A314D" w:rsidRPr="009270B9" w:rsidRDefault="005A314D">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645" w:type="pct"/>
            <w:tcBorders>
              <w:top w:val="single" w:sz="4" w:space="0" w:color="auto"/>
            </w:tcBorders>
            <w:shd w:val="clear" w:color="auto" w:fill="F2F2F2" w:themeFill="background1" w:themeFillShade="F2"/>
            <w:vAlign w:val="center"/>
          </w:tcPr>
          <w:p w14:paraId="6707EE0D" w14:textId="77777777" w:rsidR="005A314D" w:rsidRPr="009270B9" w:rsidRDefault="005A314D">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c>
          <w:tcPr>
            <w:tcW w:w="1109" w:type="pct"/>
            <w:tcBorders>
              <w:top w:val="single" w:sz="4" w:space="0" w:color="auto"/>
            </w:tcBorders>
            <w:shd w:val="clear" w:color="auto" w:fill="F2F2F2" w:themeFill="background1" w:themeFillShade="F2"/>
            <w:vAlign w:val="center"/>
          </w:tcPr>
          <w:p w14:paraId="1FE582F9" w14:textId="32E1BE2A" w:rsidR="005A314D" w:rsidRDefault="005A314D">
            <w:pPr>
              <w:widowControl w:val="0"/>
              <w:autoSpaceDE w:val="0"/>
              <w:autoSpaceDN w:val="0"/>
              <w:adjustRightInd w:val="0"/>
              <w:jc w:val="center"/>
              <w:rPr>
                <w:rFonts w:eastAsia="Times New Roman"/>
                <w:b/>
                <w:lang w:bidi="ar-SA"/>
              </w:rPr>
            </w:pPr>
            <w:r>
              <w:rPr>
                <w:rFonts w:eastAsia="Times New Roman"/>
                <w:b/>
                <w:lang w:bidi="ar-SA"/>
              </w:rPr>
              <w:t>Revised Rate Until December 1</w:t>
            </w:r>
            <w:r w:rsidR="003D33C1">
              <w:rPr>
                <w:rFonts w:eastAsia="Times New Roman"/>
                <w:b/>
                <w:lang w:bidi="ar-SA"/>
              </w:rPr>
              <w:t>9</w:t>
            </w:r>
            <w:r>
              <w:rPr>
                <w:rFonts w:eastAsia="Times New Roman"/>
                <w:b/>
                <w:lang w:bidi="ar-SA"/>
              </w:rPr>
              <w:t>, 2013</w:t>
            </w:r>
          </w:p>
        </w:tc>
        <w:tc>
          <w:tcPr>
            <w:tcW w:w="1155" w:type="pct"/>
            <w:tcBorders>
              <w:top w:val="single" w:sz="4" w:space="0" w:color="auto"/>
            </w:tcBorders>
            <w:shd w:val="clear" w:color="auto" w:fill="F2F2F2" w:themeFill="background1" w:themeFillShade="F2"/>
            <w:vAlign w:val="center"/>
          </w:tcPr>
          <w:p w14:paraId="23815757" w14:textId="2DAFF445" w:rsidR="005A314D" w:rsidRPr="009270B9" w:rsidRDefault="005A314D">
            <w:pPr>
              <w:widowControl w:val="0"/>
              <w:autoSpaceDE w:val="0"/>
              <w:autoSpaceDN w:val="0"/>
              <w:adjustRightInd w:val="0"/>
              <w:jc w:val="center"/>
              <w:rPr>
                <w:rFonts w:eastAsia="Times New Roman"/>
                <w:b/>
                <w:lang w:bidi="ar-SA"/>
              </w:rPr>
            </w:pPr>
            <w:r>
              <w:rPr>
                <w:rFonts w:eastAsia="Times New Roman"/>
                <w:b/>
                <w:lang w:bidi="ar-SA"/>
              </w:rPr>
              <w:t>Re</w:t>
            </w:r>
            <w:r w:rsidR="003D33C1">
              <w:rPr>
                <w:rFonts w:eastAsia="Times New Roman"/>
                <w:b/>
                <w:lang w:bidi="ar-SA"/>
              </w:rPr>
              <w:t>vised Rate After December 20, 2013</w:t>
            </w:r>
          </w:p>
        </w:tc>
      </w:tr>
      <w:tr w:rsidR="004E3DFF" w:rsidRPr="009270B9" w14:paraId="6707EE12" w14:textId="3400596E" w:rsidTr="004E3DFF">
        <w:tc>
          <w:tcPr>
            <w:tcW w:w="1535" w:type="pct"/>
          </w:tcPr>
          <w:p w14:paraId="6707EE0F" w14:textId="65928B7A" w:rsidR="005A314D" w:rsidRPr="009270B9" w:rsidRDefault="005A314D" w:rsidP="008975CC">
            <w:pPr>
              <w:keepNext/>
              <w:widowControl w:val="0"/>
              <w:autoSpaceDE w:val="0"/>
              <w:autoSpaceDN w:val="0"/>
              <w:adjustRightInd w:val="0"/>
              <w:outlineLvl w:val="0"/>
              <w:rPr>
                <w:rFonts w:eastAsia="Times New Roman"/>
                <w:lang w:bidi="ar-SA"/>
              </w:rPr>
            </w:pPr>
            <w:r>
              <w:rPr>
                <w:rFonts w:eastAsia="Times New Roman"/>
                <w:lang w:bidi="ar-SA"/>
              </w:rPr>
              <w:t>Base Rate (1-inch)</w:t>
            </w:r>
          </w:p>
        </w:tc>
        <w:tc>
          <w:tcPr>
            <w:tcW w:w="556" w:type="pct"/>
            <w:tcBorders>
              <w:bottom w:val="single" w:sz="4" w:space="0" w:color="auto"/>
            </w:tcBorders>
          </w:tcPr>
          <w:p w14:paraId="6707EE10" w14:textId="0540B334" w:rsidR="005A314D" w:rsidRPr="009270B9" w:rsidRDefault="005A314D" w:rsidP="000F032E">
            <w:pPr>
              <w:widowControl w:val="0"/>
              <w:autoSpaceDE w:val="0"/>
              <w:autoSpaceDN w:val="0"/>
              <w:adjustRightInd w:val="0"/>
              <w:jc w:val="center"/>
              <w:rPr>
                <w:rFonts w:eastAsia="Times New Roman"/>
                <w:lang w:bidi="ar-SA"/>
              </w:rPr>
            </w:pPr>
            <w:r>
              <w:rPr>
                <w:rFonts w:eastAsia="Times New Roman"/>
                <w:lang w:bidi="ar-SA"/>
              </w:rPr>
              <w:t>$42.50</w:t>
            </w:r>
          </w:p>
        </w:tc>
        <w:tc>
          <w:tcPr>
            <w:tcW w:w="645" w:type="pct"/>
            <w:tcBorders>
              <w:bottom w:val="single" w:sz="4" w:space="0" w:color="auto"/>
            </w:tcBorders>
          </w:tcPr>
          <w:p w14:paraId="6707EE11" w14:textId="4329C733" w:rsidR="005A314D" w:rsidRPr="009553EB" w:rsidRDefault="005A314D" w:rsidP="009C1E52">
            <w:pPr>
              <w:widowControl w:val="0"/>
              <w:autoSpaceDE w:val="0"/>
              <w:autoSpaceDN w:val="0"/>
              <w:adjustRightInd w:val="0"/>
              <w:jc w:val="center"/>
              <w:rPr>
                <w:rFonts w:eastAsia="Times New Roman"/>
                <w:lang w:bidi="ar-SA"/>
              </w:rPr>
            </w:pPr>
            <w:r w:rsidRPr="009553EB">
              <w:rPr>
                <w:rFonts w:eastAsia="Times New Roman"/>
                <w:lang w:bidi="ar-SA"/>
              </w:rPr>
              <w:t>$</w:t>
            </w:r>
            <w:r>
              <w:rPr>
                <w:rFonts w:eastAsia="Times New Roman"/>
                <w:lang w:bidi="ar-SA"/>
              </w:rPr>
              <w:t>46.75</w:t>
            </w:r>
          </w:p>
        </w:tc>
        <w:tc>
          <w:tcPr>
            <w:tcW w:w="1109" w:type="pct"/>
          </w:tcPr>
          <w:p w14:paraId="654810FB" w14:textId="610BCACF" w:rsidR="005A314D" w:rsidRDefault="005A314D" w:rsidP="009C1E52">
            <w:pPr>
              <w:widowControl w:val="0"/>
              <w:autoSpaceDE w:val="0"/>
              <w:autoSpaceDN w:val="0"/>
              <w:adjustRightInd w:val="0"/>
              <w:jc w:val="center"/>
              <w:rPr>
                <w:rFonts w:eastAsia="Times New Roman"/>
                <w:lang w:bidi="ar-SA"/>
              </w:rPr>
            </w:pPr>
            <w:r>
              <w:rPr>
                <w:rFonts w:eastAsia="Times New Roman"/>
                <w:lang w:bidi="ar-SA"/>
              </w:rPr>
              <w:t>$46.75</w:t>
            </w:r>
          </w:p>
        </w:tc>
        <w:tc>
          <w:tcPr>
            <w:tcW w:w="1155" w:type="pct"/>
            <w:tcBorders>
              <w:bottom w:val="single" w:sz="4" w:space="0" w:color="auto"/>
            </w:tcBorders>
          </w:tcPr>
          <w:p w14:paraId="0C73ACFA" w14:textId="1D8CFD05" w:rsidR="005A314D" w:rsidRPr="009553EB" w:rsidRDefault="005A314D" w:rsidP="009C1E52">
            <w:pPr>
              <w:widowControl w:val="0"/>
              <w:autoSpaceDE w:val="0"/>
              <w:autoSpaceDN w:val="0"/>
              <w:adjustRightInd w:val="0"/>
              <w:jc w:val="center"/>
              <w:rPr>
                <w:rFonts w:eastAsia="Times New Roman"/>
                <w:lang w:bidi="ar-SA"/>
              </w:rPr>
            </w:pPr>
            <w:r>
              <w:rPr>
                <w:rFonts w:eastAsia="Times New Roman"/>
                <w:lang w:bidi="ar-SA"/>
              </w:rPr>
              <w:t>$46.75</w:t>
            </w:r>
          </w:p>
        </w:tc>
      </w:tr>
      <w:tr w:rsidR="00C743CB" w:rsidRPr="009270B9" w14:paraId="56FC4945" w14:textId="77777777" w:rsidTr="004E3DFF">
        <w:tc>
          <w:tcPr>
            <w:tcW w:w="1535" w:type="pct"/>
          </w:tcPr>
          <w:p w14:paraId="36CE65C7" w14:textId="2379161C" w:rsidR="00C743CB" w:rsidRDefault="00C743CB" w:rsidP="005A314D">
            <w:pPr>
              <w:widowControl w:val="0"/>
              <w:autoSpaceDE w:val="0"/>
              <w:autoSpaceDN w:val="0"/>
              <w:adjustRightInd w:val="0"/>
              <w:rPr>
                <w:rFonts w:eastAsia="Times New Roman"/>
                <w:lang w:bidi="ar-SA"/>
              </w:rPr>
            </w:pPr>
            <w:r>
              <w:rPr>
                <w:rFonts w:eastAsia="Times New Roman"/>
                <w:lang w:bidi="ar-SA"/>
              </w:rPr>
              <w:t>0 – 1000 Cubic Feet</w:t>
            </w:r>
          </w:p>
        </w:tc>
        <w:tc>
          <w:tcPr>
            <w:tcW w:w="556" w:type="pct"/>
            <w:tcBorders>
              <w:bottom w:val="nil"/>
            </w:tcBorders>
          </w:tcPr>
          <w:p w14:paraId="272344EF" w14:textId="676080FA" w:rsidR="00C743CB" w:rsidRPr="009270B9" w:rsidRDefault="00C743CB" w:rsidP="005A314D">
            <w:pPr>
              <w:widowControl w:val="0"/>
              <w:autoSpaceDE w:val="0"/>
              <w:autoSpaceDN w:val="0"/>
              <w:adjustRightInd w:val="0"/>
              <w:rPr>
                <w:rFonts w:eastAsia="Times New Roman"/>
                <w:lang w:bidi="ar-SA"/>
              </w:rPr>
            </w:pPr>
            <w:r>
              <w:rPr>
                <w:rFonts w:eastAsia="Times New Roman"/>
                <w:lang w:bidi="ar-SA"/>
              </w:rPr>
              <w:t>$9.00 *</w:t>
            </w:r>
          </w:p>
        </w:tc>
        <w:tc>
          <w:tcPr>
            <w:tcW w:w="645" w:type="pct"/>
            <w:tcBorders>
              <w:bottom w:val="nil"/>
            </w:tcBorders>
          </w:tcPr>
          <w:p w14:paraId="0F183CCD" w14:textId="453C6904" w:rsidR="00C743CB" w:rsidRPr="009553EB" w:rsidRDefault="00C743CB" w:rsidP="001811BA">
            <w:pPr>
              <w:widowControl w:val="0"/>
              <w:autoSpaceDE w:val="0"/>
              <w:autoSpaceDN w:val="0"/>
              <w:adjustRightInd w:val="0"/>
              <w:jc w:val="center"/>
              <w:rPr>
                <w:rFonts w:eastAsia="Times New Roman"/>
                <w:lang w:bidi="ar-SA"/>
              </w:rPr>
            </w:pPr>
            <w:r>
              <w:rPr>
                <w:rFonts w:eastAsia="Times New Roman"/>
                <w:lang w:bidi="ar-SA"/>
              </w:rPr>
              <w:t>$11.50 *</w:t>
            </w:r>
          </w:p>
        </w:tc>
        <w:tc>
          <w:tcPr>
            <w:tcW w:w="1109" w:type="pct"/>
          </w:tcPr>
          <w:p w14:paraId="2FE12BE3" w14:textId="77777777" w:rsidR="00C743CB" w:rsidRDefault="00C743CB" w:rsidP="005A314D">
            <w:pPr>
              <w:widowControl w:val="0"/>
              <w:autoSpaceDE w:val="0"/>
              <w:autoSpaceDN w:val="0"/>
              <w:adjustRightInd w:val="0"/>
              <w:jc w:val="center"/>
              <w:rPr>
                <w:rFonts w:eastAsia="Times New Roman"/>
                <w:lang w:bidi="ar-SA"/>
              </w:rPr>
            </w:pPr>
          </w:p>
        </w:tc>
        <w:tc>
          <w:tcPr>
            <w:tcW w:w="1155" w:type="pct"/>
            <w:tcBorders>
              <w:bottom w:val="nil"/>
            </w:tcBorders>
          </w:tcPr>
          <w:p w14:paraId="6C5D6BC5" w14:textId="77777777" w:rsidR="00C743CB" w:rsidRPr="009553EB" w:rsidRDefault="00C743CB" w:rsidP="001811BA">
            <w:pPr>
              <w:widowControl w:val="0"/>
              <w:autoSpaceDE w:val="0"/>
              <w:autoSpaceDN w:val="0"/>
              <w:adjustRightInd w:val="0"/>
              <w:jc w:val="center"/>
              <w:rPr>
                <w:rFonts w:eastAsia="Times New Roman"/>
                <w:lang w:bidi="ar-SA"/>
              </w:rPr>
            </w:pPr>
          </w:p>
        </w:tc>
      </w:tr>
      <w:tr w:rsidR="004E3DFF" w:rsidRPr="009270B9" w14:paraId="6707EE16" w14:textId="4CBFA865" w:rsidTr="004E3DFF">
        <w:tc>
          <w:tcPr>
            <w:tcW w:w="1535" w:type="pct"/>
          </w:tcPr>
          <w:p w14:paraId="6707EE13" w14:textId="75CFF175" w:rsidR="005A314D" w:rsidRPr="009270B9" w:rsidRDefault="005A314D" w:rsidP="005A314D">
            <w:pPr>
              <w:widowControl w:val="0"/>
              <w:autoSpaceDE w:val="0"/>
              <w:autoSpaceDN w:val="0"/>
              <w:adjustRightInd w:val="0"/>
              <w:rPr>
                <w:rFonts w:eastAsia="Times New Roman"/>
                <w:lang w:bidi="ar-SA"/>
              </w:rPr>
            </w:pPr>
            <w:r>
              <w:rPr>
                <w:rFonts w:eastAsia="Times New Roman"/>
                <w:lang w:bidi="ar-SA"/>
              </w:rPr>
              <w:t>0 – 500 Cubic Feet</w:t>
            </w:r>
          </w:p>
        </w:tc>
        <w:tc>
          <w:tcPr>
            <w:tcW w:w="556" w:type="pct"/>
            <w:tcBorders>
              <w:bottom w:val="nil"/>
            </w:tcBorders>
          </w:tcPr>
          <w:p w14:paraId="6707EE14" w14:textId="4001FC0C" w:rsidR="005A314D" w:rsidRPr="009270B9" w:rsidRDefault="005A314D" w:rsidP="005A314D">
            <w:pPr>
              <w:widowControl w:val="0"/>
              <w:autoSpaceDE w:val="0"/>
              <w:autoSpaceDN w:val="0"/>
              <w:adjustRightInd w:val="0"/>
              <w:rPr>
                <w:rFonts w:eastAsia="Times New Roman"/>
                <w:lang w:bidi="ar-SA"/>
              </w:rPr>
            </w:pPr>
          </w:p>
        </w:tc>
        <w:tc>
          <w:tcPr>
            <w:tcW w:w="645" w:type="pct"/>
            <w:tcBorders>
              <w:bottom w:val="nil"/>
            </w:tcBorders>
          </w:tcPr>
          <w:p w14:paraId="6707EE15" w14:textId="27D6C2BD" w:rsidR="005A314D" w:rsidRPr="009553EB" w:rsidRDefault="005A314D" w:rsidP="001811BA">
            <w:pPr>
              <w:widowControl w:val="0"/>
              <w:autoSpaceDE w:val="0"/>
              <w:autoSpaceDN w:val="0"/>
              <w:adjustRightInd w:val="0"/>
              <w:jc w:val="center"/>
              <w:rPr>
                <w:rFonts w:eastAsia="Times New Roman"/>
                <w:lang w:bidi="ar-SA"/>
              </w:rPr>
            </w:pPr>
          </w:p>
        </w:tc>
        <w:tc>
          <w:tcPr>
            <w:tcW w:w="1109" w:type="pct"/>
          </w:tcPr>
          <w:p w14:paraId="290062D6" w14:textId="397DBC4E" w:rsidR="005A314D" w:rsidRDefault="005A314D" w:rsidP="005A314D">
            <w:pPr>
              <w:widowControl w:val="0"/>
              <w:autoSpaceDE w:val="0"/>
              <w:autoSpaceDN w:val="0"/>
              <w:adjustRightInd w:val="0"/>
              <w:jc w:val="center"/>
              <w:rPr>
                <w:rFonts w:eastAsia="Times New Roman"/>
                <w:lang w:bidi="ar-SA"/>
              </w:rPr>
            </w:pPr>
            <w:r>
              <w:rPr>
                <w:rFonts w:eastAsia="Times New Roman"/>
                <w:lang w:bidi="ar-SA"/>
              </w:rPr>
              <w:t>$5.75 *</w:t>
            </w:r>
          </w:p>
        </w:tc>
        <w:tc>
          <w:tcPr>
            <w:tcW w:w="1155" w:type="pct"/>
            <w:tcBorders>
              <w:bottom w:val="nil"/>
            </w:tcBorders>
          </w:tcPr>
          <w:p w14:paraId="6FABFFA8" w14:textId="0D2EFD78" w:rsidR="005A314D" w:rsidRPr="009553EB" w:rsidRDefault="005A314D" w:rsidP="001811BA">
            <w:pPr>
              <w:widowControl w:val="0"/>
              <w:autoSpaceDE w:val="0"/>
              <w:autoSpaceDN w:val="0"/>
              <w:adjustRightInd w:val="0"/>
              <w:jc w:val="center"/>
              <w:rPr>
                <w:rFonts w:eastAsia="Times New Roman"/>
                <w:lang w:bidi="ar-SA"/>
              </w:rPr>
            </w:pPr>
          </w:p>
        </w:tc>
      </w:tr>
      <w:tr w:rsidR="004E3DFF" w:rsidRPr="009270B9" w14:paraId="24A172EA" w14:textId="77777777" w:rsidTr="004E3DFF">
        <w:tc>
          <w:tcPr>
            <w:tcW w:w="1535" w:type="pct"/>
          </w:tcPr>
          <w:p w14:paraId="6001E812" w14:textId="290B3D8F" w:rsidR="005A314D" w:rsidRDefault="005A314D" w:rsidP="000F032E">
            <w:pPr>
              <w:widowControl w:val="0"/>
              <w:autoSpaceDE w:val="0"/>
              <w:autoSpaceDN w:val="0"/>
              <w:adjustRightInd w:val="0"/>
              <w:rPr>
                <w:rFonts w:eastAsia="Times New Roman"/>
                <w:lang w:bidi="ar-SA"/>
              </w:rPr>
            </w:pPr>
            <w:r>
              <w:rPr>
                <w:rFonts w:eastAsia="Times New Roman"/>
                <w:lang w:bidi="ar-SA"/>
              </w:rPr>
              <w:t>501 – 950 Cubic Feet</w:t>
            </w:r>
          </w:p>
        </w:tc>
        <w:tc>
          <w:tcPr>
            <w:tcW w:w="556" w:type="pct"/>
            <w:tcBorders>
              <w:top w:val="nil"/>
            </w:tcBorders>
          </w:tcPr>
          <w:p w14:paraId="4430D87D" w14:textId="35E377CF" w:rsidR="005A314D" w:rsidRDefault="005A314D" w:rsidP="006075AF">
            <w:pPr>
              <w:widowControl w:val="0"/>
              <w:autoSpaceDE w:val="0"/>
              <w:autoSpaceDN w:val="0"/>
              <w:adjustRightInd w:val="0"/>
              <w:jc w:val="center"/>
              <w:rPr>
                <w:rFonts w:eastAsia="Times New Roman"/>
                <w:lang w:bidi="ar-SA"/>
              </w:rPr>
            </w:pPr>
          </w:p>
        </w:tc>
        <w:tc>
          <w:tcPr>
            <w:tcW w:w="645" w:type="pct"/>
            <w:tcBorders>
              <w:top w:val="nil"/>
            </w:tcBorders>
          </w:tcPr>
          <w:p w14:paraId="20EE1BCA" w14:textId="72780F19" w:rsidR="005A314D" w:rsidRDefault="005A314D" w:rsidP="006075AF">
            <w:pPr>
              <w:widowControl w:val="0"/>
              <w:autoSpaceDE w:val="0"/>
              <w:autoSpaceDN w:val="0"/>
              <w:adjustRightInd w:val="0"/>
              <w:jc w:val="center"/>
              <w:rPr>
                <w:rFonts w:eastAsia="Times New Roman"/>
                <w:lang w:bidi="ar-SA"/>
              </w:rPr>
            </w:pPr>
          </w:p>
        </w:tc>
        <w:tc>
          <w:tcPr>
            <w:tcW w:w="1109" w:type="pct"/>
          </w:tcPr>
          <w:p w14:paraId="3BEC6316" w14:textId="62EEB8D1" w:rsidR="005A314D" w:rsidRDefault="008A551C" w:rsidP="008A551C">
            <w:pPr>
              <w:widowControl w:val="0"/>
              <w:autoSpaceDE w:val="0"/>
              <w:autoSpaceDN w:val="0"/>
              <w:adjustRightInd w:val="0"/>
              <w:jc w:val="center"/>
              <w:rPr>
                <w:rFonts w:eastAsia="Times New Roman"/>
                <w:lang w:bidi="ar-SA"/>
              </w:rPr>
            </w:pPr>
            <w:r>
              <w:rPr>
                <w:rFonts w:eastAsia="Times New Roman"/>
                <w:lang w:bidi="ar-SA"/>
              </w:rPr>
              <w:t>$5.18</w:t>
            </w:r>
            <w:r w:rsidR="005A314D">
              <w:rPr>
                <w:rFonts w:eastAsia="Times New Roman"/>
                <w:lang w:bidi="ar-SA"/>
              </w:rPr>
              <w:t xml:space="preserve"> **</w:t>
            </w:r>
          </w:p>
        </w:tc>
        <w:tc>
          <w:tcPr>
            <w:tcW w:w="1155" w:type="pct"/>
            <w:tcBorders>
              <w:top w:val="nil"/>
            </w:tcBorders>
          </w:tcPr>
          <w:p w14:paraId="69ACC8D5" w14:textId="62335D5F" w:rsidR="005A314D" w:rsidRDefault="005A314D" w:rsidP="006075AF">
            <w:pPr>
              <w:widowControl w:val="0"/>
              <w:autoSpaceDE w:val="0"/>
              <w:autoSpaceDN w:val="0"/>
              <w:adjustRightInd w:val="0"/>
              <w:jc w:val="center"/>
              <w:rPr>
                <w:rFonts w:eastAsia="Times New Roman"/>
                <w:lang w:bidi="ar-SA"/>
              </w:rPr>
            </w:pPr>
            <w:r>
              <w:rPr>
                <w:rFonts w:eastAsia="Times New Roman"/>
                <w:lang w:bidi="ar-SA"/>
              </w:rPr>
              <w:t>$10.93 **</w:t>
            </w:r>
          </w:p>
        </w:tc>
      </w:tr>
      <w:tr w:rsidR="004E3DFF" w:rsidRPr="009270B9" w14:paraId="6707EE1A" w14:textId="347BCF7C" w:rsidTr="004E3DFF">
        <w:tc>
          <w:tcPr>
            <w:tcW w:w="1535" w:type="pct"/>
          </w:tcPr>
          <w:p w14:paraId="6707EE17" w14:textId="4986ED13" w:rsidR="005A314D" w:rsidRPr="009270B9" w:rsidRDefault="005A314D" w:rsidP="000F032E">
            <w:pPr>
              <w:widowControl w:val="0"/>
              <w:autoSpaceDE w:val="0"/>
              <w:autoSpaceDN w:val="0"/>
              <w:adjustRightInd w:val="0"/>
              <w:rPr>
                <w:rFonts w:eastAsia="Times New Roman"/>
                <w:lang w:bidi="ar-SA"/>
              </w:rPr>
            </w:pPr>
            <w:r>
              <w:rPr>
                <w:rFonts w:eastAsia="Times New Roman"/>
                <w:lang w:bidi="ar-SA"/>
              </w:rPr>
              <w:t xml:space="preserve">Subtotal </w:t>
            </w:r>
          </w:p>
        </w:tc>
        <w:tc>
          <w:tcPr>
            <w:tcW w:w="556" w:type="pct"/>
          </w:tcPr>
          <w:p w14:paraId="6707EE18" w14:textId="74A1BBC4" w:rsidR="005A314D" w:rsidRPr="009270B9" w:rsidRDefault="005A314D" w:rsidP="006075AF">
            <w:pPr>
              <w:widowControl w:val="0"/>
              <w:autoSpaceDE w:val="0"/>
              <w:autoSpaceDN w:val="0"/>
              <w:adjustRightInd w:val="0"/>
              <w:jc w:val="center"/>
              <w:rPr>
                <w:rFonts w:eastAsia="Times New Roman"/>
                <w:lang w:bidi="ar-SA"/>
              </w:rPr>
            </w:pPr>
            <w:r>
              <w:rPr>
                <w:rFonts w:eastAsia="Times New Roman"/>
                <w:lang w:bidi="ar-SA"/>
              </w:rPr>
              <w:t>$51.50</w:t>
            </w:r>
          </w:p>
        </w:tc>
        <w:tc>
          <w:tcPr>
            <w:tcW w:w="645" w:type="pct"/>
          </w:tcPr>
          <w:p w14:paraId="6707EE19" w14:textId="76EEEC23" w:rsidR="005A314D" w:rsidRPr="009553EB" w:rsidRDefault="005A314D" w:rsidP="006075AF">
            <w:pPr>
              <w:widowControl w:val="0"/>
              <w:autoSpaceDE w:val="0"/>
              <w:autoSpaceDN w:val="0"/>
              <w:adjustRightInd w:val="0"/>
              <w:jc w:val="center"/>
              <w:rPr>
                <w:rFonts w:eastAsia="Times New Roman"/>
                <w:lang w:bidi="ar-SA"/>
              </w:rPr>
            </w:pPr>
            <w:r>
              <w:rPr>
                <w:rFonts w:eastAsia="Times New Roman"/>
                <w:lang w:bidi="ar-SA"/>
              </w:rPr>
              <w:t>$58.25</w:t>
            </w:r>
          </w:p>
        </w:tc>
        <w:tc>
          <w:tcPr>
            <w:tcW w:w="1109" w:type="pct"/>
          </w:tcPr>
          <w:p w14:paraId="45557C3F" w14:textId="19621AEF" w:rsidR="005A314D" w:rsidRDefault="005A314D" w:rsidP="006075AF">
            <w:pPr>
              <w:widowControl w:val="0"/>
              <w:autoSpaceDE w:val="0"/>
              <w:autoSpaceDN w:val="0"/>
              <w:adjustRightInd w:val="0"/>
              <w:jc w:val="center"/>
              <w:rPr>
                <w:rFonts w:eastAsia="Times New Roman"/>
                <w:lang w:bidi="ar-SA"/>
              </w:rPr>
            </w:pPr>
            <w:r>
              <w:rPr>
                <w:rFonts w:eastAsia="Times New Roman"/>
                <w:lang w:bidi="ar-SA"/>
              </w:rPr>
              <w:t>$57.68</w:t>
            </w:r>
          </w:p>
        </w:tc>
        <w:tc>
          <w:tcPr>
            <w:tcW w:w="1155" w:type="pct"/>
          </w:tcPr>
          <w:p w14:paraId="0CD3A0D7" w14:textId="47A0D690" w:rsidR="005A314D" w:rsidRDefault="005A314D" w:rsidP="006075AF">
            <w:pPr>
              <w:widowControl w:val="0"/>
              <w:autoSpaceDE w:val="0"/>
              <w:autoSpaceDN w:val="0"/>
              <w:adjustRightInd w:val="0"/>
              <w:jc w:val="center"/>
              <w:rPr>
                <w:rFonts w:eastAsia="Times New Roman"/>
                <w:lang w:bidi="ar-SA"/>
              </w:rPr>
            </w:pPr>
            <w:r>
              <w:rPr>
                <w:rFonts w:eastAsia="Times New Roman"/>
                <w:lang w:bidi="ar-SA"/>
              </w:rPr>
              <w:t>$57.68</w:t>
            </w:r>
          </w:p>
        </w:tc>
      </w:tr>
      <w:tr w:rsidR="004E3DFF" w:rsidRPr="009270B9" w14:paraId="00A51F1E" w14:textId="2DCE14F3" w:rsidTr="004E3DFF">
        <w:tc>
          <w:tcPr>
            <w:tcW w:w="1535" w:type="pct"/>
          </w:tcPr>
          <w:p w14:paraId="6B9BB84E" w14:textId="06637175" w:rsidR="005A314D" w:rsidRPr="009270B9" w:rsidRDefault="005A314D" w:rsidP="004E3DFF">
            <w:pPr>
              <w:widowControl w:val="0"/>
              <w:autoSpaceDE w:val="0"/>
              <w:autoSpaceDN w:val="0"/>
              <w:adjustRightInd w:val="0"/>
              <w:rPr>
                <w:rFonts w:eastAsia="Times New Roman"/>
                <w:lang w:bidi="ar-SA"/>
              </w:rPr>
            </w:pPr>
            <w:r>
              <w:rPr>
                <w:rFonts w:eastAsia="Times New Roman"/>
                <w:lang w:bidi="ar-SA"/>
              </w:rPr>
              <w:t>Public Utility Tax (5.029%)</w:t>
            </w:r>
          </w:p>
        </w:tc>
        <w:tc>
          <w:tcPr>
            <w:tcW w:w="556" w:type="pct"/>
          </w:tcPr>
          <w:p w14:paraId="4FFA6D1D" w14:textId="46323750" w:rsidR="005A314D" w:rsidRDefault="005A314D" w:rsidP="000F032E">
            <w:pPr>
              <w:widowControl w:val="0"/>
              <w:autoSpaceDE w:val="0"/>
              <w:autoSpaceDN w:val="0"/>
              <w:adjustRightInd w:val="0"/>
              <w:jc w:val="center"/>
              <w:rPr>
                <w:rFonts w:eastAsia="Times New Roman"/>
                <w:lang w:bidi="ar-SA"/>
              </w:rPr>
            </w:pPr>
            <w:r>
              <w:rPr>
                <w:rFonts w:eastAsia="Times New Roman"/>
                <w:lang w:bidi="ar-SA"/>
              </w:rPr>
              <w:t>NA</w:t>
            </w:r>
          </w:p>
        </w:tc>
        <w:tc>
          <w:tcPr>
            <w:tcW w:w="645" w:type="pct"/>
          </w:tcPr>
          <w:p w14:paraId="5538D736" w14:textId="3E01C9BB" w:rsidR="005A314D" w:rsidRPr="009553EB" w:rsidRDefault="005A314D" w:rsidP="000F032E">
            <w:pPr>
              <w:widowControl w:val="0"/>
              <w:autoSpaceDE w:val="0"/>
              <w:autoSpaceDN w:val="0"/>
              <w:adjustRightInd w:val="0"/>
              <w:jc w:val="center"/>
              <w:rPr>
                <w:rFonts w:eastAsia="Times New Roman"/>
                <w:lang w:bidi="ar-SA"/>
              </w:rPr>
            </w:pPr>
            <w:r>
              <w:rPr>
                <w:rFonts w:eastAsia="Times New Roman"/>
                <w:lang w:bidi="ar-SA"/>
              </w:rPr>
              <w:t>$2.93</w:t>
            </w:r>
          </w:p>
        </w:tc>
        <w:tc>
          <w:tcPr>
            <w:tcW w:w="1109" w:type="pct"/>
          </w:tcPr>
          <w:p w14:paraId="53F317B4" w14:textId="63B012EC" w:rsidR="005A314D" w:rsidRDefault="005A314D" w:rsidP="000F032E">
            <w:pPr>
              <w:widowControl w:val="0"/>
              <w:autoSpaceDE w:val="0"/>
              <w:autoSpaceDN w:val="0"/>
              <w:adjustRightInd w:val="0"/>
              <w:jc w:val="center"/>
              <w:rPr>
                <w:rFonts w:eastAsia="Times New Roman"/>
                <w:lang w:bidi="ar-SA"/>
              </w:rPr>
            </w:pPr>
            <w:r>
              <w:rPr>
                <w:rFonts w:eastAsia="Times New Roman"/>
                <w:lang w:bidi="ar-SA"/>
              </w:rPr>
              <w:t>$2.90</w:t>
            </w:r>
          </w:p>
        </w:tc>
        <w:tc>
          <w:tcPr>
            <w:tcW w:w="1155" w:type="pct"/>
          </w:tcPr>
          <w:p w14:paraId="560674A2" w14:textId="3A5F2C9F" w:rsidR="005A314D" w:rsidRDefault="005A314D" w:rsidP="000F032E">
            <w:pPr>
              <w:widowControl w:val="0"/>
              <w:autoSpaceDE w:val="0"/>
              <w:autoSpaceDN w:val="0"/>
              <w:adjustRightInd w:val="0"/>
              <w:jc w:val="center"/>
              <w:rPr>
                <w:rFonts w:eastAsia="Times New Roman"/>
                <w:lang w:bidi="ar-SA"/>
              </w:rPr>
            </w:pPr>
            <w:r>
              <w:rPr>
                <w:rFonts w:eastAsia="Times New Roman"/>
                <w:lang w:bidi="ar-SA"/>
              </w:rPr>
              <w:t>$2.90</w:t>
            </w:r>
          </w:p>
        </w:tc>
      </w:tr>
      <w:tr w:rsidR="004E3DFF" w:rsidRPr="009270B9" w14:paraId="6707EE1E" w14:textId="50B55A32" w:rsidTr="004E3DFF">
        <w:tc>
          <w:tcPr>
            <w:tcW w:w="1535" w:type="pct"/>
          </w:tcPr>
          <w:p w14:paraId="6707EE1B" w14:textId="77777777" w:rsidR="005A314D" w:rsidRPr="009270B9" w:rsidRDefault="005A314D" w:rsidP="000F032E">
            <w:pPr>
              <w:widowControl w:val="0"/>
              <w:autoSpaceDE w:val="0"/>
              <w:autoSpaceDN w:val="0"/>
              <w:adjustRightInd w:val="0"/>
              <w:rPr>
                <w:rFonts w:eastAsia="Times New Roman"/>
                <w:lang w:bidi="ar-SA"/>
              </w:rPr>
            </w:pPr>
            <w:r w:rsidRPr="009270B9">
              <w:rPr>
                <w:rFonts w:eastAsia="Times New Roman"/>
                <w:lang w:bidi="ar-SA"/>
              </w:rPr>
              <w:t>Average Monthly Bill</w:t>
            </w:r>
          </w:p>
        </w:tc>
        <w:tc>
          <w:tcPr>
            <w:tcW w:w="556" w:type="pct"/>
          </w:tcPr>
          <w:p w14:paraId="6707EE1C" w14:textId="40FDD5E5" w:rsidR="005A314D" w:rsidRDefault="005A314D" w:rsidP="006075AF">
            <w:pPr>
              <w:widowControl w:val="0"/>
              <w:autoSpaceDE w:val="0"/>
              <w:autoSpaceDN w:val="0"/>
              <w:adjustRightInd w:val="0"/>
              <w:jc w:val="center"/>
              <w:rPr>
                <w:rFonts w:eastAsia="Times New Roman"/>
                <w:lang w:bidi="ar-SA"/>
              </w:rPr>
            </w:pPr>
            <w:r>
              <w:rPr>
                <w:rFonts w:eastAsia="Times New Roman"/>
                <w:lang w:bidi="ar-SA"/>
              </w:rPr>
              <w:t>$51.50</w:t>
            </w:r>
          </w:p>
        </w:tc>
        <w:tc>
          <w:tcPr>
            <w:tcW w:w="645" w:type="pct"/>
          </w:tcPr>
          <w:p w14:paraId="6707EE1D" w14:textId="49D67816" w:rsidR="005A314D" w:rsidRPr="009553EB" w:rsidRDefault="005A314D" w:rsidP="006075AF">
            <w:pPr>
              <w:widowControl w:val="0"/>
              <w:autoSpaceDE w:val="0"/>
              <w:autoSpaceDN w:val="0"/>
              <w:adjustRightInd w:val="0"/>
              <w:jc w:val="center"/>
              <w:rPr>
                <w:rFonts w:eastAsia="Times New Roman"/>
                <w:lang w:bidi="ar-SA"/>
              </w:rPr>
            </w:pPr>
            <w:r>
              <w:rPr>
                <w:rFonts w:eastAsia="Times New Roman"/>
                <w:lang w:bidi="ar-SA"/>
              </w:rPr>
              <w:t>$61.18</w:t>
            </w:r>
          </w:p>
        </w:tc>
        <w:tc>
          <w:tcPr>
            <w:tcW w:w="1109" w:type="pct"/>
          </w:tcPr>
          <w:p w14:paraId="6F3B4222" w14:textId="74D2C83D" w:rsidR="005A314D" w:rsidRDefault="005A314D" w:rsidP="006075AF">
            <w:pPr>
              <w:widowControl w:val="0"/>
              <w:autoSpaceDE w:val="0"/>
              <w:autoSpaceDN w:val="0"/>
              <w:adjustRightInd w:val="0"/>
              <w:jc w:val="center"/>
              <w:rPr>
                <w:rFonts w:eastAsia="Times New Roman"/>
                <w:lang w:bidi="ar-SA"/>
              </w:rPr>
            </w:pPr>
            <w:r>
              <w:rPr>
                <w:rFonts w:eastAsia="Times New Roman"/>
                <w:lang w:bidi="ar-SA"/>
              </w:rPr>
              <w:t>$60.58</w:t>
            </w:r>
          </w:p>
        </w:tc>
        <w:tc>
          <w:tcPr>
            <w:tcW w:w="1155" w:type="pct"/>
          </w:tcPr>
          <w:p w14:paraId="585206DB" w14:textId="5596B649" w:rsidR="005A314D" w:rsidRDefault="005A314D" w:rsidP="006075AF">
            <w:pPr>
              <w:widowControl w:val="0"/>
              <w:autoSpaceDE w:val="0"/>
              <w:autoSpaceDN w:val="0"/>
              <w:adjustRightInd w:val="0"/>
              <w:jc w:val="center"/>
              <w:rPr>
                <w:rFonts w:eastAsia="Times New Roman"/>
                <w:lang w:bidi="ar-SA"/>
              </w:rPr>
            </w:pPr>
            <w:r>
              <w:rPr>
                <w:rFonts w:eastAsia="Times New Roman"/>
                <w:lang w:bidi="ar-SA"/>
              </w:rPr>
              <w:t>$60.58</w:t>
            </w:r>
          </w:p>
        </w:tc>
      </w:tr>
      <w:tr w:rsidR="004E3DFF" w:rsidRPr="009270B9" w14:paraId="62FE79C1" w14:textId="5DDDDF77" w:rsidTr="004E3DFF">
        <w:tc>
          <w:tcPr>
            <w:tcW w:w="1535" w:type="pct"/>
          </w:tcPr>
          <w:p w14:paraId="70794B76" w14:textId="77777777" w:rsidR="005A314D" w:rsidRPr="007C07AE" w:rsidRDefault="005A314D" w:rsidP="000F032E">
            <w:pPr>
              <w:widowControl w:val="0"/>
              <w:autoSpaceDE w:val="0"/>
              <w:autoSpaceDN w:val="0"/>
              <w:adjustRightInd w:val="0"/>
            </w:pPr>
          </w:p>
        </w:tc>
        <w:tc>
          <w:tcPr>
            <w:tcW w:w="556" w:type="pct"/>
          </w:tcPr>
          <w:p w14:paraId="7850F316" w14:textId="77777777" w:rsidR="005A314D" w:rsidRDefault="005A314D" w:rsidP="000F032E">
            <w:pPr>
              <w:widowControl w:val="0"/>
              <w:autoSpaceDE w:val="0"/>
              <w:autoSpaceDN w:val="0"/>
              <w:adjustRightInd w:val="0"/>
              <w:jc w:val="center"/>
              <w:rPr>
                <w:rFonts w:eastAsia="Times New Roman"/>
                <w:lang w:bidi="ar-SA"/>
              </w:rPr>
            </w:pPr>
          </w:p>
        </w:tc>
        <w:tc>
          <w:tcPr>
            <w:tcW w:w="645" w:type="pct"/>
          </w:tcPr>
          <w:p w14:paraId="548A918C" w14:textId="77777777" w:rsidR="005A314D" w:rsidRPr="009553EB" w:rsidRDefault="005A314D" w:rsidP="006075AF">
            <w:pPr>
              <w:widowControl w:val="0"/>
              <w:autoSpaceDE w:val="0"/>
              <w:autoSpaceDN w:val="0"/>
              <w:adjustRightInd w:val="0"/>
              <w:jc w:val="center"/>
              <w:rPr>
                <w:rFonts w:eastAsia="Times New Roman"/>
                <w:lang w:bidi="ar-SA"/>
              </w:rPr>
            </w:pPr>
          </w:p>
        </w:tc>
        <w:tc>
          <w:tcPr>
            <w:tcW w:w="1109" w:type="pct"/>
          </w:tcPr>
          <w:p w14:paraId="7318683F" w14:textId="77777777" w:rsidR="005A314D" w:rsidRPr="009553EB" w:rsidRDefault="005A314D" w:rsidP="006075AF">
            <w:pPr>
              <w:widowControl w:val="0"/>
              <w:autoSpaceDE w:val="0"/>
              <w:autoSpaceDN w:val="0"/>
              <w:adjustRightInd w:val="0"/>
              <w:jc w:val="center"/>
              <w:rPr>
                <w:rFonts w:eastAsia="Times New Roman"/>
                <w:lang w:bidi="ar-SA"/>
              </w:rPr>
            </w:pPr>
          </w:p>
        </w:tc>
        <w:tc>
          <w:tcPr>
            <w:tcW w:w="1155" w:type="pct"/>
          </w:tcPr>
          <w:p w14:paraId="23D2C541" w14:textId="3FEEBABF" w:rsidR="005A314D" w:rsidRPr="009553EB" w:rsidRDefault="005A314D" w:rsidP="006075AF">
            <w:pPr>
              <w:widowControl w:val="0"/>
              <w:autoSpaceDE w:val="0"/>
              <w:autoSpaceDN w:val="0"/>
              <w:adjustRightInd w:val="0"/>
              <w:jc w:val="center"/>
              <w:rPr>
                <w:rFonts w:eastAsia="Times New Roman"/>
                <w:lang w:bidi="ar-SA"/>
              </w:rPr>
            </w:pPr>
          </w:p>
        </w:tc>
      </w:tr>
      <w:tr w:rsidR="004E3DFF" w:rsidRPr="009270B9" w14:paraId="6707EE22" w14:textId="67E60D1A" w:rsidTr="004E3DFF">
        <w:tc>
          <w:tcPr>
            <w:tcW w:w="1535" w:type="pct"/>
            <w:tcBorders>
              <w:bottom w:val="single" w:sz="4" w:space="0" w:color="auto"/>
            </w:tcBorders>
          </w:tcPr>
          <w:p w14:paraId="6707EE1F" w14:textId="77777777" w:rsidR="005A314D" w:rsidRPr="009270B9" w:rsidRDefault="005A314D" w:rsidP="000F032E">
            <w:pPr>
              <w:widowControl w:val="0"/>
              <w:autoSpaceDE w:val="0"/>
              <w:autoSpaceDN w:val="0"/>
              <w:adjustRightInd w:val="0"/>
              <w:rPr>
                <w:rFonts w:eastAsia="Times New Roman"/>
                <w:lang w:bidi="ar-SA"/>
              </w:rPr>
            </w:pPr>
            <w:r w:rsidRPr="007C07AE">
              <w:t>Increase From Current Rates</w:t>
            </w:r>
          </w:p>
        </w:tc>
        <w:tc>
          <w:tcPr>
            <w:tcW w:w="556" w:type="pct"/>
            <w:tcBorders>
              <w:bottom w:val="single" w:sz="4" w:space="0" w:color="auto"/>
            </w:tcBorders>
          </w:tcPr>
          <w:p w14:paraId="6707EE20" w14:textId="706F5FF5" w:rsidR="005A314D" w:rsidRDefault="005A314D" w:rsidP="000F032E">
            <w:pPr>
              <w:widowControl w:val="0"/>
              <w:autoSpaceDE w:val="0"/>
              <w:autoSpaceDN w:val="0"/>
              <w:adjustRightInd w:val="0"/>
              <w:jc w:val="center"/>
              <w:rPr>
                <w:rFonts w:eastAsia="Times New Roman"/>
                <w:lang w:bidi="ar-SA"/>
              </w:rPr>
            </w:pPr>
          </w:p>
        </w:tc>
        <w:tc>
          <w:tcPr>
            <w:tcW w:w="645" w:type="pct"/>
            <w:tcBorders>
              <w:bottom w:val="single" w:sz="4" w:space="0" w:color="auto"/>
            </w:tcBorders>
          </w:tcPr>
          <w:p w14:paraId="6707EE21" w14:textId="65FD4FCC" w:rsidR="005A314D" w:rsidRPr="009553EB" w:rsidRDefault="005A314D" w:rsidP="006075AF">
            <w:pPr>
              <w:widowControl w:val="0"/>
              <w:autoSpaceDE w:val="0"/>
              <w:autoSpaceDN w:val="0"/>
              <w:adjustRightInd w:val="0"/>
              <w:jc w:val="center"/>
              <w:rPr>
                <w:rFonts w:eastAsia="Times New Roman"/>
                <w:lang w:bidi="ar-SA"/>
              </w:rPr>
            </w:pPr>
            <w:r>
              <w:rPr>
                <w:rFonts w:eastAsia="Times New Roman"/>
                <w:lang w:bidi="ar-SA"/>
              </w:rPr>
              <w:t>$9.68</w:t>
            </w:r>
          </w:p>
        </w:tc>
        <w:tc>
          <w:tcPr>
            <w:tcW w:w="1109" w:type="pct"/>
            <w:tcBorders>
              <w:bottom w:val="single" w:sz="4" w:space="0" w:color="auto"/>
            </w:tcBorders>
          </w:tcPr>
          <w:p w14:paraId="3DA20A8F" w14:textId="5558CA90" w:rsidR="005A314D" w:rsidRDefault="005A314D" w:rsidP="006075AF">
            <w:pPr>
              <w:widowControl w:val="0"/>
              <w:autoSpaceDE w:val="0"/>
              <w:autoSpaceDN w:val="0"/>
              <w:adjustRightInd w:val="0"/>
              <w:jc w:val="center"/>
              <w:rPr>
                <w:rFonts w:eastAsia="Times New Roman"/>
                <w:lang w:bidi="ar-SA"/>
              </w:rPr>
            </w:pPr>
            <w:r>
              <w:rPr>
                <w:rFonts w:eastAsia="Times New Roman"/>
                <w:lang w:bidi="ar-SA"/>
              </w:rPr>
              <w:t>$9.08</w:t>
            </w:r>
          </w:p>
        </w:tc>
        <w:tc>
          <w:tcPr>
            <w:tcW w:w="1155" w:type="pct"/>
            <w:tcBorders>
              <w:bottom w:val="single" w:sz="4" w:space="0" w:color="auto"/>
            </w:tcBorders>
          </w:tcPr>
          <w:p w14:paraId="7F918B03" w14:textId="55D664A9" w:rsidR="005A314D" w:rsidRDefault="005A314D" w:rsidP="006075AF">
            <w:pPr>
              <w:widowControl w:val="0"/>
              <w:autoSpaceDE w:val="0"/>
              <w:autoSpaceDN w:val="0"/>
              <w:adjustRightInd w:val="0"/>
              <w:jc w:val="center"/>
              <w:rPr>
                <w:rFonts w:eastAsia="Times New Roman"/>
                <w:lang w:bidi="ar-SA"/>
              </w:rPr>
            </w:pPr>
            <w:r>
              <w:rPr>
                <w:rFonts w:eastAsia="Times New Roman"/>
                <w:lang w:bidi="ar-SA"/>
              </w:rPr>
              <w:t>$9.08</w:t>
            </w:r>
          </w:p>
        </w:tc>
      </w:tr>
      <w:tr w:rsidR="004E3DFF" w:rsidRPr="009270B9" w14:paraId="2B6F1566" w14:textId="0D8EF9DD" w:rsidTr="004E3DFF">
        <w:tc>
          <w:tcPr>
            <w:tcW w:w="1535" w:type="pct"/>
            <w:tcBorders>
              <w:bottom w:val="single" w:sz="4" w:space="0" w:color="auto"/>
            </w:tcBorders>
          </w:tcPr>
          <w:p w14:paraId="0123CA23" w14:textId="77777777" w:rsidR="005A314D" w:rsidRPr="007C07AE" w:rsidRDefault="005A314D" w:rsidP="000F032E">
            <w:pPr>
              <w:widowControl w:val="0"/>
              <w:autoSpaceDE w:val="0"/>
              <w:autoSpaceDN w:val="0"/>
              <w:adjustRightInd w:val="0"/>
            </w:pPr>
          </w:p>
        </w:tc>
        <w:tc>
          <w:tcPr>
            <w:tcW w:w="556" w:type="pct"/>
            <w:tcBorders>
              <w:bottom w:val="single" w:sz="4" w:space="0" w:color="auto"/>
            </w:tcBorders>
          </w:tcPr>
          <w:p w14:paraId="550E42A8" w14:textId="77777777" w:rsidR="005A314D" w:rsidRDefault="005A314D" w:rsidP="000F032E">
            <w:pPr>
              <w:widowControl w:val="0"/>
              <w:autoSpaceDE w:val="0"/>
              <w:autoSpaceDN w:val="0"/>
              <w:adjustRightInd w:val="0"/>
              <w:jc w:val="center"/>
              <w:rPr>
                <w:rFonts w:eastAsia="Times New Roman"/>
                <w:lang w:bidi="ar-SA"/>
              </w:rPr>
            </w:pPr>
          </w:p>
        </w:tc>
        <w:tc>
          <w:tcPr>
            <w:tcW w:w="645" w:type="pct"/>
            <w:tcBorders>
              <w:bottom w:val="single" w:sz="4" w:space="0" w:color="auto"/>
            </w:tcBorders>
          </w:tcPr>
          <w:p w14:paraId="1F200BBD" w14:textId="2F50BBD6" w:rsidR="005A314D" w:rsidRPr="009553EB" w:rsidRDefault="005A314D" w:rsidP="006075AF">
            <w:pPr>
              <w:widowControl w:val="0"/>
              <w:autoSpaceDE w:val="0"/>
              <w:autoSpaceDN w:val="0"/>
              <w:adjustRightInd w:val="0"/>
              <w:jc w:val="center"/>
              <w:rPr>
                <w:rFonts w:eastAsia="Times New Roman"/>
                <w:lang w:bidi="ar-SA"/>
              </w:rPr>
            </w:pPr>
            <w:r w:rsidRPr="009553EB">
              <w:rPr>
                <w:rFonts w:eastAsia="Times New Roman"/>
                <w:lang w:bidi="ar-SA"/>
              </w:rPr>
              <w:t>1</w:t>
            </w:r>
            <w:r>
              <w:rPr>
                <w:rFonts w:eastAsia="Times New Roman"/>
                <w:lang w:bidi="ar-SA"/>
              </w:rPr>
              <w:t>8</w:t>
            </w:r>
            <w:r w:rsidRPr="009553EB">
              <w:rPr>
                <w:rFonts w:eastAsia="Times New Roman"/>
                <w:lang w:bidi="ar-SA"/>
              </w:rPr>
              <w:t>.</w:t>
            </w:r>
            <w:r>
              <w:rPr>
                <w:rFonts w:eastAsia="Times New Roman"/>
                <w:lang w:bidi="ar-SA"/>
              </w:rPr>
              <w:t>8</w:t>
            </w:r>
            <w:r w:rsidRPr="009553EB">
              <w:rPr>
                <w:rFonts w:eastAsia="Times New Roman"/>
                <w:lang w:bidi="ar-SA"/>
              </w:rPr>
              <w:t>%</w:t>
            </w:r>
          </w:p>
        </w:tc>
        <w:tc>
          <w:tcPr>
            <w:tcW w:w="1109" w:type="pct"/>
            <w:tcBorders>
              <w:bottom w:val="single" w:sz="4" w:space="0" w:color="auto"/>
            </w:tcBorders>
          </w:tcPr>
          <w:p w14:paraId="09855365" w14:textId="4A5FE0A3" w:rsidR="005A314D" w:rsidRDefault="005A314D" w:rsidP="006075AF">
            <w:pPr>
              <w:widowControl w:val="0"/>
              <w:autoSpaceDE w:val="0"/>
              <w:autoSpaceDN w:val="0"/>
              <w:adjustRightInd w:val="0"/>
              <w:jc w:val="center"/>
              <w:rPr>
                <w:rFonts w:eastAsia="Times New Roman"/>
                <w:lang w:bidi="ar-SA"/>
              </w:rPr>
            </w:pPr>
            <w:r>
              <w:rPr>
                <w:rFonts w:eastAsia="Times New Roman"/>
                <w:lang w:bidi="ar-SA"/>
              </w:rPr>
              <w:t>17.6%</w:t>
            </w:r>
          </w:p>
        </w:tc>
        <w:tc>
          <w:tcPr>
            <w:tcW w:w="1155" w:type="pct"/>
            <w:tcBorders>
              <w:bottom w:val="single" w:sz="4" w:space="0" w:color="auto"/>
            </w:tcBorders>
          </w:tcPr>
          <w:p w14:paraId="41144BDB" w14:textId="6BBF2CFC" w:rsidR="005A314D" w:rsidRPr="009553EB" w:rsidRDefault="005A314D" w:rsidP="006075AF">
            <w:pPr>
              <w:widowControl w:val="0"/>
              <w:autoSpaceDE w:val="0"/>
              <w:autoSpaceDN w:val="0"/>
              <w:adjustRightInd w:val="0"/>
              <w:jc w:val="center"/>
              <w:rPr>
                <w:rFonts w:eastAsia="Times New Roman"/>
                <w:lang w:bidi="ar-SA"/>
              </w:rPr>
            </w:pPr>
            <w:r>
              <w:rPr>
                <w:rFonts w:eastAsia="Times New Roman"/>
                <w:lang w:bidi="ar-SA"/>
              </w:rPr>
              <w:t>17.6%</w:t>
            </w:r>
          </w:p>
        </w:tc>
      </w:tr>
    </w:tbl>
    <w:p w14:paraId="1A5132DD" w14:textId="2AF63CD7" w:rsidR="006075AF" w:rsidRDefault="006075AF" w:rsidP="006075AF">
      <w:pPr>
        <w:rPr>
          <w:rFonts w:eastAsia="Times New Roman"/>
          <w:sz w:val="20"/>
          <w:szCs w:val="20"/>
        </w:rPr>
      </w:pPr>
      <w:r>
        <w:rPr>
          <w:rFonts w:eastAsia="Times New Roman"/>
          <w:sz w:val="20"/>
          <w:szCs w:val="20"/>
        </w:rPr>
        <w:t xml:space="preserve">*No proration, flat charge </w:t>
      </w:r>
      <w:r w:rsidR="00003188">
        <w:rPr>
          <w:rFonts w:eastAsia="Times New Roman"/>
          <w:sz w:val="20"/>
          <w:szCs w:val="20"/>
        </w:rPr>
        <w:t xml:space="preserve">for </w:t>
      </w:r>
      <w:r>
        <w:rPr>
          <w:rFonts w:eastAsia="Times New Roman"/>
          <w:sz w:val="20"/>
          <w:szCs w:val="20"/>
        </w:rPr>
        <w:t xml:space="preserve">any </w:t>
      </w:r>
      <w:r w:rsidR="003F1A0E">
        <w:rPr>
          <w:rFonts w:eastAsia="Times New Roman"/>
          <w:sz w:val="20"/>
          <w:szCs w:val="20"/>
        </w:rPr>
        <w:t xml:space="preserve">amount of </w:t>
      </w:r>
      <w:r>
        <w:rPr>
          <w:rFonts w:eastAsia="Times New Roman"/>
          <w:sz w:val="20"/>
          <w:szCs w:val="20"/>
        </w:rPr>
        <w:t>water used.</w:t>
      </w:r>
    </w:p>
    <w:p w14:paraId="52DB0F31" w14:textId="02E81631" w:rsidR="006075AF" w:rsidRDefault="00875861" w:rsidP="000F03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 w:val="20"/>
          <w:szCs w:val="20"/>
        </w:rPr>
      </w:pPr>
      <w:r w:rsidRPr="001811BA">
        <w:rPr>
          <w:rFonts w:eastAsia="Times New Roman"/>
          <w:sz w:val="20"/>
          <w:szCs w:val="20"/>
        </w:rPr>
        <w:t>**Per 100 Cubic Feet</w:t>
      </w:r>
      <w:r w:rsidR="00C743CB">
        <w:rPr>
          <w:rFonts w:eastAsia="Times New Roman"/>
          <w:sz w:val="20"/>
          <w:szCs w:val="20"/>
        </w:rPr>
        <w:t xml:space="preserve">, or </w:t>
      </w:r>
      <w:r w:rsidR="00BE09BD">
        <w:rPr>
          <w:rFonts w:eastAsia="Times New Roman"/>
          <w:sz w:val="20"/>
          <w:szCs w:val="20"/>
        </w:rPr>
        <w:t>portion</w:t>
      </w:r>
      <w:r w:rsidR="00C743CB">
        <w:rPr>
          <w:rFonts w:eastAsia="Times New Roman"/>
          <w:sz w:val="20"/>
          <w:szCs w:val="20"/>
        </w:rPr>
        <w:t xml:space="preserve"> thereof.</w:t>
      </w:r>
    </w:p>
    <w:p w14:paraId="58AF87E6" w14:textId="77777777" w:rsidR="00875861" w:rsidRDefault="00875861" w:rsidP="000F032E">
      <w:pPr>
        <w:rPr>
          <w:b/>
          <w:u w:val="single"/>
        </w:rPr>
      </w:pPr>
    </w:p>
    <w:p w14:paraId="6707EE26" w14:textId="19BEB8DD" w:rsidR="00046A19" w:rsidRDefault="00046A19" w:rsidP="00C62E98">
      <w:pPr>
        <w:spacing w:after="200" w:line="276" w:lineRule="auto"/>
        <w:rPr>
          <w:b/>
          <w:u w:val="single"/>
        </w:rPr>
      </w:pPr>
      <w:r w:rsidRPr="00935AF2">
        <w:rPr>
          <w:b/>
          <w:u w:val="single"/>
        </w:rPr>
        <w:t xml:space="preserve">Conclusion </w:t>
      </w:r>
    </w:p>
    <w:p w14:paraId="14F7406A" w14:textId="7395D031" w:rsidR="003F651E" w:rsidRPr="00AA4488" w:rsidRDefault="003F651E" w:rsidP="004E58F4">
      <w:r w:rsidRPr="00AA4488">
        <w:t>Commission staff has completed its review of the company’s supporting financial documents, books and records. Staff’s review shows that the expenses are reasonable and required as part of the company’s operation. The customers</w:t>
      </w:r>
      <w:r w:rsidR="00BE09BD">
        <w:t>’</w:t>
      </w:r>
      <w:r w:rsidRPr="00AA4488">
        <w:t xml:space="preserve"> comment</w:t>
      </w:r>
      <w:r w:rsidR="00C743CB">
        <w:t>s</w:t>
      </w:r>
      <w:r w:rsidRPr="00AA4488">
        <w:t xml:space="preserve"> do not change staff’s opinion that the company’s financial information supports the revised revenue requirement and revised rates and charges are fair, just, reasonable, and sufficient.</w:t>
      </w:r>
    </w:p>
    <w:p w14:paraId="7622E778" w14:textId="77777777" w:rsidR="00321C51" w:rsidRDefault="00321C51" w:rsidP="004E5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66CFEF" w14:textId="77777777" w:rsidR="003F651E" w:rsidRPr="00AA4488" w:rsidRDefault="003F651E" w:rsidP="004E5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521D">
        <w:t xml:space="preserve">Staff recommends that the commission issue an Order to: </w:t>
      </w:r>
    </w:p>
    <w:p w14:paraId="61440B85" w14:textId="77777777" w:rsidR="003F651E" w:rsidRPr="00AA4488" w:rsidRDefault="003F651E" w:rsidP="004E5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2A6A919" w14:textId="40E9F034" w:rsidR="004E58F4" w:rsidRPr="00AA4488" w:rsidRDefault="003F651E" w:rsidP="004E58F4">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AA4488">
        <w:rPr>
          <w:color w:val="000000"/>
        </w:rPr>
        <w:t>D</w:t>
      </w:r>
      <w:r w:rsidR="004E58F4" w:rsidRPr="00AA4488">
        <w:rPr>
          <w:color w:val="000000"/>
        </w:rPr>
        <w:t xml:space="preserve">ismiss the Complaint and Order Suspending the Tariff Revision filed by </w:t>
      </w:r>
      <w:r w:rsidR="004E58F4">
        <w:t>Scenic Shores Water Company</w:t>
      </w:r>
      <w:r w:rsidR="004E58F4" w:rsidRPr="00AA4488">
        <w:t xml:space="preserve"> in Docket UW-</w:t>
      </w:r>
      <w:r w:rsidR="004E58F4">
        <w:t>121523</w:t>
      </w:r>
      <w:r w:rsidR="004E58F4" w:rsidRPr="00AA4488">
        <w:t xml:space="preserve"> dated October 1</w:t>
      </w:r>
      <w:r w:rsidR="004E58F4">
        <w:t>1, 2012</w:t>
      </w:r>
      <w:r w:rsidR="004E58F4" w:rsidRPr="00AA4488">
        <w:t>.</w:t>
      </w:r>
    </w:p>
    <w:p w14:paraId="1EB1CD25" w14:textId="77777777" w:rsidR="004E58F4" w:rsidRPr="00AA4488" w:rsidRDefault="004E58F4" w:rsidP="004E5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2617CC99" w14:textId="69B0E18A" w:rsidR="004E58F4" w:rsidRDefault="004E58F4" w:rsidP="004E58F4">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AA4488">
        <w:t xml:space="preserve">Allow the revised rates and tariff revision filed by </w:t>
      </w:r>
      <w:r>
        <w:t>Scenic Shores Water Company</w:t>
      </w:r>
      <w:r w:rsidRPr="00AA4488">
        <w:t xml:space="preserve"> on </w:t>
      </w:r>
      <w:r>
        <w:t>November 2</w:t>
      </w:r>
      <w:r w:rsidR="00C3641F">
        <w:t>8</w:t>
      </w:r>
      <w:r>
        <w:t xml:space="preserve">, 2012, </w:t>
      </w:r>
      <w:r w:rsidRPr="00AA4488">
        <w:t xml:space="preserve">to become effective </w:t>
      </w:r>
      <w:r>
        <w:t>December 20</w:t>
      </w:r>
      <w:r w:rsidRPr="00AA4488">
        <w:t>, 2012.</w:t>
      </w:r>
    </w:p>
    <w:p w14:paraId="5EF1BBE6" w14:textId="77777777" w:rsidR="006612F2" w:rsidRDefault="006612F2" w:rsidP="006612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6707EE27" w14:textId="3AD1701B" w:rsidR="00046A19" w:rsidRPr="004E58F4" w:rsidRDefault="00CE3403" w:rsidP="00321C51">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CE3403">
        <w:t>Require Scenic Shores Water Company to file, no later than February 1, 2014, copies of bills sent to water customers receiving regulated service to demonstrate that the company is in compliance with its tariff that will become effective December 20, 201</w:t>
      </w:r>
      <w:r w:rsidR="00C10F50">
        <w:t>3</w:t>
      </w:r>
      <w:r w:rsidRPr="00CE3403">
        <w:t>.</w:t>
      </w:r>
      <w:r w:rsidRPr="00CE3403">
        <w:cr/>
      </w:r>
    </w:p>
    <w:sectPr w:rsidR="00046A19" w:rsidRPr="004E58F4" w:rsidSect="00750A48">
      <w:headerReference w:type="default" r:id="rId13"/>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952C3" w14:textId="77777777" w:rsidR="003120DB" w:rsidRDefault="003120DB" w:rsidP="00E5657A">
      <w:r>
        <w:separator/>
      </w:r>
    </w:p>
  </w:endnote>
  <w:endnote w:type="continuationSeparator" w:id="0">
    <w:p w14:paraId="0503F72B" w14:textId="77777777" w:rsidR="003120DB" w:rsidRDefault="003120DB" w:rsidP="00E5657A">
      <w:r>
        <w:continuationSeparator/>
      </w:r>
    </w:p>
  </w:endnote>
  <w:endnote w:type="continuationNotice" w:id="1">
    <w:p w14:paraId="6DBEBEFA" w14:textId="77777777" w:rsidR="003120DB" w:rsidRDefault="00312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66F8B" w14:textId="77777777" w:rsidR="003120DB" w:rsidRDefault="003120DB" w:rsidP="00E5657A">
      <w:r>
        <w:separator/>
      </w:r>
    </w:p>
  </w:footnote>
  <w:footnote w:type="continuationSeparator" w:id="0">
    <w:p w14:paraId="58C69EF5" w14:textId="77777777" w:rsidR="003120DB" w:rsidRDefault="003120DB" w:rsidP="00E5657A">
      <w:r>
        <w:continuationSeparator/>
      </w:r>
    </w:p>
  </w:footnote>
  <w:footnote w:type="continuationNotice" w:id="1">
    <w:p w14:paraId="13F7E22C" w14:textId="77777777" w:rsidR="003120DB" w:rsidRDefault="003120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7EE2F" w14:textId="695CB71D" w:rsidR="003120DB" w:rsidRPr="00296F3B" w:rsidRDefault="003120DB" w:rsidP="001E2713">
    <w:pPr>
      <w:pStyle w:val="Header"/>
      <w:rPr>
        <w:sz w:val="20"/>
        <w:szCs w:val="20"/>
      </w:rPr>
    </w:pPr>
    <w:r w:rsidRPr="00296F3B">
      <w:rPr>
        <w:sz w:val="20"/>
        <w:szCs w:val="20"/>
      </w:rPr>
      <w:t>Docket UW-1</w:t>
    </w:r>
    <w:r>
      <w:rPr>
        <w:sz w:val="20"/>
        <w:szCs w:val="20"/>
      </w:rPr>
      <w:t>21523</w:t>
    </w:r>
  </w:p>
  <w:p w14:paraId="6707EE30" w14:textId="40074329" w:rsidR="003120DB" w:rsidRPr="00296F3B" w:rsidRDefault="003120DB" w:rsidP="001E2713">
    <w:pPr>
      <w:pStyle w:val="Header"/>
      <w:rPr>
        <w:sz w:val="20"/>
        <w:szCs w:val="20"/>
      </w:rPr>
    </w:pPr>
    <w:r>
      <w:rPr>
        <w:sz w:val="20"/>
        <w:szCs w:val="20"/>
      </w:rPr>
      <w:t>December 13</w:t>
    </w:r>
    <w:r w:rsidRPr="00296F3B">
      <w:rPr>
        <w:sz w:val="20"/>
        <w:szCs w:val="20"/>
      </w:rPr>
      <w:t xml:space="preserve">, </w:t>
    </w:r>
    <w:r>
      <w:rPr>
        <w:sz w:val="20"/>
        <w:szCs w:val="20"/>
      </w:rPr>
      <w:t>2012</w:t>
    </w:r>
  </w:p>
  <w:p w14:paraId="6707EE31" w14:textId="49CB6B74" w:rsidR="003120DB" w:rsidRDefault="003120DB" w:rsidP="001E2713">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8B5710">
      <w:rPr>
        <w:noProof/>
        <w:sz w:val="20"/>
        <w:szCs w:val="20"/>
      </w:rPr>
      <w:t>4</w:t>
    </w:r>
    <w:r w:rsidRPr="00296F3B">
      <w:rPr>
        <w:sz w:val="20"/>
        <w:szCs w:val="20"/>
      </w:rPr>
      <w:fldChar w:fldCharType="end"/>
    </w:r>
  </w:p>
  <w:p w14:paraId="6707EE33" w14:textId="77777777" w:rsidR="003120DB" w:rsidRDefault="003120DB" w:rsidP="001E2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940052E"/>
    <w:multiLevelType w:val="hybridMultilevel"/>
    <w:tmpl w:val="1750B9BC"/>
    <w:lvl w:ilvl="0" w:tplc="1A4AD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9B5A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B4436"/>
    <w:multiLevelType w:val="hybridMultilevel"/>
    <w:tmpl w:val="083E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006AA1"/>
    <w:multiLevelType w:val="hybridMultilevel"/>
    <w:tmpl w:val="346469FA"/>
    <w:lvl w:ilvl="0" w:tplc="12280FFA">
      <w:start w:val="5"/>
      <w:numFmt w:val="bullet"/>
      <w:lvlText w:val=""/>
      <w:lvlJc w:val="left"/>
      <w:pPr>
        <w:ind w:left="828" w:hanging="360"/>
      </w:pPr>
      <w:rPr>
        <w:rFonts w:ascii="Symbol" w:eastAsia="Times New Roman" w:hAnsi="Symbol"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nsid w:val="3BE15AAD"/>
    <w:multiLevelType w:val="hybridMultilevel"/>
    <w:tmpl w:val="93FA7E80"/>
    <w:lvl w:ilvl="0" w:tplc="96747C7E">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474C07"/>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6"/>
  </w:num>
  <w:num w:numId="4">
    <w:abstractNumId w:val="5"/>
  </w:num>
  <w:num w:numId="5">
    <w:abstractNumId w:val="10"/>
  </w:num>
  <w:num w:numId="6">
    <w:abstractNumId w:val="7"/>
  </w:num>
  <w:num w:numId="7">
    <w:abstractNumId w:val="9"/>
  </w:num>
  <w:num w:numId="8">
    <w:abstractNumId w:val="2"/>
  </w:num>
  <w:num w:numId="9">
    <w:abstractNumId w:val="3"/>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19"/>
    <w:rsid w:val="00003188"/>
    <w:rsid w:val="0000617D"/>
    <w:rsid w:val="00006D5A"/>
    <w:rsid w:val="00010837"/>
    <w:rsid w:val="0001140F"/>
    <w:rsid w:val="0001293B"/>
    <w:rsid w:val="00016525"/>
    <w:rsid w:val="00033ADF"/>
    <w:rsid w:val="000345FA"/>
    <w:rsid w:val="00046A19"/>
    <w:rsid w:val="0005104E"/>
    <w:rsid w:val="000804D9"/>
    <w:rsid w:val="000839F3"/>
    <w:rsid w:val="00087759"/>
    <w:rsid w:val="000B6B1A"/>
    <w:rsid w:val="000D2500"/>
    <w:rsid w:val="000D37C4"/>
    <w:rsid w:val="000E640C"/>
    <w:rsid w:val="000F032E"/>
    <w:rsid w:val="00140595"/>
    <w:rsid w:val="001811BA"/>
    <w:rsid w:val="00182A1D"/>
    <w:rsid w:val="00190F98"/>
    <w:rsid w:val="001954F2"/>
    <w:rsid w:val="001B555A"/>
    <w:rsid w:val="001C1C21"/>
    <w:rsid w:val="001C5AB1"/>
    <w:rsid w:val="001C6E68"/>
    <w:rsid w:val="001D25D7"/>
    <w:rsid w:val="001E1D7A"/>
    <w:rsid w:val="001E2713"/>
    <w:rsid w:val="00225208"/>
    <w:rsid w:val="00237B3E"/>
    <w:rsid w:val="00254C6A"/>
    <w:rsid w:val="002613FA"/>
    <w:rsid w:val="00270F01"/>
    <w:rsid w:val="00272E16"/>
    <w:rsid w:val="00281C1D"/>
    <w:rsid w:val="002C039A"/>
    <w:rsid w:val="002D390A"/>
    <w:rsid w:val="002E080F"/>
    <w:rsid w:val="002E5B90"/>
    <w:rsid w:val="003120DB"/>
    <w:rsid w:val="00313006"/>
    <w:rsid w:val="00321C51"/>
    <w:rsid w:val="00323AED"/>
    <w:rsid w:val="0035584C"/>
    <w:rsid w:val="003A6902"/>
    <w:rsid w:val="003B34B3"/>
    <w:rsid w:val="003B6BE1"/>
    <w:rsid w:val="003C699C"/>
    <w:rsid w:val="003D33C1"/>
    <w:rsid w:val="003F1A0E"/>
    <w:rsid w:val="003F651E"/>
    <w:rsid w:val="0040784B"/>
    <w:rsid w:val="00422D11"/>
    <w:rsid w:val="004322C3"/>
    <w:rsid w:val="004518CD"/>
    <w:rsid w:val="0045296E"/>
    <w:rsid w:val="004558FB"/>
    <w:rsid w:val="004676B0"/>
    <w:rsid w:val="00477A98"/>
    <w:rsid w:val="00485438"/>
    <w:rsid w:val="00495488"/>
    <w:rsid w:val="00496D03"/>
    <w:rsid w:val="004E3DFF"/>
    <w:rsid w:val="004E58F4"/>
    <w:rsid w:val="004F622E"/>
    <w:rsid w:val="004F6243"/>
    <w:rsid w:val="0050769C"/>
    <w:rsid w:val="00527C58"/>
    <w:rsid w:val="00530077"/>
    <w:rsid w:val="00543717"/>
    <w:rsid w:val="00552600"/>
    <w:rsid w:val="00554747"/>
    <w:rsid w:val="00564807"/>
    <w:rsid w:val="00573E2E"/>
    <w:rsid w:val="00577E5D"/>
    <w:rsid w:val="0058267C"/>
    <w:rsid w:val="005A1B90"/>
    <w:rsid w:val="005A314D"/>
    <w:rsid w:val="005A343E"/>
    <w:rsid w:val="005A6C74"/>
    <w:rsid w:val="005D2F67"/>
    <w:rsid w:val="005D5F66"/>
    <w:rsid w:val="005F1CC7"/>
    <w:rsid w:val="006075AF"/>
    <w:rsid w:val="00621606"/>
    <w:rsid w:val="0062310E"/>
    <w:rsid w:val="006359CE"/>
    <w:rsid w:val="00637B69"/>
    <w:rsid w:val="00640061"/>
    <w:rsid w:val="00661169"/>
    <w:rsid w:val="006612F2"/>
    <w:rsid w:val="00672F7B"/>
    <w:rsid w:val="00692E5A"/>
    <w:rsid w:val="006A41EE"/>
    <w:rsid w:val="006A4E99"/>
    <w:rsid w:val="006A53A7"/>
    <w:rsid w:val="006C71E3"/>
    <w:rsid w:val="006D764C"/>
    <w:rsid w:val="006D7A58"/>
    <w:rsid w:val="006F41DA"/>
    <w:rsid w:val="00700919"/>
    <w:rsid w:val="00717FD6"/>
    <w:rsid w:val="0072504A"/>
    <w:rsid w:val="00727D34"/>
    <w:rsid w:val="007327A3"/>
    <w:rsid w:val="00742F7F"/>
    <w:rsid w:val="007448C3"/>
    <w:rsid w:val="007458F8"/>
    <w:rsid w:val="00750A48"/>
    <w:rsid w:val="0075448F"/>
    <w:rsid w:val="00793227"/>
    <w:rsid w:val="00794D57"/>
    <w:rsid w:val="007D2573"/>
    <w:rsid w:val="007E2FCB"/>
    <w:rsid w:val="00817FF7"/>
    <w:rsid w:val="00822FD1"/>
    <w:rsid w:val="00832DA8"/>
    <w:rsid w:val="00841F3C"/>
    <w:rsid w:val="008464A8"/>
    <w:rsid w:val="00870BB6"/>
    <w:rsid w:val="00875861"/>
    <w:rsid w:val="0088748E"/>
    <w:rsid w:val="008975CC"/>
    <w:rsid w:val="008A4BE5"/>
    <w:rsid w:val="008A5118"/>
    <w:rsid w:val="008A551C"/>
    <w:rsid w:val="008B5710"/>
    <w:rsid w:val="008B7991"/>
    <w:rsid w:val="009100EA"/>
    <w:rsid w:val="00910FCE"/>
    <w:rsid w:val="00920F06"/>
    <w:rsid w:val="00923A19"/>
    <w:rsid w:val="0093429A"/>
    <w:rsid w:val="00952E24"/>
    <w:rsid w:val="009553EB"/>
    <w:rsid w:val="00963EDA"/>
    <w:rsid w:val="00964470"/>
    <w:rsid w:val="00977C9C"/>
    <w:rsid w:val="009A47E4"/>
    <w:rsid w:val="009B0311"/>
    <w:rsid w:val="009B70CF"/>
    <w:rsid w:val="009B79A8"/>
    <w:rsid w:val="009C1E52"/>
    <w:rsid w:val="00A303A9"/>
    <w:rsid w:val="00A31E63"/>
    <w:rsid w:val="00A4610A"/>
    <w:rsid w:val="00A46C58"/>
    <w:rsid w:val="00A61F9F"/>
    <w:rsid w:val="00A77CD8"/>
    <w:rsid w:val="00A80CB3"/>
    <w:rsid w:val="00A84C2A"/>
    <w:rsid w:val="00A86879"/>
    <w:rsid w:val="00AA3232"/>
    <w:rsid w:val="00AA5B72"/>
    <w:rsid w:val="00AA7F14"/>
    <w:rsid w:val="00AC0E4A"/>
    <w:rsid w:val="00AD3312"/>
    <w:rsid w:val="00AD4633"/>
    <w:rsid w:val="00AE273E"/>
    <w:rsid w:val="00B11C15"/>
    <w:rsid w:val="00B13041"/>
    <w:rsid w:val="00B14F10"/>
    <w:rsid w:val="00B26B2D"/>
    <w:rsid w:val="00B32F59"/>
    <w:rsid w:val="00B561C7"/>
    <w:rsid w:val="00B759C1"/>
    <w:rsid w:val="00B9518A"/>
    <w:rsid w:val="00BA0642"/>
    <w:rsid w:val="00BB3AF4"/>
    <w:rsid w:val="00BC0903"/>
    <w:rsid w:val="00BE09BD"/>
    <w:rsid w:val="00BE1B5B"/>
    <w:rsid w:val="00BE605F"/>
    <w:rsid w:val="00BE627B"/>
    <w:rsid w:val="00C10F50"/>
    <w:rsid w:val="00C3641F"/>
    <w:rsid w:val="00C60230"/>
    <w:rsid w:val="00C62E98"/>
    <w:rsid w:val="00C743CB"/>
    <w:rsid w:val="00C9285A"/>
    <w:rsid w:val="00CA429B"/>
    <w:rsid w:val="00CB3D36"/>
    <w:rsid w:val="00CE3403"/>
    <w:rsid w:val="00CF36EC"/>
    <w:rsid w:val="00D157A4"/>
    <w:rsid w:val="00D16EE4"/>
    <w:rsid w:val="00D23EA5"/>
    <w:rsid w:val="00D51B27"/>
    <w:rsid w:val="00D54194"/>
    <w:rsid w:val="00D568C6"/>
    <w:rsid w:val="00D61A4B"/>
    <w:rsid w:val="00D622B2"/>
    <w:rsid w:val="00D6775B"/>
    <w:rsid w:val="00D8448A"/>
    <w:rsid w:val="00D910B5"/>
    <w:rsid w:val="00DA1B86"/>
    <w:rsid w:val="00DA581E"/>
    <w:rsid w:val="00DB4720"/>
    <w:rsid w:val="00DD2A47"/>
    <w:rsid w:val="00DD600E"/>
    <w:rsid w:val="00DE37DF"/>
    <w:rsid w:val="00DF363D"/>
    <w:rsid w:val="00DF5E47"/>
    <w:rsid w:val="00E025C4"/>
    <w:rsid w:val="00E04176"/>
    <w:rsid w:val="00E14FC8"/>
    <w:rsid w:val="00E44EFA"/>
    <w:rsid w:val="00E5657A"/>
    <w:rsid w:val="00E60EB2"/>
    <w:rsid w:val="00E67789"/>
    <w:rsid w:val="00E75722"/>
    <w:rsid w:val="00E761D5"/>
    <w:rsid w:val="00E80DC5"/>
    <w:rsid w:val="00EA46AD"/>
    <w:rsid w:val="00EC3CFF"/>
    <w:rsid w:val="00EC5341"/>
    <w:rsid w:val="00F02C2A"/>
    <w:rsid w:val="00F03077"/>
    <w:rsid w:val="00F1110E"/>
    <w:rsid w:val="00F13EA6"/>
    <w:rsid w:val="00F21B68"/>
    <w:rsid w:val="00F3565A"/>
    <w:rsid w:val="00F81340"/>
    <w:rsid w:val="00F904A0"/>
    <w:rsid w:val="00F906F9"/>
    <w:rsid w:val="00F97111"/>
    <w:rsid w:val="00FA5576"/>
    <w:rsid w:val="00FB7FC5"/>
    <w:rsid w:val="00FC1093"/>
    <w:rsid w:val="00FC502C"/>
    <w:rsid w:val="00FE1075"/>
    <w:rsid w:val="00FE3929"/>
    <w:rsid w:val="00FF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295">
      <w:bodyDiv w:val="1"/>
      <w:marLeft w:val="0"/>
      <w:marRight w:val="0"/>
      <w:marTop w:val="0"/>
      <w:marBottom w:val="0"/>
      <w:divBdr>
        <w:top w:val="none" w:sz="0" w:space="0" w:color="auto"/>
        <w:left w:val="none" w:sz="0" w:space="0" w:color="auto"/>
        <w:bottom w:val="none" w:sz="0" w:space="0" w:color="auto"/>
        <w:right w:val="none" w:sz="0" w:space="0" w:color="auto"/>
      </w:divBdr>
    </w:div>
    <w:div w:id="68498977">
      <w:bodyDiv w:val="1"/>
      <w:marLeft w:val="0"/>
      <w:marRight w:val="0"/>
      <w:marTop w:val="0"/>
      <w:marBottom w:val="0"/>
      <w:divBdr>
        <w:top w:val="none" w:sz="0" w:space="0" w:color="auto"/>
        <w:left w:val="none" w:sz="0" w:space="0" w:color="auto"/>
        <w:bottom w:val="none" w:sz="0" w:space="0" w:color="auto"/>
        <w:right w:val="none" w:sz="0" w:space="0" w:color="auto"/>
      </w:divBdr>
    </w:div>
    <w:div w:id="206188027">
      <w:bodyDiv w:val="1"/>
      <w:marLeft w:val="0"/>
      <w:marRight w:val="0"/>
      <w:marTop w:val="0"/>
      <w:marBottom w:val="0"/>
      <w:divBdr>
        <w:top w:val="none" w:sz="0" w:space="0" w:color="auto"/>
        <w:left w:val="none" w:sz="0" w:space="0" w:color="auto"/>
        <w:bottom w:val="none" w:sz="0" w:space="0" w:color="auto"/>
        <w:right w:val="none" w:sz="0" w:space="0" w:color="auto"/>
      </w:divBdr>
    </w:div>
    <w:div w:id="356196121">
      <w:bodyDiv w:val="1"/>
      <w:marLeft w:val="0"/>
      <w:marRight w:val="0"/>
      <w:marTop w:val="0"/>
      <w:marBottom w:val="0"/>
      <w:divBdr>
        <w:top w:val="none" w:sz="0" w:space="0" w:color="auto"/>
        <w:left w:val="none" w:sz="0" w:space="0" w:color="auto"/>
        <w:bottom w:val="none" w:sz="0" w:space="0" w:color="auto"/>
        <w:right w:val="none" w:sz="0" w:space="0" w:color="auto"/>
      </w:divBdr>
    </w:div>
    <w:div w:id="1079446817">
      <w:bodyDiv w:val="1"/>
      <w:marLeft w:val="0"/>
      <w:marRight w:val="0"/>
      <w:marTop w:val="0"/>
      <w:marBottom w:val="0"/>
      <w:divBdr>
        <w:top w:val="none" w:sz="0" w:space="0" w:color="auto"/>
        <w:left w:val="none" w:sz="0" w:space="0" w:color="auto"/>
        <w:bottom w:val="none" w:sz="0" w:space="0" w:color="auto"/>
        <w:right w:val="none" w:sz="0" w:space="0" w:color="auto"/>
      </w:divBdr>
    </w:div>
    <w:div w:id="149529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0CB8EB022C9F418695ADA2A292C55D" ma:contentTypeVersion="139" ma:contentTypeDescription="" ma:contentTypeScope="" ma:versionID="c8bae7b8964cad2c25b8120b387e35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2012-09-17T07:00:00+00:00</OpenedDate>
    <Date1 xmlns="dc463f71-b30c-4ab2-9473-d307f9d35888">2012-12-13T08:00:00+00:00</Date1>
    <IsDocumentOrder xmlns="dc463f71-b30c-4ab2-9473-d307f9d35888" xsi:nil="true"/>
    <IsHighlyConfidential xmlns="dc463f71-b30c-4ab2-9473-d307f9d35888">false</IsHighlyConfidential>
    <CaseCompanyNames xmlns="dc463f71-b30c-4ab2-9473-d307f9d35888">Scenic Shores Water Company</CaseCompanyNames>
    <DocketNumber xmlns="dc463f71-b30c-4ab2-9473-d307f9d35888">121523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BAD7A-8CDA-417A-8594-991DDF9A2210}"/>
</file>

<file path=customXml/itemProps2.xml><?xml version="1.0" encoding="utf-8"?>
<ds:datastoreItem xmlns:ds="http://schemas.openxmlformats.org/officeDocument/2006/customXml" ds:itemID="{D3630B3D-7A61-4250-AC79-E615B32A51E4}"/>
</file>

<file path=customXml/itemProps3.xml><?xml version="1.0" encoding="utf-8"?>
<ds:datastoreItem xmlns:ds="http://schemas.openxmlformats.org/officeDocument/2006/customXml" ds:itemID="{5D508F9C-D8AA-4D6C-AB99-7C4E100C1A8E}"/>
</file>

<file path=customXml/itemProps4.xml><?xml version="1.0" encoding="utf-8"?>
<ds:datastoreItem xmlns:ds="http://schemas.openxmlformats.org/officeDocument/2006/customXml" ds:itemID="{F3428F01-4138-40AF-9C56-5550CA6735E4}"/>
</file>

<file path=customXml/itemProps5.xml><?xml version="1.0" encoding="utf-8"?>
<ds:datastoreItem xmlns:ds="http://schemas.openxmlformats.org/officeDocument/2006/customXml" ds:itemID="{2E16796D-D8A6-4285-AB43-24B6FBD321FC}"/>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Scenic Shores Memo for revised</vt:lpstr>
    </vt:vector>
  </TitlesOfParts>
  <Company>Washington Utilities and Transportation Commission</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Scenic Shores Memo for revised</dc:title>
  <dc:creator>Jim Ward</dc:creator>
  <cp:lastModifiedBy>Lisa Wyse, Records Manager</cp:lastModifiedBy>
  <cp:revision>2</cp:revision>
  <cp:lastPrinted>2012-12-10T16:53:00Z</cp:lastPrinted>
  <dcterms:created xsi:type="dcterms:W3CDTF">2012-12-10T21:00:00Z</dcterms:created>
  <dcterms:modified xsi:type="dcterms:W3CDTF">2012-12-10T21:00:00Z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0x0101006E56B4D1795A2E4DB2F0B01679ED314A006C0CB8EB022C9F418695ADA2A292C55D</vt:lpwstr>
  </property>
  <property fmtid="{D5CDD505-2E9C-101B-9397-08002B2CF9AE}" pid="3" name="_docset_NoMedatataSyncRequired">
    <vt:lpwstr>False</vt:lpwstr>
  </property>
</Properties>
</file>