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0D" w:rsidRPr="008922AD" w:rsidRDefault="00A73AF9" w:rsidP="00F53968">
      <w:pPr>
        <w:jc w:val="center"/>
        <w:rPr>
          <w:rFonts w:ascii="Times New Roman" w:hAnsi="Times New Roman"/>
          <w:b/>
          <w:sz w:val="28"/>
          <w:szCs w:val="28"/>
        </w:rPr>
      </w:pPr>
      <w:r w:rsidRPr="008922AD">
        <w:rPr>
          <w:rFonts w:ascii="Times New Roman" w:hAnsi="Times New Roman"/>
          <w:b/>
          <w:sz w:val="28"/>
          <w:szCs w:val="28"/>
        </w:rPr>
        <w:t>UT</w:t>
      </w:r>
      <w:r w:rsidR="00D36BB5" w:rsidRPr="008922AD">
        <w:rPr>
          <w:rFonts w:ascii="Times New Roman" w:hAnsi="Times New Roman"/>
          <w:b/>
          <w:sz w:val="28"/>
          <w:szCs w:val="28"/>
        </w:rPr>
        <w:t>-</w:t>
      </w:r>
      <w:r w:rsidRPr="008922AD">
        <w:rPr>
          <w:rFonts w:ascii="Times New Roman" w:hAnsi="Times New Roman"/>
          <w:b/>
          <w:sz w:val="28"/>
          <w:szCs w:val="28"/>
        </w:rPr>
        <w:t>100148</w:t>
      </w:r>
      <w:r w:rsidR="001C660D" w:rsidRPr="008922AD">
        <w:rPr>
          <w:rFonts w:ascii="Times New Roman" w:hAnsi="Times New Roman"/>
          <w:b/>
          <w:sz w:val="28"/>
          <w:szCs w:val="28"/>
        </w:rPr>
        <w:t xml:space="preserve"> Rulemaking</w:t>
      </w:r>
    </w:p>
    <w:p w:rsidR="00020375" w:rsidRPr="008922AD" w:rsidRDefault="00020375" w:rsidP="00F53968">
      <w:pPr>
        <w:jc w:val="center"/>
        <w:rPr>
          <w:rFonts w:ascii="Times New Roman" w:hAnsi="Times New Roman"/>
          <w:b/>
          <w:sz w:val="28"/>
          <w:szCs w:val="28"/>
        </w:rPr>
      </w:pPr>
      <w:r>
        <w:rPr>
          <w:rFonts w:ascii="Times New Roman" w:hAnsi="Times New Roman"/>
          <w:b/>
          <w:sz w:val="28"/>
          <w:szCs w:val="28"/>
        </w:rPr>
        <w:t>Comment Summary Matrix</w:t>
      </w:r>
    </w:p>
    <w:p w:rsidR="001C660D" w:rsidRPr="008922AD" w:rsidRDefault="00A73AF9" w:rsidP="00F53968">
      <w:pPr>
        <w:jc w:val="center"/>
        <w:rPr>
          <w:rFonts w:ascii="Times New Roman" w:hAnsi="Times New Roman"/>
          <w:b/>
          <w:sz w:val="28"/>
          <w:szCs w:val="28"/>
        </w:rPr>
      </w:pPr>
      <w:r w:rsidRPr="008922AD">
        <w:rPr>
          <w:rFonts w:ascii="Times New Roman" w:hAnsi="Times New Roman"/>
          <w:b/>
          <w:sz w:val="28"/>
          <w:szCs w:val="28"/>
        </w:rPr>
        <w:t>March</w:t>
      </w:r>
      <w:r w:rsidR="008922AD" w:rsidRPr="008922AD">
        <w:rPr>
          <w:rFonts w:ascii="Times New Roman" w:hAnsi="Times New Roman"/>
          <w:b/>
          <w:sz w:val="28"/>
          <w:szCs w:val="28"/>
        </w:rPr>
        <w:t xml:space="preserve"> 2</w:t>
      </w:r>
      <w:r w:rsidR="00362BC9">
        <w:rPr>
          <w:rFonts w:ascii="Times New Roman" w:hAnsi="Times New Roman"/>
          <w:b/>
          <w:sz w:val="28"/>
          <w:szCs w:val="28"/>
        </w:rPr>
        <w:t>5</w:t>
      </w:r>
      <w:r w:rsidR="008922AD" w:rsidRPr="008922AD">
        <w:rPr>
          <w:rFonts w:ascii="Times New Roman" w:hAnsi="Times New Roman"/>
          <w:b/>
          <w:sz w:val="28"/>
          <w:szCs w:val="28"/>
        </w:rPr>
        <w:t>,</w:t>
      </w:r>
      <w:r w:rsidR="007A000A" w:rsidRPr="008922AD">
        <w:rPr>
          <w:rFonts w:ascii="Times New Roman" w:hAnsi="Times New Roman"/>
          <w:b/>
          <w:sz w:val="28"/>
          <w:szCs w:val="28"/>
        </w:rPr>
        <w:t xml:space="preserve"> </w:t>
      </w:r>
      <w:r w:rsidR="001C660D" w:rsidRPr="008922AD">
        <w:rPr>
          <w:rFonts w:ascii="Times New Roman" w:hAnsi="Times New Roman"/>
          <w:b/>
          <w:sz w:val="28"/>
          <w:szCs w:val="28"/>
        </w:rPr>
        <w:t>20</w:t>
      </w:r>
      <w:r w:rsidRPr="008922AD">
        <w:rPr>
          <w:rFonts w:ascii="Times New Roman" w:hAnsi="Times New Roman"/>
          <w:b/>
          <w:sz w:val="28"/>
          <w:szCs w:val="28"/>
        </w:rPr>
        <w:t>10</w:t>
      </w:r>
    </w:p>
    <w:p w:rsidR="001C660D" w:rsidRPr="008922AD" w:rsidRDefault="001C660D">
      <w:pPr>
        <w:rPr>
          <w:rFonts w:ascii="Times New Roman" w:hAnsi="Times New Roman"/>
          <w:sz w:val="24"/>
          <w:szCs w:val="24"/>
        </w:rPr>
      </w:pPr>
    </w:p>
    <w:tbl>
      <w:tblPr>
        <w:tblW w:w="17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2000"/>
        <w:gridCol w:w="8070"/>
        <w:gridCol w:w="4860"/>
      </w:tblGrid>
      <w:tr w:rsidR="001410C8" w:rsidRPr="008922AD" w:rsidTr="001410C8">
        <w:tc>
          <w:tcPr>
            <w:tcW w:w="2257" w:type="dxa"/>
            <w:shd w:val="pct15" w:color="auto" w:fill="auto"/>
          </w:tcPr>
          <w:p w:rsidR="001410C8" w:rsidRPr="001F6136" w:rsidRDefault="001410C8" w:rsidP="00F84C58">
            <w:pPr>
              <w:spacing w:line="240" w:lineRule="auto"/>
              <w:rPr>
                <w:rFonts w:ascii="Times New Roman" w:hAnsi="Times New Roman"/>
                <w:b/>
                <w:sz w:val="26"/>
                <w:szCs w:val="26"/>
              </w:rPr>
            </w:pPr>
            <w:r w:rsidRPr="001F6136">
              <w:rPr>
                <w:rFonts w:ascii="Times New Roman" w:hAnsi="Times New Roman"/>
                <w:b/>
                <w:sz w:val="26"/>
                <w:szCs w:val="26"/>
              </w:rPr>
              <w:t>Section</w:t>
            </w:r>
          </w:p>
        </w:tc>
        <w:tc>
          <w:tcPr>
            <w:tcW w:w="2000" w:type="dxa"/>
            <w:shd w:val="pct15" w:color="auto" w:fill="auto"/>
          </w:tcPr>
          <w:p w:rsidR="001410C8" w:rsidRPr="001F6136" w:rsidRDefault="001410C8" w:rsidP="00F84C58">
            <w:pPr>
              <w:spacing w:line="240" w:lineRule="auto"/>
              <w:rPr>
                <w:rFonts w:ascii="Times New Roman" w:hAnsi="Times New Roman"/>
                <w:b/>
                <w:sz w:val="26"/>
                <w:szCs w:val="26"/>
              </w:rPr>
            </w:pPr>
            <w:r w:rsidRPr="001F6136">
              <w:rPr>
                <w:rFonts w:ascii="Times New Roman" w:hAnsi="Times New Roman"/>
                <w:b/>
                <w:sz w:val="26"/>
                <w:szCs w:val="26"/>
              </w:rPr>
              <w:t>Commenter</w:t>
            </w:r>
          </w:p>
        </w:tc>
        <w:tc>
          <w:tcPr>
            <w:tcW w:w="8070" w:type="dxa"/>
            <w:shd w:val="pct15" w:color="auto" w:fill="auto"/>
          </w:tcPr>
          <w:p w:rsidR="001410C8" w:rsidRPr="001F6136" w:rsidRDefault="00B426D9" w:rsidP="00F84C58">
            <w:pPr>
              <w:spacing w:line="240" w:lineRule="auto"/>
              <w:rPr>
                <w:rFonts w:ascii="Times New Roman" w:hAnsi="Times New Roman"/>
                <w:b/>
                <w:sz w:val="26"/>
                <w:szCs w:val="26"/>
              </w:rPr>
            </w:pPr>
            <w:r>
              <w:rPr>
                <w:rFonts w:ascii="Times New Roman" w:hAnsi="Times New Roman"/>
                <w:b/>
                <w:sz w:val="26"/>
                <w:szCs w:val="26"/>
              </w:rPr>
              <w:t>Comments</w:t>
            </w:r>
          </w:p>
        </w:tc>
        <w:tc>
          <w:tcPr>
            <w:tcW w:w="4860" w:type="dxa"/>
            <w:shd w:val="pct15" w:color="auto" w:fill="auto"/>
          </w:tcPr>
          <w:p w:rsidR="001410C8" w:rsidRPr="001F6136" w:rsidRDefault="00B426D9" w:rsidP="00F84C58">
            <w:pPr>
              <w:spacing w:line="240" w:lineRule="auto"/>
              <w:rPr>
                <w:rFonts w:ascii="Times New Roman" w:hAnsi="Times New Roman"/>
                <w:b/>
                <w:sz w:val="26"/>
                <w:szCs w:val="26"/>
              </w:rPr>
            </w:pPr>
            <w:r>
              <w:rPr>
                <w:rFonts w:ascii="Times New Roman" w:hAnsi="Times New Roman"/>
                <w:b/>
                <w:sz w:val="26"/>
                <w:szCs w:val="26"/>
              </w:rPr>
              <w:t>Staff Response</w:t>
            </w:r>
          </w:p>
        </w:tc>
      </w:tr>
      <w:tr w:rsidR="001410C8" w:rsidRPr="008922AD" w:rsidTr="001410C8">
        <w:tc>
          <w:tcPr>
            <w:tcW w:w="2257" w:type="dxa"/>
          </w:tcPr>
          <w:p w:rsidR="001410C8" w:rsidRPr="001F6136" w:rsidRDefault="001410C8" w:rsidP="00F84C58">
            <w:pPr>
              <w:spacing w:line="240" w:lineRule="auto"/>
              <w:rPr>
                <w:rFonts w:ascii="Times New Roman" w:hAnsi="Times New Roman"/>
                <w:sz w:val="26"/>
                <w:szCs w:val="26"/>
              </w:rPr>
            </w:pPr>
          </w:p>
          <w:p w:rsidR="001410C8" w:rsidRPr="001F6136" w:rsidRDefault="00B426D9" w:rsidP="00AE2080">
            <w:pPr>
              <w:spacing w:line="240" w:lineRule="auto"/>
              <w:rPr>
                <w:rFonts w:ascii="Times New Roman" w:hAnsi="Times New Roman"/>
                <w:sz w:val="26"/>
                <w:szCs w:val="26"/>
              </w:rPr>
            </w:pPr>
            <w:r>
              <w:rPr>
                <w:rFonts w:ascii="Times New Roman" w:hAnsi="Times New Roman"/>
                <w:sz w:val="26"/>
                <w:szCs w:val="26"/>
              </w:rPr>
              <w:t>WAC 480-120-264(5)(a)</w:t>
            </w:r>
          </w:p>
          <w:p w:rsidR="001410C8" w:rsidRPr="001F6136" w:rsidRDefault="001410C8" w:rsidP="00F84C58">
            <w:pPr>
              <w:spacing w:line="240" w:lineRule="auto"/>
              <w:rPr>
                <w:rFonts w:ascii="Times New Roman" w:hAnsi="Times New Roman"/>
                <w:sz w:val="26"/>
                <w:szCs w:val="26"/>
              </w:rPr>
            </w:pPr>
          </w:p>
        </w:tc>
        <w:tc>
          <w:tcPr>
            <w:tcW w:w="2000" w:type="dxa"/>
          </w:tcPr>
          <w:p w:rsidR="001410C8" w:rsidRPr="001F6136" w:rsidRDefault="001410C8" w:rsidP="00A73AF9">
            <w:pPr>
              <w:spacing w:line="240" w:lineRule="auto"/>
              <w:rPr>
                <w:rFonts w:ascii="Times New Roman" w:hAnsi="Times New Roman"/>
                <w:sz w:val="26"/>
                <w:szCs w:val="26"/>
              </w:rPr>
            </w:pPr>
          </w:p>
          <w:p w:rsidR="001410C8" w:rsidRPr="001F6136" w:rsidRDefault="00B426D9" w:rsidP="008C7CCC">
            <w:pPr>
              <w:spacing w:line="240" w:lineRule="auto"/>
              <w:rPr>
                <w:rFonts w:ascii="Times New Roman" w:hAnsi="Times New Roman"/>
                <w:sz w:val="26"/>
                <w:szCs w:val="26"/>
              </w:rPr>
            </w:pPr>
            <w:r>
              <w:rPr>
                <w:rFonts w:ascii="Times New Roman" w:hAnsi="Times New Roman"/>
                <w:sz w:val="26"/>
                <w:szCs w:val="26"/>
              </w:rPr>
              <w:t xml:space="preserve">Thomas F. Dixon on behalf of </w:t>
            </w:r>
            <w:r>
              <w:rPr>
                <w:rFonts w:ascii="Times New Roman" w:hAnsi="Times New Roman"/>
                <w:i/>
                <w:sz w:val="26"/>
                <w:szCs w:val="26"/>
              </w:rPr>
              <w:t>MCI Communications Services Inc. d/b/a Verizon Business Services</w:t>
            </w:r>
            <w:r>
              <w:rPr>
                <w:rFonts w:ascii="Times New Roman" w:hAnsi="Times New Roman"/>
                <w:sz w:val="26"/>
                <w:szCs w:val="26"/>
              </w:rPr>
              <w:t xml:space="preserve"> (“Verizon”)</w:t>
            </w:r>
          </w:p>
          <w:p w:rsidR="001410C8" w:rsidRPr="001F6136" w:rsidRDefault="001410C8" w:rsidP="008C7CCC">
            <w:pPr>
              <w:spacing w:line="240" w:lineRule="auto"/>
              <w:rPr>
                <w:rFonts w:ascii="Times New Roman" w:hAnsi="Times New Roman"/>
                <w:sz w:val="26"/>
                <w:szCs w:val="26"/>
              </w:rPr>
            </w:pPr>
          </w:p>
          <w:p w:rsidR="001410C8" w:rsidRPr="001F6136" w:rsidRDefault="001410C8" w:rsidP="008C7CCC">
            <w:pPr>
              <w:spacing w:line="240" w:lineRule="auto"/>
              <w:rPr>
                <w:rFonts w:ascii="Times New Roman" w:hAnsi="Times New Roman"/>
                <w:sz w:val="26"/>
                <w:szCs w:val="26"/>
              </w:rPr>
            </w:pPr>
          </w:p>
        </w:tc>
        <w:tc>
          <w:tcPr>
            <w:tcW w:w="8070" w:type="dxa"/>
          </w:tcPr>
          <w:p w:rsidR="001410C8" w:rsidRPr="001F6136" w:rsidRDefault="001410C8" w:rsidP="00A73AF9">
            <w:pPr>
              <w:spacing w:line="240" w:lineRule="auto"/>
              <w:rPr>
                <w:rFonts w:ascii="Times New Roman" w:hAnsi="Times New Roman"/>
                <w:sz w:val="26"/>
                <w:szCs w:val="26"/>
              </w:rPr>
            </w:pPr>
          </w:p>
          <w:p w:rsidR="00E77755" w:rsidRPr="001F6136" w:rsidRDefault="00B426D9" w:rsidP="00E77755">
            <w:pPr>
              <w:spacing w:line="240" w:lineRule="auto"/>
              <w:rPr>
                <w:rFonts w:ascii="Times New Roman" w:hAnsi="Times New Roman"/>
                <w:sz w:val="26"/>
                <w:szCs w:val="26"/>
              </w:rPr>
            </w:pPr>
            <w:r>
              <w:rPr>
                <w:rFonts w:ascii="Times New Roman" w:hAnsi="Times New Roman"/>
                <w:sz w:val="26"/>
                <w:szCs w:val="26"/>
              </w:rPr>
              <w:t>Verizon recommends that the Commission amend subsection WAC 480-120-264(5</w:t>
            </w:r>
            <w:proofErr w:type="gramStart"/>
            <w:r>
              <w:rPr>
                <w:rFonts w:ascii="Times New Roman" w:hAnsi="Times New Roman"/>
                <w:sz w:val="26"/>
                <w:szCs w:val="26"/>
              </w:rPr>
              <w:t>)(</w:t>
            </w:r>
            <w:proofErr w:type="gramEnd"/>
            <w:r>
              <w:rPr>
                <w:rFonts w:ascii="Times New Roman" w:hAnsi="Times New Roman"/>
                <w:sz w:val="26"/>
                <w:szCs w:val="26"/>
              </w:rPr>
              <w:t>a)(viii), because not all prepaid calling cards contain a fixed number of minutes.  Certain cards provide a total monetary value that customers can use for calls with different rates such as intrastate, interstate, or international calls.</w:t>
            </w:r>
          </w:p>
          <w:p w:rsidR="00E77755" w:rsidRPr="001F6136" w:rsidRDefault="00E77755" w:rsidP="00E77755">
            <w:pPr>
              <w:spacing w:line="240" w:lineRule="auto"/>
              <w:rPr>
                <w:rFonts w:ascii="Times New Roman" w:hAnsi="Times New Roman"/>
                <w:sz w:val="26"/>
                <w:szCs w:val="26"/>
              </w:rPr>
            </w:pPr>
          </w:p>
          <w:p w:rsidR="001410C8" w:rsidRPr="001F6136" w:rsidRDefault="00B426D9" w:rsidP="00E77755">
            <w:pPr>
              <w:spacing w:line="240" w:lineRule="auto"/>
              <w:rPr>
                <w:rFonts w:ascii="Times New Roman" w:hAnsi="Times New Roman"/>
                <w:sz w:val="26"/>
                <w:szCs w:val="26"/>
              </w:rPr>
            </w:pPr>
            <w:r>
              <w:rPr>
                <w:rFonts w:ascii="Times New Roman" w:hAnsi="Times New Roman"/>
                <w:sz w:val="26"/>
                <w:szCs w:val="26"/>
              </w:rPr>
              <w:t>These cards provide consumers the flexibility to make a variety of calls If the relevant rates for each type of call are disclosed, consumers can make informed decisions about the minutes of calling available on the cards they purchase. Therefore, disclosing either the number of minutes or the value of the card and applicable rates will foster competition and provide more flexibility to customers.</w:t>
            </w:r>
          </w:p>
          <w:p w:rsidR="00E77755" w:rsidRPr="001F6136" w:rsidRDefault="00E77755" w:rsidP="00E77755">
            <w:pPr>
              <w:spacing w:line="240" w:lineRule="auto"/>
              <w:rPr>
                <w:rFonts w:ascii="Times New Roman" w:hAnsi="Times New Roman"/>
                <w:sz w:val="26"/>
                <w:szCs w:val="26"/>
              </w:rPr>
            </w:pPr>
          </w:p>
        </w:tc>
        <w:tc>
          <w:tcPr>
            <w:tcW w:w="4860" w:type="dxa"/>
          </w:tcPr>
          <w:p w:rsidR="001410C8" w:rsidRPr="001F6136" w:rsidRDefault="001410C8" w:rsidP="00816FF5">
            <w:pPr>
              <w:autoSpaceDE w:val="0"/>
              <w:autoSpaceDN w:val="0"/>
              <w:spacing w:line="240" w:lineRule="atLeast"/>
              <w:rPr>
                <w:rFonts w:ascii="Times New Roman" w:hAnsi="Times New Roman"/>
                <w:b/>
                <w:sz w:val="26"/>
                <w:szCs w:val="26"/>
              </w:rPr>
            </w:pPr>
          </w:p>
          <w:p w:rsidR="001410C8" w:rsidRPr="001F6136" w:rsidRDefault="00B426D9" w:rsidP="00816FF5">
            <w:pPr>
              <w:autoSpaceDE w:val="0"/>
              <w:autoSpaceDN w:val="0"/>
              <w:spacing w:line="240" w:lineRule="atLeast"/>
              <w:rPr>
                <w:rFonts w:ascii="Times New Roman" w:hAnsi="Times New Roman"/>
                <w:b/>
                <w:sz w:val="26"/>
                <w:szCs w:val="26"/>
              </w:rPr>
            </w:pPr>
            <w:r>
              <w:rPr>
                <w:rFonts w:ascii="Times New Roman" w:hAnsi="Times New Roman"/>
                <w:b/>
                <w:sz w:val="26"/>
                <w:szCs w:val="26"/>
              </w:rPr>
              <w:t xml:space="preserve">Staff agrees.  </w:t>
            </w:r>
          </w:p>
          <w:p w:rsidR="00AF2900" w:rsidRPr="001F6136" w:rsidRDefault="00B426D9" w:rsidP="00A73AF9">
            <w:pPr>
              <w:autoSpaceDE w:val="0"/>
              <w:autoSpaceDN w:val="0"/>
              <w:spacing w:line="240" w:lineRule="atLeast"/>
              <w:rPr>
                <w:rFonts w:ascii="Times New Roman" w:hAnsi="Times New Roman"/>
                <w:color w:val="000000" w:themeColor="text1"/>
                <w:sz w:val="26"/>
                <w:szCs w:val="26"/>
              </w:rPr>
            </w:pPr>
            <w:r>
              <w:rPr>
                <w:rFonts w:ascii="Times New Roman" w:hAnsi="Times New Roman"/>
                <w:color w:val="000000" w:themeColor="text1"/>
                <w:sz w:val="26"/>
                <w:szCs w:val="26"/>
              </w:rPr>
              <w:t xml:space="preserve">The proposed rule in Attachment 1 now includes Verizon’s suggested language. </w:t>
            </w:r>
          </w:p>
          <w:p w:rsidR="001410C8" w:rsidRPr="001F6136" w:rsidRDefault="00B426D9" w:rsidP="00A73AF9">
            <w:pPr>
              <w:autoSpaceDE w:val="0"/>
              <w:autoSpaceDN w:val="0"/>
              <w:spacing w:line="240" w:lineRule="atLeast"/>
              <w:rPr>
                <w:rFonts w:ascii="Times New Roman" w:hAnsi="Times New Roman"/>
                <w:color w:val="000000" w:themeColor="text1"/>
                <w:sz w:val="26"/>
                <w:szCs w:val="26"/>
              </w:rPr>
            </w:pPr>
            <w:r>
              <w:rPr>
                <w:rFonts w:ascii="Times New Roman" w:hAnsi="Times New Roman"/>
                <w:color w:val="000000" w:themeColor="text1"/>
                <w:sz w:val="26"/>
                <w:szCs w:val="26"/>
              </w:rPr>
              <w:t>Prepaid cards are typically sold for a monetary value and the number of minutes a consumer can use will vary based on the jurisdiction of the calls (intrastate, interstate or international). Therefore, it is not possible to accurately state the number of minutes a consumer can have for any one card of a given monetary value.</w:t>
            </w:r>
          </w:p>
          <w:p w:rsidR="001410C8" w:rsidRPr="001F6136" w:rsidRDefault="001410C8" w:rsidP="00A73AF9">
            <w:pPr>
              <w:autoSpaceDE w:val="0"/>
              <w:autoSpaceDN w:val="0"/>
              <w:spacing w:line="240" w:lineRule="atLeast"/>
              <w:rPr>
                <w:rFonts w:ascii="Times New Roman" w:hAnsi="Times New Roman"/>
                <w:sz w:val="26"/>
                <w:szCs w:val="26"/>
              </w:rPr>
            </w:pPr>
          </w:p>
          <w:p w:rsidR="001410C8" w:rsidRPr="001F6136" w:rsidRDefault="001410C8" w:rsidP="00A73AF9">
            <w:pPr>
              <w:autoSpaceDE w:val="0"/>
              <w:autoSpaceDN w:val="0"/>
              <w:spacing w:line="240" w:lineRule="atLeast"/>
              <w:rPr>
                <w:rFonts w:ascii="Times New Roman" w:hAnsi="Times New Roman"/>
                <w:sz w:val="26"/>
                <w:szCs w:val="26"/>
              </w:rPr>
            </w:pPr>
          </w:p>
          <w:p w:rsidR="001410C8" w:rsidRPr="001F6136" w:rsidRDefault="001410C8" w:rsidP="0024379E">
            <w:pPr>
              <w:autoSpaceDE w:val="0"/>
              <w:autoSpaceDN w:val="0"/>
              <w:spacing w:line="240" w:lineRule="atLeast"/>
              <w:rPr>
                <w:rFonts w:ascii="Times New Roman" w:hAnsi="Times New Roman"/>
                <w:sz w:val="26"/>
                <w:szCs w:val="26"/>
              </w:rPr>
            </w:pPr>
          </w:p>
        </w:tc>
      </w:tr>
      <w:tr w:rsidR="001410C8" w:rsidRPr="008922AD" w:rsidTr="001410C8">
        <w:tc>
          <w:tcPr>
            <w:tcW w:w="2257" w:type="dxa"/>
          </w:tcPr>
          <w:p w:rsidR="001410C8" w:rsidRPr="001F6136" w:rsidRDefault="001410C8" w:rsidP="00DF72A4">
            <w:pPr>
              <w:spacing w:line="240" w:lineRule="auto"/>
              <w:rPr>
                <w:rFonts w:ascii="Times New Roman" w:hAnsi="Times New Roman"/>
                <w:sz w:val="26"/>
                <w:szCs w:val="26"/>
              </w:rPr>
            </w:pPr>
          </w:p>
          <w:p w:rsidR="001410C8" w:rsidRPr="001F6136" w:rsidRDefault="00B426D9" w:rsidP="00AE2080">
            <w:pPr>
              <w:spacing w:line="240" w:lineRule="auto"/>
              <w:rPr>
                <w:rFonts w:ascii="Times New Roman" w:hAnsi="Times New Roman"/>
                <w:sz w:val="26"/>
                <w:szCs w:val="26"/>
              </w:rPr>
            </w:pPr>
            <w:r>
              <w:rPr>
                <w:rFonts w:ascii="Times New Roman" w:hAnsi="Times New Roman"/>
                <w:sz w:val="26"/>
                <w:szCs w:val="26"/>
              </w:rPr>
              <w:t>WAC 480-120-264(5)(a)</w:t>
            </w:r>
          </w:p>
          <w:p w:rsidR="001410C8" w:rsidRPr="001F6136" w:rsidRDefault="001410C8" w:rsidP="00DF72A4">
            <w:pPr>
              <w:spacing w:line="240" w:lineRule="auto"/>
              <w:rPr>
                <w:rFonts w:ascii="Times New Roman" w:hAnsi="Times New Roman"/>
                <w:sz w:val="26"/>
                <w:szCs w:val="26"/>
              </w:rPr>
            </w:pPr>
          </w:p>
        </w:tc>
        <w:tc>
          <w:tcPr>
            <w:tcW w:w="2000" w:type="dxa"/>
          </w:tcPr>
          <w:p w:rsidR="001410C8" w:rsidRPr="001F6136" w:rsidRDefault="001410C8" w:rsidP="00DF72A4">
            <w:pPr>
              <w:spacing w:line="240" w:lineRule="auto"/>
              <w:rPr>
                <w:rFonts w:ascii="Times New Roman" w:hAnsi="Times New Roman"/>
                <w:sz w:val="26"/>
                <w:szCs w:val="26"/>
              </w:rPr>
            </w:pPr>
          </w:p>
          <w:p w:rsidR="001410C8" w:rsidRPr="001F6136" w:rsidRDefault="00B426D9" w:rsidP="008C7CCC">
            <w:pPr>
              <w:spacing w:line="240" w:lineRule="auto"/>
              <w:rPr>
                <w:rFonts w:ascii="Times New Roman" w:hAnsi="Times New Roman"/>
                <w:sz w:val="26"/>
                <w:szCs w:val="26"/>
              </w:rPr>
            </w:pPr>
            <w:r>
              <w:rPr>
                <w:rFonts w:ascii="Times New Roman" w:hAnsi="Times New Roman"/>
                <w:sz w:val="26"/>
                <w:szCs w:val="26"/>
              </w:rPr>
              <w:t xml:space="preserve">Lisa D’Amato on behalf of </w:t>
            </w:r>
            <w:r>
              <w:rPr>
                <w:rFonts w:ascii="Times New Roman" w:hAnsi="Times New Roman"/>
                <w:i/>
                <w:sz w:val="26"/>
                <w:szCs w:val="26"/>
              </w:rPr>
              <w:t>Paracom, Inc.</w:t>
            </w:r>
            <w:r>
              <w:rPr>
                <w:rFonts w:ascii="Times New Roman" w:hAnsi="Times New Roman"/>
                <w:sz w:val="26"/>
                <w:szCs w:val="26"/>
              </w:rPr>
              <w:t xml:space="preserve"> (“Paracom”)</w:t>
            </w:r>
          </w:p>
        </w:tc>
        <w:tc>
          <w:tcPr>
            <w:tcW w:w="8070" w:type="dxa"/>
          </w:tcPr>
          <w:p w:rsidR="001410C8" w:rsidRPr="001F6136" w:rsidRDefault="001410C8" w:rsidP="00DF72A4">
            <w:pPr>
              <w:spacing w:line="240" w:lineRule="auto"/>
              <w:rPr>
                <w:rFonts w:ascii="Times New Roman" w:hAnsi="Times New Roman"/>
                <w:sz w:val="26"/>
                <w:szCs w:val="26"/>
              </w:rPr>
            </w:pPr>
          </w:p>
          <w:p w:rsidR="001410C8" w:rsidRPr="001F6136" w:rsidRDefault="00B426D9" w:rsidP="00DF72A4">
            <w:pPr>
              <w:spacing w:line="240" w:lineRule="auto"/>
              <w:rPr>
                <w:rFonts w:ascii="Times New Roman" w:hAnsi="Times New Roman"/>
                <w:sz w:val="26"/>
                <w:szCs w:val="26"/>
              </w:rPr>
            </w:pPr>
            <w:r>
              <w:rPr>
                <w:rFonts w:ascii="Times New Roman" w:hAnsi="Times New Roman"/>
                <w:sz w:val="26"/>
                <w:szCs w:val="26"/>
              </w:rPr>
              <w:t>Paracom opposes disclosing the number of minutes on its prepaid phone cards.  The dollar amount is on the phone card and the rate per minute is listed on their phone card vending machines.</w:t>
            </w:r>
          </w:p>
        </w:tc>
        <w:tc>
          <w:tcPr>
            <w:tcW w:w="4860" w:type="dxa"/>
          </w:tcPr>
          <w:p w:rsidR="001410C8" w:rsidRPr="001F6136" w:rsidRDefault="001410C8" w:rsidP="00DF72A4">
            <w:pPr>
              <w:autoSpaceDE w:val="0"/>
              <w:autoSpaceDN w:val="0"/>
              <w:spacing w:line="240" w:lineRule="atLeast"/>
              <w:rPr>
                <w:rFonts w:ascii="Times New Roman" w:hAnsi="Times New Roman"/>
                <w:b/>
                <w:sz w:val="26"/>
                <w:szCs w:val="26"/>
              </w:rPr>
            </w:pPr>
          </w:p>
          <w:p w:rsidR="001410C8" w:rsidRPr="001F6136" w:rsidRDefault="00B426D9" w:rsidP="00DF72A4">
            <w:pPr>
              <w:autoSpaceDE w:val="0"/>
              <w:autoSpaceDN w:val="0"/>
              <w:spacing w:line="240" w:lineRule="atLeast"/>
              <w:rPr>
                <w:rFonts w:ascii="Times New Roman" w:hAnsi="Times New Roman"/>
                <w:b/>
                <w:sz w:val="26"/>
                <w:szCs w:val="26"/>
              </w:rPr>
            </w:pPr>
            <w:r>
              <w:rPr>
                <w:rFonts w:ascii="Times New Roman" w:hAnsi="Times New Roman"/>
                <w:b/>
                <w:sz w:val="26"/>
                <w:szCs w:val="26"/>
              </w:rPr>
              <w:t xml:space="preserve">Clarification.  </w:t>
            </w:r>
          </w:p>
          <w:p w:rsidR="001410C8" w:rsidRPr="001F6136" w:rsidRDefault="00B426D9" w:rsidP="00DF72A4">
            <w:pPr>
              <w:autoSpaceDE w:val="0"/>
              <w:autoSpaceDN w:val="0"/>
              <w:spacing w:line="240" w:lineRule="atLeast"/>
              <w:rPr>
                <w:rFonts w:ascii="Times New Roman" w:hAnsi="Times New Roman"/>
                <w:sz w:val="26"/>
                <w:szCs w:val="26"/>
              </w:rPr>
            </w:pPr>
            <w:r>
              <w:rPr>
                <w:rFonts w:ascii="Times New Roman" w:hAnsi="Times New Roman"/>
                <w:sz w:val="26"/>
                <w:szCs w:val="26"/>
              </w:rPr>
              <w:t xml:space="preserve">The proposed rule allows companies to disclose information </w:t>
            </w:r>
            <w:r>
              <w:rPr>
                <w:rFonts w:ascii="Times New Roman" w:hAnsi="Times New Roman"/>
                <w:i/>
                <w:sz w:val="26"/>
                <w:szCs w:val="26"/>
              </w:rPr>
              <w:t>either</w:t>
            </w:r>
            <w:r>
              <w:rPr>
                <w:rFonts w:ascii="Times New Roman" w:hAnsi="Times New Roman"/>
                <w:sz w:val="26"/>
                <w:szCs w:val="26"/>
              </w:rPr>
              <w:t xml:space="preserve"> on the card </w:t>
            </w:r>
            <w:r>
              <w:rPr>
                <w:rFonts w:ascii="Times New Roman" w:hAnsi="Times New Roman"/>
                <w:i/>
                <w:sz w:val="26"/>
                <w:szCs w:val="26"/>
              </w:rPr>
              <w:t>or</w:t>
            </w:r>
            <w:r>
              <w:rPr>
                <w:rFonts w:ascii="Times New Roman" w:hAnsi="Times New Roman"/>
                <w:sz w:val="26"/>
                <w:szCs w:val="26"/>
              </w:rPr>
              <w:t xml:space="preserve"> on its packaging.</w:t>
            </w:r>
          </w:p>
          <w:p w:rsidR="001410C8" w:rsidRPr="001F6136" w:rsidRDefault="001410C8" w:rsidP="00DF72A4">
            <w:pPr>
              <w:autoSpaceDE w:val="0"/>
              <w:autoSpaceDN w:val="0"/>
              <w:spacing w:line="240" w:lineRule="atLeast"/>
              <w:rPr>
                <w:rFonts w:ascii="Times New Roman" w:hAnsi="Times New Roman"/>
                <w:sz w:val="26"/>
                <w:szCs w:val="26"/>
              </w:rPr>
            </w:pPr>
          </w:p>
        </w:tc>
      </w:tr>
      <w:tr w:rsidR="001410C8" w:rsidRPr="008922AD" w:rsidTr="001410C8">
        <w:tc>
          <w:tcPr>
            <w:tcW w:w="2257" w:type="dxa"/>
          </w:tcPr>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1410C8" w:rsidRPr="001F6136" w:rsidRDefault="00B426D9" w:rsidP="00AE2080">
            <w:pPr>
              <w:spacing w:line="240" w:lineRule="auto"/>
              <w:rPr>
                <w:rFonts w:ascii="Times New Roman" w:hAnsi="Times New Roman"/>
                <w:sz w:val="26"/>
                <w:szCs w:val="26"/>
              </w:rPr>
            </w:pPr>
            <w:r>
              <w:rPr>
                <w:rFonts w:ascii="Times New Roman" w:hAnsi="Times New Roman"/>
                <w:sz w:val="26"/>
                <w:szCs w:val="26"/>
              </w:rPr>
              <w:t>WAC 480-120-</w:t>
            </w:r>
            <w:r w:rsidR="001410C8" w:rsidRPr="001F6136">
              <w:rPr>
                <w:rFonts w:ascii="Times New Roman" w:hAnsi="Times New Roman"/>
                <w:sz w:val="26"/>
                <w:szCs w:val="26"/>
              </w:rPr>
              <w:t>264(5)(a)</w:t>
            </w:r>
          </w:p>
          <w:p w:rsidR="001410C8" w:rsidRPr="001F6136" w:rsidRDefault="001410C8" w:rsidP="00AE2080">
            <w:pPr>
              <w:spacing w:line="240" w:lineRule="auto"/>
              <w:rPr>
                <w:rFonts w:ascii="Times New Roman" w:hAnsi="Times New Roman"/>
                <w:sz w:val="26"/>
                <w:szCs w:val="26"/>
              </w:rPr>
            </w:pPr>
          </w:p>
        </w:tc>
        <w:tc>
          <w:tcPr>
            <w:tcW w:w="2000" w:type="dxa"/>
          </w:tcPr>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1410C8" w:rsidRPr="001F6136" w:rsidRDefault="00B426D9" w:rsidP="00AE2080">
            <w:pPr>
              <w:spacing w:line="240" w:lineRule="auto"/>
              <w:rPr>
                <w:rFonts w:ascii="Times New Roman" w:hAnsi="Times New Roman"/>
                <w:sz w:val="26"/>
                <w:szCs w:val="26"/>
              </w:rPr>
            </w:pPr>
            <w:r>
              <w:rPr>
                <w:rFonts w:ascii="Times New Roman" w:hAnsi="Times New Roman"/>
                <w:sz w:val="26"/>
                <w:szCs w:val="26"/>
              </w:rPr>
              <w:t xml:space="preserve">David Collier on behalf of </w:t>
            </w:r>
            <w:r>
              <w:rPr>
                <w:rFonts w:ascii="Times New Roman" w:hAnsi="Times New Roman"/>
                <w:i/>
                <w:sz w:val="26"/>
                <w:szCs w:val="26"/>
              </w:rPr>
              <w:t>AT&amp;T Communications of the Pacific Northwest, Inc.</w:t>
            </w:r>
            <w:r>
              <w:rPr>
                <w:rFonts w:ascii="Times New Roman" w:hAnsi="Times New Roman"/>
                <w:sz w:val="26"/>
                <w:szCs w:val="26"/>
              </w:rPr>
              <w:t xml:space="preserve"> (“AT&amp;T”)</w:t>
            </w:r>
          </w:p>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tc>
        <w:tc>
          <w:tcPr>
            <w:tcW w:w="8070" w:type="dxa"/>
          </w:tcPr>
          <w:p w:rsidR="001410C8" w:rsidRPr="001F6136" w:rsidRDefault="001410C8" w:rsidP="00AE2080">
            <w:pPr>
              <w:spacing w:line="240" w:lineRule="auto"/>
              <w:rPr>
                <w:rFonts w:ascii="Times New Roman" w:hAnsi="Times New Roman"/>
                <w:sz w:val="26"/>
                <w:szCs w:val="26"/>
              </w:rPr>
            </w:pPr>
          </w:p>
          <w:p w:rsidR="001410C8" w:rsidRPr="001F6136" w:rsidRDefault="00B426D9" w:rsidP="001410C8">
            <w:pPr>
              <w:spacing w:line="240" w:lineRule="auto"/>
              <w:jc w:val="center"/>
              <w:rPr>
                <w:rFonts w:ascii="Times New Roman" w:hAnsi="Times New Roman"/>
                <w:i/>
                <w:sz w:val="26"/>
                <w:szCs w:val="26"/>
              </w:rPr>
            </w:pPr>
            <w:r>
              <w:rPr>
                <w:rFonts w:ascii="Times New Roman" w:hAnsi="Times New Roman"/>
                <w:i/>
                <w:sz w:val="26"/>
                <w:szCs w:val="26"/>
              </w:rPr>
              <w:t>Continued on next page.</w:t>
            </w:r>
          </w:p>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1410C8" w:rsidRPr="001F6136" w:rsidRDefault="001410C8" w:rsidP="00AE2080">
            <w:pPr>
              <w:spacing w:line="240" w:lineRule="auto"/>
              <w:rPr>
                <w:rFonts w:ascii="Times New Roman" w:hAnsi="Times New Roman"/>
                <w:sz w:val="26"/>
                <w:szCs w:val="26"/>
              </w:rPr>
            </w:pPr>
          </w:p>
          <w:p w:rsidR="00E77755" w:rsidRPr="001F6136" w:rsidRDefault="00B426D9" w:rsidP="00E77755">
            <w:pPr>
              <w:spacing w:line="240" w:lineRule="auto"/>
              <w:rPr>
                <w:rFonts w:ascii="Times New Roman" w:hAnsi="Times New Roman"/>
                <w:sz w:val="26"/>
                <w:szCs w:val="26"/>
              </w:rPr>
            </w:pPr>
            <w:r>
              <w:rPr>
                <w:rFonts w:ascii="Times New Roman" w:hAnsi="Times New Roman"/>
                <w:sz w:val="26"/>
                <w:szCs w:val="26"/>
                <w:u w:val="single"/>
              </w:rPr>
              <w:t>Disclosure of Rates, Terms and Conditions in Language Advertised</w:t>
            </w:r>
            <w:r>
              <w:rPr>
                <w:rFonts w:ascii="Times New Roman" w:hAnsi="Times New Roman"/>
                <w:sz w:val="26"/>
                <w:szCs w:val="26"/>
              </w:rPr>
              <w:t>:  AT&amp;T does not oppose the addition of the language as proposed.</w:t>
            </w:r>
          </w:p>
          <w:p w:rsidR="00E77755" w:rsidRPr="001F6136" w:rsidRDefault="00B426D9" w:rsidP="00E77755">
            <w:pPr>
              <w:spacing w:line="240" w:lineRule="auto"/>
              <w:rPr>
                <w:rFonts w:ascii="Times New Roman" w:hAnsi="Times New Roman"/>
                <w:sz w:val="26"/>
                <w:szCs w:val="26"/>
              </w:rPr>
            </w:pPr>
            <w:r>
              <w:rPr>
                <w:rFonts w:ascii="Times New Roman" w:hAnsi="Times New Roman"/>
                <w:sz w:val="26"/>
                <w:szCs w:val="26"/>
              </w:rPr>
              <w:t xml:space="preserve">   </w:t>
            </w:r>
          </w:p>
          <w:p w:rsidR="001410C8" w:rsidRPr="001F6136" w:rsidRDefault="00B426D9" w:rsidP="00E77755">
            <w:pPr>
              <w:spacing w:line="240" w:lineRule="auto"/>
              <w:rPr>
                <w:rFonts w:ascii="Times New Roman" w:hAnsi="Times New Roman"/>
                <w:sz w:val="26"/>
                <w:szCs w:val="26"/>
              </w:rPr>
            </w:pPr>
            <w:r>
              <w:rPr>
                <w:rFonts w:ascii="Times New Roman" w:hAnsi="Times New Roman"/>
                <w:sz w:val="26"/>
                <w:szCs w:val="26"/>
                <w:u w:val="single"/>
              </w:rPr>
              <w:t>Disclosure of Number of Minutes on Card or Packaging</w:t>
            </w:r>
            <w:r>
              <w:rPr>
                <w:rFonts w:ascii="Times New Roman" w:hAnsi="Times New Roman"/>
                <w:sz w:val="26"/>
                <w:szCs w:val="26"/>
              </w:rPr>
              <w:t>:  AT&amp;T proposes that this requirement be broadened to allow the disclosure of the value of the prepaid calling services – either in dollars or minutes – on the card or its packaging.  The number of minutes that any card will provide may vary depending on how the card is utilized.  The disclosure of the dollar value of the card along with the methodology that can be employed to determine the number of minutes for any calling scenario provides the consumer with clear disclosure of the value of the card.</w:t>
            </w:r>
          </w:p>
          <w:p w:rsidR="001410C8" w:rsidRPr="001F6136" w:rsidRDefault="001410C8" w:rsidP="00590375">
            <w:pPr>
              <w:spacing w:line="240" w:lineRule="auto"/>
              <w:rPr>
                <w:rFonts w:ascii="Times New Roman" w:hAnsi="Times New Roman"/>
                <w:sz w:val="26"/>
                <w:szCs w:val="26"/>
              </w:rPr>
            </w:pPr>
          </w:p>
        </w:tc>
        <w:tc>
          <w:tcPr>
            <w:tcW w:w="4860" w:type="dxa"/>
          </w:tcPr>
          <w:p w:rsidR="001410C8" w:rsidRPr="001F6136" w:rsidRDefault="001410C8" w:rsidP="00AE2080">
            <w:pPr>
              <w:autoSpaceDE w:val="0"/>
              <w:autoSpaceDN w:val="0"/>
              <w:spacing w:line="240" w:lineRule="atLeast"/>
              <w:rPr>
                <w:rFonts w:ascii="Times New Roman" w:hAnsi="Times New Roman"/>
                <w:b/>
                <w:sz w:val="26"/>
                <w:szCs w:val="26"/>
              </w:rPr>
            </w:pPr>
          </w:p>
          <w:p w:rsidR="001410C8" w:rsidRPr="001F6136" w:rsidRDefault="001410C8" w:rsidP="00AE2080">
            <w:pPr>
              <w:autoSpaceDE w:val="0"/>
              <w:autoSpaceDN w:val="0"/>
              <w:spacing w:line="240" w:lineRule="atLeast"/>
              <w:rPr>
                <w:rFonts w:ascii="Times New Roman" w:hAnsi="Times New Roman"/>
                <w:b/>
                <w:sz w:val="26"/>
                <w:szCs w:val="26"/>
              </w:rPr>
            </w:pPr>
          </w:p>
          <w:p w:rsidR="001410C8" w:rsidRPr="001F6136" w:rsidRDefault="001410C8" w:rsidP="00AE2080">
            <w:pPr>
              <w:autoSpaceDE w:val="0"/>
              <w:autoSpaceDN w:val="0"/>
              <w:spacing w:line="240" w:lineRule="atLeast"/>
              <w:rPr>
                <w:rFonts w:ascii="Times New Roman" w:hAnsi="Times New Roman"/>
                <w:b/>
                <w:sz w:val="26"/>
                <w:szCs w:val="26"/>
              </w:rPr>
            </w:pPr>
          </w:p>
          <w:p w:rsidR="001410C8" w:rsidRPr="001F6136" w:rsidRDefault="001410C8" w:rsidP="00AE2080">
            <w:pPr>
              <w:autoSpaceDE w:val="0"/>
              <w:autoSpaceDN w:val="0"/>
              <w:spacing w:line="240" w:lineRule="atLeast"/>
              <w:rPr>
                <w:rFonts w:ascii="Times New Roman" w:hAnsi="Times New Roman"/>
                <w:b/>
                <w:sz w:val="26"/>
                <w:szCs w:val="26"/>
              </w:rPr>
            </w:pPr>
          </w:p>
          <w:p w:rsidR="001410C8" w:rsidRPr="001F6136" w:rsidRDefault="001410C8" w:rsidP="00AE2080">
            <w:pPr>
              <w:autoSpaceDE w:val="0"/>
              <w:autoSpaceDN w:val="0"/>
              <w:spacing w:line="240" w:lineRule="atLeast"/>
              <w:rPr>
                <w:rFonts w:ascii="Times New Roman" w:hAnsi="Times New Roman"/>
                <w:b/>
                <w:sz w:val="26"/>
                <w:szCs w:val="26"/>
              </w:rPr>
            </w:pPr>
          </w:p>
          <w:p w:rsidR="001410C8" w:rsidRPr="001F6136" w:rsidRDefault="00B426D9" w:rsidP="00AE2080">
            <w:pPr>
              <w:autoSpaceDE w:val="0"/>
              <w:autoSpaceDN w:val="0"/>
              <w:spacing w:line="240" w:lineRule="atLeast"/>
              <w:rPr>
                <w:rFonts w:ascii="Times New Roman" w:hAnsi="Times New Roman"/>
                <w:b/>
                <w:sz w:val="26"/>
                <w:szCs w:val="26"/>
              </w:rPr>
            </w:pPr>
            <w:r>
              <w:rPr>
                <w:rFonts w:ascii="Times New Roman" w:hAnsi="Times New Roman"/>
                <w:b/>
                <w:sz w:val="26"/>
                <w:szCs w:val="26"/>
              </w:rPr>
              <w:t xml:space="preserve">Clarification.  </w:t>
            </w:r>
          </w:p>
          <w:p w:rsidR="001410C8" w:rsidRPr="001F6136" w:rsidRDefault="00B426D9" w:rsidP="00AE2080">
            <w:pPr>
              <w:autoSpaceDE w:val="0"/>
              <w:autoSpaceDN w:val="0"/>
              <w:spacing w:line="240" w:lineRule="atLeast"/>
              <w:rPr>
                <w:rFonts w:ascii="Times New Roman" w:hAnsi="Times New Roman"/>
                <w:sz w:val="26"/>
                <w:szCs w:val="26"/>
              </w:rPr>
            </w:pPr>
            <w:r>
              <w:rPr>
                <w:rFonts w:ascii="Times New Roman" w:hAnsi="Times New Roman"/>
                <w:sz w:val="26"/>
                <w:szCs w:val="26"/>
              </w:rPr>
              <w:t>The proposed rule in Attachment 1 is now consistent with AT&amp;T’s recommendation.</w:t>
            </w:r>
          </w:p>
        </w:tc>
      </w:tr>
    </w:tbl>
    <w:p w:rsidR="001C660D" w:rsidRPr="008922AD" w:rsidRDefault="001C660D">
      <w:pPr>
        <w:rPr>
          <w:rFonts w:ascii="Times New Roman" w:hAnsi="Times New Roman"/>
          <w:sz w:val="24"/>
          <w:szCs w:val="24"/>
        </w:rPr>
      </w:pPr>
    </w:p>
    <w:sectPr w:rsidR="001C660D" w:rsidRPr="008922AD" w:rsidSect="00AE2080">
      <w:headerReference w:type="default" r:id="rId7"/>
      <w:footerReference w:type="default" r:id="rId8"/>
      <w:pgSz w:w="20160" w:h="12240" w:orient="landscape" w:code="5"/>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136" w:rsidRDefault="001F6136" w:rsidP="00F84C58">
      <w:pPr>
        <w:spacing w:line="240" w:lineRule="auto"/>
      </w:pPr>
      <w:r>
        <w:separator/>
      </w:r>
    </w:p>
  </w:endnote>
  <w:endnote w:type="continuationSeparator" w:id="0">
    <w:p w:rsidR="001F6136" w:rsidRDefault="001F6136" w:rsidP="00F84C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36" w:rsidRPr="008922AD" w:rsidRDefault="001F6136">
    <w:pPr>
      <w:pStyle w:val="Footer"/>
      <w:jc w:val="right"/>
      <w:rPr>
        <w:rFonts w:ascii="Times New Roman" w:hAnsi="Times New Roman"/>
        <w:b/>
        <w:sz w:val="24"/>
        <w:szCs w:val="24"/>
      </w:rPr>
    </w:pPr>
    <w:r w:rsidRPr="008922AD">
      <w:rPr>
        <w:rFonts w:ascii="Times New Roman" w:hAnsi="Times New Roman"/>
        <w:b/>
        <w:sz w:val="24"/>
        <w:szCs w:val="24"/>
      </w:rPr>
      <w:t xml:space="preserve">Page </w:t>
    </w:r>
    <w:r w:rsidR="00491C63" w:rsidRPr="008922AD">
      <w:rPr>
        <w:rFonts w:ascii="Times New Roman" w:hAnsi="Times New Roman"/>
        <w:b/>
        <w:sz w:val="24"/>
        <w:szCs w:val="24"/>
      </w:rPr>
      <w:fldChar w:fldCharType="begin"/>
    </w:r>
    <w:r w:rsidRPr="008922AD">
      <w:rPr>
        <w:rFonts w:ascii="Times New Roman" w:hAnsi="Times New Roman"/>
        <w:b/>
        <w:sz w:val="24"/>
        <w:szCs w:val="24"/>
      </w:rPr>
      <w:instrText xml:space="preserve"> PAGE   \* MERGEFORMAT </w:instrText>
    </w:r>
    <w:r w:rsidR="00491C63" w:rsidRPr="008922AD">
      <w:rPr>
        <w:rFonts w:ascii="Times New Roman" w:hAnsi="Times New Roman"/>
        <w:b/>
        <w:sz w:val="24"/>
        <w:szCs w:val="24"/>
      </w:rPr>
      <w:fldChar w:fldCharType="separate"/>
    </w:r>
    <w:r w:rsidR="004E1F67">
      <w:rPr>
        <w:rFonts w:ascii="Times New Roman" w:hAnsi="Times New Roman"/>
        <w:b/>
        <w:noProof/>
        <w:sz w:val="24"/>
        <w:szCs w:val="24"/>
      </w:rPr>
      <w:t>1</w:t>
    </w:r>
    <w:r w:rsidR="00491C63" w:rsidRPr="008922AD">
      <w:rPr>
        <w:rFonts w:ascii="Times New Roman" w:hAnsi="Times New Roman"/>
        <w:b/>
        <w:sz w:val="24"/>
        <w:szCs w:val="24"/>
      </w:rPr>
      <w:fldChar w:fldCharType="end"/>
    </w:r>
    <w:r w:rsidRPr="008922AD">
      <w:rPr>
        <w:rFonts w:ascii="Times New Roman" w:hAnsi="Times New Roman"/>
        <w:b/>
        <w:sz w:val="24"/>
        <w:szCs w:val="24"/>
      </w:rPr>
      <w:t xml:space="preserve"> of</w:t>
    </w:r>
    <w:r>
      <w:rPr>
        <w:rFonts w:ascii="Times New Roman" w:hAnsi="Times New Roman"/>
        <w:b/>
        <w:sz w:val="24"/>
        <w:szCs w:val="24"/>
      </w:rPr>
      <w:t xml:space="preserve"> </w:t>
    </w:r>
    <w:r w:rsidRPr="008922AD">
      <w:rPr>
        <w:rFonts w:ascii="Times New Roman" w:hAnsi="Times New Roman"/>
        <w:b/>
        <w:sz w:val="24"/>
        <w:szCs w:val="24"/>
      </w:rPr>
      <w:t xml:space="preserve"> 2</w:t>
    </w:r>
  </w:p>
  <w:p w:rsidR="001F6136" w:rsidRDefault="001F6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136" w:rsidRDefault="001F6136" w:rsidP="00F84C58">
      <w:pPr>
        <w:spacing w:line="240" w:lineRule="auto"/>
      </w:pPr>
      <w:r>
        <w:separator/>
      </w:r>
    </w:p>
  </w:footnote>
  <w:footnote w:type="continuationSeparator" w:id="0">
    <w:p w:rsidR="001F6136" w:rsidRDefault="001F6136" w:rsidP="00F84C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36" w:rsidRDefault="001F6136">
    <w:pPr>
      <w:pStyle w:val="Header"/>
      <w:jc w:val="right"/>
      <w:rPr>
        <w:rFonts w:ascii="Times New Roman" w:hAnsi="Times New Roman"/>
        <w:b/>
        <w:sz w:val="24"/>
        <w:szCs w:val="24"/>
      </w:rPr>
    </w:pPr>
    <w:r w:rsidRPr="008922AD">
      <w:rPr>
        <w:rFonts w:ascii="Times New Roman" w:hAnsi="Times New Roman"/>
        <w:b/>
        <w:sz w:val="24"/>
        <w:szCs w:val="24"/>
      </w:rPr>
      <w:tab/>
    </w:r>
    <w:r w:rsidRPr="008922AD">
      <w:rPr>
        <w:rFonts w:ascii="Times New Roman" w:hAnsi="Times New Roman"/>
        <w:b/>
        <w:sz w:val="24"/>
        <w:szCs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1C660D"/>
    <w:rsid w:val="00015542"/>
    <w:rsid w:val="00015B95"/>
    <w:rsid w:val="00020375"/>
    <w:rsid w:val="00045A0B"/>
    <w:rsid w:val="0007391C"/>
    <w:rsid w:val="00082D9B"/>
    <w:rsid w:val="00083421"/>
    <w:rsid w:val="000D15F2"/>
    <w:rsid w:val="000D1B23"/>
    <w:rsid w:val="000E1D9F"/>
    <w:rsid w:val="000F3E17"/>
    <w:rsid w:val="001100FE"/>
    <w:rsid w:val="0011706F"/>
    <w:rsid w:val="00117480"/>
    <w:rsid w:val="00117F95"/>
    <w:rsid w:val="00132698"/>
    <w:rsid w:val="001410C8"/>
    <w:rsid w:val="0016411F"/>
    <w:rsid w:val="00170CAC"/>
    <w:rsid w:val="00173D6C"/>
    <w:rsid w:val="00183A6B"/>
    <w:rsid w:val="00190B7F"/>
    <w:rsid w:val="00196AC6"/>
    <w:rsid w:val="001C5AB1"/>
    <w:rsid w:val="001C660D"/>
    <w:rsid w:val="001D2914"/>
    <w:rsid w:val="001E7457"/>
    <w:rsid w:val="001F4FBD"/>
    <w:rsid w:val="001F6136"/>
    <w:rsid w:val="00202286"/>
    <w:rsid w:val="0024379E"/>
    <w:rsid w:val="00261BB4"/>
    <w:rsid w:val="002722C6"/>
    <w:rsid w:val="0027488E"/>
    <w:rsid w:val="00290FE9"/>
    <w:rsid w:val="002919A0"/>
    <w:rsid w:val="002C039A"/>
    <w:rsid w:val="002C2191"/>
    <w:rsid w:val="002F00C9"/>
    <w:rsid w:val="0030247E"/>
    <w:rsid w:val="0031381F"/>
    <w:rsid w:val="00340BA9"/>
    <w:rsid w:val="00347EF1"/>
    <w:rsid w:val="00362BC9"/>
    <w:rsid w:val="00397EDB"/>
    <w:rsid w:val="003B06A1"/>
    <w:rsid w:val="004067AE"/>
    <w:rsid w:val="0041288F"/>
    <w:rsid w:val="00427518"/>
    <w:rsid w:val="0043023D"/>
    <w:rsid w:val="00437AFF"/>
    <w:rsid w:val="00477415"/>
    <w:rsid w:val="00481799"/>
    <w:rsid w:val="00491C63"/>
    <w:rsid w:val="004C3EBD"/>
    <w:rsid w:val="004C5179"/>
    <w:rsid w:val="004E1F67"/>
    <w:rsid w:val="004E4387"/>
    <w:rsid w:val="004F33FC"/>
    <w:rsid w:val="0052674E"/>
    <w:rsid w:val="00527F74"/>
    <w:rsid w:val="0058639C"/>
    <w:rsid w:val="00590375"/>
    <w:rsid w:val="0059420D"/>
    <w:rsid w:val="005A049E"/>
    <w:rsid w:val="005E07AB"/>
    <w:rsid w:val="005F0DCE"/>
    <w:rsid w:val="0060225D"/>
    <w:rsid w:val="006426B5"/>
    <w:rsid w:val="0066561E"/>
    <w:rsid w:val="006E0B51"/>
    <w:rsid w:val="006E5085"/>
    <w:rsid w:val="006F2FA1"/>
    <w:rsid w:val="00702FB4"/>
    <w:rsid w:val="00722E3E"/>
    <w:rsid w:val="00723A3A"/>
    <w:rsid w:val="00762DF8"/>
    <w:rsid w:val="00767B43"/>
    <w:rsid w:val="00771EDA"/>
    <w:rsid w:val="007A000A"/>
    <w:rsid w:val="007A3B82"/>
    <w:rsid w:val="007A7A66"/>
    <w:rsid w:val="007B2C91"/>
    <w:rsid w:val="007C3DA1"/>
    <w:rsid w:val="007E1036"/>
    <w:rsid w:val="00800391"/>
    <w:rsid w:val="00803A3C"/>
    <w:rsid w:val="00816FF5"/>
    <w:rsid w:val="00845B20"/>
    <w:rsid w:val="008634E6"/>
    <w:rsid w:val="00863564"/>
    <w:rsid w:val="008922AD"/>
    <w:rsid w:val="008B4A08"/>
    <w:rsid w:val="008C6CCF"/>
    <w:rsid w:val="008C7CCC"/>
    <w:rsid w:val="008D0275"/>
    <w:rsid w:val="00914AE3"/>
    <w:rsid w:val="00914B54"/>
    <w:rsid w:val="00921AB1"/>
    <w:rsid w:val="00947A65"/>
    <w:rsid w:val="00957D86"/>
    <w:rsid w:val="00960A0F"/>
    <w:rsid w:val="0096794A"/>
    <w:rsid w:val="00976792"/>
    <w:rsid w:val="00986749"/>
    <w:rsid w:val="009B0AE7"/>
    <w:rsid w:val="009C327F"/>
    <w:rsid w:val="009D03DE"/>
    <w:rsid w:val="009D7E48"/>
    <w:rsid w:val="009F75CC"/>
    <w:rsid w:val="00A34504"/>
    <w:rsid w:val="00A73AF9"/>
    <w:rsid w:val="00A75A11"/>
    <w:rsid w:val="00A84C2A"/>
    <w:rsid w:val="00A95019"/>
    <w:rsid w:val="00A97694"/>
    <w:rsid w:val="00AC4987"/>
    <w:rsid w:val="00AD02DC"/>
    <w:rsid w:val="00AD5449"/>
    <w:rsid w:val="00AD7A30"/>
    <w:rsid w:val="00AE02E5"/>
    <w:rsid w:val="00AE2080"/>
    <w:rsid w:val="00AE6171"/>
    <w:rsid w:val="00AF2900"/>
    <w:rsid w:val="00B06744"/>
    <w:rsid w:val="00B31ACB"/>
    <w:rsid w:val="00B32EA1"/>
    <w:rsid w:val="00B426D9"/>
    <w:rsid w:val="00B64989"/>
    <w:rsid w:val="00B8092B"/>
    <w:rsid w:val="00B80ACA"/>
    <w:rsid w:val="00B95BAE"/>
    <w:rsid w:val="00BA2BA3"/>
    <w:rsid w:val="00BA4996"/>
    <w:rsid w:val="00C03F96"/>
    <w:rsid w:val="00C132C6"/>
    <w:rsid w:val="00C34277"/>
    <w:rsid w:val="00C65710"/>
    <w:rsid w:val="00C739CA"/>
    <w:rsid w:val="00C85315"/>
    <w:rsid w:val="00C934D3"/>
    <w:rsid w:val="00CE0CC9"/>
    <w:rsid w:val="00CE5625"/>
    <w:rsid w:val="00CF3945"/>
    <w:rsid w:val="00D36950"/>
    <w:rsid w:val="00D36BB5"/>
    <w:rsid w:val="00D82AE5"/>
    <w:rsid w:val="00DA40C7"/>
    <w:rsid w:val="00DC1FBF"/>
    <w:rsid w:val="00DC7CD9"/>
    <w:rsid w:val="00DD2A47"/>
    <w:rsid w:val="00DF72A4"/>
    <w:rsid w:val="00E11A25"/>
    <w:rsid w:val="00E45AD2"/>
    <w:rsid w:val="00E531BD"/>
    <w:rsid w:val="00E53455"/>
    <w:rsid w:val="00E77755"/>
    <w:rsid w:val="00E97439"/>
    <w:rsid w:val="00EB596A"/>
    <w:rsid w:val="00EC4904"/>
    <w:rsid w:val="00F07E22"/>
    <w:rsid w:val="00F53968"/>
    <w:rsid w:val="00F73E57"/>
    <w:rsid w:val="00F77873"/>
    <w:rsid w:val="00F82CDC"/>
    <w:rsid w:val="00F84C58"/>
    <w:rsid w:val="00FC4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6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84C5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84C58"/>
  </w:style>
  <w:style w:type="paragraph" w:styleId="Footer">
    <w:name w:val="footer"/>
    <w:basedOn w:val="Normal"/>
    <w:link w:val="FooterChar"/>
    <w:uiPriority w:val="99"/>
    <w:unhideWhenUsed/>
    <w:rsid w:val="00F84C58"/>
    <w:pPr>
      <w:tabs>
        <w:tab w:val="center" w:pos="4680"/>
        <w:tab w:val="right" w:pos="9360"/>
      </w:tabs>
      <w:spacing w:line="240" w:lineRule="auto"/>
    </w:pPr>
  </w:style>
  <w:style w:type="character" w:customStyle="1" w:styleId="FooterChar">
    <w:name w:val="Footer Char"/>
    <w:basedOn w:val="DefaultParagraphFont"/>
    <w:link w:val="Footer"/>
    <w:uiPriority w:val="99"/>
    <w:rsid w:val="00F84C58"/>
  </w:style>
  <w:style w:type="character" w:styleId="CommentReference">
    <w:name w:val="annotation reference"/>
    <w:basedOn w:val="DefaultParagraphFont"/>
    <w:uiPriority w:val="99"/>
    <w:semiHidden/>
    <w:unhideWhenUsed/>
    <w:rsid w:val="00CE0CC9"/>
    <w:rPr>
      <w:sz w:val="16"/>
      <w:szCs w:val="16"/>
    </w:rPr>
  </w:style>
  <w:style w:type="paragraph" w:styleId="CommentText">
    <w:name w:val="annotation text"/>
    <w:basedOn w:val="Normal"/>
    <w:link w:val="CommentTextChar"/>
    <w:uiPriority w:val="99"/>
    <w:semiHidden/>
    <w:unhideWhenUsed/>
    <w:rsid w:val="00CE0CC9"/>
    <w:rPr>
      <w:sz w:val="20"/>
      <w:szCs w:val="20"/>
    </w:rPr>
  </w:style>
  <w:style w:type="character" w:customStyle="1" w:styleId="CommentTextChar">
    <w:name w:val="Comment Text Char"/>
    <w:basedOn w:val="DefaultParagraphFont"/>
    <w:link w:val="CommentText"/>
    <w:uiPriority w:val="99"/>
    <w:semiHidden/>
    <w:rsid w:val="00CE0CC9"/>
  </w:style>
  <w:style w:type="paragraph" w:styleId="CommentSubject">
    <w:name w:val="annotation subject"/>
    <w:basedOn w:val="CommentText"/>
    <w:next w:val="CommentText"/>
    <w:link w:val="CommentSubjectChar"/>
    <w:uiPriority w:val="99"/>
    <w:semiHidden/>
    <w:unhideWhenUsed/>
    <w:rsid w:val="00CE0CC9"/>
    <w:rPr>
      <w:b/>
      <w:bCs/>
    </w:rPr>
  </w:style>
  <w:style w:type="character" w:customStyle="1" w:styleId="CommentSubjectChar">
    <w:name w:val="Comment Subject Char"/>
    <w:basedOn w:val="CommentTextChar"/>
    <w:link w:val="CommentSubject"/>
    <w:uiPriority w:val="99"/>
    <w:semiHidden/>
    <w:rsid w:val="00CE0CC9"/>
    <w:rPr>
      <w:b/>
      <w:bCs/>
    </w:rPr>
  </w:style>
  <w:style w:type="paragraph" w:styleId="Revision">
    <w:name w:val="Revision"/>
    <w:hidden/>
    <w:uiPriority w:val="99"/>
    <w:semiHidden/>
    <w:rsid w:val="00CE0CC9"/>
    <w:rPr>
      <w:sz w:val="22"/>
      <w:szCs w:val="22"/>
    </w:rPr>
  </w:style>
  <w:style w:type="paragraph" w:styleId="BalloonText">
    <w:name w:val="Balloon Text"/>
    <w:basedOn w:val="Normal"/>
    <w:link w:val="BalloonTextChar"/>
    <w:uiPriority w:val="99"/>
    <w:semiHidden/>
    <w:unhideWhenUsed/>
    <w:rsid w:val="00CE0C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9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2010-01-26T08:00:00+00:00</OpenedDate>
    <Date1 xmlns="dc463f71-b30c-4ab2-9473-d307f9d35888">2010-05-05T07:00:00+00:00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5B281EA4636542A21F2F689EE9299B" ma:contentTypeVersion="131" ma:contentTypeDescription="" ma:contentTypeScope="" ma:versionID="c8646ee5010ffe64730ae702b51106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2FE9AA-DFEF-4653-BA64-1754B5C636E6}"/>
</file>

<file path=customXml/itemProps2.xml><?xml version="1.0" encoding="utf-8"?>
<ds:datastoreItem xmlns:ds="http://schemas.openxmlformats.org/officeDocument/2006/customXml" ds:itemID="{F9862A2A-21B9-42C5-A8DF-C7F700981DA4}"/>
</file>

<file path=customXml/itemProps3.xml><?xml version="1.0" encoding="utf-8"?>
<ds:datastoreItem xmlns:ds="http://schemas.openxmlformats.org/officeDocument/2006/customXml" ds:itemID="{11E02129-E495-4CF3-BBDA-C52CF5F466B2}"/>
</file>

<file path=customXml/itemProps4.xml><?xml version="1.0" encoding="utf-8"?>
<ds:datastoreItem xmlns:ds="http://schemas.openxmlformats.org/officeDocument/2006/customXml" ds:itemID="{462258E5-7893-4DF1-A2DF-A7091E015909}"/>
</file>

<file path=customXml/itemProps5.xml><?xml version="1.0" encoding="utf-8"?>
<ds:datastoreItem xmlns:ds="http://schemas.openxmlformats.org/officeDocument/2006/customXml" ds:itemID="{A988C0A4-CCEC-4E8D-AA8D-F3FA799612C7}"/>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Elliott</dc:creator>
  <cp:keywords/>
  <dc:description/>
  <cp:lastModifiedBy>Kippi Walker</cp:lastModifiedBy>
  <cp:revision>3</cp:revision>
  <cp:lastPrinted>2010-01-14T22:19:00Z</cp:lastPrinted>
  <dcterms:created xsi:type="dcterms:W3CDTF">2010-04-30T22:02:00Z</dcterms:created>
  <dcterms:modified xsi:type="dcterms:W3CDTF">2010-05-03T17:50:00Z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0x0101006E56B4D1795A2E4DB2F0B01679ED314A00215B281EA4636542A21F2F689EE9299B</vt:lpwstr>
  </property>
  <property fmtid="{D5CDD505-2E9C-101B-9397-08002B2CF9AE}" pid="3" name="_docset_NoMedatataSyncRequired">
    <vt:lpwstr>False</vt:lpwstr>
  </property>
</Properties>
</file>