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EE" w:rsidRPr="00AD4D61" w:rsidRDefault="00657DEE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Agenda Date:</w:t>
      </w:r>
      <w:r w:rsidRPr="00AD4D61">
        <w:rPr>
          <w:rFonts w:ascii="Times New Roman" w:hAnsi="Times New Roman"/>
        </w:rPr>
        <w:tab/>
      </w:r>
      <w:r w:rsidR="00744C90">
        <w:rPr>
          <w:rFonts w:ascii="Times New Roman" w:hAnsi="Times New Roman"/>
        </w:rPr>
        <w:tab/>
      </w:r>
      <w:r w:rsidR="00B456AB">
        <w:rPr>
          <w:rFonts w:ascii="Times New Roman" w:hAnsi="Times New Roman"/>
        </w:rPr>
        <w:t>July 16</w:t>
      </w:r>
      <w:r w:rsidR="006652DF">
        <w:rPr>
          <w:rFonts w:ascii="Times New Roman" w:hAnsi="Times New Roman"/>
        </w:rPr>
        <w:t>, 2009</w:t>
      </w:r>
    </w:p>
    <w:p w:rsidR="00657DEE" w:rsidRPr="00AD4D61" w:rsidRDefault="00657DEE">
      <w:pPr>
        <w:ind w:left="2160" w:hanging="2160"/>
        <w:rPr>
          <w:rFonts w:ascii="Times New Roman" w:hAnsi="Times New Roman"/>
        </w:rPr>
      </w:pPr>
      <w:r w:rsidRPr="00AD4D61">
        <w:rPr>
          <w:rFonts w:ascii="Times New Roman" w:hAnsi="Times New Roman"/>
        </w:rPr>
        <w:t>Item Number:</w:t>
      </w:r>
      <w:r w:rsidRPr="00AD4D61">
        <w:rPr>
          <w:rFonts w:ascii="Times New Roman" w:hAnsi="Times New Roman"/>
        </w:rPr>
        <w:tab/>
      </w:r>
      <w:r w:rsidR="00B10F8A">
        <w:rPr>
          <w:rFonts w:ascii="Times New Roman" w:hAnsi="Times New Roman"/>
        </w:rPr>
        <w:t>A1</w:t>
      </w:r>
    </w:p>
    <w:p w:rsidR="00657DEE" w:rsidRPr="00AD4D61" w:rsidRDefault="00657DEE">
      <w:pPr>
        <w:rPr>
          <w:rFonts w:ascii="Times New Roman" w:hAnsi="Times New Roman"/>
        </w:rPr>
      </w:pPr>
    </w:p>
    <w:p w:rsidR="00657DEE" w:rsidRPr="00AD4D61" w:rsidRDefault="00657DEE">
      <w:pPr>
        <w:rPr>
          <w:rFonts w:ascii="Times New Roman" w:hAnsi="Times New Roman"/>
          <w:b/>
          <w:bCs/>
        </w:rPr>
      </w:pPr>
      <w:r w:rsidRPr="00AD4D61">
        <w:rPr>
          <w:rFonts w:ascii="Times New Roman" w:hAnsi="Times New Roman"/>
          <w:b/>
          <w:bCs/>
        </w:rPr>
        <w:t>Docket:</w:t>
      </w:r>
      <w:r w:rsidRPr="00AD4D61">
        <w:rPr>
          <w:rFonts w:ascii="Times New Roman" w:hAnsi="Times New Roman"/>
          <w:b/>
          <w:bCs/>
        </w:rPr>
        <w:tab/>
      </w:r>
      <w:r w:rsidRPr="00AD4D61">
        <w:rPr>
          <w:rFonts w:ascii="Times New Roman" w:hAnsi="Times New Roman"/>
          <w:b/>
          <w:bCs/>
        </w:rPr>
        <w:tab/>
      </w:r>
      <w:r w:rsidR="00B84978">
        <w:rPr>
          <w:rFonts w:ascii="Times New Roman" w:hAnsi="Times New Roman"/>
          <w:b/>
          <w:bCs/>
        </w:rPr>
        <w:t>UE-0</w:t>
      </w:r>
      <w:r w:rsidR="006652DF">
        <w:rPr>
          <w:rFonts w:ascii="Times New Roman" w:hAnsi="Times New Roman"/>
          <w:b/>
          <w:bCs/>
        </w:rPr>
        <w:t>90452</w:t>
      </w:r>
    </w:p>
    <w:p w:rsidR="00657DEE" w:rsidRPr="00AD4D61" w:rsidRDefault="00657DEE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Company: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B84978">
        <w:rPr>
          <w:rFonts w:ascii="Times New Roman" w:hAnsi="Times New Roman"/>
        </w:rPr>
        <w:t>Avista Corporation</w:t>
      </w:r>
    </w:p>
    <w:p w:rsidR="00657DEE" w:rsidRPr="00AD4D61" w:rsidRDefault="00657DEE">
      <w:pPr>
        <w:rPr>
          <w:rFonts w:ascii="Times New Roman" w:hAnsi="Times New Roman"/>
        </w:rPr>
      </w:pPr>
    </w:p>
    <w:p w:rsidR="00657DEE" w:rsidRPr="00AD4D61" w:rsidRDefault="00657DEE" w:rsidP="00B84978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Staff: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6652DF">
        <w:rPr>
          <w:rFonts w:ascii="Times New Roman" w:hAnsi="Times New Roman"/>
        </w:rPr>
        <w:t>Danny Kermode, Regulatory Ana</w:t>
      </w:r>
      <w:r w:rsidR="003900E8">
        <w:rPr>
          <w:rFonts w:ascii="Times New Roman" w:hAnsi="Times New Roman"/>
        </w:rPr>
        <w:t>lyst</w:t>
      </w:r>
    </w:p>
    <w:p w:rsidR="00657DEE" w:rsidRPr="00AD4D61" w:rsidRDefault="00657DEE">
      <w:pPr>
        <w:rPr>
          <w:rFonts w:ascii="Times New Roman" w:hAnsi="Times New Roman"/>
        </w:rPr>
      </w:pPr>
    </w:p>
    <w:p w:rsidR="00657DEE" w:rsidRPr="00AD4D61" w:rsidRDefault="00842F1A">
      <w:pPr>
        <w:rPr>
          <w:rFonts w:ascii="Times New Roman" w:hAnsi="Times New Roman"/>
          <w:b/>
          <w:bCs/>
          <w:u w:val="single"/>
        </w:rPr>
      </w:pPr>
      <w:r w:rsidRPr="00AD4D61">
        <w:rPr>
          <w:rFonts w:ascii="Times New Roman" w:hAnsi="Times New Roman"/>
          <w:b/>
          <w:bCs/>
          <w:u w:val="single"/>
        </w:rPr>
        <w:t>Recommendation</w:t>
      </w:r>
    </w:p>
    <w:p w:rsidR="00170726" w:rsidRDefault="00170726">
      <w:pPr>
        <w:rPr>
          <w:rFonts w:ascii="Times New Roman" w:hAnsi="Times New Roman"/>
        </w:rPr>
      </w:pPr>
    </w:p>
    <w:p w:rsidR="00657DEE" w:rsidRPr="00AD4D61" w:rsidRDefault="00B849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Issue an order </w:t>
      </w:r>
      <w:r w:rsidR="00B646AC">
        <w:rPr>
          <w:rFonts w:ascii="Times New Roman" w:hAnsi="Times New Roman"/>
        </w:rPr>
        <w:t>in Docket UE-0</w:t>
      </w:r>
      <w:r w:rsidR="003900E8">
        <w:rPr>
          <w:rFonts w:ascii="Times New Roman" w:hAnsi="Times New Roman"/>
        </w:rPr>
        <w:t xml:space="preserve">90452 </w:t>
      </w:r>
      <w:r w:rsidR="00B646AC">
        <w:rPr>
          <w:rFonts w:ascii="Times New Roman" w:hAnsi="Times New Roman"/>
        </w:rPr>
        <w:t xml:space="preserve">deeming </w:t>
      </w:r>
      <w:r w:rsidR="00B456AB">
        <w:rPr>
          <w:rFonts w:ascii="Times New Roman" w:hAnsi="Times New Roman"/>
        </w:rPr>
        <w:t xml:space="preserve">the </w:t>
      </w:r>
      <w:r w:rsidR="00B456AB" w:rsidRPr="005C57D1">
        <w:rPr>
          <w:rFonts w:ascii="Times New Roman" w:hAnsi="Times New Roman"/>
        </w:rPr>
        <w:t>energy</w:t>
      </w:r>
      <w:r w:rsidR="005C57D1">
        <w:rPr>
          <w:rFonts w:ascii="Times New Roman" w:hAnsi="Times New Roman"/>
        </w:rPr>
        <w:t xml:space="preserve"> recovery mechanism</w:t>
      </w:r>
      <w:r w:rsidR="00B646AC">
        <w:rPr>
          <w:rFonts w:ascii="Times New Roman" w:hAnsi="Times New Roman"/>
        </w:rPr>
        <w:t xml:space="preserve"> deferrals </w:t>
      </w:r>
      <w:r w:rsidR="000D5043">
        <w:rPr>
          <w:rFonts w:ascii="Times New Roman" w:hAnsi="Times New Roman"/>
        </w:rPr>
        <w:t>for calendar</w:t>
      </w:r>
      <w:r w:rsidR="00B646AC">
        <w:rPr>
          <w:rFonts w:ascii="Times New Roman" w:hAnsi="Times New Roman"/>
        </w:rPr>
        <w:t xml:space="preserve"> year 200</w:t>
      </w:r>
      <w:r w:rsidR="003900E8">
        <w:rPr>
          <w:rFonts w:ascii="Times New Roman" w:hAnsi="Times New Roman"/>
        </w:rPr>
        <w:t>8</w:t>
      </w:r>
      <w:r w:rsidR="00B646AC">
        <w:rPr>
          <w:rFonts w:ascii="Times New Roman" w:hAnsi="Times New Roman"/>
        </w:rPr>
        <w:t xml:space="preserve"> as prudently incurred.</w:t>
      </w:r>
    </w:p>
    <w:p w:rsidR="00657DEE" w:rsidRPr="00AD4D61" w:rsidRDefault="00657DEE">
      <w:pPr>
        <w:rPr>
          <w:rFonts w:ascii="Times New Roman" w:hAnsi="Times New Roman"/>
        </w:rPr>
      </w:pPr>
    </w:p>
    <w:p w:rsidR="00657DEE" w:rsidRPr="00AD4D61" w:rsidRDefault="00657DEE">
      <w:pPr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t>Discussion</w:t>
      </w:r>
    </w:p>
    <w:p w:rsidR="00170726" w:rsidRDefault="00170726">
      <w:pPr>
        <w:rPr>
          <w:rFonts w:ascii="Times New Roman" w:hAnsi="Times New Roman"/>
        </w:rPr>
      </w:pPr>
    </w:p>
    <w:p w:rsidR="00657DEE" w:rsidRPr="00AD4D61" w:rsidRDefault="00B646AC">
      <w:pPr>
        <w:rPr>
          <w:rFonts w:ascii="Times New Roman" w:hAnsi="Times New Roman"/>
        </w:rPr>
      </w:pPr>
      <w:r>
        <w:rPr>
          <w:rFonts w:ascii="Times New Roman" w:hAnsi="Times New Roman"/>
        </w:rPr>
        <w:t>On March 27, 200</w:t>
      </w:r>
      <w:r w:rsidR="003900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Avista Corporation (Avista or </w:t>
      </w:r>
      <w:r w:rsidR="001A71D7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ompany) filed its </w:t>
      </w:r>
      <w:r w:rsidR="00A54AE4">
        <w:rPr>
          <w:rFonts w:ascii="Times New Roman" w:hAnsi="Times New Roman"/>
        </w:rPr>
        <w:t>e</w:t>
      </w:r>
      <w:r w:rsidR="00BE6C47">
        <w:rPr>
          <w:rFonts w:ascii="Times New Roman" w:hAnsi="Times New Roman"/>
        </w:rPr>
        <w:t xml:space="preserve">nergy </w:t>
      </w:r>
      <w:r w:rsidR="00A54AE4">
        <w:rPr>
          <w:rFonts w:ascii="Times New Roman" w:hAnsi="Times New Roman"/>
        </w:rPr>
        <w:t>recovery m</w:t>
      </w:r>
      <w:r w:rsidR="00BE6C47">
        <w:rPr>
          <w:rFonts w:ascii="Times New Roman" w:hAnsi="Times New Roman"/>
        </w:rPr>
        <w:t xml:space="preserve">echanism (ERM) </w:t>
      </w:r>
      <w:r>
        <w:rPr>
          <w:rFonts w:ascii="Times New Roman" w:hAnsi="Times New Roman"/>
        </w:rPr>
        <w:t xml:space="preserve">deferral </w:t>
      </w:r>
      <w:r w:rsidR="00A54AE4">
        <w:rPr>
          <w:rFonts w:ascii="Times New Roman" w:hAnsi="Times New Roman"/>
        </w:rPr>
        <w:t>entries for calendar year 2008</w:t>
      </w:r>
      <w:r w:rsidR="00C0668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as required under </w:t>
      </w:r>
      <w:r w:rsidR="002E1A9F">
        <w:rPr>
          <w:rFonts w:ascii="Times New Roman" w:hAnsi="Times New Roman"/>
        </w:rPr>
        <w:t>the</w:t>
      </w:r>
      <w:r w:rsidR="003900E8">
        <w:rPr>
          <w:rFonts w:ascii="Times New Roman" w:hAnsi="Times New Roman"/>
        </w:rPr>
        <w:t xml:space="preserve"> </w:t>
      </w:r>
      <w:r w:rsidR="002E1A9F">
        <w:rPr>
          <w:rFonts w:ascii="Times New Roman" w:hAnsi="Times New Roman"/>
        </w:rPr>
        <w:t>s</w:t>
      </w:r>
      <w:r w:rsidR="003900E8" w:rsidRPr="003900E8">
        <w:rPr>
          <w:rFonts w:ascii="Times New Roman" w:hAnsi="Times New Roman"/>
        </w:rPr>
        <w:t xml:space="preserve">ettlement </w:t>
      </w:r>
      <w:r w:rsidR="002E1A9F">
        <w:rPr>
          <w:rFonts w:ascii="Times New Roman" w:hAnsi="Times New Roman"/>
        </w:rPr>
        <w:t>s</w:t>
      </w:r>
      <w:r w:rsidR="003900E8" w:rsidRPr="003900E8">
        <w:rPr>
          <w:rFonts w:ascii="Times New Roman" w:hAnsi="Times New Roman"/>
        </w:rPr>
        <w:t xml:space="preserve">tipulation approved by the </w:t>
      </w:r>
      <w:r w:rsidR="001A71D7">
        <w:rPr>
          <w:rFonts w:ascii="Times New Roman" w:hAnsi="Times New Roman"/>
        </w:rPr>
        <w:t>Utilities and Transportation Commission (c</w:t>
      </w:r>
      <w:r w:rsidR="003900E8" w:rsidRPr="003900E8">
        <w:rPr>
          <w:rFonts w:ascii="Times New Roman" w:hAnsi="Times New Roman"/>
        </w:rPr>
        <w:t>ommission</w:t>
      </w:r>
      <w:r w:rsidR="001A71D7">
        <w:rPr>
          <w:rFonts w:ascii="Times New Roman" w:hAnsi="Times New Roman"/>
        </w:rPr>
        <w:t>)</w:t>
      </w:r>
      <w:r w:rsidR="003900E8" w:rsidRPr="003900E8">
        <w:rPr>
          <w:rFonts w:ascii="Times New Roman" w:hAnsi="Times New Roman"/>
        </w:rPr>
        <w:t xml:space="preserve"> </w:t>
      </w:r>
      <w:r w:rsidR="003900E8">
        <w:rPr>
          <w:rFonts w:ascii="Times New Roman" w:hAnsi="Times New Roman"/>
        </w:rPr>
        <w:t xml:space="preserve">in Docket UE-011595 and clarified in </w:t>
      </w:r>
      <w:r w:rsidR="001A71D7">
        <w:rPr>
          <w:rFonts w:ascii="Times New Roman" w:hAnsi="Times New Roman"/>
        </w:rPr>
        <w:t xml:space="preserve">Docket </w:t>
      </w:r>
      <w:r w:rsidR="003900E8">
        <w:rPr>
          <w:rFonts w:ascii="Times New Roman" w:hAnsi="Times New Roman"/>
        </w:rPr>
        <w:t>UE-030751</w:t>
      </w:r>
      <w:r w:rsidR="002E1A9F">
        <w:rPr>
          <w:rFonts w:ascii="Times New Roman" w:hAnsi="Times New Roman"/>
        </w:rPr>
        <w:t xml:space="preserve">. </w:t>
      </w:r>
      <w:r w:rsidR="003A6EDD">
        <w:rPr>
          <w:rFonts w:ascii="Times New Roman" w:hAnsi="Times New Roman"/>
        </w:rPr>
        <w:t xml:space="preserve">The purpose for the annual filing is to allow both the commission and interested parties </w:t>
      </w:r>
      <w:r w:rsidR="0093757B">
        <w:rPr>
          <w:rFonts w:ascii="Times New Roman" w:hAnsi="Times New Roman"/>
        </w:rPr>
        <w:t xml:space="preserve">no less than </w:t>
      </w:r>
      <w:r w:rsidR="003A6EDD">
        <w:rPr>
          <w:rFonts w:ascii="Times New Roman" w:hAnsi="Times New Roman"/>
        </w:rPr>
        <w:t xml:space="preserve">90 days to </w:t>
      </w:r>
      <w:r w:rsidR="003625B8">
        <w:rPr>
          <w:rFonts w:ascii="Times New Roman" w:hAnsi="Times New Roman"/>
        </w:rPr>
        <w:t xml:space="preserve">audit and </w:t>
      </w:r>
      <w:r w:rsidR="003A6EDD">
        <w:rPr>
          <w:rFonts w:ascii="Times New Roman" w:hAnsi="Times New Roman"/>
        </w:rPr>
        <w:t xml:space="preserve">review the prudence of the ERM deferral entries for the prior calendar year. </w:t>
      </w:r>
      <w:r w:rsidR="002E1A9F">
        <w:rPr>
          <w:rFonts w:ascii="Times New Roman" w:hAnsi="Times New Roman"/>
        </w:rPr>
        <w:t>The 90-day period end</w:t>
      </w:r>
      <w:r w:rsidR="003625B8">
        <w:rPr>
          <w:rFonts w:ascii="Times New Roman" w:hAnsi="Times New Roman"/>
        </w:rPr>
        <w:t>ed</w:t>
      </w:r>
      <w:r w:rsidR="002E1A9F">
        <w:rPr>
          <w:rFonts w:ascii="Times New Roman" w:hAnsi="Times New Roman"/>
        </w:rPr>
        <w:t xml:space="preserve"> June 30, 2009.</w:t>
      </w:r>
    </w:p>
    <w:p w:rsidR="00657DEE" w:rsidRPr="00AD4D61" w:rsidRDefault="00657DEE">
      <w:pPr>
        <w:rPr>
          <w:rFonts w:ascii="Times New Roman" w:hAnsi="Times New Roman"/>
        </w:rPr>
      </w:pPr>
    </w:p>
    <w:p w:rsidR="002E1A9F" w:rsidRDefault="00466AF4">
      <w:pPr>
        <w:rPr>
          <w:rFonts w:ascii="Times New Roman" w:hAnsi="Times New Roman"/>
        </w:rPr>
      </w:pPr>
      <w:r>
        <w:rPr>
          <w:rFonts w:ascii="Times New Roman" w:hAnsi="Times New Roman"/>
        </w:rPr>
        <w:t>During 200</w:t>
      </w:r>
      <w:r w:rsidR="00D91FD8">
        <w:rPr>
          <w:rFonts w:ascii="Times New Roman" w:hAnsi="Times New Roman"/>
        </w:rPr>
        <w:t>8,</w:t>
      </w:r>
      <w:r>
        <w:rPr>
          <w:rFonts w:ascii="Times New Roman" w:hAnsi="Times New Roman"/>
        </w:rPr>
        <w:t xml:space="preserve"> </w:t>
      </w:r>
      <w:r w:rsidR="006613A2">
        <w:rPr>
          <w:rFonts w:ascii="Times New Roman" w:hAnsi="Times New Roman"/>
        </w:rPr>
        <w:t xml:space="preserve">Avista’s </w:t>
      </w:r>
      <w:r>
        <w:rPr>
          <w:rFonts w:ascii="Times New Roman" w:hAnsi="Times New Roman"/>
        </w:rPr>
        <w:t>actual net power costs were</w:t>
      </w:r>
      <w:r w:rsidR="00D91FD8">
        <w:rPr>
          <w:rFonts w:ascii="Times New Roman" w:hAnsi="Times New Roman"/>
        </w:rPr>
        <w:t xml:space="preserve"> $14</w:t>
      </w:r>
      <w:r w:rsidR="002E1A9F">
        <w:rPr>
          <w:rFonts w:ascii="Times New Roman" w:hAnsi="Times New Roman"/>
        </w:rPr>
        <w:t>.5 million</w:t>
      </w:r>
      <w:r>
        <w:rPr>
          <w:rFonts w:ascii="Times New Roman" w:hAnsi="Times New Roman"/>
        </w:rPr>
        <w:t xml:space="preserve"> higher </w:t>
      </w:r>
      <w:r w:rsidR="002E1A9F">
        <w:rPr>
          <w:rFonts w:ascii="Times New Roman" w:hAnsi="Times New Roman"/>
        </w:rPr>
        <w:t xml:space="preserve">for Washington </w:t>
      </w:r>
      <w:r>
        <w:rPr>
          <w:rFonts w:ascii="Times New Roman" w:hAnsi="Times New Roman"/>
        </w:rPr>
        <w:t>than the authorized net power costs</w:t>
      </w:r>
      <w:r w:rsidR="002E1A9F">
        <w:rPr>
          <w:rFonts w:ascii="Times New Roman" w:hAnsi="Times New Roman"/>
        </w:rPr>
        <w:t xml:space="preserve"> provided in rates</w:t>
      </w:r>
      <w:r>
        <w:rPr>
          <w:rFonts w:ascii="Times New Roman" w:hAnsi="Times New Roman"/>
        </w:rPr>
        <w:t xml:space="preserve">. </w:t>
      </w:r>
      <w:r w:rsidR="00D91FD8">
        <w:rPr>
          <w:rFonts w:ascii="Times New Roman" w:hAnsi="Times New Roman"/>
        </w:rPr>
        <w:t>Under the terms of the ERM, the first $4 million o</w:t>
      </w:r>
      <w:r w:rsidR="002E1A9F">
        <w:rPr>
          <w:rFonts w:ascii="Times New Roman" w:hAnsi="Times New Roman"/>
        </w:rPr>
        <w:t>f</w:t>
      </w:r>
      <w:r w:rsidR="00D91FD8">
        <w:rPr>
          <w:rFonts w:ascii="Times New Roman" w:hAnsi="Times New Roman"/>
        </w:rPr>
        <w:t xml:space="preserve"> net</w:t>
      </w:r>
      <w:r w:rsidR="002E1A9F">
        <w:rPr>
          <w:rFonts w:ascii="Times New Roman" w:hAnsi="Times New Roman"/>
        </w:rPr>
        <w:t xml:space="preserve"> </w:t>
      </w:r>
      <w:r w:rsidR="00D91FD8">
        <w:rPr>
          <w:rFonts w:ascii="Times New Roman" w:hAnsi="Times New Roman"/>
        </w:rPr>
        <w:t xml:space="preserve">power supply costs above the authorized level is absorbed by the </w:t>
      </w:r>
      <w:r w:rsidR="006613A2">
        <w:rPr>
          <w:rFonts w:ascii="Times New Roman" w:hAnsi="Times New Roman"/>
        </w:rPr>
        <w:t>c</w:t>
      </w:r>
      <w:r w:rsidR="00D91FD8">
        <w:rPr>
          <w:rFonts w:ascii="Times New Roman" w:hAnsi="Times New Roman"/>
        </w:rPr>
        <w:t xml:space="preserve">ompany. The next $6 million of excess </w:t>
      </w:r>
      <w:r w:rsidR="00E146A0">
        <w:rPr>
          <w:rFonts w:ascii="Times New Roman" w:hAnsi="Times New Roman"/>
        </w:rPr>
        <w:t xml:space="preserve">power supply </w:t>
      </w:r>
      <w:r w:rsidR="00D91FD8">
        <w:rPr>
          <w:rFonts w:ascii="Times New Roman" w:hAnsi="Times New Roman"/>
        </w:rPr>
        <w:t>costs are shared evenly by rate payer</w:t>
      </w:r>
      <w:r w:rsidR="005C57D1">
        <w:rPr>
          <w:rFonts w:ascii="Times New Roman" w:hAnsi="Times New Roman"/>
        </w:rPr>
        <w:t>s</w:t>
      </w:r>
      <w:r w:rsidR="00D91FD8">
        <w:rPr>
          <w:rFonts w:ascii="Times New Roman" w:hAnsi="Times New Roman"/>
        </w:rPr>
        <w:t xml:space="preserve"> and the company, each </w:t>
      </w:r>
      <w:r w:rsidR="0017112D">
        <w:rPr>
          <w:rFonts w:ascii="Times New Roman" w:hAnsi="Times New Roman"/>
        </w:rPr>
        <w:t xml:space="preserve">responsible for </w:t>
      </w:r>
      <w:r w:rsidR="005E4D8B">
        <w:rPr>
          <w:rFonts w:ascii="Times New Roman" w:hAnsi="Times New Roman"/>
        </w:rPr>
        <w:t>f</w:t>
      </w:r>
      <w:r w:rsidR="00D91FD8">
        <w:rPr>
          <w:rFonts w:ascii="Times New Roman" w:hAnsi="Times New Roman"/>
        </w:rPr>
        <w:t xml:space="preserve">ifty percent </w:t>
      </w:r>
      <w:r w:rsidR="005E4D8B">
        <w:rPr>
          <w:rFonts w:ascii="Times New Roman" w:hAnsi="Times New Roman"/>
        </w:rPr>
        <w:t xml:space="preserve">of the excess </w:t>
      </w:r>
      <w:r w:rsidR="0017112D">
        <w:rPr>
          <w:rFonts w:ascii="Times New Roman" w:hAnsi="Times New Roman"/>
        </w:rPr>
        <w:t xml:space="preserve">costs </w:t>
      </w:r>
      <w:r w:rsidR="005E4D8B">
        <w:rPr>
          <w:rFonts w:ascii="Times New Roman" w:hAnsi="Times New Roman"/>
        </w:rPr>
        <w:t xml:space="preserve">up to $10 million. </w:t>
      </w:r>
      <w:r w:rsidR="00E6663D">
        <w:rPr>
          <w:rFonts w:ascii="Times New Roman" w:hAnsi="Times New Roman"/>
        </w:rPr>
        <w:t>For amounts over $10 million,</w:t>
      </w:r>
      <w:r w:rsidR="005E4D8B">
        <w:rPr>
          <w:rFonts w:ascii="Times New Roman" w:hAnsi="Times New Roman"/>
        </w:rPr>
        <w:t xml:space="preserve"> ninety percent of excess costs </w:t>
      </w:r>
      <w:r w:rsidR="00D91FD8">
        <w:rPr>
          <w:rFonts w:ascii="Times New Roman" w:hAnsi="Times New Roman"/>
        </w:rPr>
        <w:t>are deferred for recovery</w:t>
      </w:r>
      <w:r w:rsidR="0017112D">
        <w:rPr>
          <w:rFonts w:ascii="Times New Roman" w:hAnsi="Times New Roman"/>
        </w:rPr>
        <w:t xml:space="preserve"> </w:t>
      </w:r>
      <w:r w:rsidR="000D5043">
        <w:rPr>
          <w:rFonts w:ascii="Times New Roman" w:hAnsi="Times New Roman"/>
        </w:rPr>
        <w:t>from</w:t>
      </w:r>
      <w:r w:rsidR="0017112D">
        <w:rPr>
          <w:rFonts w:ascii="Times New Roman" w:hAnsi="Times New Roman"/>
        </w:rPr>
        <w:t xml:space="preserve"> rate payer</w:t>
      </w:r>
      <w:r w:rsidR="000D5043">
        <w:rPr>
          <w:rFonts w:ascii="Times New Roman" w:hAnsi="Times New Roman"/>
        </w:rPr>
        <w:t>s</w:t>
      </w:r>
      <w:r w:rsidR="002E1A9F">
        <w:rPr>
          <w:rFonts w:ascii="Times New Roman" w:hAnsi="Times New Roman"/>
        </w:rPr>
        <w:t xml:space="preserve"> and 10</w:t>
      </w:r>
      <w:r w:rsidR="0017112D">
        <w:rPr>
          <w:rFonts w:ascii="Times New Roman" w:hAnsi="Times New Roman"/>
        </w:rPr>
        <w:t xml:space="preserve"> percent</w:t>
      </w:r>
      <w:r w:rsidR="002E1A9F">
        <w:rPr>
          <w:rFonts w:ascii="Times New Roman" w:hAnsi="Times New Roman"/>
        </w:rPr>
        <w:t xml:space="preserve"> absorb</w:t>
      </w:r>
      <w:r w:rsidR="00E146A0">
        <w:rPr>
          <w:rFonts w:ascii="Times New Roman" w:hAnsi="Times New Roman"/>
        </w:rPr>
        <w:t>ed</w:t>
      </w:r>
      <w:r w:rsidR="002E1A9F">
        <w:rPr>
          <w:rFonts w:ascii="Times New Roman" w:hAnsi="Times New Roman"/>
        </w:rPr>
        <w:t xml:space="preserve"> by the </w:t>
      </w:r>
      <w:r w:rsidR="005C57D1">
        <w:rPr>
          <w:rFonts w:ascii="Times New Roman" w:hAnsi="Times New Roman"/>
        </w:rPr>
        <w:t>company</w:t>
      </w:r>
      <w:r w:rsidR="00D91FD8">
        <w:rPr>
          <w:rFonts w:ascii="Times New Roman" w:hAnsi="Times New Roman"/>
        </w:rPr>
        <w:t>.</w:t>
      </w:r>
      <w:r w:rsidR="005E4D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</w:t>
      </w:r>
      <w:r w:rsidR="00E6663D">
        <w:rPr>
          <w:rFonts w:ascii="Times New Roman" w:hAnsi="Times New Roman"/>
        </w:rPr>
        <w:t xml:space="preserve">the </w:t>
      </w:r>
      <w:r w:rsidR="002E1A9F">
        <w:rPr>
          <w:rFonts w:ascii="Times New Roman" w:hAnsi="Times New Roman"/>
        </w:rPr>
        <w:t xml:space="preserve">total </w:t>
      </w:r>
      <w:r w:rsidR="00E6663D">
        <w:rPr>
          <w:rFonts w:ascii="Times New Roman" w:hAnsi="Times New Roman"/>
        </w:rPr>
        <w:t xml:space="preserve">$14.5 million excess costs for 2008, </w:t>
      </w:r>
      <w:r>
        <w:rPr>
          <w:rFonts w:ascii="Times New Roman" w:hAnsi="Times New Roman"/>
        </w:rPr>
        <w:t>$</w:t>
      </w:r>
      <w:r w:rsidR="00D91FD8">
        <w:rPr>
          <w:rFonts w:ascii="Times New Roman" w:hAnsi="Times New Roman"/>
        </w:rPr>
        <w:t>7,048,583</w:t>
      </w:r>
      <w:r>
        <w:rPr>
          <w:rFonts w:ascii="Times New Roman" w:hAnsi="Times New Roman"/>
        </w:rPr>
        <w:t xml:space="preserve"> was deferred and $</w:t>
      </w:r>
      <w:r w:rsidR="00D91FD8">
        <w:rPr>
          <w:rFonts w:ascii="Times New Roman" w:hAnsi="Times New Roman"/>
        </w:rPr>
        <w:t>7,449,843</w:t>
      </w:r>
      <w:r>
        <w:rPr>
          <w:rFonts w:ascii="Times New Roman" w:hAnsi="Times New Roman"/>
        </w:rPr>
        <w:t xml:space="preserve"> was absorbed by the </w:t>
      </w:r>
      <w:r w:rsidR="005C57D1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.  </w:t>
      </w:r>
      <w:r w:rsidR="002E1A9F">
        <w:rPr>
          <w:rFonts w:ascii="Times New Roman" w:hAnsi="Times New Roman"/>
        </w:rPr>
        <w:br/>
      </w:r>
    </w:p>
    <w:p w:rsidR="00657DEE" w:rsidRDefault="00DE1C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derivation of the </w:t>
      </w:r>
      <w:r w:rsidR="000D5043">
        <w:rPr>
          <w:rFonts w:ascii="Times New Roman" w:hAnsi="Times New Roman"/>
        </w:rPr>
        <w:t xml:space="preserve">dead </w:t>
      </w:r>
      <w:r>
        <w:rPr>
          <w:rFonts w:ascii="Times New Roman" w:hAnsi="Times New Roman"/>
        </w:rPr>
        <w:t xml:space="preserve">band amounts are shown below in Table 1. </w:t>
      </w:r>
    </w:p>
    <w:p w:rsidR="00466AF4" w:rsidRDefault="00466AF4">
      <w:pPr>
        <w:rPr>
          <w:rFonts w:ascii="Times New Roman" w:hAnsi="Times New Roman"/>
        </w:rPr>
      </w:pPr>
    </w:p>
    <w:tbl>
      <w:tblPr>
        <w:tblStyle w:val="TableClassic2"/>
        <w:tblW w:w="0" w:type="auto"/>
        <w:tblInd w:w="1098" w:type="dxa"/>
        <w:tblLook w:val="04A0"/>
      </w:tblPr>
      <w:tblGrid>
        <w:gridCol w:w="1606"/>
        <w:gridCol w:w="1356"/>
        <w:gridCol w:w="1476"/>
        <w:gridCol w:w="1476"/>
        <w:gridCol w:w="1596"/>
      </w:tblGrid>
      <w:tr w:rsidR="004D25BC" w:rsidRPr="004D25BC" w:rsidTr="00DE1C1E">
        <w:trPr>
          <w:cnfStyle w:val="100000000000"/>
          <w:trHeight w:val="480"/>
        </w:trPr>
        <w:tc>
          <w:tcPr>
            <w:cnfStyle w:val="001000000100"/>
            <w:tcW w:w="0" w:type="auto"/>
            <w:gridSpan w:val="5"/>
            <w:noWrap/>
            <w:hideMark/>
          </w:tcPr>
          <w:p w:rsidR="004D25BC" w:rsidRPr="004D25BC" w:rsidRDefault="004D25BC" w:rsidP="004D25BC">
            <w:pPr>
              <w:jc w:val="center"/>
              <w:rPr>
                <w:rFonts w:ascii="Times New Roman" w:hAnsi="Times New Roman"/>
              </w:rPr>
            </w:pPr>
            <w:r w:rsidRPr="004D25BC">
              <w:rPr>
                <w:rFonts w:ascii="Times New Roman" w:hAnsi="Times New Roman"/>
              </w:rPr>
              <w:t>2008 Deferral Computation</w:t>
            </w:r>
          </w:p>
        </w:tc>
      </w:tr>
      <w:tr w:rsidR="004D25BC" w:rsidRPr="004D25BC" w:rsidTr="00DE1C1E">
        <w:trPr>
          <w:trHeight w:val="465"/>
        </w:trPr>
        <w:tc>
          <w:tcPr>
            <w:cnfStyle w:val="001000000000"/>
            <w:tcW w:w="0" w:type="auto"/>
            <w:noWrap/>
            <w:hideMark/>
          </w:tcPr>
          <w:p w:rsidR="004D25BC" w:rsidRPr="004D25BC" w:rsidRDefault="000D5043" w:rsidP="000D5043">
            <w:pPr>
              <w:ind w:left="7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Dead </w:t>
            </w:r>
            <w:r w:rsidR="00DE1C1E">
              <w:rPr>
                <w:rFonts w:ascii="Times New Roman" w:hAnsi="Times New Roman"/>
                <w:color w:val="000000"/>
              </w:rPr>
              <w:t>B</w:t>
            </w:r>
            <w:r w:rsidR="004D25BC" w:rsidRPr="004D25BC">
              <w:rPr>
                <w:rFonts w:ascii="Times New Roman" w:hAnsi="Times New Roman"/>
                <w:color w:val="000000"/>
              </w:rPr>
              <w:t>and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Company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Deferral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Total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Cumulative</w:t>
            </w:r>
          </w:p>
        </w:tc>
      </w:tr>
      <w:tr w:rsidR="004D25BC" w:rsidRPr="004D25BC" w:rsidTr="00DE1C1E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4D25BC" w:rsidRPr="004D25BC" w:rsidRDefault="004D25BC" w:rsidP="004D25BC">
            <w:pPr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0-$4M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4,000,000 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jc w:val="right"/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  4,000,000 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    4,000,000 </w:t>
            </w:r>
          </w:p>
        </w:tc>
      </w:tr>
      <w:tr w:rsidR="004D25BC" w:rsidRPr="004D25BC" w:rsidTr="00DE1C1E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4D25BC" w:rsidRPr="004D25BC" w:rsidRDefault="004D25BC" w:rsidP="004D25BC">
            <w:pPr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&gt;$4M - $10M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3,000,000 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  3,000,000 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  6,000,000 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  10,000,000 </w:t>
            </w:r>
          </w:p>
        </w:tc>
      </w:tr>
      <w:tr w:rsidR="004D25BC" w:rsidRPr="004D25BC" w:rsidTr="00DE1C1E">
        <w:trPr>
          <w:trHeight w:val="315"/>
        </w:trPr>
        <w:tc>
          <w:tcPr>
            <w:cnfStyle w:val="001000000000"/>
            <w:tcW w:w="0" w:type="auto"/>
            <w:noWrap/>
            <w:hideMark/>
          </w:tcPr>
          <w:p w:rsidR="004D25BC" w:rsidRPr="004D25BC" w:rsidRDefault="004D25BC" w:rsidP="004D25BC">
            <w:pPr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&gt;$10M</w:t>
            </w:r>
            <w:r w:rsidR="00DE1C1E">
              <w:rPr>
                <w:rFonts w:ascii="Times New Roman" w:hAnsi="Times New Roman"/>
                <w:color w:val="000000"/>
              </w:rPr>
              <w:br/>
            </w:r>
            <w:r w:rsidRPr="004D25B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   449,843 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  4,048,583 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  4,498,426 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  14,498,426 </w:t>
            </w:r>
          </w:p>
        </w:tc>
      </w:tr>
      <w:tr w:rsidR="004D25BC" w:rsidRPr="004D25BC" w:rsidTr="00DE1C1E">
        <w:trPr>
          <w:trHeight w:val="465"/>
        </w:trPr>
        <w:tc>
          <w:tcPr>
            <w:cnfStyle w:val="001000000000"/>
            <w:tcW w:w="0" w:type="auto"/>
            <w:noWrap/>
            <w:hideMark/>
          </w:tcPr>
          <w:p w:rsidR="004D25BC" w:rsidRPr="004D25BC" w:rsidRDefault="004D25BC" w:rsidP="004D25BC">
            <w:pPr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Total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7,449,843 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  7,048,583 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 xml:space="preserve">   14,498,426 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D25BC" w:rsidRPr="004D25BC" w:rsidTr="00DE1C1E">
        <w:trPr>
          <w:trHeight w:val="330"/>
        </w:trPr>
        <w:tc>
          <w:tcPr>
            <w:cnfStyle w:val="001000000000"/>
            <w:tcW w:w="0" w:type="auto"/>
            <w:noWrap/>
            <w:hideMark/>
          </w:tcPr>
          <w:p w:rsidR="004D25BC" w:rsidRPr="004D25BC" w:rsidRDefault="004D25BC" w:rsidP="004D25BC">
            <w:pPr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D25BC" w:rsidRPr="004D25BC" w:rsidRDefault="004D25BC" w:rsidP="004D25BC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4D25B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466AF4" w:rsidRPr="00DE1C1E" w:rsidRDefault="00DE1C1E" w:rsidP="00DE1C1E">
      <w:pPr>
        <w:ind w:left="990"/>
        <w:rPr>
          <w:rFonts w:ascii="Times New Roman" w:hAnsi="Times New Roman"/>
          <w:sz w:val="18"/>
          <w:szCs w:val="18"/>
        </w:rPr>
      </w:pPr>
      <w:r w:rsidRPr="00DE1C1E">
        <w:rPr>
          <w:rFonts w:ascii="Times New Roman" w:hAnsi="Times New Roman"/>
          <w:sz w:val="18"/>
          <w:szCs w:val="18"/>
        </w:rPr>
        <w:t>Table 1</w:t>
      </w:r>
    </w:p>
    <w:p w:rsidR="002E61FB" w:rsidRDefault="00466A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E1C1E" w:rsidRDefault="00DE1C1E">
      <w:pPr>
        <w:rPr>
          <w:rFonts w:ascii="Times New Roman" w:hAnsi="Times New Roman"/>
        </w:rPr>
      </w:pPr>
    </w:p>
    <w:p w:rsidR="00DE1C1E" w:rsidRDefault="00DE1C1E" w:rsidP="00DE1C1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The primary factors affecting power supply expenses during 200</w:t>
      </w:r>
      <w:r w:rsidR="00DC53C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are shown in </w:t>
      </w:r>
      <w:r w:rsidR="00DC53C2">
        <w:rPr>
          <w:rFonts w:ascii="Times New Roman" w:hAnsi="Times New Roman"/>
        </w:rPr>
        <w:t>T</w:t>
      </w:r>
      <w:r>
        <w:rPr>
          <w:rFonts w:ascii="Times New Roman" w:hAnsi="Times New Roman"/>
        </w:rPr>
        <w:t>able</w:t>
      </w:r>
      <w:r w:rsidR="00DC53C2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 below.</w:t>
      </w:r>
      <w:r>
        <w:rPr>
          <w:rFonts w:ascii="Times New Roman" w:hAnsi="Times New Roman"/>
        </w:rPr>
        <w:br/>
      </w:r>
    </w:p>
    <w:p w:rsidR="00DE1C1E" w:rsidRPr="00AD4D61" w:rsidRDefault="00DE1C1E">
      <w:pPr>
        <w:rPr>
          <w:rFonts w:ascii="Times New Roman" w:hAnsi="Times New Roman"/>
        </w:rPr>
      </w:pPr>
    </w:p>
    <w:tbl>
      <w:tblPr>
        <w:tblStyle w:val="TableClassic2"/>
        <w:tblW w:w="8166" w:type="dxa"/>
        <w:tblInd w:w="828" w:type="dxa"/>
        <w:tblLook w:val="04A0"/>
      </w:tblPr>
      <w:tblGrid>
        <w:gridCol w:w="405"/>
        <w:gridCol w:w="6345"/>
        <w:gridCol w:w="1416"/>
      </w:tblGrid>
      <w:tr w:rsidR="002E61FB" w:rsidRPr="002A42EB" w:rsidTr="00DC53C2">
        <w:trPr>
          <w:cnfStyle w:val="100000000000"/>
          <w:trHeight w:val="300"/>
        </w:trPr>
        <w:tc>
          <w:tcPr>
            <w:cnfStyle w:val="001000000100"/>
            <w:tcW w:w="405" w:type="dxa"/>
            <w:tcBorders>
              <w:top w:val="single" w:sz="12" w:space="0" w:color="000000"/>
            </w:tcBorders>
            <w:shd w:val="clear" w:color="auto" w:fill="7030A0"/>
            <w:noWrap/>
            <w:hideMark/>
          </w:tcPr>
          <w:p w:rsidR="002E61FB" w:rsidRPr="00797614" w:rsidRDefault="002E61FB" w:rsidP="00797614">
            <w:pPr>
              <w:jc w:val="center"/>
              <w:rPr>
                <w:rFonts w:ascii="Times New Roman" w:hAnsi="Times New Roman"/>
              </w:rPr>
            </w:pPr>
            <w:r w:rsidRPr="00797614">
              <w:rPr>
                <w:rFonts w:ascii="Times New Roman" w:hAnsi="Times New Roman"/>
              </w:rPr>
              <w:t> </w:t>
            </w:r>
          </w:p>
        </w:tc>
        <w:tc>
          <w:tcPr>
            <w:tcW w:w="6345" w:type="dxa"/>
            <w:tcBorders>
              <w:top w:val="single" w:sz="12" w:space="0" w:color="000000"/>
            </w:tcBorders>
            <w:shd w:val="clear" w:color="auto" w:fill="7030A0"/>
            <w:noWrap/>
            <w:hideMark/>
          </w:tcPr>
          <w:p w:rsidR="002E61FB" w:rsidRPr="00797614" w:rsidRDefault="002E61FB" w:rsidP="002E61FB">
            <w:pPr>
              <w:jc w:val="center"/>
              <w:cnfStyle w:val="100000000000"/>
              <w:rPr>
                <w:rFonts w:ascii="Times New Roman" w:hAnsi="Times New Roman"/>
                <w:b/>
                <w:bCs/>
              </w:rPr>
            </w:pPr>
            <w:r w:rsidRPr="00797614">
              <w:rPr>
                <w:rFonts w:ascii="Times New Roman" w:hAnsi="Times New Roman"/>
                <w:b/>
                <w:bCs/>
              </w:rPr>
              <w:t>Factors Contributing to Increased Power Supply Expense</w:t>
            </w:r>
            <w:r w:rsidR="00797614">
              <w:rPr>
                <w:rFonts w:ascii="Times New Roman" w:hAnsi="Times New Roman"/>
                <w:b/>
                <w:bCs/>
              </w:rPr>
              <w:br/>
              <w:t>Washington Allocation</w:t>
            </w: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7030A0"/>
            <w:noWrap/>
            <w:hideMark/>
          </w:tcPr>
          <w:p w:rsidR="002E61FB" w:rsidRPr="00797614" w:rsidRDefault="002E61FB" w:rsidP="002E61FB">
            <w:pPr>
              <w:cnfStyle w:val="100000000000"/>
              <w:rPr>
                <w:rFonts w:ascii="Times New Roman" w:hAnsi="Times New Roman"/>
                <w:b/>
                <w:bCs/>
              </w:rPr>
            </w:pPr>
            <w:r w:rsidRPr="0079761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2E61FB" w:rsidRPr="002A42EB" w:rsidTr="00DC53C2">
        <w:trPr>
          <w:trHeight w:val="300"/>
        </w:trPr>
        <w:tc>
          <w:tcPr>
            <w:cnfStyle w:val="001000000000"/>
            <w:tcW w:w="405" w:type="dxa"/>
            <w:shd w:val="clear" w:color="auto" w:fill="auto"/>
            <w:noWrap/>
            <w:hideMark/>
          </w:tcPr>
          <w:p w:rsidR="002E61FB" w:rsidRPr="002A42EB" w:rsidRDefault="002E61FB" w:rsidP="002E61FB">
            <w:pPr>
              <w:rPr>
                <w:rFonts w:ascii="Times New Roman" w:hAnsi="Times New Roman"/>
                <w:color w:val="000000"/>
              </w:rPr>
            </w:pPr>
            <w:r w:rsidRPr="002A42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45" w:type="dxa"/>
            <w:noWrap/>
            <w:hideMark/>
          </w:tcPr>
          <w:p w:rsidR="002E61FB" w:rsidRPr="002A42EB" w:rsidRDefault="002E61FB" w:rsidP="002E61FB">
            <w:pPr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2E61FB" w:rsidRPr="002A42EB" w:rsidRDefault="002E61FB" w:rsidP="002E61FB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2A42E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61FB" w:rsidRPr="002A42EB" w:rsidTr="00DC53C2">
        <w:trPr>
          <w:trHeight w:val="300"/>
        </w:trPr>
        <w:tc>
          <w:tcPr>
            <w:cnfStyle w:val="001000000000"/>
            <w:tcW w:w="405" w:type="dxa"/>
            <w:tcBorders>
              <w:bottom w:val="nil"/>
            </w:tcBorders>
            <w:shd w:val="clear" w:color="auto" w:fill="auto"/>
            <w:noWrap/>
            <w:hideMark/>
          </w:tcPr>
          <w:p w:rsidR="002E61FB" w:rsidRPr="002A42EB" w:rsidRDefault="002E61FB" w:rsidP="002E61FB">
            <w:pPr>
              <w:rPr>
                <w:rFonts w:ascii="Times New Roman" w:hAnsi="Times New Roman"/>
                <w:color w:val="000000"/>
              </w:rPr>
            </w:pPr>
            <w:r w:rsidRPr="002A42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45" w:type="dxa"/>
            <w:tcBorders>
              <w:bottom w:val="nil"/>
            </w:tcBorders>
            <w:noWrap/>
            <w:hideMark/>
          </w:tcPr>
          <w:p w:rsidR="002E61FB" w:rsidRPr="002A42EB" w:rsidRDefault="002E61FB" w:rsidP="002E61FB">
            <w:pPr>
              <w:cnfStyle w:val="0000000000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2E61FB" w:rsidRPr="002A42EB" w:rsidRDefault="002E61FB" w:rsidP="002E61FB">
            <w:pPr>
              <w:cnfStyle w:val="000000000000"/>
              <w:rPr>
                <w:rFonts w:ascii="Times New Roman" w:hAnsi="Times New Roman"/>
                <w:color w:val="000000"/>
              </w:rPr>
            </w:pPr>
            <w:r w:rsidRPr="002A42E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61FB" w:rsidRPr="00797614" w:rsidTr="00DC53C2">
        <w:trPr>
          <w:trHeight w:val="300"/>
        </w:trPr>
        <w:tc>
          <w:tcPr>
            <w:cnfStyle w:val="001000000000"/>
            <w:tcW w:w="67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E61FB" w:rsidRPr="00DE1C1E" w:rsidRDefault="00DE1C1E" w:rsidP="00DE1C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Lower </w:t>
            </w:r>
            <w:r w:rsidR="002E61FB" w:rsidRPr="00DE1C1E">
              <w:rPr>
                <w:rFonts w:ascii="Times New Roman" w:hAnsi="Times New Roman"/>
                <w:color w:val="000000"/>
              </w:rPr>
              <w:t>Hydro Generation</w:t>
            </w:r>
          </w:p>
        </w:tc>
        <w:tc>
          <w:tcPr>
            <w:tcW w:w="1416" w:type="dxa"/>
            <w:noWrap/>
            <w:hideMark/>
          </w:tcPr>
          <w:p w:rsidR="002E61FB" w:rsidRPr="002A42EB" w:rsidRDefault="002E61FB" w:rsidP="00DE1C1E">
            <w:pPr>
              <w:jc w:val="right"/>
              <w:cnfStyle w:val="000000000000"/>
              <w:rPr>
                <w:rFonts w:ascii="Times New Roman" w:hAnsi="Times New Roman"/>
                <w:color w:val="000000"/>
              </w:rPr>
            </w:pPr>
            <w:r w:rsidRPr="002A42EB">
              <w:rPr>
                <w:rFonts w:ascii="Times New Roman" w:hAnsi="Times New Roman"/>
                <w:color w:val="000000"/>
              </w:rPr>
              <w:t>$</w:t>
            </w:r>
            <w:r w:rsidR="00DE1C1E">
              <w:rPr>
                <w:rFonts w:ascii="Times New Roman" w:hAnsi="Times New Roman"/>
                <w:color w:val="000000"/>
              </w:rPr>
              <w:t>1,228,333</w:t>
            </w:r>
          </w:p>
        </w:tc>
      </w:tr>
      <w:tr w:rsidR="002E61FB" w:rsidRPr="002A42EB" w:rsidTr="00DC53C2">
        <w:trPr>
          <w:trHeight w:val="300"/>
        </w:trPr>
        <w:tc>
          <w:tcPr>
            <w:cnfStyle w:val="001000000000"/>
            <w:tcW w:w="67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E61FB" w:rsidRPr="00DE1C1E" w:rsidRDefault="002E61FB" w:rsidP="008A5C9E">
            <w:pPr>
              <w:rPr>
                <w:rFonts w:ascii="Times New Roman" w:hAnsi="Times New Roman"/>
                <w:color w:val="000000"/>
              </w:rPr>
            </w:pPr>
            <w:r w:rsidRPr="00DE1C1E">
              <w:rPr>
                <w:rFonts w:ascii="Times New Roman" w:hAnsi="Times New Roman"/>
                <w:color w:val="000000"/>
              </w:rPr>
              <w:t xml:space="preserve">Increased </w:t>
            </w:r>
            <w:r w:rsidR="00DE1C1E">
              <w:rPr>
                <w:rFonts w:ascii="Times New Roman" w:hAnsi="Times New Roman"/>
                <w:color w:val="000000"/>
              </w:rPr>
              <w:t xml:space="preserve">Gas Fired Generation and Fuel </w:t>
            </w:r>
            <w:r w:rsidR="008A5C9E">
              <w:rPr>
                <w:rFonts w:ascii="Times New Roman" w:hAnsi="Times New Roman"/>
                <w:color w:val="000000"/>
              </w:rPr>
              <w:t>Costs</w:t>
            </w:r>
          </w:p>
        </w:tc>
        <w:tc>
          <w:tcPr>
            <w:tcW w:w="1416" w:type="dxa"/>
            <w:noWrap/>
            <w:hideMark/>
          </w:tcPr>
          <w:p w:rsidR="002E61FB" w:rsidRPr="002A42EB" w:rsidRDefault="00797614" w:rsidP="00797614">
            <w:pPr>
              <w:jc w:val="right"/>
              <w:cnfStyle w:val="000000000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585,311</w:t>
            </w:r>
          </w:p>
        </w:tc>
      </w:tr>
      <w:tr w:rsidR="002E61FB" w:rsidRPr="002A42EB" w:rsidTr="00DC53C2">
        <w:trPr>
          <w:trHeight w:val="300"/>
        </w:trPr>
        <w:tc>
          <w:tcPr>
            <w:cnfStyle w:val="001000000000"/>
            <w:tcW w:w="67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E61FB" w:rsidRPr="00DE1C1E" w:rsidRDefault="002E61FB" w:rsidP="00797614">
            <w:pPr>
              <w:rPr>
                <w:rFonts w:ascii="Times New Roman" w:hAnsi="Times New Roman"/>
                <w:color w:val="000000"/>
              </w:rPr>
            </w:pPr>
            <w:r w:rsidRPr="00DE1C1E">
              <w:rPr>
                <w:rFonts w:ascii="Times New Roman" w:hAnsi="Times New Roman"/>
                <w:color w:val="000000"/>
              </w:rPr>
              <w:t xml:space="preserve">Increased </w:t>
            </w:r>
            <w:r w:rsidR="00797614">
              <w:rPr>
                <w:rFonts w:ascii="Times New Roman" w:hAnsi="Times New Roman"/>
                <w:color w:val="000000"/>
              </w:rPr>
              <w:t xml:space="preserve">Generation and </w:t>
            </w:r>
            <w:r w:rsidRPr="00DE1C1E">
              <w:rPr>
                <w:rFonts w:ascii="Times New Roman" w:hAnsi="Times New Roman"/>
                <w:color w:val="000000"/>
              </w:rPr>
              <w:t>Fuel Costs for Colstrip</w:t>
            </w:r>
          </w:p>
        </w:tc>
        <w:tc>
          <w:tcPr>
            <w:tcW w:w="1416" w:type="dxa"/>
            <w:noWrap/>
            <w:hideMark/>
          </w:tcPr>
          <w:p w:rsidR="002E61FB" w:rsidRPr="002A42EB" w:rsidRDefault="00797614" w:rsidP="002E61FB">
            <w:pPr>
              <w:jc w:val="right"/>
              <w:cnfStyle w:val="000000000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1,446,520</w:t>
            </w:r>
          </w:p>
        </w:tc>
      </w:tr>
      <w:tr w:rsidR="002E61FB" w:rsidRPr="002A42EB" w:rsidTr="00DC53C2">
        <w:trPr>
          <w:trHeight w:val="300"/>
        </w:trPr>
        <w:tc>
          <w:tcPr>
            <w:cnfStyle w:val="001000000000"/>
            <w:tcW w:w="67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E61FB" w:rsidRPr="00DE1C1E" w:rsidRDefault="00797614" w:rsidP="002E61FB">
            <w:pPr>
              <w:rPr>
                <w:rFonts w:ascii="Times New Roman" w:hAnsi="Times New Roman"/>
                <w:color w:val="000000"/>
              </w:rPr>
            </w:pPr>
            <w:r w:rsidRPr="00797614">
              <w:rPr>
                <w:rFonts w:ascii="Times New Roman" w:hAnsi="Times New Roman"/>
                <w:color w:val="000000"/>
              </w:rPr>
              <w:t xml:space="preserve">Increased Generation and Fuel Costs </w:t>
            </w:r>
            <w:r w:rsidR="002E61FB" w:rsidRPr="00DE1C1E">
              <w:rPr>
                <w:rFonts w:ascii="Times New Roman" w:hAnsi="Times New Roman"/>
                <w:color w:val="000000"/>
              </w:rPr>
              <w:t>for Kettle Falls</w:t>
            </w:r>
          </w:p>
        </w:tc>
        <w:tc>
          <w:tcPr>
            <w:tcW w:w="1416" w:type="dxa"/>
            <w:noWrap/>
            <w:hideMark/>
          </w:tcPr>
          <w:p w:rsidR="002E61FB" w:rsidRPr="002A42EB" w:rsidRDefault="00797614" w:rsidP="00797614">
            <w:pPr>
              <w:jc w:val="right"/>
              <w:cnfStyle w:val="000000000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4,899,904</w:t>
            </w:r>
          </w:p>
        </w:tc>
      </w:tr>
      <w:tr w:rsidR="002E61FB" w:rsidRPr="002A42EB" w:rsidTr="00DC53C2">
        <w:trPr>
          <w:trHeight w:val="300"/>
        </w:trPr>
        <w:tc>
          <w:tcPr>
            <w:cnfStyle w:val="001000000000"/>
            <w:tcW w:w="67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E61FB" w:rsidRPr="00DE1C1E" w:rsidRDefault="002E61FB" w:rsidP="008A5C9E">
            <w:pPr>
              <w:rPr>
                <w:rFonts w:ascii="Times New Roman" w:hAnsi="Times New Roman"/>
                <w:color w:val="000000"/>
              </w:rPr>
            </w:pPr>
            <w:r w:rsidRPr="00DE1C1E">
              <w:rPr>
                <w:rFonts w:ascii="Times New Roman" w:hAnsi="Times New Roman"/>
                <w:color w:val="000000"/>
              </w:rPr>
              <w:t xml:space="preserve">Increase </w:t>
            </w:r>
            <w:r w:rsidR="00797614">
              <w:rPr>
                <w:rFonts w:ascii="Times New Roman" w:hAnsi="Times New Roman"/>
                <w:color w:val="000000"/>
              </w:rPr>
              <w:t>in Mid</w:t>
            </w:r>
            <w:r w:rsidR="008A5C9E">
              <w:rPr>
                <w:rFonts w:ascii="Times New Roman" w:hAnsi="Times New Roman"/>
                <w:color w:val="000000"/>
              </w:rPr>
              <w:t>-</w:t>
            </w:r>
            <w:r w:rsidR="00797614">
              <w:rPr>
                <w:rFonts w:ascii="Times New Roman" w:hAnsi="Times New Roman"/>
                <w:color w:val="000000"/>
              </w:rPr>
              <w:t>Columbia Contracts Expense</w:t>
            </w:r>
          </w:p>
        </w:tc>
        <w:tc>
          <w:tcPr>
            <w:tcW w:w="1416" w:type="dxa"/>
            <w:noWrap/>
            <w:hideMark/>
          </w:tcPr>
          <w:p w:rsidR="002E61FB" w:rsidRPr="002A42EB" w:rsidRDefault="00797614" w:rsidP="00797614">
            <w:pPr>
              <w:jc w:val="right"/>
              <w:cnfStyle w:val="000000000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1,978,589</w:t>
            </w:r>
          </w:p>
        </w:tc>
      </w:tr>
      <w:tr w:rsidR="002E61FB" w:rsidRPr="002A42EB" w:rsidTr="00DC53C2">
        <w:trPr>
          <w:trHeight w:val="315"/>
        </w:trPr>
        <w:tc>
          <w:tcPr>
            <w:cnfStyle w:val="001000000000"/>
            <w:tcW w:w="67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E61FB" w:rsidRPr="00DE1C1E" w:rsidRDefault="008C54E3" w:rsidP="00797614">
            <w:pPr>
              <w:rPr>
                <w:rFonts w:ascii="Times New Roman" w:hAnsi="Times New Roman"/>
                <w:color w:val="000000"/>
              </w:rPr>
            </w:pPr>
            <w:r w:rsidRPr="008C54E3">
              <w:rPr>
                <w:rFonts w:ascii="Times New Roman" w:hAnsi="Times New Roman"/>
                <w:color w:val="000000"/>
              </w:rPr>
              <w:t>Decrease in Retail Loads</w:t>
            </w:r>
            <w:r w:rsidR="00797614">
              <w:rPr>
                <w:rFonts w:ascii="Times New Roman" w:hAnsi="Times New Roman"/>
                <w:color w:val="000000"/>
              </w:rPr>
              <w:br/>
              <w:t xml:space="preserve">Increased Market Prices and </w:t>
            </w:r>
            <w:r w:rsidR="006613A2">
              <w:rPr>
                <w:rFonts w:ascii="Times New Roman" w:hAnsi="Times New Roman"/>
                <w:color w:val="000000"/>
              </w:rPr>
              <w:t>C</w:t>
            </w:r>
            <w:r w:rsidR="00797614">
              <w:rPr>
                <w:rFonts w:ascii="Times New Roman" w:hAnsi="Times New Roman"/>
                <w:color w:val="000000"/>
              </w:rPr>
              <w:t>ontract Costs</w:t>
            </w:r>
          </w:p>
        </w:tc>
        <w:tc>
          <w:tcPr>
            <w:tcW w:w="1416" w:type="dxa"/>
            <w:noWrap/>
            <w:hideMark/>
          </w:tcPr>
          <w:p w:rsidR="002E61FB" w:rsidRPr="002A42EB" w:rsidRDefault="00797614" w:rsidP="002E61FB">
            <w:pPr>
              <w:jc w:val="right"/>
              <w:cnfStyle w:val="000000000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1,370,478</w:t>
            </w:r>
            <w:r>
              <w:rPr>
                <w:rFonts w:ascii="Times New Roman" w:hAnsi="Times New Roman"/>
                <w:color w:val="000000"/>
              </w:rPr>
              <w:br/>
              <w:t>2,989,291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2E61FB" w:rsidRPr="002A42EB" w:rsidTr="00DC53C2">
        <w:trPr>
          <w:trHeight w:val="315"/>
        </w:trPr>
        <w:tc>
          <w:tcPr>
            <w:cnfStyle w:val="001000000000"/>
            <w:tcW w:w="6750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  <w:noWrap/>
            <w:hideMark/>
          </w:tcPr>
          <w:p w:rsidR="002E61FB" w:rsidRPr="002A42EB" w:rsidRDefault="002E61FB" w:rsidP="002E61FB">
            <w:pPr>
              <w:rPr>
                <w:rFonts w:ascii="Times New Roman" w:hAnsi="Times New Roman"/>
                <w:color w:val="000000"/>
              </w:rPr>
            </w:pPr>
            <w:r w:rsidRPr="002A42EB">
              <w:rPr>
                <w:rFonts w:ascii="Times New Roman" w:hAnsi="Times New Roman"/>
                <w:color w:val="000000"/>
              </w:rPr>
              <w:t>Total Expenses Above the Authorized Level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  <w:noWrap/>
            <w:hideMark/>
          </w:tcPr>
          <w:p w:rsidR="002E61FB" w:rsidRPr="002A42EB" w:rsidRDefault="002E61FB" w:rsidP="00797614">
            <w:pPr>
              <w:jc w:val="right"/>
              <w:cnfStyle w:val="000000000000"/>
              <w:rPr>
                <w:rFonts w:ascii="Times New Roman" w:hAnsi="Times New Roman"/>
                <w:color w:val="000000"/>
              </w:rPr>
            </w:pPr>
            <w:r w:rsidRPr="002A42EB">
              <w:rPr>
                <w:rFonts w:ascii="Times New Roman" w:hAnsi="Times New Roman"/>
                <w:color w:val="000000"/>
              </w:rPr>
              <w:t>$</w:t>
            </w:r>
            <w:r w:rsidR="00797614">
              <w:rPr>
                <w:rFonts w:ascii="Times New Roman" w:hAnsi="Times New Roman"/>
                <w:color w:val="000000"/>
              </w:rPr>
              <w:t>1</w:t>
            </w:r>
            <w:r w:rsidRPr="002A42EB">
              <w:rPr>
                <w:rFonts w:ascii="Times New Roman" w:hAnsi="Times New Roman"/>
                <w:color w:val="000000"/>
              </w:rPr>
              <w:t>4,</w:t>
            </w:r>
            <w:r w:rsidR="00797614">
              <w:rPr>
                <w:rFonts w:ascii="Times New Roman" w:hAnsi="Times New Roman"/>
                <w:color w:val="000000"/>
              </w:rPr>
              <w:t>498,426</w:t>
            </w:r>
          </w:p>
        </w:tc>
      </w:tr>
    </w:tbl>
    <w:p w:rsidR="00466AF4" w:rsidRPr="008A5C9E" w:rsidRDefault="008A5C9E" w:rsidP="008A5C9E">
      <w:pPr>
        <w:ind w:left="720"/>
        <w:rPr>
          <w:rFonts w:ascii="Times New Roman" w:hAnsi="Times New Roman"/>
          <w:sz w:val="18"/>
          <w:szCs w:val="18"/>
        </w:rPr>
      </w:pPr>
      <w:r w:rsidRPr="008A5C9E">
        <w:rPr>
          <w:rFonts w:ascii="Times New Roman" w:hAnsi="Times New Roman"/>
          <w:sz w:val="18"/>
          <w:szCs w:val="18"/>
        </w:rPr>
        <w:t>Table 2</w:t>
      </w:r>
    </w:p>
    <w:p w:rsidR="00657DEE" w:rsidRDefault="00657DEE">
      <w:pPr>
        <w:rPr>
          <w:rFonts w:ascii="Times New Roman" w:hAnsi="Times New Roman"/>
        </w:rPr>
      </w:pPr>
    </w:p>
    <w:p w:rsidR="002E61FB" w:rsidRPr="00AD4D61" w:rsidRDefault="002E61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Customers are currently paying a surcharge to recover excess deferred power supply costs and that surcharge will not change with this filing. </w:t>
      </w:r>
      <w:r w:rsidR="00752A00">
        <w:rPr>
          <w:rFonts w:ascii="Times New Roman" w:hAnsi="Times New Roman"/>
        </w:rPr>
        <w:t xml:space="preserve">Under current conditions, the </w:t>
      </w:r>
      <w:r w:rsidR="007342A3">
        <w:rPr>
          <w:rFonts w:ascii="Times New Roman" w:hAnsi="Times New Roman"/>
        </w:rPr>
        <w:t xml:space="preserve">company </w:t>
      </w:r>
      <w:r w:rsidR="00752A00">
        <w:rPr>
          <w:rFonts w:ascii="Times New Roman" w:hAnsi="Times New Roman"/>
        </w:rPr>
        <w:t>e</w:t>
      </w:r>
      <w:r w:rsidR="00010B50">
        <w:rPr>
          <w:rFonts w:ascii="Times New Roman" w:hAnsi="Times New Roman"/>
        </w:rPr>
        <w:t>stimates that</w:t>
      </w:r>
      <w:r w:rsidR="00752A00">
        <w:rPr>
          <w:rFonts w:ascii="Times New Roman" w:hAnsi="Times New Roman"/>
        </w:rPr>
        <w:t xml:space="preserve"> the </w:t>
      </w:r>
      <w:r w:rsidR="00752A00" w:rsidRPr="00752A00">
        <w:rPr>
          <w:rFonts w:ascii="Times New Roman" w:hAnsi="Times New Roman"/>
        </w:rPr>
        <w:t>deferral balance w</w:t>
      </w:r>
      <w:r w:rsidR="00752A00">
        <w:rPr>
          <w:rFonts w:ascii="Times New Roman" w:hAnsi="Times New Roman"/>
        </w:rPr>
        <w:t>ill</w:t>
      </w:r>
      <w:r w:rsidR="00752A00" w:rsidRPr="00752A00">
        <w:rPr>
          <w:rFonts w:ascii="Times New Roman" w:hAnsi="Times New Roman"/>
        </w:rPr>
        <w:t xml:space="preserve"> reach zero in December 2009</w:t>
      </w:r>
      <w:r w:rsidR="00752A00">
        <w:rPr>
          <w:rFonts w:ascii="Times New Roman" w:hAnsi="Times New Roman"/>
        </w:rPr>
        <w:t xml:space="preserve">. </w:t>
      </w:r>
    </w:p>
    <w:p w:rsidR="00681FA8" w:rsidRDefault="00681FA8" w:rsidP="00681FA8">
      <w:pPr>
        <w:rPr>
          <w:rFonts w:ascii="Times New Roman" w:hAnsi="Times New Roman"/>
        </w:rPr>
      </w:pPr>
    </w:p>
    <w:p w:rsidR="0093757B" w:rsidRDefault="0093757B" w:rsidP="009375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other persons or parties filed comments with the </w:t>
      </w:r>
      <w:r w:rsidR="007342A3">
        <w:rPr>
          <w:rFonts w:ascii="Times New Roman" w:hAnsi="Times New Roman"/>
        </w:rPr>
        <w:t xml:space="preserve">commission </w:t>
      </w:r>
      <w:r w:rsidR="00010B50">
        <w:rPr>
          <w:rFonts w:ascii="Times New Roman" w:hAnsi="Times New Roman"/>
        </w:rPr>
        <w:t>during</w:t>
      </w:r>
      <w:r>
        <w:rPr>
          <w:rFonts w:ascii="Times New Roman" w:hAnsi="Times New Roman"/>
        </w:rPr>
        <w:t xml:space="preserve"> the review period.</w:t>
      </w:r>
      <w:r w:rsidRPr="00AD4D61">
        <w:rPr>
          <w:rFonts w:ascii="Times New Roman" w:hAnsi="Times New Roman"/>
        </w:rPr>
        <w:t xml:space="preserve"> </w:t>
      </w:r>
    </w:p>
    <w:p w:rsidR="0093757B" w:rsidRPr="00AD4D61" w:rsidRDefault="0093757B" w:rsidP="00681FA8">
      <w:pPr>
        <w:rPr>
          <w:rFonts w:ascii="Times New Roman" w:hAnsi="Times New Roman"/>
        </w:rPr>
      </w:pPr>
    </w:p>
    <w:p w:rsidR="00681FA8" w:rsidRDefault="00681FA8">
      <w:pPr>
        <w:rPr>
          <w:rFonts w:ascii="Times New Roman" w:hAnsi="Times New Roman"/>
          <w:b/>
          <w:u w:val="single"/>
        </w:rPr>
      </w:pPr>
    </w:p>
    <w:p w:rsidR="00D60E7F" w:rsidRPr="00AD4D61" w:rsidRDefault="00D60E7F">
      <w:pPr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t>Conclusion</w:t>
      </w:r>
    </w:p>
    <w:p w:rsidR="00170726" w:rsidRDefault="00170726">
      <w:pPr>
        <w:rPr>
          <w:rFonts w:ascii="Times New Roman" w:hAnsi="Times New Roman"/>
        </w:rPr>
      </w:pPr>
    </w:p>
    <w:p w:rsidR="00777586" w:rsidRDefault="00681FA8">
      <w:pPr>
        <w:rPr>
          <w:rFonts w:ascii="Times New Roman" w:hAnsi="Times New Roman"/>
        </w:rPr>
      </w:pPr>
      <w:r>
        <w:rPr>
          <w:rFonts w:ascii="Times New Roman" w:hAnsi="Times New Roman"/>
        </w:rPr>
        <w:t>Staff has completed its review and</w:t>
      </w:r>
      <w:r w:rsidR="002A42E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A42EB">
        <w:rPr>
          <w:rFonts w:ascii="Times New Roman" w:hAnsi="Times New Roman"/>
        </w:rPr>
        <w:t>finding no issues</w:t>
      </w:r>
      <w:r w:rsidR="0093757B">
        <w:rPr>
          <w:rFonts w:ascii="Times New Roman" w:hAnsi="Times New Roman"/>
        </w:rPr>
        <w:t xml:space="preserve"> and absent an interested-party request to the contrary</w:t>
      </w:r>
      <w:r w:rsidR="002A42EB">
        <w:rPr>
          <w:rFonts w:ascii="Times New Roman" w:hAnsi="Times New Roman"/>
        </w:rPr>
        <w:t xml:space="preserve">, recommends the </w:t>
      </w:r>
      <w:r w:rsidR="007342A3">
        <w:rPr>
          <w:rFonts w:ascii="Times New Roman" w:hAnsi="Times New Roman"/>
        </w:rPr>
        <w:t xml:space="preserve">commission </w:t>
      </w:r>
      <w:r w:rsidR="002A42EB">
        <w:rPr>
          <w:rFonts w:ascii="Times New Roman" w:hAnsi="Times New Roman"/>
        </w:rPr>
        <w:t xml:space="preserve">issue an order deeming the </w:t>
      </w:r>
      <w:r w:rsidR="005C57D1">
        <w:rPr>
          <w:rFonts w:ascii="Times New Roman" w:hAnsi="Times New Roman"/>
        </w:rPr>
        <w:t>energy recovery mechanism</w:t>
      </w:r>
      <w:r w:rsidR="0093757B">
        <w:rPr>
          <w:rFonts w:ascii="Times New Roman" w:hAnsi="Times New Roman"/>
        </w:rPr>
        <w:t xml:space="preserve"> </w:t>
      </w:r>
      <w:r w:rsidR="002A42EB">
        <w:rPr>
          <w:rFonts w:ascii="Times New Roman" w:hAnsi="Times New Roman"/>
        </w:rPr>
        <w:t>deferrals for calendar year 200</w:t>
      </w:r>
      <w:r w:rsidR="00752A00">
        <w:rPr>
          <w:rFonts w:ascii="Times New Roman" w:hAnsi="Times New Roman"/>
        </w:rPr>
        <w:t>8</w:t>
      </w:r>
      <w:r w:rsidR="002A42EB">
        <w:rPr>
          <w:rFonts w:ascii="Times New Roman" w:hAnsi="Times New Roman"/>
        </w:rPr>
        <w:t xml:space="preserve"> filed in Docket UE-0</w:t>
      </w:r>
      <w:r w:rsidR="00752A00">
        <w:rPr>
          <w:rFonts w:ascii="Times New Roman" w:hAnsi="Times New Roman"/>
        </w:rPr>
        <w:t>90452</w:t>
      </w:r>
      <w:r w:rsidR="002A42EB">
        <w:rPr>
          <w:rFonts w:ascii="Times New Roman" w:hAnsi="Times New Roman"/>
        </w:rPr>
        <w:t>, as prudently incurred</w:t>
      </w:r>
      <w:r w:rsidR="00170726">
        <w:rPr>
          <w:rFonts w:ascii="Times New Roman" w:hAnsi="Times New Roman"/>
        </w:rPr>
        <w:t xml:space="preserve">.  </w:t>
      </w:r>
    </w:p>
    <w:sectPr w:rsidR="00777586" w:rsidSect="00797614">
      <w:headerReference w:type="default" r:id="rId10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DC" w:rsidRDefault="009123DC">
      <w:r>
        <w:separator/>
      </w:r>
    </w:p>
  </w:endnote>
  <w:endnote w:type="continuationSeparator" w:id="0">
    <w:p w:rsidR="009123DC" w:rsidRDefault="0091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DC" w:rsidRDefault="009123DC">
      <w:r>
        <w:separator/>
      </w:r>
    </w:p>
  </w:footnote>
  <w:footnote w:type="continuationSeparator" w:id="0">
    <w:p w:rsidR="009123DC" w:rsidRDefault="00912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9F" w:rsidRPr="00777586" w:rsidRDefault="002E1A9F">
    <w:pPr>
      <w:pStyle w:val="Header"/>
      <w:rPr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 xml:space="preserve">DOCKET </w:t>
    </w:r>
    <w:r>
      <w:rPr>
        <w:rFonts w:ascii="Times New Roman" w:hAnsi="Times New Roman"/>
        <w:sz w:val="20"/>
        <w:szCs w:val="20"/>
      </w:rPr>
      <w:t>UE-090452</w:t>
    </w:r>
  </w:p>
  <w:p w:rsidR="002E1A9F" w:rsidRPr="00777586" w:rsidRDefault="00B456AB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July 16</w:t>
    </w:r>
    <w:r w:rsidR="002E1A9F">
      <w:rPr>
        <w:rFonts w:ascii="Times New Roman" w:hAnsi="Times New Roman"/>
        <w:sz w:val="20"/>
        <w:szCs w:val="20"/>
      </w:rPr>
      <w:t>, 2009</w:t>
    </w:r>
  </w:p>
  <w:p w:rsidR="002E1A9F" w:rsidRPr="00777586" w:rsidRDefault="002E1A9F">
    <w:pPr>
      <w:pStyle w:val="Header"/>
      <w:rPr>
        <w:rStyle w:val="PageNumber"/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 xml:space="preserve">Page </w:t>
    </w:r>
    <w:r w:rsidR="003F337D" w:rsidRPr="00777586">
      <w:rPr>
        <w:rStyle w:val="PageNumber"/>
        <w:rFonts w:ascii="Times New Roman" w:hAnsi="Times New Roman"/>
        <w:sz w:val="20"/>
        <w:szCs w:val="20"/>
      </w:rPr>
      <w:fldChar w:fldCharType="begin"/>
    </w:r>
    <w:r w:rsidRPr="00777586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3F337D" w:rsidRPr="00777586">
      <w:rPr>
        <w:rStyle w:val="PageNumber"/>
        <w:rFonts w:ascii="Times New Roman" w:hAnsi="Times New Roman"/>
        <w:sz w:val="20"/>
        <w:szCs w:val="20"/>
      </w:rPr>
      <w:fldChar w:fldCharType="separate"/>
    </w:r>
    <w:r w:rsidR="008636C7">
      <w:rPr>
        <w:rStyle w:val="PageNumber"/>
        <w:rFonts w:ascii="Times New Roman" w:hAnsi="Times New Roman"/>
        <w:noProof/>
        <w:sz w:val="20"/>
        <w:szCs w:val="20"/>
      </w:rPr>
      <w:t>2</w:t>
    </w:r>
    <w:r w:rsidR="003F337D" w:rsidRPr="00777586">
      <w:rPr>
        <w:rStyle w:val="PageNumber"/>
        <w:rFonts w:ascii="Times New Roman" w:hAnsi="Times New Roman"/>
        <w:sz w:val="20"/>
        <w:szCs w:val="20"/>
      </w:rPr>
      <w:fldChar w:fldCharType="end"/>
    </w:r>
  </w:p>
  <w:p w:rsidR="002E1A9F" w:rsidRDefault="002E1A9F">
    <w:pPr>
      <w:pStyle w:val="Header"/>
      <w:rPr>
        <w:rStyle w:val="PageNumber"/>
        <w:sz w:val="20"/>
      </w:rPr>
    </w:pPr>
  </w:p>
  <w:p w:rsidR="002E1A9F" w:rsidRDefault="002E1A9F">
    <w:pPr>
      <w:pStyle w:val="Head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DF5"/>
    <w:rsid w:val="000007CB"/>
    <w:rsid w:val="00010B50"/>
    <w:rsid w:val="0001152E"/>
    <w:rsid w:val="000222A8"/>
    <w:rsid w:val="00041921"/>
    <w:rsid w:val="000637EA"/>
    <w:rsid w:val="00093ADD"/>
    <w:rsid w:val="000C75FC"/>
    <w:rsid w:val="000D0AD2"/>
    <w:rsid w:val="000D5043"/>
    <w:rsid w:val="000F79DB"/>
    <w:rsid w:val="0013567D"/>
    <w:rsid w:val="00147847"/>
    <w:rsid w:val="00170726"/>
    <w:rsid w:val="0017112D"/>
    <w:rsid w:val="00171713"/>
    <w:rsid w:val="001A71D7"/>
    <w:rsid w:val="001E6C8A"/>
    <w:rsid w:val="001F5226"/>
    <w:rsid w:val="00204915"/>
    <w:rsid w:val="00205CAE"/>
    <w:rsid w:val="0020635F"/>
    <w:rsid w:val="0022715D"/>
    <w:rsid w:val="00242044"/>
    <w:rsid w:val="002A42EB"/>
    <w:rsid w:val="002C0F6C"/>
    <w:rsid w:val="002C74B0"/>
    <w:rsid w:val="002D0EDE"/>
    <w:rsid w:val="002E1A9F"/>
    <w:rsid w:val="002E61FB"/>
    <w:rsid w:val="00356347"/>
    <w:rsid w:val="003625B8"/>
    <w:rsid w:val="003900E8"/>
    <w:rsid w:val="003A683D"/>
    <w:rsid w:val="003A6EDD"/>
    <w:rsid w:val="003F337D"/>
    <w:rsid w:val="004145B3"/>
    <w:rsid w:val="00466AF4"/>
    <w:rsid w:val="004804DD"/>
    <w:rsid w:val="00491663"/>
    <w:rsid w:val="004C6630"/>
    <w:rsid w:val="004D25BC"/>
    <w:rsid w:val="0051269F"/>
    <w:rsid w:val="00514DF5"/>
    <w:rsid w:val="00521DDB"/>
    <w:rsid w:val="00524B4F"/>
    <w:rsid w:val="005B51E0"/>
    <w:rsid w:val="005C57D1"/>
    <w:rsid w:val="005E4D8B"/>
    <w:rsid w:val="005F0269"/>
    <w:rsid w:val="005F7616"/>
    <w:rsid w:val="0063567A"/>
    <w:rsid w:val="00642976"/>
    <w:rsid w:val="00657DEE"/>
    <w:rsid w:val="006613A2"/>
    <w:rsid w:val="006652DF"/>
    <w:rsid w:val="00670544"/>
    <w:rsid w:val="00681FA8"/>
    <w:rsid w:val="006C5AD1"/>
    <w:rsid w:val="00726BA8"/>
    <w:rsid w:val="00730B7D"/>
    <w:rsid w:val="0073347F"/>
    <w:rsid w:val="007342A3"/>
    <w:rsid w:val="00744C90"/>
    <w:rsid w:val="00752A00"/>
    <w:rsid w:val="00767FFB"/>
    <w:rsid w:val="00777586"/>
    <w:rsid w:val="00797614"/>
    <w:rsid w:val="008334B7"/>
    <w:rsid w:val="00842F1A"/>
    <w:rsid w:val="00862FFC"/>
    <w:rsid w:val="008636C7"/>
    <w:rsid w:val="00892680"/>
    <w:rsid w:val="008A5C9E"/>
    <w:rsid w:val="008C54E3"/>
    <w:rsid w:val="009123DC"/>
    <w:rsid w:val="00920DDA"/>
    <w:rsid w:val="009250D1"/>
    <w:rsid w:val="0093757B"/>
    <w:rsid w:val="00947AAF"/>
    <w:rsid w:val="00991D01"/>
    <w:rsid w:val="009D6358"/>
    <w:rsid w:val="00A32572"/>
    <w:rsid w:val="00A54AE4"/>
    <w:rsid w:val="00A769BB"/>
    <w:rsid w:val="00A92BA7"/>
    <w:rsid w:val="00AD4D61"/>
    <w:rsid w:val="00B10F8A"/>
    <w:rsid w:val="00B33E84"/>
    <w:rsid w:val="00B456AB"/>
    <w:rsid w:val="00B619A9"/>
    <w:rsid w:val="00B646AC"/>
    <w:rsid w:val="00B84978"/>
    <w:rsid w:val="00BA5D23"/>
    <w:rsid w:val="00BA6408"/>
    <w:rsid w:val="00BD6CA0"/>
    <w:rsid w:val="00BE6C47"/>
    <w:rsid w:val="00BF5E4A"/>
    <w:rsid w:val="00C06680"/>
    <w:rsid w:val="00CF35F7"/>
    <w:rsid w:val="00D60E7F"/>
    <w:rsid w:val="00D66B54"/>
    <w:rsid w:val="00D91FD8"/>
    <w:rsid w:val="00DC53C2"/>
    <w:rsid w:val="00DE1C1E"/>
    <w:rsid w:val="00E12F2E"/>
    <w:rsid w:val="00E146A0"/>
    <w:rsid w:val="00E6663D"/>
    <w:rsid w:val="00E825E7"/>
    <w:rsid w:val="00EC0A3B"/>
    <w:rsid w:val="00EF3890"/>
    <w:rsid w:val="00EF53BA"/>
    <w:rsid w:val="00F12906"/>
    <w:rsid w:val="00F276CE"/>
    <w:rsid w:val="00F34A33"/>
    <w:rsid w:val="00FC5ECC"/>
    <w:rsid w:val="00FC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67A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56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6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567A"/>
  </w:style>
  <w:style w:type="table" w:styleId="TableClassic2">
    <w:name w:val="Table Classic 2"/>
    <w:basedOn w:val="TableNormal"/>
    <w:rsid w:val="004D25B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976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C5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5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6BF753B806434EA4FEF3ECF6BB591B" ma:contentTypeVersion="131" ma:contentTypeDescription="" ma:contentTypeScope="" ma:versionID="2f15e2f22a40fbe6b2505826acbdfd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2009-03-27T07:00:00+00:00</OpenedDate>
    <Date1 xmlns="dc463f71-b30c-4ab2-9473-d307f9d35888">2009-07-16T07:00:00+00:00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090452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02221-3EEF-4BE2-B111-6E73658D19FC}"/>
</file>

<file path=customXml/itemProps2.xml><?xml version="1.0" encoding="utf-8"?>
<ds:datastoreItem xmlns:ds="http://schemas.openxmlformats.org/officeDocument/2006/customXml" ds:itemID="{2976636B-01EF-4BB6-B678-A78F2758B148}"/>
</file>

<file path=customXml/itemProps3.xml><?xml version="1.0" encoding="utf-8"?>
<ds:datastoreItem xmlns:ds="http://schemas.openxmlformats.org/officeDocument/2006/customXml" ds:itemID="{AA4827BB-0855-45BE-80AC-B67CE0F1E97F}"/>
</file>

<file path=customXml/itemProps4.xml><?xml version="1.0" encoding="utf-8"?>
<ds:datastoreItem xmlns:ds="http://schemas.openxmlformats.org/officeDocument/2006/customXml" ds:itemID="{D95FA4A8-4892-4585-B965-5DE0A6C85644}"/>
</file>

<file path=customXml/itemProps5.xml><?xml version="1.0" encoding="utf-8"?>
<ds:datastoreItem xmlns:ds="http://schemas.openxmlformats.org/officeDocument/2006/customXml" ds:itemID="{AFB0036E-C93A-413B-95D9-C1920265F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06/25/2009</vt:lpstr>
    </vt:vector>
  </TitlesOfParts>
  <Company>WUTC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UE-090452 memo</dc:title>
  <dc:subject/>
  <dc:creator>VDeferia</dc:creator>
  <cp:keywords/>
  <dc:description/>
  <cp:lastModifiedBy>Lisa Wyse, Records Manager</cp:lastModifiedBy>
  <cp:revision>2</cp:revision>
  <cp:lastPrinted>2009-07-13T17:35:00Z</cp:lastPrinted>
  <dcterms:created xsi:type="dcterms:W3CDTF">2009-07-13T20:43:00Z</dcterms:created>
  <dcterms:modified xsi:type="dcterms:W3CDTF">2009-07-13T20:43:00Z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0x0101006E56B4D1795A2E4DB2F0B01679ED314A00EF6BF753B806434EA4FEF3ECF6BB591B</vt:lpwstr>
  </property>
  <property fmtid="{D5CDD505-2E9C-101B-9397-08002B2CF9AE}" pid="3" name="_docset_NoMedatataSyncRequired">
    <vt:lpwstr>False</vt:lpwstr>
  </property>
</Properties>
</file>