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2F" w:rsidRDefault="00227C2F" w:rsidP="00C85E71">
      <w:pPr>
        <w:jc w:val="center"/>
        <w:rPr>
          <w:b/>
        </w:rPr>
      </w:pPr>
      <w:r>
        <w:rPr>
          <w:b/>
        </w:rPr>
        <w:t>BEFORE THE WASHINGTON</w:t>
      </w:r>
    </w:p>
    <w:p w:rsidR="00227C2F" w:rsidRPr="00227C2F" w:rsidRDefault="00227C2F" w:rsidP="00227C2F">
      <w:pPr>
        <w:jc w:val="center"/>
        <w:rPr>
          <w:b/>
        </w:rPr>
      </w:pPr>
      <w:r w:rsidRPr="00A658BE">
        <w:rPr>
          <w:b/>
        </w:rPr>
        <w:t>UTILITIES AND TRANSPORTATION</w:t>
      </w:r>
      <w:r>
        <w:rPr>
          <w:b/>
        </w:rPr>
        <w:t xml:space="preserve"> </w:t>
      </w:r>
      <w:r w:rsidRPr="00A658BE">
        <w:rPr>
          <w:b/>
        </w:rPr>
        <w:t>COMMISSION</w:t>
      </w:r>
    </w:p>
    <w:p w:rsidR="00227C2F" w:rsidRDefault="00227C2F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27C2F" w:rsidRPr="00994CEC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227C2F" w:rsidRDefault="00227C2F" w:rsidP="00AD309C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227C2F" w:rsidRPr="00682988" w:rsidRDefault="00227C2F" w:rsidP="00227C2F">
            <w:pPr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>WASHINGTON UTILITIES AND TRANSPORTATION COMMISSION,</w:t>
            </w:r>
          </w:p>
          <w:p w:rsidR="00227C2F" w:rsidRPr="00682988" w:rsidRDefault="00227C2F" w:rsidP="00227C2F">
            <w:pPr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ab/>
              <w:t>Complainant,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proofErr w:type="gramStart"/>
            <w:r w:rsidRPr="00682988">
              <w:rPr>
                <w:sz w:val="25"/>
                <w:szCs w:val="25"/>
              </w:rPr>
              <w:t>v</w:t>
            </w:r>
            <w:proofErr w:type="gramEnd"/>
            <w:r w:rsidRPr="00682988">
              <w:rPr>
                <w:sz w:val="25"/>
                <w:szCs w:val="25"/>
              </w:rPr>
              <w:t>.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>PACIFIC POWER &amp; LIGHT COMPANY,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ab/>
              <w:t>Respondent.</w:t>
            </w:r>
          </w:p>
          <w:p w:rsidR="00227C2F" w:rsidRPr="00994CEC" w:rsidRDefault="00227C2F" w:rsidP="00B10D0B">
            <w:pPr>
              <w:pStyle w:val="Default"/>
            </w:pPr>
            <w:r w:rsidRPr="002D372E">
              <w:rPr>
                <w:noProof/>
              </w:rPr>
              <w:tab/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227C2F" w:rsidRPr="00994CEC" w:rsidRDefault="00227C2F"/>
          <w:p w:rsidR="00227C2F" w:rsidRDefault="00227C2F" w:rsidP="00AD30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DOCKET </w:t>
            </w:r>
            <w:r w:rsidRPr="002D372E">
              <w:rPr>
                <w:noProof/>
                <w:sz w:val="25"/>
                <w:szCs w:val="25"/>
              </w:rPr>
              <w:t>UE-152253</w:t>
            </w:r>
          </w:p>
          <w:p w:rsidR="00227C2F" w:rsidRDefault="00227C2F" w:rsidP="009E7452"/>
          <w:p w:rsidR="00227C2F" w:rsidRDefault="00227C2F" w:rsidP="009E7452"/>
          <w:p w:rsidR="00227C2F" w:rsidRPr="00994CEC" w:rsidRDefault="005B5738" w:rsidP="005B5738">
            <w:r>
              <w:t>PUBLIC COUNSEL’S RESPONSE TO PACIFIC POWER &amp; LIGHT COMPANY’S MOTION FOR CLARIFICATION</w:t>
            </w:r>
          </w:p>
        </w:tc>
      </w:tr>
    </w:tbl>
    <w:p w:rsidR="00227C2F" w:rsidRDefault="00227C2F" w:rsidP="00D43DDE"/>
    <w:p w:rsidR="00227C2F" w:rsidRPr="00994CEC" w:rsidRDefault="00A7337F" w:rsidP="00227C2F">
      <w:pPr>
        <w:pStyle w:val="ParNumber"/>
        <w:spacing w:line="480" w:lineRule="auto"/>
      </w:pPr>
      <w:r>
        <w:tab/>
      </w:r>
      <w:r w:rsidR="005B5738">
        <w:t>Pursuant to the Commission’s notice dated September 13, 2016, Public Counsel files a response to Pacific Power &amp; Light Company’s Motion for Clarification.  Public Counsel takes no position on the Motion for Clarification.</w:t>
      </w:r>
      <w:bookmarkStart w:id="0" w:name="_GoBack"/>
      <w:bookmarkEnd w:id="0"/>
    </w:p>
    <w:p w:rsidR="00227C2F" w:rsidRDefault="00A7337F" w:rsidP="00227C2F">
      <w:pPr>
        <w:pStyle w:val="ParNumber"/>
      </w:pPr>
      <w:r>
        <w:tab/>
      </w:r>
      <w:r w:rsidR="00227C2F" w:rsidRPr="00C23D1E">
        <w:t xml:space="preserve">DATED this </w:t>
      </w:r>
      <w:r w:rsidR="005B5738">
        <w:t>20</w:t>
      </w:r>
      <w:r w:rsidR="00227C2F" w:rsidRPr="009056F0">
        <w:rPr>
          <w:vertAlign w:val="superscript"/>
        </w:rPr>
        <w:t>th</w:t>
      </w:r>
      <w:r w:rsidR="00227C2F" w:rsidRPr="00C23D1E">
        <w:t xml:space="preserve"> day </w:t>
      </w:r>
      <w:r w:rsidR="00227C2F">
        <w:t xml:space="preserve">of </w:t>
      </w:r>
      <w:r w:rsidR="005B5738">
        <w:rPr>
          <w:noProof/>
        </w:rPr>
        <w:t>September</w:t>
      </w:r>
      <w:r w:rsidR="00227C2F" w:rsidRPr="002D372E">
        <w:rPr>
          <w:noProof/>
        </w:rPr>
        <w:t>, 2016</w:t>
      </w:r>
      <w:r w:rsidR="00227C2F" w:rsidRPr="00C23D1E">
        <w:t>.</w:t>
      </w:r>
    </w:p>
    <w:p w:rsidR="00227C2F" w:rsidRPr="00994CEC" w:rsidRDefault="00227C2F" w:rsidP="00D43DDE"/>
    <w:p w:rsidR="00227C2F" w:rsidRDefault="00227C2F" w:rsidP="00D43DDE">
      <w:pPr>
        <w:pStyle w:val="CourtName"/>
        <w:spacing w:line="480" w:lineRule="exact"/>
        <w:ind w:firstLine="720"/>
        <w:jc w:val="left"/>
      </w:pP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  <w:t>ROBERT W. FERGUSON</w:t>
      </w: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  <w:t>Attorney General</w:t>
      </w:r>
    </w:p>
    <w:p w:rsidR="00227C2F" w:rsidRDefault="00227C2F" w:rsidP="00D43DDE">
      <w:pPr>
        <w:ind w:left="2160"/>
      </w:pPr>
    </w:p>
    <w:p w:rsidR="00227C2F" w:rsidRDefault="00227C2F" w:rsidP="00D43DDE">
      <w:pPr>
        <w:ind w:left="2160"/>
      </w:pPr>
    </w:p>
    <w:p w:rsidR="00227C2F" w:rsidRPr="00227C2F" w:rsidRDefault="00227C2F" w:rsidP="00D43DDE">
      <w:pPr>
        <w:ind w:left="2160"/>
        <w:rPr>
          <w:u w:val="single"/>
        </w:rPr>
      </w:pPr>
      <w:r>
        <w:tab/>
      </w:r>
      <w:r>
        <w:tab/>
      </w:r>
      <w:r>
        <w:tab/>
      </w:r>
      <w: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</w:p>
    <w:p w:rsidR="00227C2F" w:rsidRPr="00227C2F" w:rsidRDefault="00227C2F" w:rsidP="00D43DDE">
      <w:pPr>
        <w:ind w:left="2160"/>
        <w:rPr>
          <w:caps/>
        </w:rPr>
      </w:pPr>
      <w:r>
        <w:tab/>
      </w:r>
      <w:r>
        <w:tab/>
      </w:r>
      <w:r>
        <w:tab/>
      </w:r>
      <w:r>
        <w:tab/>
      </w:r>
      <w:r w:rsidR="005B5738">
        <w:rPr>
          <w:caps/>
          <w:noProof/>
        </w:rPr>
        <w:t>lisa w. gafken</w:t>
      </w: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</w:r>
      <w:r w:rsidRPr="002D372E">
        <w:rPr>
          <w:noProof/>
        </w:rPr>
        <w:t>Assistant Attorney General</w:t>
      </w:r>
    </w:p>
    <w:p w:rsidR="00227C2F" w:rsidRDefault="00227C2F" w:rsidP="00374849">
      <w:pPr>
        <w:ind w:left="2160"/>
      </w:pPr>
      <w:r>
        <w:tab/>
      </w:r>
      <w:r>
        <w:tab/>
      </w:r>
      <w:r>
        <w:tab/>
      </w:r>
      <w:r>
        <w:tab/>
        <w:t>Public Counsel Unit</w:t>
      </w:r>
      <w:r w:rsidR="005B5738">
        <w:t xml:space="preserve"> Chief</w:t>
      </w:r>
    </w:p>
    <w:p w:rsidR="00227C2F" w:rsidRDefault="00227C2F" w:rsidP="00D43DDE">
      <w:pPr>
        <w:sectPr w:rsidR="00227C2F" w:rsidSect="00227C2F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</w:sectPr>
      </w:pPr>
    </w:p>
    <w:p w:rsidR="00227C2F" w:rsidRDefault="00227C2F" w:rsidP="00D43DDE"/>
    <w:sectPr w:rsidR="00227C2F" w:rsidSect="00227C2F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2F" w:rsidRDefault="00227C2F">
      <w:r>
        <w:separator/>
      </w:r>
    </w:p>
  </w:endnote>
  <w:endnote w:type="continuationSeparator" w:id="0">
    <w:p w:rsidR="00227C2F" w:rsidRDefault="002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780"/>
      <w:gridCol w:w="1440"/>
      <w:gridCol w:w="4248"/>
    </w:tblGrid>
    <w:tr w:rsidR="00227C2F" w:rsidTr="00234256">
      <w:tc>
        <w:tcPr>
          <w:tcW w:w="3780" w:type="dxa"/>
        </w:tcPr>
        <w:p w:rsidR="00227C2F" w:rsidRPr="00234256" w:rsidRDefault="005B5738" w:rsidP="00BF1A10">
          <w:pPr>
            <w:pStyle w:val="Footer"/>
            <w:rPr>
              <w:caps/>
              <w:szCs w:val="20"/>
            </w:rPr>
          </w:pPr>
          <w:r>
            <w:rPr>
              <w:caps/>
              <w:szCs w:val="20"/>
            </w:rPr>
            <w:t>public counsel’s respons</w:t>
          </w:r>
          <w:r w:rsidR="007E5AF5">
            <w:rPr>
              <w:caps/>
              <w:szCs w:val="20"/>
            </w:rPr>
            <w:t>e to pacific power and light company</w:t>
          </w:r>
          <w:r>
            <w:rPr>
              <w:caps/>
              <w:szCs w:val="20"/>
            </w:rPr>
            <w:t>’s motion for clarification</w:t>
          </w:r>
        </w:p>
        <w:p w:rsidR="00227C2F" w:rsidRPr="00234256" w:rsidRDefault="00227C2F" w:rsidP="00BF1A10">
          <w:pPr>
            <w:pStyle w:val="Footer"/>
            <w:rPr>
              <w:caps/>
              <w:szCs w:val="20"/>
            </w:rPr>
          </w:pPr>
          <w:r w:rsidRPr="00234256">
            <w:rPr>
              <w:caps/>
              <w:szCs w:val="20"/>
            </w:rPr>
            <w:t xml:space="preserve">DOCKET </w:t>
          </w:r>
          <w:r w:rsidRPr="002D372E">
            <w:rPr>
              <w:caps/>
              <w:noProof/>
              <w:szCs w:val="20"/>
            </w:rPr>
            <w:t>UE-152253</w:t>
          </w:r>
        </w:p>
      </w:tc>
      <w:tc>
        <w:tcPr>
          <w:tcW w:w="1440" w:type="dxa"/>
        </w:tcPr>
        <w:p w:rsidR="00227C2F" w:rsidRPr="00234256" w:rsidRDefault="00227C2F" w:rsidP="00234256">
          <w:pPr>
            <w:pStyle w:val="Footer"/>
            <w:jc w:val="center"/>
            <w:rPr>
              <w:szCs w:val="20"/>
            </w:rPr>
          </w:pPr>
          <w:r w:rsidRPr="00234256">
            <w:rPr>
              <w:szCs w:val="20"/>
            </w:rPr>
            <w:fldChar w:fldCharType="begin"/>
          </w:r>
          <w:r w:rsidRPr="00234256">
            <w:rPr>
              <w:szCs w:val="20"/>
            </w:rPr>
            <w:instrText xml:space="preserve"> PAGE  \* MERGEFORMAT </w:instrText>
          </w:r>
          <w:r w:rsidRPr="00234256">
            <w:rPr>
              <w:szCs w:val="20"/>
            </w:rPr>
            <w:fldChar w:fldCharType="separate"/>
          </w:r>
          <w:r w:rsidR="007E5AF5">
            <w:rPr>
              <w:noProof/>
              <w:szCs w:val="20"/>
            </w:rPr>
            <w:t>1</w:t>
          </w:r>
          <w:r w:rsidRPr="00234256">
            <w:rPr>
              <w:szCs w:val="20"/>
            </w:rPr>
            <w:fldChar w:fldCharType="end"/>
          </w:r>
        </w:p>
      </w:tc>
      <w:tc>
        <w:tcPr>
          <w:tcW w:w="4248" w:type="dxa"/>
        </w:tcPr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>
            <w:rPr>
              <w:caps/>
              <w:szCs w:val="20"/>
            </w:rPr>
            <w:t>attorney g</w:t>
          </w:r>
          <w:r w:rsidRPr="00E642BE">
            <w:rPr>
              <w:caps/>
              <w:szCs w:val="20"/>
            </w:rPr>
            <w:t>eneral Of Washington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Public Counsel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 xml:space="preserve">800 </w:t>
          </w:r>
          <w:r>
            <w:rPr>
              <w:caps/>
              <w:szCs w:val="20"/>
            </w:rPr>
            <w:t>fifth Avenue</w:t>
          </w:r>
          <w:r w:rsidRPr="00E642BE">
            <w:rPr>
              <w:szCs w:val="20"/>
            </w:rPr>
            <w:t xml:space="preserve">, </w:t>
          </w:r>
          <w:r w:rsidRPr="00E642BE">
            <w:rPr>
              <w:caps/>
              <w:szCs w:val="20"/>
            </w:rPr>
            <w:t>Suite 2000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Seattle, Wa 98104-3188</w:t>
          </w:r>
        </w:p>
        <w:p w:rsidR="00227C2F" w:rsidRPr="00234256" w:rsidRDefault="00227C2F">
          <w:pPr>
            <w:pStyle w:val="Footer"/>
            <w:jc w:val="center"/>
            <w:rPr>
              <w:szCs w:val="20"/>
            </w:rPr>
          </w:pPr>
          <w:r w:rsidRPr="00E642BE">
            <w:rPr>
              <w:caps/>
              <w:szCs w:val="20"/>
            </w:rPr>
            <w:t>(206) 464-7744</w:t>
          </w:r>
        </w:p>
      </w:tc>
    </w:tr>
  </w:tbl>
  <w:p w:rsidR="00227C2F" w:rsidRDefault="00227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780"/>
      <w:gridCol w:w="1440"/>
      <w:gridCol w:w="4248"/>
    </w:tblGrid>
    <w:tr w:rsidR="00E642BE" w:rsidTr="00234256">
      <w:tc>
        <w:tcPr>
          <w:tcW w:w="3780" w:type="dxa"/>
        </w:tcPr>
        <w:p w:rsidR="00E642BE" w:rsidRPr="00234256" w:rsidRDefault="00E642BE" w:rsidP="00BF1A10">
          <w:pPr>
            <w:pStyle w:val="Footer"/>
            <w:rPr>
              <w:caps/>
              <w:szCs w:val="20"/>
            </w:rPr>
          </w:pPr>
        </w:p>
        <w:p w:rsidR="00E642BE" w:rsidRPr="00234256" w:rsidRDefault="00E642BE" w:rsidP="00BF1A10">
          <w:pPr>
            <w:pStyle w:val="Footer"/>
            <w:rPr>
              <w:caps/>
              <w:szCs w:val="20"/>
            </w:rPr>
          </w:pPr>
          <w:r w:rsidRPr="00234256">
            <w:rPr>
              <w:caps/>
              <w:szCs w:val="20"/>
            </w:rPr>
            <w:t xml:space="preserve">DOCKET </w:t>
          </w:r>
          <w:r w:rsidR="000950C1">
            <w:rPr>
              <w:caps/>
              <w:noProof/>
              <w:szCs w:val="20"/>
            </w:rPr>
            <w:t>«lmCause»</w:t>
          </w:r>
        </w:p>
      </w:tc>
      <w:tc>
        <w:tcPr>
          <w:tcW w:w="1440" w:type="dxa"/>
        </w:tcPr>
        <w:p w:rsidR="00E642BE" w:rsidRPr="00234256" w:rsidRDefault="00E642BE" w:rsidP="00234256">
          <w:pPr>
            <w:pStyle w:val="Footer"/>
            <w:jc w:val="center"/>
            <w:rPr>
              <w:szCs w:val="20"/>
            </w:rPr>
          </w:pPr>
          <w:r w:rsidRPr="00234256">
            <w:rPr>
              <w:szCs w:val="20"/>
            </w:rPr>
            <w:fldChar w:fldCharType="begin"/>
          </w:r>
          <w:r w:rsidRPr="00234256">
            <w:rPr>
              <w:szCs w:val="20"/>
            </w:rPr>
            <w:instrText xml:space="preserve"> PAGE  \* MERGEFORMAT </w:instrText>
          </w:r>
          <w:r w:rsidRPr="00234256">
            <w:rPr>
              <w:szCs w:val="20"/>
            </w:rPr>
            <w:fldChar w:fldCharType="separate"/>
          </w:r>
          <w:r w:rsidR="00227C2F">
            <w:rPr>
              <w:noProof/>
              <w:szCs w:val="20"/>
            </w:rPr>
            <w:t>1</w:t>
          </w:r>
          <w:r w:rsidRPr="00234256">
            <w:rPr>
              <w:szCs w:val="20"/>
            </w:rPr>
            <w:fldChar w:fldCharType="end"/>
          </w:r>
        </w:p>
      </w:tc>
      <w:tc>
        <w:tcPr>
          <w:tcW w:w="4248" w:type="dxa"/>
        </w:tcPr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>
            <w:rPr>
              <w:caps/>
              <w:szCs w:val="20"/>
            </w:rPr>
            <w:t>attorney g</w:t>
          </w:r>
          <w:r w:rsidRPr="00E642BE">
            <w:rPr>
              <w:caps/>
              <w:szCs w:val="20"/>
            </w:rPr>
            <w:t>eneral Of Washington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Public Counsel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 xml:space="preserve">800 </w:t>
          </w:r>
          <w:r w:rsidR="00EC62D1">
            <w:rPr>
              <w:caps/>
              <w:szCs w:val="20"/>
            </w:rPr>
            <w:t>fifth Avenue</w:t>
          </w:r>
          <w:r w:rsidR="004E0A4E" w:rsidRPr="00E642BE">
            <w:rPr>
              <w:szCs w:val="20"/>
            </w:rPr>
            <w:t xml:space="preserve">, </w:t>
          </w:r>
          <w:r w:rsidRPr="00E642BE">
            <w:rPr>
              <w:caps/>
              <w:szCs w:val="20"/>
            </w:rPr>
            <w:t>Suite 2000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Seattle, Wa 98104-3188</w:t>
          </w:r>
        </w:p>
        <w:p w:rsidR="00E642BE" w:rsidRPr="00234256" w:rsidRDefault="00E642BE">
          <w:pPr>
            <w:pStyle w:val="Footer"/>
            <w:jc w:val="center"/>
            <w:rPr>
              <w:szCs w:val="20"/>
            </w:rPr>
          </w:pPr>
          <w:r w:rsidRPr="00E642BE">
            <w:rPr>
              <w:caps/>
              <w:szCs w:val="20"/>
            </w:rPr>
            <w:t>(206) 464-7744</w:t>
          </w:r>
        </w:p>
      </w:tc>
    </w:tr>
  </w:tbl>
  <w:p w:rsidR="00E642BE" w:rsidRDefault="00E64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2F" w:rsidRDefault="00227C2F">
      <w:r>
        <w:separator/>
      </w:r>
    </w:p>
  </w:footnote>
  <w:footnote w:type="continuationSeparator" w:id="0">
    <w:p w:rsidR="00227C2F" w:rsidRDefault="00227C2F">
      <w:pPr>
        <w:ind w:right="5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F" w:rsidRDefault="00227C2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DusdV/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BE" w:rsidRDefault="00227C2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FX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AlZOFX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AB4EA6"/>
    <w:multiLevelType w:val="hybridMultilevel"/>
    <w:tmpl w:val="62E0A3A0"/>
    <w:lvl w:ilvl="0" w:tplc="8D404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01092"/>
    <w:multiLevelType w:val="hybridMultilevel"/>
    <w:tmpl w:val="D9D2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01003"/>
    <w:multiLevelType w:val="singleLevel"/>
    <w:tmpl w:val="D0E44B00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33921"/>
    <w:rsid w:val="00056A04"/>
    <w:rsid w:val="0006105D"/>
    <w:rsid w:val="00064474"/>
    <w:rsid w:val="000778A7"/>
    <w:rsid w:val="000950C1"/>
    <w:rsid w:val="000C5724"/>
    <w:rsid w:val="000F049F"/>
    <w:rsid w:val="00147249"/>
    <w:rsid w:val="001479C6"/>
    <w:rsid w:val="00157C27"/>
    <w:rsid w:val="0017328E"/>
    <w:rsid w:val="001958F7"/>
    <w:rsid w:val="00196471"/>
    <w:rsid w:val="001C005B"/>
    <w:rsid w:val="001D7339"/>
    <w:rsid w:val="00207717"/>
    <w:rsid w:val="00216B9F"/>
    <w:rsid w:val="00220B6E"/>
    <w:rsid w:val="00227C2F"/>
    <w:rsid w:val="00227EBA"/>
    <w:rsid w:val="00233BF2"/>
    <w:rsid w:val="00234256"/>
    <w:rsid w:val="0024777D"/>
    <w:rsid w:val="00266A33"/>
    <w:rsid w:val="00287D1A"/>
    <w:rsid w:val="002941CF"/>
    <w:rsid w:val="002B1F7A"/>
    <w:rsid w:val="002C5403"/>
    <w:rsid w:val="002C7CBF"/>
    <w:rsid w:val="002E6A53"/>
    <w:rsid w:val="00331744"/>
    <w:rsid w:val="0033535A"/>
    <w:rsid w:val="00374849"/>
    <w:rsid w:val="003907AD"/>
    <w:rsid w:val="003B4CB5"/>
    <w:rsid w:val="003C7318"/>
    <w:rsid w:val="003F0D9F"/>
    <w:rsid w:val="0040044D"/>
    <w:rsid w:val="00434C15"/>
    <w:rsid w:val="004378C5"/>
    <w:rsid w:val="00497147"/>
    <w:rsid w:val="004B2297"/>
    <w:rsid w:val="004C78AC"/>
    <w:rsid w:val="004E0A4E"/>
    <w:rsid w:val="004E3569"/>
    <w:rsid w:val="004E693A"/>
    <w:rsid w:val="005051D9"/>
    <w:rsid w:val="00583C9B"/>
    <w:rsid w:val="005A31BE"/>
    <w:rsid w:val="005B3830"/>
    <w:rsid w:val="005B5738"/>
    <w:rsid w:val="005D1B68"/>
    <w:rsid w:val="00605374"/>
    <w:rsid w:val="006931DE"/>
    <w:rsid w:val="006A19BB"/>
    <w:rsid w:val="006D7119"/>
    <w:rsid w:val="0073748D"/>
    <w:rsid w:val="00765284"/>
    <w:rsid w:val="00797C11"/>
    <w:rsid w:val="007A4DAC"/>
    <w:rsid w:val="007B70EA"/>
    <w:rsid w:val="007E5AF5"/>
    <w:rsid w:val="008022CD"/>
    <w:rsid w:val="00803B53"/>
    <w:rsid w:val="00843B8C"/>
    <w:rsid w:val="00876ECE"/>
    <w:rsid w:val="008B2CAE"/>
    <w:rsid w:val="008C5228"/>
    <w:rsid w:val="008D0B70"/>
    <w:rsid w:val="00920721"/>
    <w:rsid w:val="009533C7"/>
    <w:rsid w:val="00994CEC"/>
    <w:rsid w:val="009A15DF"/>
    <w:rsid w:val="009A73E2"/>
    <w:rsid w:val="009B68A8"/>
    <w:rsid w:val="009E4588"/>
    <w:rsid w:val="009E7452"/>
    <w:rsid w:val="00A04A22"/>
    <w:rsid w:val="00A1075B"/>
    <w:rsid w:val="00A46B79"/>
    <w:rsid w:val="00A658BE"/>
    <w:rsid w:val="00A7337F"/>
    <w:rsid w:val="00A91145"/>
    <w:rsid w:val="00AB2165"/>
    <w:rsid w:val="00AD309C"/>
    <w:rsid w:val="00B10D0B"/>
    <w:rsid w:val="00B36ABB"/>
    <w:rsid w:val="00B83445"/>
    <w:rsid w:val="00B84F33"/>
    <w:rsid w:val="00BF1A10"/>
    <w:rsid w:val="00BF5577"/>
    <w:rsid w:val="00C23D1E"/>
    <w:rsid w:val="00C55D1B"/>
    <w:rsid w:val="00C75A1E"/>
    <w:rsid w:val="00C84678"/>
    <w:rsid w:val="00C85E71"/>
    <w:rsid w:val="00C93616"/>
    <w:rsid w:val="00CD5B2D"/>
    <w:rsid w:val="00CF0BD4"/>
    <w:rsid w:val="00D25AC2"/>
    <w:rsid w:val="00D35BCA"/>
    <w:rsid w:val="00D43DDE"/>
    <w:rsid w:val="00D9788A"/>
    <w:rsid w:val="00DC6651"/>
    <w:rsid w:val="00DD0B80"/>
    <w:rsid w:val="00E14F6A"/>
    <w:rsid w:val="00E642BE"/>
    <w:rsid w:val="00EC4270"/>
    <w:rsid w:val="00EC62D1"/>
    <w:rsid w:val="00ED1346"/>
    <w:rsid w:val="00F25B1E"/>
    <w:rsid w:val="00F850CC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B5098C-D945-456F-91B2-A1DE167EF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D08B8-DCFB-4BD8-85F1-4ED15514ED03}"/>
</file>

<file path=customXml/itemProps3.xml><?xml version="1.0" encoding="utf-8"?>
<ds:datastoreItem xmlns:ds="http://schemas.openxmlformats.org/officeDocument/2006/customXml" ds:itemID="{83E3FE88-37B1-4432-91F5-FC1F78CE8503}"/>
</file>

<file path=customXml/itemProps4.xml><?xml version="1.0" encoding="utf-8"?>
<ds:datastoreItem xmlns:ds="http://schemas.openxmlformats.org/officeDocument/2006/customXml" ds:itemID="{6D4BA0D5-DB8B-476E-A7DF-763DB6ADC26E}"/>
</file>

<file path=customXml/itemProps5.xml><?xml version="1.0" encoding="utf-8"?>
<ds:datastoreItem xmlns:ds="http://schemas.openxmlformats.org/officeDocument/2006/customXml" ds:itemID="{9A3E9D60-6D5C-43D2-8DF5-AFB475B75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Pleading</vt:lpstr>
    </vt:vector>
  </TitlesOfParts>
  <Company>Office of the Attorney General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Pleading</dc:title>
  <dc:subject>10694268</dc:subject>
  <dc:creator>Office of the Attorney General</dc:creator>
  <cp:lastModifiedBy>Mak, Chanda (ATG)</cp:lastModifiedBy>
  <cp:revision>6</cp:revision>
  <cp:lastPrinted>2016-09-14T22:35:00Z</cp:lastPrinted>
  <dcterms:created xsi:type="dcterms:W3CDTF">2016-07-19T19:53:00Z</dcterms:created>
  <dcterms:modified xsi:type="dcterms:W3CDTF">2016-09-14T22:35:00Z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