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C4E87" w14:textId="77777777" w:rsidR="00924CD0" w:rsidRDefault="00924CD0" w:rsidP="00924CD0">
      <w:pPr>
        <w:pStyle w:val="Header"/>
        <w:spacing w:line="240" w:lineRule="exact"/>
        <w:jc w:val="center"/>
        <w:rPr>
          <w:rFonts w:ascii="Times New Roman" w:hAnsi="Times New Roman"/>
          <w:b/>
        </w:rPr>
      </w:pPr>
      <w:r>
        <w:rPr>
          <w:rFonts w:ascii="Times New Roman" w:hAnsi="Times New Roman"/>
          <w:b/>
        </w:rPr>
        <w:t>BEFORE THE WASHINGTON</w:t>
      </w:r>
    </w:p>
    <w:p w14:paraId="3E236EDF" w14:textId="69A29AFE" w:rsidR="00924CD0" w:rsidRPr="00B7367C" w:rsidRDefault="003F6EB5" w:rsidP="00B7367C">
      <w:pPr>
        <w:pStyle w:val="Header"/>
        <w:spacing w:line="240" w:lineRule="exact"/>
        <w:jc w:val="center"/>
        <w:rPr>
          <w:rFonts w:ascii="Times New Roman" w:hAnsi="Times New Roman"/>
          <w:b/>
        </w:rPr>
      </w:pPr>
      <w:r w:rsidRPr="00924CD0">
        <w:rPr>
          <w:rFonts w:ascii="Times New Roman" w:hAnsi="Times New Roman"/>
          <w:b/>
        </w:rPr>
        <w:t>UTILITIES AND TRANSPORTATION COMMISSION</w:t>
      </w:r>
    </w:p>
    <w:p w14:paraId="706140EB" w14:textId="77777777" w:rsidR="003F6EB5" w:rsidRPr="003215A3" w:rsidRDefault="003F6EB5" w:rsidP="003F6EB5">
      <w:pPr>
        <w:pStyle w:val="Header"/>
        <w:spacing w:line="240" w:lineRule="exact"/>
        <w:rPr>
          <w:rFonts w:ascii="Times New Roman" w:hAnsi="Times New Roman"/>
        </w:rPr>
      </w:pPr>
    </w:p>
    <w:tbl>
      <w:tblPr>
        <w:tblW w:w="0" w:type="auto"/>
        <w:tblLook w:val="0000" w:firstRow="0" w:lastRow="0" w:firstColumn="0" w:lastColumn="0" w:noHBand="0" w:noVBand="0"/>
      </w:tblPr>
      <w:tblGrid>
        <w:gridCol w:w="4248"/>
        <w:gridCol w:w="360"/>
        <w:gridCol w:w="3888"/>
      </w:tblGrid>
      <w:tr w:rsidR="00924CD0" w:rsidRPr="00924CD0" w14:paraId="69E7D17B" w14:textId="77777777" w:rsidTr="00B7367C">
        <w:trPr>
          <w:trHeight w:val="2700"/>
        </w:trPr>
        <w:tc>
          <w:tcPr>
            <w:tcW w:w="4248" w:type="dxa"/>
            <w:tcBorders>
              <w:bottom w:val="single" w:sz="4" w:space="0" w:color="auto"/>
              <w:right w:val="single" w:sz="4" w:space="0" w:color="auto"/>
            </w:tcBorders>
          </w:tcPr>
          <w:p w14:paraId="5E046464" w14:textId="77777777" w:rsidR="007F6E45" w:rsidRPr="000D1664" w:rsidRDefault="007F6E45" w:rsidP="007F6E45">
            <w:pPr>
              <w:pStyle w:val="Header"/>
              <w:tabs>
                <w:tab w:val="left" w:pos="681"/>
                <w:tab w:val="left" w:pos="1401"/>
              </w:tabs>
              <w:rPr>
                <w:rFonts w:ascii="Times New Roman" w:hAnsi="Times New Roman"/>
              </w:rPr>
            </w:pPr>
            <w:r>
              <w:rPr>
                <w:rFonts w:ascii="Times New Roman" w:hAnsi="Times New Roman"/>
              </w:rPr>
              <w:t>I</w:t>
            </w:r>
            <w:r w:rsidRPr="000D1664">
              <w:rPr>
                <w:rFonts w:ascii="Times New Roman" w:hAnsi="Times New Roman"/>
              </w:rPr>
              <w:t>n the Matter of</w:t>
            </w:r>
          </w:p>
          <w:p w14:paraId="698C3541" w14:textId="77777777" w:rsidR="007F6E45" w:rsidRPr="000D1664" w:rsidRDefault="007F6E45" w:rsidP="007F6E45">
            <w:pPr>
              <w:pStyle w:val="Header"/>
              <w:tabs>
                <w:tab w:val="left" w:pos="681"/>
                <w:tab w:val="left" w:pos="1401"/>
              </w:tabs>
              <w:rPr>
                <w:rFonts w:ascii="Times New Roman" w:hAnsi="Times New Roman"/>
              </w:rPr>
            </w:pPr>
          </w:p>
          <w:p w14:paraId="42E3F227" w14:textId="77777777" w:rsidR="007F6E45" w:rsidRPr="000D1664" w:rsidRDefault="007F6E45" w:rsidP="007F6E45">
            <w:pPr>
              <w:pStyle w:val="Header"/>
              <w:tabs>
                <w:tab w:val="left" w:pos="681"/>
                <w:tab w:val="left" w:pos="1401"/>
              </w:tabs>
              <w:rPr>
                <w:rFonts w:ascii="Times New Roman" w:hAnsi="Times New Roman"/>
              </w:rPr>
            </w:pPr>
            <w:r w:rsidRPr="000D1664">
              <w:rPr>
                <w:rFonts w:ascii="Times New Roman" w:hAnsi="Times New Roman"/>
              </w:rPr>
              <w:t xml:space="preserve">PACIFIC POWER &amp; LIGHT COMPANY, </w:t>
            </w:r>
          </w:p>
          <w:p w14:paraId="3DCD9F74" w14:textId="77777777" w:rsidR="007F6E45" w:rsidRPr="000D1664" w:rsidRDefault="007F6E45" w:rsidP="007F6E45">
            <w:pPr>
              <w:pStyle w:val="Header"/>
              <w:tabs>
                <w:tab w:val="left" w:pos="681"/>
                <w:tab w:val="left" w:pos="1401"/>
              </w:tabs>
              <w:rPr>
                <w:rFonts w:ascii="Times New Roman" w:hAnsi="Times New Roman"/>
              </w:rPr>
            </w:pPr>
          </w:p>
          <w:p w14:paraId="146B0474" w14:textId="77777777" w:rsidR="007F6E45" w:rsidRDefault="007F6E45" w:rsidP="007F6E45">
            <w:pPr>
              <w:pStyle w:val="Header"/>
              <w:tabs>
                <w:tab w:val="left" w:pos="681"/>
                <w:tab w:val="left" w:pos="1401"/>
              </w:tabs>
              <w:rPr>
                <w:rFonts w:ascii="Times New Roman" w:hAnsi="Times New Roman"/>
              </w:rPr>
            </w:pPr>
            <w:r w:rsidRPr="000D1664">
              <w:rPr>
                <w:rFonts w:ascii="Times New Roman" w:hAnsi="Times New Roman"/>
              </w:rPr>
              <w:t>Petition For a Rate Increase Based on a Modified Commission Basis Report, Two-Year Rate Plan, and Decoupling Mechanism</w:t>
            </w:r>
          </w:p>
          <w:p w14:paraId="726F40F7" w14:textId="77777777" w:rsidR="00924CD0" w:rsidRPr="00924CD0" w:rsidRDefault="00924CD0" w:rsidP="00B409D6">
            <w:pPr>
              <w:rPr>
                <w:rFonts w:ascii="Times New Roman" w:hAnsi="Times New Roman"/>
              </w:rPr>
            </w:pPr>
            <w:bookmarkStart w:id="0" w:name="_GoBack"/>
            <w:bookmarkEnd w:id="0"/>
          </w:p>
        </w:tc>
        <w:tc>
          <w:tcPr>
            <w:tcW w:w="360" w:type="dxa"/>
            <w:tcBorders>
              <w:left w:val="single" w:sz="4" w:space="0" w:color="auto"/>
            </w:tcBorders>
          </w:tcPr>
          <w:p w14:paraId="311C2D4E" w14:textId="77777777" w:rsidR="00924CD0" w:rsidRPr="00924CD0" w:rsidRDefault="00924CD0" w:rsidP="00B409D6">
            <w:pPr>
              <w:rPr>
                <w:rFonts w:ascii="Times New Roman" w:hAnsi="Times New Roman"/>
              </w:rPr>
            </w:pPr>
          </w:p>
        </w:tc>
        <w:tc>
          <w:tcPr>
            <w:tcW w:w="3888" w:type="dxa"/>
          </w:tcPr>
          <w:p w14:paraId="2102E0A1" w14:textId="06017C71" w:rsidR="00924CD0" w:rsidRPr="00924CD0" w:rsidRDefault="00924CD0" w:rsidP="00665E4C">
            <w:pPr>
              <w:spacing w:line="264" w:lineRule="auto"/>
              <w:rPr>
                <w:rFonts w:ascii="Times New Roman" w:hAnsi="Times New Roman"/>
              </w:rPr>
            </w:pPr>
            <w:r w:rsidRPr="00924CD0">
              <w:rPr>
                <w:rFonts w:ascii="Times New Roman" w:hAnsi="Times New Roman"/>
              </w:rPr>
              <w:t xml:space="preserve">DOCKET </w:t>
            </w:r>
            <w:r w:rsidRPr="00924CD0">
              <w:rPr>
                <w:rFonts w:ascii="Times New Roman" w:hAnsi="Times New Roman"/>
                <w:bCs/>
              </w:rPr>
              <w:t>UE-</w:t>
            </w:r>
            <w:r w:rsidR="00665E4C">
              <w:rPr>
                <w:rFonts w:ascii="Times New Roman" w:hAnsi="Times New Roman"/>
                <w:bCs/>
              </w:rPr>
              <w:t>152253</w:t>
            </w:r>
          </w:p>
          <w:p w14:paraId="06704B6C" w14:textId="77777777" w:rsidR="00924CD0" w:rsidRDefault="00924CD0" w:rsidP="00B409D6">
            <w:pPr>
              <w:spacing w:line="264" w:lineRule="auto"/>
              <w:rPr>
                <w:rFonts w:ascii="Times New Roman" w:hAnsi="Times New Roman"/>
              </w:rPr>
            </w:pPr>
          </w:p>
          <w:p w14:paraId="0FDA46E5" w14:textId="77777777" w:rsidR="00924CD0" w:rsidRDefault="00924CD0" w:rsidP="00B409D6">
            <w:pPr>
              <w:spacing w:line="264" w:lineRule="auto"/>
              <w:rPr>
                <w:rFonts w:ascii="Times New Roman" w:hAnsi="Times New Roman"/>
              </w:rPr>
            </w:pPr>
            <w:r>
              <w:rPr>
                <w:rFonts w:ascii="Times New Roman" w:hAnsi="Times New Roman"/>
              </w:rPr>
              <w:t>COMMISSION STAFF’S</w:t>
            </w:r>
          </w:p>
          <w:p w14:paraId="4BD6E868" w14:textId="647A027F" w:rsidR="00234376" w:rsidRDefault="002B38E7" w:rsidP="00D019D1">
            <w:pPr>
              <w:spacing w:line="264" w:lineRule="auto"/>
              <w:rPr>
                <w:rFonts w:ascii="Times New Roman" w:hAnsi="Times New Roman"/>
              </w:rPr>
            </w:pPr>
            <w:r>
              <w:rPr>
                <w:rFonts w:ascii="Times New Roman" w:hAnsi="Times New Roman"/>
              </w:rPr>
              <w:t>RESPONSE TO</w:t>
            </w:r>
            <w:r w:rsidR="00234376">
              <w:rPr>
                <w:rFonts w:ascii="Times New Roman" w:hAnsi="Times New Roman"/>
              </w:rPr>
              <w:t xml:space="preserve"> </w:t>
            </w:r>
          </w:p>
          <w:p w14:paraId="551D7B26" w14:textId="76E2CC40" w:rsidR="00234376" w:rsidRDefault="00234376" w:rsidP="00D019D1">
            <w:pPr>
              <w:spacing w:line="264" w:lineRule="auto"/>
              <w:rPr>
                <w:rFonts w:ascii="Times New Roman" w:hAnsi="Times New Roman"/>
              </w:rPr>
            </w:pPr>
            <w:r>
              <w:rPr>
                <w:rFonts w:ascii="Times New Roman" w:hAnsi="Times New Roman"/>
              </w:rPr>
              <w:t>PACIFIC POWER’S</w:t>
            </w:r>
          </w:p>
          <w:p w14:paraId="474F4263" w14:textId="3ECAB983" w:rsidR="00665E4C" w:rsidRPr="00924CD0" w:rsidRDefault="00665E4C" w:rsidP="00D019D1">
            <w:pPr>
              <w:spacing w:line="264" w:lineRule="auto"/>
              <w:rPr>
                <w:rFonts w:ascii="Times New Roman" w:hAnsi="Times New Roman"/>
                <w:b/>
              </w:rPr>
            </w:pPr>
            <w:r>
              <w:rPr>
                <w:rFonts w:ascii="Times New Roman" w:hAnsi="Times New Roman"/>
              </w:rPr>
              <w:t xml:space="preserve">MOTION FOR </w:t>
            </w:r>
            <w:r w:rsidR="00D019D1">
              <w:rPr>
                <w:rFonts w:ascii="Times New Roman" w:hAnsi="Times New Roman"/>
              </w:rPr>
              <w:t>CLARIFICATION</w:t>
            </w:r>
            <w:r w:rsidR="002B38E7">
              <w:rPr>
                <w:rFonts w:ascii="Times New Roman" w:hAnsi="Times New Roman"/>
              </w:rPr>
              <w:t xml:space="preserve"> OF ORDERS 12 AND 13</w:t>
            </w:r>
          </w:p>
          <w:p w14:paraId="46B2BBB6" w14:textId="77777777" w:rsidR="00924CD0" w:rsidRPr="00924CD0" w:rsidRDefault="00924CD0" w:rsidP="00B409D6">
            <w:pPr>
              <w:rPr>
                <w:rFonts w:ascii="Times New Roman" w:hAnsi="Times New Roman"/>
              </w:rPr>
            </w:pPr>
          </w:p>
          <w:p w14:paraId="51D81699" w14:textId="77777777" w:rsidR="00924CD0" w:rsidRPr="00924CD0" w:rsidRDefault="00924CD0" w:rsidP="00B409D6">
            <w:pPr>
              <w:pStyle w:val="Header"/>
              <w:tabs>
                <w:tab w:val="clear" w:pos="4320"/>
                <w:tab w:val="clear" w:pos="8640"/>
              </w:tabs>
              <w:rPr>
                <w:rFonts w:ascii="Times New Roman" w:hAnsi="Times New Roman"/>
              </w:rPr>
            </w:pPr>
          </w:p>
        </w:tc>
      </w:tr>
    </w:tbl>
    <w:p w14:paraId="598B900A" w14:textId="77777777" w:rsidR="00B7367C" w:rsidRDefault="00B7367C" w:rsidP="00B7367C">
      <w:pPr>
        <w:jc w:val="center"/>
        <w:rPr>
          <w:b/>
        </w:rPr>
      </w:pPr>
    </w:p>
    <w:p w14:paraId="5B6BE311" w14:textId="3571EA73" w:rsidR="007B4430" w:rsidRPr="00B7367C" w:rsidRDefault="007B4430" w:rsidP="00B7367C">
      <w:pPr>
        <w:pStyle w:val="ListParagraph"/>
        <w:numPr>
          <w:ilvl w:val="0"/>
          <w:numId w:val="12"/>
        </w:numPr>
        <w:jc w:val="center"/>
        <w:rPr>
          <w:rFonts w:ascii="Times New Roman" w:hAnsi="Times New Roman"/>
          <w:b/>
        </w:rPr>
      </w:pPr>
      <w:r w:rsidRPr="00B7367C">
        <w:rPr>
          <w:rFonts w:ascii="Times New Roman" w:hAnsi="Times New Roman"/>
          <w:b/>
        </w:rPr>
        <w:t>INTRODUCTION</w:t>
      </w:r>
    </w:p>
    <w:p w14:paraId="2B1A9279" w14:textId="77777777" w:rsidR="00B7367C" w:rsidRPr="00B7367C" w:rsidRDefault="00B7367C" w:rsidP="00B7367C">
      <w:pPr>
        <w:rPr>
          <w:rFonts w:ascii="Times New Roman" w:hAnsi="Times New Roman"/>
          <w:b/>
        </w:rPr>
      </w:pPr>
    </w:p>
    <w:p w14:paraId="54F2E781" w14:textId="40A3DB23" w:rsidR="007B4430" w:rsidRPr="007B4430" w:rsidRDefault="007B4430" w:rsidP="00661D34">
      <w:pPr>
        <w:numPr>
          <w:ilvl w:val="0"/>
          <w:numId w:val="6"/>
        </w:numPr>
        <w:spacing w:line="480" w:lineRule="auto"/>
        <w:ind w:left="0" w:hanging="720"/>
        <w:rPr>
          <w:rFonts w:ascii="Times New Roman" w:hAnsi="Times New Roman"/>
        </w:rPr>
      </w:pPr>
      <w:r w:rsidRPr="007B4430">
        <w:rPr>
          <w:rFonts w:ascii="Times New Roman" w:hAnsi="Times New Roman"/>
        </w:rPr>
        <w:tab/>
      </w:r>
      <w:r w:rsidR="009A038A">
        <w:rPr>
          <w:rFonts w:ascii="Times New Roman" w:hAnsi="Times New Roman"/>
        </w:rPr>
        <w:t xml:space="preserve">Commission </w:t>
      </w:r>
      <w:r w:rsidRPr="007B4430">
        <w:rPr>
          <w:rFonts w:ascii="Times New Roman" w:hAnsi="Times New Roman"/>
        </w:rPr>
        <w:t>Staff of the Washington Utilities and Transportation Commission (Com</w:t>
      </w:r>
      <w:r w:rsidR="00007FAE">
        <w:rPr>
          <w:rFonts w:ascii="Times New Roman" w:hAnsi="Times New Roman"/>
        </w:rPr>
        <w:t xml:space="preserve">mission) submits this </w:t>
      </w:r>
      <w:r w:rsidR="002B38E7">
        <w:rPr>
          <w:rFonts w:ascii="Times New Roman" w:hAnsi="Times New Roman"/>
        </w:rPr>
        <w:t>response</w:t>
      </w:r>
      <w:r w:rsidR="00234376">
        <w:rPr>
          <w:rFonts w:ascii="Times New Roman" w:hAnsi="Times New Roman"/>
        </w:rPr>
        <w:t xml:space="preserve"> pursuant to the Commission’s Notice dated September 13, 2016</w:t>
      </w:r>
      <w:r w:rsidR="002B38E7">
        <w:rPr>
          <w:rFonts w:ascii="Times New Roman" w:hAnsi="Times New Roman"/>
        </w:rPr>
        <w:t>, inviting parties to respond to</w:t>
      </w:r>
      <w:r w:rsidR="00234376">
        <w:rPr>
          <w:rFonts w:ascii="Times New Roman" w:hAnsi="Times New Roman"/>
        </w:rPr>
        <w:t xml:space="preserve"> </w:t>
      </w:r>
      <w:r w:rsidR="002B38E7">
        <w:rPr>
          <w:rFonts w:ascii="Times New Roman" w:hAnsi="Times New Roman"/>
        </w:rPr>
        <w:t>the Moti</w:t>
      </w:r>
      <w:r w:rsidR="00234376">
        <w:rPr>
          <w:rFonts w:ascii="Times New Roman" w:hAnsi="Times New Roman"/>
        </w:rPr>
        <w:t>on for Clarification</w:t>
      </w:r>
      <w:r w:rsidR="002B38E7">
        <w:rPr>
          <w:rFonts w:ascii="Times New Roman" w:hAnsi="Times New Roman"/>
        </w:rPr>
        <w:t xml:space="preserve"> of Orders 12 and 13 </w:t>
      </w:r>
      <w:r w:rsidR="00662501">
        <w:rPr>
          <w:rFonts w:ascii="Times New Roman" w:hAnsi="Times New Roman"/>
        </w:rPr>
        <w:t xml:space="preserve">(Motion) </w:t>
      </w:r>
      <w:r w:rsidR="002B38E7">
        <w:rPr>
          <w:rFonts w:ascii="Times New Roman" w:hAnsi="Times New Roman"/>
        </w:rPr>
        <w:t>filed by Pacific Power &amp; Light Company (“Pacific Power” or “Company”)</w:t>
      </w:r>
      <w:r w:rsidR="008F0B02">
        <w:rPr>
          <w:rFonts w:ascii="Times New Roman" w:hAnsi="Times New Roman"/>
        </w:rPr>
        <w:t>.</w:t>
      </w:r>
      <w:r w:rsidR="00234376">
        <w:rPr>
          <w:rFonts w:ascii="Times New Roman" w:hAnsi="Times New Roman"/>
        </w:rPr>
        <w:t xml:space="preserve"> </w:t>
      </w:r>
      <w:r w:rsidR="008E7C79">
        <w:rPr>
          <w:rFonts w:ascii="Times New Roman" w:hAnsi="Times New Roman"/>
        </w:rPr>
        <w:t xml:space="preserve">Commission </w:t>
      </w:r>
      <w:r w:rsidR="00234376">
        <w:rPr>
          <w:rFonts w:ascii="Times New Roman" w:hAnsi="Times New Roman"/>
        </w:rPr>
        <w:t xml:space="preserve">Staff </w:t>
      </w:r>
      <w:r w:rsidR="008E7C79">
        <w:rPr>
          <w:rFonts w:ascii="Times New Roman" w:hAnsi="Times New Roman"/>
        </w:rPr>
        <w:t xml:space="preserve">(Staff) </w:t>
      </w:r>
      <w:r w:rsidR="00234376">
        <w:rPr>
          <w:rFonts w:ascii="Times New Roman" w:hAnsi="Times New Roman"/>
        </w:rPr>
        <w:t xml:space="preserve">supports </w:t>
      </w:r>
      <w:r w:rsidR="00DB2ADA">
        <w:rPr>
          <w:rFonts w:ascii="Times New Roman" w:hAnsi="Times New Roman"/>
        </w:rPr>
        <w:t>Pacific Power’s request regarding</w:t>
      </w:r>
      <w:r w:rsidR="00234376">
        <w:rPr>
          <w:rFonts w:ascii="Times New Roman" w:hAnsi="Times New Roman"/>
        </w:rPr>
        <w:t xml:space="preserve"> the decoupling schedule</w:t>
      </w:r>
      <w:r w:rsidR="008E7C79">
        <w:rPr>
          <w:rFonts w:ascii="Times New Roman" w:hAnsi="Times New Roman"/>
        </w:rPr>
        <w:t xml:space="preserve"> and, therefore, does not discuss it further in this response</w:t>
      </w:r>
      <w:r w:rsidR="00BF38D6">
        <w:rPr>
          <w:rFonts w:ascii="Times New Roman" w:hAnsi="Times New Roman"/>
        </w:rPr>
        <w:t xml:space="preserve">. </w:t>
      </w:r>
      <w:r w:rsidR="00FC32AD">
        <w:rPr>
          <w:rFonts w:ascii="Times New Roman" w:hAnsi="Times New Roman"/>
        </w:rPr>
        <w:t xml:space="preserve">But </w:t>
      </w:r>
      <w:r w:rsidR="008E7C79">
        <w:rPr>
          <w:rFonts w:ascii="Times New Roman" w:hAnsi="Times New Roman"/>
        </w:rPr>
        <w:t xml:space="preserve">Staff </w:t>
      </w:r>
      <w:r w:rsidR="00234376">
        <w:rPr>
          <w:rFonts w:ascii="Times New Roman" w:hAnsi="Times New Roman"/>
        </w:rPr>
        <w:t xml:space="preserve">does not support Pacific Power’s request to include </w:t>
      </w:r>
      <w:r w:rsidR="00806766">
        <w:rPr>
          <w:rFonts w:ascii="Times New Roman" w:hAnsi="Times New Roman"/>
        </w:rPr>
        <w:t xml:space="preserve">in rate base certain other </w:t>
      </w:r>
      <w:r w:rsidR="000B2D53">
        <w:rPr>
          <w:rFonts w:ascii="Times New Roman" w:hAnsi="Times New Roman"/>
        </w:rPr>
        <w:t xml:space="preserve">Jim </w:t>
      </w:r>
      <w:r w:rsidR="00806766">
        <w:rPr>
          <w:rFonts w:ascii="Times New Roman" w:hAnsi="Times New Roman"/>
        </w:rPr>
        <w:t>Bridger projects that would not have been part</w:t>
      </w:r>
      <w:r w:rsidR="002C5E7A">
        <w:rPr>
          <w:rFonts w:ascii="Times New Roman" w:hAnsi="Times New Roman"/>
        </w:rPr>
        <w:t xml:space="preserve"> of the </w:t>
      </w:r>
      <w:r w:rsidR="00090776">
        <w:rPr>
          <w:rFonts w:ascii="Times New Roman" w:hAnsi="Times New Roman"/>
        </w:rPr>
        <w:t>overhauls</w:t>
      </w:r>
      <w:r w:rsidR="00806766">
        <w:rPr>
          <w:rFonts w:ascii="Times New Roman" w:hAnsi="Times New Roman"/>
        </w:rPr>
        <w:t xml:space="preserve"> absent SCR installation</w:t>
      </w:r>
      <w:r w:rsidR="00234376">
        <w:rPr>
          <w:rFonts w:ascii="Times New Roman" w:hAnsi="Times New Roman"/>
        </w:rPr>
        <w:t xml:space="preserve">. </w:t>
      </w:r>
    </w:p>
    <w:p w14:paraId="639E8910" w14:textId="2D8CD9CF" w:rsidR="007B4430" w:rsidRPr="007B4430" w:rsidRDefault="00422068" w:rsidP="00D5660C">
      <w:pPr>
        <w:spacing w:line="480" w:lineRule="auto"/>
        <w:jc w:val="center"/>
        <w:rPr>
          <w:rFonts w:ascii="Times New Roman" w:hAnsi="Times New Roman"/>
          <w:b/>
        </w:rPr>
      </w:pPr>
      <w:r>
        <w:rPr>
          <w:rFonts w:ascii="Times New Roman" w:hAnsi="Times New Roman"/>
          <w:b/>
        </w:rPr>
        <w:t xml:space="preserve">II.  </w:t>
      </w:r>
      <w:r w:rsidR="005F6860">
        <w:rPr>
          <w:rFonts w:ascii="Times New Roman" w:hAnsi="Times New Roman"/>
          <w:b/>
        </w:rPr>
        <w:t>DISCUSSION</w:t>
      </w:r>
    </w:p>
    <w:p w14:paraId="22D81011" w14:textId="209EE58C" w:rsidR="00D45416" w:rsidRDefault="008F0B02" w:rsidP="00C74730">
      <w:pPr>
        <w:keepNext/>
        <w:numPr>
          <w:ilvl w:val="0"/>
          <w:numId w:val="6"/>
        </w:numPr>
        <w:spacing w:line="480" w:lineRule="auto"/>
        <w:ind w:left="0" w:hanging="720"/>
        <w:rPr>
          <w:rFonts w:ascii="Times New Roman" w:hAnsi="Times New Roman"/>
        </w:rPr>
      </w:pPr>
      <w:r>
        <w:rPr>
          <w:rFonts w:ascii="Times New Roman" w:hAnsi="Times New Roman"/>
        </w:rPr>
        <w:tab/>
      </w:r>
      <w:r w:rsidR="00D45416">
        <w:rPr>
          <w:rFonts w:ascii="Times New Roman" w:hAnsi="Times New Roman"/>
        </w:rPr>
        <w:t>In Order 12, the Commission</w:t>
      </w:r>
      <w:r w:rsidR="00D5660C">
        <w:rPr>
          <w:rFonts w:ascii="Times New Roman" w:hAnsi="Times New Roman"/>
        </w:rPr>
        <w:t xml:space="preserve"> </w:t>
      </w:r>
      <w:r w:rsidR="00CD0661">
        <w:rPr>
          <w:rFonts w:ascii="Times New Roman" w:hAnsi="Times New Roman"/>
        </w:rPr>
        <w:t>concluded, as a matter of law, that Pacific Power should be authorized to include in Washington rates “only the return of, but not the return on, the Washington portion of its investment in the SCR systems.”</w:t>
      </w:r>
      <w:r w:rsidR="00CD0661">
        <w:rPr>
          <w:rStyle w:val="FootnoteReference"/>
          <w:rFonts w:ascii="Times New Roman" w:hAnsi="Times New Roman"/>
        </w:rPr>
        <w:footnoteReference w:id="1"/>
      </w:r>
      <w:r w:rsidR="00CD0661">
        <w:rPr>
          <w:rFonts w:ascii="Times New Roman" w:hAnsi="Times New Roman"/>
        </w:rPr>
        <w:t xml:space="preserve"> </w:t>
      </w:r>
      <w:r w:rsidR="002702A8">
        <w:rPr>
          <w:rFonts w:ascii="Times New Roman" w:hAnsi="Times New Roman"/>
        </w:rPr>
        <w:t>In Order 13</w:t>
      </w:r>
      <w:r w:rsidR="00AA637A">
        <w:rPr>
          <w:rFonts w:ascii="Times New Roman" w:hAnsi="Times New Roman"/>
        </w:rPr>
        <w:t xml:space="preserve">, in </w:t>
      </w:r>
      <w:r w:rsidR="00803B53">
        <w:rPr>
          <w:rFonts w:ascii="Times New Roman" w:hAnsi="Times New Roman"/>
        </w:rPr>
        <w:lastRenderedPageBreak/>
        <w:t xml:space="preserve">Appendix A, the Commission’s Adjustment 8.4 applies this ratemaking treatment to all </w:t>
      </w:r>
      <w:r w:rsidR="00723342">
        <w:rPr>
          <w:rFonts w:ascii="Times New Roman" w:hAnsi="Times New Roman"/>
        </w:rPr>
        <w:t xml:space="preserve">Jim </w:t>
      </w:r>
      <w:r w:rsidR="00AA637A">
        <w:rPr>
          <w:rFonts w:ascii="Times New Roman" w:hAnsi="Times New Roman"/>
        </w:rPr>
        <w:t xml:space="preserve">Bridger capital </w:t>
      </w:r>
      <w:r w:rsidR="00723342">
        <w:rPr>
          <w:rFonts w:ascii="Times New Roman" w:hAnsi="Times New Roman"/>
        </w:rPr>
        <w:t>costs</w:t>
      </w:r>
      <w:r w:rsidR="00AA637A">
        <w:rPr>
          <w:rFonts w:ascii="Times New Roman" w:hAnsi="Times New Roman"/>
        </w:rPr>
        <w:t>. Appendix A</w:t>
      </w:r>
      <w:r w:rsidR="00803B53">
        <w:rPr>
          <w:rFonts w:ascii="Times New Roman" w:hAnsi="Times New Roman"/>
        </w:rPr>
        <w:t xml:space="preserve"> thus</w:t>
      </w:r>
      <w:r w:rsidR="00AA637A">
        <w:rPr>
          <w:rFonts w:ascii="Times New Roman" w:hAnsi="Times New Roman"/>
        </w:rPr>
        <w:t xml:space="preserve"> </w:t>
      </w:r>
      <w:r w:rsidR="00090776">
        <w:rPr>
          <w:rFonts w:ascii="Times New Roman" w:hAnsi="Times New Roman"/>
        </w:rPr>
        <w:t>indicates</w:t>
      </w:r>
      <w:r w:rsidR="008E7C79">
        <w:rPr>
          <w:rFonts w:ascii="Times New Roman" w:hAnsi="Times New Roman"/>
        </w:rPr>
        <w:t xml:space="preserve"> that the Commission authorized </w:t>
      </w:r>
      <w:r w:rsidR="00AA637A">
        <w:rPr>
          <w:rFonts w:ascii="Times New Roman" w:hAnsi="Times New Roman"/>
        </w:rPr>
        <w:t xml:space="preserve">a return of but not a return on </w:t>
      </w:r>
      <w:r w:rsidR="00806766">
        <w:rPr>
          <w:rFonts w:ascii="Times New Roman" w:hAnsi="Times New Roman"/>
        </w:rPr>
        <w:t xml:space="preserve">all of </w:t>
      </w:r>
      <w:r w:rsidR="00723342">
        <w:rPr>
          <w:rFonts w:ascii="Times New Roman" w:hAnsi="Times New Roman"/>
        </w:rPr>
        <w:t>th</w:t>
      </w:r>
      <w:r w:rsidR="00AA637A">
        <w:rPr>
          <w:rFonts w:ascii="Times New Roman" w:hAnsi="Times New Roman"/>
        </w:rPr>
        <w:t xml:space="preserve">e </w:t>
      </w:r>
      <w:r w:rsidR="002C5E7A">
        <w:rPr>
          <w:rFonts w:ascii="Times New Roman" w:hAnsi="Times New Roman"/>
        </w:rPr>
        <w:t>capital projects</w:t>
      </w:r>
      <w:r w:rsidR="0036449B">
        <w:rPr>
          <w:rFonts w:ascii="Times New Roman" w:hAnsi="Times New Roman"/>
        </w:rPr>
        <w:t>, including SCR,</w:t>
      </w:r>
      <w:r w:rsidR="002C5E7A">
        <w:rPr>
          <w:rFonts w:ascii="Times New Roman" w:hAnsi="Times New Roman"/>
        </w:rPr>
        <w:t xml:space="preserve"> in the </w:t>
      </w:r>
      <w:r w:rsidR="00FF242E">
        <w:rPr>
          <w:rFonts w:ascii="Times New Roman" w:hAnsi="Times New Roman"/>
        </w:rPr>
        <w:t xml:space="preserve">Jim </w:t>
      </w:r>
      <w:r w:rsidR="002C5E7A">
        <w:rPr>
          <w:rFonts w:ascii="Times New Roman" w:hAnsi="Times New Roman"/>
        </w:rPr>
        <w:t>Bridger Unit 3 and Unit 4 overhauls</w:t>
      </w:r>
      <w:r w:rsidR="00AA637A">
        <w:rPr>
          <w:rFonts w:ascii="Times New Roman" w:hAnsi="Times New Roman"/>
        </w:rPr>
        <w:t>.</w:t>
      </w:r>
    </w:p>
    <w:p w14:paraId="25E649B9" w14:textId="5745F767" w:rsidR="00D75157" w:rsidRDefault="00752860" w:rsidP="003B7934">
      <w:pPr>
        <w:keepNext/>
        <w:numPr>
          <w:ilvl w:val="0"/>
          <w:numId w:val="6"/>
        </w:numPr>
        <w:spacing w:line="480" w:lineRule="auto"/>
        <w:ind w:left="0" w:hanging="720"/>
        <w:rPr>
          <w:rFonts w:ascii="Times New Roman" w:hAnsi="Times New Roman"/>
        </w:rPr>
      </w:pPr>
      <w:r w:rsidRPr="00D75157">
        <w:rPr>
          <w:rFonts w:ascii="Times New Roman" w:hAnsi="Times New Roman"/>
        </w:rPr>
        <w:tab/>
        <w:t>On September 12,</w:t>
      </w:r>
      <w:r w:rsidR="00662501" w:rsidRPr="00D75157">
        <w:rPr>
          <w:rFonts w:ascii="Times New Roman" w:hAnsi="Times New Roman"/>
        </w:rPr>
        <w:t xml:space="preserve"> 2016, Pacific Power filed its M</w:t>
      </w:r>
      <w:r w:rsidRPr="00D75157">
        <w:rPr>
          <w:rFonts w:ascii="Times New Roman" w:hAnsi="Times New Roman"/>
        </w:rPr>
        <w:t xml:space="preserve">otion, requesting that the Commission </w:t>
      </w:r>
      <w:r w:rsidR="002C6552" w:rsidRPr="00D75157">
        <w:rPr>
          <w:rFonts w:ascii="Times New Roman" w:hAnsi="Times New Roman"/>
        </w:rPr>
        <w:t xml:space="preserve">“clarify that the omission of the Jim Bridger Unit 3 and 4 non-SCR capital projects from </w:t>
      </w:r>
      <w:r w:rsidR="00662501" w:rsidRPr="00D75157">
        <w:rPr>
          <w:rFonts w:ascii="Times New Roman" w:hAnsi="Times New Roman"/>
        </w:rPr>
        <w:t>rate base was ministerial error, and correct the revenue requirement accordingly.</w:t>
      </w:r>
      <w:r w:rsidR="00662501">
        <w:rPr>
          <w:rFonts w:ascii="Times New Roman" w:hAnsi="Times New Roman"/>
        </w:rPr>
        <w:t>”</w:t>
      </w:r>
      <w:r w:rsidR="00662501" w:rsidRPr="00D75157">
        <w:rPr>
          <w:rStyle w:val="FootnoteReference"/>
          <w:rFonts w:ascii="Times New Roman" w:hAnsi="Times New Roman"/>
        </w:rPr>
        <w:footnoteReference w:id="2"/>
      </w:r>
      <w:r w:rsidR="00662501" w:rsidRPr="00D75157">
        <w:rPr>
          <w:rFonts w:ascii="Times New Roman" w:hAnsi="Times New Roman"/>
        </w:rPr>
        <w:t xml:space="preserve"> </w:t>
      </w:r>
      <w:r w:rsidR="00D75157" w:rsidRPr="00D75157">
        <w:rPr>
          <w:rFonts w:ascii="Times New Roman" w:hAnsi="Times New Roman"/>
        </w:rPr>
        <w:t>Pacific Power reasons that, because the “non-SCR” capital projects were not challenged as imprudent</w:t>
      </w:r>
      <w:r w:rsidR="0034096C">
        <w:rPr>
          <w:rFonts w:ascii="Times New Roman" w:hAnsi="Times New Roman"/>
        </w:rPr>
        <w:t xml:space="preserve"> or disallowed in Order 12</w:t>
      </w:r>
      <w:r w:rsidR="00D75157" w:rsidRPr="00D75157">
        <w:rPr>
          <w:rFonts w:ascii="Times New Roman" w:hAnsi="Times New Roman"/>
        </w:rPr>
        <w:t xml:space="preserve">, they should be </w:t>
      </w:r>
      <w:r w:rsidR="00FC32AD">
        <w:rPr>
          <w:rFonts w:ascii="Times New Roman" w:hAnsi="Times New Roman"/>
        </w:rPr>
        <w:t>allowed</w:t>
      </w:r>
      <w:r w:rsidR="00FC32AD" w:rsidRPr="00D75157">
        <w:rPr>
          <w:rFonts w:ascii="Times New Roman" w:hAnsi="Times New Roman"/>
        </w:rPr>
        <w:t xml:space="preserve"> </w:t>
      </w:r>
      <w:r w:rsidR="00D75157" w:rsidRPr="00D75157">
        <w:rPr>
          <w:rFonts w:ascii="Times New Roman" w:hAnsi="Times New Roman"/>
        </w:rPr>
        <w:t>in rate base</w:t>
      </w:r>
      <w:r w:rsidR="00D75157">
        <w:rPr>
          <w:rFonts w:ascii="Times New Roman" w:hAnsi="Times New Roman"/>
        </w:rPr>
        <w:t>.</w:t>
      </w:r>
      <w:r w:rsidR="0034096C">
        <w:rPr>
          <w:rStyle w:val="FootnoteReference"/>
          <w:rFonts w:ascii="Times New Roman" w:hAnsi="Times New Roman"/>
        </w:rPr>
        <w:footnoteReference w:id="3"/>
      </w:r>
      <w:r w:rsidR="00D75157" w:rsidRPr="00D75157">
        <w:rPr>
          <w:rFonts w:ascii="Times New Roman" w:hAnsi="Times New Roman"/>
        </w:rPr>
        <w:t xml:space="preserve"> </w:t>
      </w:r>
      <w:r w:rsidR="00AA637A" w:rsidRPr="00D75157">
        <w:rPr>
          <w:rFonts w:ascii="Times New Roman" w:hAnsi="Times New Roman"/>
        </w:rPr>
        <w:t>The term “non-SCR</w:t>
      </w:r>
      <w:r w:rsidR="00D75157">
        <w:rPr>
          <w:rFonts w:ascii="Times New Roman" w:hAnsi="Times New Roman"/>
        </w:rPr>
        <w:t>”</w:t>
      </w:r>
      <w:r w:rsidR="00AA637A" w:rsidRPr="00D75157">
        <w:rPr>
          <w:rFonts w:ascii="Times New Roman" w:hAnsi="Times New Roman"/>
        </w:rPr>
        <w:t xml:space="preserve"> capital projects, as the Company terms them in its motion, obscures the fact, however, that </w:t>
      </w:r>
      <w:r w:rsidR="00365985">
        <w:rPr>
          <w:rFonts w:ascii="Times New Roman" w:hAnsi="Times New Roman"/>
        </w:rPr>
        <w:t xml:space="preserve">some of </w:t>
      </w:r>
      <w:r w:rsidR="00D75157">
        <w:rPr>
          <w:rFonts w:ascii="Times New Roman" w:hAnsi="Times New Roman"/>
        </w:rPr>
        <w:t xml:space="preserve">these </w:t>
      </w:r>
      <w:r w:rsidR="00AA637A" w:rsidRPr="00D75157">
        <w:rPr>
          <w:rFonts w:ascii="Times New Roman" w:hAnsi="Times New Roman"/>
        </w:rPr>
        <w:t xml:space="preserve">capital </w:t>
      </w:r>
      <w:r w:rsidR="00EB18DB">
        <w:rPr>
          <w:rFonts w:ascii="Times New Roman" w:hAnsi="Times New Roman"/>
        </w:rPr>
        <w:t>projects</w:t>
      </w:r>
      <w:r w:rsidR="00AA637A" w:rsidRPr="00D75157">
        <w:rPr>
          <w:rFonts w:ascii="Times New Roman" w:hAnsi="Times New Roman"/>
        </w:rPr>
        <w:t xml:space="preserve"> </w:t>
      </w:r>
      <w:r w:rsidR="00D75157">
        <w:rPr>
          <w:rFonts w:ascii="Times New Roman" w:hAnsi="Times New Roman"/>
        </w:rPr>
        <w:t>are bound up with</w:t>
      </w:r>
      <w:r w:rsidR="00AA637A" w:rsidRPr="00D75157">
        <w:rPr>
          <w:rFonts w:ascii="Times New Roman" w:hAnsi="Times New Roman"/>
        </w:rPr>
        <w:t xml:space="preserve"> SCR </w:t>
      </w:r>
      <w:r w:rsidR="00EB18DB">
        <w:rPr>
          <w:rFonts w:ascii="Times New Roman" w:hAnsi="Times New Roman"/>
        </w:rPr>
        <w:t>in that</w:t>
      </w:r>
      <w:r w:rsidR="00AA637A" w:rsidRPr="00D75157">
        <w:rPr>
          <w:rFonts w:ascii="Times New Roman" w:hAnsi="Times New Roman"/>
        </w:rPr>
        <w:t xml:space="preserve"> they would not have been </w:t>
      </w:r>
      <w:r w:rsidR="00EB18DB">
        <w:rPr>
          <w:rFonts w:ascii="Times New Roman" w:hAnsi="Times New Roman"/>
        </w:rPr>
        <w:t xml:space="preserve">included in the </w:t>
      </w:r>
      <w:r w:rsidR="00090776">
        <w:rPr>
          <w:rFonts w:ascii="Times New Roman" w:hAnsi="Times New Roman"/>
        </w:rPr>
        <w:t xml:space="preserve">Jim </w:t>
      </w:r>
      <w:r w:rsidR="00EB18DB">
        <w:rPr>
          <w:rFonts w:ascii="Times New Roman" w:hAnsi="Times New Roman"/>
        </w:rPr>
        <w:t>Bridger overhauls</w:t>
      </w:r>
      <w:r w:rsidR="00AA637A" w:rsidRPr="00D75157">
        <w:rPr>
          <w:rFonts w:ascii="Times New Roman" w:hAnsi="Times New Roman"/>
        </w:rPr>
        <w:t xml:space="preserve"> </w:t>
      </w:r>
      <w:r w:rsidR="00D75157">
        <w:rPr>
          <w:rFonts w:ascii="Times New Roman" w:hAnsi="Times New Roman"/>
        </w:rPr>
        <w:t>had Pacific Power not proceeded with</w:t>
      </w:r>
      <w:r w:rsidR="00AA637A" w:rsidRPr="00D75157">
        <w:rPr>
          <w:rFonts w:ascii="Times New Roman" w:hAnsi="Times New Roman"/>
        </w:rPr>
        <w:t xml:space="preserve"> the SCR installation.</w:t>
      </w:r>
      <w:r w:rsidR="00EC7AB8">
        <w:rPr>
          <w:rStyle w:val="FootnoteReference"/>
          <w:rFonts w:ascii="Times New Roman" w:hAnsi="Times New Roman"/>
        </w:rPr>
        <w:footnoteReference w:id="4"/>
      </w:r>
      <w:r w:rsidR="0007114B">
        <w:rPr>
          <w:rFonts w:ascii="Times New Roman" w:hAnsi="Times New Roman"/>
        </w:rPr>
        <w:t xml:space="preserve"> With respect to the</w:t>
      </w:r>
      <w:r w:rsidR="004A105F">
        <w:rPr>
          <w:rFonts w:ascii="Times New Roman" w:hAnsi="Times New Roman"/>
        </w:rPr>
        <w:t>se</w:t>
      </w:r>
      <w:r w:rsidR="0007114B">
        <w:rPr>
          <w:rFonts w:ascii="Times New Roman" w:hAnsi="Times New Roman"/>
        </w:rPr>
        <w:t xml:space="preserve"> capital projects, Appendix A </w:t>
      </w:r>
      <w:r w:rsidR="00A5553C">
        <w:rPr>
          <w:rFonts w:ascii="Times New Roman" w:hAnsi="Times New Roman"/>
        </w:rPr>
        <w:t>logically</w:t>
      </w:r>
      <w:r w:rsidR="0007114B">
        <w:rPr>
          <w:rFonts w:ascii="Times New Roman" w:hAnsi="Times New Roman"/>
        </w:rPr>
        <w:t xml:space="preserve"> reflects </w:t>
      </w:r>
      <w:r w:rsidR="00A5553C">
        <w:rPr>
          <w:rFonts w:ascii="Times New Roman" w:hAnsi="Times New Roman"/>
        </w:rPr>
        <w:t xml:space="preserve">ratemaking </w:t>
      </w:r>
      <w:r w:rsidR="0007114B">
        <w:rPr>
          <w:rFonts w:ascii="Times New Roman" w:hAnsi="Times New Roman"/>
        </w:rPr>
        <w:t xml:space="preserve">treatment </w:t>
      </w:r>
      <w:r w:rsidR="00A5553C">
        <w:rPr>
          <w:rFonts w:ascii="Times New Roman" w:hAnsi="Times New Roman"/>
        </w:rPr>
        <w:t xml:space="preserve">that is </w:t>
      </w:r>
      <w:r w:rsidR="0007114B">
        <w:rPr>
          <w:rFonts w:ascii="Times New Roman" w:hAnsi="Times New Roman"/>
        </w:rPr>
        <w:t xml:space="preserve">identical to the treatment of the SCR investment. </w:t>
      </w:r>
      <w:r w:rsidR="00FC32AD">
        <w:rPr>
          <w:rFonts w:ascii="Times New Roman" w:hAnsi="Times New Roman"/>
        </w:rPr>
        <w:t>Certain</w:t>
      </w:r>
      <w:r w:rsidR="00EC7AB8">
        <w:rPr>
          <w:rFonts w:ascii="Times New Roman" w:hAnsi="Times New Roman"/>
        </w:rPr>
        <w:t xml:space="preserve"> other</w:t>
      </w:r>
      <w:r w:rsidR="00FC32AD">
        <w:rPr>
          <w:rFonts w:ascii="Times New Roman" w:hAnsi="Times New Roman"/>
        </w:rPr>
        <w:t xml:space="preserve"> </w:t>
      </w:r>
      <w:r w:rsidR="0007114B">
        <w:rPr>
          <w:rFonts w:ascii="Times New Roman" w:hAnsi="Times New Roman"/>
        </w:rPr>
        <w:t>projects</w:t>
      </w:r>
      <w:r w:rsidR="00DF0AE7">
        <w:rPr>
          <w:rFonts w:ascii="Times New Roman" w:hAnsi="Times New Roman"/>
        </w:rPr>
        <w:t>, however, would have been part of the overhaul</w:t>
      </w:r>
      <w:r w:rsidR="0007114B">
        <w:rPr>
          <w:rFonts w:ascii="Times New Roman" w:hAnsi="Times New Roman"/>
        </w:rPr>
        <w:t xml:space="preserve"> regardless of </w:t>
      </w:r>
      <w:r w:rsidR="00FC32AD">
        <w:rPr>
          <w:rFonts w:ascii="Times New Roman" w:hAnsi="Times New Roman"/>
        </w:rPr>
        <w:t>the choice to</w:t>
      </w:r>
      <w:r w:rsidR="0007114B">
        <w:rPr>
          <w:rFonts w:ascii="Times New Roman" w:hAnsi="Times New Roman"/>
        </w:rPr>
        <w:t xml:space="preserve"> install SCR or </w:t>
      </w:r>
      <w:r w:rsidR="00FC32AD">
        <w:rPr>
          <w:rFonts w:ascii="Times New Roman" w:hAnsi="Times New Roman"/>
        </w:rPr>
        <w:t xml:space="preserve">to </w:t>
      </w:r>
      <w:r w:rsidR="0007114B">
        <w:rPr>
          <w:rFonts w:ascii="Times New Roman" w:hAnsi="Times New Roman"/>
        </w:rPr>
        <w:t>pursue gas conversion</w:t>
      </w:r>
      <w:r w:rsidR="00FC32AD">
        <w:rPr>
          <w:rFonts w:ascii="Times New Roman" w:hAnsi="Times New Roman"/>
        </w:rPr>
        <w:t>.</w:t>
      </w:r>
      <w:r w:rsidR="00F573AD">
        <w:rPr>
          <w:rFonts w:ascii="Times New Roman" w:hAnsi="Times New Roman"/>
        </w:rPr>
        <w:t xml:space="preserve"> </w:t>
      </w:r>
      <w:r w:rsidR="009F13D7">
        <w:rPr>
          <w:rFonts w:ascii="Times New Roman" w:hAnsi="Times New Roman"/>
        </w:rPr>
        <w:t>Staff believes that t</w:t>
      </w:r>
      <w:r w:rsidR="00FC32AD">
        <w:rPr>
          <w:rFonts w:ascii="Times New Roman" w:hAnsi="Times New Roman"/>
        </w:rPr>
        <w:t xml:space="preserve">hese </w:t>
      </w:r>
      <w:r w:rsidR="004A105F">
        <w:rPr>
          <w:rFonts w:ascii="Times New Roman" w:hAnsi="Times New Roman"/>
        </w:rPr>
        <w:t xml:space="preserve">projects </w:t>
      </w:r>
      <w:r w:rsidR="009F13D7">
        <w:rPr>
          <w:rFonts w:ascii="Times New Roman" w:hAnsi="Times New Roman"/>
        </w:rPr>
        <w:t>are</w:t>
      </w:r>
      <w:r w:rsidR="00FC32AD">
        <w:rPr>
          <w:rFonts w:ascii="Times New Roman" w:hAnsi="Times New Roman"/>
        </w:rPr>
        <w:t xml:space="preserve"> prudent and should be allowed in rate base</w:t>
      </w:r>
      <w:r w:rsidR="004A105F">
        <w:rPr>
          <w:rFonts w:ascii="Times New Roman" w:hAnsi="Times New Roman"/>
        </w:rPr>
        <w:t>.</w:t>
      </w:r>
      <w:r w:rsidR="00EC7AB8">
        <w:rPr>
          <w:rFonts w:ascii="Times New Roman" w:hAnsi="Times New Roman"/>
        </w:rPr>
        <w:t xml:space="preserve"> </w:t>
      </w:r>
    </w:p>
    <w:p w14:paraId="7F1F547E" w14:textId="543EDABE" w:rsidR="00B56607" w:rsidRDefault="00D75157" w:rsidP="003B7934">
      <w:pPr>
        <w:keepNext/>
        <w:numPr>
          <w:ilvl w:val="0"/>
          <w:numId w:val="6"/>
        </w:numPr>
        <w:spacing w:line="480" w:lineRule="auto"/>
        <w:ind w:left="0" w:hanging="720"/>
        <w:rPr>
          <w:rFonts w:ascii="Times New Roman" w:hAnsi="Times New Roman"/>
        </w:rPr>
      </w:pPr>
      <w:r>
        <w:rPr>
          <w:rFonts w:ascii="Times New Roman" w:hAnsi="Times New Roman"/>
        </w:rPr>
        <w:tab/>
      </w:r>
      <w:r w:rsidR="00C74730" w:rsidRPr="00D75157">
        <w:rPr>
          <w:rFonts w:ascii="Times New Roman" w:hAnsi="Times New Roman"/>
        </w:rPr>
        <w:t xml:space="preserve">In </w:t>
      </w:r>
      <w:r w:rsidR="003A16A5" w:rsidRPr="00D75157">
        <w:rPr>
          <w:rFonts w:ascii="Times New Roman" w:hAnsi="Times New Roman"/>
        </w:rPr>
        <w:t>Mr. Jeremy Twitchell</w:t>
      </w:r>
      <w:r w:rsidR="00C74730" w:rsidRPr="00D75157">
        <w:rPr>
          <w:rFonts w:ascii="Times New Roman" w:hAnsi="Times New Roman"/>
        </w:rPr>
        <w:t>’s responsive testimony,</w:t>
      </w:r>
      <w:r w:rsidR="003A16A5" w:rsidRPr="00D75157">
        <w:rPr>
          <w:rFonts w:ascii="Times New Roman" w:hAnsi="Times New Roman"/>
        </w:rPr>
        <w:t xml:space="preserve"> </w:t>
      </w:r>
      <w:r w:rsidR="00806766">
        <w:rPr>
          <w:rFonts w:ascii="Times New Roman" w:hAnsi="Times New Roman"/>
        </w:rPr>
        <w:t xml:space="preserve">filed </w:t>
      </w:r>
      <w:r w:rsidR="00290ECA" w:rsidRPr="00D75157">
        <w:rPr>
          <w:rFonts w:ascii="Times New Roman" w:hAnsi="Times New Roman"/>
        </w:rPr>
        <w:t xml:space="preserve">March 17, 2016, </w:t>
      </w:r>
      <w:r w:rsidR="00C74730" w:rsidRPr="00D75157">
        <w:rPr>
          <w:rFonts w:ascii="Times New Roman" w:hAnsi="Times New Roman"/>
        </w:rPr>
        <w:t xml:space="preserve">Mr. Twitchell recommended disallowance of </w:t>
      </w:r>
      <w:r w:rsidR="00FD1A27">
        <w:rPr>
          <w:rFonts w:ascii="Times New Roman" w:hAnsi="Times New Roman"/>
        </w:rPr>
        <w:t>both</w:t>
      </w:r>
      <w:r w:rsidR="00C74730" w:rsidRPr="00D75157">
        <w:rPr>
          <w:rFonts w:ascii="Times New Roman" w:hAnsi="Times New Roman"/>
        </w:rPr>
        <w:t xml:space="preserve"> the incremental capital cost of the SCR systems </w:t>
      </w:r>
      <w:r w:rsidR="00FD1A27">
        <w:rPr>
          <w:rFonts w:ascii="Times New Roman" w:hAnsi="Times New Roman"/>
        </w:rPr>
        <w:t>and</w:t>
      </w:r>
      <w:r w:rsidR="00C74730" w:rsidRPr="00D75157">
        <w:rPr>
          <w:rFonts w:ascii="Times New Roman" w:hAnsi="Times New Roman"/>
        </w:rPr>
        <w:t xml:space="preserve"> the capital cost of </w:t>
      </w:r>
      <w:r w:rsidR="00365985">
        <w:rPr>
          <w:rFonts w:ascii="Times New Roman" w:hAnsi="Times New Roman"/>
        </w:rPr>
        <w:t xml:space="preserve">several </w:t>
      </w:r>
      <w:r w:rsidR="00C74730" w:rsidRPr="00D75157">
        <w:rPr>
          <w:rFonts w:ascii="Times New Roman" w:hAnsi="Times New Roman"/>
        </w:rPr>
        <w:t xml:space="preserve">other projects </w:t>
      </w:r>
      <w:r w:rsidR="00757DF3">
        <w:rPr>
          <w:rFonts w:ascii="Times New Roman" w:hAnsi="Times New Roman"/>
        </w:rPr>
        <w:t xml:space="preserve">included in the </w:t>
      </w:r>
      <w:r w:rsidR="00090776">
        <w:rPr>
          <w:rFonts w:ascii="Times New Roman" w:hAnsi="Times New Roman"/>
        </w:rPr>
        <w:t xml:space="preserve">Jim </w:t>
      </w:r>
      <w:r w:rsidR="00757DF3">
        <w:rPr>
          <w:rFonts w:ascii="Times New Roman" w:hAnsi="Times New Roman"/>
        </w:rPr>
        <w:t>Bridger Unit 3 and Unit 4 overhauls</w:t>
      </w:r>
      <w:r w:rsidR="00BF38D6">
        <w:rPr>
          <w:rFonts w:ascii="Times New Roman" w:hAnsi="Times New Roman"/>
        </w:rPr>
        <w:t>.</w:t>
      </w:r>
      <w:r w:rsidR="00757DF3">
        <w:rPr>
          <w:rFonts w:ascii="Times New Roman" w:hAnsi="Times New Roman"/>
        </w:rPr>
        <w:t xml:space="preserve"> </w:t>
      </w:r>
      <w:r w:rsidR="00FD1A27">
        <w:rPr>
          <w:rFonts w:ascii="Times New Roman" w:hAnsi="Times New Roman"/>
        </w:rPr>
        <w:t>These projects</w:t>
      </w:r>
      <w:r w:rsidR="00FD1A27" w:rsidRPr="00D75157">
        <w:rPr>
          <w:rFonts w:ascii="Times New Roman" w:hAnsi="Times New Roman"/>
        </w:rPr>
        <w:t xml:space="preserve"> </w:t>
      </w:r>
      <w:r w:rsidR="00C74730" w:rsidRPr="00D75157">
        <w:rPr>
          <w:rFonts w:ascii="Times New Roman" w:hAnsi="Times New Roman"/>
        </w:rPr>
        <w:t>would have been avoided in the gas conversion scenario</w:t>
      </w:r>
      <w:r w:rsidR="00290ECA" w:rsidRPr="00D75157">
        <w:rPr>
          <w:rFonts w:ascii="Times New Roman" w:hAnsi="Times New Roman"/>
        </w:rPr>
        <w:t>.</w:t>
      </w:r>
      <w:r w:rsidR="00C74730" w:rsidRPr="004217A4">
        <w:rPr>
          <w:rStyle w:val="FootnoteReference"/>
          <w:rFonts w:ascii="Times New Roman" w:hAnsi="Times New Roman"/>
        </w:rPr>
        <w:footnoteReference w:id="5"/>
      </w:r>
      <w:r w:rsidR="00290ECA" w:rsidRPr="00D75157">
        <w:rPr>
          <w:rFonts w:ascii="Times New Roman" w:hAnsi="Times New Roman"/>
        </w:rPr>
        <w:t xml:space="preserve"> </w:t>
      </w:r>
      <w:r w:rsidR="00757DF3">
        <w:rPr>
          <w:rFonts w:ascii="Times New Roman" w:hAnsi="Times New Roman"/>
        </w:rPr>
        <w:lastRenderedPageBreak/>
        <w:t xml:space="preserve">Mr. Twitchell’s disallowance is </w:t>
      </w:r>
      <w:r w:rsidR="00E831F5">
        <w:rPr>
          <w:rFonts w:ascii="Times New Roman" w:hAnsi="Times New Roman"/>
        </w:rPr>
        <w:t xml:space="preserve">calculated </w:t>
      </w:r>
      <w:r w:rsidR="00EB18DB">
        <w:rPr>
          <w:rFonts w:ascii="Times New Roman" w:hAnsi="Times New Roman"/>
        </w:rPr>
        <w:t>based on</w:t>
      </w:r>
      <w:r w:rsidR="00757DF3">
        <w:rPr>
          <w:rFonts w:ascii="Times New Roman" w:hAnsi="Times New Roman"/>
        </w:rPr>
        <w:t xml:space="preserve"> Exhibit No. JBT-16, a discovery response in which Pacific Power explains which overhaul projects would </w:t>
      </w:r>
      <w:r w:rsidR="00806766">
        <w:rPr>
          <w:rFonts w:ascii="Times New Roman" w:hAnsi="Times New Roman"/>
        </w:rPr>
        <w:t>not have been included in the overhaul</w:t>
      </w:r>
      <w:r w:rsidR="00365985">
        <w:rPr>
          <w:rFonts w:ascii="Times New Roman" w:hAnsi="Times New Roman"/>
        </w:rPr>
        <w:t>s</w:t>
      </w:r>
      <w:r w:rsidR="00757DF3">
        <w:rPr>
          <w:rFonts w:ascii="Times New Roman" w:hAnsi="Times New Roman"/>
        </w:rPr>
        <w:t xml:space="preserve"> </w:t>
      </w:r>
      <w:r w:rsidR="00806766">
        <w:rPr>
          <w:rFonts w:ascii="Times New Roman" w:hAnsi="Times New Roman"/>
        </w:rPr>
        <w:t>under</w:t>
      </w:r>
      <w:r w:rsidR="00757DF3">
        <w:rPr>
          <w:rFonts w:ascii="Times New Roman" w:hAnsi="Times New Roman"/>
        </w:rPr>
        <w:t xml:space="preserve"> a gas conversion scenario. </w:t>
      </w:r>
      <w:r w:rsidR="002C5E7A">
        <w:rPr>
          <w:rFonts w:ascii="Times New Roman" w:hAnsi="Times New Roman"/>
        </w:rPr>
        <w:t>Because these projects would not have been included in the overhauls absent SCR installation, i</w:t>
      </w:r>
      <w:r w:rsidR="00365985">
        <w:rPr>
          <w:rFonts w:ascii="Times New Roman" w:hAnsi="Times New Roman"/>
        </w:rPr>
        <w:t xml:space="preserve">t is logical to </w:t>
      </w:r>
      <w:r w:rsidR="002C5E7A">
        <w:rPr>
          <w:rFonts w:ascii="Times New Roman" w:hAnsi="Times New Roman"/>
        </w:rPr>
        <w:t>disallow</w:t>
      </w:r>
      <w:r w:rsidR="00365985">
        <w:rPr>
          <w:rFonts w:ascii="Times New Roman" w:hAnsi="Times New Roman"/>
        </w:rPr>
        <w:t xml:space="preserve"> t</w:t>
      </w:r>
      <w:r w:rsidR="0090750B">
        <w:rPr>
          <w:rFonts w:ascii="Times New Roman" w:hAnsi="Times New Roman"/>
        </w:rPr>
        <w:t>hese</w:t>
      </w:r>
      <w:r w:rsidR="00AB327F">
        <w:rPr>
          <w:rFonts w:ascii="Times New Roman" w:hAnsi="Times New Roman"/>
        </w:rPr>
        <w:t xml:space="preserve"> </w:t>
      </w:r>
      <w:r w:rsidR="0090750B">
        <w:rPr>
          <w:rFonts w:ascii="Times New Roman" w:hAnsi="Times New Roman"/>
        </w:rPr>
        <w:t xml:space="preserve">maintenance projects </w:t>
      </w:r>
      <w:r w:rsidR="002C5E7A">
        <w:rPr>
          <w:rFonts w:ascii="Times New Roman" w:hAnsi="Times New Roman"/>
        </w:rPr>
        <w:t>along with</w:t>
      </w:r>
      <w:r w:rsidR="00365985">
        <w:rPr>
          <w:rFonts w:ascii="Times New Roman" w:hAnsi="Times New Roman"/>
        </w:rPr>
        <w:t xml:space="preserve"> </w:t>
      </w:r>
      <w:r w:rsidR="00FF242E">
        <w:rPr>
          <w:rFonts w:ascii="Times New Roman" w:hAnsi="Times New Roman"/>
        </w:rPr>
        <w:t>the SCR systems.</w:t>
      </w:r>
    </w:p>
    <w:p w14:paraId="6D5A5AA6" w14:textId="457FA6B5" w:rsidR="00C74730" w:rsidRDefault="00B56607" w:rsidP="003B7934">
      <w:pPr>
        <w:keepNext/>
        <w:numPr>
          <w:ilvl w:val="0"/>
          <w:numId w:val="6"/>
        </w:numPr>
        <w:spacing w:line="480" w:lineRule="auto"/>
        <w:ind w:left="0" w:hanging="720"/>
        <w:rPr>
          <w:rFonts w:ascii="Times New Roman" w:hAnsi="Times New Roman"/>
        </w:rPr>
      </w:pPr>
      <w:r>
        <w:rPr>
          <w:rFonts w:ascii="Times New Roman" w:hAnsi="Times New Roman"/>
        </w:rPr>
        <w:tab/>
        <w:t xml:space="preserve">Finally, </w:t>
      </w:r>
      <w:r w:rsidR="00E470A3">
        <w:rPr>
          <w:rFonts w:ascii="Times New Roman" w:hAnsi="Times New Roman"/>
        </w:rPr>
        <w:t>since</w:t>
      </w:r>
      <w:r>
        <w:rPr>
          <w:rFonts w:ascii="Times New Roman" w:hAnsi="Times New Roman"/>
        </w:rPr>
        <w:t xml:space="preserve"> these projects </w:t>
      </w:r>
      <w:r w:rsidR="00E470A3">
        <w:rPr>
          <w:rFonts w:ascii="Times New Roman" w:hAnsi="Times New Roman"/>
        </w:rPr>
        <w:t xml:space="preserve">were </w:t>
      </w:r>
      <w:r>
        <w:rPr>
          <w:rFonts w:ascii="Times New Roman" w:hAnsi="Times New Roman"/>
        </w:rPr>
        <w:t>inextricably related to SCR installation</w:t>
      </w:r>
      <w:r w:rsidR="00E470A3">
        <w:rPr>
          <w:rFonts w:ascii="Times New Roman" w:hAnsi="Times New Roman"/>
        </w:rPr>
        <w:t>, an independent imprudence claim concerning these maintenance projects is unnecessary</w:t>
      </w:r>
      <w:r>
        <w:rPr>
          <w:rFonts w:ascii="Times New Roman" w:hAnsi="Times New Roman"/>
        </w:rPr>
        <w:t xml:space="preserve">. </w:t>
      </w:r>
      <w:r w:rsidR="00E470A3">
        <w:rPr>
          <w:rFonts w:ascii="Times New Roman" w:hAnsi="Times New Roman"/>
        </w:rPr>
        <w:t xml:space="preserve">If </w:t>
      </w:r>
      <w:r w:rsidR="00D75157">
        <w:rPr>
          <w:rFonts w:ascii="Times New Roman" w:hAnsi="Times New Roman"/>
        </w:rPr>
        <w:t xml:space="preserve">Pacific Power had </w:t>
      </w:r>
      <w:r w:rsidR="00090776">
        <w:rPr>
          <w:rFonts w:ascii="Times New Roman" w:hAnsi="Times New Roman"/>
        </w:rPr>
        <w:t>pursue</w:t>
      </w:r>
      <w:r w:rsidR="00E470A3">
        <w:rPr>
          <w:rFonts w:ascii="Times New Roman" w:hAnsi="Times New Roman"/>
        </w:rPr>
        <w:t>d</w:t>
      </w:r>
      <w:r w:rsidR="00D75157">
        <w:rPr>
          <w:rFonts w:ascii="Times New Roman" w:hAnsi="Times New Roman"/>
        </w:rPr>
        <w:t xml:space="preserve"> </w:t>
      </w:r>
      <w:r w:rsidR="00806766">
        <w:rPr>
          <w:rFonts w:ascii="Times New Roman" w:hAnsi="Times New Roman"/>
        </w:rPr>
        <w:t>gas conversion</w:t>
      </w:r>
      <w:r w:rsidR="00E470A3">
        <w:rPr>
          <w:rFonts w:ascii="Times New Roman" w:hAnsi="Times New Roman"/>
        </w:rPr>
        <w:t xml:space="preserve">, these projects would not have been </w:t>
      </w:r>
      <w:r w:rsidR="00BF38D6">
        <w:rPr>
          <w:rFonts w:ascii="Times New Roman" w:hAnsi="Times New Roman"/>
        </w:rPr>
        <w:t>included in the overhauls</w:t>
      </w:r>
      <w:r w:rsidR="00D75157">
        <w:rPr>
          <w:rFonts w:ascii="Times New Roman" w:hAnsi="Times New Roman"/>
        </w:rPr>
        <w:t xml:space="preserve">. </w:t>
      </w:r>
      <w:r w:rsidR="00FC32AD">
        <w:rPr>
          <w:rFonts w:ascii="Times New Roman" w:hAnsi="Times New Roman"/>
        </w:rPr>
        <w:t>The Commission declared</w:t>
      </w:r>
      <w:r w:rsidR="0090750B">
        <w:rPr>
          <w:rFonts w:ascii="Times New Roman" w:hAnsi="Times New Roman"/>
        </w:rPr>
        <w:t xml:space="preserve"> the </w:t>
      </w:r>
      <w:r w:rsidR="00FC32AD">
        <w:rPr>
          <w:rFonts w:ascii="Times New Roman" w:hAnsi="Times New Roman"/>
        </w:rPr>
        <w:t xml:space="preserve">decision to build the </w:t>
      </w:r>
      <w:r w:rsidR="0090750B">
        <w:rPr>
          <w:rFonts w:ascii="Times New Roman" w:hAnsi="Times New Roman"/>
        </w:rPr>
        <w:t>SCR installation</w:t>
      </w:r>
      <w:r w:rsidR="00FC32AD">
        <w:rPr>
          <w:rFonts w:ascii="Times New Roman" w:hAnsi="Times New Roman"/>
        </w:rPr>
        <w:t xml:space="preserve"> was imprudent</w:t>
      </w:r>
      <w:r w:rsidR="00BF38D6">
        <w:rPr>
          <w:rFonts w:ascii="Times New Roman" w:hAnsi="Times New Roman"/>
        </w:rPr>
        <w:t>;</w:t>
      </w:r>
      <w:r w:rsidR="0090750B">
        <w:rPr>
          <w:rFonts w:ascii="Times New Roman" w:hAnsi="Times New Roman"/>
        </w:rPr>
        <w:t xml:space="preserve"> it follows logically that </w:t>
      </w:r>
      <w:r w:rsidR="00D42633">
        <w:rPr>
          <w:rFonts w:ascii="Times New Roman" w:hAnsi="Times New Roman"/>
        </w:rPr>
        <w:t xml:space="preserve">the </w:t>
      </w:r>
      <w:r w:rsidR="0090750B">
        <w:rPr>
          <w:rFonts w:ascii="Times New Roman" w:hAnsi="Times New Roman"/>
        </w:rPr>
        <w:t xml:space="preserve">additional </w:t>
      </w:r>
      <w:r w:rsidR="004A105F">
        <w:rPr>
          <w:rFonts w:ascii="Times New Roman" w:hAnsi="Times New Roman"/>
        </w:rPr>
        <w:t>capital investments</w:t>
      </w:r>
      <w:r w:rsidR="0090750B">
        <w:rPr>
          <w:rFonts w:ascii="Times New Roman" w:hAnsi="Times New Roman"/>
        </w:rPr>
        <w:t xml:space="preserve"> resulting from this decision</w:t>
      </w:r>
      <w:r w:rsidR="00AB327F">
        <w:rPr>
          <w:rFonts w:ascii="Times New Roman" w:hAnsi="Times New Roman"/>
        </w:rPr>
        <w:t xml:space="preserve"> </w:t>
      </w:r>
      <w:r w:rsidR="00FC32AD">
        <w:rPr>
          <w:rFonts w:ascii="Times New Roman" w:hAnsi="Times New Roman"/>
        </w:rPr>
        <w:t xml:space="preserve">also </w:t>
      </w:r>
      <w:r>
        <w:rPr>
          <w:rFonts w:ascii="Times New Roman" w:hAnsi="Times New Roman"/>
        </w:rPr>
        <w:t>should</w:t>
      </w:r>
      <w:r w:rsidR="0090750B">
        <w:rPr>
          <w:rFonts w:ascii="Times New Roman" w:hAnsi="Times New Roman"/>
        </w:rPr>
        <w:t xml:space="preserve"> </w:t>
      </w:r>
      <w:r w:rsidR="00D42633">
        <w:rPr>
          <w:rFonts w:ascii="Times New Roman" w:hAnsi="Times New Roman"/>
        </w:rPr>
        <w:t>be excluded from rate base</w:t>
      </w:r>
      <w:r w:rsidR="002C5E7A">
        <w:rPr>
          <w:rFonts w:ascii="Times New Roman" w:hAnsi="Times New Roman"/>
        </w:rPr>
        <w:t>.</w:t>
      </w:r>
      <w:r w:rsidR="00D42633">
        <w:rPr>
          <w:rFonts w:ascii="Times New Roman" w:hAnsi="Times New Roman"/>
        </w:rPr>
        <w:t xml:space="preserve"> </w:t>
      </w:r>
      <w:r w:rsidR="00AB327F">
        <w:rPr>
          <w:rFonts w:ascii="Times New Roman" w:hAnsi="Times New Roman"/>
        </w:rPr>
        <w:t xml:space="preserve">These capital costs need not undergo a separate prudence review because </w:t>
      </w:r>
      <w:r w:rsidR="00423A01">
        <w:rPr>
          <w:rFonts w:ascii="Times New Roman" w:hAnsi="Times New Roman"/>
        </w:rPr>
        <w:t>they would not even exist but for</w:t>
      </w:r>
      <w:r w:rsidR="00AB327F">
        <w:rPr>
          <w:rFonts w:ascii="Times New Roman" w:hAnsi="Times New Roman"/>
        </w:rPr>
        <w:t xml:space="preserve"> the imprudent decision related to the SCRs.</w:t>
      </w:r>
    </w:p>
    <w:p w14:paraId="54AC428D" w14:textId="72A2504A" w:rsidR="007B4430" w:rsidRPr="00C74730" w:rsidRDefault="00C74730" w:rsidP="00C74730">
      <w:pPr>
        <w:keepNext/>
        <w:spacing w:line="480" w:lineRule="auto"/>
        <w:jc w:val="center"/>
        <w:rPr>
          <w:rFonts w:ascii="Times New Roman" w:hAnsi="Times New Roman"/>
          <w:b/>
        </w:rPr>
      </w:pPr>
      <w:r>
        <w:rPr>
          <w:rFonts w:ascii="Times New Roman" w:hAnsi="Times New Roman"/>
          <w:b/>
        </w:rPr>
        <w:t>IV</w:t>
      </w:r>
      <w:r w:rsidR="00EB0C74" w:rsidRPr="003F0AB4">
        <w:rPr>
          <w:rFonts w:ascii="Times New Roman" w:hAnsi="Times New Roman"/>
          <w:b/>
        </w:rPr>
        <w:t xml:space="preserve">.  </w:t>
      </w:r>
      <w:r w:rsidR="007B4430" w:rsidRPr="003F0AB4">
        <w:rPr>
          <w:rFonts w:ascii="Times New Roman" w:hAnsi="Times New Roman"/>
          <w:b/>
        </w:rPr>
        <w:t>CONCLUSION</w:t>
      </w:r>
    </w:p>
    <w:p w14:paraId="68B72C11" w14:textId="4B95AF34" w:rsidR="006911A3" w:rsidRPr="00661D34" w:rsidRDefault="007B4430" w:rsidP="00661D34">
      <w:pPr>
        <w:keepNext/>
        <w:numPr>
          <w:ilvl w:val="0"/>
          <w:numId w:val="6"/>
        </w:numPr>
        <w:spacing w:line="480" w:lineRule="auto"/>
        <w:ind w:left="0" w:hanging="720"/>
        <w:rPr>
          <w:rFonts w:ascii="Times New Roman" w:hAnsi="Times New Roman"/>
        </w:rPr>
      </w:pPr>
      <w:r w:rsidRPr="00661D34">
        <w:rPr>
          <w:rFonts w:ascii="Times New Roman" w:hAnsi="Times New Roman"/>
        </w:rPr>
        <w:tab/>
      </w:r>
      <w:r w:rsidR="00864ECE" w:rsidRPr="00661D34">
        <w:rPr>
          <w:rFonts w:ascii="Times New Roman" w:hAnsi="Times New Roman"/>
        </w:rPr>
        <w:t xml:space="preserve">Commission </w:t>
      </w:r>
      <w:r w:rsidRPr="00661D34">
        <w:rPr>
          <w:rFonts w:ascii="Times New Roman" w:hAnsi="Times New Roman"/>
        </w:rPr>
        <w:t xml:space="preserve">Staff </w:t>
      </w:r>
      <w:r w:rsidR="000D09DF">
        <w:rPr>
          <w:rFonts w:ascii="Times New Roman" w:hAnsi="Times New Roman"/>
        </w:rPr>
        <w:t xml:space="preserve">respectfully </w:t>
      </w:r>
      <w:r w:rsidRPr="00661D34">
        <w:rPr>
          <w:rFonts w:ascii="Times New Roman" w:hAnsi="Times New Roman"/>
        </w:rPr>
        <w:t xml:space="preserve">requests that </w:t>
      </w:r>
      <w:r w:rsidR="009A038A" w:rsidRPr="00661D34">
        <w:rPr>
          <w:rFonts w:ascii="Times New Roman" w:hAnsi="Times New Roman"/>
        </w:rPr>
        <w:t xml:space="preserve">the Commission </w:t>
      </w:r>
      <w:r w:rsidR="000D09DF">
        <w:rPr>
          <w:rFonts w:ascii="Times New Roman" w:hAnsi="Times New Roman"/>
        </w:rPr>
        <w:t xml:space="preserve">grant Pacific Power’s Motion with respect to the </w:t>
      </w:r>
      <w:r w:rsidR="00803B53">
        <w:rPr>
          <w:rFonts w:ascii="Times New Roman" w:hAnsi="Times New Roman"/>
        </w:rPr>
        <w:t>decoupling schedule</w:t>
      </w:r>
      <w:r w:rsidR="00FD1A27">
        <w:rPr>
          <w:rFonts w:ascii="Times New Roman" w:hAnsi="Times New Roman"/>
        </w:rPr>
        <w:t>,</w:t>
      </w:r>
      <w:r w:rsidR="00803B53">
        <w:rPr>
          <w:rFonts w:ascii="Times New Roman" w:hAnsi="Times New Roman"/>
        </w:rPr>
        <w:t xml:space="preserve"> </w:t>
      </w:r>
      <w:r w:rsidR="00FD1A27">
        <w:rPr>
          <w:rFonts w:ascii="Times New Roman" w:hAnsi="Times New Roman"/>
        </w:rPr>
        <w:t xml:space="preserve">but </w:t>
      </w:r>
      <w:r w:rsidR="00803B53">
        <w:rPr>
          <w:rFonts w:ascii="Times New Roman" w:hAnsi="Times New Roman"/>
        </w:rPr>
        <w:t>deny the</w:t>
      </w:r>
      <w:r w:rsidR="000D09DF">
        <w:rPr>
          <w:rFonts w:ascii="Times New Roman" w:hAnsi="Times New Roman"/>
        </w:rPr>
        <w:t xml:space="preserve"> Company’s requ</w:t>
      </w:r>
      <w:r w:rsidR="00BC2DC3">
        <w:rPr>
          <w:rFonts w:ascii="Times New Roman" w:hAnsi="Times New Roman"/>
        </w:rPr>
        <w:t xml:space="preserve">est </w:t>
      </w:r>
      <w:r w:rsidR="00803B53">
        <w:rPr>
          <w:rFonts w:ascii="Times New Roman" w:hAnsi="Times New Roman"/>
        </w:rPr>
        <w:t>to include in rate base Jim Bridger capital costs that could have been avoided had the Company pursued gas conversion.</w:t>
      </w:r>
    </w:p>
    <w:p w14:paraId="56227C17" w14:textId="61660732" w:rsidR="006911A3" w:rsidRPr="003215A3" w:rsidRDefault="006911A3" w:rsidP="00EC44C8">
      <w:pPr>
        <w:pStyle w:val="BodyTextIndent2"/>
        <w:ind w:left="720"/>
        <w:rPr>
          <w:rFonts w:ascii="Times New Roman" w:hAnsi="Times New Roman"/>
        </w:rPr>
      </w:pPr>
      <w:r w:rsidRPr="003215A3">
        <w:rPr>
          <w:rFonts w:ascii="Times New Roman" w:hAnsi="Times New Roman"/>
        </w:rPr>
        <w:t>Dated</w:t>
      </w:r>
      <w:r w:rsidR="00F821BD" w:rsidRPr="003215A3">
        <w:rPr>
          <w:rFonts w:ascii="Times New Roman" w:hAnsi="Times New Roman"/>
        </w:rPr>
        <w:t xml:space="preserve"> this </w:t>
      </w:r>
      <w:r w:rsidR="00BF38D6">
        <w:rPr>
          <w:rFonts w:ascii="Times New Roman" w:hAnsi="Times New Roman"/>
        </w:rPr>
        <w:t>20</w:t>
      </w:r>
      <w:r w:rsidR="00AB2756">
        <w:rPr>
          <w:rFonts w:ascii="Times New Roman" w:hAnsi="Times New Roman"/>
        </w:rPr>
        <w:t>th</w:t>
      </w:r>
      <w:r w:rsidR="00695741">
        <w:rPr>
          <w:rFonts w:ascii="Times New Roman" w:hAnsi="Times New Roman"/>
        </w:rPr>
        <w:t xml:space="preserve"> </w:t>
      </w:r>
      <w:r w:rsidR="00F821BD" w:rsidRPr="003215A3">
        <w:rPr>
          <w:rFonts w:ascii="Times New Roman" w:hAnsi="Times New Roman"/>
        </w:rPr>
        <w:t xml:space="preserve">day of </w:t>
      </w:r>
      <w:r w:rsidR="00904355">
        <w:rPr>
          <w:rFonts w:ascii="Times New Roman" w:hAnsi="Times New Roman"/>
        </w:rPr>
        <w:t>September</w:t>
      </w:r>
      <w:r w:rsidR="00EC44C8">
        <w:rPr>
          <w:rFonts w:ascii="Times New Roman" w:hAnsi="Times New Roman"/>
        </w:rPr>
        <w:t xml:space="preserve"> </w:t>
      </w:r>
      <w:r w:rsidR="00F821BD" w:rsidRPr="003215A3">
        <w:rPr>
          <w:rFonts w:ascii="Times New Roman" w:hAnsi="Times New Roman"/>
        </w:rPr>
        <w:t>20</w:t>
      </w:r>
      <w:r w:rsidR="00DE5C2A" w:rsidRPr="003215A3">
        <w:rPr>
          <w:rFonts w:ascii="Times New Roman" w:hAnsi="Times New Roman"/>
        </w:rPr>
        <w:t>1</w:t>
      </w:r>
      <w:r w:rsidR="001823E0">
        <w:rPr>
          <w:rFonts w:ascii="Times New Roman" w:hAnsi="Times New Roman"/>
        </w:rPr>
        <w:t>6</w:t>
      </w:r>
      <w:r w:rsidR="00F821BD" w:rsidRPr="003215A3">
        <w:rPr>
          <w:rFonts w:ascii="Times New Roman" w:hAnsi="Times New Roman"/>
        </w:rPr>
        <w:t>.</w:t>
      </w:r>
    </w:p>
    <w:p w14:paraId="03FF5820" w14:textId="77777777" w:rsidR="006911A3" w:rsidRPr="003215A3" w:rsidRDefault="006911A3" w:rsidP="00EC44C8">
      <w:pPr>
        <w:pStyle w:val="BodyTextIndent2"/>
        <w:rPr>
          <w:rFonts w:ascii="Times New Roman" w:hAnsi="Times New Roman"/>
        </w:rPr>
      </w:pPr>
    </w:p>
    <w:p w14:paraId="75E467F6" w14:textId="77777777" w:rsidR="003215A3" w:rsidRPr="003215A3" w:rsidRDefault="003215A3" w:rsidP="00EC44C8">
      <w:pPr>
        <w:ind w:left="720"/>
        <w:rPr>
          <w:rFonts w:ascii="Times New Roman" w:hAnsi="Times New Roman"/>
        </w:rPr>
      </w:pP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r>
      <w:r w:rsidRPr="003215A3">
        <w:rPr>
          <w:rFonts w:ascii="Times New Roman" w:hAnsi="Times New Roman"/>
        </w:rPr>
        <w:tab/>
        <w:t xml:space="preserve">Respectfully submitted, </w:t>
      </w:r>
    </w:p>
    <w:p w14:paraId="56754C3D" w14:textId="77777777" w:rsidR="003215A3" w:rsidRPr="003215A3" w:rsidRDefault="003215A3" w:rsidP="00EC44C8">
      <w:pPr>
        <w:pStyle w:val="BodyTextIndent2"/>
        <w:rPr>
          <w:rFonts w:ascii="Times New Roman" w:hAnsi="Times New Roman"/>
        </w:rPr>
      </w:pPr>
    </w:p>
    <w:p w14:paraId="6CFAB45F" w14:textId="77777777" w:rsidR="003215A3" w:rsidRPr="003215A3" w:rsidRDefault="003215A3" w:rsidP="00EC44C8">
      <w:pPr>
        <w:ind w:left="5040"/>
        <w:jc w:val="both"/>
        <w:rPr>
          <w:rFonts w:ascii="Times New Roman" w:hAnsi="Times New Roman"/>
        </w:rPr>
      </w:pPr>
      <w:r w:rsidRPr="003215A3">
        <w:rPr>
          <w:rFonts w:ascii="Times New Roman" w:hAnsi="Times New Roman"/>
        </w:rPr>
        <w:t xml:space="preserve">ROBERT </w:t>
      </w:r>
      <w:r w:rsidR="00236FE4">
        <w:rPr>
          <w:rFonts w:ascii="Times New Roman" w:hAnsi="Times New Roman"/>
        </w:rPr>
        <w:t>W. FERGUSON</w:t>
      </w:r>
      <w:r w:rsidRPr="003215A3">
        <w:rPr>
          <w:rFonts w:ascii="Times New Roman" w:hAnsi="Times New Roman"/>
        </w:rPr>
        <w:t xml:space="preserve"> </w:t>
      </w:r>
    </w:p>
    <w:p w14:paraId="68E69626" w14:textId="77777777" w:rsidR="003215A3" w:rsidRPr="003215A3" w:rsidRDefault="003215A3" w:rsidP="00EC44C8">
      <w:pPr>
        <w:ind w:firstLine="5040"/>
        <w:jc w:val="both"/>
        <w:rPr>
          <w:rFonts w:ascii="Times New Roman" w:hAnsi="Times New Roman"/>
        </w:rPr>
      </w:pPr>
      <w:r w:rsidRPr="003215A3">
        <w:rPr>
          <w:rFonts w:ascii="Times New Roman" w:hAnsi="Times New Roman"/>
        </w:rPr>
        <w:t>Attorney General</w:t>
      </w:r>
    </w:p>
    <w:p w14:paraId="711B1089" w14:textId="77777777" w:rsidR="003215A3" w:rsidRDefault="003215A3" w:rsidP="00EC44C8">
      <w:pPr>
        <w:jc w:val="both"/>
        <w:rPr>
          <w:rFonts w:ascii="Times New Roman" w:hAnsi="Times New Roman"/>
        </w:rPr>
      </w:pPr>
    </w:p>
    <w:p w14:paraId="0FD45694" w14:textId="77777777" w:rsidR="00661D34" w:rsidRDefault="00661D34" w:rsidP="00EC44C8">
      <w:pPr>
        <w:jc w:val="both"/>
        <w:rPr>
          <w:rFonts w:ascii="Times New Roman" w:hAnsi="Times New Roman"/>
        </w:rPr>
      </w:pPr>
    </w:p>
    <w:p w14:paraId="365644B7" w14:textId="5D44C1BD" w:rsidR="003215A3" w:rsidRPr="003215A3" w:rsidRDefault="003215A3" w:rsidP="00EC44C8">
      <w:pPr>
        <w:ind w:left="1440" w:firstLine="3600"/>
        <w:jc w:val="both"/>
        <w:rPr>
          <w:rFonts w:ascii="Times New Roman" w:hAnsi="Times New Roman"/>
        </w:rPr>
      </w:pPr>
      <w:r w:rsidRPr="003215A3">
        <w:rPr>
          <w:rFonts w:ascii="Times New Roman" w:hAnsi="Times New Roman"/>
        </w:rPr>
        <w:t>______________________________</w:t>
      </w:r>
      <w:r w:rsidR="00661D34">
        <w:rPr>
          <w:rFonts w:ascii="Times New Roman" w:hAnsi="Times New Roman"/>
        </w:rPr>
        <w:t>__</w:t>
      </w:r>
    </w:p>
    <w:p w14:paraId="2696FE84" w14:textId="2323F0C5" w:rsidR="003215A3" w:rsidRPr="003215A3" w:rsidRDefault="005B5541" w:rsidP="00EC44C8">
      <w:pPr>
        <w:ind w:firstLine="5040"/>
        <w:jc w:val="both"/>
        <w:rPr>
          <w:rFonts w:ascii="Times New Roman" w:hAnsi="Times New Roman"/>
        </w:rPr>
      </w:pPr>
      <w:r>
        <w:rPr>
          <w:rFonts w:ascii="Times New Roman" w:hAnsi="Times New Roman"/>
        </w:rPr>
        <w:t>JENNIFER CAMERON-RULKOWSKI</w:t>
      </w:r>
    </w:p>
    <w:p w14:paraId="09AEE639" w14:textId="77777777" w:rsidR="003215A3" w:rsidRPr="003215A3" w:rsidRDefault="003215A3" w:rsidP="00EC44C8">
      <w:pPr>
        <w:ind w:left="1440" w:firstLine="3600"/>
        <w:jc w:val="both"/>
        <w:rPr>
          <w:rFonts w:ascii="Times New Roman" w:hAnsi="Times New Roman"/>
        </w:rPr>
      </w:pPr>
      <w:r w:rsidRPr="003215A3">
        <w:rPr>
          <w:rFonts w:ascii="Times New Roman" w:hAnsi="Times New Roman"/>
        </w:rPr>
        <w:lastRenderedPageBreak/>
        <w:t>Assistant Attorney General</w:t>
      </w:r>
    </w:p>
    <w:p w14:paraId="15C2CB23" w14:textId="77777777" w:rsidR="003215A3" w:rsidRPr="003215A3" w:rsidRDefault="003215A3" w:rsidP="00EC44C8">
      <w:pPr>
        <w:ind w:left="2160" w:firstLine="2880"/>
        <w:jc w:val="both"/>
        <w:rPr>
          <w:rFonts w:ascii="Times New Roman" w:hAnsi="Times New Roman"/>
        </w:rPr>
      </w:pPr>
      <w:r w:rsidRPr="003215A3">
        <w:rPr>
          <w:rFonts w:ascii="Times New Roman" w:hAnsi="Times New Roman"/>
        </w:rPr>
        <w:t xml:space="preserve">Counsel for </w:t>
      </w:r>
      <w:smartTag w:uri="urn:schemas-microsoft-com:office:smarttags" w:element="place">
        <w:smartTag w:uri="urn:schemas-microsoft-com:office:smarttags" w:element="PostalCode">
          <w:r w:rsidRPr="003215A3">
            <w:rPr>
              <w:rFonts w:ascii="Times New Roman" w:hAnsi="Times New Roman"/>
            </w:rPr>
            <w:t>Washington</w:t>
          </w:r>
        </w:smartTag>
      </w:smartTag>
      <w:r w:rsidRPr="003215A3">
        <w:rPr>
          <w:rFonts w:ascii="Times New Roman" w:hAnsi="Times New Roman"/>
        </w:rPr>
        <w:t xml:space="preserve"> Utilities and</w:t>
      </w:r>
    </w:p>
    <w:p w14:paraId="6CF7BA8E" w14:textId="77777777" w:rsidR="006911A3" w:rsidRPr="00EC44C8" w:rsidRDefault="00EC44C8" w:rsidP="00EC44C8">
      <w:pPr>
        <w:ind w:left="2880" w:firstLine="2160"/>
        <w:jc w:val="both"/>
        <w:rPr>
          <w:rFonts w:ascii="Times New Roman" w:hAnsi="Times New Roman"/>
        </w:rPr>
      </w:pPr>
      <w:r>
        <w:rPr>
          <w:rFonts w:ascii="Times New Roman" w:hAnsi="Times New Roman"/>
        </w:rPr>
        <w:t>Transportation Commission Staff</w:t>
      </w:r>
    </w:p>
    <w:sectPr w:rsidR="006911A3" w:rsidRPr="00EC44C8" w:rsidSect="00F821BD">
      <w:footerReference w:type="default" r:id="rId11"/>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A3BB" w14:textId="77777777" w:rsidR="006B0836" w:rsidRDefault="006B0836">
      <w:r>
        <w:separator/>
      </w:r>
    </w:p>
  </w:endnote>
  <w:endnote w:type="continuationSeparator" w:id="0">
    <w:p w14:paraId="2CF8F7ED" w14:textId="77777777" w:rsidR="006B0836" w:rsidRDefault="006B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8A75" w14:textId="77777777" w:rsidR="00270D7A" w:rsidRDefault="00234376" w:rsidP="00070442">
    <w:pPr>
      <w:pStyle w:val="Footer"/>
      <w:rPr>
        <w:rFonts w:ascii="Times New Roman" w:hAnsi="Times New Roman"/>
        <w:sz w:val="20"/>
        <w:szCs w:val="20"/>
      </w:rPr>
    </w:pPr>
    <w:r>
      <w:rPr>
        <w:rFonts w:ascii="Times New Roman" w:hAnsi="Times New Roman"/>
        <w:sz w:val="20"/>
        <w:szCs w:val="20"/>
      </w:rPr>
      <w:t xml:space="preserve">STAFF </w:t>
    </w:r>
    <w:r w:rsidR="003F2554">
      <w:rPr>
        <w:rFonts w:ascii="Times New Roman" w:hAnsi="Times New Roman"/>
        <w:sz w:val="20"/>
        <w:szCs w:val="20"/>
      </w:rPr>
      <w:t>RESPONSE</w:t>
    </w:r>
    <w:r w:rsidR="00BB7C89">
      <w:rPr>
        <w:rFonts w:ascii="Times New Roman" w:hAnsi="Times New Roman"/>
        <w:sz w:val="20"/>
        <w:szCs w:val="20"/>
      </w:rPr>
      <w:t xml:space="preserve"> </w:t>
    </w:r>
    <w:r w:rsidR="00270D7A">
      <w:rPr>
        <w:rFonts w:ascii="Times New Roman" w:hAnsi="Times New Roman"/>
        <w:sz w:val="20"/>
        <w:szCs w:val="20"/>
      </w:rPr>
      <w:t xml:space="preserve">TO </w:t>
    </w:r>
  </w:p>
  <w:p w14:paraId="33431986" w14:textId="10C26B78" w:rsidR="00072583" w:rsidRPr="00F821BD" w:rsidRDefault="00270D7A" w:rsidP="00070442">
    <w:pPr>
      <w:pStyle w:val="Footer"/>
      <w:rPr>
        <w:rFonts w:ascii="Times New Roman" w:hAnsi="Times New Roman"/>
        <w:sz w:val="20"/>
        <w:szCs w:val="20"/>
      </w:rPr>
    </w:pPr>
    <w:r>
      <w:rPr>
        <w:rFonts w:ascii="Times New Roman" w:hAnsi="Times New Roman"/>
        <w:sz w:val="20"/>
        <w:szCs w:val="20"/>
      </w:rPr>
      <w:t xml:space="preserve">MOTION FOR CLARIFICATION </w:t>
    </w:r>
    <w:r w:rsidR="00072583">
      <w:rPr>
        <w:rFonts w:ascii="Times New Roman" w:hAnsi="Times New Roman"/>
        <w:sz w:val="20"/>
        <w:szCs w:val="20"/>
      </w:rPr>
      <w:t xml:space="preserve">- </w:t>
    </w:r>
    <w:r w:rsidR="00072583" w:rsidRPr="007844A5">
      <w:rPr>
        <w:rStyle w:val="PageNumber"/>
        <w:rFonts w:ascii="Times New Roman" w:hAnsi="Times New Roman"/>
        <w:sz w:val="20"/>
        <w:szCs w:val="20"/>
      </w:rPr>
      <w:fldChar w:fldCharType="begin"/>
    </w:r>
    <w:r w:rsidR="00072583" w:rsidRPr="007844A5">
      <w:rPr>
        <w:rStyle w:val="PageNumber"/>
        <w:rFonts w:ascii="Times New Roman" w:hAnsi="Times New Roman"/>
        <w:sz w:val="20"/>
        <w:szCs w:val="20"/>
      </w:rPr>
      <w:instrText xml:space="preserve"> PAGE </w:instrText>
    </w:r>
    <w:r w:rsidR="00072583" w:rsidRPr="007844A5">
      <w:rPr>
        <w:rStyle w:val="PageNumber"/>
        <w:rFonts w:ascii="Times New Roman" w:hAnsi="Times New Roman"/>
        <w:sz w:val="20"/>
        <w:szCs w:val="20"/>
      </w:rPr>
      <w:fldChar w:fldCharType="separate"/>
    </w:r>
    <w:r w:rsidR="00B7367C">
      <w:rPr>
        <w:rStyle w:val="PageNumber"/>
        <w:rFonts w:ascii="Times New Roman" w:hAnsi="Times New Roman"/>
        <w:noProof/>
        <w:sz w:val="20"/>
        <w:szCs w:val="20"/>
      </w:rPr>
      <w:t>1</w:t>
    </w:r>
    <w:r w:rsidR="00072583" w:rsidRPr="007844A5">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49624" w14:textId="77777777" w:rsidR="006B0836" w:rsidRDefault="006B0836">
      <w:r>
        <w:separator/>
      </w:r>
    </w:p>
  </w:footnote>
  <w:footnote w:type="continuationSeparator" w:id="0">
    <w:p w14:paraId="1A9D53F4" w14:textId="77777777" w:rsidR="006B0836" w:rsidRDefault="006B0836">
      <w:r>
        <w:continuationSeparator/>
      </w:r>
    </w:p>
  </w:footnote>
  <w:footnote w:id="1">
    <w:p w14:paraId="5333267E" w14:textId="5DE18A69" w:rsidR="00CD0661" w:rsidRDefault="00CD0661">
      <w:pPr>
        <w:pStyle w:val="FootnoteText"/>
      </w:pPr>
      <w:r>
        <w:rPr>
          <w:rStyle w:val="FootnoteReference"/>
        </w:rPr>
        <w:footnoteRef/>
      </w:r>
      <w:r>
        <w:t xml:space="preserve"> Order 12, 92, ¶ 306.</w:t>
      </w:r>
      <w:r w:rsidR="005F6860">
        <w:t xml:space="preserve"> See also Order 12 at 7, ¶ 8; at 40, ¶¶ 114 and 116.</w:t>
      </w:r>
    </w:p>
  </w:footnote>
  <w:footnote w:id="2">
    <w:p w14:paraId="469B86BA" w14:textId="6E1C20D8" w:rsidR="00662501" w:rsidRDefault="00662501">
      <w:pPr>
        <w:pStyle w:val="FootnoteText"/>
      </w:pPr>
      <w:r>
        <w:rPr>
          <w:rStyle w:val="FootnoteReference"/>
        </w:rPr>
        <w:footnoteRef/>
      </w:r>
      <w:r>
        <w:t xml:space="preserve"> </w:t>
      </w:r>
      <w:r w:rsidR="0034096C">
        <w:t>Motion,</w:t>
      </w:r>
      <w:r>
        <w:t xml:space="preserve"> ¶ 9.</w:t>
      </w:r>
    </w:p>
  </w:footnote>
  <w:footnote w:id="3">
    <w:p w14:paraId="6A64720B" w14:textId="4824F0BC" w:rsidR="0034096C" w:rsidRPr="0034096C" w:rsidRDefault="0034096C">
      <w:pPr>
        <w:pStyle w:val="FootnoteText"/>
      </w:pPr>
      <w:r>
        <w:rPr>
          <w:rStyle w:val="FootnoteReference"/>
        </w:rPr>
        <w:footnoteRef/>
      </w:r>
      <w:r>
        <w:t xml:space="preserve"> </w:t>
      </w:r>
      <w:r>
        <w:rPr>
          <w:i/>
        </w:rPr>
        <w:t xml:space="preserve">See </w:t>
      </w:r>
      <w:r>
        <w:t>Motion at ¶¶ 7 and 9.</w:t>
      </w:r>
    </w:p>
  </w:footnote>
  <w:footnote w:id="4">
    <w:p w14:paraId="73496241" w14:textId="0534D215" w:rsidR="00EC7AB8" w:rsidRPr="00EC7AB8" w:rsidRDefault="00EC7AB8">
      <w:pPr>
        <w:pStyle w:val="FootnoteText"/>
      </w:pPr>
      <w:r>
        <w:rPr>
          <w:rStyle w:val="FootnoteReference"/>
        </w:rPr>
        <w:footnoteRef/>
      </w:r>
      <w:r>
        <w:t xml:space="preserve"> </w:t>
      </w:r>
      <w:r>
        <w:rPr>
          <w:i/>
        </w:rPr>
        <w:t xml:space="preserve">See </w:t>
      </w:r>
      <w:r>
        <w:t>Exh. No. JBT-16.</w:t>
      </w:r>
    </w:p>
  </w:footnote>
  <w:footnote w:id="5">
    <w:p w14:paraId="0F67900F" w14:textId="0DA1A095" w:rsidR="00C74730" w:rsidRDefault="00C74730">
      <w:pPr>
        <w:pStyle w:val="FootnoteText"/>
      </w:pPr>
      <w:r>
        <w:rPr>
          <w:rStyle w:val="FootnoteReference"/>
        </w:rPr>
        <w:footnoteRef/>
      </w:r>
      <w:r>
        <w:t xml:space="preserve"> T</w:t>
      </w:r>
      <w:r w:rsidR="008E33A1">
        <w:t>witchell, Exh. No. JBT-1T 54:6 - 55:Table 1 Staff’s Disallowance Calculation</w:t>
      </w:r>
      <w:r>
        <w:t>.</w:t>
      </w:r>
      <w:r w:rsidR="00270D7A">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81F"/>
    <w:multiLevelType w:val="hybridMultilevel"/>
    <w:tmpl w:val="023862A4"/>
    <w:lvl w:ilvl="0" w:tplc="772067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BA4CBD"/>
    <w:multiLevelType w:val="hybridMultilevel"/>
    <w:tmpl w:val="CC5CA188"/>
    <w:lvl w:ilvl="0" w:tplc="C56655F4">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nsid w:val="1FD725A1"/>
    <w:multiLevelType w:val="hybridMultilevel"/>
    <w:tmpl w:val="BA1AE80E"/>
    <w:lvl w:ilvl="0" w:tplc="20301EB6">
      <w:start w:val="1"/>
      <w:numFmt w:val="decimal"/>
      <w:lvlText w:val="%1"/>
      <w:lvlJc w:val="left"/>
      <w:pPr>
        <w:tabs>
          <w:tab w:val="num" w:pos="720"/>
        </w:tabs>
        <w:ind w:left="720" w:hanging="144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F0CCC"/>
    <w:multiLevelType w:val="hybridMultilevel"/>
    <w:tmpl w:val="02467078"/>
    <w:lvl w:ilvl="0" w:tplc="3BFA66FC">
      <w:start w:val="1"/>
      <w:numFmt w:val="decimal"/>
      <w:pStyle w:val="Style2"/>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nsid w:val="40F07C60"/>
    <w:multiLevelType w:val="hybridMultilevel"/>
    <w:tmpl w:val="68EED976"/>
    <w:lvl w:ilvl="0" w:tplc="1D9C3BE8">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6F0673"/>
    <w:multiLevelType w:val="hybridMultilevel"/>
    <w:tmpl w:val="136A502A"/>
    <w:lvl w:ilvl="0" w:tplc="E84A0B7A">
      <w:start w:val="1"/>
      <w:numFmt w:val="decimal"/>
      <w:lvlText w:val="%1"/>
      <w:lvlJc w:val="left"/>
      <w:pPr>
        <w:ind w:left="1440" w:hanging="360"/>
      </w:pPr>
      <w:rPr>
        <w:rFonts w:ascii="Times New Roman" w:hAnsi="Times New Roman" w:hint="default"/>
        <w:b w:val="0"/>
        <w:i/>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4F70C5"/>
    <w:multiLevelType w:val="hybridMultilevel"/>
    <w:tmpl w:val="3FE0C2CE"/>
    <w:lvl w:ilvl="0" w:tplc="A876221E">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nsid w:val="582C5096"/>
    <w:multiLevelType w:val="hybridMultilevel"/>
    <w:tmpl w:val="F70ACF62"/>
    <w:lvl w:ilvl="0" w:tplc="8CA07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70AD3"/>
    <w:multiLevelType w:val="hybridMultilevel"/>
    <w:tmpl w:val="E98E70DC"/>
    <w:lvl w:ilvl="0" w:tplc="6CC43AD2">
      <w:start w:val="1"/>
      <w:numFmt w:val="upperRoman"/>
      <w:lvlText w:val="%1."/>
      <w:lvlJc w:val="left"/>
      <w:pPr>
        <w:ind w:left="1080" w:hanging="720"/>
      </w:pPr>
      <w:rPr>
        <w:rFonts w:ascii="Palatino Linotype" w:hAnsi="Palatino Linotype"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07C13"/>
    <w:multiLevelType w:val="hybridMultilevel"/>
    <w:tmpl w:val="84565FCE"/>
    <w:lvl w:ilvl="0" w:tplc="2902A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42CF1"/>
    <w:multiLevelType w:val="hybridMultilevel"/>
    <w:tmpl w:val="5D1C58FA"/>
    <w:lvl w:ilvl="0" w:tplc="C7A6C962">
      <w:start w:val="1"/>
      <w:numFmt w:val="upperRoman"/>
      <w:lvlText w:val="%1."/>
      <w:lvlJc w:val="left"/>
      <w:pPr>
        <w:ind w:left="1142" w:hanging="720"/>
      </w:pPr>
      <w:rPr>
        <w:rFonts w:ascii="Palatino Linotype" w:hAnsi="Palatino Linotype"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nsid w:val="6E3B0F71"/>
    <w:multiLevelType w:val="hybridMultilevel"/>
    <w:tmpl w:val="F17852C4"/>
    <w:lvl w:ilvl="0" w:tplc="2E0E3E22">
      <w:start w:val="1"/>
      <w:numFmt w:val="upperRoman"/>
      <w:lvlText w:val="%1."/>
      <w:lvlJc w:val="left"/>
      <w:pPr>
        <w:ind w:left="1080" w:hanging="72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7"/>
  </w:num>
  <w:num w:numId="6">
    <w:abstractNumId w:val="5"/>
  </w:num>
  <w:num w:numId="7">
    <w:abstractNumId w:val="9"/>
  </w:num>
  <w:num w:numId="8">
    <w:abstractNumId w:val="8"/>
  </w:num>
  <w:num w:numId="9">
    <w:abstractNumId w:val="6"/>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efaultTabStop w:val="720"/>
  <w:drawingGridHorizontalSpacing w:val="8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2B"/>
    <w:rsid w:val="00007FAE"/>
    <w:rsid w:val="00031DE8"/>
    <w:rsid w:val="000350C9"/>
    <w:rsid w:val="00037972"/>
    <w:rsid w:val="00044BD6"/>
    <w:rsid w:val="00056144"/>
    <w:rsid w:val="00062BEC"/>
    <w:rsid w:val="00062E5A"/>
    <w:rsid w:val="00063637"/>
    <w:rsid w:val="00066706"/>
    <w:rsid w:val="00067CA2"/>
    <w:rsid w:val="00070442"/>
    <w:rsid w:val="0007114B"/>
    <w:rsid w:val="00072583"/>
    <w:rsid w:val="00074ED5"/>
    <w:rsid w:val="00080CB3"/>
    <w:rsid w:val="00090776"/>
    <w:rsid w:val="00092718"/>
    <w:rsid w:val="000B2D53"/>
    <w:rsid w:val="000C084B"/>
    <w:rsid w:val="000D09DF"/>
    <w:rsid w:val="000E4BB5"/>
    <w:rsid w:val="000F7FE2"/>
    <w:rsid w:val="001242E1"/>
    <w:rsid w:val="00132F0E"/>
    <w:rsid w:val="001401C8"/>
    <w:rsid w:val="001528A8"/>
    <w:rsid w:val="001713F9"/>
    <w:rsid w:val="00172DC3"/>
    <w:rsid w:val="00173E6D"/>
    <w:rsid w:val="001823E0"/>
    <w:rsid w:val="00183DCA"/>
    <w:rsid w:val="001914CD"/>
    <w:rsid w:val="001C70C6"/>
    <w:rsid w:val="001D50C1"/>
    <w:rsid w:val="00205754"/>
    <w:rsid w:val="0023029F"/>
    <w:rsid w:val="00234376"/>
    <w:rsid w:val="00236AC2"/>
    <w:rsid w:val="00236FE4"/>
    <w:rsid w:val="00246472"/>
    <w:rsid w:val="00251F5D"/>
    <w:rsid w:val="00263FE9"/>
    <w:rsid w:val="00265954"/>
    <w:rsid w:val="002702A8"/>
    <w:rsid w:val="00270586"/>
    <w:rsid w:val="00270D7A"/>
    <w:rsid w:val="002833E6"/>
    <w:rsid w:val="00283F32"/>
    <w:rsid w:val="00290ECA"/>
    <w:rsid w:val="00291BA1"/>
    <w:rsid w:val="002B29F9"/>
    <w:rsid w:val="002B38E7"/>
    <w:rsid w:val="002B655B"/>
    <w:rsid w:val="002C487F"/>
    <w:rsid w:val="002C5E7A"/>
    <w:rsid w:val="002C6552"/>
    <w:rsid w:val="002E08A6"/>
    <w:rsid w:val="002E4769"/>
    <w:rsid w:val="00300223"/>
    <w:rsid w:val="00310410"/>
    <w:rsid w:val="00310BCD"/>
    <w:rsid w:val="003215A3"/>
    <w:rsid w:val="00335B66"/>
    <w:rsid w:val="0034096C"/>
    <w:rsid w:val="003472B5"/>
    <w:rsid w:val="003542B4"/>
    <w:rsid w:val="00356B22"/>
    <w:rsid w:val="00361862"/>
    <w:rsid w:val="00361F3E"/>
    <w:rsid w:val="00363EE8"/>
    <w:rsid w:val="0036449B"/>
    <w:rsid w:val="00365985"/>
    <w:rsid w:val="003752B7"/>
    <w:rsid w:val="003867F2"/>
    <w:rsid w:val="00387EA7"/>
    <w:rsid w:val="0039112C"/>
    <w:rsid w:val="003A16A5"/>
    <w:rsid w:val="003A6535"/>
    <w:rsid w:val="003A77E3"/>
    <w:rsid w:val="003B3AD0"/>
    <w:rsid w:val="003C608D"/>
    <w:rsid w:val="003D0CF1"/>
    <w:rsid w:val="003E3D4D"/>
    <w:rsid w:val="003E4D7C"/>
    <w:rsid w:val="003F0AB4"/>
    <w:rsid w:val="003F2554"/>
    <w:rsid w:val="003F6EB5"/>
    <w:rsid w:val="004030D1"/>
    <w:rsid w:val="004217A4"/>
    <w:rsid w:val="00422068"/>
    <w:rsid w:val="00423A01"/>
    <w:rsid w:val="00445C3A"/>
    <w:rsid w:val="00470F80"/>
    <w:rsid w:val="004729F6"/>
    <w:rsid w:val="00495E3B"/>
    <w:rsid w:val="00496AED"/>
    <w:rsid w:val="004A105F"/>
    <w:rsid w:val="004A3D93"/>
    <w:rsid w:val="004C5943"/>
    <w:rsid w:val="004D7839"/>
    <w:rsid w:val="004E674B"/>
    <w:rsid w:val="005350F0"/>
    <w:rsid w:val="00550CC2"/>
    <w:rsid w:val="00551E0A"/>
    <w:rsid w:val="00554352"/>
    <w:rsid w:val="005635AB"/>
    <w:rsid w:val="005650BA"/>
    <w:rsid w:val="005766E6"/>
    <w:rsid w:val="005769D7"/>
    <w:rsid w:val="00576F32"/>
    <w:rsid w:val="0058278A"/>
    <w:rsid w:val="00584380"/>
    <w:rsid w:val="00596EB5"/>
    <w:rsid w:val="005A640B"/>
    <w:rsid w:val="005B3F0D"/>
    <w:rsid w:val="005B5541"/>
    <w:rsid w:val="005B6B38"/>
    <w:rsid w:val="005B76E1"/>
    <w:rsid w:val="005D54B9"/>
    <w:rsid w:val="005E668D"/>
    <w:rsid w:val="005F6860"/>
    <w:rsid w:val="00610252"/>
    <w:rsid w:val="00614D53"/>
    <w:rsid w:val="00631572"/>
    <w:rsid w:val="0063761F"/>
    <w:rsid w:val="00661D34"/>
    <w:rsid w:val="00662501"/>
    <w:rsid w:val="00665E4C"/>
    <w:rsid w:val="00673940"/>
    <w:rsid w:val="006911A3"/>
    <w:rsid w:val="00695741"/>
    <w:rsid w:val="006A0DF4"/>
    <w:rsid w:val="006A2054"/>
    <w:rsid w:val="006B0836"/>
    <w:rsid w:val="006B2594"/>
    <w:rsid w:val="006C71FC"/>
    <w:rsid w:val="006D191C"/>
    <w:rsid w:val="006F4161"/>
    <w:rsid w:val="00707FA3"/>
    <w:rsid w:val="00714EAD"/>
    <w:rsid w:val="007176A7"/>
    <w:rsid w:val="00723342"/>
    <w:rsid w:val="0073054F"/>
    <w:rsid w:val="007466EE"/>
    <w:rsid w:val="0075161A"/>
    <w:rsid w:val="00752860"/>
    <w:rsid w:val="00756D78"/>
    <w:rsid w:val="00757DF3"/>
    <w:rsid w:val="007844A5"/>
    <w:rsid w:val="007A3957"/>
    <w:rsid w:val="007B3B20"/>
    <w:rsid w:val="007B4430"/>
    <w:rsid w:val="007B5F34"/>
    <w:rsid w:val="007C308F"/>
    <w:rsid w:val="007D1C27"/>
    <w:rsid w:val="007F6E45"/>
    <w:rsid w:val="007F72CF"/>
    <w:rsid w:val="00801B0F"/>
    <w:rsid w:val="00803B53"/>
    <w:rsid w:val="0080481A"/>
    <w:rsid w:val="00806766"/>
    <w:rsid w:val="00812FB8"/>
    <w:rsid w:val="008621F4"/>
    <w:rsid w:val="00863D76"/>
    <w:rsid w:val="00864726"/>
    <w:rsid w:val="00864ECE"/>
    <w:rsid w:val="00883714"/>
    <w:rsid w:val="008904C5"/>
    <w:rsid w:val="008A4CAA"/>
    <w:rsid w:val="008B2684"/>
    <w:rsid w:val="008C137A"/>
    <w:rsid w:val="008D26FA"/>
    <w:rsid w:val="008E33A1"/>
    <w:rsid w:val="008E7C79"/>
    <w:rsid w:val="008F0B02"/>
    <w:rsid w:val="00901F94"/>
    <w:rsid w:val="00904355"/>
    <w:rsid w:val="0090750B"/>
    <w:rsid w:val="009116EA"/>
    <w:rsid w:val="00913767"/>
    <w:rsid w:val="00924CD0"/>
    <w:rsid w:val="0093328C"/>
    <w:rsid w:val="00955E58"/>
    <w:rsid w:val="0097063C"/>
    <w:rsid w:val="00973DFC"/>
    <w:rsid w:val="0097402C"/>
    <w:rsid w:val="009773EF"/>
    <w:rsid w:val="009A038A"/>
    <w:rsid w:val="009B0227"/>
    <w:rsid w:val="009E06F4"/>
    <w:rsid w:val="009E2FAE"/>
    <w:rsid w:val="009E7363"/>
    <w:rsid w:val="009F13D7"/>
    <w:rsid w:val="00A03D23"/>
    <w:rsid w:val="00A11F1E"/>
    <w:rsid w:val="00A237FE"/>
    <w:rsid w:val="00A25D3F"/>
    <w:rsid w:val="00A45542"/>
    <w:rsid w:val="00A467AD"/>
    <w:rsid w:val="00A5553C"/>
    <w:rsid w:val="00A61CD5"/>
    <w:rsid w:val="00A661F2"/>
    <w:rsid w:val="00A67601"/>
    <w:rsid w:val="00A8045C"/>
    <w:rsid w:val="00A820C5"/>
    <w:rsid w:val="00A87DDD"/>
    <w:rsid w:val="00AA637A"/>
    <w:rsid w:val="00AB1FBC"/>
    <w:rsid w:val="00AB2756"/>
    <w:rsid w:val="00AB327F"/>
    <w:rsid w:val="00AB616A"/>
    <w:rsid w:val="00AC0106"/>
    <w:rsid w:val="00B15F39"/>
    <w:rsid w:val="00B22AB7"/>
    <w:rsid w:val="00B4126B"/>
    <w:rsid w:val="00B56607"/>
    <w:rsid w:val="00B57EAA"/>
    <w:rsid w:val="00B7367C"/>
    <w:rsid w:val="00B8075D"/>
    <w:rsid w:val="00B80C7E"/>
    <w:rsid w:val="00BA7470"/>
    <w:rsid w:val="00BB7C89"/>
    <w:rsid w:val="00BC2DC3"/>
    <w:rsid w:val="00BD40CB"/>
    <w:rsid w:val="00BD5DA6"/>
    <w:rsid w:val="00BD63EE"/>
    <w:rsid w:val="00BF38D6"/>
    <w:rsid w:val="00C0360F"/>
    <w:rsid w:val="00C16953"/>
    <w:rsid w:val="00C20D9D"/>
    <w:rsid w:val="00C5017F"/>
    <w:rsid w:val="00C61BE7"/>
    <w:rsid w:val="00C7251D"/>
    <w:rsid w:val="00C74730"/>
    <w:rsid w:val="00C8352E"/>
    <w:rsid w:val="00C85498"/>
    <w:rsid w:val="00C951C9"/>
    <w:rsid w:val="00CA3AC3"/>
    <w:rsid w:val="00CB3CB4"/>
    <w:rsid w:val="00CD0661"/>
    <w:rsid w:val="00CD7BF5"/>
    <w:rsid w:val="00CE6C92"/>
    <w:rsid w:val="00CF7DC0"/>
    <w:rsid w:val="00D019D1"/>
    <w:rsid w:val="00D12221"/>
    <w:rsid w:val="00D346D4"/>
    <w:rsid w:val="00D42633"/>
    <w:rsid w:val="00D45416"/>
    <w:rsid w:val="00D46698"/>
    <w:rsid w:val="00D5660C"/>
    <w:rsid w:val="00D75157"/>
    <w:rsid w:val="00D8378C"/>
    <w:rsid w:val="00D87D32"/>
    <w:rsid w:val="00DB2ADA"/>
    <w:rsid w:val="00DC6162"/>
    <w:rsid w:val="00DD6A51"/>
    <w:rsid w:val="00DE5C2A"/>
    <w:rsid w:val="00DF0AE7"/>
    <w:rsid w:val="00DF0F57"/>
    <w:rsid w:val="00DF24F6"/>
    <w:rsid w:val="00E1240F"/>
    <w:rsid w:val="00E16B30"/>
    <w:rsid w:val="00E22586"/>
    <w:rsid w:val="00E3232B"/>
    <w:rsid w:val="00E470A3"/>
    <w:rsid w:val="00E5419F"/>
    <w:rsid w:val="00E64130"/>
    <w:rsid w:val="00E831F5"/>
    <w:rsid w:val="00E9132A"/>
    <w:rsid w:val="00E947FD"/>
    <w:rsid w:val="00EA317C"/>
    <w:rsid w:val="00EB0C74"/>
    <w:rsid w:val="00EB18DB"/>
    <w:rsid w:val="00EC1A7F"/>
    <w:rsid w:val="00EC44C8"/>
    <w:rsid w:val="00EC7AB8"/>
    <w:rsid w:val="00ED240D"/>
    <w:rsid w:val="00F22EA4"/>
    <w:rsid w:val="00F3330E"/>
    <w:rsid w:val="00F431BC"/>
    <w:rsid w:val="00F43A2D"/>
    <w:rsid w:val="00F55404"/>
    <w:rsid w:val="00F573AD"/>
    <w:rsid w:val="00F7319D"/>
    <w:rsid w:val="00F80B0E"/>
    <w:rsid w:val="00F821BD"/>
    <w:rsid w:val="00F91287"/>
    <w:rsid w:val="00F926FF"/>
    <w:rsid w:val="00F96684"/>
    <w:rsid w:val="00FA2133"/>
    <w:rsid w:val="00FB6AB0"/>
    <w:rsid w:val="00FC32AD"/>
    <w:rsid w:val="00FD1A27"/>
    <w:rsid w:val="00FD6B99"/>
    <w:rsid w:val="00FE6EC1"/>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7E0B66EE"/>
  <w15:docId w15:val="{0EA42B49-62C9-4F46-8CC6-36A43DDA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74"/>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pPr>
      <w:ind w:left="686"/>
    </w:pPr>
  </w:style>
  <w:style w:type="paragraph" w:styleId="Header">
    <w:name w:val="header"/>
    <w:basedOn w:val="Normal"/>
    <w:link w:val="HeaderChar"/>
    <w:pPr>
      <w:tabs>
        <w:tab w:val="center" w:pos="4320"/>
        <w:tab w:val="right" w:pos="8640"/>
      </w:tabs>
    </w:pPr>
  </w:style>
  <w:style w:type="paragraph" w:customStyle="1" w:styleId="Style1">
    <w:name w:val="Style1"/>
    <w:basedOn w:val="Normal"/>
    <w:next w:val="Normal"/>
    <w:autoRedefine/>
    <w:pPr>
      <w:ind w:left="720" w:right="720"/>
    </w:pPr>
    <w:rPr>
      <w:bCs/>
    </w:rPr>
  </w:style>
  <w:style w:type="paragraph" w:customStyle="1" w:styleId="Style2">
    <w:name w:val="Style2"/>
    <w:basedOn w:val="List"/>
    <w:pPr>
      <w:numPr>
        <w:numId w:val="1"/>
      </w:numPr>
    </w:pPr>
  </w:style>
  <w:style w:type="paragraph" w:styleId="List">
    <w:name w:val="List"/>
    <w:basedOn w:val="Normal"/>
    <w:pPr>
      <w:ind w:left="360" w:hanging="360"/>
    </w:pPr>
  </w:style>
  <w:style w:type="paragraph" w:customStyle="1" w:styleId="Testimonyquote">
    <w:name w:val="Testimony quote"/>
    <w:basedOn w:val="Style1"/>
    <w:pPr>
      <w:ind w:left="1440" w:hanging="720"/>
    </w:pPr>
    <w:rPr>
      <w:bCs w:val="0"/>
      <w:sz w:val="26"/>
      <w:szCs w:val="20"/>
    </w:rPr>
  </w:style>
  <w:style w:type="paragraph" w:customStyle="1" w:styleId="Testimontquote2">
    <w:name w:val="Testimont quote 2"/>
    <w:basedOn w:val="Testimonyquote"/>
    <w:pPr>
      <w:ind w:firstLine="0"/>
    </w:pPr>
  </w:style>
  <w:style w:type="paragraph" w:customStyle="1" w:styleId="DoubleIndent">
    <w:name w:val="Double Indent"/>
    <w:basedOn w:val="Normal"/>
    <w:pPr>
      <w:ind w:left="720" w:right="720"/>
    </w:pPr>
    <w:rPr>
      <w:color w:val="000000"/>
      <w:szCs w:val="20"/>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autoSpaceDE w:val="0"/>
      <w:autoSpaceDN w:val="0"/>
      <w:adjustRightInd w:val="0"/>
      <w:ind w:left="1440" w:hanging="1440"/>
      <w:jc w:val="both"/>
    </w:pPr>
    <w:rPr>
      <w:rFonts w:ascii="CG Times" w:hAnsi="CG Times"/>
    </w:rPr>
  </w:style>
  <w:style w:type="character" w:styleId="PageNumber">
    <w:name w:val="page number"/>
    <w:basedOn w:val="DefaultParagraphFont"/>
    <w:rsid w:val="007844A5"/>
  </w:style>
  <w:style w:type="character" w:styleId="Hyperlink">
    <w:name w:val="Hyperlink"/>
    <w:rsid w:val="003215A3"/>
    <w:rPr>
      <w:color w:val="0000FF"/>
      <w:u w:val="single"/>
    </w:rPr>
  </w:style>
  <w:style w:type="character" w:customStyle="1" w:styleId="BodyTextIndent2Char">
    <w:name w:val="Body Text Indent 2 Char"/>
    <w:link w:val="BodyTextIndent2"/>
    <w:rsid w:val="003215A3"/>
    <w:rPr>
      <w:rFonts w:ascii="Palatino Linotype" w:hAnsi="Palatino Linotype"/>
      <w:sz w:val="24"/>
      <w:szCs w:val="24"/>
    </w:rPr>
  </w:style>
  <w:style w:type="paragraph" w:styleId="BalloonText">
    <w:name w:val="Balloon Text"/>
    <w:basedOn w:val="Normal"/>
    <w:link w:val="BalloonTextChar"/>
    <w:semiHidden/>
    <w:unhideWhenUsed/>
    <w:rsid w:val="00551E0A"/>
    <w:rPr>
      <w:rFonts w:ascii="Segoe UI" w:hAnsi="Segoe UI" w:cs="Segoe UI"/>
      <w:sz w:val="18"/>
      <w:szCs w:val="18"/>
    </w:rPr>
  </w:style>
  <w:style w:type="character" w:customStyle="1" w:styleId="BalloonTextChar">
    <w:name w:val="Balloon Text Char"/>
    <w:basedOn w:val="DefaultParagraphFont"/>
    <w:link w:val="BalloonText"/>
    <w:semiHidden/>
    <w:rsid w:val="00551E0A"/>
    <w:rPr>
      <w:rFonts w:ascii="Segoe UI" w:hAnsi="Segoe UI" w:cs="Segoe UI"/>
      <w:sz w:val="18"/>
      <w:szCs w:val="18"/>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f,ft Char"/>
    <w:basedOn w:val="Normal"/>
    <w:link w:val="FootnoteTextChar"/>
    <w:uiPriority w:val="99"/>
    <w:qFormat/>
    <w:rsid w:val="007B4430"/>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rsid w:val="007B4430"/>
  </w:style>
  <w:style w:type="character" w:styleId="FootnoteReference">
    <w:name w:val="footnote reference"/>
    <w:aliases w:val="Style 3,o,fr,Style 13,Style 12,Style 15,Style 17,Style 9,o1,fr1,o2,fr2,o3,fr3,Style 18,(NECG) Footnote Reference,Style 20,Style 7,Style 8,Style 19,Style 28,Style 11,Style 16,Styl,Style 6,Style 24,Style 30,Style 39"/>
    <w:uiPriority w:val="99"/>
    <w:qFormat/>
    <w:rsid w:val="007B4430"/>
    <w:rPr>
      <w:vertAlign w:val="superscript"/>
    </w:rPr>
  </w:style>
  <w:style w:type="paragraph" w:customStyle="1" w:styleId="Answer">
    <w:name w:val="Answer"/>
    <w:basedOn w:val="Normal"/>
    <w:link w:val="AnswerChar1"/>
    <w:qFormat/>
    <w:rsid w:val="003F6EB5"/>
    <w:pPr>
      <w:spacing w:line="480" w:lineRule="auto"/>
      <w:ind w:left="720" w:hanging="720"/>
      <w:jc w:val="both"/>
    </w:pPr>
    <w:rPr>
      <w:rFonts w:ascii="Times New Roman" w:hAnsi="Times New Roman"/>
    </w:rPr>
  </w:style>
  <w:style w:type="character" w:customStyle="1" w:styleId="AnswerChar1">
    <w:name w:val="Answer Char1"/>
    <w:basedOn w:val="DefaultParagraphFont"/>
    <w:link w:val="Answer"/>
    <w:rsid w:val="003F6EB5"/>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uiPriority w:val="99"/>
    <w:rsid w:val="003F6EB5"/>
    <w:rPr>
      <w:sz w:val="20"/>
      <w:szCs w:val="20"/>
    </w:rPr>
  </w:style>
  <w:style w:type="paragraph" w:customStyle="1" w:styleId="Default">
    <w:name w:val="Default"/>
    <w:rsid w:val="003F6EB5"/>
    <w:pPr>
      <w:autoSpaceDE w:val="0"/>
      <w:autoSpaceDN w:val="0"/>
      <w:adjustRightInd w:val="0"/>
    </w:pPr>
    <w:rPr>
      <w:color w:val="000000"/>
      <w:sz w:val="24"/>
      <w:szCs w:val="24"/>
    </w:rPr>
  </w:style>
  <w:style w:type="character" w:customStyle="1" w:styleId="HeaderChar">
    <w:name w:val="Header Char"/>
    <w:basedOn w:val="DefaultParagraphFont"/>
    <w:link w:val="Header"/>
    <w:rsid w:val="003F6EB5"/>
    <w:rPr>
      <w:rFonts w:ascii="Palatino Linotype" w:hAnsi="Palatino Linotype"/>
      <w:sz w:val="24"/>
      <w:szCs w:val="24"/>
    </w:rPr>
  </w:style>
  <w:style w:type="paragraph" w:customStyle="1" w:styleId="Question">
    <w:name w:val="Question"/>
    <w:basedOn w:val="Normal"/>
    <w:link w:val="QuestionChar"/>
    <w:rsid w:val="004A3D93"/>
    <w:pPr>
      <w:spacing w:line="480" w:lineRule="auto"/>
      <w:ind w:left="720" w:hanging="720"/>
      <w:jc w:val="both"/>
    </w:pPr>
    <w:rPr>
      <w:rFonts w:ascii="Times New Roman" w:hAnsi="Times New Roman"/>
      <w:b/>
      <w:bCs/>
      <w:szCs w:val="20"/>
    </w:rPr>
  </w:style>
  <w:style w:type="character" w:customStyle="1" w:styleId="QuestionChar">
    <w:name w:val="Question Char"/>
    <w:basedOn w:val="DefaultParagraphFont"/>
    <w:link w:val="Question"/>
    <w:rsid w:val="004A3D93"/>
    <w:rPr>
      <w:b/>
      <w:bCs/>
      <w:sz w:val="24"/>
    </w:rPr>
  </w:style>
  <w:style w:type="paragraph" w:styleId="ListParagraph">
    <w:name w:val="List Paragraph"/>
    <w:basedOn w:val="Normal"/>
    <w:uiPriority w:val="34"/>
    <w:qFormat/>
    <w:rsid w:val="00EB0C74"/>
    <w:pPr>
      <w:ind w:left="720"/>
      <w:contextualSpacing/>
    </w:pPr>
  </w:style>
  <w:style w:type="paragraph" w:styleId="BodyText">
    <w:name w:val="Body Text"/>
    <w:basedOn w:val="Normal"/>
    <w:link w:val="BodyTextChar"/>
    <w:semiHidden/>
    <w:unhideWhenUsed/>
    <w:rsid w:val="00924CD0"/>
    <w:pPr>
      <w:spacing w:after="120"/>
    </w:pPr>
  </w:style>
  <w:style w:type="character" w:customStyle="1" w:styleId="BodyTextChar">
    <w:name w:val="Body Text Char"/>
    <w:basedOn w:val="DefaultParagraphFont"/>
    <w:link w:val="BodyText"/>
    <w:semiHidden/>
    <w:rsid w:val="00924CD0"/>
    <w:rPr>
      <w:rFonts w:ascii="Palatino Linotype" w:hAnsi="Palatino Linotype"/>
      <w:sz w:val="24"/>
      <w:szCs w:val="24"/>
    </w:rPr>
  </w:style>
  <w:style w:type="character" w:styleId="CommentReference">
    <w:name w:val="annotation reference"/>
    <w:basedOn w:val="DefaultParagraphFont"/>
    <w:semiHidden/>
    <w:unhideWhenUsed/>
    <w:rsid w:val="008F0B02"/>
    <w:rPr>
      <w:sz w:val="16"/>
      <w:szCs w:val="16"/>
    </w:rPr>
  </w:style>
  <w:style w:type="paragraph" w:styleId="CommentText">
    <w:name w:val="annotation text"/>
    <w:basedOn w:val="Normal"/>
    <w:link w:val="CommentTextChar"/>
    <w:semiHidden/>
    <w:unhideWhenUsed/>
    <w:rsid w:val="008F0B02"/>
    <w:rPr>
      <w:sz w:val="20"/>
      <w:szCs w:val="20"/>
    </w:rPr>
  </w:style>
  <w:style w:type="character" w:customStyle="1" w:styleId="CommentTextChar">
    <w:name w:val="Comment Text Char"/>
    <w:basedOn w:val="DefaultParagraphFont"/>
    <w:link w:val="CommentText"/>
    <w:semiHidden/>
    <w:rsid w:val="008F0B02"/>
    <w:rPr>
      <w:rFonts w:ascii="Palatino Linotype" w:hAnsi="Palatino Linotype"/>
    </w:rPr>
  </w:style>
  <w:style w:type="paragraph" w:styleId="CommentSubject">
    <w:name w:val="annotation subject"/>
    <w:basedOn w:val="CommentText"/>
    <w:next w:val="CommentText"/>
    <w:link w:val="CommentSubjectChar"/>
    <w:semiHidden/>
    <w:unhideWhenUsed/>
    <w:rsid w:val="008F0B02"/>
    <w:rPr>
      <w:b/>
      <w:bCs/>
    </w:rPr>
  </w:style>
  <w:style w:type="character" w:customStyle="1" w:styleId="CommentSubjectChar">
    <w:name w:val="Comment Subject Char"/>
    <w:basedOn w:val="CommentTextChar"/>
    <w:link w:val="CommentSubject"/>
    <w:semiHidden/>
    <w:rsid w:val="008F0B02"/>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2016-09-20T07:00:00+00:00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C38F92A-5AA5-4E53-BF73-15491860A10B}"/>
</file>

<file path=customXml/itemProps2.xml><?xml version="1.0" encoding="utf-8"?>
<ds:datastoreItem xmlns:ds="http://schemas.openxmlformats.org/officeDocument/2006/customXml" ds:itemID="{9C8063DF-2344-4FDC-8D32-869BFD4F3503}">
  <ds:schemaRefs>
    <ds:schemaRef ds:uri="http://purl.org/dc/terms/"/>
    <ds:schemaRef ds:uri="http://purl.org/dc/dcmitype/"/>
    <ds:schemaRef ds:uri="dde7b3f8-6eac-457b-bc2a-336d890ae149"/>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9933D03-BECF-4D1F-A720-C48B7A48BB42}">
  <ds:schemaRefs>
    <ds:schemaRef ds:uri="http://schemas.microsoft.com/sharepoint/v3/contenttype/forms"/>
  </ds:schemaRefs>
</ds:datastoreItem>
</file>

<file path=customXml/itemProps4.xml><?xml version="1.0" encoding="utf-8"?>
<ds:datastoreItem xmlns:ds="http://schemas.openxmlformats.org/officeDocument/2006/customXml" ds:itemID="{3A643765-C8A4-433C-A8BC-272AC07026BC}">
  <ds:schemaRefs>
    <ds:schemaRef ds:uri="http://schemas.openxmlformats.org/officeDocument/2006/bibliography"/>
  </ds:schemaRefs>
</ds:datastoreItem>
</file>

<file path=customXml/itemProps5.xml><?xml version="1.0" encoding="utf-8"?>
<ds:datastoreItem xmlns:ds="http://schemas.openxmlformats.org/officeDocument/2006/customXml" ds:itemID="{751E9C2C-5DE8-4870-B384-B2050A1C2EF1}"/>
</file>

<file path=docProps/app.xml><?xml version="1.0" encoding="utf-8"?>
<Properties xmlns="http://schemas.openxmlformats.org/officeDocument/2006/extended-properties" xmlns:vt="http://schemas.openxmlformats.org/officeDocument/2006/docPropsVTypes">
  <Template>Normal.dotm</Template>
  <TotalTime>113</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UE-152253 - Staff Response to Pac Power Mtn for Clarification</vt:lpstr>
    </vt:vector>
  </TitlesOfParts>
  <Company>WUTC</Company>
  <LinksUpToDate>false</LinksUpToDate>
  <CharactersWithSpaces>4621</CharactersWithSpaces>
  <SharedDoc>false</SharedDoc>
  <HLinks>
    <vt:vector size="6" baseType="variant">
      <vt:variant>
        <vt:i4>6815830</vt:i4>
      </vt:variant>
      <vt:variant>
        <vt:i4>0</vt:i4>
      </vt:variant>
      <vt:variant>
        <vt:i4>0</vt:i4>
      </vt:variant>
      <vt:variant>
        <vt:i4>5</vt:i4>
      </vt:variant>
      <vt:variant>
        <vt:lpwstr>mailto:*****@utc.wa.gov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UE-152253 - Staff Response to Pac Power Mtn for Clarification</dc:title>
  <dc:subject/>
  <dc:creator>Cameron-Rulkowski, Jennifer (UTC)</dc:creator>
  <cp:keywords/>
  <dc:description/>
  <cp:lastModifiedBy>DeMarco, Betsy (UTC)</cp:lastModifiedBy>
  <cp:revision>9</cp:revision>
  <cp:lastPrinted>2016-04-25T23:18:00Z</cp:lastPrinted>
  <dcterms:created xsi:type="dcterms:W3CDTF">2016-09-20T16:25:00Z</dcterms:created>
  <dcterms:modified xsi:type="dcterms:W3CDTF">2016-09-20T20:18:00Z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