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9818A" w14:textId="77777777" w:rsidR="00787DF6" w:rsidRDefault="00754500">
      <w:pPr>
        <w:spacing w:line="220" w:lineRule="exact"/>
        <w:jc w:val="right"/>
        <w:rPr>
          <w:sz w:val="20"/>
        </w:rPr>
      </w:pPr>
      <w:bookmarkStart w:id="0" w:name="_GoBack"/>
      <w:bookmarkEnd w:id="0"/>
      <w:r>
        <w:rPr>
          <w:noProof/>
          <w:sz w:val="20"/>
        </w:rPr>
        <w:drawing>
          <wp:anchor distT="0" distB="0" distL="114300" distR="114300" simplePos="0" relativeHeight="251657728" behindDoc="0" locked="0" layoutInCell="1" allowOverlap="1" wp14:anchorId="36A981B3" wp14:editId="36A981B4">
            <wp:simplePos x="0" y="0"/>
            <wp:positionH relativeFrom="column">
              <wp:align>right</wp:align>
            </wp:positionH>
            <wp:positionV relativeFrom="paragraph">
              <wp:posOffset>0</wp:posOffset>
            </wp:positionV>
            <wp:extent cx="2142490" cy="389890"/>
            <wp:effectExtent l="0" t="0" r="0" b="0"/>
            <wp:wrapSquare wrapText="bothSides"/>
            <wp:docPr id="1" name="Picture 2" descr="W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_Logo"/>
                    <pic:cNvPicPr>
                      <a:picLocks noChangeAspect="1" noChangeArrowheads="1"/>
                    </pic:cNvPicPr>
                  </pic:nvPicPr>
                  <pic:blipFill>
                    <a:blip r:embed="rId12" cstate="print">
                      <a:lum bright="100000" contrast="100000"/>
                      <a:extLst>
                        <a:ext uri="{28A0092B-C50C-407E-A947-70E740481C1C}">
                          <a14:useLocalDpi xmlns:a14="http://schemas.microsoft.com/office/drawing/2010/main" val="0"/>
                        </a:ext>
                      </a:extLst>
                    </a:blip>
                    <a:srcRect/>
                    <a:stretch>
                      <a:fillRect/>
                    </a:stretch>
                  </pic:blipFill>
                  <pic:spPr bwMode="auto">
                    <a:xfrm>
                      <a:off x="0" y="0"/>
                      <a:ext cx="214249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9818B" w14:textId="77777777" w:rsidR="00787DF6" w:rsidRDefault="00787DF6"/>
    <w:p w14:paraId="36A9818C" w14:textId="77777777" w:rsidR="00787DF6" w:rsidRDefault="00787DF6"/>
    <w:p w14:paraId="36A9818D" w14:textId="77777777" w:rsidR="00787DF6" w:rsidRDefault="005364F3">
      <w:pPr>
        <w:pStyle w:val="Date"/>
        <w:tabs>
          <w:tab w:val="right" w:pos="9648"/>
        </w:tabs>
      </w:pPr>
      <w:bookmarkStart w:id="1" w:name="Date"/>
      <w:r>
        <w:t>November 23</w:t>
      </w:r>
      <w:r w:rsidR="00F543A7">
        <w:t>, 2015</w:t>
      </w:r>
    </w:p>
    <w:bookmarkEnd w:id="1"/>
    <w:p w14:paraId="36A9818E" w14:textId="77777777" w:rsidR="00787DF6" w:rsidRDefault="00754500">
      <w:pPr>
        <w:tabs>
          <w:tab w:val="right" w:pos="9648"/>
        </w:tabs>
      </w:pPr>
      <w:r>
        <w:tab/>
      </w:r>
      <w:bookmarkStart w:id="2" w:name="swiCMClientID"/>
      <w:bookmarkStart w:id="3" w:name="swiCMMatterID"/>
    </w:p>
    <w:bookmarkEnd w:id="2"/>
    <w:bookmarkEnd w:id="3"/>
    <w:p w14:paraId="36A9818F" w14:textId="77777777" w:rsidR="00787DF6" w:rsidRDefault="00787DF6"/>
    <w:p w14:paraId="36A98190" w14:textId="77777777" w:rsidR="00787DF6" w:rsidRPr="00E90588" w:rsidRDefault="00F543A7">
      <w:pPr>
        <w:rPr>
          <w:rFonts w:ascii="Times New Roman" w:hAnsi="Times New Roman"/>
          <w:caps/>
          <w:u w:val="single"/>
        </w:rPr>
      </w:pPr>
      <w:bookmarkStart w:id="4" w:name="DELIVERY"/>
      <w:r w:rsidRPr="00E90588">
        <w:rPr>
          <w:rFonts w:ascii="Times New Roman" w:hAnsi="Times New Roman"/>
          <w:caps/>
          <w:u w:val="single"/>
        </w:rPr>
        <w:t xml:space="preserve">VIA E-MAIL </w:t>
      </w:r>
    </w:p>
    <w:bookmarkEnd w:id="4"/>
    <w:p w14:paraId="36A98191" w14:textId="77777777" w:rsidR="00787DF6" w:rsidRPr="00E90588" w:rsidRDefault="00787DF6">
      <w:pPr>
        <w:rPr>
          <w:rFonts w:ascii="Times New Roman" w:hAnsi="Times New Roman"/>
        </w:rPr>
      </w:pPr>
    </w:p>
    <w:p w14:paraId="36A98192" w14:textId="77777777" w:rsidR="00F543A7" w:rsidRPr="00116671" w:rsidRDefault="00F543A7">
      <w:pPr>
        <w:rPr>
          <w:rFonts w:ascii="Times New Roman" w:hAnsi="Times New Roman"/>
          <w:sz w:val="24"/>
        </w:rPr>
      </w:pPr>
      <w:bookmarkStart w:id="5" w:name="To"/>
      <w:r w:rsidRPr="00116671">
        <w:rPr>
          <w:rFonts w:ascii="Times New Roman" w:hAnsi="Times New Roman"/>
          <w:sz w:val="24"/>
        </w:rPr>
        <w:t>Steven King</w:t>
      </w:r>
    </w:p>
    <w:p w14:paraId="36A98193" w14:textId="77777777" w:rsidR="00F543A7" w:rsidRPr="00116671" w:rsidRDefault="00F543A7">
      <w:pPr>
        <w:rPr>
          <w:rFonts w:ascii="Times New Roman" w:hAnsi="Times New Roman"/>
          <w:sz w:val="24"/>
        </w:rPr>
      </w:pPr>
      <w:r w:rsidRPr="00116671">
        <w:rPr>
          <w:rFonts w:ascii="Times New Roman" w:hAnsi="Times New Roman"/>
          <w:sz w:val="24"/>
        </w:rPr>
        <w:t>Executive Director and Secretary</w:t>
      </w:r>
    </w:p>
    <w:p w14:paraId="36A98194" w14:textId="77777777" w:rsidR="00F543A7" w:rsidRPr="00116671" w:rsidRDefault="00F543A7">
      <w:pPr>
        <w:rPr>
          <w:rFonts w:ascii="Times New Roman" w:hAnsi="Times New Roman"/>
          <w:sz w:val="24"/>
        </w:rPr>
      </w:pPr>
      <w:r w:rsidRPr="00116671">
        <w:rPr>
          <w:rFonts w:ascii="Times New Roman" w:hAnsi="Times New Roman"/>
          <w:sz w:val="24"/>
        </w:rPr>
        <w:t>WUTC</w:t>
      </w:r>
    </w:p>
    <w:p w14:paraId="36A98195" w14:textId="77777777" w:rsidR="00F543A7" w:rsidRPr="00116671" w:rsidRDefault="00F543A7">
      <w:pPr>
        <w:rPr>
          <w:rStyle w:val="ReLine"/>
          <w:rFonts w:ascii="Times New Roman" w:hAnsi="Times New Roman"/>
          <w:sz w:val="24"/>
        </w:rPr>
      </w:pPr>
      <w:r w:rsidRPr="00116671">
        <w:rPr>
          <w:rStyle w:val="ReLine"/>
          <w:rFonts w:ascii="Times New Roman" w:hAnsi="Times New Roman"/>
          <w:sz w:val="24"/>
        </w:rPr>
        <w:t>Attn</w:t>
      </w:r>
      <w:r w:rsidR="00013038" w:rsidRPr="00116671">
        <w:rPr>
          <w:rStyle w:val="ReLine"/>
          <w:rFonts w:ascii="Times New Roman" w:hAnsi="Times New Roman"/>
          <w:sz w:val="24"/>
        </w:rPr>
        <w:t>:</w:t>
      </w:r>
      <w:r w:rsidRPr="00116671">
        <w:rPr>
          <w:rStyle w:val="ReLine"/>
          <w:rFonts w:ascii="Times New Roman" w:hAnsi="Times New Roman"/>
          <w:sz w:val="24"/>
        </w:rPr>
        <w:t xml:space="preserve"> Records Center</w:t>
      </w:r>
    </w:p>
    <w:p w14:paraId="36A98196" w14:textId="77777777" w:rsidR="00787DF6" w:rsidRPr="00116671" w:rsidRDefault="00F543A7">
      <w:pPr>
        <w:rPr>
          <w:rFonts w:ascii="Times New Roman" w:hAnsi="Times New Roman"/>
          <w:sz w:val="24"/>
        </w:rPr>
      </w:pPr>
      <w:r w:rsidRPr="00116671">
        <w:rPr>
          <w:rFonts w:ascii="Times New Roman" w:hAnsi="Times New Roman"/>
          <w:sz w:val="24"/>
        </w:rPr>
        <w:t>PO Box 47250</w:t>
      </w:r>
      <w:r w:rsidRPr="00116671">
        <w:rPr>
          <w:rFonts w:ascii="Times New Roman" w:hAnsi="Times New Roman"/>
          <w:sz w:val="24"/>
        </w:rPr>
        <w:br/>
        <w:t>1300 S. Evergreen Park Dr. SW</w:t>
      </w:r>
      <w:r w:rsidRPr="00116671">
        <w:rPr>
          <w:rFonts w:ascii="Times New Roman" w:hAnsi="Times New Roman"/>
          <w:sz w:val="24"/>
        </w:rPr>
        <w:br/>
        <w:t>Olympia, WA 98504-7250</w:t>
      </w:r>
    </w:p>
    <w:bookmarkEnd w:id="5"/>
    <w:p w14:paraId="36A98197" w14:textId="77777777" w:rsidR="00787DF6" w:rsidRPr="00116671" w:rsidRDefault="00787DF6">
      <w:pPr>
        <w:rPr>
          <w:rFonts w:ascii="Times New Roman" w:hAnsi="Times New Roman"/>
          <w:sz w:val="24"/>
        </w:rPr>
      </w:pPr>
    </w:p>
    <w:p w14:paraId="36A98198" w14:textId="77777777" w:rsidR="00F543A7" w:rsidRPr="00116671" w:rsidRDefault="00754500">
      <w:pPr>
        <w:ind w:left="720" w:hanging="720"/>
        <w:rPr>
          <w:rStyle w:val="ReLine"/>
          <w:rFonts w:ascii="Times New Roman" w:hAnsi="Times New Roman"/>
          <w:sz w:val="24"/>
        </w:rPr>
      </w:pPr>
      <w:r w:rsidRPr="00116671">
        <w:rPr>
          <w:rStyle w:val="ReLine"/>
          <w:rFonts w:ascii="Times New Roman" w:hAnsi="Times New Roman"/>
          <w:sz w:val="24"/>
        </w:rPr>
        <w:t>Re:</w:t>
      </w:r>
      <w:r w:rsidRPr="00116671">
        <w:rPr>
          <w:rStyle w:val="ReLine"/>
          <w:rFonts w:ascii="Times New Roman" w:hAnsi="Times New Roman"/>
          <w:sz w:val="24"/>
        </w:rPr>
        <w:tab/>
      </w:r>
      <w:bookmarkStart w:id="6" w:name="Re"/>
      <w:r w:rsidR="00F543A7" w:rsidRPr="00116671">
        <w:rPr>
          <w:rStyle w:val="ReLine"/>
          <w:rFonts w:ascii="Times New Roman" w:hAnsi="Times New Roman"/>
          <w:sz w:val="24"/>
        </w:rPr>
        <w:t xml:space="preserve">Docket No. TG-151838, Rulemaking Inquiry to Consider the Need to Develop Rules on </w:t>
      </w:r>
    </w:p>
    <w:p w14:paraId="36A98199" w14:textId="77777777" w:rsidR="00787DF6" w:rsidRPr="00116671" w:rsidRDefault="00F543A7">
      <w:pPr>
        <w:ind w:left="720" w:hanging="720"/>
        <w:rPr>
          <w:rStyle w:val="ReLine"/>
          <w:rFonts w:ascii="Times New Roman" w:hAnsi="Times New Roman"/>
          <w:sz w:val="24"/>
        </w:rPr>
      </w:pPr>
      <w:r w:rsidRPr="00116671">
        <w:rPr>
          <w:rStyle w:val="ReLine"/>
          <w:rFonts w:ascii="Times New Roman" w:hAnsi="Times New Roman"/>
          <w:sz w:val="24"/>
        </w:rPr>
        <w:tab/>
        <w:t>Revenue Sharing for the Solid Waste Industry</w:t>
      </w:r>
    </w:p>
    <w:bookmarkEnd w:id="6"/>
    <w:p w14:paraId="36A9819A" w14:textId="77777777" w:rsidR="00787DF6" w:rsidRPr="00116671" w:rsidRDefault="00787DF6">
      <w:pPr>
        <w:rPr>
          <w:rFonts w:ascii="Times New Roman" w:hAnsi="Times New Roman"/>
          <w:sz w:val="24"/>
        </w:rPr>
      </w:pPr>
    </w:p>
    <w:p w14:paraId="36A9819B" w14:textId="77777777" w:rsidR="00787DF6" w:rsidRPr="00116671" w:rsidRDefault="00F543A7">
      <w:pPr>
        <w:rPr>
          <w:rFonts w:ascii="Times New Roman" w:hAnsi="Times New Roman"/>
          <w:sz w:val="24"/>
        </w:rPr>
      </w:pPr>
      <w:bookmarkStart w:id="7" w:name="Salutation"/>
      <w:r w:rsidRPr="00116671">
        <w:rPr>
          <w:rFonts w:ascii="Times New Roman" w:hAnsi="Times New Roman"/>
          <w:sz w:val="24"/>
        </w:rPr>
        <w:t>Dear Mr. King:</w:t>
      </w:r>
    </w:p>
    <w:bookmarkEnd w:id="7"/>
    <w:p w14:paraId="36A9819C" w14:textId="77777777" w:rsidR="00787DF6" w:rsidRDefault="00787DF6"/>
    <w:p w14:paraId="36A9819D" w14:textId="77777777" w:rsidR="00787DF6" w:rsidRDefault="00F543A7" w:rsidP="001C5A75">
      <w:pPr>
        <w:pStyle w:val="BodyText"/>
      </w:pPr>
      <w:bookmarkStart w:id="8" w:name="swiBeginHere"/>
      <w:bookmarkEnd w:id="8"/>
      <w:r>
        <w:t>On behalf of the regulated Waste Connections’ solid waste collections companies in Washington, particularly Murrey’s Disposal</w:t>
      </w:r>
      <w:r w:rsidR="00821329">
        <w:t>,</w:t>
      </w:r>
      <w:r>
        <w:t xml:space="preserve"> Certificate No. </w:t>
      </w:r>
      <w:r w:rsidR="00821329">
        <w:t>G-9, Harold LeMay Enterprises, Inc., G-98</w:t>
      </w:r>
      <w:r>
        <w:t xml:space="preserve"> and Mason County Garbage Company, Inc., </w:t>
      </w:r>
      <w:r w:rsidR="00821329">
        <w:t>G-88</w:t>
      </w:r>
      <w:r>
        <w:t xml:space="preserve">, we appreciate the opportunity to </w:t>
      </w:r>
      <w:r w:rsidR="00013038">
        <w:t xml:space="preserve">briefly </w:t>
      </w:r>
      <w:r>
        <w:t>comment on the Commission’s inquiry to consider formal rules to implement the May 30, 2012 Interpretative and Policy Statement (“</w:t>
      </w:r>
      <w:r w:rsidR="00146F5B">
        <w:t>I&amp;PS</w:t>
      </w:r>
      <w:r>
        <w:t xml:space="preserve">”), which was </w:t>
      </w:r>
      <w:r w:rsidR="00066356">
        <w:t xml:space="preserve">a result of </w:t>
      </w:r>
      <w:r>
        <w:t xml:space="preserve">the culmination of a series of suspended rate proceedings involving haulers participating in </w:t>
      </w:r>
      <w:r w:rsidR="002A5367">
        <w:t xml:space="preserve">recycling </w:t>
      </w:r>
      <w:r>
        <w:t>revenue share plans in Snohomish, King, Pierce, Kitsap and Mason Counties.</w:t>
      </w:r>
      <w:r w:rsidR="004276F7">
        <w:rPr>
          <w:rStyle w:val="FootnoteReference"/>
        </w:rPr>
        <w:footnoteReference w:id="1"/>
      </w:r>
      <w:r>
        <w:t xml:space="preserve">  </w:t>
      </w:r>
    </w:p>
    <w:p w14:paraId="36A9819E" w14:textId="77777777" w:rsidR="004276F7" w:rsidRDefault="004276F7" w:rsidP="001C5A75">
      <w:pPr>
        <w:pStyle w:val="BodyText"/>
      </w:pPr>
      <w:r>
        <w:t xml:space="preserve">Without here restating </w:t>
      </w:r>
      <w:r w:rsidR="00146F5B">
        <w:t xml:space="preserve">and incorporating </w:t>
      </w:r>
      <w:r>
        <w:t xml:space="preserve">all of </w:t>
      </w:r>
      <w:r w:rsidR="00B21CA7">
        <w:t>the voluminous</w:t>
      </w:r>
      <w:r w:rsidR="00066356">
        <w:t xml:space="preserve"> </w:t>
      </w:r>
      <w:r>
        <w:t xml:space="preserve">arguments </w:t>
      </w:r>
      <w:r w:rsidR="00146F5B">
        <w:t xml:space="preserve">and records </w:t>
      </w:r>
      <w:r>
        <w:t xml:space="preserve">in support of </w:t>
      </w:r>
      <w:r w:rsidR="00B21CA7">
        <w:t xml:space="preserve">then-existing </w:t>
      </w:r>
      <w:r>
        <w:t xml:space="preserve">revenue retention </w:t>
      </w:r>
      <w:r w:rsidR="00066356">
        <w:t xml:space="preserve">agreements </w:t>
      </w:r>
      <w:r w:rsidR="00B21CA7">
        <w:t>set forth</w:t>
      </w:r>
      <w:r>
        <w:t xml:space="preserve"> in </w:t>
      </w:r>
      <w:r w:rsidR="00146F5B">
        <w:t xml:space="preserve">its </w:t>
      </w:r>
      <w:r w:rsidR="00013038">
        <w:t>various-</w:t>
      </w:r>
      <w:r>
        <w:t xml:space="preserve">cited dockets, Waste Connections does </w:t>
      </w:r>
      <w:r w:rsidR="00AE2E56">
        <w:t xml:space="preserve">however </w:t>
      </w:r>
      <w:r>
        <w:t xml:space="preserve">wish to </w:t>
      </w:r>
      <w:r w:rsidR="00AE2E56">
        <w:t xml:space="preserve">caution against </w:t>
      </w:r>
      <w:r>
        <w:t xml:space="preserve">any attempt to codify the Interpretative and Policy Statement of May 2012 into rule.  As parties </w:t>
      </w:r>
      <w:r w:rsidR="00B21CA7">
        <w:t xml:space="preserve">are well aware, </w:t>
      </w:r>
      <w:r>
        <w:t xml:space="preserve">Interpretive and Policy Statements from administrative agencies are not “precedent” or in any way dispositive of developed agency case law on the treatment of issues which they encompass.  </w:t>
      </w:r>
      <w:r w:rsidR="009028C1">
        <w:t>“They are advisory only.”</w:t>
      </w:r>
      <w:r w:rsidR="009028C1">
        <w:rPr>
          <w:rStyle w:val="FootnoteReference"/>
        </w:rPr>
        <w:footnoteReference w:id="2"/>
      </w:r>
      <w:r w:rsidR="009028C1">
        <w:t xml:space="preserve">  </w:t>
      </w:r>
      <w:r>
        <w:t xml:space="preserve">However, they unquestionably have significance as indications of the agency’s </w:t>
      </w:r>
      <w:r w:rsidR="00066356">
        <w:t xml:space="preserve">relevant </w:t>
      </w:r>
      <w:r>
        <w:t>thinking and prospective determination of regulatory policy.</w:t>
      </w:r>
    </w:p>
    <w:p w14:paraId="36A9819F" w14:textId="77777777" w:rsidR="00013038" w:rsidRDefault="00E768EF" w:rsidP="001C5A75">
      <w:pPr>
        <w:pStyle w:val="BodyText"/>
      </w:pPr>
      <w:r>
        <w:t>A primary</w:t>
      </w:r>
      <w:r w:rsidR="00AE2E56">
        <w:t xml:space="preserve"> concern with</w:t>
      </w:r>
      <w:r w:rsidR="004276F7">
        <w:t xml:space="preserve"> the Interpretative and Policy Statement by the Waste Connections </w:t>
      </w:r>
      <w:r w:rsidR="00066356">
        <w:t xml:space="preserve">Companies </w:t>
      </w:r>
      <w:r w:rsidR="004276F7">
        <w:t xml:space="preserve">is </w:t>
      </w:r>
      <w:r w:rsidR="00066356">
        <w:t xml:space="preserve">to </w:t>
      </w:r>
      <w:r w:rsidR="004276F7">
        <w:t>that Statement’s construction of the critical statute</w:t>
      </w:r>
      <w:r w:rsidR="004B693B">
        <w:t>,</w:t>
      </w:r>
      <w:r w:rsidR="004276F7">
        <w:t xml:space="preserve"> RCW 81.77.185</w:t>
      </w:r>
      <w:r w:rsidR="00013038">
        <w:t>,</w:t>
      </w:r>
      <w:r w:rsidR="004276F7">
        <w:t xml:space="preserve"> and the </w:t>
      </w:r>
      <w:r w:rsidR="00AE2E56">
        <w:t xml:space="preserve">interpretation of the </w:t>
      </w:r>
      <w:r w:rsidR="004276F7">
        <w:t>legislati</w:t>
      </w:r>
      <w:r w:rsidR="00413F11">
        <w:t>on</w:t>
      </w:r>
      <w:r w:rsidR="004276F7">
        <w:t xml:space="preserve"> and </w:t>
      </w:r>
      <w:r w:rsidR="004276F7" w:rsidRPr="00066356">
        <w:rPr>
          <w:i/>
        </w:rPr>
        <w:t>original</w:t>
      </w:r>
      <w:r w:rsidR="004276F7">
        <w:t xml:space="preserve"> Commission staff policy intent in implementing that provision.  </w:t>
      </w:r>
      <w:r w:rsidR="00066356">
        <w:t>To recap, t</w:t>
      </w:r>
      <w:r w:rsidR="004276F7">
        <w:t xml:space="preserve">hat </w:t>
      </w:r>
      <w:r w:rsidR="004276F7">
        <w:lastRenderedPageBreak/>
        <w:t>provision requires that the Commission “shall allow</w:t>
      </w:r>
      <w:r w:rsidR="00FE2AAC">
        <w:t>”</w:t>
      </w:r>
      <w:r w:rsidR="004276F7">
        <w:t xml:space="preserve"> participating solid waste collection companies to </w:t>
      </w:r>
      <w:r w:rsidR="00FE2AAC">
        <w:t xml:space="preserve">“retain up to </w:t>
      </w:r>
      <w:r w:rsidR="002A5367">
        <w:t xml:space="preserve">fifty percent </w:t>
      </w:r>
      <w:r w:rsidR="00FE2AAC">
        <w:t>of the revenue paid to the companies for the material if the companies submit a plan to the Commission that is certified by the appropri</w:t>
      </w:r>
      <w:r w:rsidR="002A5367">
        <w:t>ate local government authority</w:t>
      </w:r>
      <w:r w:rsidR="00956BBF">
        <w:t xml:space="preserve"> “</w:t>
      </w:r>
      <w:r w:rsidR="00B21CA7">
        <w:t>as</w:t>
      </w:r>
      <w:r w:rsidR="00FE2AAC">
        <w:t xml:space="preserve"> being consistent with the local government solid waste plan” and “that demonstrates how the revenues will be used to increase recycling.”</w:t>
      </w:r>
      <w:r w:rsidR="00D470D2">
        <w:t xml:space="preserve">  The focal emphasis of the statute that directs </w:t>
      </w:r>
      <w:r w:rsidR="00066356">
        <w:t xml:space="preserve">that </w:t>
      </w:r>
      <w:r w:rsidR="00D470D2">
        <w:t xml:space="preserve">the Commission </w:t>
      </w:r>
      <w:r w:rsidR="00066356">
        <w:t xml:space="preserve">shall </w:t>
      </w:r>
      <w:r w:rsidR="00D470D2">
        <w:t>allow “up to 50%” and demonstrating “how the revenues will be used to increase recycling” were consistently the contentious points in the statutory interpretation</w:t>
      </w:r>
      <w:r w:rsidR="00066356">
        <w:t xml:space="preserve"> arguments </w:t>
      </w:r>
      <w:r w:rsidR="00D470D2">
        <w:t>by parties</w:t>
      </w:r>
      <w:r w:rsidR="00332295">
        <w:t xml:space="preserve"> in those proceedings</w:t>
      </w:r>
      <w:r w:rsidR="00D470D2">
        <w:t xml:space="preserve">.  </w:t>
      </w:r>
    </w:p>
    <w:p w14:paraId="36A981A0" w14:textId="77777777" w:rsidR="004276F7" w:rsidRDefault="00D470D2" w:rsidP="001C5A75">
      <w:pPr>
        <w:pStyle w:val="BodyText"/>
      </w:pPr>
      <w:r>
        <w:t xml:space="preserve">As the Commission’s </w:t>
      </w:r>
      <w:r w:rsidR="00066356">
        <w:t xml:space="preserve">October 23, 2015 </w:t>
      </w:r>
      <w:r>
        <w:t>Notice at page</w:t>
      </w:r>
      <w:r w:rsidR="00B21CA7">
        <w:t xml:space="preserve"> 2</w:t>
      </w:r>
      <w:r>
        <w:t xml:space="preserve"> §</w:t>
      </w:r>
      <w:r w:rsidR="00B21CA7">
        <w:t xml:space="preserve"> b</w:t>
      </w:r>
      <w:r>
        <w:t xml:space="preserve"> provides, however, the Commission’s Interpretative and Policy Statement </w:t>
      </w:r>
      <w:r w:rsidR="002A5367">
        <w:t xml:space="preserve">ultimately </w:t>
      </w:r>
      <w:r>
        <w:t>construed the statute to “limit incentives o</w:t>
      </w:r>
      <w:r w:rsidR="00B21CA7">
        <w:t>r</w:t>
      </w:r>
      <w:r>
        <w:t xml:space="preserve"> rewards to 5% of expenditures” by the haulers as part of the overall “up to” 50% retained revenue.  It is </w:t>
      </w:r>
      <w:r>
        <w:rPr>
          <w:b/>
        </w:rPr>
        <w:t>that</w:t>
      </w:r>
      <w:r>
        <w:t xml:space="preserve"> interpretative limitation that, in Waste Connections’ view, is the central objectionable </w:t>
      </w:r>
      <w:r w:rsidR="00B21CA7">
        <w:t>feature</w:t>
      </w:r>
      <w:r>
        <w:t xml:space="preserve"> of the I</w:t>
      </w:r>
      <w:r w:rsidR="00066356">
        <w:t>&amp;P</w:t>
      </w:r>
      <w:r>
        <w:t xml:space="preserve">S.  </w:t>
      </w:r>
    </w:p>
    <w:p w14:paraId="36A981A1" w14:textId="77777777" w:rsidR="00D87199" w:rsidRDefault="00D87199" w:rsidP="001C5A75">
      <w:pPr>
        <w:pStyle w:val="BodyText"/>
      </w:pPr>
      <w:r>
        <w:t xml:space="preserve">The central finding of the </w:t>
      </w:r>
      <w:r w:rsidR="00066356">
        <w:t>I&amp;</w:t>
      </w:r>
      <w:r w:rsidR="009028C1">
        <w:t>P</w:t>
      </w:r>
      <w:r w:rsidR="00066356">
        <w:t xml:space="preserve">S </w:t>
      </w:r>
      <w:r>
        <w:t>that RCW 81.77.185 somehow is susceptible to an interpretation that limits the incentives to a company’s demonstration of increasing recycl</w:t>
      </w:r>
      <w:r w:rsidR="00066356">
        <w:t>ing to 5% of expenditures is</w:t>
      </w:r>
      <w:r>
        <w:t xml:space="preserve">, </w:t>
      </w:r>
      <w:r w:rsidR="00821329">
        <w:t xml:space="preserve">by </w:t>
      </w:r>
      <w:r w:rsidR="00A749EC">
        <w:t>our analysis</w:t>
      </w:r>
      <w:r>
        <w:t xml:space="preserve">, </w:t>
      </w:r>
      <w:r w:rsidR="00066356">
        <w:t xml:space="preserve">the most </w:t>
      </w:r>
      <w:r w:rsidR="00B21CA7">
        <w:t xml:space="preserve">controversial </w:t>
      </w:r>
      <w:r w:rsidR="00E768EF" w:rsidRPr="00247165">
        <w:t>a</w:t>
      </w:r>
      <w:r w:rsidR="00247165">
        <w:t>nd unsupportable aspect of the S</w:t>
      </w:r>
      <w:r w:rsidR="00E768EF" w:rsidRPr="00247165">
        <w:t>tatement</w:t>
      </w:r>
      <w:r w:rsidR="004B693B">
        <w:t>.</w:t>
      </w:r>
      <w:r>
        <w:t xml:space="preserve">  In </w:t>
      </w:r>
      <w:r w:rsidR="004B693B">
        <w:t>so holding</w:t>
      </w:r>
      <w:r>
        <w:t xml:space="preserve">, </w:t>
      </w:r>
      <w:r w:rsidR="00066356">
        <w:t xml:space="preserve">in WCI’s view, </w:t>
      </w:r>
      <w:r>
        <w:t xml:space="preserve">it engrafts an artificial limitation on the statute pointing to criteria then </w:t>
      </w:r>
      <w:r w:rsidR="002A5367">
        <w:t xml:space="preserve">being </w:t>
      </w:r>
      <w:r>
        <w:t xml:space="preserve">used in apparently one or two county programs and </w:t>
      </w:r>
      <w:r w:rsidR="00066356">
        <w:t>prescrib</w:t>
      </w:r>
      <w:r w:rsidR="00B21CA7">
        <w:t>ing</w:t>
      </w:r>
      <w:r w:rsidR="00066356">
        <w:t xml:space="preserve"> </w:t>
      </w:r>
      <w:r>
        <w:t xml:space="preserve">a limit on retained </w:t>
      </w:r>
      <w:r w:rsidRPr="00D87199">
        <w:rPr>
          <w:u w:val="single"/>
        </w:rPr>
        <w:t>expenditures</w:t>
      </w:r>
      <w:r>
        <w:t xml:space="preserve"> (not revenue</w:t>
      </w:r>
      <w:r w:rsidR="00701C8B">
        <w:t>s</w:t>
      </w:r>
      <w:r>
        <w:t xml:space="preserve">) </w:t>
      </w:r>
      <w:r w:rsidR="00701C8B">
        <w:t xml:space="preserve">that </w:t>
      </w:r>
      <w:r w:rsidR="00013038">
        <w:t xml:space="preserve">ultimately </w:t>
      </w:r>
      <w:r w:rsidR="00701C8B">
        <w:t>disincentivizes participation and program</w:t>
      </w:r>
      <w:r w:rsidR="00066356">
        <w:t xml:space="preserve"> expansion</w:t>
      </w:r>
      <w:r w:rsidR="00701C8B">
        <w:t xml:space="preserve">.  This </w:t>
      </w:r>
      <w:r w:rsidR="00B21CA7">
        <w:t xml:space="preserve">outcome </w:t>
      </w:r>
      <w:r w:rsidR="00701C8B">
        <w:t xml:space="preserve">was clearly not envisioned by the Legislature in the original enactment of the law or its amendment in 2010 nor </w:t>
      </w:r>
      <w:r w:rsidR="00066356">
        <w:t xml:space="preserve">in </w:t>
      </w:r>
      <w:r w:rsidR="00701C8B">
        <w:t>the Recycling Panel Assessment Report in February 2000 or the Climate Action Team Project report in 2009</w:t>
      </w:r>
      <w:r w:rsidR="00066356">
        <w:t>,</w:t>
      </w:r>
      <w:r w:rsidR="00701C8B">
        <w:t xml:space="preserve"> which </w:t>
      </w:r>
      <w:r w:rsidR="00066356">
        <w:t xml:space="preserve">alternatively, </w:t>
      </w:r>
      <w:r w:rsidR="00701C8B">
        <w:t xml:space="preserve">precipitated both the original law and its </w:t>
      </w:r>
      <w:r w:rsidR="00B21CA7">
        <w:t>revision</w:t>
      </w:r>
      <w:r w:rsidR="00701C8B">
        <w:t xml:space="preserve">.  It also is directly contradictory of the Staff’s 2003 “Recycling Revenue Sharing” report </w:t>
      </w:r>
      <w:r w:rsidR="004B693B">
        <w:t>to the L</w:t>
      </w:r>
      <w:r w:rsidR="00413F11">
        <w:t xml:space="preserve">egislature (see link below) </w:t>
      </w:r>
      <w:r w:rsidR="00701C8B">
        <w:t xml:space="preserve">on the original implementation of the law which had </w:t>
      </w:r>
      <w:r w:rsidR="00B21CA7">
        <w:t xml:space="preserve">expressly </w:t>
      </w:r>
      <w:r w:rsidR="00701C8B">
        <w:t xml:space="preserve">deferred </w:t>
      </w:r>
      <w:r w:rsidR="00066356">
        <w:t xml:space="preserve">to </w:t>
      </w:r>
      <w:r w:rsidR="00701C8B">
        <w:t xml:space="preserve">local </w:t>
      </w:r>
      <w:r w:rsidR="00066356">
        <w:t xml:space="preserve">government </w:t>
      </w:r>
      <w:r w:rsidR="00701C8B">
        <w:t xml:space="preserve">comprehensive solid waste plan </w:t>
      </w:r>
      <w:r w:rsidR="00821329">
        <w:t>guidance</w:t>
      </w:r>
      <w:r w:rsidR="00701C8B">
        <w:t xml:space="preserve"> and the “experimental” nature of the legislation where the Staff took a “hands off” approach to Company Recycling Plan outcomes and</w:t>
      </w:r>
      <w:r w:rsidR="00066356">
        <w:t xml:space="preserve"> advocated removal o</w:t>
      </w:r>
      <w:r w:rsidR="00701C8B">
        <w:t xml:space="preserve">f a participating company’s net revenue for regulatory </w:t>
      </w:r>
      <w:r w:rsidR="00E85208">
        <w:t xml:space="preserve">ratemaking </w:t>
      </w:r>
      <w:r w:rsidR="00701C8B">
        <w:t>purposes.</w:t>
      </w:r>
      <w:r w:rsidR="00701C8B">
        <w:rPr>
          <w:rStyle w:val="FootnoteReference"/>
        </w:rPr>
        <w:footnoteReference w:id="3"/>
      </w:r>
      <w:r w:rsidR="00851162">
        <w:t xml:space="preserve">  </w:t>
      </w:r>
    </w:p>
    <w:p w14:paraId="36A981A2" w14:textId="77777777" w:rsidR="00851162" w:rsidRDefault="00EC63E4" w:rsidP="001C5A75">
      <w:pPr>
        <w:pStyle w:val="BodyText"/>
      </w:pPr>
      <w:r>
        <w:t xml:space="preserve">At least for Waste </w:t>
      </w:r>
      <w:r w:rsidR="00E85208">
        <w:t>C</w:t>
      </w:r>
      <w:r>
        <w:t xml:space="preserve">onnections, </w:t>
      </w:r>
      <w:r w:rsidR="00066356">
        <w:t>t</w:t>
      </w:r>
      <w:r w:rsidR="00851162">
        <w:t xml:space="preserve">he </w:t>
      </w:r>
      <w:bookmarkStart w:id="9" w:name="Closing"/>
      <w:r w:rsidR="00013038">
        <w:t xml:space="preserve">2012 </w:t>
      </w:r>
      <w:r w:rsidR="00851162">
        <w:t xml:space="preserve">I&amp;PS has had a chilling effect on its and its participating counties’ </w:t>
      </w:r>
      <w:r w:rsidR="00E85208">
        <w:t xml:space="preserve">enthusiasm </w:t>
      </w:r>
      <w:r w:rsidR="00851162">
        <w:t xml:space="preserve">in continuing to explore recycling enhancement </w:t>
      </w:r>
      <w:r w:rsidR="002A5367">
        <w:t xml:space="preserve">and expansion </w:t>
      </w:r>
      <w:r w:rsidR="00851162">
        <w:t xml:space="preserve">programs at the </w:t>
      </w:r>
      <w:r w:rsidR="00851162">
        <w:lastRenderedPageBreak/>
        <w:t>local jurisdictional level.</w:t>
      </w:r>
      <w:r>
        <w:rPr>
          <w:rStyle w:val="FootnoteReference"/>
        </w:rPr>
        <w:footnoteReference w:id="4"/>
      </w:r>
      <w:r w:rsidR="00851162">
        <w:t xml:space="preserve">  Indeed, </w:t>
      </w:r>
      <w:r>
        <w:t>Waste Connections</w:t>
      </w:r>
      <w:r w:rsidR="00851162">
        <w:t xml:space="preserve"> has ceased </w:t>
      </w:r>
      <w:r w:rsidR="002A5367">
        <w:t xml:space="preserve">altogether </w:t>
      </w:r>
      <w:r w:rsidR="00851162">
        <w:t>its participation in such plans and just this fall</w:t>
      </w:r>
      <w:r>
        <w:t>,</w:t>
      </w:r>
      <w:r w:rsidR="00851162">
        <w:t xml:space="preserve"> ended its </w:t>
      </w:r>
      <w:r>
        <w:t>remaining</w:t>
      </w:r>
      <w:r w:rsidR="00851162">
        <w:t xml:space="preserve"> revenue share plan </w:t>
      </w:r>
      <w:r w:rsidR="00E85208">
        <w:t>in</w:t>
      </w:r>
      <w:r w:rsidR="00851162">
        <w:t xml:space="preserve"> Mason County and simply </w:t>
      </w:r>
      <w:r w:rsidR="009028C1">
        <w:t xml:space="preserve">now </w:t>
      </w:r>
      <w:r w:rsidR="00851162">
        <w:t>passes back 100% of al</w:t>
      </w:r>
      <w:r w:rsidR="00821329">
        <w:t>l</w:t>
      </w:r>
      <w:r w:rsidR="00851162">
        <w:t xml:space="preserve"> commodity </w:t>
      </w:r>
      <w:r w:rsidR="009028C1">
        <w:t xml:space="preserve">sale </w:t>
      </w:r>
      <w:r w:rsidR="00851162">
        <w:t>revenues to customers as it did before the legislation</w:t>
      </w:r>
      <w:r w:rsidR="00413F11">
        <w:t xml:space="preserve"> was implemented</w:t>
      </w:r>
      <w:r w:rsidR="00964097">
        <w:t xml:space="preserve"> in 2002</w:t>
      </w:r>
      <w:r w:rsidR="00851162">
        <w:t>.</w:t>
      </w:r>
    </w:p>
    <w:p w14:paraId="36A981A3" w14:textId="77777777" w:rsidR="00851162" w:rsidRDefault="00821329" w:rsidP="001C5A75">
      <w:pPr>
        <w:pStyle w:val="BodyText"/>
      </w:pPr>
      <w:r>
        <w:t xml:space="preserve">In the wake of </w:t>
      </w:r>
      <w:r w:rsidR="00851162">
        <w:t>a continuing downturn in the recyclables commodity markets</w:t>
      </w:r>
      <w:r w:rsidR="00E85208">
        <w:t>,</w:t>
      </w:r>
      <w:r w:rsidR="00851162">
        <w:t xml:space="preserve"> being offered “</w:t>
      </w:r>
      <w:r w:rsidR="00E85208">
        <w:t>a</w:t>
      </w:r>
      <w:r w:rsidR="00851162">
        <w:t xml:space="preserve"> carrot” of 5% of expenditure retention is clearly outweighed by “the stick”</w:t>
      </w:r>
      <w:r w:rsidR="009028C1">
        <w:t xml:space="preserve">: </w:t>
      </w:r>
      <w:r w:rsidR="00851162">
        <w:t xml:space="preserve"> </w:t>
      </w:r>
      <w:r w:rsidR="00E85208">
        <w:t xml:space="preserve">the </w:t>
      </w:r>
      <w:r w:rsidR="00851162">
        <w:t xml:space="preserve">risk of substantial outlays of funds to potentially increase recycling when confronted with the </w:t>
      </w:r>
      <w:r w:rsidR="00EC63E4">
        <w:t>reality</w:t>
      </w:r>
      <w:r w:rsidR="00851162">
        <w:t xml:space="preserve"> of </w:t>
      </w:r>
      <w:r w:rsidR="009028C1">
        <w:t xml:space="preserve">the shortfall in revenues to recoup expenses even assuming those expenditures are worth the risk in the present </w:t>
      </w:r>
      <w:r w:rsidR="002A5367">
        <w:t xml:space="preserve">severe </w:t>
      </w:r>
      <w:r w:rsidR="009028C1">
        <w:t>recyclables market</w:t>
      </w:r>
      <w:r w:rsidR="002A5367">
        <w:t xml:space="preserve"> downturn</w:t>
      </w:r>
      <w:r w:rsidR="00851162">
        <w:t>.  Unfortunately</w:t>
      </w:r>
      <w:r w:rsidR="002A5367">
        <w:t xml:space="preserve"> for Waste Connections</w:t>
      </w:r>
      <w:r w:rsidR="00E85208">
        <w:t>,</w:t>
      </w:r>
      <w:r w:rsidR="00851162">
        <w:t xml:space="preserve"> the I&amp;PS has </w:t>
      </w:r>
      <w:r w:rsidR="00EC63E4">
        <w:t xml:space="preserve">only </w:t>
      </w:r>
      <w:r w:rsidR="00E85208">
        <w:t xml:space="preserve">accelerated </w:t>
      </w:r>
      <w:r w:rsidR="00851162">
        <w:t xml:space="preserve">this trend and contravened the mutually optimistic ideals of the original legislation </w:t>
      </w:r>
      <w:r w:rsidR="00E85208">
        <w:t xml:space="preserve">to </w:t>
      </w:r>
      <w:r w:rsidR="00851162">
        <w:t>incre</w:t>
      </w:r>
      <w:r w:rsidR="00E85208">
        <w:t>ase</w:t>
      </w:r>
      <w:r w:rsidR="00851162">
        <w:t xml:space="preserve"> recycling and reward solid waste collection companies </w:t>
      </w:r>
      <w:r w:rsidR="00E85208">
        <w:t xml:space="preserve">and customers alike </w:t>
      </w:r>
      <w:r w:rsidR="00851162">
        <w:t xml:space="preserve">for innovative improvisation </w:t>
      </w:r>
      <w:r w:rsidR="00E85208">
        <w:t xml:space="preserve">and program expansions </w:t>
      </w:r>
      <w:r w:rsidR="00851162">
        <w:t>in</w:t>
      </w:r>
      <w:r w:rsidR="00E85208">
        <w:t xml:space="preserve"> </w:t>
      </w:r>
      <w:r w:rsidR="009028C1">
        <w:t>increasing</w:t>
      </w:r>
      <w:r w:rsidR="00013038">
        <w:t xml:space="preserve"> overall</w:t>
      </w:r>
      <w:r w:rsidR="009028C1">
        <w:t xml:space="preserve"> recycling </w:t>
      </w:r>
      <w:r w:rsidR="00013038">
        <w:t>participation in</w:t>
      </w:r>
      <w:r w:rsidR="009028C1">
        <w:t xml:space="preserve"> </w:t>
      </w:r>
      <w:r w:rsidR="00851162">
        <w:t>achieving that goal.</w:t>
      </w:r>
      <w:r w:rsidR="00413F11">
        <w:rPr>
          <w:rStyle w:val="FootnoteReference"/>
        </w:rPr>
        <w:footnoteReference w:id="5"/>
      </w:r>
    </w:p>
    <w:p w14:paraId="36A981A4" w14:textId="77777777" w:rsidR="00645803" w:rsidRPr="00645803" w:rsidRDefault="00645803" w:rsidP="001C5A75">
      <w:pPr>
        <w:pStyle w:val="BodyText"/>
      </w:pPr>
      <w:r w:rsidRPr="00645803">
        <w:t xml:space="preserve">Considering the dramatically diverging interpretations of the Revenue Share statute that emerged </w:t>
      </w:r>
      <w:r w:rsidR="0023154C">
        <w:t>on</w:t>
      </w:r>
      <w:r w:rsidRPr="00645803">
        <w:t xml:space="preserve"> instigation of the Commission Regulatory staff with the amendment of the statute in 2010 providing up to 50% </w:t>
      </w:r>
      <w:r w:rsidR="002A5367">
        <w:t xml:space="preserve">recycling </w:t>
      </w:r>
      <w:r w:rsidRPr="00645803">
        <w:t xml:space="preserve">revenue share, </w:t>
      </w:r>
      <w:r w:rsidR="00332295">
        <w:t xml:space="preserve">the </w:t>
      </w:r>
      <w:r w:rsidRPr="00645803">
        <w:t xml:space="preserve">Interpretative and Policy Statement in retrospect </w:t>
      </w:r>
      <w:r w:rsidR="0023154C">
        <w:t>could appear counterproductive to</w:t>
      </w:r>
      <w:r w:rsidR="002E56DC">
        <w:t xml:space="preserve"> the increased recycling share retention</w:t>
      </w:r>
      <w:r w:rsidR="00964097">
        <w:t xml:space="preserve"> objective of the 2010 legislation</w:t>
      </w:r>
      <w:r w:rsidR="002E56DC">
        <w:t>.</w:t>
      </w:r>
    </w:p>
    <w:p w14:paraId="36A981A5" w14:textId="77777777" w:rsidR="00332295" w:rsidRDefault="00332295" w:rsidP="001C5A75">
      <w:pPr>
        <w:pStyle w:val="BodyText"/>
      </w:pPr>
      <w:r>
        <w:t>T</w:t>
      </w:r>
      <w:r w:rsidR="00645803" w:rsidRPr="00645803">
        <w:t>he concerns expressed by the Commission staff and the Commission in the 201</w:t>
      </w:r>
      <w:r w:rsidR="002E56DC">
        <w:t>1</w:t>
      </w:r>
      <w:r w:rsidR="00645803" w:rsidRPr="00645803">
        <w:t xml:space="preserve">-2013 period likely </w:t>
      </w:r>
      <w:r w:rsidR="002A5367">
        <w:t xml:space="preserve">may </w:t>
      </w:r>
      <w:r w:rsidR="00645803" w:rsidRPr="00645803">
        <w:t xml:space="preserve">have been better addressed to the Legislature </w:t>
      </w:r>
      <w:r w:rsidR="002E56DC">
        <w:t>as</w:t>
      </w:r>
      <w:r w:rsidR="00645803" w:rsidRPr="00645803">
        <w:t xml:space="preserve"> it contemplated the increase in potential RSA retention to boost overall recycling participation rates in the state</w:t>
      </w:r>
      <w:r w:rsidR="00413F11">
        <w:t xml:space="preserve"> </w:t>
      </w:r>
      <w:r w:rsidR="002E56DC">
        <w:t xml:space="preserve">when it considered revision to the law </w:t>
      </w:r>
      <w:r w:rsidR="00413F11">
        <w:t>in 2009 and</w:t>
      </w:r>
      <w:r w:rsidR="002A5367">
        <w:t xml:space="preserve"> 2010</w:t>
      </w:r>
      <w:r w:rsidR="00645803" w:rsidRPr="00645803">
        <w:t>.</w:t>
      </w:r>
      <w:r>
        <w:t xml:space="preserve">  However, no such concerted challenge </w:t>
      </w:r>
      <w:r w:rsidR="002E56DC">
        <w:t xml:space="preserve">appears to have ever been </w:t>
      </w:r>
      <w:r>
        <w:t>raised.</w:t>
      </w:r>
      <w:r w:rsidR="00645803" w:rsidRPr="00645803">
        <w:t xml:space="preserve">  Instead, </w:t>
      </w:r>
      <w:r w:rsidR="00013038">
        <w:t xml:space="preserve">some </w:t>
      </w:r>
      <w:r w:rsidR="00645803" w:rsidRPr="00645803">
        <w:t xml:space="preserve">counties and participating haulers were </w:t>
      </w:r>
      <w:r>
        <w:t xml:space="preserve">subsequently </w:t>
      </w:r>
      <w:r w:rsidR="00645803" w:rsidRPr="00645803">
        <w:t>confronted in th</w:t>
      </w:r>
      <w:r w:rsidR="00964097">
        <w:t>e</w:t>
      </w:r>
      <w:r w:rsidR="00645803" w:rsidRPr="00645803">
        <w:t xml:space="preserve"> </w:t>
      </w:r>
      <w:r>
        <w:t xml:space="preserve">post-enactment </w:t>
      </w:r>
      <w:r w:rsidR="00964097">
        <w:t xml:space="preserve">period </w:t>
      </w:r>
      <w:r w:rsidR="00645803" w:rsidRPr="00645803">
        <w:t xml:space="preserve">with wholesale reinterpretation of the </w:t>
      </w:r>
      <w:r w:rsidR="002E56DC">
        <w:t>circumstances under which the</w:t>
      </w:r>
      <w:r w:rsidR="00645803" w:rsidRPr="00645803">
        <w:t xml:space="preserve"> demonstration of increasing recycling was to occur, the mechanics of implementing the program and </w:t>
      </w:r>
      <w:r w:rsidR="002E56DC">
        <w:t xml:space="preserve">what purpose the legislation was </w:t>
      </w:r>
      <w:r w:rsidR="00B425AD">
        <w:t xml:space="preserve">found </w:t>
      </w:r>
      <w:r w:rsidR="002E56DC">
        <w:t>to accomplish</w:t>
      </w:r>
      <w:r w:rsidR="00E03171">
        <w:t>.</w:t>
      </w:r>
      <w:r w:rsidR="00013038">
        <w:t xml:space="preserve"> </w:t>
      </w:r>
    </w:p>
    <w:p w14:paraId="36A981A6" w14:textId="77777777" w:rsidR="00645803" w:rsidRDefault="00413F11" w:rsidP="001C5A75">
      <w:pPr>
        <w:pStyle w:val="BodyText"/>
      </w:pPr>
      <w:r>
        <w:t>Again, Waste Connections believes that</w:t>
      </w:r>
      <w:r w:rsidR="002E56DC">
        <w:t xml:space="preserve"> somehow in that post-2010 legislation period the focus and instigation of recycling revenue share agreements, activities and goals was lost in the dispute. </w:t>
      </w:r>
      <w:r w:rsidR="00E03171">
        <w:t xml:space="preserve">As the </w:t>
      </w:r>
      <w:r w:rsidR="00E03171">
        <w:lastRenderedPageBreak/>
        <w:t>2003 WUTC Staff R</w:t>
      </w:r>
      <w:r w:rsidR="002E56DC">
        <w:t xml:space="preserve">ecycling </w:t>
      </w:r>
      <w:r w:rsidR="00E03171">
        <w:t>A</w:t>
      </w:r>
      <w:r w:rsidR="002E56DC">
        <w:t>ssessment report reminds,</w:t>
      </w:r>
      <w:r>
        <w:t xml:space="preserve"> counties </w:t>
      </w:r>
      <w:r w:rsidR="002E56DC">
        <w:t xml:space="preserve">working with </w:t>
      </w:r>
      <w:r>
        <w:t xml:space="preserve">their local haulers are the lynchpins of the dynamic process of expanding recycling </w:t>
      </w:r>
      <w:r w:rsidR="002E56DC">
        <w:t>participation and programs.  Revenue share was to be in effect, the “toolbox “ for county government</w:t>
      </w:r>
      <w:r w:rsidR="00E03171">
        <w:t>s</w:t>
      </w:r>
      <w:r w:rsidR="002E56DC">
        <w:t xml:space="preserve"> to work</w:t>
      </w:r>
      <w:r w:rsidR="00B425AD">
        <w:t xml:space="preserve"> with local haulers to inspire</w:t>
      </w:r>
      <w:r w:rsidR="002E56DC">
        <w:t xml:space="preserve"> innovation, reduce landfill disposal, expand participation and add</w:t>
      </w:r>
      <w:r>
        <w:t xml:space="preserve"> value to the recovered materials </w:t>
      </w:r>
      <w:r w:rsidR="00E03171">
        <w:t xml:space="preserve">and thereby increasing revenues for </w:t>
      </w:r>
      <w:r w:rsidR="002E56DC">
        <w:t>haulers and customers alike in the process.</w:t>
      </w:r>
      <w:r w:rsidR="00E03171">
        <w:rPr>
          <w:rStyle w:val="FootnoteReference"/>
        </w:rPr>
        <w:footnoteReference w:id="6"/>
      </w:r>
      <w:r w:rsidR="002E56DC">
        <w:t xml:space="preserve">  </w:t>
      </w:r>
    </w:p>
    <w:p w14:paraId="36A981A7" w14:textId="77777777" w:rsidR="0011410E" w:rsidRPr="00645803" w:rsidRDefault="002E56DC" w:rsidP="001C5A75">
      <w:pPr>
        <w:pStyle w:val="BodyText"/>
      </w:pPr>
      <w:r>
        <w:t>While appreciating the recent notice of further consider</w:t>
      </w:r>
      <w:r w:rsidR="00E03171">
        <w:t>ation of revenue share program rules,</w:t>
      </w:r>
      <w:r>
        <w:t xml:space="preserve"> Waste Connections </w:t>
      </w:r>
      <w:r w:rsidR="00CF223C">
        <w:t xml:space="preserve">nevertheless </w:t>
      </w:r>
      <w:r>
        <w:t>also believes that revenue share clarification is not now the priority it may have been in previous years and prefers instead this issue be considered in the larger context</w:t>
      </w:r>
      <w:r w:rsidR="0011410E">
        <w:t xml:space="preserve"> of the solid waste general rate case procedural rulemaking that has been pending since fall, 2013</w:t>
      </w:r>
      <w:r w:rsidR="00E03171">
        <w:t>,</w:t>
      </w:r>
      <w:r w:rsidR="0011410E">
        <w:t xml:space="preserve"> in Docket No. A-130355.</w:t>
      </w:r>
    </w:p>
    <w:p w14:paraId="36A981A8" w14:textId="77777777" w:rsidR="00247165" w:rsidRDefault="00645803" w:rsidP="001C5A75">
      <w:pPr>
        <w:pStyle w:val="BodyText"/>
      </w:pPr>
      <w:r w:rsidRPr="00645803">
        <w:t xml:space="preserve">As we understand it, only a few </w:t>
      </w:r>
      <w:r w:rsidR="002A5367">
        <w:t xml:space="preserve">solid waste </w:t>
      </w:r>
      <w:r w:rsidRPr="00645803">
        <w:t>companies in King, Snohomish and</w:t>
      </w:r>
      <w:r w:rsidR="00E411E7">
        <w:t xml:space="preserve"> possibly</w:t>
      </w:r>
      <w:r w:rsidRPr="00645803">
        <w:t xml:space="preserve"> Kitsap Counties are still undertaking revenue share agreements within their respective counties and</w:t>
      </w:r>
      <w:r w:rsidR="00E411E7">
        <w:t xml:space="preserve">, </w:t>
      </w:r>
      <w:r w:rsidRPr="00645803">
        <w:t>as noted</w:t>
      </w:r>
      <w:r w:rsidR="00E411E7">
        <w:t>,</w:t>
      </w:r>
      <w:r w:rsidRPr="00645803">
        <w:t xml:space="preserve"> the </w:t>
      </w:r>
      <w:r w:rsidR="00332295">
        <w:t>scope</w:t>
      </w:r>
      <w:r w:rsidRPr="00645803">
        <w:t xml:space="preserve"> of such programs has been substantially curtailed and/or eliminated in other counties.  </w:t>
      </w:r>
    </w:p>
    <w:p w14:paraId="36A981A9" w14:textId="77777777" w:rsidR="00645803" w:rsidRPr="00645803" w:rsidRDefault="00247165" w:rsidP="001C5A75">
      <w:pPr>
        <w:pStyle w:val="BodyText"/>
      </w:pPr>
      <w:r>
        <w:t xml:space="preserve">We believe most stakeholders would like to see that trend reversed.  </w:t>
      </w:r>
      <w:r w:rsidR="00645803" w:rsidRPr="00645803">
        <w:t>We look forward to working with the Commission and its staff in seeking additional consensus and clarification of the Interpretive and Policy Statement</w:t>
      </w:r>
      <w:r w:rsidR="00332295">
        <w:t>,</w:t>
      </w:r>
      <w:r w:rsidR="00645803" w:rsidRPr="00645803">
        <w:t xml:space="preserve"> but again, believe its codification </w:t>
      </w:r>
      <w:r w:rsidR="00E411E7">
        <w:t xml:space="preserve">in rule </w:t>
      </w:r>
      <w:r w:rsidR="002A5367">
        <w:t xml:space="preserve">now </w:t>
      </w:r>
      <w:r w:rsidR="00645803" w:rsidRPr="00645803">
        <w:t xml:space="preserve">is not consistent with the public interest and not reflective of larger regulatory policy </w:t>
      </w:r>
      <w:r w:rsidR="002A5367">
        <w:t xml:space="preserve">reviews </w:t>
      </w:r>
      <w:r w:rsidR="00332295">
        <w:t xml:space="preserve">in which </w:t>
      </w:r>
      <w:r w:rsidR="00645803" w:rsidRPr="00645803">
        <w:t>the Commission</w:t>
      </w:r>
      <w:r w:rsidR="00E411E7">
        <w:t xml:space="preserve"> is now </w:t>
      </w:r>
      <w:r w:rsidR="00332295">
        <w:t>engaged.</w:t>
      </w:r>
      <w:r w:rsidR="0011410E">
        <w:t xml:space="preserve">  Thank you again for this opportunity to comment.</w:t>
      </w:r>
    </w:p>
    <w:p w14:paraId="36A981AA" w14:textId="77777777" w:rsidR="00645803" w:rsidRPr="00645803" w:rsidRDefault="00645803" w:rsidP="00645803">
      <w:pPr>
        <w:spacing w:line="360" w:lineRule="auto"/>
        <w:rPr>
          <w:rFonts w:ascii="Times New Roman" w:hAnsi="Times New Roman"/>
          <w:sz w:val="24"/>
          <w:szCs w:val="24"/>
        </w:rPr>
      </w:pPr>
    </w:p>
    <w:p w14:paraId="36A981AB" w14:textId="77777777" w:rsidR="00645803" w:rsidRPr="00645803" w:rsidRDefault="0011410E" w:rsidP="00645803">
      <w:pPr>
        <w:rPr>
          <w:rFonts w:ascii="Times New Roman" w:hAnsi="Times New Roman"/>
          <w:sz w:val="24"/>
          <w:szCs w:val="24"/>
        </w:rPr>
      </w:pPr>
      <w:r>
        <w:rPr>
          <w:rFonts w:ascii="Times New Roman" w:hAnsi="Times New Roman"/>
          <w:sz w:val="24"/>
          <w:szCs w:val="24"/>
        </w:rPr>
        <w:t>Yours truly</w:t>
      </w:r>
      <w:r w:rsidR="00645803" w:rsidRPr="00645803">
        <w:rPr>
          <w:rFonts w:ascii="Times New Roman" w:hAnsi="Times New Roman"/>
          <w:sz w:val="24"/>
          <w:szCs w:val="24"/>
        </w:rPr>
        <w:t>,</w:t>
      </w:r>
    </w:p>
    <w:p w14:paraId="36A981AC" w14:textId="77777777" w:rsidR="00645803" w:rsidRDefault="00645803" w:rsidP="00645803">
      <w:pPr>
        <w:rPr>
          <w:rFonts w:ascii="Times New Roman" w:hAnsi="Times New Roman"/>
          <w:sz w:val="24"/>
          <w:szCs w:val="24"/>
        </w:rPr>
      </w:pPr>
    </w:p>
    <w:p w14:paraId="36A981AD" w14:textId="77777777" w:rsidR="00592542" w:rsidRDefault="00592542" w:rsidP="00645803">
      <w:pPr>
        <w:rPr>
          <w:rFonts w:ascii="Times New Roman" w:hAnsi="Times New Roman"/>
          <w:sz w:val="24"/>
          <w:szCs w:val="24"/>
        </w:rPr>
      </w:pPr>
    </w:p>
    <w:p w14:paraId="36A981AE" w14:textId="77777777" w:rsidR="00592542" w:rsidRPr="00645803" w:rsidRDefault="00592542" w:rsidP="00645803">
      <w:pPr>
        <w:rPr>
          <w:rFonts w:ascii="Times New Roman" w:hAnsi="Times New Roman"/>
          <w:sz w:val="24"/>
          <w:szCs w:val="24"/>
        </w:rPr>
      </w:pPr>
    </w:p>
    <w:p w14:paraId="36A981AF" w14:textId="77777777" w:rsidR="00645803" w:rsidRDefault="00645803" w:rsidP="00645803">
      <w:pPr>
        <w:rPr>
          <w:rFonts w:ascii="Times New Roman" w:hAnsi="Times New Roman"/>
          <w:sz w:val="24"/>
          <w:szCs w:val="24"/>
        </w:rPr>
      </w:pPr>
      <w:r w:rsidRPr="00645803">
        <w:rPr>
          <w:rFonts w:ascii="Times New Roman" w:hAnsi="Times New Roman"/>
          <w:sz w:val="24"/>
          <w:szCs w:val="24"/>
        </w:rPr>
        <w:t>David W. Wiley</w:t>
      </w:r>
    </w:p>
    <w:p w14:paraId="36A981B0" w14:textId="77777777" w:rsidR="00592542" w:rsidRDefault="00592542" w:rsidP="00592542">
      <w:pPr>
        <w:jc w:val="both"/>
        <w:rPr>
          <w:rFonts w:ascii="Times New Roman" w:hAnsi="Times New Roman"/>
          <w:sz w:val="24"/>
          <w:szCs w:val="24"/>
        </w:rPr>
      </w:pPr>
      <w:r>
        <w:rPr>
          <w:rFonts w:ascii="Times New Roman" w:hAnsi="Times New Roman"/>
          <w:sz w:val="24"/>
          <w:szCs w:val="24"/>
        </w:rPr>
        <w:t xml:space="preserve">Attorney at </w:t>
      </w:r>
      <w:r w:rsidR="00A56546">
        <w:rPr>
          <w:rFonts w:ascii="Times New Roman" w:hAnsi="Times New Roman"/>
          <w:sz w:val="24"/>
          <w:szCs w:val="24"/>
        </w:rPr>
        <w:t>L</w:t>
      </w:r>
      <w:r>
        <w:rPr>
          <w:rFonts w:ascii="Times New Roman" w:hAnsi="Times New Roman"/>
          <w:sz w:val="24"/>
          <w:szCs w:val="24"/>
        </w:rPr>
        <w:t>aw</w:t>
      </w:r>
    </w:p>
    <w:p w14:paraId="36A981B1" w14:textId="77777777" w:rsidR="00592542" w:rsidRDefault="00592542" w:rsidP="00592542">
      <w:pPr>
        <w:jc w:val="both"/>
        <w:rPr>
          <w:rFonts w:ascii="Times New Roman" w:hAnsi="Times New Roman"/>
          <w:sz w:val="24"/>
          <w:szCs w:val="24"/>
        </w:rPr>
      </w:pPr>
      <w:r>
        <w:rPr>
          <w:rFonts w:ascii="Times New Roman" w:hAnsi="Times New Roman"/>
          <w:sz w:val="24"/>
          <w:szCs w:val="24"/>
        </w:rPr>
        <w:t>206-233-2895</w:t>
      </w:r>
    </w:p>
    <w:p w14:paraId="36A981B2" w14:textId="77777777" w:rsidR="00592542" w:rsidRPr="00645803" w:rsidRDefault="00592542" w:rsidP="00592542">
      <w:pPr>
        <w:jc w:val="both"/>
        <w:rPr>
          <w:rFonts w:ascii="Times New Roman" w:hAnsi="Times New Roman"/>
          <w:sz w:val="24"/>
          <w:szCs w:val="24"/>
        </w:rPr>
      </w:pPr>
      <w:r>
        <w:rPr>
          <w:rFonts w:ascii="Times New Roman" w:hAnsi="Times New Roman"/>
          <w:sz w:val="24"/>
          <w:szCs w:val="24"/>
        </w:rPr>
        <w:t>dwiley@williamskastner.com</w:t>
      </w:r>
    </w:p>
    <w:bookmarkEnd w:id="9"/>
    <w:sectPr w:rsidR="00592542" w:rsidRPr="00645803" w:rsidSect="004B693B">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2016" w:left="1080" w:header="720" w:footer="470" w:gutter="0"/>
      <w:paperSrc w:first="262" w:other="26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981B7" w14:textId="77777777" w:rsidR="00F543A7" w:rsidRDefault="00F543A7">
      <w:r>
        <w:separator/>
      </w:r>
    </w:p>
  </w:endnote>
  <w:endnote w:type="continuationSeparator" w:id="0">
    <w:p w14:paraId="36A981B8" w14:textId="77777777" w:rsidR="00F543A7" w:rsidRDefault="00F5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81C1" w14:textId="77777777" w:rsidR="00A34C97" w:rsidRDefault="00A34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81C2" w14:textId="77777777" w:rsidR="00787DF6" w:rsidRDefault="001C0D82" w:rsidP="001C0D82">
    <w:pPr>
      <w:pStyle w:val="Footer"/>
      <w:tabs>
        <w:tab w:val="clear" w:pos="9360"/>
        <w:tab w:val="right" w:pos="10080"/>
      </w:tabs>
      <w:spacing w:line="160" w:lineRule="exact"/>
      <w:rPr>
        <w:szCs w:val="18"/>
      </w:rPr>
    </w:pPr>
    <w:r>
      <w:rPr>
        <w:sz w:val="16"/>
        <w:szCs w:val="18"/>
      </w:rPr>
      <w:fldChar w:fldCharType="begin"/>
    </w:r>
    <w:r>
      <w:rPr>
        <w:sz w:val="16"/>
        <w:szCs w:val="18"/>
      </w:rPr>
      <w:instrText xml:space="preserve"> </w:instrText>
    </w:r>
    <w:r w:rsidRPr="001C0D82">
      <w:rPr>
        <w:sz w:val="16"/>
        <w:szCs w:val="18"/>
      </w:rPr>
      <w:instrText>IF "</w:instrText>
    </w:r>
    <w:r w:rsidRPr="001C0D82">
      <w:rPr>
        <w:sz w:val="16"/>
        <w:szCs w:val="18"/>
      </w:rPr>
      <w:fldChar w:fldCharType="begin"/>
    </w:r>
    <w:r w:rsidRPr="001C0D82">
      <w:rPr>
        <w:sz w:val="16"/>
        <w:szCs w:val="18"/>
      </w:rPr>
      <w:instrText xml:space="preserve"> DOCVARIABLE "SWDocIDLocation" </w:instrText>
    </w:r>
    <w:r w:rsidRPr="001C0D82">
      <w:rPr>
        <w:sz w:val="16"/>
        <w:szCs w:val="18"/>
      </w:rPr>
      <w:fldChar w:fldCharType="separate"/>
    </w:r>
    <w:r w:rsidR="00946F57">
      <w:rPr>
        <w:sz w:val="16"/>
        <w:szCs w:val="18"/>
      </w:rPr>
      <w:instrText>1</w:instrText>
    </w:r>
    <w:r w:rsidRPr="001C0D82">
      <w:rPr>
        <w:sz w:val="16"/>
        <w:szCs w:val="18"/>
      </w:rPr>
      <w:fldChar w:fldCharType="end"/>
    </w:r>
    <w:r w:rsidRPr="001C0D82">
      <w:rPr>
        <w:sz w:val="16"/>
        <w:szCs w:val="18"/>
      </w:rPr>
      <w:instrText>" = "1" "</w:instrText>
    </w:r>
    <w:r w:rsidRPr="001C0D82">
      <w:rPr>
        <w:sz w:val="16"/>
        <w:szCs w:val="18"/>
      </w:rPr>
      <w:fldChar w:fldCharType="begin"/>
    </w:r>
    <w:r w:rsidRPr="001C0D82">
      <w:rPr>
        <w:sz w:val="16"/>
        <w:szCs w:val="18"/>
      </w:rPr>
      <w:instrText xml:space="preserve"> DOCPROPERTY "SWDocID" </w:instrText>
    </w:r>
    <w:r w:rsidRPr="001C0D82">
      <w:rPr>
        <w:sz w:val="16"/>
        <w:szCs w:val="18"/>
      </w:rPr>
      <w:fldChar w:fldCharType="separate"/>
    </w:r>
    <w:r w:rsidR="00946F57">
      <w:rPr>
        <w:sz w:val="16"/>
        <w:szCs w:val="18"/>
      </w:rPr>
      <w:instrText xml:space="preserve"> 5622222.4</w:instrText>
    </w:r>
    <w:r w:rsidRPr="001C0D82">
      <w:rPr>
        <w:sz w:val="16"/>
        <w:szCs w:val="18"/>
      </w:rPr>
      <w:fldChar w:fldCharType="end"/>
    </w:r>
    <w:r w:rsidRPr="001C0D82">
      <w:rPr>
        <w:sz w:val="16"/>
        <w:szCs w:val="18"/>
      </w:rPr>
      <w:instrText>" ""</w:instrText>
    </w:r>
    <w:r>
      <w:rPr>
        <w:sz w:val="16"/>
        <w:szCs w:val="18"/>
      </w:rPr>
      <w:instrText xml:space="preserve"> </w:instrText>
    </w:r>
    <w:r>
      <w:rPr>
        <w:sz w:val="16"/>
        <w:szCs w:val="18"/>
      </w:rPr>
      <w:fldChar w:fldCharType="separate"/>
    </w:r>
    <w:r w:rsidR="00946F57">
      <w:rPr>
        <w:noProof/>
        <w:sz w:val="16"/>
        <w:szCs w:val="18"/>
      </w:rPr>
      <w:t xml:space="preserve"> 5622222.4</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81C4" w14:textId="77777777" w:rsidR="001C0D82" w:rsidRDefault="00754500">
    <w:pPr>
      <w:pStyle w:val="Footer"/>
      <w:spacing w:line="160" w:lineRule="exact"/>
    </w:pPr>
    <w:r>
      <w:rPr>
        <w:noProof/>
      </w:rPr>
      <w:drawing>
        <wp:anchor distT="0" distB="0" distL="114300" distR="114300" simplePos="0" relativeHeight="251659264" behindDoc="0" locked="0" layoutInCell="1" allowOverlap="1" wp14:anchorId="36A981C6" wp14:editId="36A981C7">
          <wp:simplePos x="0" y="0"/>
          <wp:positionH relativeFrom="column">
            <wp:align>right</wp:align>
          </wp:positionH>
          <wp:positionV relativeFrom="paragraph">
            <wp:posOffset>-822960</wp:posOffset>
          </wp:positionV>
          <wp:extent cx="1307592" cy="978408"/>
          <wp:effectExtent l="0" t="0" r="6985" b="0"/>
          <wp:wrapSquare wrapText="bothSides"/>
          <wp:docPr id="3" name="Picture 3" descr="C:\Users\atruan\Desktop\Innova Temp\New Address Logos\Williams-Kastner-Seattle-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ruan\Desktop\Innova Temp\New Address Logos\Williams-Kastner-Seattle-ADDRESS.PNG"/>
                  <pic:cNvPicPr>
                    <a:picLocks noChangeAspect="1" noChangeArrowheads="1"/>
                  </pic:cNvPicPr>
                </pic:nvPicPr>
                <pic:blipFill>
                  <a:blip r:embed="rId1" cstate="print">
                    <a:lum bright="100000" contrast="100000"/>
                    <a:extLst>
                      <a:ext uri="{28A0092B-C50C-407E-A947-70E740481C1C}">
                        <a14:useLocalDpi xmlns:a14="http://schemas.microsoft.com/office/drawing/2010/main" val="0"/>
                      </a:ext>
                    </a:extLst>
                  </a:blip>
                  <a:srcRect/>
                  <a:stretch>
                    <a:fillRect/>
                  </a:stretch>
                </pic:blipFill>
                <pic:spPr bwMode="auto">
                  <a:xfrm>
                    <a:off x="0" y="0"/>
                    <a:ext cx="1307592" cy="9784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981C5" w14:textId="77777777" w:rsidR="00787DF6" w:rsidRDefault="001C0D82" w:rsidP="001C0D82">
    <w:pPr>
      <w:pStyle w:val="Footer"/>
      <w:spacing w:line="160" w:lineRule="exact"/>
    </w:pPr>
    <w:r>
      <w:rPr>
        <w:sz w:val="16"/>
      </w:rPr>
      <w:fldChar w:fldCharType="begin"/>
    </w:r>
    <w:r>
      <w:rPr>
        <w:sz w:val="16"/>
      </w:rPr>
      <w:instrText xml:space="preserve"> </w:instrText>
    </w:r>
    <w:r w:rsidRPr="001C0D82">
      <w:rPr>
        <w:sz w:val="16"/>
      </w:rPr>
      <w:instrText>IF "</w:instrText>
    </w:r>
    <w:r w:rsidRPr="001C0D82">
      <w:rPr>
        <w:sz w:val="16"/>
      </w:rPr>
      <w:fldChar w:fldCharType="begin"/>
    </w:r>
    <w:r w:rsidRPr="001C0D82">
      <w:rPr>
        <w:sz w:val="16"/>
      </w:rPr>
      <w:instrText xml:space="preserve"> DOCVARIABLE "SWDocIDLocation" </w:instrText>
    </w:r>
    <w:r w:rsidRPr="001C0D82">
      <w:rPr>
        <w:sz w:val="16"/>
      </w:rPr>
      <w:fldChar w:fldCharType="separate"/>
    </w:r>
    <w:r w:rsidR="00946F57">
      <w:rPr>
        <w:sz w:val="16"/>
      </w:rPr>
      <w:instrText>1</w:instrText>
    </w:r>
    <w:r w:rsidRPr="001C0D82">
      <w:rPr>
        <w:sz w:val="16"/>
      </w:rPr>
      <w:fldChar w:fldCharType="end"/>
    </w:r>
    <w:r w:rsidRPr="001C0D82">
      <w:rPr>
        <w:sz w:val="16"/>
      </w:rPr>
      <w:instrText>" = "1" "</w:instrText>
    </w:r>
    <w:r w:rsidRPr="001C0D82">
      <w:rPr>
        <w:sz w:val="16"/>
      </w:rPr>
      <w:fldChar w:fldCharType="begin"/>
    </w:r>
    <w:r w:rsidRPr="001C0D82">
      <w:rPr>
        <w:sz w:val="16"/>
      </w:rPr>
      <w:instrText xml:space="preserve"> DOCPROPERTY "SWDocID" </w:instrText>
    </w:r>
    <w:r w:rsidRPr="001C0D82">
      <w:rPr>
        <w:sz w:val="16"/>
      </w:rPr>
      <w:fldChar w:fldCharType="separate"/>
    </w:r>
    <w:r w:rsidR="00946F57">
      <w:rPr>
        <w:sz w:val="16"/>
      </w:rPr>
      <w:instrText xml:space="preserve"> 5622222.4</w:instrText>
    </w:r>
    <w:r w:rsidRPr="001C0D82">
      <w:rPr>
        <w:sz w:val="16"/>
      </w:rPr>
      <w:fldChar w:fldCharType="end"/>
    </w:r>
    <w:r w:rsidRPr="001C0D82">
      <w:rPr>
        <w:sz w:val="16"/>
      </w:rPr>
      <w:instrText>" ""</w:instrText>
    </w:r>
    <w:r>
      <w:rPr>
        <w:sz w:val="16"/>
      </w:rPr>
      <w:instrText xml:space="preserve"> </w:instrText>
    </w:r>
    <w:r>
      <w:rPr>
        <w:sz w:val="16"/>
      </w:rPr>
      <w:fldChar w:fldCharType="separate"/>
    </w:r>
    <w:r w:rsidR="00946F57">
      <w:rPr>
        <w:noProof/>
        <w:sz w:val="16"/>
      </w:rPr>
      <w:t xml:space="preserve"> 5622222.4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981B5" w14:textId="77777777" w:rsidR="00F543A7" w:rsidRDefault="00F543A7">
      <w:r>
        <w:separator/>
      </w:r>
    </w:p>
  </w:footnote>
  <w:footnote w:type="continuationSeparator" w:id="0">
    <w:p w14:paraId="36A981B6" w14:textId="77777777" w:rsidR="00F543A7" w:rsidRDefault="00F543A7">
      <w:r>
        <w:continuationSeparator/>
      </w:r>
    </w:p>
  </w:footnote>
  <w:footnote w:id="1">
    <w:p w14:paraId="36A981C8" w14:textId="77777777" w:rsidR="004276F7" w:rsidRPr="00E90588" w:rsidRDefault="004276F7">
      <w:pPr>
        <w:pStyle w:val="FootnoteText"/>
        <w:rPr>
          <w:rFonts w:ascii="Times New Roman" w:hAnsi="Times New Roman"/>
        </w:rPr>
      </w:pPr>
      <w:r>
        <w:rPr>
          <w:rStyle w:val="FootnoteReference"/>
        </w:rPr>
        <w:footnoteRef/>
      </w:r>
      <w:r>
        <w:t xml:space="preserve"> </w:t>
      </w:r>
      <w:r w:rsidRPr="00E90588">
        <w:rPr>
          <w:rFonts w:ascii="Times New Roman" w:hAnsi="Times New Roman"/>
        </w:rPr>
        <w:t xml:space="preserve">See i.e, Docket Nos. TG-101220, 101221, 101222, (2011); </w:t>
      </w:r>
      <w:r w:rsidR="00066356" w:rsidRPr="00E90588">
        <w:rPr>
          <w:rFonts w:ascii="Times New Roman" w:hAnsi="Times New Roman"/>
        </w:rPr>
        <w:t>TG-</w:t>
      </w:r>
      <w:r w:rsidRPr="00E90588">
        <w:rPr>
          <w:rFonts w:ascii="Times New Roman" w:hAnsi="Times New Roman"/>
        </w:rPr>
        <w:t xml:space="preserve">111813, 111814, 111815 (2012); TG-111991, 111992, 111913 (2011); </w:t>
      </w:r>
      <w:r w:rsidR="00066356" w:rsidRPr="00E90588">
        <w:rPr>
          <w:rFonts w:ascii="Times New Roman" w:hAnsi="Times New Roman"/>
        </w:rPr>
        <w:t xml:space="preserve">and </w:t>
      </w:r>
      <w:r w:rsidRPr="00E90588">
        <w:rPr>
          <w:rFonts w:ascii="Times New Roman" w:hAnsi="Times New Roman"/>
        </w:rPr>
        <w:t>for Waste Connections</w:t>
      </w:r>
      <w:r w:rsidR="00013038" w:rsidRPr="00E90588">
        <w:rPr>
          <w:rFonts w:ascii="Times New Roman" w:hAnsi="Times New Roman"/>
        </w:rPr>
        <w:t xml:space="preserve"> companies</w:t>
      </w:r>
      <w:r w:rsidRPr="00E90588">
        <w:rPr>
          <w:rFonts w:ascii="Times New Roman" w:hAnsi="Times New Roman"/>
        </w:rPr>
        <w:t>, TG-111672, 111674, 111681, 120073</w:t>
      </w:r>
      <w:r w:rsidR="00066356" w:rsidRPr="00E90588">
        <w:rPr>
          <w:rFonts w:ascii="Times New Roman" w:hAnsi="Times New Roman"/>
        </w:rPr>
        <w:t xml:space="preserve"> (2011-2013)</w:t>
      </w:r>
      <w:r w:rsidRPr="00E90588">
        <w:rPr>
          <w:rFonts w:ascii="Times New Roman" w:hAnsi="Times New Roman"/>
        </w:rPr>
        <w:t>.</w:t>
      </w:r>
    </w:p>
  </w:footnote>
  <w:footnote w:id="2">
    <w:p w14:paraId="36A981C9" w14:textId="77777777" w:rsidR="009028C1" w:rsidRPr="009028C1" w:rsidRDefault="009028C1">
      <w:pPr>
        <w:pStyle w:val="FootnoteText"/>
        <w:rPr>
          <w:u w:val="single"/>
        </w:rPr>
      </w:pPr>
      <w:r w:rsidRPr="00E90588">
        <w:rPr>
          <w:rStyle w:val="FootnoteReference"/>
          <w:rFonts w:ascii="Times New Roman" w:hAnsi="Times New Roman"/>
        </w:rPr>
        <w:footnoteRef/>
      </w:r>
      <w:r w:rsidRPr="00E90588">
        <w:rPr>
          <w:rFonts w:ascii="Times New Roman" w:hAnsi="Times New Roman"/>
        </w:rPr>
        <w:t xml:space="preserve"> </w:t>
      </w:r>
      <w:r w:rsidRPr="00E90588">
        <w:rPr>
          <w:rFonts w:ascii="Times New Roman" w:hAnsi="Times New Roman"/>
          <w:i/>
        </w:rPr>
        <w:t>Washington Educ. Ass’n v. Public Disclosure Comm’n,</w:t>
      </w:r>
      <w:r w:rsidRPr="00E90588">
        <w:rPr>
          <w:rFonts w:ascii="Times New Roman" w:hAnsi="Times New Roman"/>
        </w:rPr>
        <w:t xml:space="preserve"> 150 Wn2d 612,619 (2003).</w:t>
      </w:r>
    </w:p>
  </w:footnote>
  <w:footnote w:id="3">
    <w:p w14:paraId="36A981CA" w14:textId="77777777" w:rsidR="00E768EF" w:rsidRDefault="00701C8B" w:rsidP="00E768EF">
      <w:pPr>
        <w:rPr>
          <w:rFonts w:ascii="Book Antiqua" w:hAnsi="Book Antiqua"/>
          <w:color w:val="0D0D0D"/>
          <w:sz w:val="20"/>
          <w:szCs w:val="20"/>
        </w:rPr>
      </w:pPr>
      <w:r>
        <w:rPr>
          <w:rStyle w:val="FootnoteReference"/>
        </w:rPr>
        <w:footnoteRef/>
      </w:r>
      <w:r>
        <w:t xml:space="preserve"> </w:t>
      </w:r>
      <w:r w:rsidRPr="00E90588">
        <w:rPr>
          <w:rFonts w:ascii="Times New Roman" w:eastAsia="Times New Roman" w:hAnsi="Times New Roman"/>
          <w:sz w:val="20"/>
          <w:szCs w:val="24"/>
          <w:u w:val="single"/>
        </w:rPr>
        <w:t>Recycling Revenue Sharing, A Staff Summary of the Implementation of RCW 81.77.185</w:t>
      </w:r>
      <w:r w:rsidRPr="00E90588">
        <w:rPr>
          <w:rFonts w:ascii="Times New Roman" w:eastAsia="Times New Roman" w:hAnsi="Times New Roman"/>
          <w:sz w:val="20"/>
          <w:szCs w:val="24"/>
        </w:rPr>
        <w:t xml:space="preserve"> (SHB 2308), May 2003, at 10.</w:t>
      </w:r>
      <w:r w:rsidR="00E768EF" w:rsidRPr="00E90588">
        <w:rPr>
          <w:rFonts w:ascii="Times New Roman" w:hAnsi="Times New Roman"/>
        </w:rPr>
        <w:t xml:space="preserve"> </w:t>
      </w:r>
      <w:hyperlink r:id="rId1" w:history="1">
        <w:r w:rsidR="00E768EF">
          <w:rPr>
            <w:rStyle w:val="Hyperlink"/>
            <w:rFonts w:ascii="Book Antiqua" w:hAnsi="Book Antiqua"/>
            <w:sz w:val="20"/>
            <w:szCs w:val="20"/>
          </w:rPr>
          <w:t>http://www.wutc.wa.gov/webdocs.nsf/b8da29aede8fdd67882571430005a9c1/f4ba8447a5c62a1688256d9f0000c0a2/$FILE/Recycling%20Revenue%20Sharing%20Staff%20Summary%20May%202003.pdf</w:t>
        </w:r>
      </w:hyperlink>
    </w:p>
    <w:p w14:paraId="36A981CB" w14:textId="77777777" w:rsidR="00701C8B" w:rsidRDefault="00701C8B">
      <w:pPr>
        <w:pStyle w:val="FootnoteText"/>
      </w:pPr>
    </w:p>
  </w:footnote>
  <w:footnote w:id="4">
    <w:p w14:paraId="36A981CC" w14:textId="77777777" w:rsidR="00EC63E4" w:rsidRPr="00E90588" w:rsidRDefault="00EC63E4">
      <w:pPr>
        <w:pStyle w:val="FootnoteText"/>
        <w:rPr>
          <w:rFonts w:ascii="Times New Roman" w:hAnsi="Times New Roman"/>
        </w:rPr>
      </w:pPr>
      <w:r>
        <w:rPr>
          <w:rStyle w:val="FootnoteReference"/>
        </w:rPr>
        <w:footnoteRef/>
      </w:r>
      <w:r>
        <w:t xml:space="preserve"> </w:t>
      </w:r>
      <w:r w:rsidRPr="00E90588">
        <w:rPr>
          <w:rFonts w:ascii="Times New Roman" w:hAnsi="Times New Roman"/>
        </w:rPr>
        <w:t>Nor has it fostered expan</w:t>
      </w:r>
      <w:r w:rsidR="00E85208" w:rsidRPr="00E90588">
        <w:rPr>
          <w:rFonts w:ascii="Times New Roman" w:hAnsi="Times New Roman"/>
        </w:rPr>
        <w:t xml:space="preserve">sion </w:t>
      </w:r>
      <w:r w:rsidR="00964097" w:rsidRPr="00E90588">
        <w:rPr>
          <w:rFonts w:ascii="Times New Roman" w:hAnsi="Times New Roman"/>
        </w:rPr>
        <w:t>in</w:t>
      </w:r>
      <w:r w:rsidR="00E85208" w:rsidRPr="00E90588">
        <w:rPr>
          <w:rFonts w:ascii="Times New Roman" w:hAnsi="Times New Roman"/>
        </w:rPr>
        <w:t>to previous non-participating</w:t>
      </w:r>
      <w:r w:rsidRPr="00E90588">
        <w:rPr>
          <w:rFonts w:ascii="Times New Roman" w:hAnsi="Times New Roman"/>
        </w:rPr>
        <w:t xml:space="preserve"> Washington counties in which Waste Connection</w:t>
      </w:r>
      <w:r w:rsidR="00E85208" w:rsidRPr="00E90588">
        <w:rPr>
          <w:rFonts w:ascii="Times New Roman" w:hAnsi="Times New Roman"/>
        </w:rPr>
        <w:t>s</w:t>
      </w:r>
      <w:r w:rsidRPr="00E90588">
        <w:rPr>
          <w:rFonts w:ascii="Times New Roman" w:hAnsi="Times New Roman"/>
        </w:rPr>
        <w:t xml:space="preserve"> operates.</w:t>
      </w:r>
    </w:p>
  </w:footnote>
  <w:footnote w:id="5">
    <w:p w14:paraId="36A981CD" w14:textId="77777777" w:rsidR="0023154C" w:rsidRPr="00E90588" w:rsidRDefault="00413F11" w:rsidP="0023154C">
      <w:pPr>
        <w:pStyle w:val="FootnoteText"/>
        <w:rPr>
          <w:rFonts w:ascii="Times New Roman" w:hAnsi="Times New Roman"/>
        </w:rPr>
      </w:pPr>
      <w:r w:rsidRPr="00E90588">
        <w:rPr>
          <w:rStyle w:val="FootnoteReference"/>
          <w:rFonts w:ascii="Times New Roman" w:hAnsi="Times New Roman"/>
        </w:rPr>
        <w:footnoteRef/>
      </w:r>
      <w:r w:rsidRPr="00E90588">
        <w:rPr>
          <w:rFonts w:ascii="Times New Roman" w:hAnsi="Times New Roman"/>
        </w:rPr>
        <w:t xml:space="preserve"> Many regulated Washington solid waste collection companies also have transfer</w:t>
      </w:r>
      <w:r w:rsidR="00964097" w:rsidRPr="00E90588">
        <w:rPr>
          <w:rFonts w:ascii="Times New Roman" w:hAnsi="Times New Roman"/>
        </w:rPr>
        <w:t>,</w:t>
      </w:r>
      <w:r w:rsidRPr="00E90588">
        <w:rPr>
          <w:rFonts w:ascii="Times New Roman" w:hAnsi="Times New Roman"/>
        </w:rPr>
        <w:t xml:space="preserve"> treatment and/or disposal affiliates engaged in the solid waste industry.</w:t>
      </w:r>
      <w:r w:rsidR="0023154C" w:rsidRPr="00E90588">
        <w:rPr>
          <w:rFonts w:ascii="Times New Roman" w:hAnsi="Times New Roman"/>
        </w:rPr>
        <w:t xml:space="preserve"> </w:t>
      </w:r>
      <w:r w:rsidR="00336F7D" w:rsidRPr="00E90588">
        <w:rPr>
          <w:rFonts w:ascii="Times New Roman" w:hAnsi="Times New Roman"/>
        </w:rPr>
        <w:t xml:space="preserve"> Obviously increasing recycling revenues has a </w:t>
      </w:r>
      <w:r w:rsidR="0023154C" w:rsidRPr="00E90588">
        <w:rPr>
          <w:rFonts w:ascii="Times New Roman" w:hAnsi="Times New Roman"/>
        </w:rPr>
        <w:t xml:space="preserve">concomitant impact in diminishing disposal volume at related facilities and expansion of recycling markets </w:t>
      </w:r>
      <w:r w:rsidR="00964097" w:rsidRPr="00E90588">
        <w:rPr>
          <w:rFonts w:ascii="Times New Roman" w:hAnsi="Times New Roman"/>
        </w:rPr>
        <w:t xml:space="preserve">and materials value </w:t>
      </w:r>
      <w:r w:rsidR="0023154C" w:rsidRPr="00E90588">
        <w:rPr>
          <w:rFonts w:ascii="Times New Roman" w:hAnsi="Times New Roman"/>
        </w:rPr>
        <w:t xml:space="preserve">with the simultaneous beneficial impact of increasing recycling is not only an environmental benefit but a commercial enterprise opportunity which legislative study groups </w:t>
      </w:r>
      <w:r w:rsidR="00964097" w:rsidRPr="00E90588">
        <w:rPr>
          <w:rFonts w:ascii="Times New Roman" w:hAnsi="Times New Roman"/>
        </w:rPr>
        <w:t xml:space="preserve">on revenue share </w:t>
      </w:r>
      <w:r w:rsidR="0023154C" w:rsidRPr="00E90588">
        <w:rPr>
          <w:rFonts w:ascii="Times New Roman" w:hAnsi="Times New Roman"/>
        </w:rPr>
        <w:t>address</w:t>
      </w:r>
      <w:r w:rsidR="00964097" w:rsidRPr="00E90588">
        <w:rPr>
          <w:rFonts w:ascii="Times New Roman" w:hAnsi="Times New Roman"/>
        </w:rPr>
        <w:t>ed</w:t>
      </w:r>
      <w:r w:rsidR="0023154C" w:rsidRPr="00E90588">
        <w:rPr>
          <w:rFonts w:ascii="Times New Roman" w:hAnsi="Times New Roman"/>
        </w:rPr>
        <w:t>.</w:t>
      </w:r>
    </w:p>
    <w:p w14:paraId="36A981CE" w14:textId="77777777" w:rsidR="0023154C" w:rsidRPr="00336F7D" w:rsidRDefault="00390138" w:rsidP="0023154C">
      <w:pPr>
        <w:pStyle w:val="FootnoteText"/>
        <w:jc w:val="center"/>
      </w:pPr>
      <w:sdt>
        <w:sdtPr>
          <w:id w:val="1463848869"/>
          <w:docPartObj>
            <w:docPartGallery w:val="Page Numbers (Bottom of Page)"/>
            <w:docPartUnique/>
          </w:docPartObj>
        </w:sdtPr>
        <w:sdtEndPr/>
        <w:sdtContent>
          <w:r w:rsidR="0023154C" w:rsidRPr="00336F7D">
            <w:fldChar w:fldCharType="begin"/>
          </w:r>
          <w:r w:rsidR="0023154C" w:rsidRPr="00336F7D">
            <w:instrText xml:space="preserve"> PAGE   \* MERGEFORMAT </w:instrText>
          </w:r>
          <w:r w:rsidR="0023154C" w:rsidRPr="00336F7D">
            <w:fldChar w:fldCharType="separate"/>
          </w:r>
          <w:r w:rsidR="00946F57">
            <w:rPr>
              <w:noProof/>
            </w:rPr>
            <w:t>3</w:t>
          </w:r>
          <w:r w:rsidR="0023154C" w:rsidRPr="00336F7D">
            <w:fldChar w:fldCharType="end"/>
          </w:r>
        </w:sdtContent>
      </w:sdt>
    </w:p>
    <w:p w14:paraId="36A981CF" w14:textId="77777777" w:rsidR="00413F11" w:rsidRDefault="00413F11" w:rsidP="00336F7D">
      <w:pPr>
        <w:pStyle w:val="FootnoteText"/>
      </w:pPr>
    </w:p>
  </w:footnote>
  <w:footnote w:id="6">
    <w:p w14:paraId="36A981D0" w14:textId="77777777" w:rsidR="00E03171" w:rsidRDefault="00E03171">
      <w:pPr>
        <w:pStyle w:val="FootnoteText"/>
      </w:pPr>
      <w:r>
        <w:rPr>
          <w:rStyle w:val="FootnoteReference"/>
        </w:rPr>
        <w:footnoteRef/>
      </w:r>
      <w:r>
        <w:t xml:space="preserve"> </w:t>
      </w:r>
      <w:r w:rsidRPr="00E90588">
        <w:rPr>
          <w:rFonts w:ascii="Times New Roman" w:hAnsi="Times New Roman"/>
        </w:rPr>
        <w:t xml:space="preserve">“The concept behind this model of revenue sharing is that if solid waste carriers are allowed to keep more recycling revenues, they will have greater financial interest in encouraging their customers to recycle more and in finding buyers for the recyclable commodities.”  </w:t>
      </w:r>
      <w:r w:rsidRPr="00E90588">
        <w:rPr>
          <w:rFonts w:ascii="Times New Roman" w:hAnsi="Times New Roman"/>
          <w:u w:val="single"/>
        </w:rPr>
        <w:t>Recycling Revenue Sharing, A Staff Summary of the Implementation of RCW 81.77.185</w:t>
      </w:r>
      <w:r w:rsidRPr="00E90588">
        <w:rPr>
          <w:rFonts w:ascii="Times New Roman" w:hAnsi="Times New Roman"/>
        </w:rPr>
        <w:t xml:space="preserve"> (SHB 2308), May 2003, at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81B9" w14:textId="77777777" w:rsidR="00A34C97" w:rsidRDefault="00A34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81BA" w14:textId="77777777" w:rsidR="00787DF6" w:rsidRDefault="00787DF6"/>
  <w:p w14:paraId="36A981BB" w14:textId="77777777" w:rsidR="00787DF6" w:rsidRPr="00116671" w:rsidRDefault="00F543A7">
    <w:pPr>
      <w:rPr>
        <w:rFonts w:ascii="Times New Roman" w:hAnsi="Times New Roman"/>
      </w:rPr>
    </w:pPr>
    <w:bookmarkStart w:id="10" w:name="ToInHeader"/>
    <w:r w:rsidRPr="00116671">
      <w:rPr>
        <w:rFonts w:ascii="Times New Roman" w:hAnsi="Times New Roman"/>
      </w:rPr>
      <w:t>Steven King</w:t>
    </w:r>
    <w:bookmarkEnd w:id="10"/>
  </w:p>
  <w:p w14:paraId="36A981BC" w14:textId="77777777" w:rsidR="00787DF6" w:rsidRPr="00116671" w:rsidRDefault="005E13EB">
    <w:pPr>
      <w:pStyle w:val="Header"/>
      <w:tabs>
        <w:tab w:val="clear" w:pos="4320"/>
        <w:tab w:val="clear" w:pos="8640"/>
      </w:tabs>
      <w:rPr>
        <w:rFonts w:ascii="Times New Roman" w:hAnsi="Times New Roman"/>
      </w:rPr>
    </w:pPr>
    <w:r w:rsidRPr="00116671">
      <w:rPr>
        <w:rFonts w:ascii="Times New Roman" w:hAnsi="Times New Roman"/>
      </w:rPr>
      <w:fldChar w:fldCharType="begin"/>
    </w:r>
    <w:r w:rsidRPr="00116671">
      <w:rPr>
        <w:rFonts w:ascii="Times New Roman" w:hAnsi="Times New Roman"/>
      </w:rPr>
      <w:instrText xml:space="preserve"> STYLEREF  Date  \* MERGEFORMAT </w:instrText>
    </w:r>
    <w:r w:rsidRPr="00116671">
      <w:rPr>
        <w:rFonts w:ascii="Times New Roman" w:hAnsi="Times New Roman"/>
      </w:rPr>
      <w:fldChar w:fldCharType="separate"/>
    </w:r>
    <w:r w:rsidR="00390138">
      <w:rPr>
        <w:rFonts w:ascii="Times New Roman" w:hAnsi="Times New Roman"/>
        <w:noProof/>
      </w:rPr>
      <w:t>November 23, 2015</w:t>
    </w:r>
    <w:r w:rsidRPr="00116671">
      <w:rPr>
        <w:rFonts w:ascii="Times New Roman" w:hAnsi="Times New Roman"/>
        <w:noProof/>
      </w:rPr>
      <w:fldChar w:fldCharType="end"/>
    </w:r>
  </w:p>
  <w:p w14:paraId="36A981BD" w14:textId="77777777" w:rsidR="00787DF6" w:rsidRPr="00116671" w:rsidRDefault="00754500">
    <w:pPr>
      <w:rPr>
        <w:rFonts w:ascii="Times New Roman" w:hAnsi="Times New Roman"/>
      </w:rPr>
    </w:pPr>
    <w:r w:rsidRPr="00116671">
      <w:rPr>
        <w:rFonts w:ascii="Times New Roman" w:hAnsi="Times New Roman"/>
      </w:rPr>
      <w:t xml:space="preserve">Page </w:t>
    </w:r>
    <w:r w:rsidRPr="00116671">
      <w:rPr>
        <w:rStyle w:val="PageNumber"/>
        <w:rFonts w:ascii="Times New Roman" w:hAnsi="Times New Roman"/>
      </w:rPr>
      <w:fldChar w:fldCharType="begin"/>
    </w:r>
    <w:r w:rsidRPr="00116671">
      <w:rPr>
        <w:rStyle w:val="PageNumber"/>
        <w:rFonts w:ascii="Times New Roman" w:hAnsi="Times New Roman"/>
      </w:rPr>
      <w:instrText xml:space="preserve"> PAGE </w:instrText>
    </w:r>
    <w:r w:rsidRPr="00116671">
      <w:rPr>
        <w:rStyle w:val="PageNumber"/>
        <w:rFonts w:ascii="Times New Roman" w:hAnsi="Times New Roman"/>
      </w:rPr>
      <w:fldChar w:fldCharType="separate"/>
    </w:r>
    <w:r w:rsidR="00390138">
      <w:rPr>
        <w:rStyle w:val="PageNumber"/>
        <w:rFonts w:ascii="Times New Roman" w:hAnsi="Times New Roman"/>
        <w:noProof/>
      </w:rPr>
      <w:t>2</w:t>
    </w:r>
    <w:r w:rsidRPr="00116671">
      <w:rPr>
        <w:rStyle w:val="PageNumber"/>
        <w:rFonts w:ascii="Times New Roman" w:hAnsi="Times New Roman"/>
      </w:rPr>
      <w:fldChar w:fldCharType="end"/>
    </w:r>
  </w:p>
  <w:p w14:paraId="36A981BE" w14:textId="77777777" w:rsidR="00787DF6" w:rsidRDefault="00787DF6">
    <w:pPr>
      <w:pStyle w:val="Header"/>
    </w:pPr>
  </w:p>
  <w:p w14:paraId="36A981BF" w14:textId="77777777" w:rsidR="00787DF6" w:rsidRDefault="00787DF6">
    <w:pPr>
      <w:pStyle w:val="Header"/>
    </w:pPr>
  </w:p>
  <w:p w14:paraId="36A981C0" w14:textId="77777777" w:rsidR="00787DF6" w:rsidRDefault="00787D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81C3" w14:textId="77777777" w:rsidR="00A34C97" w:rsidRDefault="00A34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6B55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4C125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15:restartNumberingAfterBreak="0">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144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
      <w:lvlJc w:val="left"/>
      <w:pPr>
        <w:ind w:left="0" w:firstLine="0"/>
      </w:pPr>
      <w:rPr>
        <w:rFonts w:ascii="Palatino Linotype" w:hAnsi="Palatino Linotype"/>
        <w:b w:val="0"/>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
      <w:lvlJc w:val="left"/>
      <w:pPr>
        <w:ind w:left="0" w:firstLine="0"/>
      </w:pPr>
      <w:rPr>
        <w:rFonts w:ascii="Palatino Linotype" w:hAnsi="Palatino Linotype"/>
        <w:b/>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87E450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55BD27B2-CF88-4BDF-A3CB-06AA82A08F6B}"/>
    <w:docVar w:name="ClientMatterControl" w:val="ClientMatter1"/>
    <w:docVar w:name="ClientMatterSuite" w:val="|||"/>
    <w:docVar w:name="liInnovaVariables" w:val="b=Closing`b=Date`b=DELIVERY`b=From`b=Includeesig`b=Re`b=Salutation`b=swiBeginHere`b=swiCMClientID`b=swiCMMatterID`b=swiPLDirectDialPhone`b=swiPLEMailAddress`b=To`b=ToInHeader`"/>
    <w:docVar w:name="SWActiveDesign" w:val="Heading"/>
    <w:docVar w:name="SWAllDesigns" w:val="Heading|"/>
    <w:docVar w:name="SWAllLineBreaks" w:val="Heading~~0|0|0|0|0|0|0|0|0|@@"/>
    <w:docVar w:name="SWBasicControls" w:val="Letter=`lblBCC=&amp;BCC:`lblCC=&amp;CC:`lblClient=Client:`lblClosing=C&amp;losing:`lblDear=&amp;Dear:`lblDelivery=Deli&amp;very:`lblEnclosures=&amp;Enc.:`lblFormat=F&amp;ormat:`lblFrom=&amp;From:`lblInitials=Typist &amp;Initials:`lblLocation=Locatio&amp;n:`lblNotation=P&amp;riv &amp;&amp; Conf:`lblRe=&amp;Re:`lblShowTitle=Title:`lblStateLicensed=Other States Licensed In:`lblTo=&amp;To:`Matter:=Matter:`Initials=`Re= Attn Records Center PO Box 47250 1300 S Evergreen Park Dr SW 98054-7250 Docket No. TG-151838, Rulemaking Inquiry to Consider the Need to Develop Rules on Revenue Sharing for the Solid Waste Indusdry`Salutation=Dear Mr. King:`ShowTitle=`StateLicensed=`ESig=False`Firm=False`IncTitle=False`IRS=False`Closing=Yours truly,`Delivery=VIA E-MAIL AND U.S. MAIL`Enclosure=&lt;none&gt;`Format=Regular`Location=Seattle`Notation=&lt;none&gt;`Contacts=`QuickFillOpen=`QuickFillSave=`cmdOK=OK`cmdCancel=Cancel`"/>
    <w:docVar w:name="SWCLCContacts" w:val="BCC=0;CC=0;From=1;To=1;"/>
    <w:docVar w:name="SWCLCString1" w:val="&lt;Dialog&gt;&lt;BCC&gt;&lt;AutoSalutation&gt;false&lt;/AutoSalutation&gt;&lt;SignatureBlock&gt;&lt;/SignatureBlock&gt;&lt;Contacts /&gt;&lt;/BCC&gt;&lt;CC&gt;&lt;AutoSalutation&gt;false&lt;/AutoSalutation&gt;&lt;SignatureBlock&gt;&lt;/SignatureBlock&gt;&lt;Contacts /&gt;&lt;/CC&gt;&lt;From&gt;&lt;AutoSalutation&gt;false&lt;/AutoSalutation&gt;&lt;SignatureBlock&gt;&lt;/SignatureBlock&gt;&lt;Contacts&gt;&lt;Item&gt;&lt;DisplayName&gt;Wiley, David W.&lt;/DisplayName&gt;&lt;BlockText /&gt;&lt;IsFromPersonnelManager&gt;false&lt;/IsFromPersonnelManager&gt;&lt;IsSignatory&gt;false&lt;/IsSignatory&gt;&lt;Link&gt;LinkOn&lt;/Link&gt;&lt;ContactColumns&gt;&lt;swiCMContactManagerID&gt;10&lt;/swiCMContactManagerID&gt;&lt;swiCMCVFolderTableId&gt;10&lt;/swiCMCVFolderTableId&gt;&lt;swiCMKey&gt;000000007E95176EADD83840B42FA448F0F8A71B07004813981E0EEA304CB0E2DAD7659C280400000014C3F600000ED8B89D8BAE3B44A6698439CC3B370B000CE4CB2C3F0000&lt;/swiCMKey&gt;&lt;swiCMFolder&gt;000000007E95176EADD83840B42FA448F0F8A71B01004813981E0EEA304CB0E2DAD7659C280400000014C3F60000&lt;/swiCMFolder&gt;&lt;swiCMCVFolder&gt;^000000007E95176EADD83840B42FA448F0F8A71B01004813981E0EEA304CB0E2DAD7659C280400000014C3F60000^&lt;/swiCMCVFolder&gt;&lt;swiCMLast&gt;Wiley&lt;/swiCMLast&gt;&lt;swiCMFirst&gt;David&lt;/swiCMFirst&gt;&lt;swiCMMiddle&gt;W.&lt;/swiCMMiddle&gt;&lt;swiCMNickname&gt;Dave&lt;/swiCMNickname&gt;&lt;swiCMCompany&gt;Williams Kastner PLLC&lt;/swiCMCompany&gt;&lt;swiCMTitle&gt;Member&lt;/swiCMTitle&gt;&lt;swiCMEmail1&gt;/o=WK&amp;amp;G/ou=WK&amp;amp;G/cn=Recipients/cn=dwiley&lt;/swiCMEmail1&gt;&lt;swiCMAddress&gt;&lt;Business IsDefault=&quot;true&quot;&gt;&lt;swiCMStreet&gt;2214 Waverly Way E&lt;/swiCMStreet&gt;&lt;swiCMCity&gt;Seattle&lt;/swiCMCity&gt;&lt;swiCMState&gt;WA&lt;/swiCMState&gt;&lt;swiCMZip&gt;98112-2334&lt;/swiCMZip&gt;&lt;swiCMCountry&gt;United States of America&lt;/swiCMCountry&gt;&lt;/Business&gt;&lt;Home IsDefault=&quot;false&quot;&gt;&lt;swiCMStreet&gt;2214 Waverly Way E.&lt;/swiCMStreet&gt;&lt;swiCMCity&gt;Seattle&lt;/swiCMCity&gt;&lt;swiCMState&gt;WA&lt;/swiCMState&gt;&lt;swiCMZip&gt;98112&lt;/swiCMZip&gt;&lt;swiCMCountry&gt;United States of America&lt;/swiCMCountry&gt;&lt;/Home&gt;&lt;Other IsDefault=&quot;false&quot;&gt;&lt;swiCMStreet&gt;&lt;/swiCMStreet&gt;&lt;swiCMCity&gt;&lt;/swiCMCity&gt;&lt;swiCMState&gt;&lt;/swiCMState&gt;&lt;swiCMZip&gt;&lt;/swiCMZip&gt;&lt;swiCMCountry&gt;&lt;/swiCMCountry&gt;&lt;/Other&gt;&lt;/swiCMAddress&gt;&lt;swiCMPhone&gt;&lt;Business IsDefault=&quot;true&quot;&gt;206-233-2895&lt;/Business&gt;&lt;Home IsDefault=&quot;false&quot;&gt;(206) 860-6894&lt;/Home&gt;&lt;Mobile IsDefault=&quot;false&quot;&gt;(206) 226-6787&lt;/Mobile&gt;&lt;Other IsDefault=&quot;false&quot;&gt;&lt;/Other&gt;&lt;/swiCMPhone&gt;&lt;swiCMFax&gt;&lt;Business IsDefault=&quot;true&quot;&gt;(206) 628-6611&lt;/Business&gt;&lt;Home IsDefault=&quot;false&quot;&gt;&lt;/Home&gt;&lt;Other IsDefault=&quot;false&quot;&gt;&lt;/Other&gt;&lt;/swiCMFax&gt;&lt;swiCMInitials&gt;D.W.W.&lt;/swiCMInitials&gt;&lt;swiCMEmail&gt;&lt;Email1 IsDefault=&quot;true&quot;&gt;/o=WK&amp;amp;G/ou=WK&amp;amp;G/cn=Recipients/cn=dwiley&lt;/Email1&gt;&lt;Email2 IsDefault=&quot;false&quot;&gt;dwiley@wkg.com&lt;/Email2&gt;&lt;Email3 IsDefault=&quot;false&quot;&gt;&lt;/Email3&gt;&lt;/swiCMEmail&gt;&lt;swiCMContactManager&gt;Outlook&lt;/swiCMContactManager&gt;&lt;/ContactColumns&gt;&lt;ContactOverride /&gt;&lt;/Item&gt;&lt;/Contacts&gt;&lt;/From&gt;&lt;To&gt;&lt;AutoSalutation&gt;false&lt;/AutoSalutation&gt;&lt;SignatureBlock&gt;&lt;/SignatureBlock&gt;&lt;Contacts&gt;&lt;Item&gt;&lt;DisplayName&gt;King, Steven&lt;/DisplayName&gt;&lt;BlockText /&gt;&lt;IsFromPersonnelManager&gt;false&lt;/IsFromPersonnelManager&gt;&lt;IsSignatory&gt;false&lt;/IsSignatory&gt;&lt;Link&gt;LinkOn&lt;/Link&gt;&lt;ContactColumns&gt;&lt;swiCMContactManagerID&gt;10&lt;/swiCMContactManagerID&gt;&lt;swiCMCVFolderTableId&gt;10&lt;/swiCMCVFolderTableId&gt;&lt;swiCMKey&gt;000000007E95176EADD83840B42FA448F0F8A71B07004813981E0EEA304CB0E2DAD7659C280400000014C3F600000ED8B89D8BAE3B44A6698439CC3B370B000CE4CB2C200000&lt;/swiCMKey&gt;&lt;swiCMFolder&gt;000000007E95176EADD83840B42FA448F0F8A71B01004813981E0EEA304CB0E2DAD7659C280400000014C3F60000&lt;/swiCMFolder&gt;&lt;swiCMCVFolder&gt;^000000007E95176EADD83840B42FA448F0F8A71B01004813981E0EEA304CB0E2DAD7659C280400000014C3F60000^&lt;/swiCMCVFolder&gt;&lt;swiCMLast&gt;King&lt;/swiCMLast&gt;&lt;swiCMFirst&gt;Steven&lt;/swiCMFirst&gt;&lt;swiCMCompany&gt;WUTC&lt;/swiCMCompany&gt;&lt;swiCMTitle&gt;Executive Director and Secretary&lt;/swiCMTitle&gt;&lt;swiCMEmail1&gt;sking@utc.wa.gov&lt;/swiCMEmail1&gt;&lt;swiCMAddress&gt;&lt;Business IsDefault=&quot;true&quot;&gt;&lt;swiCMStreet&gt;PO Box 47250_x000d__x000a_1300 S. Evergreen Park Dr. SW&lt;/swiCMStreet&gt;&lt;swiCMCity&gt;Olympia&lt;/swiCMCity&gt;&lt;swiCMState&gt;WA&lt;/swiCMState&gt;&lt;swiCMZip&gt;98504-7250&lt;/swiCMZip&gt;&lt;swiCMCountry&gt;United States of America&lt;/swiCMCountry&gt;&lt;/Business&gt;&lt;Home IsDefault=&quot;false&quot;&gt;&lt;swiCMStreet&gt;&lt;/swiCMStreet&gt;&lt;swiCMCity&gt;&lt;/swiCMCity&gt;&lt;swiCMState&gt;&lt;/swiCMState&gt;&lt;swiCMZip&gt;&lt;/swiCMZip&gt;&lt;swiCMCountry&gt;&lt;/swiCMCountry&gt;&lt;/Home&gt;&lt;Other IsDefault=&quot;false&quot;&gt;&lt;swiCMStreet&gt;&lt;/swiCMStreet&gt;&lt;swiCMCity&gt;&lt;/swiCMCity&gt;&lt;swiCMState&gt;&lt;/swiCMState&gt;&lt;swiCMZip&gt;&lt;/swiCMZip&gt;&lt;swiCMCountry&gt;&lt;/swiCMCountry&gt;&lt;/Other&gt;&lt;/swiCMAddress&gt;&lt;swiCMPhone&gt;&lt;Business IsDefault=&quot;true&quot;&gt;(360) 664-1115&lt;/Business&gt;&lt;Home IsDefault=&quot;false&quot;&gt;&lt;/Home&gt;&lt;Mobile IsDefault=&quot;false&quot;&gt;&lt;/Mobile&gt;&lt;Other IsDefault=&quot;false&quot;&gt;&lt;/Other&gt;&lt;/swiCMPhone&gt;&lt;swiCMFax&gt;&lt;Business&gt;&lt;/Business&gt;&lt;Home&gt;&lt;/Home&gt;&lt;Other&gt;&lt;/Other&gt;&lt;/swiCMFax&gt;&lt;swiCMInitials&gt;S.K.&lt;/swiCMInitials&gt;&lt;swiCMEmail&gt;&lt;Email1 IsDefault=&quot;true&quot;&gt;sking@utc.wa.gov&lt;/Email1&gt;&lt;Email2 IsDefault=&quot;false&quot;&gt;&lt;/Email2&gt;&lt;Email3 IsDefault=&quot;false&quot;&gt;&lt;/Email3&gt;&lt;/swiCMEmail&gt;&lt;swiCMContactManager&gt;Outlook&lt;/swiCMContactManager&gt;&lt;/ContactColumns&gt;&lt;ContactOverride /&gt;&lt;/Item&gt;&lt;/Contacts&gt;&lt;/To&gt;&lt;/Dialog&gt;"/>
    <w:docVar w:name="SWDocIDLayout" w:val="10000"/>
    <w:docVar w:name="SWDocIDLocation" w:val="1"/>
    <w:docVar w:name="SWOtherInfo" w:val="DocTypeID=1|FormID=10001|"/>
  </w:docVars>
  <w:rsids>
    <w:rsidRoot w:val="00F543A7"/>
    <w:rsid w:val="00013038"/>
    <w:rsid w:val="00066356"/>
    <w:rsid w:val="0011410E"/>
    <w:rsid w:val="00116671"/>
    <w:rsid w:val="001235DA"/>
    <w:rsid w:val="00146F5B"/>
    <w:rsid w:val="001A438B"/>
    <w:rsid w:val="001C0D82"/>
    <w:rsid w:val="001C5A75"/>
    <w:rsid w:val="001C7ED6"/>
    <w:rsid w:val="001F632B"/>
    <w:rsid w:val="00215D8E"/>
    <w:rsid w:val="0023154C"/>
    <w:rsid w:val="00247165"/>
    <w:rsid w:val="002A5367"/>
    <w:rsid w:val="002E56DC"/>
    <w:rsid w:val="002F0819"/>
    <w:rsid w:val="00332295"/>
    <w:rsid w:val="00336F7D"/>
    <w:rsid w:val="00384652"/>
    <w:rsid w:val="00390138"/>
    <w:rsid w:val="00396980"/>
    <w:rsid w:val="003D05FE"/>
    <w:rsid w:val="00413F11"/>
    <w:rsid w:val="004276F7"/>
    <w:rsid w:val="00437602"/>
    <w:rsid w:val="004B693B"/>
    <w:rsid w:val="005364F3"/>
    <w:rsid w:val="005379E5"/>
    <w:rsid w:val="00550916"/>
    <w:rsid w:val="00553AFD"/>
    <w:rsid w:val="00592542"/>
    <w:rsid w:val="005E13EB"/>
    <w:rsid w:val="00645803"/>
    <w:rsid w:val="006A5EEC"/>
    <w:rsid w:val="00701C8B"/>
    <w:rsid w:val="007310AF"/>
    <w:rsid w:val="00754500"/>
    <w:rsid w:val="00787DF6"/>
    <w:rsid w:val="007A1F03"/>
    <w:rsid w:val="00821329"/>
    <w:rsid w:val="00851162"/>
    <w:rsid w:val="00854C6B"/>
    <w:rsid w:val="008C3106"/>
    <w:rsid w:val="008C60C6"/>
    <w:rsid w:val="008F67C6"/>
    <w:rsid w:val="009028C1"/>
    <w:rsid w:val="00946F57"/>
    <w:rsid w:val="00956BBF"/>
    <w:rsid w:val="00964097"/>
    <w:rsid w:val="00A15604"/>
    <w:rsid w:val="00A178B1"/>
    <w:rsid w:val="00A34C97"/>
    <w:rsid w:val="00A56546"/>
    <w:rsid w:val="00A749EC"/>
    <w:rsid w:val="00AC2509"/>
    <w:rsid w:val="00AE2E56"/>
    <w:rsid w:val="00B21CA7"/>
    <w:rsid w:val="00B425AD"/>
    <w:rsid w:val="00B603AA"/>
    <w:rsid w:val="00B61FC1"/>
    <w:rsid w:val="00C059B1"/>
    <w:rsid w:val="00CB526D"/>
    <w:rsid w:val="00CB52D6"/>
    <w:rsid w:val="00CD375C"/>
    <w:rsid w:val="00CF223C"/>
    <w:rsid w:val="00D11279"/>
    <w:rsid w:val="00D327A3"/>
    <w:rsid w:val="00D470D2"/>
    <w:rsid w:val="00D87199"/>
    <w:rsid w:val="00DB1030"/>
    <w:rsid w:val="00DC673B"/>
    <w:rsid w:val="00DD39A0"/>
    <w:rsid w:val="00DE7B66"/>
    <w:rsid w:val="00E03171"/>
    <w:rsid w:val="00E32B9F"/>
    <w:rsid w:val="00E411E7"/>
    <w:rsid w:val="00E42203"/>
    <w:rsid w:val="00E768EF"/>
    <w:rsid w:val="00E85208"/>
    <w:rsid w:val="00E90588"/>
    <w:rsid w:val="00EC63E4"/>
    <w:rsid w:val="00F543A7"/>
    <w:rsid w:val="00F6787D"/>
    <w:rsid w:val="00FA6B6A"/>
    <w:rsid w:val="00FE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36A9818A"/>
  <w15:docId w15:val="{855DBA52-3702-4757-8F22-6522203D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8EF"/>
    <w:rPr>
      <w:rFonts w:ascii="Calibri" w:eastAsiaTheme="minorHAnsi" w:hAnsi="Calibri"/>
      <w:sz w:val="22"/>
      <w:szCs w:val="22"/>
    </w:rPr>
  </w:style>
  <w:style w:type="paragraph" w:styleId="Heading1">
    <w:name w:val="heading 1"/>
    <w:basedOn w:val="Normal"/>
    <w:next w:val="BodyText"/>
    <w:qFormat/>
    <w:pPr>
      <w:numPr>
        <w:numId w:val="45"/>
      </w:numPr>
      <w:spacing w:after="240"/>
      <w:outlineLvl w:val="0"/>
    </w:pPr>
    <w:rPr>
      <w:rFonts w:ascii="Palatino Linotype" w:eastAsia="Times New Roman" w:hAnsi="Palatino Linotype"/>
      <w:bCs/>
      <w:kern w:val="28"/>
      <w:szCs w:val="32"/>
    </w:rPr>
  </w:style>
  <w:style w:type="paragraph" w:styleId="Heading2">
    <w:name w:val="heading 2"/>
    <w:basedOn w:val="Normal"/>
    <w:next w:val="BodyText"/>
    <w:qFormat/>
    <w:pPr>
      <w:numPr>
        <w:ilvl w:val="1"/>
        <w:numId w:val="45"/>
      </w:numPr>
      <w:spacing w:after="240"/>
      <w:outlineLvl w:val="1"/>
    </w:pPr>
    <w:rPr>
      <w:rFonts w:ascii="Palatino Linotype" w:eastAsia="Times New Roman" w:hAnsi="Palatino Linotype"/>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rFonts w:ascii="Palatino Linotype" w:eastAsia="Times New Roman" w:hAnsi="Palatino Linotype"/>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rFonts w:ascii="Palatino Linotype" w:eastAsia="Times New Roman" w:hAnsi="Palatino Linotype"/>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rFonts w:ascii="Palatino Linotype" w:eastAsia="Times New Roman" w:hAnsi="Palatino Linotype"/>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rFonts w:ascii="Palatino Linotype" w:eastAsia="Times New Roman" w:hAnsi="Palatino Linotype"/>
      <w:bCs/>
    </w:rPr>
  </w:style>
  <w:style w:type="paragraph" w:styleId="Heading7">
    <w:name w:val="heading 7"/>
    <w:basedOn w:val="Normal"/>
    <w:next w:val="Normal"/>
    <w:unhideWhenUsed/>
    <w:pPr>
      <w:numPr>
        <w:ilvl w:val="6"/>
        <w:numId w:val="45"/>
      </w:numPr>
      <w:spacing w:before="240" w:after="60"/>
      <w:outlineLvl w:val="6"/>
    </w:pPr>
    <w:rPr>
      <w:rFonts w:ascii="Palatino Linotype" w:eastAsia="Times New Roman" w:hAnsi="Palatino Linotype" w:cs="Arial"/>
      <w:szCs w:val="24"/>
    </w:rPr>
  </w:style>
  <w:style w:type="paragraph" w:styleId="Heading8">
    <w:name w:val="heading 8"/>
    <w:basedOn w:val="Normal"/>
    <w:next w:val="Normal"/>
    <w:unhideWhenUsed/>
    <w:pPr>
      <w:numPr>
        <w:ilvl w:val="7"/>
        <w:numId w:val="45"/>
      </w:numPr>
      <w:spacing w:before="240" w:after="60"/>
      <w:outlineLvl w:val="7"/>
    </w:pPr>
    <w:rPr>
      <w:rFonts w:ascii="Palatino Linotype" w:eastAsia="Times New Roman" w:hAnsi="Palatino Linotype" w:cs="Arial"/>
      <w:i/>
      <w:iCs/>
      <w:szCs w:val="24"/>
    </w:rPr>
  </w:style>
  <w:style w:type="paragraph" w:styleId="Heading9">
    <w:name w:val="heading 9"/>
    <w:basedOn w:val="Normal"/>
    <w:next w:val="Normal"/>
    <w:unhideWhenUsed/>
    <w:pPr>
      <w:numPr>
        <w:ilvl w:val="8"/>
        <w:numId w:val="45"/>
      </w:numPr>
      <w:spacing w:before="240" w:after="60"/>
      <w:outlineLvl w:val="8"/>
    </w:pPr>
    <w:rPr>
      <w:rFonts w:ascii="Palatino Linotype" w:eastAsia="Times New Roman" w:hAnsi="Palatino Linotype"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pPr>
      <w:keepNext/>
      <w:keepLines/>
      <w:widowControl w:val="0"/>
      <w:jc w:val="center"/>
      <w:outlineLvl w:val="0"/>
    </w:pPr>
    <w:rPr>
      <w:rFonts w:ascii="Palatino Linotype" w:eastAsia="Times New Roman" w:hAnsi="Palatino Linotype"/>
      <w:b/>
      <w:kern w:val="28"/>
      <w:szCs w:val="20"/>
    </w:rPr>
  </w:style>
  <w:style w:type="paragraph" w:styleId="BodyText">
    <w:name w:val="Body Text"/>
    <w:basedOn w:val="Normal"/>
    <w:link w:val="BodyTextChar"/>
    <w:qFormat/>
    <w:pPr>
      <w:spacing w:after="240"/>
    </w:pPr>
    <w:rPr>
      <w:rFonts w:ascii="Palatino Linotype" w:eastAsia="Times New Roman" w:hAnsi="Palatino Linotype"/>
      <w:szCs w:val="24"/>
    </w:rPr>
  </w:style>
  <w:style w:type="paragraph" w:styleId="BodyText2">
    <w:name w:val="Body Text 2"/>
    <w:basedOn w:val="Normal"/>
    <w:pPr>
      <w:spacing w:line="480" w:lineRule="auto"/>
      <w:ind w:firstLine="720"/>
    </w:pPr>
    <w:rPr>
      <w:rFonts w:ascii="Palatino Linotype" w:eastAsia="Times New Roman" w:hAnsi="Palatino Linotype"/>
      <w:szCs w:val="24"/>
    </w:rPr>
  </w:style>
  <w:style w:type="paragraph" w:styleId="BlockText">
    <w:name w:val="Block Text"/>
    <w:basedOn w:val="Normal"/>
    <w:semiHidden/>
    <w:pPr>
      <w:spacing w:after="120"/>
      <w:ind w:left="1440" w:right="1440"/>
    </w:pPr>
    <w:rPr>
      <w:rFonts w:ascii="Palatino Linotype" w:eastAsia="Times New Roman" w:hAnsi="Palatino Linotype"/>
      <w:szCs w:val="20"/>
    </w:rPr>
  </w:style>
  <w:style w:type="paragraph" w:styleId="FootnoteText">
    <w:name w:val="footnote text"/>
    <w:basedOn w:val="BodyText"/>
    <w:unhideWhenUsed/>
    <w:rsid w:val="00336F7D"/>
    <w:pPr>
      <w:spacing w:after="0"/>
    </w:pPr>
    <w:rPr>
      <w:sz w:val="20"/>
    </w:rPr>
  </w:style>
  <w:style w:type="paragraph" w:styleId="Header">
    <w:name w:val="header"/>
    <w:basedOn w:val="Normal"/>
    <w:semiHidden/>
    <w:pPr>
      <w:tabs>
        <w:tab w:val="center" w:pos="4320"/>
        <w:tab w:val="right" w:pos="8640"/>
      </w:tabs>
    </w:pPr>
    <w:rPr>
      <w:rFonts w:ascii="Palatino Linotype" w:eastAsia="Times New Roman" w:hAnsi="Palatino Linotype"/>
      <w:szCs w:val="20"/>
    </w:rPr>
  </w:style>
  <w:style w:type="paragraph" w:styleId="Quote">
    <w:name w:val="Quote"/>
    <w:basedOn w:val="Normal"/>
    <w:next w:val="TextAfterQuote"/>
    <w:qFormat/>
    <w:pPr>
      <w:spacing w:after="240"/>
      <w:ind w:left="720" w:right="720"/>
    </w:pPr>
    <w:rPr>
      <w:rFonts w:ascii="Palatino Linotype" w:eastAsia="Times New Roman" w:hAnsi="Palatino Linotype"/>
      <w:szCs w:val="24"/>
    </w:rPr>
  </w:style>
  <w:style w:type="paragraph" w:styleId="EnvelopeAddress">
    <w:name w:val="envelope address"/>
    <w:basedOn w:val="Normal"/>
    <w:pPr>
      <w:framePr w:w="7920" w:h="1987" w:hRule="exact" w:hSpace="187" w:vSpace="187" w:wrap="around" w:vAnchor="page" w:hAnchor="page" w:xAlign="center" w:y="2881"/>
      <w:ind w:left="2880"/>
    </w:pPr>
    <w:rPr>
      <w:rFonts w:ascii="Palatino Linotype" w:eastAsia="Times New Roman" w:hAnsi="Palatino Linotype"/>
      <w:szCs w:val="24"/>
    </w:rPr>
  </w:style>
  <w:style w:type="paragraph" w:styleId="EnvelopeReturn">
    <w:name w:val="envelope return"/>
    <w:basedOn w:val="Normal"/>
    <w:semiHidden/>
    <w:pPr>
      <w:framePr w:w="4320" w:h="1440" w:hRule="exact" w:hSpace="187" w:vSpace="187" w:wrap="notBeside" w:hAnchor="page" w:x="5041" w:y="361"/>
    </w:pPr>
    <w:rPr>
      <w:rFonts w:ascii="Palatino Linotype" w:eastAsia="Times New Roman" w:hAnsi="Palatino Linotype"/>
      <w:sz w:val="18"/>
      <w:szCs w:val="20"/>
    </w:rPr>
  </w:style>
  <w:style w:type="paragraph" w:styleId="TOAHeading">
    <w:name w:val="toa heading"/>
    <w:basedOn w:val="Normal"/>
    <w:next w:val="Normal"/>
    <w:semiHidden/>
    <w:pPr>
      <w:spacing w:after="240"/>
    </w:pPr>
    <w:rPr>
      <w:rFonts w:ascii="Palatino Linotype" w:eastAsia="Times New Roman" w:hAnsi="Palatino Linotype"/>
      <w:b/>
      <w:szCs w:val="20"/>
    </w:rPr>
  </w:style>
  <w:style w:type="character" w:customStyle="1" w:styleId="BodyTextChar">
    <w:name w:val="Body Text Char"/>
    <w:basedOn w:val="DefaultParagraphFont"/>
    <w:link w:val="BodyText"/>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rPr>
      <w:rFonts w:ascii="Palatino Linotype" w:eastAsia="Times New Roman" w:hAnsi="Palatino Linotype"/>
      <w:szCs w:val="20"/>
    </w:r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rPr>
      <w:rFonts w:ascii="Palatino Linotype" w:eastAsia="Times New Roman" w:hAnsi="Palatino Linotype"/>
      <w:szCs w:val="20"/>
    </w:r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rPr>
      <w:rFonts w:ascii="Palatino Linotype" w:eastAsia="Times New Roman" w:hAnsi="Palatino Linotype"/>
      <w:szCs w:val="20"/>
    </w:rPr>
  </w:style>
  <w:style w:type="paragraph" w:styleId="E-mailSignature">
    <w:name w:val="E-mail Signature"/>
    <w:basedOn w:val="Normal"/>
    <w:semiHidden/>
    <w:rPr>
      <w:rFonts w:ascii="Palatino Linotype" w:eastAsia="Times New Roman" w:hAnsi="Palatino Linotype"/>
      <w:szCs w:val="20"/>
    </w:rPr>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rPr>
      <w:rFonts w:ascii="Palatino Linotype" w:eastAsia="Times New Roman" w:hAnsi="Palatino Linotype"/>
      <w:szCs w:val="20"/>
    </w:rPr>
  </w:style>
  <w:style w:type="paragraph" w:styleId="List2">
    <w:name w:val="List 2"/>
    <w:basedOn w:val="Normal"/>
    <w:semiHidden/>
    <w:pPr>
      <w:ind w:left="720" w:hanging="360"/>
    </w:pPr>
    <w:rPr>
      <w:rFonts w:ascii="Palatino Linotype" w:eastAsia="Times New Roman" w:hAnsi="Palatino Linotype"/>
      <w:szCs w:val="20"/>
    </w:rPr>
  </w:style>
  <w:style w:type="paragraph" w:styleId="List3">
    <w:name w:val="List 3"/>
    <w:basedOn w:val="Normal"/>
    <w:semiHidden/>
    <w:pPr>
      <w:ind w:left="1080" w:hanging="360"/>
    </w:pPr>
    <w:rPr>
      <w:rFonts w:ascii="Palatino Linotype" w:eastAsia="Times New Roman" w:hAnsi="Palatino Linotype"/>
      <w:szCs w:val="20"/>
    </w:rPr>
  </w:style>
  <w:style w:type="paragraph" w:styleId="List4">
    <w:name w:val="List 4"/>
    <w:basedOn w:val="Normal"/>
    <w:semiHidden/>
    <w:pPr>
      <w:ind w:left="1440" w:hanging="360"/>
    </w:pPr>
    <w:rPr>
      <w:rFonts w:ascii="Palatino Linotype" w:eastAsia="Times New Roman" w:hAnsi="Palatino Linotype"/>
      <w:szCs w:val="20"/>
    </w:rPr>
  </w:style>
  <w:style w:type="paragraph" w:styleId="List5">
    <w:name w:val="List 5"/>
    <w:basedOn w:val="Normal"/>
    <w:semiHidden/>
    <w:pPr>
      <w:ind w:left="1800" w:hanging="360"/>
    </w:pPr>
    <w:rPr>
      <w:rFonts w:ascii="Palatino Linotype" w:eastAsia="Times New Roman" w:hAnsi="Palatino Linotype"/>
      <w:szCs w:val="20"/>
    </w:rPr>
  </w:style>
  <w:style w:type="paragraph" w:styleId="ListBullet2">
    <w:name w:val="List Bullet 2"/>
    <w:basedOn w:val="Normal"/>
    <w:autoRedefine/>
    <w:semiHidden/>
    <w:pPr>
      <w:numPr>
        <w:numId w:val="36"/>
      </w:numPr>
    </w:pPr>
    <w:rPr>
      <w:rFonts w:ascii="Palatino Linotype" w:eastAsia="Times New Roman" w:hAnsi="Palatino Linotype"/>
      <w:szCs w:val="20"/>
    </w:rPr>
  </w:style>
  <w:style w:type="paragraph" w:styleId="ListBullet3">
    <w:name w:val="List Bullet 3"/>
    <w:basedOn w:val="Normal"/>
    <w:autoRedefine/>
    <w:semiHidden/>
    <w:pPr>
      <w:numPr>
        <w:numId w:val="37"/>
      </w:numPr>
    </w:pPr>
    <w:rPr>
      <w:rFonts w:ascii="Palatino Linotype" w:eastAsia="Times New Roman" w:hAnsi="Palatino Linotype"/>
      <w:szCs w:val="20"/>
    </w:rPr>
  </w:style>
  <w:style w:type="paragraph" w:styleId="ListBullet4">
    <w:name w:val="List Bullet 4"/>
    <w:basedOn w:val="Normal"/>
    <w:autoRedefine/>
    <w:semiHidden/>
    <w:pPr>
      <w:numPr>
        <w:numId w:val="38"/>
      </w:numPr>
    </w:pPr>
    <w:rPr>
      <w:rFonts w:ascii="Palatino Linotype" w:eastAsia="Times New Roman" w:hAnsi="Palatino Linotype"/>
      <w:szCs w:val="20"/>
    </w:rPr>
  </w:style>
  <w:style w:type="paragraph" w:styleId="ListBullet5">
    <w:name w:val="List Bullet 5"/>
    <w:basedOn w:val="Normal"/>
    <w:autoRedefine/>
    <w:semiHidden/>
    <w:pPr>
      <w:numPr>
        <w:numId w:val="39"/>
      </w:numPr>
    </w:pPr>
    <w:rPr>
      <w:rFonts w:ascii="Palatino Linotype" w:eastAsia="Times New Roman" w:hAnsi="Palatino Linotype"/>
      <w:szCs w:val="20"/>
    </w:rPr>
  </w:style>
  <w:style w:type="paragraph" w:styleId="ListContinue">
    <w:name w:val="List Continue"/>
    <w:basedOn w:val="Normal"/>
    <w:semiHidden/>
    <w:pPr>
      <w:spacing w:after="120"/>
      <w:ind w:left="360"/>
    </w:pPr>
    <w:rPr>
      <w:rFonts w:ascii="Palatino Linotype" w:eastAsia="Times New Roman" w:hAnsi="Palatino Linotype"/>
      <w:szCs w:val="20"/>
    </w:rPr>
  </w:style>
  <w:style w:type="paragraph" w:styleId="ListContinue2">
    <w:name w:val="List Continue 2"/>
    <w:basedOn w:val="Normal"/>
    <w:semiHidden/>
    <w:pPr>
      <w:spacing w:after="120"/>
      <w:ind w:left="720"/>
    </w:pPr>
    <w:rPr>
      <w:rFonts w:ascii="Palatino Linotype" w:eastAsia="Times New Roman" w:hAnsi="Palatino Linotype"/>
      <w:szCs w:val="20"/>
    </w:rPr>
  </w:style>
  <w:style w:type="paragraph" w:styleId="ListContinue3">
    <w:name w:val="List Continue 3"/>
    <w:basedOn w:val="Normal"/>
    <w:semiHidden/>
    <w:pPr>
      <w:spacing w:after="120"/>
      <w:ind w:left="1080"/>
    </w:pPr>
    <w:rPr>
      <w:rFonts w:ascii="Palatino Linotype" w:eastAsia="Times New Roman" w:hAnsi="Palatino Linotype"/>
      <w:szCs w:val="20"/>
    </w:rPr>
  </w:style>
  <w:style w:type="paragraph" w:styleId="ListContinue4">
    <w:name w:val="List Continue 4"/>
    <w:basedOn w:val="Normal"/>
    <w:semiHidden/>
    <w:pPr>
      <w:spacing w:after="120"/>
      <w:ind w:left="1440"/>
    </w:pPr>
    <w:rPr>
      <w:rFonts w:ascii="Palatino Linotype" w:eastAsia="Times New Roman" w:hAnsi="Palatino Linotype"/>
      <w:szCs w:val="20"/>
    </w:rPr>
  </w:style>
  <w:style w:type="paragraph" w:styleId="ListContinue5">
    <w:name w:val="List Continue 5"/>
    <w:basedOn w:val="Normal"/>
    <w:semiHidden/>
    <w:pPr>
      <w:spacing w:after="120"/>
      <w:ind w:left="1800"/>
    </w:pPr>
    <w:rPr>
      <w:rFonts w:ascii="Palatino Linotype" w:eastAsia="Times New Roman" w:hAnsi="Palatino Linotype"/>
      <w:szCs w:val="20"/>
    </w:rPr>
  </w:style>
  <w:style w:type="paragraph" w:styleId="ListNumber">
    <w:name w:val="List Number"/>
    <w:basedOn w:val="Normal"/>
    <w:semiHidden/>
    <w:pPr>
      <w:numPr>
        <w:numId w:val="40"/>
      </w:numPr>
    </w:pPr>
    <w:rPr>
      <w:rFonts w:ascii="Palatino Linotype" w:eastAsia="Times New Roman" w:hAnsi="Palatino Linotype"/>
      <w:szCs w:val="20"/>
    </w:rPr>
  </w:style>
  <w:style w:type="paragraph" w:styleId="ListNumber2">
    <w:name w:val="List Number 2"/>
    <w:basedOn w:val="Normal"/>
    <w:semiHidden/>
    <w:pPr>
      <w:numPr>
        <w:numId w:val="41"/>
      </w:numPr>
    </w:pPr>
    <w:rPr>
      <w:rFonts w:ascii="Palatino Linotype" w:eastAsia="Times New Roman" w:hAnsi="Palatino Linotype"/>
      <w:szCs w:val="20"/>
    </w:rPr>
  </w:style>
  <w:style w:type="paragraph" w:styleId="ListNumber3">
    <w:name w:val="List Number 3"/>
    <w:basedOn w:val="Normal"/>
    <w:semiHidden/>
    <w:pPr>
      <w:numPr>
        <w:numId w:val="42"/>
      </w:numPr>
    </w:pPr>
    <w:rPr>
      <w:rFonts w:ascii="Palatino Linotype" w:eastAsia="Times New Roman" w:hAnsi="Palatino Linotype"/>
      <w:szCs w:val="20"/>
    </w:rPr>
  </w:style>
  <w:style w:type="paragraph" w:styleId="ListNumber4">
    <w:name w:val="List Number 4"/>
    <w:basedOn w:val="Normal"/>
    <w:semiHidden/>
    <w:pPr>
      <w:numPr>
        <w:numId w:val="43"/>
      </w:numPr>
    </w:pPr>
    <w:rPr>
      <w:rFonts w:ascii="Palatino Linotype" w:eastAsia="Times New Roman" w:hAnsi="Palatino Linotype"/>
      <w:szCs w:val="20"/>
    </w:rPr>
  </w:style>
  <w:style w:type="paragraph" w:styleId="ListNumber5">
    <w:name w:val="List Number 5"/>
    <w:basedOn w:val="Normal"/>
    <w:semiHidden/>
    <w:pPr>
      <w:numPr>
        <w:numId w:val="44"/>
      </w:numPr>
    </w:pPr>
    <w:rPr>
      <w:rFonts w:ascii="Palatino Linotype" w:eastAsia="Times New Roman" w:hAnsi="Palatino Linotype"/>
      <w:szCs w:val="20"/>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Cs w:val="24"/>
    </w:rPr>
  </w:style>
  <w:style w:type="paragraph" w:styleId="NormalWeb">
    <w:name w:val="Normal (Web)"/>
    <w:basedOn w:val="Normal"/>
    <w:semiHidden/>
    <w:rPr>
      <w:rFonts w:ascii="Palatino Linotype" w:eastAsia="Times New Roman" w:hAnsi="Palatino Linotype"/>
      <w:szCs w:val="24"/>
    </w:rPr>
  </w:style>
  <w:style w:type="paragraph" w:styleId="NormalIndent">
    <w:name w:val="Normal Indent"/>
    <w:basedOn w:val="Normal"/>
    <w:semiHidden/>
    <w:pPr>
      <w:ind w:left="720"/>
    </w:pPr>
    <w:rPr>
      <w:rFonts w:ascii="Palatino Linotype" w:eastAsia="Times New Roman" w:hAnsi="Palatino Linotype"/>
      <w:szCs w:val="20"/>
    </w:rPr>
  </w:style>
  <w:style w:type="paragraph" w:styleId="NoteHeading">
    <w:name w:val="Note Heading"/>
    <w:basedOn w:val="Normal"/>
    <w:next w:val="Normal"/>
    <w:semiHidden/>
    <w:rPr>
      <w:rFonts w:ascii="Palatino Linotype" w:eastAsia="Times New Roman" w:hAnsi="Palatino Linotype"/>
      <w:szCs w:val="20"/>
    </w:rPr>
  </w:style>
  <w:style w:type="paragraph" w:styleId="PlainText">
    <w:name w:val="Plain Text"/>
    <w:basedOn w:val="Normal"/>
    <w:semiHidden/>
    <w:rPr>
      <w:rFonts w:ascii="Courier New" w:eastAsia="Times New Roman" w:hAnsi="Courier New" w:cs="Courier New"/>
      <w:sz w:val="20"/>
      <w:szCs w:val="20"/>
    </w:rPr>
  </w:style>
  <w:style w:type="paragraph" w:styleId="Salutation">
    <w:name w:val="Salutation"/>
    <w:basedOn w:val="Normal"/>
    <w:next w:val="Normal"/>
    <w:semiHidden/>
    <w:rPr>
      <w:rFonts w:ascii="Palatino Linotype" w:eastAsia="Times New Roman" w:hAnsi="Palatino Linotype"/>
      <w:szCs w:val="20"/>
    </w:rPr>
  </w:style>
  <w:style w:type="paragraph" w:styleId="Signature">
    <w:name w:val="Signature"/>
    <w:basedOn w:val="Normal"/>
    <w:semiHidden/>
    <w:pPr>
      <w:ind w:left="4320"/>
    </w:pPr>
    <w:rPr>
      <w:rFonts w:ascii="Palatino Linotype" w:eastAsia="Times New Roman" w:hAnsi="Palatino Linotype"/>
      <w:szCs w:val="20"/>
    </w:r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eastAsia="Times New Roman"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QuoteDbl">
    <w:name w:val="QuoteDbl"/>
    <w:basedOn w:val="Normal"/>
    <w:next w:val="TextAfterQuote"/>
    <w:qFormat/>
    <w:pPr>
      <w:spacing w:after="240"/>
      <w:ind w:left="1440" w:right="1440"/>
    </w:pPr>
    <w:rPr>
      <w:rFonts w:ascii="Palatino Linotype" w:eastAsia="Times New Roman" w:hAnsi="Palatino Linotype"/>
      <w:szCs w:val="24"/>
    </w:rPr>
  </w:style>
  <w:style w:type="paragraph" w:customStyle="1" w:styleId="TextAfterQuote">
    <w:name w:val="TextAfterQuote"/>
    <w:basedOn w:val="Normal"/>
    <w:next w:val="BodyText"/>
    <w:qFormat/>
    <w:pPr>
      <w:spacing w:after="240"/>
    </w:pPr>
    <w:rPr>
      <w:rFonts w:ascii="Palatino Linotype" w:eastAsia="Times New Roman" w:hAnsi="Palatino Linotype"/>
      <w:szCs w:val="24"/>
    </w:rPr>
  </w:style>
  <w:style w:type="paragraph" w:styleId="Date">
    <w:name w:val="Date"/>
    <w:basedOn w:val="Normal"/>
    <w:next w:val="Normal"/>
    <w:rPr>
      <w:rFonts w:ascii="Palatino Linotype" w:eastAsia="Times New Roman" w:hAnsi="Palatino Linotype"/>
      <w:szCs w:val="20"/>
    </w:rPr>
  </w:style>
  <w:style w:type="paragraph" w:customStyle="1" w:styleId="BCC">
    <w:name w:val="BCC"/>
    <w:basedOn w:val="Normal"/>
    <w:next w:val="Normal"/>
    <w:semiHidden/>
    <w:pPr>
      <w:pageBreakBefore/>
      <w:ind w:left="720" w:hanging="720"/>
    </w:pPr>
    <w:rPr>
      <w:rFonts w:ascii="Palatino Linotype" w:eastAsia="Times New Roman" w:hAnsi="Palatino Linotype"/>
      <w:szCs w:val="20"/>
    </w:rPr>
  </w:style>
  <w:style w:type="paragraph" w:styleId="BalloonText">
    <w:name w:val="Balloon Text"/>
    <w:basedOn w:val="Normal"/>
    <w:link w:val="BalloonTextChar"/>
    <w:semiHidden/>
    <w:unhideWhenUsed/>
    <w:rsid w:val="00A56546"/>
    <w:rPr>
      <w:rFonts w:ascii="Tahoma" w:hAnsi="Tahoma" w:cs="Tahoma"/>
      <w:sz w:val="16"/>
      <w:szCs w:val="16"/>
    </w:rPr>
  </w:style>
  <w:style w:type="character" w:customStyle="1" w:styleId="BalloonTextChar">
    <w:name w:val="Balloon Text Char"/>
    <w:basedOn w:val="DefaultParagraphFont"/>
    <w:link w:val="BalloonText"/>
    <w:semiHidden/>
    <w:rsid w:val="00A5654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wutc.wa.gov/webdocs.nsf/b8da29aede8fdd67882571430005a9c1/f4ba8447a5c62a1688256d9f0000c0a2/$FILE/Recycling%20Revenue%20Sharing%20Staff%20Summary%20May%20200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wkg-eltrse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2015-11-23T08:00:00+00:00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F6285-F313-4A96-A987-5FD869E507C1}"/>
</file>

<file path=customXml/itemProps2.xml><?xml version="1.0" encoding="utf-8"?>
<ds:datastoreItem xmlns:ds="http://schemas.openxmlformats.org/officeDocument/2006/customXml" ds:itemID="{2A937E75-0DE5-40A7-A873-92A9518FCCAF}"/>
</file>

<file path=customXml/itemProps3.xml><?xml version="1.0" encoding="utf-8"?>
<ds:datastoreItem xmlns:ds="http://schemas.openxmlformats.org/officeDocument/2006/customXml" ds:itemID="{96489601-4155-4EF4-A5CC-15CD8942036C}"/>
</file>

<file path=customXml/itemProps4.xml><?xml version="1.0" encoding="utf-8"?>
<ds:datastoreItem xmlns:ds="http://schemas.openxmlformats.org/officeDocument/2006/customXml" ds:itemID="{17DA34F1-40DB-4F38-B6AC-01184568DED4}"/>
</file>

<file path=customXml/itemProps5.xml><?xml version="1.0" encoding="utf-8"?>
<ds:datastoreItem xmlns:ds="http://schemas.openxmlformats.org/officeDocument/2006/customXml" ds:itemID="{C845D294-0725-48BB-8EFC-AC7702E3CAA3}"/>
</file>

<file path=docProps/app.xml><?xml version="1.0" encoding="utf-8"?>
<Properties xmlns="http://schemas.openxmlformats.org/officeDocument/2006/extended-properties" xmlns:vt="http://schemas.openxmlformats.org/officeDocument/2006/docPropsVTypes">
  <Template>wkg-eltrsea</Template>
  <TotalTime>0</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vt:lpstr>
    </vt:vector>
  </TitlesOfParts>
  <Company>Williams, Kastner &amp; Gibbs LLP</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creator>Maggi Gruber</dc:creator>
  <cp:lastModifiedBy>Rollman, Courtney (UTC)</cp:lastModifiedBy>
  <cp:revision>2</cp:revision>
  <cp:lastPrinted>2015-11-24T19:32:00Z</cp:lastPrinted>
  <dcterms:created xsi:type="dcterms:W3CDTF">2015-12-04T21:29:00Z</dcterms:created>
  <dcterms:modified xsi:type="dcterms:W3CDTF">2015-12-04T21:29:00Z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5622222.4</vt:lpwstr>
  </property>
  <property fmtid="{D5CDD505-2E9C-101B-9397-08002B2CF9AE}" pid="3" name="ContentTypeId">
    <vt:lpwstr>0x0101006E56B4D1795A2E4DB2F0B01679ED314A00BF646EE6BD3DCD449D83A8777965FB75</vt:lpwstr>
  </property>
  <property fmtid="{D5CDD505-2E9C-101B-9397-08002B2CF9AE}" pid="4" name="_docset_NoMedatataSyncRequired">
    <vt:lpwstr>False</vt:lpwstr>
  </property>
</Properties>
</file>