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A611" w14:textId="77777777" w:rsidR="00F775D9" w:rsidRDefault="00F775D9" w:rsidP="00F775D9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7391CD53" wp14:editId="3B7EE64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AC3A" w14:textId="77777777" w:rsidR="00F775D9" w:rsidRDefault="00F775D9" w:rsidP="00F775D9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2DE8DC94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962D362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3F544A97" w14:textId="77777777" w:rsidR="00F775D9" w:rsidRDefault="00F775D9" w:rsidP="00F775D9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1FBE6397" w14:textId="77777777" w:rsidR="00F775D9" w:rsidRDefault="00F775D9" w:rsidP="00F775D9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10D6CC93" w14:textId="60E3ECD5" w:rsidR="00263AA8" w:rsidRDefault="00A7305D" w:rsidP="008D54C3">
      <w:pPr>
        <w:pStyle w:val="NoSpacing"/>
        <w:spacing w:line="264" w:lineRule="auto"/>
        <w:jc w:val="center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A7055B">
        <w:rPr>
          <w:noProof/>
        </w:rPr>
        <w:t>September 13, 2016</w:t>
      </w:r>
      <w:r>
        <w:fldChar w:fldCharType="end"/>
      </w:r>
    </w:p>
    <w:p w14:paraId="1B72EDBC" w14:textId="77777777" w:rsidR="00263AA8" w:rsidRDefault="00263AA8" w:rsidP="00244E44">
      <w:pPr>
        <w:pStyle w:val="NoSpacing"/>
        <w:spacing w:line="264" w:lineRule="auto"/>
      </w:pPr>
    </w:p>
    <w:p w14:paraId="2316FFF8" w14:textId="6D23FE5C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 w:rsidRPr="00263AA8">
        <w:rPr>
          <w:b/>
        </w:rPr>
        <w:t xml:space="preserve">NOTICE OF OPPORTUNITY TO </w:t>
      </w:r>
      <w:r w:rsidR="0086475D">
        <w:rPr>
          <w:b/>
        </w:rPr>
        <w:t>RESPOND</w:t>
      </w:r>
      <w:r w:rsidRPr="00263AA8">
        <w:rPr>
          <w:b/>
        </w:rPr>
        <w:t xml:space="preserve"> TO</w:t>
      </w:r>
    </w:p>
    <w:p w14:paraId="44668930" w14:textId="1C38F41D" w:rsidR="00263AA8" w:rsidRDefault="00A7305D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PACIFIC POWER</w:t>
      </w:r>
      <w:r w:rsidR="00AA37ED">
        <w:rPr>
          <w:b/>
        </w:rPr>
        <w:t xml:space="preserve">’S </w:t>
      </w:r>
      <w:r w:rsidR="0086475D">
        <w:rPr>
          <w:b/>
        </w:rPr>
        <w:t xml:space="preserve">MOTION </w:t>
      </w:r>
      <w:r w:rsidR="00FA36AC">
        <w:rPr>
          <w:b/>
        </w:rPr>
        <w:t xml:space="preserve">FOR </w:t>
      </w:r>
      <w:r>
        <w:rPr>
          <w:b/>
        </w:rPr>
        <w:t>CLARIFICATION OF ORDERS 12 AND 13</w:t>
      </w:r>
    </w:p>
    <w:p w14:paraId="3B3EC354" w14:textId="27100192" w:rsidR="00263AA8" w:rsidRPr="00263AA8" w:rsidRDefault="00263AA8" w:rsidP="00244E44">
      <w:pPr>
        <w:pStyle w:val="NoSpacing"/>
        <w:spacing w:line="264" w:lineRule="auto"/>
        <w:jc w:val="center"/>
        <w:rPr>
          <w:b/>
        </w:rPr>
      </w:pPr>
      <w:r>
        <w:rPr>
          <w:b/>
        </w:rPr>
        <w:t>(</w:t>
      </w:r>
      <w:r w:rsidR="0086475D">
        <w:rPr>
          <w:b/>
        </w:rPr>
        <w:t>Responses</w:t>
      </w:r>
      <w:r w:rsidR="000628D0">
        <w:rPr>
          <w:b/>
        </w:rPr>
        <w:t xml:space="preserve"> Due </w:t>
      </w:r>
      <w:r>
        <w:rPr>
          <w:b/>
        </w:rPr>
        <w:t xml:space="preserve">By </w:t>
      </w:r>
      <w:r w:rsidR="00F53765">
        <w:rPr>
          <w:b/>
        </w:rPr>
        <w:t xml:space="preserve">3:00 p.m., </w:t>
      </w:r>
      <w:r w:rsidR="0030789C">
        <w:rPr>
          <w:b/>
        </w:rPr>
        <w:t>Tues</w:t>
      </w:r>
      <w:r w:rsidR="00F53765">
        <w:rPr>
          <w:b/>
        </w:rPr>
        <w:t>day,</w:t>
      </w:r>
      <w:r w:rsidR="0086475D">
        <w:rPr>
          <w:b/>
        </w:rPr>
        <w:t xml:space="preserve"> </w:t>
      </w:r>
      <w:r w:rsidR="00A7305D">
        <w:rPr>
          <w:b/>
        </w:rPr>
        <w:t xml:space="preserve">September </w:t>
      </w:r>
      <w:r w:rsidR="0030789C">
        <w:rPr>
          <w:b/>
        </w:rPr>
        <w:t>20</w:t>
      </w:r>
      <w:r w:rsidR="00AA37ED">
        <w:rPr>
          <w:b/>
        </w:rPr>
        <w:t>, 2016</w:t>
      </w:r>
      <w:r>
        <w:rPr>
          <w:b/>
        </w:rPr>
        <w:t>)</w:t>
      </w:r>
    </w:p>
    <w:p w14:paraId="71D84268" w14:textId="77777777" w:rsidR="00263AA8" w:rsidRDefault="00263AA8" w:rsidP="00244E44">
      <w:pPr>
        <w:pStyle w:val="NoSpacing"/>
        <w:spacing w:line="264" w:lineRule="auto"/>
      </w:pPr>
    </w:p>
    <w:p w14:paraId="10788845" w14:textId="77777777" w:rsidR="00263AA8" w:rsidRDefault="00263AA8" w:rsidP="00244E44">
      <w:pPr>
        <w:pStyle w:val="NoSpacing"/>
        <w:spacing w:line="264" w:lineRule="auto"/>
      </w:pPr>
    </w:p>
    <w:p w14:paraId="7B107589" w14:textId="15130AA3" w:rsidR="00F33F5C" w:rsidRPr="0086475D" w:rsidRDefault="00F33F5C" w:rsidP="009418D0">
      <w:pPr>
        <w:ind w:left="720" w:hanging="720"/>
        <w:rPr>
          <w:b/>
          <w:i/>
          <w:sz w:val="25"/>
          <w:szCs w:val="25"/>
        </w:rPr>
      </w:pPr>
      <w:r w:rsidRPr="0053344A">
        <w:rPr>
          <w:sz w:val="25"/>
          <w:szCs w:val="25"/>
        </w:rPr>
        <w:t>RE:</w:t>
      </w:r>
      <w:r>
        <w:rPr>
          <w:sz w:val="25"/>
          <w:szCs w:val="25"/>
        </w:rPr>
        <w:tab/>
      </w:r>
      <w:r w:rsidRPr="00BB16A9">
        <w:rPr>
          <w:i/>
          <w:sz w:val="25"/>
          <w:szCs w:val="25"/>
        </w:rPr>
        <w:t xml:space="preserve">Washington Utilities and Transportation Commission v. </w:t>
      </w:r>
      <w:r w:rsidR="00D16493">
        <w:rPr>
          <w:i/>
          <w:sz w:val="25"/>
          <w:szCs w:val="25"/>
        </w:rPr>
        <w:t>Pacific Power &amp; Light Company</w:t>
      </w:r>
      <w:r w:rsidRPr="00BB16A9">
        <w:rPr>
          <w:sz w:val="25"/>
          <w:szCs w:val="25"/>
        </w:rPr>
        <w:t xml:space="preserve">, Docket </w:t>
      </w:r>
      <w:r>
        <w:rPr>
          <w:sz w:val="25"/>
          <w:szCs w:val="25"/>
        </w:rPr>
        <w:t>UE-</w:t>
      </w:r>
      <w:r w:rsidR="00AA37ED">
        <w:rPr>
          <w:sz w:val="25"/>
          <w:szCs w:val="25"/>
        </w:rPr>
        <w:t>15</w:t>
      </w:r>
      <w:r w:rsidR="00D16493">
        <w:rPr>
          <w:sz w:val="25"/>
          <w:szCs w:val="25"/>
        </w:rPr>
        <w:t>2253</w:t>
      </w:r>
      <w:r w:rsidR="0086475D">
        <w:rPr>
          <w:sz w:val="25"/>
          <w:szCs w:val="25"/>
        </w:rPr>
        <w:t xml:space="preserve"> </w:t>
      </w:r>
    </w:p>
    <w:p w14:paraId="417A0AFF" w14:textId="77777777" w:rsidR="00263AA8" w:rsidRDefault="00263AA8" w:rsidP="00244E44">
      <w:pPr>
        <w:spacing w:line="264" w:lineRule="auto"/>
        <w:rPr>
          <w:sz w:val="25"/>
          <w:szCs w:val="25"/>
        </w:rPr>
      </w:pPr>
    </w:p>
    <w:p w14:paraId="0204A6CB" w14:textId="77777777" w:rsidR="00263AA8" w:rsidRDefault="00263AA8" w:rsidP="00244E44">
      <w:pPr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TO ALL PARTIES:</w:t>
      </w:r>
    </w:p>
    <w:p w14:paraId="077F582C" w14:textId="77777777" w:rsidR="00263AA8" w:rsidRDefault="00263AA8" w:rsidP="00244E44">
      <w:pPr>
        <w:pStyle w:val="NoSpacing"/>
        <w:spacing w:line="264" w:lineRule="auto"/>
      </w:pPr>
    </w:p>
    <w:p w14:paraId="5C7877A0" w14:textId="77777777" w:rsidR="0030789C" w:rsidRDefault="00AA37ED" w:rsidP="00123BD3">
      <w:pPr>
        <w:pStyle w:val="NoSpacing"/>
        <w:spacing w:line="288" w:lineRule="auto"/>
        <w:rPr>
          <w:sz w:val="24"/>
          <w:szCs w:val="25"/>
        </w:rPr>
      </w:pPr>
      <w:r w:rsidRPr="001167DD">
        <w:rPr>
          <w:sz w:val="24"/>
          <w:szCs w:val="25"/>
        </w:rPr>
        <w:t xml:space="preserve">On </w:t>
      </w:r>
      <w:r w:rsidR="00A7305D">
        <w:rPr>
          <w:sz w:val="24"/>
          <w:szCs w:val="25"/>
        </w:rPr>
        <w:t>September 12</w:t>
      </w:r>
      <w:r w:rsidR="00BF3DBA">
        <w:rPr>
          <w:sz w:val="24"/>
          <w:szCs w:val="25"/>
        </w:rPr>
        <w:t xml:space="preserve">, 2016, </w:t>
      </w:r>
      <w:r w:rsidR="00A7305D">
        <w:rPr>
          <w:sz w:val="24"/>
          <w:szCs w:val="25"/>
        </w:rPr>
        <w:t xml:space="preserve">Pacific Power &amp; Light Company </w:t>
      </w:r>
      <w:r w:rsidR="00BF3DBA">
        <w:rPr>
          <w:sz w:val="24"/>
          <w:szCs w:val="25"/>
        </w:rPr>
        <w:t>(</w:t>
      </w:r>
      <w:r w:rsidR="00A7305D">
        <w:rPr>
          <w:sz w:val="24"/>
          <w:szCs w:val="25"/>
        </w:rPr>
        <w:t>Pacific Power or the Company</w:t>
      </w:r>
      <w:r w:rsidR="00BF3DBA">
        <w:rPr>
          <w:sz w:val="24"/>
          <w:szCs w:val="25"/>
        </w:rPr>
        <w:t xml:space="preserve">) filed a Motion </w:t>
      </w:r>
      <w:r w:rsidR="00FA36AC">
        <w:rPr>
          <w:sz w:val="24"/>
          <w:szCs w:val="25"/>
        </w:rPr>
        <w:t xml:space="preserve">for </w:t>
      </w:r>
      <w:r w:rsidR="00A7305D">
        <w:rPr>
          <w:sz w:val="24"/>
          <w:szCs w:val="25"/>
        </w:rPr>
        <w:t>Clarification of Orders 12 and 13</w:t>
      </w:r>
      <w:r w:rsidR="00BF3DBA">
        <w:rPr>
          <w:sz w:val="24"/>
          <w:szCs w:val="25"/>
        </w:rPr>
        <w:t xml:space="preserve"> (</w:t>
      </w:r>
      <w:r w:rsidR="00A7305D">
        <w:rPr>
          <w:sz w:val="24"/>
          <w:szCs w:val="25"/>
        </w:rPr>
        <w:t>Motion for Clarification</w:t>
      </w:r>
      <w:r w:rsidR="00FA36AC">
        <w:rPr>
          <w:sz w:val="24"/>
          <w:szCs w:val="25"/>
        </w:rPr>
        <w:t>)</w:t>
      </w:r>
      <w:r w:rsidR="00D16493">
        <w:rPr>
          <w:sz w:val="24"/>
          <w:szCs w:val="25"/>
        </w:rPr>
        <w:t xml:space="preserve"> </w:t>
      </w:r>
      <w:r w:rsidR="00123BD3">
        <w:rPr>
          <w:sz w:val="24"/>
          <w:szCs w:val="25"/>
        </w:rPr>
        <w:t xml:space="preserve">with the Washington Utilities and Transportation Commission (Commission) </w:t>
      </w:r>
      <w:r w:rsidR="00D16493">
        <w:rPr>
          <w:sz w:val="24"/>
          <w:szCs w:val="25"/>
        </w:rPr>
        <w:t>in the above-referenced docket</w:t>
      </w:r>
      <w:r w:rsidR="00FA36AC">
        <w:rPr>
          <w:sz w:val="24"/>
          <w:szCs w:val="25"/>
        </w:rPr>
        <w:t xml:space="preserve">. Specifically, </w:t>
      </w:r>
      <w:r w:rsidR="00123BD3">
        <w:rPr>
          <w:sz w:val="24"/>
          <w:szCs w:val="25"/>
        </w:rPr>
        <w:t xml:space="preserve">Pacific Power requests </w:t>
      </w:r>
      <w:r w:rsidR="0030789C">
        <w:rPr>
          <w:sz w:val="24"/>
          <w:szCs w:val="25"/>
        </w:rPr>
        <w:t>that the Commission clarify</w:t>
      </w:r>
      <w:r w:rsidR="00123BD3">
        <w:rPr>
          <w:sz w:val="24"/>
          <w:szCs w:val="25"/>
        </w:rPr>
        <w:t xml:space="preserve"> </w:t>
      </w:r>
      <w:r w:rsidR="007B35CC">
        <w:rPr>
          <w:sz w:val="24"/>
          <w:szCs w:val="25"/>
        </w:rPr>
        <w:t>two</w:t>
      </w:r>
      <w:r w:rsidR="00123BD3">
        <w:rPr>
          <w:sz w:val="24"/>
          <w:szCs w:val="25"/>
        </w:rPr>
        <w:t xml:space="preserve"> issues. </w:t>
      </w:r>
    </w:p>
    <w:p w14:paraId="45C1A3F5" w14:textId="77777777" w:rsidR="0030789C" w:rsidRDefault="0030789C" w:rsidP="00123BD3">
      <w:pPr>
        <w:pStyle w:val="NoSpacing"/>
        <w:spacing w:line="288" w:lineRule="auto"/>
        <w:rPr>
          <w:sz w:val="24"/>
          <w:szCs w:val="25"/>
        </w:rPr>
      </w:pPr>
    </w:p>
    <w:p w14:paraId="110EB6FE" w14:textId="45CA14AC" w:rsidR="0012522C" w:rsidRDefault="00123BD3" w:rsidP="00123BD3">
      <w:pPr>
        <w:pStyle w:val="NoSpacing"/>
        <w:spacing w:line="288" w:lineRule="auto"/>
        <w:rPr>
          <w:sz w:val="24"/>
          <w:szCs w:val="25"/>
        </w:rPr>
      </w:pPr>
      <w:r>
        <w:rPr>
          <w:sz w:val="24"/>
          <w:szCs w:val="25"/>
        </w:rPr>
        <w:t xml:space="preserve">First, the Company states that the Commission expressly denied a return on the selective catalytic reduction (SCR) systems in Order 12 but that the </w:t>
      </w:r>
      <w:r w:rsidR="0030789C">
        <w:rPr>
          <w:sz w:val="24"/>
          <w:szCs w:val="25"/>
        </w:rPr>
        <w:t>Company should have received a return on the non-SCR-related capital projects within the SCR adjustment.</w:t>
      </w:r>
      <w:r>
        <w:rPr>
          <w:rStyle w:val="FootnoteReference"/>
          <w:sz w:val="24"/>
          <w:szCs w:val="25"/>
        </w:rPr>
        <w:footnoteReference w:id="1"/>
      </w:r>
      <w:r>
        <w:rPr>
          <w:sz w:val="24"/>
          <w:szCs w:val="25"/>
        </w:rPr>
        <w:t xml:space="preserve"> </w:t>
      </w:r>
      <w:r w:rsidR="0030789C">
        <w:rPr>
          <w:sz w:val="24"/>
          <w:szCs w:val="25"/>
        </w:rPr>
        <w:t>Pacific Power</w:t>
      </w:r>
      <w:r w:rsidR="0012522C">
        <w:rPr>
          <w:sz w:val="24"/>
          <w:szCs w:val="25"/>
        </w:rPr>
        <w:t xml:space="preserve"> asks that the Commission clarify </w:t>
      </w:r>
      <w:r w:rsidR="0030789C">
        <w:rPr>
          <w:sz w:val="24"/>
          <w:szCs w:val="25"/>
        </w:rPr>
        <w:t xml:space="preserve">that </w:t>
      </w:r>
      <w:r w:rsidR="0012522C">
        <w:rPr>
          <w:sz w:val="24"/>
          <w:szCs w:val="25"/>
        </w:rPr>
        <w:t xml:space="preserve">the exclusion of </w:t>
      </w:r>
      <w:r w:rsidR="0030789C">
        <w:rPr>
          <w:sz w:val="24"/>
          <w:szCs w:val="25"/>
        </w:rPr>
        <w:t xml:space="preserve">a return on the </w:t>
      </w:r>
      <w:r w:rsidR="0012522C">
        <w:rPr>
          <w:sz w:val="24"/>
          <w:szCs w:val="25"/>
        </w:rPr>
        <w:t>non-SCR-related capital projects at Jim Bridger Units 3 and 4</w:t>
      </w:r>
      <w:r w:rsidR="0030789C">
        <w:rPr>
          <w:sz w:val="24"/>
          <w:szCs w:val="25"/>
        </w:rPr>
        <w:t>,</w:t>
      </w:r>
      <w:r w:rsidR="0012522C">
        <w:rPr>
          <w:sz w:val="24"/>
          <w:szCs w:val="25"/>
        </w:rPr>
        <w:t xml:space="preserve"> </w:t>
      </w:r>
      <w:r w:rsidR="0030789C">
        <w:rPr>
          <w:sz w:val="24"/>
          <w:szCs w:val="25"/>
        </w:rPr>
        <w:t xml:space="preserve">and posted by the Company within the SCR line item, “was a ministerial error, </w:t>
      </w:r>
      <w:r w:rsidR="0012522C">
        <w:rPr>
          <w:sz w:val="24"/>
          <w:szCs w:val="25"/>
        </w:rPr>
        <w:t>correct the revenue requirement accordingly, and approve the alternative compliance tariffs provide</w:t>
      </w:r>
      <w:r w:rsidR="0030789C">
        <w:rPr>
          <w:sz w:val="24"/>
          <w:szCs w:val="25"/>
        </w:rPr>
        <w:t>d</w:t>
      </w:r>
      <w:r w:rsidR="0012522C">
        <w:rPr>
          <w:sz w:val="24"/>
          <w:szCs w:val="25"/>
        </w:rPr>
        <w:t xml:space="preserve"> with [the Motion for Clarification].”</w:t>
      </w:r>
      <w:r w:rsidR="0012522C">
        <w:rPr>
          <w:rStyle w:val="FootnoteReference"/>
          <w:sz w:val="24"/>
          <w:szCs w:val="25"/>
        </w:rPr>
        <w:footnoteReference w:id="2"/>
      </w:r>
      <w:r>
        <w:rPr>
          <w:sz w:val="24"/>
          <w:szCs w:val="25"/>
        </w:rPr>
        <w:t xml:space="preserve"> </w:t>
      </w:r>
    </w:p>
    <w:p w14:paraId="136592AC" w14:textId="77777777" w:rsidR="0012522C" w:rsidRDefault="0012522C" w:rsidP="00123BD3">
      <w:pPr>
        <w:pStyle w:val="NoSpacing"/>
        <w:spacing w:line="288" w:lineRule="auto"/>
        <w:rPr>
          <w:sz w:val="24"/>
          <w:szCs w:val="25"/>
        </w:rPr>
      </w:pPr>
    </w:p>
    <w:p w14:paraId="3B6639B9" w14:textId="0B5E9DB4" w:rsidR="00263AA8" w:rsidRDefault="0012522C" w:rsidP="00123BD3">
      <w:pPr>
        <w:pStyle w:val="NoSpacing"/>
        <w:spacing w:line="288" w:lineRule="auto"/>
        <w:rPr>
          <w:sz w:val="24"/>
          <w:szCs w:val="25"/>
        </w:rPr>
      </w:pPr>
      <w:r>
        <w:rPr>
          <w:sz w:val="24"/>
          <w:szCs w:val="25"/>
        </w:rPr>
        <w:t>Second, Pacific Power requests a modification to the Commission-approved decoupling mechanism’s deferral period. In Order 12, the Commission adjusted the Company</w:t>
      </w:r>
      <w:r w:rsidR="0030789C">
        <w:rPr>
          <w:sz w:val="24"/>
          <w:szCs w:val="25"/>
        </w:rPr>
        <w:t>-</w:t>
      </w:r>
      <w:r>
        <w:rPr>
          <w:sz w:val="24"/>
          <w:szCs w:val="25"/>
        </w:rPr>
        <w:t>proposed deferral timeline so that the first year of the mechanism would run from September 15, 2016, to September 14, 2017</w:t>
      </w:r>
      <w:r w:rsidR="00F35BE8">
        <w:rPr>
          <w:sz w:val="24"/>
          <w:szCs w:val="25"/>
        </w:rPr>
        <w:t>.</w:t>
      </w:r>
      <w:r>
        <w:rPr>
          <w:sz w:val="24"/>
          <w:szCs w:val="25"/>
        </w:rPr>
        <w:t xml:space="preserve"> </w:t>
      </w:r>
      <w:r w:rsidR="00F35BE8">
        <w:rPr>
          <w:sz w:val="24"/>
          <w:szCs w:val="25"/>
        </w:rPr>
        <w:t>Pacific Power states that the Commission’s timeline does not align with the months covered by the Company’s mid-year Commission Basis Report (CBR), which addresses the period from July 1 through June 30 of each year.</w:t>
      </w:r>
      <w:r w:rsidR="00F35BE8">
        <w:rPr>
          <w:rStyle w:val="FootnoteReference"/>
          <w:sz w:val="24"/>
          <w:szCs w:val="25"/>
        </w:rPr>
        <w:footnoteReference w:id="3"/>
      </w:r>
      <w:r w:rsidR="00F35BE8">
        <w:rPr>
          <w:sz w:val="24"/>
          <w:szCs w:val="25"/>
        </w:rPr>
        <w:t xml:space="preserve"> The Company </w:t>
      </w:r>
      <w:r w:rsidR="00F35BE8">
        <w:rPr>
          <w:sz w:val="24"/>
          <w:szCs w:val="25"/>
        </w:rPr>
        <w:lastRenderedPageBreak/>
        <w:t>proposes “a shortened first year of the decoupling mechanism, from September 15, 2016, through June 30, 2017…</w:t>
      </w:r>
      <w:r w:rsidR="007B35CC">
        <w:rPr>
          <w:sz w:val="24"/>
          <w:szCs w:val="25"/>
        </w:rPr>
        <w:t xml:space="preserve"> </w:t>
      </w:r>
      <w:r w:rsidR="00F35BE8">
        <w:rPr>
          <w:sz w:val="24"/>
          <w:szCs w:val="25"/>
        </w:rPr>
        <w:t>[</w:t>
      </w:r>
      <w:proofErr w:type="gramStart"/>
      <w:r w:rsidR="00F35BE8">
        <w:rPr>
          <w:sz w:val="24"/>
          <w:szCs w:val="25"/>
        </w:rPr>
        <w:t>and</w:t>
      </w:r>
      <w:proofErr w:type="gramEnd"/>
      <w:r w:rsidR="00F35BE8">
        <w:rPr>
          <w:sz w:val="24"/>
          <w:szCs w:val="25"/>
        </w:rPr>
        <w:t xml:space="preserve"> y]ears two through four would cover the full one-year period from July 1 to June 30.</w:t>
      </w:r>
      <w:r w:rsidR="00F35BE8">
        <w:rPr>
          <w:rStyle w:val="FootnoteReference"/>
          <w:sz w:val="24"/>
          <w:szCs w:val="25"/>
        </w:rPr>
        <w:footnoteReference w:id="4"/>
      </w:r>
      <w:r w:rsidR="007B35CC">
        <w:rPr>
          <w:sz w:val="24"/>
          <w:szCs w:val="25"/>
        </w:rPr>
        <w:t xml:space="preserve"> Pacific Power also requests that the Commission make clear “that the Company is not required to file a mid-year CBR in 2016 covering the results of operation for July 1, 2015, through June 30, 2016, because this period pre-dates the effective date of the decoupling mechanism.”</w:t>
      </w:r>
      <w:r w:rsidR="007B35CC">
        <w:rPr>
          <w:rStyle w:val="FootnoteReference"/>
          <w:sz w:val="24"/>
          <w:szCs w:val="25"/>
        </w:rPr>
        <w:footnoteReference w:id="5"/>
      </w:r>
    </w:p>
    <w:p w14:paraId="07CA09A8" w14:textId="77777777" w:rsidR="007B35CC" w:rsidRDefault="007B35CC" w:rsidP="00123BD3">
      <w:pPr>
        <w:pStyle w:val="NoSpacing"/>
        <w:spacing w:line="288" w:lineRule="auto"/>
        <w:rPr>
          <w:sz w:val="24"/>
          <w:szCs w:val="25"/>
        </w:rPr>
      </w:pPr>
    </w:p>
    <w:p w14:paraId="1AC8BA95" w14:textId="3A186A13" w:rsidR="00027198" w:rsidRPr="00370E94" w:rsidRDefault="00027198" w:rsidP="00370E94">
      <w:pPr>
        <w:pStyle w:val="NoSpacing"/>
        <w:spacing w:line="288" w:lineRule="auto"/>
        <w:rPr>
          <w:b/>
          <w:sz w:val="24"/>
          <w:szCs w:val="24"/>
        </w:rPr>
      </w:pPr>
      <w:r w:rsidRPr="00370E94">
        <w:rPr>
          <w:b/>
          <w:sz w:val="24"/>
          <w:szCs w:val="24"/>
        </w:rPr>
        <w:t xml:space="preserve">NOTICE IS GIVEN </w:t>
      </w:r>
      <w:proofErr w:type="gramStart"/>
      <w:r w:rsidRPr="00370E94">
        <w:rPr>
          <w:b/>
          <w:sz w:val="24"/>
          <w:szCs w:val="24"/>
        </w:rPr>
        <w:t>That</w:t>
      </w:r>
      <w:proofErr w:type="gramEnd"/>
      <w:r w:rsidRPr="00370E94">
        <w:rPr>
          <w:b/>
          <w:sz w:val="24"/>
          <w:szCs w:val="24"/>
        </w:rPr>
        <w:t xml:space="preserve"> parties who wish to re</w:t>
      </w:r>
      <w:r w:rsidR="00A44D4D">
        <w:rPr>
          <w:b/>
          <w:sz w:val="24"/>
          <w:szCs w:val="24"/>
        </w:rPr>
        <w:t>spond</w:t>
      </w:r>
      <w:r w:rsidRPr="00370E94">
        <w:rPr>
          <w:b/>
          <w:sz w:val="24"/>
          <w:szCs w:val="24"/>
        </w:rPr>
        <w:t xml:space="preserve"> to </w:t>
      </w:r>
      <w:r w:rsidR="0030789C">
        <w:rPr>
          <w:b/>
          <w:sz w:val="24"/>
          <w:szCs w:val="24"/>
        </w:rPr>
        <w:t>Pacific Power &amp; Light Company</w:t>
      </w:r>
      <w:r w:rsidR="00351FA9" w:rsidRPr="00370E94">
        <w:rPr>
          <w:b/>
          <w:sz w:val="24"/>
          <w:szCs w:val="24"/>
        </w:rPr>
        <w:t xml:space="preserve">’s </w:t>
      </w:r>
      <w:r w:rsidR="00834F01">
        <w:rPr>
          <w:b/>
          <w:sz w:val="24"/>
          <w:szCs w:val="24"/>
        </w:rPr>
        <w:t xml:space="preserve">Motion </w:t>
      </w:r>
      <w:r w:rsidR="000158DD">
        <w:rPr>
          <w:b/>
          <w:sz w:val="24"/>
          <w:szCs w:val="24"/>
        </w:rPr>
        <w:t xml:space="preserve">for </w:t>
      </w:r>
      <w:r w:rsidR="0030789C">
        <w:rPr>
          <w:b/>
          <w:sz w:val="24"/>
          <w:szCs w:val="24"/>
        </w:rPr>
        <w:t>Clarification of Order</w:t>
      </w:r>
      <w:r w:rsidR="00A7055B">
        <w:rPr>
          <w:b/>
          <w:sz w:val="24"/>
          <w:szCs w:val="24"/>
        </w:rPr>
        <w:t>s</w:t>
      </w:r>
      <w:bookmarkStart w:id="0" w:name="_GoBack"/>
      <w:bookmarkEnd w:id="0"/>
      <w:r w:rsidR="0030789C">
        <w:rPr>
          <w:b/>
          <w:sz w:val="24"/>
          <w:szCs w:val="24"/>
        </w:rPr>
        <w:t xml:space="preserve"> 12 and 13</w:t>
      </w:r>
      <w:r w:rsidR="00834F01">
        <w:rPr>
          <w:b/>
          <w:sz w:val="24"/>
          <w:szCs w:val="24"/>
        </w:rPr>
        <w:t xml:space="preserve"> </w:t>
      </w:r>
      <w:r w:rsidR="00351FA9" w:rsidRPr="00370E94">
        <w:rPr>
          <w:b/>
          <w:sz w:val="24"/>
          <w:szCs w:val="24"/>
        </w:rPr>
        <w:t>must do so by 3</w:t>
      </w:r>
      <w:r w:rsidR="000628D0" w:rsidRPr="00370E94">
        <w:rPr>
          <w:b/>
          <w:sz w:val="24"/>
          <w:szCs w:val="24"/>
        </w:rPr>
        <w:t xml:space="preserve">:00 p.m., </w:t>
      </w:r>
      <w:r w:rsidR="0030789C">
        <w:rPr>
          <w:b/>
          <w:sz w:val="24"/>
          <w:szCs w:val="24"/>
        </w:rPr>
        <w:t>Tue</w:t>
      </w:r>
      <w:r w:rsidR="00834F01">
        <w:rPr>
          <w:b/>
          <w:sz w:val="24"/>
          <w:szCs w:val="24"/>
        </w:rPr>
        <w:t>s</w:t>
      </w:r>
      <w:r w:rsidR="00351FA9" w:rsidRPr="00370E94">
        <w:rPr>
          <w:b/>
          <w:sz w:val="24"/>
          <w:szCs w:val="24"/>
        </w:rPr>
        <w:t>d</w:t>
      </w:r>
      <w:r w:rsidR="000628D0" w:rsidRPr="00370E94">
        <w:rPr>
          <w:b/>
          <w:sz w:val="24"/>
          <w:szCs w:val="24"/>
        </w:rPr>
        <w:t xml:space="preserve">ay, </w:t>
      </w:r>
      <w:r w:rsidR="0030789C">
        <w:rPr>
          <w:b/>
          <w:sz w:val="24"/>
          <w:szCs w:val="24"/>
        </w:rPr>
        <w:t>September 20</w:t>
      </w:r>
      <w:r w:rsidR="00351FA9" w:rsidRPr="00370E94">
        <w:rPr>
          <w:b/>
          <w:sz w:val="24"/>
          <w:szCs w:val="24"/>
        </w:rPr>
        <w:t>, 2016</w:t>
      </w:r>
      <w:r w:rsidR="000628D0" w:rsidRPr="00370E94">
        <w:rPr>
          <w:b/>
          <w:sz w:val="24"/>
          <w:szCs w:val="24"/>
        </w:rPr>
        <w:t>.</w:t>
      </w:r>
    </w:p>
    <w:p w14:paraId="21AAA4B2" w14:textId="77777777" w:rsidR="00263AA8" w:rsidRDefault="00263AA8" w:rsidP="00244E44">
      <w:pPr>
        <w:pStyle w:val="NoSpacing"/>
        <w:spacing w:line="264" w:lineRule="auto"/>
      </w:pPr>
    </w:p>
    <w:p w14:paraId="1A88CE65" w14:textId="77777777" w:rsidR="00263AA8" w:rsidRDefault="00263AA8" w:rsidP="00244E44">
      <w:pPr>
        <w:pStyle w:val="NoSpacing"/>
        <w:spacing w:line="264" w:lineRule="auto"/>
      </w:pPr>
    </w:p>
    <w:p w14:paraId="0D62B1A4" w14:textId="77777777" w:rsidR="00263AA8" w:rsidRDefault="00263AA8" w:rsidP="00244E44">
      <w:pPr>
        <w:pStyle w:val="NoSpacing"/>
        <w:spacing w:line="264" w:lineRule="auto"/>
      </w:pPr>
    </w:p>
    <w:p w14:paraId="1E4595DB" w14:textId="77777777" w:rsidR="00263AA8" w:rsidRDefault="00263AA8" w:rsidP="00244E44">
      <w:pPr>
        <w:pStyle w:val="NoSpacing"/>
        <w:spacing w:line="264" w:lineRule="auto"/>
      </w:pPr>
    </w:p>
    <w:p w14:paraId="6E92ABA7" w14:textId="77777777" w:rsidR="00263AA8" w:rsidRDefault="000628D0" w:rsidP="00244E44">
      <w:pPr>
        <w:pStyle w:val="NoSpacing"/>
        <w:spacing w:line="264" w:lineRule="auto"/>
      </w:pPr>
      <w:r>
        <w:t>MARGUERITE E. FRIEDLANDER</w:t>
      </w:r>
    </w:p>
    <w:p w14:paraId="0BD00F3F" w14:textId="77777777" w:rsidR="00263AA8" w:rsidRDefault="00263AA8" w:rsidP="00244E44">
      <w:pPr>
        <w:pStyle w:val="NoSpacing"/>
        <w:spacing w:line="264" w:lineRule="auto"/>
      </w:pPr>
      <w:r>
        <w:t>Administrative Law Judge</w:t>
      </w:r>
    </w:p>
    <w:sectPr w:rsidR="00263AA8" w:rsidSect="00A96CD9">
      <w:headerReference w:type="default" r:id="rId13"/>
      <w:pgSz w:w="12240" w:h="15840" w:code="1"/>
      <w:pgMar w:top="720" w:right="1440" w:bottom="1440" w:left="180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A9B2" w14:textId="77777777" w:rsidR="00523456" w:rsidRDefault="00523456" w:rsidP="00523456">
      <w:r>
        <w:separator/>
      </w:r>
    </w:p>
  </w:endnote>
  <w:endnote w:type="continuationSeparator" w:id="0">
    <w:p w14:paraId="19CF858A" w14:textId="77777777" w:rsidR="00523456" w:rsidRDefault="00523456" w:rsidP="005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53F30" w14:textId="77777777" w:rsidR="00523456" w:rsidRDefault="00523456" w:rsidP="00523456">
      <w:r>
        <w:separator/>
      </w:r>
    </w:p>
  </w:footnote>
  <w:footnote w:type="continuationSeparator" w:id="0">
    <w:p w14:paraId="154BDDD9" w14:textId="77777777" w:rsidR="00523456" w:rsidRDefault="00523456" w:rsidP="00523456">
      <w:r>
        <w:continuationSeparator/>
      </w:r>
    </w:p>
  </w:footnote>
  <w:footnote w:id="1">
    <w:p w14:paraId="6575F34C" w14:textId="3D4865FD" w:rsidR="00123BD3" w:rsidRDefault="00123BD3">
      <w:pPr>
        <w:pStyle w:val="FootnoteText"/>
      </w:pPr>
      <w:r w:rsidRPr="00123BD3">
        <w:rPr>
          <w:rStyle w:val="FootnoteReference"/>
          <w:sz w:val="22"/>
        </w:rPr>
        <w:footnoteRef/>
      </w:r>
      <w:r w:rsidRPr="00123BD3">
        <w:rPr>
          <w:sz w:val="22"/>
        </w:rPr>
        <w:t xml:space="preserve"> </w:t>
      </w:r>
      <w:r>
        <w:rPr>
          <w:sz w:val="22"/>
        </w:rPr>
        <w:t>Pacific Power Motion for Clarification, ¶ 3.</w:t>
      </w:r>
    </w:p>
  </w:footnote>
  <w:footnote w:id="2">
    <w:p w14:paraId="0AF7A93D" w14:textId="740D4065" w:rsidR="0012522C" w:rsidRPr="0012522C" w:rsidRDefault="0012522C">
      <w:pPr>
        <w:pStyle w:val="FootnoteText"/>
      </w:pPr>
      <w:r w:rsidRPr="0012522C">
        <w:rPr>
          <w:rStyle w:val="FootnoteReference"/>
          <w:sz w:val="22"/>
        </w:rPr>
        <w:footnoteRef/>
      </w:r>
      <w:r w:rsidRPr="0012522C">
        <w:rPr>
          <w:sz w:val="22"/>
        </w:rPr>
        <w:t xml:space="preserve"> </w:t>
      </w:r>
      <w:r>
        <w:rPr>
          <w:i/>
          <w:sz w:val="22"/>
        </w:rPr>
        <w:t xml:space="preserve">Id., </w:t>
      </w:r>
      <w:r>
        <w:rPr>
          <w:sz w:val="22"/>
        </w:rPr>
        <w:t>¶ 9.</w:t>
      </w:r>
    </w:p>
  </w:footnote>
  <w:footnote w:id="3">
    <w:p w14:paraId="34200275" w14:textId="2135E0DE" w:rsidR="00F35BE8" w:rsidRPr="00F35BE8" w:rsidRDefault="00F35BE8">
      <w:pPr>
        <w:pStyle w:val="FootnoteText"/>
        <w:rPr>
          <w:sz w:val="22"/>
        </w:rPr>
      </w:pPr>
      <w:r w:rsidRPr="00F35BE8">
        <w:rPr>
          <w:rStyle w:val="FootnoteReference"/>
          <w:sz w:val="22"/>
        </w:rPr>
        <w:footnoteRef/>
      </w:r>
      <w:r w:rsidRPr="00F35BE8">
        <w:rPr>
          <w:sz w:val="22"/>
        </w:rPr>
        <w:t xml:space="preserve"> </w:t>
      </w:r>
      <w:r>
        <w:rPr>
          <w:i/>
          <w:sz w:val="22"/>
        </w:rPr>
        <w:t xml:space="preserve">Id., </w:t>
      </w:r>
      <w:r>
        <w:rPr>
          <w:sz w:val="22"/>
        </w:rPr>
        <w:t>¶ 12.</w:t>
      </w:r>
    </w:p>
  </w:footnote>
  <w:footnote w:id="4">
    <w:p w14:paraId="39EC548F" w14:textId="10F36CF3" w:rsidR="00F35BE8" w:rsidRPr="007B35CC" w:rsidRDefault="00F35BE8">
      <w:pPr>
        <w:pStyle w:val="FootnoteText"/>
        <w:rPr>
          <w:i/>
          <w:sz w:val="22"/>
          <w:szCs w:val="22"/>
        </w:rPr>
      </w:pPr>
      <w:r w:rsidRPr="007B35CC">
        <w:rPr>
          <w:rStyle w:val="FootnoteReference"/>
          <w:sz w:val="22"/>
          <w:szCs w:val="22"/>
        </w:rPr>
        <w:footnoteRef/>
      </w:r>
      <w:r w:rsidRPr="007B35CC">
        <w:rPr>
          <w:sz w:val="22"/>
          <w:szCs w:val="22"/>
        </w:rPr>
        <w:t xml:space="preserve"> </w:t>
      </w:r>
      <w:r w:rsidR="007B35CC" w:rsidRPr="007B35CC">
        <w:rPr>
          <w:i/>
          <w:sz w:val="22"/>
          <w:szCs w:val="22"/>
        </w:rPr>
        <w:t>Id.</w:t>
      </w:r>
    </w:p>
  </w:footnote>
  <w:footnote w:id="5">
    <w:p w14:paraId="512BECAB" w14:textId="1AB48164" w:rsidR="007B35CC" w:rsidRPr="007B35CC" w:rsidRDefault="007B35CC">
      <w:pPr>
        <w:pStyle w:val="FootnoteText"/>
        <w:rPr>
          <w:sz w:val="22"/>
        </w:rPr>
      </w:pPr>
      <w:r w:rsidRPr="007B35CC">
        <w:rPr>
          <w:rStyle w:val="FootnoteReference"/>
          <w:sz w:val="22"/>
          <w:szCs w:val="22"/>
        </w:rPr>
        <w:footnoteRef/>
      </w:r>
      <w:r>
        <w:t xml:space="preserve"> </w:t>
      </w:r>
      <w:r>
        <w:rPr>
          <w:i/>
          <w:sz w:val="22"/>
        </w:rPr>
        <w:t>Id.,</w:t>
      </w:r>
      <w:r>
        <w:rPr>
          <w:sz w:val="22"/>
        </w:rPr>
        <w:t xml:space="preserve"> ¶ 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9C227" w14:textId="3C51F8F0" w:rsidR="00A96CD9" w:rsidRDefault="00A96CD9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DOCKET UE-</w:t>
    </w:r>
    <w:r w:rsidR="00D16493">
      <w:rPr>
        <w:b/>
        <w:sz w:val="20"/>
        <w:szCs w:val="20"/>
      </w:rPr>
      <w:t>152253</w:t>
    </w:r>
    <w:r w:rsidR="00D16493">
      <w:rPr>
        <w:b/>
        <w:sz w:val="20"/>
        <w:szCs w:val="20"/>
      </w:rPr>
      <w:tab/>
    </w:r>
    <w:r w:rsidR="009226D7">
      <w:rPr>
        <w:b/>
        <w:sz w:val="20"/>
        <w:szCs w:val="20"/>
      </w:rPr>
      <w:tab/>
      <w:t>Page 2</w:t>
    </w:r>
  </w:p>
  <w:p w14:paraId="76B3A081" w14:textId="77777777" w:rsidR="00A96CD9" w:rsidRPr="00A96CD9" w:rsidRDefault="00A96CD9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3EBC"/>
    <w:multiLevelType w:val="hybridMultilevel"/>
    <w:tmpl w:val="D89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8"/>
    <w:rsid w:val="00000817"/>
    <w:rsid w:val="00000D94"/>
    <w:rsid w:val="000158DD"/>
    <w:rsid w:val="00024FCC"/>
    <w:rsid w:val="00027198"/>
    <w:rsid w:val="00036A42"/>
    <w:rsid w:val="00054580"/>
    <w:rsid w:val="000628D0"/>
    <w:rsid w:val="000A4CFE"/>
    <w:rsid w:val="000C159F"/>
    <w:rsid w:val="000F4FEE"/>
    <w:rsid w:val="000F629A"/>
    <w:rsid w:val="001140DB"/>
    <w:rsid w:val="001167DD"/>
    <w:rsid w:val="001204A6"/>
    <w:rsid w:val="00123BD3"/>
    <w:rsid w:val="00124765"/>
    <w:rsid w:val="0012522C"/>
    <w:rsid w:val="00125DE3"/>
    <w:rsid w:val="0012797D"/>
    <w:rsid w:val="00134F21"/>
    <w:rsid w:val="001605B2"/>
    <w:rsid w:val="001703EB"/>
    <w:rsid w:val="001723BF"/>
    <w:rsid w:val="00196394"/>
    <w:rsid w:val="001B4A6F"/>
    <w:rsid w:val="001C367B"/>
    <w:rsid w:val="00244E44"/>
    <w:rsid w:val="0025477A"/>
    <w:rsid w:val="00262124"/>
    <w:rsid w:val="00263AA8"/>
    <w:rsid w:val="00270B6C"/>
    <w:rsid w:val="00281C9A"/>
    <w:rsid w:val="002861A1"/>
    <w:rsid w:val="002E5203"/>
    <w:rsid w:val="003004E6"/>
    <w:rsid w:val="0030789C"/>
    <w:rsid w:val="00320272"/>
    <w:rsid w:val="00326C72"/>
    <w:rsid w:val="00331826"/>
    <w:rsid w:val="00331DBD"/>
    <w:rsid w:val="00351FA9"/>
    <w:rsid w:val="0035370C"/>
    <w:rsid w:val="00370E94"/>
    <w:rsid w:val="003F118C"/>
    <w:rsid w:val="003F43F9"/>
    <w:rsid w:val="00400A04"/>
    <w:rsid w:val="004470D6"/>
    <w:rsid w:val="004476F2"/>
    <w:rsid w:val="004643B1"/>
    <w:rsid w:val="00466587"/>
    <w:rsid w:val="00497485"/>
    <w:rsid w:val="004B13DF"/>
    <w:rsid w:val="004D03CC"/>
    <w:rsid w:val="004D5E7A"/>
    <w:rsid w:val="00504530"/>
    <w:rsid w:val="00523456"/>
    <w:rsid w:val="00546385"/>
    <w:rsid w:val="00563D47"/>
    <w:rsid w:val="00571C63"/>
    <w:rsid w:val="0057556D"/>
    <w:rsid w:val="005811C7"/>
    <w:rsid w:val="005963E1"/>
    <w:rsid w:val="005970BC"/>
    <w:rsid w:val="005A4601"/>
    <w:rsid w:val="005E662A"/>
    <w:rsid w:val="005F6CB0"/>
    <w:rsid w:val="00625F87"/>
    <w:rsid w:val="006328EE"/>
    <w:rsid w:val="00636DA8"/>
    <w:rsid w:val="00637028"/>
    <w:rsid w:val="00647468"/>
    <w:rsid w:val="00671E79"/>
    <w:rsid w:val="006725EB"/>
    <w:rsid w:val="00682AAC"/>
    <w:rsid w:val="006B51AE"/>
    <w:rsid w:val="006C391D"/>
    <w:rsid w:val="006E57AA"/>
    <w:rsid w:val="00751967"/>
    <w:rsid w:val="00782B25"/>
    <w:rsid w:val="007B35CC"/>
    <w:rsid w:val="007D026E"/>
    <w:rsid w:val="007E4058"/>
    <w:rsid w:val="007E6723"/>
    <w:rsid w:val="008221C4"/>
    <w:rsid w:val="008312B2"/>
    <w:rsid w:val="00834F01"/>
    <w:rsid w:val="008530CE"/>
    <w:rsid w:val="00857614"/>
    <w:rsid w:val="00860D9F"/>
    <w:rsid w:val="0086475D"/>
    <w:rsid w:val="00880F84"/>
    <w:rsid w:val="00885F8D"/>
    <w:rsid w:val="008922E7"/>
    <w:rsid w:val="008927D2"/>
    <w:rsid w:val="00894053"/>
    <w:rsid w:val="008A0BC8"/>
    <w:rsid w:val="008A2759"/>
    <w:rsid w:val="008C4198"/>
    <w:rsid w:val="008D54C3"/>
    <w:rsid w:val="008F56B3"/>
    <w:rsid w:val="0091303D"/>
    <w:rsid w:val="009226D7"/>
    <w:rsid w:val="009418D0"/>
    <w:rsid w:val="00950B86"/>
    <w:rsid w:val="00956140"/>
    <w:rsid w:val="00976A7E"/>
    <w:rsid w:val="009931C1"/>
    <w:rsid w:val="009A5465"/>
    <w:rsid w:val="009A68EE"/>
    <w:rsid w:val="009F2B54"/>
    <w:rsid w:val="00A13853"/>
    <w:rsid w:val="00A25A03"/>
    <w:rsid w:val="00A25D45"/>
    <w:rsid w:val="00A30C4A"/>
    <w:rsid w:val="00A35B1C"/>
    <w:rsid w:val="00A44D4D"/>
    <w:rsid w:val="00A6640F"/>
    <w:rsid w:val="00A7055B"/>
    <w:rsid w:val="00A7305D"/>
    <w:rsid w:val="00A82346"/>
    <w:rsid w:val="00A93123"/>
    <w:rsid w:val="00A96CD9"/>
    <w:rsid w:val="00AA37ED"/>
    <w:rsid w:val="00AB33FE"/>
    <w:rsid w:val="00B4193F"/>
    <w:rsid w:val="00B57CB3"/>
    <w:rsid w:val="00B6469B"/>
    <w:rsid w:val="00BC18E9"/>
    <w:rsid w:val="00BD4460"/>
    <w:rsid w:val="00BF3DBA"/>
    <w:rsid w:val="00C02040"/>
    <w:rsid w:val="00C227FD"/>
    <w:rsid w:val="00C32100"/>
    <w:rsid w:val="00C55CFC"/>
    <w:rsid w:val="00C93A82"/>
    <w:rsid w:val="00CB2C63"/>
    <w:rsid w:val="00CB7F41"/>
    <w:rsid w:val="00D0056C"/>
    <w:rsid w:val="00D16493"/>
    <w:rsid w:val="00D167FA"/>
    <w:rsid w:val="00D36495"/>
    <w:rsid w:val="00D417B8"/>
    <w:rsid w:val="00D47814"/>
    <w:rsid w:val="00D5254D"/>
    <w:rsid w:val="00D6592D"/>
    <w:rsid w:val="00D87DE9"/>
    <w:rsid w:val="00D955D2"/>
    <w:rsid w:val="00D968B5"/>
    <w:rsid w:val="00DA4DDA"/>
    <w:rsid w:val="00DB12F0"/>
    <w:rsid w:val="00DB4A12"/>
    <w:rsid w:val="00DB53EA"/>
    <w:rsid w:val="00DE758E"/>
    <w:rsid w:val="00DF16E1"/>
    <w:rsid w:val="00E005E8"/>
    <w:rsid w:val="00E43AD9"/>
    <w:rsid w:val="00E94DEF"/>
    <w:rsid w:val="00E95080"/>
    <w:rsid w:val="00EA64C0"/>
    <w:rsid w:val="00EE4F4B"/>
    <w:rsid w:val="00F33F5C"/>
    <w:rsid w:val="00F35267"/>
    <w:rsid w:val="00F35BE8"/>
    <w:rsid w:val="00F50B69"/>
    <w:rsid w:val="00F53765"/>
    <w:rsid w:val="00F54581"/>
    <w:rsid w:val="00F558A0"/>
    <w:rsid w:val="00F75379"/>
    <w:rsid w:val="00F763FB"/>
    <w:rsid w:val="00F775D9"/>
    <w:rsid w:val="00F779B9"/>
    <w:rsid w:val="00F80CD0"/>
    <w:rsid w:val="00F903F5"/>
    <w:rsid w:val="00FA36AC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C23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A8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263AA8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3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12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C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CD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CD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2016-09-13T07:00:00+00:00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A84B-F70A-47B9-8746-515BC2FFE044}"/>
</file>

<file path=customXml/itemProps2.xml><?xml version="1.0" encoding="utf-8"?>
<ds:datastoreItem xmlns:ds="http://schemas.openxmlformats.org/officeDocument/2006/customXml" ds:itemID="{EB15B287-DB39-4EB4-B8B4-953ADD5A6DE5}"/>
</file>

<file path=customXml/itemProps3.xml><?xml version="1.0" encoding="utf-8"?>
<ds:datastoreItem xmlns:ds="http://schemas.openxmlformats.org/officeDocument/2006/customXml" ds:itemID="{FED62B76-EC23-4517-B476-DE5DA63B6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642E3-46FA-4D2D-B74D-9DC07739A95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dc463f71-b30c-4ab2-9473-d307f9d35888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0541EF-3144-406C-BF35-FF158E0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2016-09-13T18:10:00Z</dcterms:created>
  <dcterms:modified xsi:type="dcterms:W3CDTF">2016-09-13T18:27:00Z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