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CF3F55"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July 29, 2013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F34AE8">
      <w:pPr>
        <w:pStyle w:val="Heading1"/>
        <w:spacing w:line="240" w:lineRule="exact"/>
      </w:pPr>
      <w:r>
        <w:t>Via E-mail and Overnight Mail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4E5D9C"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41368" w:rsidRDefault="00041368" w:rsidP="00041368">
      <w:pPr>
        <w:spacing w:line="240" w:lineRule="exact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>Docket No. UT-</w:t>
      </w:r>
      <w:r w:rsidR="00CF3F55">
        <w:rPr>
          <w:rFonts w:ascii="Times New Roman" w:hAnsi="Times New Roman"/>
        </w:rPr>
        <w:t>130477 – CenturyLink’s Petition for AFOR</w:t>
      </w:r>
    </w:p>
    <w:p w:rsidR="00911439" w:rsidRPr="00041368" w:rsidRDefault="00F34AE8" w:rsidP="00041368">
      <w:pPr>
        <w:spacing w:line="240" w:lineRule="exact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041368" w:rsidRPr="00041368">
        <w:rPr>
          <w:rFonts w:ascii="Times New Roman" w:hAnsi="Times New Roman"/>
        </w:rPr>
        <w:tab/>
      </w:r>
      <w:r w:rsidR="00CF3F55">
        <w:rPr>
          <w:rFonts w:ascii="Times New Roman" w:hAnsi="Times New Roman"/>
        </w:rPr>
        <w:t>Motion to Dismiss Sprint as an Intervenor in this Docket</w:t>
      </w:r>
    </w:p>
    <w:p w:rsidR="00041368" w:rsidRPr="00041368" w:rsidRDefault="00041368" w:rsidP="00041368">
      <w:pPr>
        <w:spacing w:line="240" w:lineRule="exact"/>
        <w:outlineLvl w:val="0"/>
        <w:rPr>
          <w:rFonts w:ascii="Times New Roman" w:hAnsi="Times New Roman"/>
          <w:b w:val="0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CF3F55" w:rsidRDefault="00F34AE8" w:rsidP="00CF3F55"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an original and </w:t>
      </w:r>
      <w:r w:rsidR="00CF3F55">
        <w:rPr>
          <w:rFonts w:ascii="Times New Roman" w:hAnsi="Times New Roman"/>
          <w:b w:val="0"/>
          <w:szCs w:val="24"/>
        </w:rPr>
        <w:t>4 copies of CenturyLink’s Motion to Dismiss Sprint as an Intervenor in this Docket</w:t>
      </w:r>
      <w:r w:rsidR="00041368">
        <w:rPr>
          <w:rFonts w:ascii="Times New Roman" w:hAnsi="Times New Roman"/>
          <w:b w:val="0"/>
          <w:szCs w:val="24"/>
        </w:rPr>
        <w:t xml:space="preserve">.  </w:t>
      </w:r>
      <w:r w:rsidR="00CF3F55">
        <w:rPr>
          <w:rFonts w:ascii="Times New Roman" w:hAnsi="Times New Roman"/>
          <w:b w:val="0"/>
          <w:szCs w:val="24"/>
        </w:rPr>
        <w:t xml:space="preserve">Copies have been served on all parties on the service list by email and UPS next day delivery.  </w:t>
      </w:r>
    </w:p>
    <w:p w:rsidR="00CF3F55" w:rsidRDefault="00CF3F55" w:rsidP="00CF3F55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jga</w:t>
      </w:r>
      <w:proofErr w:type="spellEnd"/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Enclosure(s)</w:t>
      </w: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E8" w:rsidRDefault="00F34AE8">
      <w:r>
        <w:separator/>
      </w:r>
    </w:p>
  </w:endnote>
  <w:endnote w:type="continuationSeparator" w:id="0">
    <w:p w:rsidR="00F34AE8" w:rsidRDefault="00F3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E8" w:rsidRDefault="00F34AE8">
      <w:r>
        <w:separator/>
      </w:r>
    </w:p>
  </w:footnote>
  <w:footnote w:type="continuationSeparator" w:id="0">
    <w:p w:rsidR="00F34AE8" w:rsidRDefault="00F3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EA5048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EA504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EA5048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41368"/>
    <w:rsid w:val="004E5D9C"/>
    <w:rsid w:val="00911439"/>
    <w:rsid w:val="00CF3F55"/>
    <w:rsid w:val="00EA5048"/>
    <w:rsid w:val="00F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24CC0-2A6B-4C6D-83FE-D8CB03C410B2}"/>
</file>

<file path=customXml/itemProps2.xml><?xml version="1.0" encoding="utf-8"?>
<ds:datastoreItem xmlns:ds="http://schemas.openxmlformats.org/officeDocument/2006/customXml" ds:itemID="{9F2E8A4C-7A2C-410D-A431-90F5C0D63C3F}"/>
</file>

<file path=customXml/itemProps3.xml><?xml version="1.0" encoding="utf-8"?>
<ds:datastoreItem xmlns:ds="http://schemas.openxmlformats.org/officeDocument/2006/customXml" ds:itemID="{E8418B18-ACB7-4670-BB7D-243EE07B3230}"/>
</file>

<file path=customXml/itemProps4.xml><?xml version="1.0" encoding="utf-8"?>
<ds:datastoreItem xmlns:ds="http://schemas.openxmlformats.org/officeDocument/2006/customXml" ds:itemID="{4B6344F7-383D-4C24-9325-FF5B4B3E1915}"/>
</file>

<file path=customXml/itemProps5.xml><?xml version="1.0" encoding="utf-8"?>
<ds:datastoreItem xmlns:ds="http://schemas.openxmlformats.org/officeDocument/2006/customXml" ds:itemID="{8BBF9B9D-F591-4E50-B127-AF5BEEF85010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2</cp:revision>
  <cp:lastPrinted>2013-07-26T22:55:00Z</cp:lastPrinted>
  <dcterms:created xsi:type="dcterms:W3CDTF">2013-07-26T22:57:00Z</dcterms:created>
  <dcterms:modified xsi:type="dcterms:W3CDTF">2013-07-26T22:57:00Z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