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footer1.xml" ContentType="application/vnd.openxmlformats-officedocument.wordprocessingml.footer+xml"/>
  <Override PartName="/word/theme/theme1.xml" ContentType="application/vnd.openxmlformats-officedocument.them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D5" w:rsidRDefault="00FD5BD5" w:rsidP="00F170F0">
      <w:pPr>
        <w:widowControl w:val="0"/>
        <w:spacing w:before="600" w:line="240" w:lineRule="atLeast"/>
        <w:ind w:firstLine="0"/>
        <w:jc w:val="center"/>
        <w:rPr>
          <w:b/>
        </w:rPr>
      </w:pPr>
      <w:r>
        <w:rPr>
          <w:b/>
        </w:rPr>
        <w:t xml:space="preserve">BEFORE THE </w:t>
      </w:r>
      <w:r>
        <w:rPr>
          <w:b/>
        </w:rPr>
        <w:br/>
        <w:t>WASHINGTON UTILITIES AND TRANSPORTATION COMMISSION</w:t>
      </w:r>
    </w:p>
    <w:p w:rsidR="00FD5BD5" w:rsidRDefault="00FD5BD5" w:rsidP="00F170F0">
      <w:pPr>
        <w:widowControl w:val="0"/>
        <w:spacing w:before="240" w:line="240" w:lineRule="atLeast"/>
        <w:ind w:firstLine="0"/>
      </w:pPr>
    </w:p>
    <w:tbl>
      <w:tblPr>
        <w:tblW w:w="0" w:type="auto"/>
        <w:tblLayout w:type="fixed"/>
        <w:tblLook w:val="0000"/>
      </w:tblPr>
      <w:tblGrid>
        <w:gridCol w:w="4536"/>
        <w:gridCol w:w="4545"/>
      </w:tblGrid>
      <w:tr w:rsidR="00FD5BD5" w:rsidTr="00F170F0">
        <w:tc>
          <w:tcPr>
            <w:tcW w:w="4536" w:type="dxa"/>
            <w:tcBorders>
              <w:bottom w:val="single" w:sz="4" w:space="0" w:color="auto"/>
              <w:right w:val="single" w:sz="4" w:space="0" w:color="auto"/>
            </w:tcBorders>
          </w:tcPr>
          <w:p w:rsidR="00FD5BD5" w:rsidRDefault="00FD5BD5" w:rsidP="00F170F0">
            <w:pPr>
              <w:spacing w:before="240" w:line="240" w:lineRule="atLeast"/>
              <w:ind w:firstLine="0"/>
            </w:pPr>
            <w:r>
              <w:t>WASHINGTON UTILITIES AND TRANSPORTATION COMMISSION,</w:t>
            </w:r>
          </w:p>
          <w:p w:rsidR="00FD5BD5" w:rsidRDefault="00FD5BD5" w:rsidP="00F170F0">
            <w:pPr>
              <w:spacing w:before="240" w:line="240" w:lineRule="atLeast"/>
              <w:ind w:firstLine="0"/>
            </w:pPr>
            <w:r>
              <w:tab/>
              <w:t>Complainant,</w:t>
            </w:r>
          </w:p>
          <w:p w:rsidR="00FD5BD5" w:rsidRDefault="00FD5BD5" w:rsidP="00F170F0">
            <w:pPr>
              <w:spacing w:before="240" w:line="240" w:lineRule="atLeast"/>
              <w:ind w:firstLine="0"/>
            </w:pPr>
            <w:r>
              <w:t>v.</w:t>
            </w:r>
          </w:p>
          <w:p w:rsidR="00FD5BD5" w:rsidRDefault="00FD5BD5" w:rsidP="00F170F0">
            <w:pPr>
              <w:spacing w:before="240" w:line="240" w:lineRule="atLeast"/>
              <w:ind w:firstLine="0"/>
            </w:pPr>
            <w:r>
              <w:t xml:space="preserve">PUGET SOUND ENERGY, INC., </w:t>
            </w:r>
          </w:p>
          <w:p w:rsidR="00FD5BD5" w:rsidRDefault="00FD5BD5" w:rsidP="00F170F0">
            <w:pPr>
              <w:widowControl w:val="0"/>
              <w:spacing w:before="240" w:line="240" w:lineRule="atLeast"/>
              <w:ind w:firstLine="0"/>
            </w:pPr>
            <w:r>
              <w:tab/>
              <w:t>Respondent.</w:t>
            </w:r>
            <w:r>
              <w:br/>
            </w:r>
          </w:p>
        </w:tc>
        <w:tc>
          <w:tcPr>
            <w:tcW w:w="4545" w:type="dxa"/>
            <w:tcBorders>
              <w:left w:val="nil"/>
            </w:tcBorders>
          </w:tcPr>
          <w:p w:rsidR="00FD5BD5" w:rsidRDefault="00FD5BD5" w:rsidP="00F170F0">
            <w:pPr>
              <w:keepNext/>
              <w:keepLines/>
              <w:spacing w:before="240" w:line="240" w:lineRule="atLeast"/>
              <w:ind w:firstLine="0"/>
            </w:pPr>
            <w:r>
              <w:t xml:space="preserve">Docket U-110808  </w:t>
            </w:r>
          </w:p>
          <w:p w:rsidR="00FD5BD5" w:rsidRDefault="00FD5BD5" w:rsidP="00F170F0">
            <w:pPr>
              <w:keepNext/>
              <w:keepLines/>
              <w:spacing w:before="240" w:line="240" w:lineRule="atLeast"/>
              <w:ind w:firstLine="0"/>
            </w:pPr>
          </w:p>
          <w:p w:rsidR="00FD5BD5" w:rsidRDefault="00FD5BD5" w:rsidP="00F170F0">
            <w:pPr>
              <w:keepNext/>
              <w:keepLines/>
              <w:spacing w:before="240" w:line="240" w:lineRule="atLeast"/>
              <w:ind w:firstLine="0"/>
            </w:pPr>
            <w:r>
              <w:t>SETTLEMENT AGREEMENT</w:t>
            </w:r>
          </w:p>
        </w:tc>
      </w:tr>
    </w:tbl>
    <w:p w:rsidR="00FD5BD5" w:rsidRDefault="00FD5BD5" w:rsidP="00F170F0">
      <w:pPr>
        <w:pStyle w:val="plain"/>
      </w:pPr>
    </w:p>
    <w:p w:rsidR="00FD5BD5" w:rsidRDefault="00FD5BD5" w:rsidP="00F170F0">
      <w:pPr>
        <w:pStyle w:val="Heading1"/>
        <w:spacing w:before="0" w:line="480" w:lineRule="auto"/>
      </w:pPr>
      <w:r>
        <w:t>I.</w:t>
      </w:r>
      <w:r>
        <w:tab/>
        <w:t>INTRODUCTION</w:t>
      </w:r>
    </w:p>
    <w:p w:rsidR="00FD5BD5" w:rsidRDefault="00FD5BD5" w:rsidP="00F170F0">
      <w:pPr>
        <w:spacing w:line="480" w:lineRule="auto"/>
        <w:ind w:hanging="720"/>
      </w:pPr>
      <w:r>
        <w:rPr>
          <w:i/>
        </w:rPr>
        <w:t>1</w:t>
      </w:r>
      <w:r>
        <w:rPr>
          <w:i/>
        </w:rPr>
        <w:tab/>
      </w:r>
      <w:r>
        <w:rPr>
          <w:i/>
        </w:rPr>
        <w:tab/>
      </w:r>
      <w:r>
        <w:t xml:space="preserve">This Settlement Agreement is entered into in order to compromise and settle all issues in this proceeding.  It is a "Full Settlement" pursuant to WAC 480-07-730(1). </w:t>
      </w:r>
    </w:p>
    <w:p w:rsidR="00FD5BD5" w:rsidRDefault="00FD5BD5" w:rsidP="00F170F0">
      <w:pPr>
        <w:pStyle w:val="Heading1"/>
        <w:spacing w:before="0" w:line="480" w:lineRule="auto"/>
      </w:pPr>
      <w:r>
        <w:t>II.</w:t>
      </w:r>
      <w:r>
        <w:tab/>
        <w:t>PARTIES</w:t>
      </w:r>
    </w:p>
    <w:p w:rsidR="00FD5BD5" w:rsidRPr="00E66290" w:rsidRDefault="00FD5BD5" w:rsidP="00F170F0">
      <w:pPr>
        <w:spacing w:line="480" w:lineRule="auto"/>
        <w:ind w:hanging="720"/>
      </w:pPr>
      <w:r>
        <w:rPr>
          <w:i/>
        </w:rPr>
        <w:t>2</w:t>
      </w:r>
      <w:r>
        <w:rPr>
          <w:i/>
        </w:rPr>
        <w:tab/>
      </w:r>
      <w:r>
        <w:rPr>
          <w:i/>
        </w:rPr>
        <w:tab/>
      </w:r>
      <w:r>
        <w:t xml:space="preserve">This Settlement Agreement is entered into by:  Puget Sound Energy, Inc. ("PSE"); the Staff of the Washington Utilities and Transportation Commission ("WUTC Staff"); the Public Counsel Section of the Attorney General’s Office ("Public Counsel"); and The Energy Project (collectively referred to hereinafter as the "Parties" and each individually referred to as a "Party").  </w:t>
      </w:r>
    </w:p>
    <w:p w:rsidR="00FD5BD5" w:rsidRDefault="00FD5BD5" w:rsidP="00F170F0">
      <w:pPr>
        <w:pStyle w:val="Heading1"/>
        <w:spacing w:before="0" w:line="480" w:lineRule="auto"/>
      </w:pPr>
      <w:r>
        <w:t>III.</w:t>
      </w:r>
      <w:r>
        <w:tab/>
        <w:t>BACKGROUND</w:t>
      </w:r>
    </w:p>
    <w:p w:rsidR="00FD5BD5" w:rsidRDefault="00FD5BD5" w:rsidP="006D7CE7">
      <w:pPr>
        <w:spacing w:line="480" w:lineRule="auto"/>
        <w:ind w:hanging="720"/>
      </w:pPr>
      <w:r>
        <w:rPr>
          <w:i/>
        </w:rPr>
        <w:t>3</w:t>
      </w:r>
      <w:r>
        <w:tab/>
      </w:r>
      <w:r>
        <w:tab/>
      </w:r>
      <w:r w:rsidRPr="006D7CE7">
        <w:t xml:space="preserve">On October 12, 2010, in Docket U-100182, the Commission issued </w:t>
      </w:r>
      <w:r>
        <w:t xml:space="preserve">a </w:t>
      </w:r>
      <w:r w:rsidRPr="006D7CE7">
        <w:t xml:space="preserve">penalty assessment against </w:t>
      </w:r>
      <w:r>
        <w:t>PSE</w:t>
      </w:r>
      <w:r w:rsidRPr="006D7CE7">
        <w:t xml:space="preserve"> for violations of </w:t>
      </w:r>
      <w:r>
        <w:t xml:space="preserve">the </w:t>
      </w:r>
      <w:r w:rsidRPr="006D7CE7">
        <w:t>Commission</w:t>
      </w:r>
      <w:r>
        <w:t>’s refusal of service</w:t>
      </w:r>
      <w:r w:rsidRPr="006D7CE7">
        <w:t xml:space="preserve"> rules related to the proper handling of </w:t>
      </w:r>
      <w:r>
        <w:t xml:space="preserve">accounts that are disconnected for nonpayment.  The Commission’s refusal of service rules are WAC 480-90-123(2) and WAC 480-100-123(3), </w:t>
      </w:r>
      <w:r w:rsidRPr="00E66290">
        <w:t xml:space="preserve">respectively, for natural gas and electricity service.  </w:t>
      </w:r>
      <w:r>
        <w:t>These rules prohibit a regulated natural gas or electric company from refusing to provide new or additional service to a residential applicant or existing customer who owes the company a prior obligation, which is the amount billed at the time the applicant or customer was disconnected for nonpayment.</w:t>
      </w:r>
    </w:p>
    <w:p w:rsidR="00FD5BD5" w:rsidRDefault="00FD5BD5" w:rsidP="006D7CE7">
      <w:pPr>
        <w:spacing w:line="480" w:lineRule="auto"/>
        <w:ind w:hanging="720"/>
      </w:pPr>
      <w:r>
        <w:rPr>
          <w:i/>
        </w:rPr>
        <w:t>4</w:t>
      </w:r>
      <w:r>
        <w:tab/>
      </w:r>
      <w:r>
        <w:tab/>
        <w:t xml:space="preserve">On December 28, 2010, in Order 01 in Docket U-100182 ("Order 01"), the Commission granted a Joint Motion filed by WUTC Staff and PSE resolving all issues in that proceeding.  Order 01 required PSE to (1) pay an assessed penalty; (2) promptly complete its investigations into twenty-six specific accounts more fully described in Attachment A to the Joint Motion; and (3) continue implementation of the plan described in Attachment B to the Joint </w:t>
      </w:r>
      <w:r w:rsidRPr="00695EF7">
        <w:t xml:space="preserve">Motion.  PSE was also required to submit quarterly reports commencing in April 2011.  </w:t>
      </w:r>
      <w:r w:rsidRPr="00695EF7">
        <w:rPr>
          <w:szCs w:val="24"/>
        </w:rPr>
        <w:t>Order 01 and the Joint Motion, along with the respective Attachments, in Docket U-100182 are included in Appendix A.</w:t>
      </w:r>
    </w:p>
    <w:p w:rsidR="00FD5BD5" w:rsidRDefault="00FD5BD5" w:rsidP="00F170F0">
      <w:pPr>
        <w:spacing w:line="480" w:lineRule="auto"/>
        <w:ind w:hanging="720"/>
      </w:pPr>
      <w:r>
        <w:rPr>
          <w:i/>
        </w:rPr>
        <w:t>5</w:t>
      </w:r>
      <w:r w:rsidRPr="0099202D">
        <w:tab/>
      </w:r>
      <w:r w:rsidRPr="0099202D">
        <w:tab/>
      </w:r>
      <w:r>
        <w:t xml:space="preserve">On October 26, 2011, the Commission issued a complaint in Docket U-110808 alleging that PSE failed to comply with Order 01 by not promptly completing an investigation into 26 specific accounts identified in Docket U-100182.  PSE answered the complaint, denying that PSE had violated Order 01.  On December 19, 2011, the Commission held a prehearing conference, at which time Public Counsel entered an appearance and the Commission granted The Energy Project's petition to intervene.  The Parties conducted discovery.  PSE filed initial and response testimony, and WUTC Staff filed direct and rebuttal testimony.  No other Party filed testimony. </w:t>
      </w:r>
    </w:p>
    <w:p w:rsidR="00FD5BD5" w:rsidRDefault="00FD5BD5" w:rsidP="00F170F0">
      <w:pPr>
        <w:spacing w:line="480" w:lineRule="auto"/>
        <w:ind w:hanging="720"/>
      </w:pPr>
      <w:r>
        <w:rPr>
          <w:i/>
        </w:rPr>
        <w:t>6</w:t>
      </w:r>
      <w:r>
        <w:rPr>
          <w:i/>
        </w:rPr>
        <w:tab/>
      </w:r>
      <w:r>
        <w:tab/>
        <w:t xml:space="preserve">The Parties undertook settlement discussions on July 18, 2012 and August 2, 2012, for the purpose of resolving contested issues in this proceeding.  The Parties have reached a full settlement and now wish to present their settlement agreement for the Commission’s consideration and approval.  The Parties therefore adopt the following Settlement Agreement, which is entered into by the Parties voluntarily to resolve matters that were in dispute.  This Settlement Agreement is filed in the interest of expediting the orderly disposition of this proceeding.  </w:t>
      </w:r>
    </w:p>
    <w:p w:rsidR="00FD5BD5" w:rsidRDefault="00FD5BD5" w:rsidP="00F170F0">
      <w:pPr>
        <w:spacing w:line="480" w:lineRule="auto"/>
        <w:ind w:hanging="720"/>
      </w:pPr>
      <w:r>
        <w:rPr>
          <w:i/>
        </w:rPr>
        <w:t>7</w:t>
      </w:r>
      <w:r>
        <w:rPr>
          <w:i/>
        </w:rPr>
        <w:tab/>
      </w:r>
      <w:r>
        <w:tab/>
        <w:t>The Parties understand that this Settlement Agreement is subject to Commission approval, and hereby respectfully request that the Commission issue an order approving this Settlement Agreement in its entirety</w:t>
      </w:r>
      <w:r w:rsidRPr="009267D2">
        <w:t>.</w:t>
      </w:r>
      <w:r>
        <w:t xml:space="preserve">  If the Commission wishes to conduct a hearing on this </w:t>
      </w:r>
      <w:r w:rsidRPr="008646B2">
        <w:t>Settlement Agreem</w:t>
      </w:r>
      <w:r>
        <w:t xml:space="preserve">ent, the Parties request that the Commission hold such hearing </w:t>
      </w:r>
      <w:r w:rsidRPr="008646B2">
        <w:t>on</w:t>
      </w:r>
      <w:r>
        <w:t xml:space="preserve"> September 11, 2012, the date currently scheduled for the evidentiary hearing in this proceeding.   The Parties will separately file supporting documentation, as required by WAC 480-07-740(2).</w:t>
      </w:r>
    </w:p>
    <w:p w:rsidR="00FD5BD5" w:rsidRDefault="00FD5BD5" w:rsidP="00F170F0">
      <w:pPr>
        <w:pStyle w:val="Heading1"/>
        <w:spacing w:before="0" w:line="480" w:lineRule="auto"/>
      </w:pPr>
      <w:r>
        <w:t>IV.</w:t>
      </w:r>
      <w:r>
        <w:tab/>
        <w:t>AGREEMENT</w:t>
      </w:r>
    </w:p>
    <w:p w:rsidR="00FD5BD5" w:rsidRPr="00131987" w:rsidRDefault="00FD5BD5" w:rsidP="0038655D">
      <w:pPr>
        <w:pStyle w:val="Heading2"/>
        <w:spacing w:before="0" w:line="480" w:lineRule="auto"/>
        <w:rPr>
          <w:bCs/>
          <w:u w:val="single"/>
        </w:rPr>
      </w:pPr>
      <w:r w:rsidRPr="00131987">
        <w:rPr>
          <w:bCs/>
          <w:u w:val="single"/>
        </w:rPr>
        <w:t>A.</w:t>
      </w:r>
      <w:r w:rsidRPr="00131987">
        <w:rPr>
          <w:bCs/>
          <w:u w:val="single"/>
        </w:rPr>
        <w:tab/>
        <w:t>Admission of Violations</w:t>
      </w:r>
      <w:r>
        <w:rPr>
          <w:bCs/>
          <w:u w:val="single"/>
        </w:rPr>
        <w:t xml:space="preserve"> and Process Changes</w:t>
      </w:r>
    </w:p>
    <w:p w:rsidR="00FD5BD5" w:rsidRDefault="00FD5BD5" w:rsidP="0038655D">
      <w:pPr>
        <w:autoSpaceDE w:val="0"/>
        <w:autoSpaceDN w:val="0"/>
        <w:adjustRightInd w:val="0"/>
        <w:spacing w:line="480" w:lineRule="auto"/>
        <w:ind w:hanging="720"/>
      </w:pPr>
      <w:r w:rsidRPr="00BC56AD">
        <w:rPr>
          <w:i/>
        </w:rPr>
        <w:t>8</w:t>
      </w:r>
      <w:r w:rsidRPr="00BC56AD">
        <w:rPr>
          <w:i/>
        </w:rPr>
        <w:tab/>
      </w:r>
      <w:r w:rsidRPr="00BC56AD">
        <w:rPr>
          <w:i/>
        </w:rPr>
        <w:tab/>
      </w:r>
      <w:r w:rsidRPr="00131987">
        <w:t xml:space="preserve">To achieve a settlement, PSE </w:t>
      </w:r>
      <w:r>
        <w:t xml:space="preserve">admits that PSE's past practices violated the Commission's refusal of service rules, particularly as they related to </w:t>
      </w:r>
      <w:r w:rsidRPr="00BC56AD">
        <w:t>ensuring payments were appl</w:t>
      </w:r>
      <w:r>
        <w:t xml:space="preserve">ied to a customer’s current service account balance rather than </w:t>
      </w:r>
      <w:r w:rsidRPr="00BC56AD">
        <w:t xml:space="preserve">prior obligation amounts.  </w:t>
      </w:r>
      <w:r>
        <w:t>I</w:t>
      </w:r>
      <w:r w:rsidRPr="00546D2E">
        <w:t xml:space="preserve">n April 2012, PSE completed implementation of process changes </w:t>
      </w:r>
      <w:r>
        <w:t>for</w:t>
      </w:r>
      <w:r w:rsidRPr="00546D2E">
        <w:t xml:space="preserve"> its handling of prior obligations that </w:t>
      </w:r>
      <w:r>
        <w:t xml:space="preserve">remedy these past practices by </w:t>
      </w:r>
      <w:r w:rsidRPr="00546D2E">
        <w:t>enhanc</w:t>
      </w:r>
      <w:r>
        <w:t>ing</w:t>
      </w:r>
      <w:r w:rsidRPr="00546D2E">
        <w:t xml:space="preserve"> the separation of prior obligation balances from current balances.  The </w:t>
      </w:r>
      <w:r>
        <w:t>Parties agree that</w:t>
      </w:r>
      <w:r w:rsidRPr="00546D2E">
        <w:t xml:space="preserve"> PSE's process changes are satisfactory and resolve their concerns going forward.</w:t>
      </w:r>
      <w:r>
        <w:t xml:space="preserve">  An overview of PSE's revised process is included as Appendix B to this agreement.  The Parties agree WUTC Staff will not recommend new enforcement actions regarding PSE’s past practices in light of </w:t>
      </w:r>
      <w:r w:rsidRPr="0051418B">
        <w:t xml:space="preserve">PSE’s </w:t>
      </w:r>
      <w:r>
        <w:t xml:space="preserve">April 2012 </w:t>
      </w:r>
      <w:r w:rsidRPr="0051418B">
        <w:t>pro</w:t>
      </w:r>
      <w:r>
        <w:t>cess changes, and this settlement resolves all pending, planned, known</w:t>
      </w:r>
      <w:r w:rsidRPr="00BC56AD">
        <w:t xml:space="preserve"> or unknown prior obligation violations based on past practices</w:t>
      </w:r>
      <w:r>
        <w:t>.</w:t>
      </w:r>
      <w:bookmarkStart w:id="0" w:name="_DV_M48"/>
      <w:bookmarkStart w:id="1" w:name="_DV_M49"/>
      <w:bookmarkStart w:id="2" w:name="_DV_M50"/>
      <w:bookmarkEnd w:id="0"/>
      <w:bookmarkEnd w:id="1"/>
      <w:bookmarkEnd w:id="2"/>
      <w:r>
        <w:t xml:space="preserve">  </w:t>
      </w:r>
      <w:r w:rsidRPr="00AC687E">
        <w:t>Nothing in this Settlement Agreement waives WUTC Staff’s ability to investigate PSE’s current or future</w:t>
      </w:r>
      <w:r>
        <w:t xml:space="preserve"> practices for compliance with applicable Commission statutes and rules, and to recommend to the Commission appropriate enforcement action, as necessary.</w:t>
      </w:r>
    </w:p>
    <w:p w:rsidR="00FD5BD5" w:rsidRPr="0051418B" w:rsidRDefault="00FD5BD5" w:rsidP="0038655D">
      <w:pPr>
        <w:spacing w:line="480" w:lineRule="auto"/>
        <w:ind w:hanging="720"/>
      </w:pPr>
      <w:r w:rsidRPr="0051418B">
        <w:t>9</w:t>
      </w:r>
      <w:r w:rsidRPr="0051418B">
        <w:rPr>
          <w:i/>
        </w:rPr>
        <w:tab/>
      </w:r>
      <w:r>
        <w:rPr>
          <w:i/>
        </w:rPr>
        <w:tab/>
      </w:r>
      <w:r w:rsidRPr="0051418B">
        <w:t xml:space="preserve">In recognition that PSE will be migrating from its existing billing system (CLX), PSE agrees to maintain the processes described in Appendix </w:t>
      </w:r>
      <w:r>
        <w:t>B</w:t>
      </w:r>
      <w:r w:rsidRPr="0051418B">
        <w:t xml:space="preserve"> as long as PSE utilizes its existing billing system (CLX).</w:t>
      </w:r>
      <w:r>
        <w:t xml:space="preserve"> </w:t>
      </w:r>
      <w:r w:rsidRPr="0051418B">
        <w:t xml:space="preserve"> Upon transition to the new billing system (SAP), PSE </w:t>
      </w:r>
      <w:r>
        <w:t>agrees</w:t>
      </w:r>
      <w:r w:rsidRPr="0051418B">
        <w:t xml:space="preserve"> to retain the key elements of the process outlined in Appendix </w:t>
      </w:r>
      <w:r>
        <w:t>B, including:</w:t>
      </w:r>
    </w:p>
    <w:p w:rsidR="00FD5BD5" w:rsidRDefault="00FD5BD5" w:rsidP="003D4F89">
      <w:pPr>
        <w:spacing w:line="480" w:lineRule="auto"/>
        <w:ind w:firstLine="0"/>
      </w:pPr>
      <w:r w:rsidRPr="0051418B">
        <w:t>Accounts disconnected due to non-payment will be closed and a new account will be opened (except in the case of medical emergency) consistent with the April 2012 process change</w:t>
      </w:r>
      <w:r>
        <w:t>s</w:t>
      </w:r>
      <w:r w:rsidRPr="0051418B">
        <w:t xml:space="preserve"> in order to provide a clear separation of the prior obligation balance </w:t>
      </w:r>
      <w:r>
        <w:t xml:space="preserve">and current charges.  </w:t>
      </w:r>
    </w:p>
    <w:p w:rsidR="00FD5BD5" w:rsidRDefault="00FD5BD5" w:rsidP="003D4F89">
      <w:pPr>
        <w:spacing w:line="480" w:lineRule="auto"/>
        <w:ind w:firstLine="0"/>
        <w:rPr>
          <w:szCs w:val="24"/>
        </w:rPr>
      </w:pPr>
      <w:r w:rsidRPr="003D4F89">
        <w:rPr>
          <w:szCs w:val="24"/>
        </w:rPr>
        <w:t xml:space="preserve">In addition, PSE will file with the Commission and serve on all Parties a new summary of the process </w:t>
      </w:r>
      <w:r>
        <w:rPr>
          <w:szCs w:val="24"/>
        </w:rPr>
        <w:t>PSE</w:t>
      </w:r>
      <w:r w:rsidRPr="003D4F89">
        <w:rPr>
          <w:szCs w:val="24"/>
        </w:rPr>
        <w:t xml:space="preserve"> uses for prior obligations, similar to the summary provided in Appendix </w:t>
      </w:r>
      <w:r>
        <w:rPr>
          <w:szCs w:val="24"/>
        </w:rPr>
        <w:t>B</w:t>
      </w:r>
      <w:r w:rsidRPr="003D4F89">
        <w:rPr>
          <w:szCs w:val="24"/>
        </w:rPr>
        <w:t>, within 30 days of completing its transition to the new billing system (SAP).</w:t>
      </w:r>
    </w:p>
    <w:p w:rsidR="00FD5BD5" w:rsidRPr="00871ECD" w:rsidRDefault="00FD5BD5" w:rsidP="00F170F0">
      <w:pPr>
        <w:pStyle w:val="Heading2"/>
        <w:spacing w:before="0" w:line="480" w:lineRule="auto"/>
        <w:rPr>
          <w:u w:val="single"/>
        </w:rPr>
      </w:pPr>
      <w:r>
        <w:rPr>
          <w:u w:val="single"/>
        </w:rPr>
        <w:t>B.</w:t>
      </w:r>
      <w:r>
        <w:rPr>
          <w:u w:val="single"/>
        </w:rPr>
        <w:tab/>
        <w:t>Customer Credits and Refunds</w:t>
      </w:r>
    </w:p>
    <w:p w:rsidR="00FD5BD5" w:rsidRDefault="00FD5BD5" w:rsidP="00F170F0">
      <w:pPr>
        <w:tabs>
          <w:tab w:val="left" w:pos="720"/>
        </w:tabs>
        <w:spacing w:line="480" w:lineRule="auto"/>
        <w:ind w:hanging="720"/>
      </w:pPr>
      <w:r>
        <w:rPr>
          <w:i/>
        </w:rPr>
        <w:t>10</w:t>
      </w:r>
      <w:r>
        <w:rPr>
          <w:i/>
        </w:rPr>
        <w:tab/>
      </w:r>
      <w:r>
        <w:rPr>
          <w:i/>
        </w:rPr>
        <w:tab/>
      </w:r>
      <w:r>
        <w:t>With respect to the twenty-six customer accounts identified in Docket U-100182, and for purposes of achieving a settlement and resolving all outstanding issues, PSE has applied credits or refunds to those customer accounts based on the amounts identified in Exhibit VE-5, which is attached to the</w:t>
      </w:r>
      <w:r w:rsidRPr="00A67533">
        <w:t xml:space="preserve"> </w:t>
      </w:r>
      <w:r>
        <w:t xml:space="preserve">pre-filed rebuttal testimony of Vicki Elliott.  The credit or refund was applied in the following manner: </w:t>
      </w:r>
    </w:p>
    <w:p w:rsidR="00FD5BD5" w:rsidRDefault="00FD5BD5" w:rsidP="000B59B8">
      <w:pPr>
        <w:numPr>
          <w:ilvl w:val="1"/>
          <w:numId w:val="12"/>
        </w:numPr>
        <w:tabs>
          <w:tab w:val="left" w:pos="720"/>
        </w:tabs>
        <w:spacing w:before="120" w:after="120" w:line="240" w:lineRule="auto"/>
      </w:pPr>
      <w:r>
        <w:t xml:space="preserve">If the customer is currently receiving service from PSE, that customer was credited the amount identified in Exhibit VE-5 on their current, active account.  </w:t>
      </w:r>
    </w:p>
    <w:p w:rsidR="00FD5BD5" w:rsidRDefault="00FD5BD5" w:rsidP="000B59B8">
      <w:pPr>
        <w:numPr>
          <w:ilvl w:val="1"/>
          <w:numId w:val="12"/>
        </w:numPr>
        <w:tabs>
          <w:tab w:val="left" w:pos="720"/>
        </w:tabs>
        <w:spacing w:before="120" w:after="120" w:line="240" w:lineRule="auto"/>
      </w:pPr>
      <w:r>
        <w:t xml:space="preserve">If the customer is no longer receiving service from PSE, then the former customer's account was credited the amount identified in Exhibit VE-5.  </w:t>
      </w:r>
    </w:p>
    <w:p w:rsidR="00FD5BD5" w:rsidRDefault="00FD5BD5" w:rsidP="000B59B8">
      <w:pPr>
        <w:numPr>
          <w:ilvl w:val="1"/>
          <w:numId w:val="12"/>
        </w:numPr>
        <w:tabs>
          <w:tab w:val="left" w:pos="720"/>
        </w:tabs>
        <w:spacing w:before="120" w:after="120" w:line="240" w:lineRule="auto"/>
      </w:pPr>
      <w:r>
        <w:t xml:space="preserve">PSE provided print screens in a format similar to that shown in Appendix C of this agreement to demonstrate how each credit or refund was applied, in accordance with this agreement and such documentation is acceptable to the Parties. </w:t>
      </w:r>
    </w:p>
    <w:p w:rsidR="00FD5BD5" w:rsidRPr="007675E4" w:rsidRDefault="00FD5BD5" w:rsidP="0038655D">
      <w:pPr>
        <w:pStyle w:val="Heading2"/>
        <w:spacing w:line="480" w:lineRule="auto"/>
        <w:rPr>
          <w:bCs/>
          <w:u w:val="single"/>
        </w:rPr>
      </w:pPr>
      <w:r>
        <w:rPr>
          <w:bCs/>
          <w:u w:val="single"/>
        </w:rPr>
        <w:t>C</w:t>
      </w:r>
      <w:r w:rsidRPr="007675E4">
        <w:rPr>
          <w:bCs/>
          <w:u w:val="single"/>
        </w:rPr>
        <w:t>.</w:t>
      </w:r>
      <w:r w:rsidRPr="007675E4">
        <w:rPr>
          <w:bCs/>
          <w:u w:val="single"/>
        </w:rPr>
        <w:tab/>
      </w:r>
      <w:r w:rsidRPr="008916B0">
        <w:rPr>
          <w:bCs/>
          <w:u w:val="single"/>
        </w:rPr>
        <w:t xml:space="preserve">Monetary </w:t>
      </w:r>
      <w:r>
        <w:rPr>
          <w:bCs/>
          <w:u w:val="single"/>
        </w:rPr>
        <w:t>Penalty</w:t>
      </w:r>
    </w:p>
    <w:p w:rsidR="00FD5BD5" w:rsidRPr="008916B0" w:rsidRDefault="00FD5BD5" w:rsidP="0038655D">
      <w:pPr>
        <w:spacing w:line="480" w:lineRule="auto"/>
        <w:ind w:hanging="720"/>
      </w:pPr>
      <w:r>
        <w:rPr>
          <w:i/>
        </w:rPr>
        <w:t>11</w:t>
      </w:r>
      <w:r>
        <w:rPr>
          <w:i/>
        </w:rPr>
        <w:tab/>
      </w:r>
      <w:r>
        <w:rPr>
          <w:i/>
        </w:rPr>
        <w:tab/>
      </w:r>
      <w:r w:rsidRPr="00B4213B">
        <w:t xml:space="preserve">Within ten business days of Commission approval of this </w:t>
      </w:r>
      <w:r>
        <w:t xml:space="preserve">Settlement </w:t>
      </w:r>
      <w:r w:rsidRPr="00B4213B">
        <w:t xml:space="preserve">Agreement, </w:t>
      </w:r>
      <w:r>
        <w:t xml:space="preserve">PSE </w:t>
      </w:r>
      <w:r w:rsidRPr="00B4213B">
        <w:t>will pay to the Commission a monetary penalty in the amount of $</w:t>
      </w:r>
      <w:r>
        <w:t>250</w:t>
      </w:r>
      <w:r w:rsidRPr="00B4213B">
        <w:t xml:space="preserve">,000.  </w:t>
      </w:r>
      <w:r>
        <w:t xml:space="preserve">PSE </w:t>
      </w:r>
      <w:r w:rsidRPr="00B4213B">
        <w:t>agrees not to seek recovery of this amount from its</w:t>
      </w:r>
      <w:r>
        <w:t xml:space="preserve"> ratepayers.</w:t>
      </w:r>
    </w:p>
    <w:p w:rsidR="00FD5BD5" w:rsidRPr="00FC5195" w:rsidRDefault="00FD5BD5" w:rsidP="0038655D">
      <w:pPr>
        <w:spacing w:line="480" w:lineRule="auto"/>
        <w:ind w:firstLine="0"/>
        <w:rPr>
          <w:b/>
          <w:u w:val="single"/>
        </w:rPr>
      </w:pPr>
      <w:r>
        <w:rPr>
          <w:b/>
          <w:u w:val="single"/>
        </w:rPr>
        <w:t>D</w:t>
      </w:r>
      <w:r w:rsidRPr="00FC5195">
        <w:rPr>
          <w:b/>
          <w:u w:val="single"/>
        </w:rPr>
        <w:t>.</w:t>
      </w:r>
      <w:r w:rsidRPr="00FC5195">
        <w:rPr>
          <w:b/>
          <w:u w:val="single"/>
        </w:rPr>
        <w:tab/>
      </w:r>
      <w:r>
        <w:rPr>
          <w:b/>
          <w:u w:val="single"/>
        </w:rPr>
        <w:t>Pledge Agreements</w:t>
      </w:r>
    </w:p>
    <w:p w:rsidR="00FD5BD5" w:rsidRDefault="00FD5BD5" w:rsidP="0038655D">
      <w:pPr>
        <w:spacing w:line="480" w:lineRule="auto"/>
        <w:ind w:hanging="720"/>
        <w:rPr>
          <w:rFonts w:ascii="Verdana" w:hAnsi="Verdana"/>
          <w:color w:val="000000"/>
          <w:sz w:val="20"/>
        </w:rPr>
      </w:pPr>
      <w:r>
        <w:rPr>
          <w:i/>
        </w:rPr>
        <w:t>12</w:t>
      </w:r>
      <w:r>
        <w:rPr>
          <w:i/>
        </w:rPr>
        <w:tab/>
      </w:r>
      <w:r>
        <w:tab/>
        <w:t xml:space="preserve">PSE agrees to maintain its current pledge payment process as outlined in Appendix D to this agreement.  </w:t>
      </w:r>
    </w:p>
    <w:p w:rsidR="00FD5BD5" w:rsidRPr="00384FD8" w:rsidRDefault="00FD5BD5" w:rsidP="0038655D">
      <w:pPr>
        <w:pStyle w:val="Heading2"/>
        <w:spacing w:before="0" w:line="480" w:lineRule="auto"/>
        <w:rPr>
          <w:u w:val="single"/>
        </w:rPr>
      </w:pPr>
      <w:r>
        <w:rPr>
          <w:u w:val="single"/>
        </w:rPr>
        <w:t>E.</w:t>
      </w:r>
      <w:r>
        <w:rPr>
          <w:u w:val="single"/>
        </w:rPr>
        <w:tab/>
        <w:t>May 20, 2011 Report Filed by PSE</w:t>
      </w:r>
    </w:p>
    <w:p w:rsidR="00FD5BD5" w:rsidRDefault="00FD5BD5" w:rsidP="0038655D">
      <w:pPr>
        <w:spacing w:line="480" w:lineRule="auto"/>
        <w:ind w:hanging="720"/>
      </w:pPr>
      <w:r>
        <w:rPr>
          <w:i/>
        </w:rPr>
        <w:t>13</w:t>
      </w:r>
      <w:r>
        <w:rPr>
          <w:i/>
        </w:rPr>
        <w:tab/>
      </w:r>
      <w:r>
        <w:tab/>
        <w:t xml:space="preserve">PSE concedes that its May 20, 2011, report in </w:t>
      </w:r>
      <w:r w:rsidRPr="00E66290">
        <w:t>Docket</w:t>
      </w:r>
      <w:r>
        <w:t xml:space="preserve"> U-100182, on its face and without further explanation, could be interpreted to contain inaccurate information. </w:t>
      </w:r>
    </w:p>
    <w:p w:rsidR="00FD5BD5" w:rsidRPr="00B4213B" w:rsidRDefault="00FD5BD5" w:rsidP="0038655D">
      <w:pPr>
        <w:pStyle w:val="Heading2"/>
        <w:spacing w:before="0" w:line="480" w:lineRule="auto"/>
        <w:rPr>
          <w:bCs/>
          <w:u w:val="single"/>
        </w:rPr>
      </w:pPr>
      <w:r>
        <w:rPr>
          <w:bCs/>
          <w:u w:val="single"/>
        </w:rPr>
        <w:t>F</w:t>
      </w:r>
      <w:r w:rsidRPr="00B4213B">
        <w:rPr>
          <w:bCs/>
          <w:u w:val="single"/>
        </w:rPr>
        <w:t>.</w:t>
      </w:r>
      <w:r w:rsidRPr="00B4213B">
        <w:rPr>
          <w:bCs/>
          <w:u w:val="single"/>
        </w:rPr>
        <w:tab/>
        <w:t>Contribution to PSE HELP</w:t>
      </w:r>
    </w:p>
    <w:p w:rsidR="00FD5BD5" w:rsidRDefault="00FD5BD5" w:rsidP="0038655D">
      <w:pPr>
        <w:spacing w:line="480" w:lineRule="auto"/>
        <w:ind w:hanging="720"/>
      </w:pPr>
      <w:r>
        <w:rPr>
          <w:i/>
        </w:rPr>
        <w:t>14</w:t>
      </w:r>
      <w:r>
        <w:rPr>
          <w:i/>
        </w:rPr>
        <w:tab/>
      </w:r>
      <w:r>
        <w:tab/>
        <w:t>PSE agrees to contribute $75,000 to PSE HELP</w:t>
      </w:r>
      <w:r w:rsidRPr="006A324D">
        <w:t xml:space="preserve"> </w:t>
      </w:r>
      <w:r>
        <w:t xml:space="preserve">within ten business days of Commission approval of this Settlement Agreement.  PSE </w:t>
      </w:r>
      <w:r w:rsidRPr="00B4213B">
        <w:t>agrees not to seek recovery of this amount from its</w:t>
      </w:r>
      <w:r>
        <w:t xml:space="preserve"> ratepayers.</w:t>
      </w:r>
    </w:p>
    <w:p w:rsidR="00FD5BD5" w:rsidRPr="00811024" w:rsidRDefault="00FD5BD5" w:rsidP="0038655D">
      <w:pPr>
        <w:pStyle w:val="Heading2"/>
        <w:spacing w:before="0" w:line="480" w:lineRule="auto"/>
        <w:rPr>
          <w:u w:val="single"/>
        </w:rPr>
      </w:pPr>
      <w:r>
        <w:rPr>
          <w:u w:val="single"/>
        </w:rPr>
        <w:t>G.</w:t>
      </w:r>
      <w:r>
        <w:rPr>
          <w:u w:val="single"/>
        </w:rPr>
        <w:tab/>
        <w:t>Customer Bill Information</w:t>
      </w:r>
    </w:p>
    <w:p w:rsidR="00FD5BD5" w:rsidRDefault="00FD5BD5" w:rsidP="0038655D">
      <w:pPr>
        <w:spacing w:line="480" w:lineRule="auto"/>
        <w:ind w:hanging="720"/>
      </w:pPr>
      <w:r>
        <w:rPr>
          <w:i/>
        </w:rPr>
        <w:t>15</w:t>
      </w:r>
      <w:r>
        <w:rPr>
          <w:i/>
        </w:rPr>
        <w:tab/>
      </w:r>
      <w:r>
        <w:tab/>
        <w:t xml:space="preserve">PSE’s April 2012 process change results in customers who have been disconnected for nonpayment receiving two separate bills:  one bill that contains the amount of the customer's prior obligation ("Prior Obligation Bill"), and another bill containing the customer's service affecting balances ("Current Bill").  PSE agrees, within </w:t>
      </w:r>
      <w:r w:rsidRPr="00206F72">
        <w:t xml:space="preserve">60 business days of the date </w:t>
      </w:r>
      <w:r>
        <w:t xml:space="preserve">an order approving </w:t>
      </w:r>
      <w:r w:rsidRPr="00206F72">
        <w:t>this Settlement Agreement is entered,</w:t>
      </w:r>
      <w:r>
        <w:t xml:space="preserve"> to include language in the customer’s Prior Obligation Bill indicating that the customer cannot be disconnected for non-payment of that amount.  Recognizing that PSE will be migrating from its existing billing system (CLX) and working within the preconfigured parameters of PSE's new billing system(s), PSE agrees to include similarly-worded messaging upon migration to the new billing system.  PSE agrees to provide the Parties a reasonable opportunity to review and provide input regarding the new billing system messaging including language, font size and the location of such messages.</w:t>
      </w:r>
    </w:p>
    <w:p w:rsidR="00FD5BD5" w:rsidRDefault="00FD5BD5" w:rsidP="0038655D">
      <w:pPr>
        <w:pStyle w:val="Heading2"/>
        <w:spacing w:before="0" w:line="480" w:lineRule="auto"/>
        <w:ind w:left="0"/>
        <w:rPr>
          <w:bCs/>
          <w:u w:val="single"/>
        </w:rPr>
      </w:pPr>
      <w:r>
        <w:tab/>
      </w:r>
      <w:r>
        <w:rPr>
          <w:bCs/>
          <w:u w:val="single"/>
        </w:rPr>
        <w:t>H</w:t>
      </w:r>
      <w:r w:rsidRPr="00616539">
        <w:rPr>
          <w:bCs/>
          <w:u w:val="single"/>
        </w:rPr>
        <w:t>.</w:t>
      </w:r>
      <w:r w:rsidRPr="00616539">
        <w:rPr>
          <w:bCs/>
          <w:u w:val="single"/>
        </w:rPr>
        <w:tab/>
        <w:t>Docket U-100182</w:t>
      </w:r>
    </w:p>
    <w:p w:rsidR="00FD5BD5" w:rsidRDefault="00FD5BD5" w:rsidP="0038655D">
      <w:pPr>
        <w:spacing w:line="480" w:lineRule="auto"/>
        <w:ind w:hanging="720"/>
      </w:pPr>
      <w:r w:rsidRPr="0071088D">
        <w:rPr>
          <w:i/>
        </w:rPr>
        <w:t>1</w:t>
      </w:r>
      <w:r>
        <w:rPr>
          <w:i/>
        </w:rPr>
        <w:t>6</w:t>
      </w:r>
      <w:r>
        <w:tab/>
      </w:r>
      <w:r>
        <w:tab/>
        <w:t xml:space="preserve">WUTC Staff and PSE agree, and Public Counsel and The Energy Project do not object, to eliminating PSE's reporting and other process requirements provided in both the Joint Motion and Order 01 in Docket U-100182.  WUTC Staff and PSE agree, and Public Counsel and The Energy Project do not object, that </w:t>
      </w:r>
      <w:r w:rsidRPr="00616539">
        <w:t xml:space="preserve">this Settlement Agreement supersedes </w:t>
      </w:r>
      <w:r>
        <w:t xml:space="preserve">and </w:t>
      </w:r>
      <w:r w:rsidRPr="00616539">
        <w:t xml:space="preserve">replaces the process commitments contained in </w:t>
      </w:r>
      <w:r>
        <w:t>D</w:t>
      </w:r>
      <w:r w:rsidRPr="00616539">
        <w:t>ocket</w:t>
      </w:r>
      <w:r>
        <w:t xml:space="preserve"> </w:t>
      </w:r>
      <w:r w:rsidRPr="00616539">
        <w:t>U-100182</w:t>
      </w:r>
      <w:r>
        <w:t xml:space="preserve"> – including Order 01, the Joint Motion, and</w:t>
      </w:r>
      <w:r w:rsidRPr="008F6BC0">
        <w:t xml:space="preserve"> </w:t>
      </w:r>
      <w:r>
        <w:t xml:space="preserve">Attachments A and B to the Joint Motion.  WUTC Staff and PSE agree, and Public Counsel and The Energy Project do not object, to cooperating with regard to reopening Docket U-100182 and filing any motion or testimony necessary to effectuate this agreement. </w:t>
      </w:r>
    </w:p>
    <w:p w:rsidR="00FD5BD5" w:rsidRPr="00B975E6" w:rsidRDefault="00FD5BD5" w:rsidP="0038655D">
      <w:pPr>
        <w:pStyle w:val="Heading2"/>
        <w:spacing w:before="0" w:line="480" w:lineRule="auto"/>
        <w:rPr>
          <w:u w:val="single"/>
        </w:rPr>
      </w:pPr>
      <w:r>
        <w:rPr>
          <w:u w:val="single"/>
        </w:rPr>
        <w:t>I.</w:t>
      </w:r>
      <w:r>
        <w:rPr>
          <w:u w:val="single"/>
        </w:rPr>
        <w:tab/>
      </w:r>
      <w:r w:rsidRPr="00B975E6">
        <w:rPr>
          <w:u w:val="single"/>
        </w:rPr>
        <w:t>Miscellaneous Provisions</w:t>
      </w:r>
    </w:p>
    <w:p w:rsidR="00FD5BD5" w:rsidRDefault="00FD5BD5" w:rsidP="0038655D">
      <w:pPr>
        <w:spacing w:line="480" w:lineRule="auto"/>
        <w:ind w:hanging="720"/>
      </w:pPr>
      <w:r>
        <w:rPr>
          <w:i/>
        </w:rPr>
        <w:t>17</w:t>
      </w:r>
      <w:r>
        <w:rPr>
          <w:i/>
        </w:rPr>
        <w:tab/>
      </w:r>
      <w:r>
        <w:tab/>
        <w:t>a.</w:t>
      </w:r>
      <w:r>
        <w:tab/>
        <w:t xml:space="preserve">The Parties agree to support the terms and conditions of this Settlement Agreement as a settlement of all contested issues in the above-captioned proceeding.  The Parties understand that this Settlement Agreement is subject to Commission approval.  </w:t>
      </w:r>
    </w:p>
    <w:p w:rsidR="00FD5BD5" w:rsidRDefault="00FD5BD5" w:rsidP="0038655D">
      <w:pPr>
        <w:spacing w:line="480" w:lineRule="auto"/>
        <w:ind w:hanging="720"/>
      </w:pPr>
      <w:r>
        <w:rPr>
          <w:i/>
        </w:rPr>
        <w:t>18</w:t>
      </w:r>
      <w:r>
        <w:rPr>
          <w:i/>
        </w:rPr>
        <w:tab/>
      </w:r>
      <w:r>
        <w:tab/>
        <w:t>b.</w:t>
      </w:r>
      <w:r>
        <w:tab/>
        <w:t xml:space="preserve">This Settlement Agreement represents an integrated resolution of the matters at issue in this case.  Accordingly, the Parties recommend that the Commission adopt this Settlement Agreement in its entirety.  </w:t>
      </w:r>
    </w:p>
    <w:p w:rsidR="00FD5BD5" w:rsidRDefault="00FD5BD5" w:rsidP="0038655D">
      <w:pPr>
        <w:spacing w:line="480" w:lineRule="auto"/>
        <w:ind w:hanging="720"/>
      </w:pPr>
      <w:r>
        <w:rPr>
          <w:i/>
        </w:rPr>
        <w:t>19</w:t>
      </w:r>
      <w:r>
        <w:rPr>
          <w:i/>
        </w:rPr>
        <w:tab/>
      </w:r>
      <w:r>
        <w:tab/>
        <w:t>c.</w:t>
      </w:r>
      <w:r>
        <w:tab/>
      </w:r>
      <w:r w:rsidRPr="00FA27CB">
        <w:t>The Parties will cooperate in submitting this Settlement Agreement promptly to the Commission for approval, and will cooperate in developing supporting materials as required in WAC 480-07-740(2)(a).  The Parties agree to support the Settlement Agreement throughout this proc</w:t>
      </w:r>
      <w:r>
        <w:t xml:space="preserve">eeding, provide witnesses to sponsor such Settlement Agreement at a Commission hearing, and recommend that the Commission issue an order adopting the Settlement Agreement in its entirety.  </w:t>
      </w:r>
    </w:p>
    <w:p w:rsidR="00FD5BD5" w:rsidRDefault="00FD5BD5" w:rsidP="0038655D">
      <w:pPr>
        <w:spacing w:line="480" w:lineRule="auto"/>
        <w:ind w:hanging="720"/>
      </w:pPr>
      <w:r>
        <w:rPr>
          <w:i/>
        </w:rPr>
        <w:t>20</w:t>
      </w:r>
      <w:r>
        <w:rPr>
          <w:i/>
        </w:rPr>
        <w:tab/>
      </w:r>
      <w:r>
        <w:tab/>
        <w:t>d.</w:t>
      </w:r>
      <w:r>
        <w:tab/>
        <w:t>In the ev</w:t>
      </w:r>
      <w:r w:rsidRPr="00FA27CB">
        <w:t>ent the Commission rejects th</w:t>
      </w:r>
      <w:r>
        <w:t xml:space="preserve">is </w:t>
      </w:r>
      <w:r w:rsidRPr="00FA27CB">
        <w:t>Settlement Agreement, WAC 480-07-750(2)</w:t>
      </w:r>
      <w:r>
        <w:t xml:space="preserve"> shall apply.  In the event the Commission accepts the Settlement Agreement upon conditions not proposed herein, each Party reserves the right, upon written notice to the Commission and all Parties to this proceeding within ten (10) days of the Commission’s order, to state its rejection of the conditions or differing provisions.  In such event, WAC 480-07-750(2)(a) will apply and the Parties agree to cooperate in the development of a schedule that concludes the proceeding on the earliest possible date.</w:t>
      </w:r>
    </w:p>
    <w:p w:rsidR="00FD5BD5" w:rsidRDefault="00FD5BD5" w:rsidP="0038655D">
      <w:pPr>
        <w:spacing w:line="480" w:lineRule="auto"/>
        <w:ind w:hanging="720"/>
      </w:pPr>
      <w:r>
        <w:rPr>
          <w:i/>
        </w:rPr>
        <w:t>21</w:t>
      </w:r>
      <w:r>
        <w:rPr>
          <w:i/>
        </w:rPr>
        <w:tab/>
      </w:r>
      <w:r>
        <w:tab/>
        <w:t>e.</w:t>
      </w:r>
      <w:r>
        <w:tab/>
        <w:t>The Parties enter into this Settlement Agreement to avoid further expense, uncertainty, and delay.  By executing this Settlement Agreement, no Party shall be deemed to have approved, admitted, or consented to the facts, principles, methods, or theories employed in arriving at the terms of this Settlement Agreement, and except to the extent expressly set forth in this Settlement Agreement, no Party shall be deemed to have agreed that this Settlement Agreement is appropriate for resolving any issues in any other proceeding, except as expressly stated above.  Nor shall the facts, principles, methods, or theories employed in arriving at the terms of this Settlement Agreement be deemed to have any precedential effect in any subsequent proceeding.</w:t>
      </w:r>
    </w:p>
    <w:p w:rsidR="00FD5BD5" w:rsidRDefault="00FD5BD5" w:rsidP="0038655D">
      <w:pPr>
        <w:spacing w:line="480" w:lineRule="auto"/>
        <w:ind w:hanging="720"/>
      </w:pPr>
      <w:r>
        <w:rPr>
          <w:i/>
        </w:rPr>
        <w:t>22</w:t>
      </w:r>
      <w:r>
        <w:rPr>
          <w:i/>
        </w:rPr>
        <w:tab/>
      </w:r>
      <w:r>
        <w:tab/>
        <w:t>f.</w:t>
      </w:r>
      <w:r>
        <w:tab/>
      </w:r>
      <w:r w:rsidRPr="00F01D27">
        <w:rPr>
          <w:color w:val="000000"/>
        </w:rPr>
        <w:t xml:space="preserve">Each Party retains the right to provide information to </w:t>
      </w:r>
      <w:r>
        <w:rPr>
          <w:color w:val="000000"/>
        </w:rPr>
        <w:t>the public about this Settlement Agreement</w:t>
      </w:r>
      <w:r w:rsidRPr="00F01D27">
        <w:rPr>
          <w:color w:val="000000"/>
        </w:rPr>
        <w:t xml:space="preserve"> after </w:t>
      </w:r>
      <w:r>
        <w:rPr>
          <w:color w:val="000000"/>
        </w:rPr>
        <w:t>it</w:t>
      </w:r>
      <w:r w:rsidRPr="00F01D27">
        <w:rPr>
          <w:color w:val="000000"/>
        </w:rPr>
        <w:t xml:space="preserve"> is filed with the Commission.  </w:t>
      </w:r>
      <w:r>
        <w:rPr>
          <w:color w:val="000000"/>
        </w:rPr>
        <w:t>The Parties</w:t>
      </w:r>
      <w:r w:rsidRPr="00F01D27">
        <w:rPr>
          <w:color w:val="000000"/>
        </w:rPr>
        <w:t xml:space="preserve"> each agree to provide the other Part</w:t>
      </w:r>
      <w:r>
        <w:rPr>
          <w:color w:val="000000"/>
        </w:rPr>
        <w:t>ies</w:t>
      </w:r>
      <w:r w:rsidRPr="00F01D27">
        <w:rPr>
          <w:color w:val="000000"/>
        </w:rPr>
        <w:t xml:space="preserve"> a copy of each </w:t>
      </w:r>
      <w:r>
        <w:rPr>
          <w:color w:val="000000"/>
        </w:rPr>
        <w:t>news</w:t>
      </w:r>
      <w:r w:rsidRPr="00F01D27">
        <w:rPr>
          <w:color w:val="000000"/>
        </w:rPr>
        <w:t xml:space="preserve"> release or similar communication (hereafter “public communication”) that </w:t>
      </w:r>
      <w:r>
        <w:rPr>
          <w:color w:val="000000"/>
        </w:rPr>
        <w:t>any</w:t>
      </w:r>
      <w:r w:rsidRPr="00F01D27">
        <w:rPr>
          <w:color w:val="000000"/>
        </w:rPr>
        <w:t xml:space="preserve"> Party intends to make regarding this </w:t>
      </w:r>
      <w:r>
        <w:rPr>
          <w:color w:val="000000"/>
        </w:rPr>
        <w:t xml:space="preserve">Settlement </w:t>
      </w:r>
      <w:r w:rsidRPr="00F01D27">
        <w:rPr>
          <w:color w:val="000000"/>
        </w:rPr>
        <w:t xml:space="preserve">Agreement, two business days in advance of publication.  The Party receiving such public communication may review the public communication and make a reasonable request to the issuing Party to change the text of such public communication.  Notwithstanding anything else in this paragraph, the Parties agree that each such public communication shall include a statement to the effect that this </w:t>
      </w:r>
      <w:r>
        <w:rPr>
          <w:color w:val="000000"/>
        </w:rPr>
        <w:t xml:space="preserve">Settlement </w:t>
      </w:r>
      <w:r w:rsidRPr="00F01D27">
        <w:rPr>
          <w:color w:val="000000"/>
        </w:rPr>
        <w:t xml:space="preserve">Agreement is subject to Commission approval and </w:t>
      </w:r>
      <w:r>
        <w:rPr>
          <w:color w:val="000000"/>
        </w:rPr>
        <w:t>WUTC</w:t>
      </w:r>
      <w:r w:rsidRPr="00F01D27">
        <w:rPr>
          <w:color w:val="000000"/>
        </w:rPr>
        <w:t xml:space="preserve"> Staff’s signing of this Agreement and/or </w:t>
      </w:r>
      <w:r>
        <w:rPr>
          <w:color w:val="000000"/>
        </w:rPr>
        <w:t xml:space="preserve">WUTC </w:t>
      </w:r>
      <w:r w:rsidRPr="00F01D27">
        <w:rPr>
          <w:color w:val="000000"/>
        </w:rPr>
        <w:t xml:space="preserve">Staff’s recommendation that the Commission approve this </w:t>
      </w:r>
      <w:r>
        <w:rPr>
          <w:color w:val="000000"/>
        </w:rPr>
        <w:t xml:space="preserve">Settlement </w:t>
      </w:r>
      <w:r w:rsidRPr="00F01D27">
        <w:rPr>
          <w:color w:val="000000"/>
        </w:rPr>
        <w:t>Agreement is not binding on the Commission itself</w:t>
      </w:r>
      <w:r>
        <w:rPr>
          <w:color w:val="000000"/>
        </w:rPr>
        <w:t>.</w:t>
      </w:r>
      <w:r>
        <w:t xml:space="preserve"> </w:t>
      </w:r>
    </w:p>
    <w:p w:rsidR="00FD5BD5" w:rsidRDefault="00FD5BD5" w:rsidP="0038655D">
      <w:pPr>
        <w:spacing w:line="480" w:lineRule="auto"/>
        <w:ind w:hanging="720"/>
      </w:pPr>
      <w:r>
        <w:rPr>
          <w:i/>
        </w:rPr>
        <w:t>23</w:t>
      </w:r>
      <w:r>
        <w:rPr>
          <w:i/>
        </w:rPr>
        <w:tab/>
      </w:r>
      <w:r>
        <w:tab/>
      </w:r>
      <w:r w:rsidRPr="00066E19">
        <w:t>g.</w:t>
      </w:r>
      <w:r w:rsidRPr="00066E19">
        <w:tab/>
      </w:r>
      <w:r>
        <w:t>This Settlement Agreement may be executed in counterparts, through original, electronic, and/or facsimile signature, and each signed counterpart shall constitute an original document</w:t>
      </w:r>
      <w:r w:rsidRPr="00066E19">
        <w:t>.</w:t>
      </w:r>
      <w:r>
        <w:t xml:space="preserve">  </w:t>
      </w:r>
    </w:p>
    <w:p w:rsidR="00FD5BD5" w:rsidRPr="00DC3364" w:rsidRDefault="00FD5BD5" w:rsidP="0038655D">
      <w:pPr>
        <w:spacing w:line="480" w:lineRule="auto"/>
        <w:ind w:hanging="720"/>
        <w:rPr>
          <w:i/>
        </w:rPr>
      </w:pPr>
      <w:r w:rsidRPr="00DC3364">
        <w:rPr>
          <w:i/>
        </w:rPr>
        <w:t>2</w:t>
      </w:r>
      <w:r>
        <w:rPr>
          <w:i/>
        </w:rPr>
        <w:t>4</w:t>
      </w:r>
      <w:r>
        <w:rPr>
          <w:i/>
        </w:rPr>
        <w:tab/>
      </w:r>
      <w:r>
        <w:rPr>
          <w:i/>
        </w:rPr>
        <w:tab/>
      </w:r>
      <w:r>
        <w:t>h.</w:t>
      </w:r>
      <w:r>
        <w:tab/>
      </w:r>
      <w:r w:rsidRPr="00DC3364">
        <w:t xml:space="preserve"> </w:t>
      </w:r>
      <w:r w:rsidRPr="00066E19">
        <w:t>In support of this Settlement Agreement, the Parties further stipulate that the testimony and exhibits that were pre</w:t>
      </w:r>
      <w:r>
        <w:t>-</w:t>
      </w:r>
      <w:r w:rsidRPr="00066E19">
        <w:t>filed by</w:t>
      </w:r>
      <w:r>
        <w:t xml:space="preserve"> PSE on April 3, 2012 and June 1, 2012, by WUTC Staff on May 3, 2012 and July 6, 2012, and the </w:t>
      </w:r>
      <w:bookmarkStart w:id="3" w:name="_GoBack"/>
      <w:bookmarkEnd w:id="3"/>
      <w:r>
        <w:t xml:space="preserve">documentation of the Parties filed in support of this Settlement Agreement, </w:t>
      </w:r>
      <w:r w:rsidRPr="00066E19">
        <w:t>should be admitted into evidence in the record of this proceeding.</w:t>
      </w:r>
    </w:p>
    <w:p w:rsidR="00FD5BD5" w:rsidRDefault="00FD5BD5" w:rsidP="00F170F0">
      <w:pPr>
        <w:spacing w:line="480" w:lineRule="auto"/>
        <w:ind w:hanging="720"/>
      </w:pPr>
    </w:p>
    <w:p w:rsidR="00FD5BD5" w:rsidRDefault="00FD5BD5" w:rsidP="00F170F0">
      <w:pPr>
        <w:spacing w:line="480" w:lineRule="auto"/>
        <w:ind w:hanging="720"/>
        <w:rPr>
          <w:u w:val="single"/>
        </w:rPr>
      </w:pPr>
    </w:p>
    <w:p w:rsidR="00FD5BD5" w:rsidRDefault="00FD5BD5" w:rsidP="00F170F0">
      <w:pPr>
        <w:spacing w:line="480" w:lineRule="auto"/>
        <w:ind w:firstLine="0"/>
      </w:pPr>
      <w:r>
        <w:rPr>
          <w:b/>
        </w:rPr>
        <w:br w:type="page"/>
        <w:t>DATED:</w:t>
      </w:r>
      <w:r>
        <w:tab/>
        <w:t>August __, 2012</w:t>
      </w:r>
    </w:p>
    <w:p w:rsidR="00FD5BD5" w:rsidRDefault="00FD5BD5" w:rsidP="00F170F0"/>
    <w:tbl>
      <w:tblPr>
        <w:tblW w:w="0" w:type="auto"/>
        <w:tblLayout w:type="fixed"/>
        <w:tblLook w:val="0000"/>
      </w:tblPr>
      <w:tblGrid>
        <w:gridCol w:w="4518"/>
        <w:gridCol w:w="4626"/>
      </w:tblGrid>
      <w:tr w:rsidR="00FD5BD5" w:rsidTr="00F170F0">
        <w:tc>
          <w:tcPr>
            <w:tcW w:w="4518" w:type="dxa"/>
          </w:tcPr>
          <w:p w:rsidR="00FD5BD5" w:rsidRDefault="00FD5BD5" w:rsidP="00F170F0">
            <w:pPr>
              <w:pStyle w:val="plain"/>
            </w:pPr>
          </w:p>
          <w:p w:rsidR="00FD5BD5" w:rsidRDefault="00FD5BD5" w:rsidP="00F170F0">
            <w:pPr>
              <w:pStyle w:val="plain"/>
            </w:pPr>
            <w:r w:rsidRPr="00F95756">
              <w:rPr>
                <w:b/>
              </w:rPr>
              <w:t>PUGET SOUND ENERGY, INC.</w:t>
            </w:r>
            <w:r>
              <w:br/>
            </w:r>
            <w:r>
              <w:br/>
            </w:r>
            <w:r>
              <w:br/>
            </w:r>
          </w:p>
          <w:p w:rsidR="00FD5BD5" w:rsidRDefault="00FD5BD5" w:rsidP="00F170F0">
            <w:pPr>
              <w:pStyle w:val="plain"/>
            </w:pPr>
            <w:r>
              <w:br/>
              <w:t xml:space="preserve">By </w:t>
            </w:r>
            <w:r>
              <w:rPr>
                <w:u w:val="single"/>
              </w:rPr>
              <w:tab/>
            </w:r>
            <w:r>
              <w:rPr>
                <w:u w:val="single"/>
              </w:rPr>
              <w:tab/>
            </w:r>
            <w:r>
              <w:rPr>
                <w:u w:val="single"/>
              </w:rPr>
              <w:tab/>
            </w:r>
            <w:r>
              <w:rPr>
                <w:u w:val="single"/>
              </w:rPr>
              <w:tab/>
            </w:r>
            <w:r>
              <w:rPr>
                <w:u w:val="single"/>
              </w:rPr>
              <w:tab/>
            </w:r>
            <w:r>
              <w:br/>
            </w:r>
            <w:bookmarkStart w:id="4" w:name="zZ_AuthorName"/>
            <w:bookmarkEnd w:id="4"/>
            <w:r>
              <w:t xml:space="preserve">      </w:t>
            </w:r>
            <w:r w:rsidRPr="00FA27CB">
              <w:t xml:space="preserve">Tom DeBoer </w:t>
            </w:r>
            <w:r w:rsidRPr="00FA27CB">
              <w:br/>
            </w:r>
            <w:r>
              <w:t xml:space="preserve">      Director Federal &amp; State Regulatory Affairs</w:t>
            </w:r>
          </w:p>
          <w:p w:rsidR="00FD5BD5" w:rsidRPr="002E250E" w:rsidRDefault="00FD5BD5" w:rsidP="00F170F0">
            <w:pPr>
              <w:pStyle w:val="plain"/>
            </w:pPr>
          </w:p>
        </w:tc>
        <w:tc>
          <w:tcPr>
            <w:tcW w:w="4626" w:type="dxa"/>
          </w:tcPr>
          <w:p w:rsidR="00FD5BD5" w:rsidRDefault="00FD5BD5" w:rsidP="00F170F0">
            <w:pPr>
              <w:pStyle w:val="plain"/>
              <w:rPr>
                <w:b/>
              </w:rPr>
            </w:pPr>
          </w:p>
          <w:p w:rsidR="00FD5BD5" w:rsidRDefault="00FD5BD5" w:rsidP="00F170F0">
            <w:pPr>
              <w:pStyle w:val="plain"/>
            </w:pPr>
            <w:r>
              <w:rPr>
                <w:b/>
              </w:rPr>
              <w:t xml:space="preserve">WASHINGTON UTILITIES AND TRANSPORTATION COMMISSION STAFF </w:t>
            </w:r>
            <w:r>
              <w:rPr>
                <w:b/>
              </w:rPr>
              <w:br/>
            </w:r>
            <w:r>
              <w:rPr>
                <w:b/>
              </w:rPr>
              <w:br/>
            </w:r>
            <w:r>
              <w:br/>
              <w:t xml:space="preserve">By </w:t>
            </w:r>
            <w:r>
              <w:rPr>
                <w:u w:val="single"/>
              </w:rPr>
              <w:tab/>
            </w:r>
            <w:r>
              <w:rPr>
                <w:u w:val="single"/>
              </w:rPr>
              <w:tab/>
            </w:r>
            <w:r>
              <w:rPr>
                <w:u w:val="single"/>
              </w:rPr>
              <w:tab/>
            </w:r>
            <w:r>
              <w:rPr>
                <w:u w:val="single"/>
              </w:rPr>
              <w:tab/>
            </w:r>
            <w:r>
              <w:rPr>
                <w:u w:val="single"/>
              </w:rPr>
              <w:tab/>
            </w:r>
            <w:r>
              <w:rPr>
                <w:u w:val="single"/>
              </w:rPr>
              <w:tab/>
            </w:r>
            <w:r>
              <w:br/>
              <w:t xml:space="preserve">      Michael Fassio</w:t>
            </w:r>
            <w:r w:rsidDel="00E01F0D">
              <w:t xml:space="preserve"> </w:t>
            </w:r>
            <w:r>
              <w:br/>
              <w:t xml:space="preserve">      Robert Cedarbaum</w:t>
            </w:r>
          </w:p>
          <w:p w:rsidR="00FD5BD5" w:rsidRDefault="00FD5BD5" w:rsidP="00F170F0">
            <w:pPr>
              <w:pStyle w:val="plain"/>
            </w:pPr>
            <w:r>
              <w:t xml:space="preserve">      Assistant Attorney General</w:t>
            </w:r>
          </w:p>
          <w:p w:rsidR="00FD5BD5" w:rsidRDefault="00FD5BD5" w:rsidP="00F170F0">
            <w:pPr>
              <w:pStyle w:val="plain"/>
            </w:pPr>
          </w:p>
        </w:tc>
      </w:tr>
      <w:tr w:rsidR="00FD5BD5" w:rsidTr="00F170F0">
        <w:tc>
          <w:tcPr>
            <w:tcW w:w="4518" w:type="dxa"/>
          </w:tcPr>
          <w:p w:rsidR="00FD5BD5" w:rsidRDefault="00FD5BD5" w:rsidP="00F170F0">
            <w:pPr>
              <w:pStyle w:val="plain"/>
              <w:spacing w:line="240" w:lineRule="auto"/>
              <w:rPr>
                <w:b/>
              </w:rPr>
            </w:pPr>
          </w:p>
          <w:p w:rsidR="00FD5BD5" w:rsidRDefault="00FD5BD5" w:rsidP="00F170F0">
            <w:pPr>
              <w:pStyle w:val="plain"/>
              <w:spacing w:line="240" w:lineRule="auto"/>
              <w:rPr>
                <w:b/>
              </w:rPr>
            </w:pPr>
            <w:r>
              <w:rPr>
                <w:b/>
              </w:rPr>
              <w:t>PUBLIC COUNSEL SECTION,</w:t>
            </w:r>
            <w:r>
              <w:rPr>
                <w:b/>
              </w:rPr>
              <w:br/>
              <w:t>OFFICE OF THE ATTORNEY</w:t>
            </w:r>
            <w:r>
              <w:rPr>
                <w:b/>
              </w:rPr>
              <w:br/>
              <w:t>GENERAL OF THE STATE OF</w:t>
            </w:r>
            <w:r>
              <w:rPr>
                <w:b/>
              </w:rPr>
              <w:br/>
              <w:t xml:space="preserve">WASHINGTON </w:t>
            </w:r>
          </w:p>
          <w:p w:rsidR="00FD5BD5" w:rsidRDefault="00FD5BD5" w:rsidP="00F170F0">
            <w:pPr>
              <w:pStyle w:val="plain"/>
              <w:spacing w:line="240" w:lineRule="auto"/>
            </w:pPr>
          </w:p>
          <w:p w:rsidR="00FD5BD5" w:rsidRDefault="00FD5BD5" w:rsidP="00F170F0">
            <w:pPr>
              <w:pStyle w:val="plain"/>
              <w:spacing w:line="240" w:lineRule="auto"/>
            </w:pPr>
            <w:r>
              <w:br/>
              <w:t xml:space="preserve">By </w:t>
            </w:r>
            <w:r>
              <w:rPr>
                <w:u w:val="single"/>
              </w:rPr>
              <w:tab/>
            </w:r>
            <w:r>
              <w:rPr>
                <w:u w:val="single"/>
              </w:rPr>
              <w:tab/>
            </w:r>
            <w:r>
              <w:rPr>
                <w:u w:val="single"/>
              </w:rPr>
              <w:tab/>
            </w:r>
            <w:r>
              <w:rPr>
                <w:u w:val="single"/>
              </w:rPr>
              <w:tab/>
            </w:r>
            <w:r>
              <w:rPr>
                <w:u w:val="single"/>
              </w:rPr>
              <w:tab/>
            </w:r>
            <w:r>
              <w:br/>
              <w:t xml:space="preserve">     Lisa Gafken</w:t>
            </w:r>
            <w:r>
              <w:br/>
              <w:t xml:space="preserve">     Assistant Attorney General</w:t>
            </w:r>
            <w:r>
              <w:br/>
            </w:r>
          </w:p>
        </w:tc>
        <w:tc>
          <w:tcPr>
            <w:tcW w:w="4626" w:type="dxa"/>
          </w:tcPr>
          <w:p w:rsidR="00FD5BD5" w:rsidRDefault="00FD5BD5" w:rsidP="00F170F0">
            <w:pPr>
              <w:pStyle w:val="plain"/>
              <w:rPr>
                <w:b/>
              </w:rPr>
            </w:pPr>
          </w:p>
          <w:p w:rsidR="00FD5BD5" w:rsidRDefault="00FD5BD5" w:rsidP="00F170F0">
            <w:pPr>
              <w:pStyle w:val="plain"/>
            </w:pPr>
            <w:r>
              <w:rPr>
                <w:b/>
              </w:rPr>
              <w:t>THE ENERGY PROJECT</w:t>
            </w:r>
            <w:r>
              <w:rPr>
                <w:b/>
              </w:rPr>
              <w:br/>
            </w:r>
            <w:r>
              <w:br/>
            </w:r>
            <w:r>
              <w:br/>
            </w:r>
            <w:r>
              <w:br/>
            </w:r>
            <w:r>
              <w:br/>
            </w:r>
          </w:p>
          <w:p w:rsidR="00FD5BD5" w:rsidRDefault="00FD5BD5" w:rsidP="00F170F0">
            <w:pPr>
              <w:pStyle w:val="plain"/>
              <w:rPr>
                <w:b/>
              </w:rPr>
            </w:pPr>
            <w:r>
              <w:t xml:space="preserve">By </w:t>
            </w:r>
            <w:r>
              <w:rPr>
                <w:u w:val="single"/>
              </w:rPr>
              <w:tab/>
            </w:r>
            <w:r>
              <w:rPr>
                <w:u w:val="single"/>
              </w:rPr>
              <w:tab/>
            </w:r>
            <w:r>
              <w:rPr>
                <w:u w:val="single"/>
              </w:rPr>
              <w:tab/>
            </w:r>
            <w:r>
              <w:rPr>
                <w:u w:val="single"/>
              </w:rPr>
              <w:tab/>
            </w:r>
            <w:r>
              <w:rPr>
                <w:u w:val="single"/>
              </w:rPr>
              <w:tab/>
            </w:r>
            <w:r>
              <w:br/>
              <w:t xml:space="preserve">      </w:t>
            </w:r>
            <w:r w:rsidRPr="003D4F89">
              <w:rPr>
                <w:rStyle w:val="Strong"/>
                <w:b w:val="0"/>
                <w:szCs w:val="24"/>
              </w:rPr>
              <w:t>Ronald L. Roseman</w:t>
            </w:r>
            <w:r>
              <w:br/>
              <w:t xml:space="preserve">      Attorney for The Energy Project</w:t>
            </w:r>
          </w:p>
        </w:tc>
      </w:tr>
    </w:tbl>
    <w:p w:rsidR="00FD5BD5" w:rsidRPr="00FA27CB" w:rsidRDefault="00FD5BD5" w:rsidP="00F170F0">
      <w:pPr>
        <w:autoSpaceDE w:val="0"/>
        <w:autoSpaceDN w:val="0"/>
        <w:adjustRightInd w:val="0"/>
        <w:spacing w:line="240" w:lineRule="auto"/>
        <w:ind w:firstLine="0"/>
        <w:rPr>
          <w:color w:val="000000"/>
          <w:szCs w:val="24"/>
        </w:rPr>
      </w:pPr>
    </w:p>
    <w:p w:rsidR="00FD5BD5" w:rsidRDefault="00FD5BD5" w:rsidP="00D84022">
      <w:pPr>
        <w:pStyle w:val="Heading1"/>
      </w:pPr>
    </w:p>
    <w:sectPr w:rsidR="00FD5BD5" w:rsidSect="00D8402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872"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BD5" w:rsidRDefault="00FD5BD5">
      <w:r>
        <w:separator/>
      </w:r>
    </w:p>
  </w:endnote>
  <w:endnote w:type="continuationSeparator" w:id="0">
    <w:p w:rsidR="00FD5BD5" w:rsidRDefault="00FD5B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Univers (WN)">
    <w:altName w:val="Times New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BD5" w:rsidRDefault="00FD5B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BD5" w:rsidRPr="00342D62" w:rsidRDefault="00FD5BD5" w:rsidP="00D84022">
    <w:pPr>
      <w:pStyle w:val="plain"/>
      <w:tabs>
        <w:tab w:val="right" w:pos="8880"/>
      </w:tabs>
      <w:rPr>
        <w:rStyle w:val="PageNumber"/>
        <w:smallCaps/>
        <w:sz w:val="20"/>
      </w:rPr>
    </w:pPr>
    <w:r w:rsidRPr="00342D62">
      <w:rPr>
        <w:smallCaps/>
        <w:sz w:val="20"/>
      </w:rPr>
      <w:t xml:space="preserve">Settlement Agreement in </w:t>
    </w:r>
    <w:r w:rsidRPr="00342D62">
      <w:rPr>
        <w:smallCaps/>
        <w:sz w:val="20"/>
      </w:rPr>
      <w:tab/>
      <w:t xml:space="preserve">Page </w:t>
    </w:r>
    <w:r w:rsidRPr="00342D62">
      <w:rPr>
        <w:rStyle w:val="PageNumber"/>
        <w:smallCaps/>
        <w:sz w:val="20"/>
      </w:rPr>
      <w:fldChar w:fldCharType="begin"/>
    </w:r>
    <w:r w:rsidRPr="00342D62">
      <w:rPr>
        <w:rStyle w:val="PageNumber"/>
        <w:smallCaps/>
        <w:sz w:val="20"/>
      </w:rPr>
      <w:instrText xml:space="preserve"> PAGE </w:instrText>
    </w:r>
    <w:r w:rsidRPr="00342D62">
      <w:rPr>
        <w:rStyle w:val="PageNumber"/>
        <w:smallCaps/>
        <w:sz w:val="20"/>
      </w:rPr>
      <w:fldChar w:fldCharType="separate"/>
    </w:r>
    <w:r>
      <w:rPr>
        <w:rStyle w:val="PageNumber"/>
        <w:smallCaps/>
        <w:noProof/>
        <w:sz w:val="20"/>
      </w:rPr>
      <w:t>1</w:t>
    </w:r>
    <w:r w:rsidRPr="00342D62">
      <w:rPr>
        <w:rStyle w:val="PageNumber"/>
        <w:smallCaps/>
        <w:sz w:val="20"/>
      </w:rPr>
      <w:fldChar w:fldCharType="end"/>
    </w:r>
    <w:r>
      <w:rPr>
        <w:rStyle w:val="PageNumber"/>
        <w:smallCaps/>
        <w:sz w:val="20"/>
      </w:rPr>
      <w:t xml:space="preserve"> of 9</w:t>
    </w:r>
  </w:p>
  <w:p w:rsidR="00FD5BD5" w:rsidRPr="00342D62" w:rsidRDefault="00FD5BD5" w:rsidP="00D84022">
    <w:pPr>
      <w:pStyle w:val="plain"/>
      <w:tabs>
        <w:tab w:val="right" w:pos="8880"/>
      </w:tabs>
      <w:spacing w:line="200" w:lineRule="exact"/>
      <w:rPr>
        <w:smallCaps/>
        <w:sz w:val="20"/>
      </w:rPr>
    </w:pPr>
    <w:r w:rsidRPr="00342D62">
      <w:rPr>
        <w:smallCaps/>
        <w:sz w:val="20"/>
      </w:rPr>
      <w:t xml:space="preserve">WUTC Docket </w:t>
    </w:r>
    <w:r>
      <w:rPr>
        <w:smallCaps/>
        <w:sz w:val="20"/>
      </w:rPr>
      <w:t>U-110808</w:t>
    </w:r>
  </w:p>
  <w:p w:rsidR="00FD5BD5" w:rsidRPr="00F170F0" w:rsidRDefault="00FD5BD5" w:rsidP="00F170F0">
    <w:pPr>
      <w:pStyle w:val="Footer"/>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BD5" w:rsidRDefault="00FD5BD5">
    <w:pPr>
      <w:pStyle w:val="Footer"/>
      <w:rPr>
        <w:rFonts w:ascii="Univers (WN)" w:hAnsi="Univers (WN)"/>
        <w:color w:val="000000"/>
        <w:sz w:val="16"/>
      </w:rPr>
    </w:pPr>
    <w:r>
      <w:rPr>
        <w:color w:val="0000FF"/>
      </w:rPr>
      <w:fldChar w:fldCharType="begin"/>
    </w:r>
    <w:r>
      <w:rPr>
        <w:color w:val="0000FF"/>
      </w:rPr>
      <w:instrText>ref shorttitle \* upper \* charformat</w:instrText>
    </w:r>
    <w:r>
      <w:rPr>
        <w:color w:val="0000FF"/>
      </w:rPr>
      <w:fldChar w:fldCharType="separate"/>
    </w:r>
    <w:r>
      <w:rPr>
        <w:b/>
        <w:bCs/>
        <w:color w:val="0000FF"/>
      </w:rPr>
      <w:t>Error! Reference source not found.</w:t>
    </w:r>
    <w:r>
      <w:rPr>
        <w:color w:val="0000FF"/>
      </w:rPr>
      <w:fldChar w:fldCharType="end"/>
    </w:r>
    <w:r>
      <w:rPr>
        <w:color w:val="000000"/>
      </w:rPr>
      <w:t> - </w:t>
    </w:r>
    <w:r>
      <w:rPr>
        <w:color w:val="0000FF"/>
      </w:rPr>
      <w:fldChar w:fldCharType="begin"/>
    </w:r>
    <w:r>
      <w:rPr>
        <w:color w:val="0000FF"/>
      </w:rPr>
      <w:instrText>page</w:instrText>
    </w:r>
    <w:r>
      <w:rPr>
        <w:color w:val="0000FF"/>
      </w:rPr>
      <w:fldChar w:fldCharType="separate"/>
    </w:r>
    <w:r>
      <w:rPr>
        <w:noProof/>
        <w:color w:val="0000FF"/>
      </w:rPr>
      <w:t>1</w:t>
    </w:r>
    <w:r>
      <w:rPr>
        <w:color w:val="0000FF"/>
      </w:rPr>
      <w:fldChar w:fldCharType="end"/>
    </w:r>
    <w:r>
      <w:rPr>
        <w:color w:val="000000"/>
      </w:rPr>
      <w:br/>
    </w:r>
    <w:r>
      <w:rPr>
        <w:rFonts w:ascii="Univers (WN)" w:hAnsi="Univers (WN)"/>
        <w:color w:val="000000"/>
        <w:sz w:val="16"/>
      </w:rPr>
      <w:t>[</w:t>
    </w:r>
    <w:r>
      <w:rPr>
        <w:rFonts w:ascii="Univers (WN)" w:hAnsi="Univers (WN)"/>
        <w:color w:val="0000FF"/>
        <w:sz w:val="16"/>
      </w:rPr>
      <w:fldChar w:fldCharType="begin"/>
    </w:r>
    <w:r>
      <w:rPr>
        <w:rFonts w:ascii="Univers (WN)" w:hAnsi="Univers (WN)"/>
        <w:color w:val="0000FF"/>
        <w:sz w:val="16"/>
      </w:rPr>
      <w:instrText>keywords</w:instrText>
    </w:r>
    <w:r>
      <w:rPr>
        <w:rFonts w:ascii="Univers (WN)" w:hAnsi="Univers (WN)"/>
        <w:color w:val="0000FF"/>
        <w:sz w:val="16"/>
      </w:rPr>
      <w:fldChar w:fldCharType="end"/>
    </w:r>
    <w:r>
      <w:rPr>
        <w:rFonts w:ascii="Univers (WN)" w:hAnsi="Univers (WN)"/>
        <w:color w:val="000000"/>
        <w:sz w:val="16"/>
      </w:rPr>
      <w:t>/</w:t>
    </w:r>
    <w:r>
      <w:rPr>
        <w:rFonts w:ascii="Univers (WN)" w:hAnsi="Univers (WN)"/>
        <w:color w:val="0000FF"/>
        <w:sz w:val="16"/>
      </w:rPr>
      <w:fldChar w:fldCharType="begin"/>
    </w:r>
    <w:r>
      <w:rPr>
        <w:rFonts w:ascii="Univers (WN)" w:hAnsi="Univers (WN)"/>
        <w:color w:val="0000FF"/>
        <w:sz w:val="16"/>
      </w:rPr>
      <w:instrText>filename</w:instrText>
    </w:r>
    <w:r>
      <w:rPr>
        <w:rFonts w:ascii="Univers (WN)" w:hAnsi="Univers (WN)"/>
        <w:color w:val="0000FF"/>
        <w:sz w:val="16"/>
      </w:rPr>
      <w:fldChar w:fldCharType="separate"/>
    </w:r>
    <w:r>
      <w:rPr>
        <w:rFonts w:ascii="Univers (WN)" w:hAnsi="Univers (WN)"/>
        <w:noProof/>
        <w:color w:val="0000FF"/>
        <w:sz w:val="16"/>
      </w:rPr>
      <w:t>U-110808 Settlement Agreement PSE edits 8-23-12-redline</w:t>
    </w:r>
    <w:r>
      <w:rPr>
        <w:rFonts w:ascii="Univers (WN)" w:hAnsi="Univers (WN)"/>
        <w:color w:val="0000FF"/>
        <w:sz w:val="16"/>
      </w:rPr>
      <w:fldChar w:fldCharType="end"/>
    </w:r>
    <w:r>
      <w:rPr>
        <w:rFonts w:ascii="Univers (WN)" w:hAnsi="Univers (WN)"/>
        <w:color w:val="000000"/>
        <w:sz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BD5" w:rsidRDefault="00FD5BD5">
      <w:r>
        <w:separator/>
      </w:r>
    </w:p>
  </w:footnote>
  <w:footnote w:type="continuationSeparator" w:id="0">
    <w:p w:rsidR="00FD5BD5" w:rsidRDefault="00FD5B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BD5" w:rsidRDefault="00FD5B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BD5" w:rsidRDefault="00FD5B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BD5" w:rsidRDefault="00FD5B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3DAEC2"/>
    <w:multiLevelType w:val="hybridMultilevel"/>
    <w:tmpl w:val="9935005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1E"/>
    <w:multiLevelType w:val="hybridMultilevel"/>
    <w:tmpl w:val="1D00F0FA"/>
    <w:lvl w:ilvl="0" w:tplc="6404759E">
      <w:start w:val="1"/>
      <w:numFmt w:val="decimal"/>
      <w:lvlText w:val="%1"/>
      <w:lvlJc w:val="left"/>
      <w:pPr>
        <w:tabs>
          <w:tab w:val="num" w:pos="720"/>
        </w:tabs>
        <w:ind w:left="720" w:hanging="720"/>
      </w:pPr>
      <w:rPr>
        <w:rFonts w:ascii="Times New Roman" w:hAnsi="Times New Roman" w:cs="Times New Roman"/>
        <w:b w:val="0"/>
        <w:bCs w:val="0"/>
        <w:i/>
        <w:iCs/>
        <w:spacing w:val="0"/>
        <w:sz w:val="20"/>
        <w:szCs w:val="20"/>
      </w:rPr>
    </w:lvl>
    <w:lvl w:ilvl="1" w:tplc="FFFFFFFF">
      <w:start w:val="2"/>
      <w:numFmt w:val="decimal"/>
      <w:lvlText w:val="(%2)"/>
      <w:lvlJc w:val="left"/>
      <w:pPr>
        <w:tabs>
          <w:tab w:val="num" w:pos="1800"/>
        </w:tabs>
        <w:ind w:left="1800" w:hanging="720"/>
      </w:pPr>
      <w:rPr>
        <w:rFonts w:ascii="Times New Roman" w:hAnsi="Times New Roman" w:cs="Times New Roman"/>
        <w:spacing w:val="0"/>
        <w:sz w:val="24"/>
        <w:szCs w:val="24"/>
      </w:rPr>
    </w:lvl>
    <w:lvl w:ilvl="2" w:tplc="FFFFFFFF">
      <w:start w:val="1"/>
      <w:numFmt w:val="lowerRoman"/>
      <w:lvlText w:val="%3."/>
      <w:lvlJc w:val="right"/>
      <w:pPr>
        <w:tabs>
          <w:tab w:val="num" w:pos="2160"/>
        </w:tabs>
        <w:ind w:left="2160" w:hanging="180"/>
      </w:pPr>
      <w:rPr>
        <w:rFonts w:ascii="Times New Roman" w:hAnsi="Times New Roman" w:cs="Times New Roman"/>
        <w:spacing w:val="0"/>
        <w:sz w:val="24"/>
        <w:szCs w:val="24"/>
      </w:rPr>
    </w:lvl>
    <w:lvl w:ilvl="3" w:tplc="FFFFFFFF">
      <w:start w:val="1"/>
      <w:numFmt w:val="decimal"/>
      <w:lvlText w:val="%4."/>
      <w:lvlJc w:val="left"/>
      <w:pPr>
        <w:tabs>
          <w:tab w:val="num" w:pos="2880"/>
        </w:tabs>
        <w:ind w:left="2880" w:hanging="360"/>
      </w:pPr>
      <w:rPr>
        <w:rFonts w:ascii="Times New Roman" w:hAnsi="Times New Roman" w:cs="Times New Roman"/>
        <w:spacing w:val="0"/>
        <w:sz w:val="24"/>
        <w:szCs w:val="24"/>
      </w:rPr>
    </w:lvl>
    <w:lvl w:ilvl="4" w:tplc="FFFFFFFF">
      <w:start w:val="1"/>
      <w:numFmt w:val="lowerLetter"/>
      <w:lvlText w:val="%5."/>
      <w:lvlJc w:val="left"/>
      <w:pPr>
        <w:tabs>
          <w:tab w:val="num" w:pos="3600"/>
        </w:tabs>
        <w:ind w:left="3600" w:hanging="360"/>
      </w:pPr>
      <w:rPr>
        <w:rFonts w:ascii="Times New Roman" w:hAnsi="Times New Roman" w:cs="Times New Roman"/>
        <w:spacing w:val="0"/>
        <w:sz w:val="24"/>
        <w:szCs w:val="24"/>
      </w:rPr>
    </w:lvl>
    <w:lvl w:ilvl="5" w:tplc="FFFFFFFF">
      <w:start w:val="1"/>
      <w:numFmt w:val="lowerRoman"/>
      <w:lvlText w:val="%6."/>
      <w:lvlJc w:val="right"/>
      <w:pPr>
        <w:tabs>
          <w:tab w:val="num" w:pos="4320"/>
        </w:tabs>
        <w:ind w:left="4320" w:hanging="180"/>
      </w:pPr>
      <w:rPr>
        <w:rFonts w:ascii="Times New Roman" w:hAnsi="Times New Roman" w:cs="Times New Roman"/>
        <w:spacing w:val="0"/>
        <w:sz w:val="24"/>
        <w:szCs w:val="24"/>
      </w:rPr>
    </w:lvl>
    <w:lvl w:ilvl="6" w:tplc="FFFFFFFF">
      <w:start w:val="1"/>
      <w:numFmt w:val="decimal"/>
      <w:lvlText w:val="%7."/>
      <w:lvlJc w:val="left"/>
      <w:pPr>
        <w:tabs>
          <w:tab w:val="num" w:pos="5040"/>
        </w:tabs>
        <w:ind w:left="5040" w:hanging="360"/>
      </w:pPr>
      <w:rPr>
        <w:rFonts w:ascii="Times New Roman" w:hAnsi="Times New Roman" w:cs="Times New Roman"/>
        <w:spacing w:val="0"/>
        <w:sz w:val="24"/>
        <w:szCs w:val="24"/>
      </w:rPr>
    </w:lvl>
    <w:lvl w:ilvl="7" w:tplc="FFFFFFFF">
      <w:start w:val="1"/>
      <w:numFmt w:val="lowerLetter"/>
      <w:lvlText w:val="%8."/>
      <w:lvlJc w:val="left"/>
      <w:pPr>
        <w:tabs>
          <w:tab w:val="num" w:pos="5760"/>
        </w:tabs>
        <w:ind w:left="5760" w:hanging="360"/>
      </w:pPr>
      <w:rPr>
        <w:rFonts w:ascii="Times New Roman" w:hAnsi="Times New Roman" w:cs="Times New Roman"/>
        <w:spacing w:val="0"/>
        <w:sz w:val="24"/>
        <w:szCs w:val="24"/>
      </w:rPr>
    </w:lvl>
    <w:lvl w:ilvl="8" w:tplc="FFFFFFFF">
      <w:start w:val="1"/>
      <w:numFmt w:val="lowerRoman"/>
      <w:lvlText w:val="%9."/>
      <w:lvlJc w:val="right"/>
      <w:pPr>
        <w:tabs>
          <w:tab w:val="num" w:pos="6480"/>
        </w:tabs>
        <w:ind w:left="6480" w:hanging="180"/>
      </w:pPr>
      <w:rPr>
        <w:rFonts w:ascii="Times New Roman" w:hAnsi="Times New Roman" w:cs="Times New Roman"/>
        <w:spacing w:val="0"/>
        <w:sz w:val="24"/>
        <w:szCs w:val="24"/>
      </w:rPr>
    </w:lvl>
  </w:abstractNum>
  <w:abstractNum w:abstractNumId="2">
    <w:nsid w:val="18EE201E"/>
    <w:multiLevelType w:val="hybridMultilevel"/>
    <w:tmpl w:val="FDEE263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27C27090"/>
    <w:multiLevelType w:val="hybridMultilevel"/>
    <w:tmpl w:val="0BAE52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EB31217"/>
    <w:multiLevelType w:val="hybridMultilevel"/>
    <w:tmpl w:val="DC58A856"/>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4B5B1B65"/>
    <w:multiLevelType w:val="multilevel"/>
    <w:tmpl w:val="899ED8CC"/>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4"/>
      <w:numFmt w:val="decimal"/>
      <w:lvlText w:val="%4."/>
      <w:lvlJc w:val="left"/>
      <w:pPr>
        <w:tabs>
          <w:tab w:val="num" w:pos="2520"/>
        </w:tabs>
        <w:ind w:left="2520" w:hanging="360"/>
      </w:pPr>
      <w:rPr>
        <w:rFonts w:cs="Times New Roman" w:hint="default"/>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6">
    <w:nsid w:val="509F37EC"/>
    <w:multiLevelType w:val="hybridMultilevel"/>
    <w:tmpl w:val="43B85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956DAD"/>
    <w:multiLevelType w:val="singleLevel"/>
    <w:tmpl w:val="ABC06F6A"/>
    <w:lvl w:ilvl="0">
      <w:start w:val="1"/>
      <w:numFmt w:val="decimal"/>
      <w:lvlText w:val="%1. "/>
      <w:lvlJc w:val="left"/>
      <w:pPr>
        <w:tabs>
          <w:tab w:val="num" w:pos="360"/>
        </w:tabs>
        <w:ind w:left="360" w:hanging="360"/>
      </w:pPr>
      <w:rPr>
        <w:rFonts w:ascii="Arial" w:hAnsi="Arial" w:cs="Times New Roman" w:hint="default"/>
        <w:b w:val="0"/>
        <w:i w:val="0"/>
        <w:sz w:val="20"/>
        <w:u w:val="none"/>
      </w:rPr>
    </w:lvl>
  </w:abstractNum>
  <w:abstractNum w:abstractNumId="8">
    <w:nsid w:val="5E286456"/>
    <w:multiLevelType w:val="multilevel"/>
    <w:tmpl w:val="480EB9D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530"/>
        </w:tabs>
        <w:ind w:left="153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606429E9"/>
    <w:multiLevelType w:val="multilevel"/>
    <w:tmpl w:val="17D47440"/>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0">
    <w:nsid w:val="609B659D"/>
    <w:multiLevelType w:val="hybridMultilevel"/>
    <w:tmpl w:val="2158B15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25B1624"/>
    <w:multiLevelType w:val="hybridMultilevel"/>
    <w:tmpl w:val="18B8CFE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7"/>
  </w:num>
  <w:num w:numId="2">
    <w:abstractNumId w:val="8"/>
  </w:num>
  <w:num w:numId="3">
    <w:abstractNumId w:val="5"/>
  </w:num>
  <w:num w:numId="4">
    <w:abstractNumId w:val="9"/>
  </w:num>
  <w:num w:numId="5">
    <w:abstractNumId w:val="2"/>
  </w:num>
  <w:num w:numId="6">
    <w:abstractNumId w:val="11"/>
  </w:num>
  <w:num w:numId="7">
    <w:abstractNumId w:val="3"/>
  </w:num>
  <w:num w:numId="8">
    <w:abstractNumId w:val="10"/>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stylePaneFormatFilter w:val="3F01"/>
  <w:defaultTabStop w:val="720"/>
  <w:hyphenationZone w:val="144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42E4"/>
    <w:rsid w:val="00002F9D"/>
    <w:rsid w:val="0001317B"/>
    <w:rsid w:val="000156CF"/>
    <w:rsid w:val="00016CF7"/>
    <w:rsid w:val="000173DD"/>
    <w:rsid w:val="000217F9"/>
    <w:rsid w:val="00043E8B"/>
    <w:rsid w:val="00045717"/>
    <w:rsid w:val="000461D1"/>
    <w:rsid w:val="00046EAE"/>
    <w:rsid w:val="00047874"/>
    <w:rsid w:val="000512F3"/>
    <w:rsid w:val="00060B95"/>
    <w:rsid w:val="0006334F"/>
    <w:rsid w:val="00066E19"/>
    <w:rsid w:val="00067760"/>
    <w:rsid w:val="00067AC9"/>
    <w:rsid w:val="0007488D"/>
    <w:rsid w:val="000750CF"/>
    <w:rsid w:val="0007772C"/>
    <w:rsid w:val="00080077"/>
    <w:rsid w:val="00080248"/>
    <w:rsid w:val="0008492D"/>
    <w:rsid w:val="00090358"/>
    <w:rsid w:val="0009148D"/>
    <w:rsid w:val="00096803"/>
    <w:rsid w:val="000A3B11"/>
    <w:rsid w:val="000A6614"/>
    <w:rsid w:val="000B51FE"/>
    <w:rsid w:val="000B59B8"/>
    <w:rsid w:val="000B6A25"/>
    <w:rsid w:val="000C2A62"/>
    <w:rsid w:val="000C4A30"/>
    <w:rsid w:val="000C7127"/>
    <w:rsid w:val="000C7377"/>
    <w:rsid w:val="000D0FE6"/>
    <w:rsid w:val="000E0148"/>
    <w:rsid w:val="000E0AB5"/>
    <w:rsid w:val="000E29CE"/>
    <w:rsid w:val="000E6D83"/>
    <w:rsid w:val="000F2335"/>
    <w:rsid w:val="000F5BD5"/>
    <w:rsid w:val="00104FA7"/>
    <w:rsid w:val="001072C1"/>
    <w:rsid w:val="001076C4"/>
    <w:rsid w:val="001077E3"/>
    <w:rsid w:val="00115B4C"/>
    <w:rsid w:val="0012390C"/>
    <w:rsid w:val="00131987"/>
    <w:rsid w:val="00131FFC"/>
    <w:rsid w:val="00133193"/>
    <w:rsid w:val="00136FD6"/>
    <w:rsid w:val="001467BA"/>
    <w:rsid w:val="00146829"/>
    <w:rsid w:val="00147BE0"/>
    <w:rsid w:val="00161F21"/>
    <w:rsid w:val="0016462B"/>
    <w:rsid w:val="00164874"/>
    <w:rsid w:val="0016491C"/>
    <w:rsid w:val="001679FB"/>
    <w:rsid w:val="00170287"/>
    <w:rsid w:val="00170754"/>
    <w:rsid w:val="001732EB"/>
    <w:rsid w:val="0018149F"/>
    <w:rsid w:val="00183D58"/>
    <w:rsid w:val="0018536B"/>
    <w:rsid w:val="00192BB4"/>
    <w:rsid w:val="001A676F"/>
    <w:rsid w:val="001C3672"/>
    <w:rsid w:val="001C54BB"/>
    <w:rsid w:val="001D1AFE"/>
    <w:rsid w:val="001D29C2"/>
    <w:rsid w:val="001D608E"/>
    <w:rsid w:val="001E7845"/>
    <w:rsid w:val="001F0A6A"/>
    <w:rsid w:val="001F1665"/>
    <w:rsid w:val="001F1851"/>
    <w:rsid w:val="001F2C4F"/>
    <w:rsid w:val="001F3188"/>
    <w:rsid w:val="001F54DD"/>
    <w:rsid w:val="00203B54"/>
    <w:rsid w:val="00206C75"/>
    <w:rsid w:val="00206F72"/>
    <w:rsid w:val="002111F3"/>
    <w:rsid w:val="002123C3"/>
    <w:rsid w:val="00213465"/>
    <w:rsid w:val="002138E0"/>
    <w:rsid w:val="00213E04"/>
    <w:rsid w:val="00216416"/>
    <w:rsid w:val="00217C7A"/>
    <w:rsid w:val="00220996"/>
    <w:rsid w:val="00222818"/>
    <w:rsid w:val="00222C47"/>
    <w:rsid w:val="00223CCB"/>
    <w:rsid w:val="0022445B"/>
    <w:rsid w:val="00224720"/>
    <w:rsid w:val="002258FF"/>
    <w:rsid w:val="00230709"/>
    <w:rsid w:val="00236314"/>
    <w:rsid w:val="00237880"/>
    <w:rsid w:val="002647D3"/>
    <w:rsid w:val="00266F90"/>
    <w:rsid w:val="00271533"/>
    <w:rsid w:val="00275151"/>
    <w:rsid w:val="00284ABC"/>
    <w:rsid w:val="002A098B"/>
    <w:rsid w:val="002B0340"/>
    <w:rsid w:val="002C45AF"/>
    <w:rsid w:val="002C4FC8"/>
    <w:rsid w:val="002C705F"/>
    <w:rsid w:val="002C744C"/>
    <w:rsid w:val="002D1C56"/>
    <w:rsid w:val="002D2681"/>
    <w:rsid w:val="002D2E84"/>
    <w:rsid w:val="002D30CA"/>
    <w:rsid w:val="002E250E"/>
    <w:rsid w:val="002E272C"/>
    <w:rsid w:val="002E33DB"/>
    <w:rsid w:val="002F0F2A"/>
    <w:rsid w:val="002F708D"/>
    <w:rsid w:val="002F7357"/>
    <w:rsid w:val="002F7B76"/>
    <w:rsid w:val="00304603"/>
    <w:rsid w:val="00306F9D"/>
    <w:rsid w:val="003073BF"/>
    <w:rsid w:val="00313903"/>
    <w:rsid w:val="00313E06"/>
    <w:rsid w:val="003140BE"/>
    <w:rsid w:val="003151A3"/>
    <w:rsid w:val="0031620E"/>
    <w:rsid w:val="00320F0D"/>
    <w:rsid w:val="0032182F"/>
    <w:rsid w:val="003244CC"/>
    <w:rsid w:val="00330158"/>
    <w:rsid w:val="00333846"/>
    <w:rsid w:val="00337F9D"/>
    <w:rsid w:val="00342D62"/>
    <w:rsid w:val="00347730"/>
    <w:rsid w:val="00350D94"/>
    <w:rsid w:val="00351AE8"/>
    <w:rsid w:val="0036631E"/>
    <w:rsid w:val="003678ED"/>
    <w:rsid w:val="0037381A"/>
    <w:rsid w:val="003746FE"/>
    <w:rsid w:val="00374D4A"/>
    <w:rsid w:val="00375AB1"/>
    <w:rsid w:val="003814CE"/>
    <w:rsid w:val="00384FD8"/>
    <w:rsid w:val="0038655D"/>
    <w:rsid w:val="00387740"/>
    <w:rsid w:val="003917B9"/>
    <w:rsid w:val="00391D80"/>
    <w:rsid w:val="00396A86"/>
    <w:rsid w:val="003A20BF"/>
    <w:rsid w:val="003B2C31"/>
    <w:rsid w:val="003B2FF0"/>
    <w:rsid w:val="003B3D81"/>
    <w:rsid w:val="003B42E4"/>
    <w:rsid w:val="003C27AA"/>
    <w:rsid w:val="003D0ECA"/>
    <w:rsid w:val="003D35C7"/>
    <w:rsid w:val="003D4F89"/>
    <w:rsid w:val="003D64A4"/>
    <w:rsid w:val="003E3179"/>
    <w:rsid w:val="003E4C9E"/>
    <w:rsid w:val="003F19AA"/>
    <w:rsid w:val="003F34DE"/>
    <w:rsid w:val="00401F6E"/>
    <w:rsid w:val="00405879"/>
    <w:rsid w:val="0041658E"/>
    <w:rsid w:val="004170F7"/>
    <w:rsid w:val="00417868"/>
    <w:rsid w:val="00420E6B"/>
    <w:rsid w:val="00424E6A"/>
    <w:rsid w:val="004267D7"/>
    <w:rsid w:val="00427D88"/>
    <w:rsid w:val="00427F2F"/>
    <w:rsid w:val="0043288F"/>
    <w:rsid w:val="0044027D"/>
    <w:rsid w:val="00442079"/>
    <w:rsid w:val="00442698"/>
    <w:rsid w:val="004455B8"/>
    <w:rsid w:val="00452393"/>
    <w:rsid w:val="00460E70"/>
    <w:rsid w:val="004661A9"/>
    <w:rsid w:val="00467C59"/>
    <w:rsid w:val="00470643"/>
    <w:rsid w:val="004723C3"/>
    <w:rsid w:val="004725B5"/>
    <w:rsid w:val="004836A9"/>
    <w:rsid w:val="00484005"/>
    <w:rsid w:val="004845F8"/>
    <w:rsid w:val="00485F80"/>
    <w:rsid w:val="00487DA7"/>
    <w:rsid w:val="00487DB0"/>
    <w:rsid w:val="0049635D"/>
    <w:rsid w:val="004974CF"/>
    <w:rsid w:val="004A1F3C"/>
    <w:rsid w:val="004A23F1"/>
    <w:rsid w:val="004A2D27"/>
    <w:rsid w:val="004A47DB"/>
    <w:rsid w:val="004A4D2E"/>
    <w:rsid w:val="004A5915"/>
    <w:rsid w:val="004B0BBF"/>
    <w:rsid w:val="004B0DF4"/>
    <w:rsid w:val="004B183B"/>
    <w:rsid w:val="004B24B5"/>
    <w:rsid w:val="004B6A90"/>
    <w:rsid w:val="004C1841"/>
    <w:rsid w:val="004C54A6"/>
    <w:rsid w:val="004C7129"/>
    <w:rsid w:val="004D64BA"/>
    <w:rsid w:val="004E07DC"/>
    <w:rsid w:val="004E224B"/>
    <w:rsid w:val="004E7290"/>
    <w:rsid w:val="004F0546"/>
    <w:rsid w:val="004F5828"/>
    <w:rsid w:val="004F69E3"/>
    <w:rsid w:val="004F7C3A"/>
    <w:rsid w:val="0051418B"/>
    <w:rsid w:val="005152EF"/>
    <w:rsid w:val="00515535"/>
    <w:rsid w:val="00521830"/>
    <w:rsid w:val="00522748"/>
    <w:rsid w:val="005231BD"/>
    <w:rsid w:val="00536079"/>
    <w:rsid w:val="00543B2E"/>
    <w:rsid w:val="00543BE8"/>
    <w:rsid w:val="00544C2C"/>
    <w:rsid w:val="005466C0"/>
    <w:rsid w:val="00546D2E"/>
    <w:rsid w:val="0054759F"/>
    <w:rsid w:val="005517D3"/>
    <w:rsid w:val="00551C84"/>
    <w:rsid w:val="00556B1C"/>
    <w:rsid w:val="00556CD3"/>
    <w:rsid w:val="00562709"/>
    <w:rsid w:val="00563497"/>
    <w:rsid w:val="00564765"/>
    <w:rsid w:val="0056683E"/>
    <w:rsid w:val="00566F50"/>
    <w:rsid w:val="00567FC2"/>
    <w:rsid w:val="00570D23"/>
    <w:rsid w:val="0057109F"/>
    <w:rsid w:val="00571959"/>
    <w:rsid w:val="00571A59"/>
    <w:rsid w:val="005730C6"/>
    <w:rsid w:val="00585714"/>
    <w:rsid w:val="005909D7"/>
    <w:rsid w:val="00591AAD"/>
    <w:rsid w:val="005A035E"/>
    <w:rsid w:val="005A6829"/>
    <w:rsid w:val="005B2289"/>
    <w:rsid w:val="005B2AA7"/>
    <w:rsid w:val="005B769A"/>
    <w:rsid w:val="005B786D"/>
    <w:rsid w:val="005C6D5D"/>
    <w:rsid w:val="005D184F"/>
    <w:rsid w:val="005D623C"/>
    <w:rsid w:val="005D6DFE"/>
    <w:rsid w:val="005E0B95"/>
    <w:rsid w:val="005F5AEB"/>
    <w:rsid w:val="005F6DBA"/>
    <w:rsid w:val="005F7270"/>
    <w:rsid w:val="005F73CC"/>
    <w:rsid w:val="005F7754"/>
    <w:rsid w:val="00606841"/>
    <w:rsid w:val="006079AB"/>
    <w:rsid w:val="00615CA5"/>
    <w:rsid w:val="00616539"/>
    <w:rsid w:val="00617A0A"/>
    <w:rsid w:val="00627130"/>
    <w:rsid w:val="0062788E"/>
    <w:rsid w:val="00631548"/>
    <w:rsid w:val="00632E44"/>
    <w:rsid w:val="00636F60"/>
    <w:rsid w:val="0064164B"/>
    <w:rsid w:val="006507B5"/>
    <w:rsid w:val="00653E00"/>
    <w:rsid w:val="0066511E"/>
    <w:rsid w:val="006706CE"/>
    <w:rsid w:val="00671990"/>
    <w:rsid w:val="006721D3"/>
    <w:rsid w:val="00682078"/>
    <w:rsid w:val="00685A2A"/>
    <w:rsid w:val="00692182"/>
    <w:rsid w:val="00692AC8"/>
    <w:rsid w:val="00695EF7"/>
    <w:rsid w:val="00697757"/>
    <w:rsid w:val="006A006C"/>
    <w:rsid w:val="006A324D"/>
    <w:rsid w:val="006A48A5"/>
    <w:rsid w:val="006A7689"/>
    <w:rsid w:val="006B06DB"/>
    <w:rsid w:val="006B07C8"/>
    <w:rsid w:val="006B23AD"/>
    <w:rsid w:val="006B4B14"/>
    <w:rsid w:val="006B6925"/>
    <w:rsid w:val="006B6DDB"/>
    <w:rsid w:val="006B799F"/>
    <w:rsid w:val="006C0E0E"/>
    <w:rsid w:val="006C2A98"/>
    <w:rsid w:val="006D4636"/>
    <w:rsid w:val="006D5433"/>
    <w:rsid w:val="006D7CE7"/>
    <w:rsid w:val="006F15C7"/>
    <w:rsid w:val="007008A4"/>
    <w:rsid w:val="00701016"/>
    <w:rsid w:val="00702E4F"/>
    <w:rsid w:val="00704913"/>
    <w:rsid w:val="00706848"/>
    <w:rsid w:val="0071088D"/>
    <w:rsid w:val="00724FD2"/>
    <w:rsid w:val="00725458"/>
    <w:rsid w:val="007302F9"/>
    <w:rsid w:val="007405DE"/>
    <w:rsid w:val="00740769"/>
    <w:rsid w:val="00741D5B"/>
    <w:rsid w:val="00750E31"/>
    <w:rsid w:val="00751707"/>
    <w:rsid w:val="0075577F"/>
    <w:rsid w:val="0075795F"/>
    <w:rsid w:val="007624B0"/>
    <w:rsid w:val="00763ACB"/>
    <w:rsid w:val="00763B2C"/>
    <w:rsid w:val="007675E4"/>
    <w:rsid w:val="00774B22"/>
    <w:rsid w:val="00774B9B"/>
    <w:rsid w:val="00780313"/>
    <w:rsid w:val="00782319"/>
    <w:rsid w:val="00782AF6"/>
    <w:rsid w:val="007A1A88"/>
    <w:rsid w:val="007A1E22"/>
    <w:rsid w:val="007A268B"/>
    <w:rsid w:val="007A2A93"/>
    <w:rsid w:val="007A2C64"/>
    <w:rsid w:val="007A718A"/>
    <w:rsid w:val="007A7302"/>
    <w:rsid w:val="007A78B0"/>
    <w:rsid w:val="007B2B9C"/>
    <w:rsid w:val="007B3121"/>
    <w:rsid w:val="007B58E6"/>
    <w:rsid w:val="007C189C"/>
    <w:rsid w:val="007C4D3A"/>
    <w:rsid w:val="007C573F"/>
    <w:rsid w:val="007D14AA"/>
    <w:rsid w:val="007E0E0A"/>
    <w:rsid w:val="007E33D4"/>
    <w:rsid w:val="007E4A5B"/>
    <w:rsid w:val="007E540F"/>
    <w:rsid w:val="007E6E40"/>
    <w:rsid w:val="007E72CA"/>
    <w:rsid w:val="007E7655"/>
    <w:rsid w:val="007E79F5"/>
    <w:rsid w:val="0080010A"/>
    <w:rsid w:val="00802277"/>
    <w:rsid w:val="00807CC8"/>
    <w:rsid w:val="008107D3"/>
    <w:rsid w:val="00811024"/>
    <w:rsid w:val="00811585"/>
    <w:rsid w:val="00813DA6"/>
    <w:rsid w:val="008201CE"/>
    <w:rsid w:val="008215A5"/>
    <w:rsid w:val="00821E13"/>
    <w:rsid w:val="00843752"/>
    <w:rsid w:val="00844ACA"/>
    <w:rsid w:val="008501D7"/>
    <w:rsid w:val="00852954"/>
    <w:rsid w:val="00861C80"/>
    <w:rsid w:val="00863CA9"/>
    <w:rsid w:val="008646B2"/>
    <w:rsid w:val="008661AA"/>
    <w:rsid w:val="00867EE5"/>
    <w:rsid w:val="00870975"/>
    <w:rsid w:val="00871ECD"/>
    <w:rsid w:val="008916B0"/>
    <w:rsid w:val="008A1EA0"/>
    <w:rsid w:val="008A6FF6"/>
    <w:rsid w:val="008B1FC1"/>
    <w:rsid w:val="008B4031"/>
    <w:rsid w:val="008B51DE"/>
    <w:rsid w:val="008B59E2"/>
    <w:rsid w:val="008B766E"/>
    <w:rsid w:val="008C2FA2"/>
    <w:rsid w:val="008D0601"/>
    <w:rsid w:val="008D31F4"/>
    <w:rsid w:val="008E1AD2"/>
    <w:rsid w:val="008F0DA5"/>
    <w:rsid w:val="008F1B55"/>
    <w:rsid w:val="008F5D13"/>
    <w:rsid w:val="008F6BC0"/>
    <w:rsid w:val="00900F8C"/>
    <w:rsid w:val="00903E3E"/>
    <w:rsid w:val="0091070A"/>
    <w:rsid w:val="009121F2"/>
    <w:rsid w:val="00913774"/>
    <w:rsid w:val="0091594F"/>
    <w:rsid w:val="00916264"/>
    <w:rsid w:val="00917D79"/>
    <w:rsid w:val="009267D2"/>
    <w:rsid w:val="00927487"/>
    <w:rsid w:val="00927D1C"/>
    <w:rsid w:val="00931034"/>
    <w:rsid w:val="00933625"/>
    <w:rsid w:val="009413F4"/>
    <w:rsid w:val="00941E89"/>
    <w:rsid w:val="00943200"/>
    <w:rsid w:val="00947951"/>
    <w:rsid w:val="0095020F"/>
    <w:rsid w:val="00951D7A"/>
    <w:rsid w:val="00954B11"/>
    <w:rsid w:val="00955339"/>
    <w:rsid w:val="00955760"/>
    <w:rsid w:val="009573EE"/>
    <w:rsid w:val="009600F0"/>
    <w:rsid w:val="009625BC"/>
    <w:rsid w:val="00962C30"/>
    <w:rsid w:val="00964581"/>
    <w:rsid w:val="00970849"/>
    <w:rsid w:val="0097166F"/>
    <w:rsid w:val="00974674"/>
    <w:rsid w:val="009752D1"/>
    <w:rsid w:val="00991F4F"/>
    <w:rsid w:val="0099202D"/>
    <w:rsid w:val="009A6CB0"/>
    <w:rsid w:val="009A6E4C"/>
    <w:rsid w:val="009C1AE8"/>
    <w:rsid w:val="009C4443"/>
    <w:rsid w:val="009C57F6"/>
    <w:rsid w:val="009C7B71"/>
    <w:rsid w:val="009D20BE"/>
    <w:rsid w:val="009D429F"/>
    <w:rsid w:val="009E485D"/>
    <w:rsid w:val="009E5C61"/>
    <w:rsid w:val="009F3E92"/>
    <w:rsid w:val="00A06593"/>
    <w:rsid w:val="00A11F3F"/>
    <w:rsid w:val="00A13160"/>
    <w:rsid w:val="00A149A9"/>
    <w:rsid w:val="00A1510B"/>
    <w:rsid w:val="00A176E0"/>
    <w:rsid w:val="00A21F41"/>
    <w:rsid w:val="00A2394B"/>
    <w:rsid w:val="00A268EF"/>
    <w:rsid w:val="00A3096E"/>
    <w:rsid w:val="00A36911"/>
    <w:rsid w:val="00A43EE5"/>
    <w:rsid w:val="00A44D5B"/>
    <w:rsid w:val="00A45F2B"/>
    <w:rsid w:val="00A51FB6"/>
    <w:rsid w:val="00A56EE0"/>
    <w:rsid w:val="00A6024A"/>
    <w:rsid w:val="00A62D7B"/>
    <w:rsid w:val="00A6523D"/>
    <w:rsid w:val="00A67533"/>
    <w:rsid w:val="00A7083B"/>
    <w:rsid w:val="00A70F94"/>
    <w:rsid w:val="00A7179A"/>
    <w:rsid w:val="00A7208A"/>
    <w:rsid w:val="00A72252"/>
    <w:rsid w:val="00A76221"/>
    <w:rsid w:val="00A819D1"/>
    <w:rsid w:val="00A829B3"/>
    <w:rsid w:val="00A8520A"/>
    <w:rsid w:val="00A93CE3"/>
    <w:rsid w:val="00AA13C5"/>
    <w:rsid w:val="00AA1659"/>
    <w:rsid w:val="00AA25EE"/>
    <w:rsid w:val="00AA58C2"/>
    <w:rsid w:val="00AA747E"/>
    <w:rsid w:val="00AB2DF5"/>
    <w:rsid w:val="00AC203B"/>
    <w:rsid w:val="00AC5C02"/>
    <w:rsid w:val="00AC687E"/>
    <w:rsid w:val="00AC6ED7"/>
    <w:rsid w:val="00AD1485"/>
    <w:rsid w:val="00AD21BD"/>
    <w:rsid w:val="00AD2B39"/>
    <w:rsid w:val="00AD4BB8"/>
    <w:rsid w:val="00AE0D13"/>
    <w:rsid w:val="00AE42EC"/>
    <w:rsid w:val="00AE6C52"/>
    <w:rsid w:val="00AE7FE9"/>
    <w:rsid w:val="00AF3C38"/>
    <w:rsid w:val="00AF4024"/>
    <w:rsid w:val="00AF4ECB"/>
    <w:rsid w:val="00AF68EA"/>
    <w:rsid w:val="00AF6C88"/>
    <w:rsid w:val="00B038D2"/>
    <w:rsid w:val="00B058EA"/>
    <w:rsid w:val="00B059B7"/>
    <w:rsid w:val="00B07449"/>
    <w:rsid w:val="00B102A9"/>
    <w:rsid w:val="00B109E7"/>
    <w:rsid w:val="00B1372B"/>
    <w:rsid w:val="00B15602"/>
    <w:rsid w:val="00B23205"/>
    <w:rsid w:val="00B27FB7"/>
    <w:rsid w:val="00B309E2"/>
    <w:rsid w:val="00B35120"/>
    <w:rsid w:val="00B3622D"/>
    <w:rsid w:val="00B416ED"/>
    <w:rsid w:val="00B4213B"/>
    <w:rsid w:val="00B4468D"/>
    <w:rsid w:val="00B47509"/>
    <w:rsid w:val="00B500AC"/>
    <w:rsid w:val="00B54109"/>
    <w:rsid w:val="00B55B88"/>
    <w:rsid w:val="00B5638F"/>
    <w:rsid w:val="00B63224"/>
    <w:rsid w:val="00B64664"/>
    <w:rsid w:val="00B74051"/>
    <w:rsid w:val="00B7607C"/>
    <w:rsid w:val="00B82927"/>
    <w:rsid w:val="00B829F3"/>
    <w:rsid w:val="00B85201"/>
    <w:rsid w:val="00B85554"/>
    <w:rsid w:val="00B856FA"/>
    <w:rsid w:val="00B9409A"/>
    <w:rsid w:val="00B96E09"/>
    <w:rsid w:val="00B975E6"/>
    <w:rsid w:val="00B97C03"/>
    <w:rsid w:val="00BA03CB"/>
    <w:rsid w:val="00BA46BC"/>
    <w:rsid w:val="00BA51B4"/>
    <w:rsid w:val="00BA6CAB"/>
    <w:rsid w:val="00BA7493"/>
    <w:rsid w:val="00BA7C95"/>
    <w:rsid w:val="00BB1BB0"/>
    <w:rsid w:val="00BB2FA4"/>
    <w:rsid w:val="00BB3275"/>
    <w:rsid w:val="00BB4C2B"/>
    <w:rsid w:val="00BB4CF0"/>
    <w:rsid w:val="00BB6896"/>
    <w:rsid w:val="00BC510D"/>
    <w:rsid w:val="00BC56AD"/>
    <w:rsid w:val="00BC5842"/>
    <w:rsid w:val="00BC73CE"/>
    <w:rsid w:val="00BD15F7"/>
    <w:rsid w:val="00BE5C8F"/>
    <w:rsid w:val="00BE712B"/>
    <w:rsid w:val="00BF1666"/>
    <w:rsid w:val="00BF1DC2"/>
    <w:rsid w:val="00BF2F8E"/>
    <w:rsid w:val="00BF3844"/>
    <w:rsid w:val="00BF3C32"/>
    <w:rsid w:val="00BF771F"/>
    <w:rsid w:val="00C025B8"/>
    <w:rsid w:val="00C104AF"/>
    <w:rsid w:val="00C13C34"/>
    <w:rsid w:val="00C13E9F"/>
    <w:rsid w:val="00C14D52"/>
    <w:rsid w:val="00C20B37"/>
    <w:rsid w:val="00C30F89"/>
    <w:rsid w:val="00C45002"/>
    <w:rsid w:val="00C47793"/>
    <w:rsid w:val="00C53F3A"/>
    <w:rsid w:val="00C65623"/>
    <w:rsid w:val="00C658A0"/>
    <w:rsid w:val="00C658B5"/>
    <w:rsid w:val="00C65A73"/>
    <w:rsid w:val="00C660E4"/>
    <w:rsid w:val="00C730CC"/>
    <w:rsid w:val="00C739B5"/>
    <w:rsid w:val="00C82C57"/>
    <w:rsid w:val="00C85EBC"/>
    <w:rsid w:val="00C95106"/>
    <w:rsid w:val="00C95E1A"/>
    <w:rsid w:val="00CA11D4"/>
    <w:rsid w:val="00CA3A3B"/>
    <w:rsid w:val="00CB740D"/>
    <w:rsid w:val="00CC7440"/>
    <w:rsid w:val="00CD5F8A"/>
    <w:rsid w:val="00CD60D3"/>
    <w:rsid w:val="00CD653E"/>
    <w:rsid w:val="00CD790C"/>
    <w:rsid w:val="00CE456D"/>
    <w:rsid w:val="00CF5FE7"/>
    <w:rsid w:val="00CF7B21"/>
    <w:rsid w:val="00D05147"/>
    <w:rsid w:val="00D064F8"/>
    <w:rsid w:val="00D06C36"/>
    <w:rsid w:val="00D10B36"/>
    <w:rsid w:val="00D120A4"/>
    <w:rsid w:val="00D15F72"/>
    <w:rsid w:val="00D202D2"/>
    <w:rsid w:val="00D206B0"/>
    <w:rsid w:val="00D20DBC"/>
    <w:rsid w:val="00D238C0"/>
    <w:rsid w:val="00D25B82"/>
    <w:rsid w:val="00D3159A"/>
    <w:rsid w:val="00D35D91"/>
    <w:rsid w:val="00D371C1"/>
    <w:rsid w:val="00D377C1"/>
    <w:rsid w:val="00D460D1"/>
    <w:rsid w:val="00D46939"/>
    <w:rsid w:val="00D50538"/>
    <w:rsid w:val="00D6273C"/>
    <w:rsid w:val="00D62D95"/>
    <w:rsid w:val="00D65DDD"/>
    <w:rsid w:val="00D665E4"/>
    <w:rsid w:val="00D701F4"/>
    <w:rsid w:val="00D75A92"/>
    <w:rsid w:val="00D77BA5"/>
    <w:rsid w:val="00D84022"/>
    <w:rsid w:val="00D939DC"/>
    <w:rsid w:val="00D94943"/>
    <w:rsid w:val="00D951D7"/>
    <w:rsid w:val="00DA572B"/>
    <w:rsid w:val="00DA6281"/>
    <w:rsid w:val="00DA6A74"/>
    <w:rsid w:val="00DB0781"/>
    <w:rsid w:val="00DC0603"/>
    <w:rsid w:val="00DC289C"/>
    <w:rsid w:val="00DC31C0"/>
    <w:rsid w:val="00DC3364"/>
    <w:rsid w:val="00DC4594"/>
    <w:rsid w:val="00DC52E4"/>
    <w:rsid w:val="00DC5A51"/>
    <w:rsid w:val="00DD2A96"/>
    <w:rsid w:val="00DD3CA1"/>
    <w:rsid w:val="00DD4DCB"/>
    <w:rsid w:val="00DD5474"/>
    <w:rsid w:val="00DD581A"/>
    <w:rsid w:val="00DD68C5"/>
    <w:rsid w:val="00DE334E"/>
    <w:rsid w:val="00DE5265"/>
    <w:rsid w:val="00DE6907"/>
    <w:rsid w:val="00DF7D75"/>
    <w:rsid w:val="00E01F0D"/>
    <w:rsid w:val="00E01FEB"/>
    <w:rsid w:val="00E06C98"/>
    <w:rsid w:val="00E10D34"/>
    <w:rsid w:val="00E133D3"/>
    <w:rsid w:val="00E17303"/>
    <w:rsid w:val="00E20B71"/>
    <w:rsid w:val="00E20E3C"/>
    <w:rsid w:val="00E22CE8"/>
    <w:rsid w:val="00E242DD"/>
    <w:rsid w:val="00E2495A"/>
    <w:rsid w:val="00E252D1"/>
    <w:rsid w:val="00E341FA"/>
    <w:rsid w:val="00E36B36"/>
    <w:rsid w:val="00E371E2"/>
    <w:rsid w:val="00E37753"/>
    <w:rsid w:val="00E43663"/>
    <w:rsid w:val="00E4416D"/>
    <w:rsid w:val="00E4786F"/>
    <w:rsid w:val="00E52D73"/>
    <w:rsid w:val="00E54AFF"/>
    <w:rsid w:val="00E5777A"/>
    <w:rsid w:val="00E60401"/>
    <w:rsid w:val="00E650C7"/>
    <w:rsid w:val="00E66290"/>
    <w:rsid w:val="00E67AA0"/>
    <w:rsid w:val="00E74534"/>
    <w:rsid w:val="00E82AB6"/>
    <w:rsid w:val="00E84165"/>
    <w:rsid w:val="00EA3150"/>
    <w:rsid w:val="00EB01BC"/>
    <w:rsid w:val="00EB1010"/>
    <w:rsid w:val="00EB11D5"/>
    <w:rsid w:val="00EB2535"/>
    <w:rsid w:val="00EC1411"/>
    <w:rsid w:val="00EC6FBD"/>
    <w:rsid w:val="00ED2285"/>
    <w:rsid w:val="00ED242A"/>
    <w:rsid w:val="00ED4AFE"/>
    <w:rsid w:val="00ED74F0"/>
    <w:rsid w:val="00EE16ED"/>
    <w:rsid w:val="00EE3BD2"/>
    <w:rsid w:val="00EE5CCE"/>
    <w:rsid w:val="00EE6B60"/>
    <w:rsid w:val="00EF376B"/>
    <w:rsid w:val="00EF3C18"/>
    <w:rsid w:val="00F00097"/>
    <w:rsid w:val="00F01D27"/>
    <w:rsid w:val="00F01FEA"/>
    <w:rsid w:val="00F053E7"/>
    <w:rsid w:val="00F05B0F"/>
    <w:rsid w:val="00F106E4"/>
    <w:rsid w:val="00F16838"/>
    <w:rsid w:val="00F170F0"/>
    <w:rsid w:val="00F17642"/>
    <w:rsid w:val="00F17979"/>
    <w:rsid w:val="00F21A25"/>
    <w:rsid w:val="00F221CB"/>
    <w:rsid w:val="00F239F0"/>
    <w:rsid w:val="00F25345"/>
    <w:rsid w:val="00F32348"/>
    <w:rsid w:val="00F328E5"/>
    <w:rsid w:val="00F33F43"/>
    <w:rsid w:val="00F36549"/>
    <w:rsid w:val="00F4159F"/>
    <w:rsid w:val="00F41CB6"/>
    <w:rsid w:val="00F4336A"/>
    <w:rsid w:val="00F43497"/>
    <w:rsid w:val="00F43A59"/>
    <w:rsid w:val="00F440A3"/>
    <w:rsid w:val="00F44CC0"/>
    <w:rsid w:val="00F44E2C"/>
    <w:rsid w:val="00F5229E"/>
    <w:rsid w:val="00F52DDC"/>
    <w:rsid w:val="00F532F5"/>
    <w:rsid w:val="00F61B4A"/>
    <w:rsid w:val="00F63D75"/>
    <w:rsid w:val="00F64659"/>
    <w:rsid w:val="00F66B91"/>
    <w:rsid w:val="00F700F6"/>
    <w:rsid w:val="00F7212B"/>
    <w:rsid w:val="00F731D6"/>
    <w:rsid w:val="00F744DE"/>
    <w:rsid w:val="00F744E4"/>
    <w:rsid w:val="00F74D11"/>
    <w:rsid w:val="00F75285"/>
    <w:rsid w:val="00F814DA"/>
    <w:rsid w:val="00F91F2A"/>
    <w:rsid w:val="00F95756"/>
    <w:rsid w:val="00F959BE"/>
    <w:rsid w:val="00FA06FE"/>
    <w:rsid w:val="00FA09F5"/>
    <w:rsid w:val="00FA27CB"/>
    <w:rsid w:val="00FA2DB8"/>
    <w:rsid w:val="00FC4947"/>
    <w:rsid w:val="00FC5195"/>
    <w:rsid w:val="00FC6381"/>
    <w:rsid w:val="00FD4067"/>
    <w:rsid w:val="00FD4138"/>
    <w:rsid w:val="00FD42C5"/>
    <w:rsid w:val="00FD58DC"/>
    <w:rsid w:val="00FD5BD5"/>
    <w:rsid w:val="00FE43E1"/>
    <w:rsid w:val="00FF11F2"/>
    <w:rsid w:val="00FF6A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A46BC"/>
    <w:pPr>
      <w:spacing w:line="480" w:lineRule="atLeast"/>
      <w:ind w:firstLine="720"/>
    </w:pPr>
    <w:rPr>
      <w:rFonts w:ascii="Times New Roman" w:hAnsi="Times New Roman"/>
      <w:sz w:val="24"/>
      <w:szCs w:val="20"/>
    </w:rPr>
  </w:style>
  <w:style w:type="paragraph" w:styleId="Heading1">
    <w:name w:val="heading 1"/>
    <w:basedOn w:val="Heading2"/>
    <w:next w:val="Normal"/>
    <w:link w:val="Heading1Char"/>
    <w:uiPriority w:val="99"/>
    <w:qFormat/>
    <w:rsid w:val="00BA46BC"/>
    <w:pPr>
      <w:ind w:firstLine="0"/>
      <w:jc w:val="center"/>
      <w:outlineLvl w:val="0"/>
    </w:pPr>
  </w:style>
  <w:style w:type="paragraph" w:styleId="Heading2">
    <w:name w:val="heading 2"/>
    <w:basedOn w:val="single"/>
    <w:next w:val="Normal"/>
    <w:link w:val="Heading2Char"/>
    <w:uiPriority w:val="99"/>
    <w:qFormat/>
    <w:rsid w:val="00BA46BC"/>
    <w:pPr>
      <w:keepNext/>
      <w:keepLines/>
      <w:ind w:left="720" w:right="720" w:hanging="720"/>
      <w:outlineLvl w:val="1"/>
    </w:pPr>
    <w:rPr>
      <w:b/>
    </w:rPr>
  </w:style>
  <w:style w:type="paragraph" w:styleId="Heading3">
    <w:name w:val="heading 3"/>
    <w:basedOn w:val="Heading2"/>
    <w:next w:val="Normal"/>
    <w:link w:val="Heading3Char"/>
    <w:uiPriority w:val="99"/>
    <w:qFormat/>
    <w:rsid w:val="00BA46BC"/>
    <w:pPr>
      <w:ind w:left="1440"/>
      <w:outlineLvl w:val="2"/>
    </w:pPr>
  </w:style>
  <w:style w:type="paragraph" w:styleId="Heading4">
    <w:name w:val="heading 4"/>
    <w:basedOn w:val="Heading3"/>
    <w:next w:val="Normal"/>
    <w:link w:val="Heading4Char"/>
    <w:uiPriority w:val="99"/>
    <w:qFormat/>
    <w:rsid w:val="00BA46BC"/>
    <w:pPr>
      <w:ind w:left="2160"/>
      <w:outlineLvl w:val="3"/>
    </w:pPr>
  </w:style>
  <w:style w:type="paragraph" w:styleId="Heading5">
    <w:name w:val="heading 5"/>
    <w:basedOn w:val="Heading4"/>
    <w:next w:val="Normal"/>
    <w:link w:val="Heading5Char"/>
    <w:uiPriority w:val="99"/>
    <w:qFormat/>
    <w:rsid w:val="00BA46BC"/>
    <w:pPr>
      <w:ind w:left="2880"/>
      <w:outlineLvl w:val="4"/>
    </w:pPr>
  </w:style>
  <w:style w:type="paragraph" w:styleId="Heading6">
    <w:name w:val="heading 6"/>
    <w:basedOn w:val="Heading5"/>
    <w:next w:val="Normal"/>
    <w:link w:val="Heading6Char"/>
    <w:uiPriority w:val="99"/>
    <w:qFormat/>
    <w:rsid w:val="00BA46BC"/>
    <w:pPr>
      <w:ind w:left="3600"/>
      <w:outlineLvl w:val="5"/>
    </w:pPr>
  </w:style>
  <w:style w:type="paragraph" w:styleId="Heading7">
    <w:name w:val="heading 7"/>
    <w:basedOn w:val="Heading6"/>
    <w:next w:val="Normal"/>
    <w:link w:val="Heading7Char"/>
    <w:uiPriority w:val="99"/>
    <w:qFormat/>
    <w:rsid w:val="00BA46BC"/>
    <w:pPr>
      <w:ind w:left="4320"/>
      <w:outlineLvl w:val="6"/>
    </w:pPr>
  </w:style>
  <w:style w:type="paragraph" w:styleId="Heading8">
    <w:name w:val="heading 8"/>
    <w:basedOn w:val="Heading6"/>
    <w:next w:val="Normal"/>
    <w:link w:val="Heading8Char"/>
    <w:uiPriority w:val="99"/>
    <w:qFormat/>
    <w:rsid w:val="00BA46BC"/>
    <w:pPr>
      <w:ind w:left="5040"/>
      <w:outlineLvl w:val="7"/>
    </w:pPr>
  </w:style>
  <w:style w:type="paragraph" w:styleId="Heading9">
    <w:name w:val="heading 9"/>
    <w:basedOn w:val="Heading6"/>
    <w:next w:val="Normal"/>
    <w:link w:val="Heading9Char"/>
    <w:uiPriority w:val="99"/>
    <w:qFormat/>
    <w:rsid w:val="00BA46BC"/>
    <w:pPr>
      <w:ind w:left="576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1C5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D1C5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D1C5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D1C56"/>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D1C56"/>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2D1C56"/>
    <w:rPr>
      <w:rFonts w:ascii="Calibri" w:hAnsi="Calibri" w:cs="Times New Roman"/>
      <w:b/>
      <w:bCs/>
    </w:rPr>
  </w:style>
  <w:style w:type="character" w:customStyle="1" w:styleId="Heading7Char">
    <w:name w:val="Heading 7 Char"/>
    <w:basedOn w:val="DefaultParagraphFont"/>
    <w:link w:val="Heading7"/>
    <w:uiPriority w:val="99"/>
    <w:semiHidden/>
    <w:locked/>
    <w:rsid w:val="002D1C56"/>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2D1C56"/>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2D1C56"/>
    <w:rPr>
      <w:rFonts w:ascii="Cambria" w:hAnsi="Cambria" w:cs="Times New Roman"/>
    </w:rPr>
  </w:style>
  <w:style w:type="paragraph" w:customStyle="1" w:styleId="single">
    <w:name w:val="single"/>
    <w:basedOn w:val="Normal"/>
    <w:uiPriority w:val="99"/>
    <w:rsid w:val="00BA46BC"/>
    <w:pPr>
      <w:spacing w:before="240" w:line="240" w:lineRule="atLeast"/>
    </w:pPr>
  </w:style>
  <w:style w:type="character" w:styleId="CommentReference">
    <w:name w:val="annotation reference"/>
    <w:basedOn w:val="DefaultParagraphFont"/>
    <w:uiPriority w:val="99"/>
    <w:semiHidden/>
    <w:rsid w:val="00BA46BC"/>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BA46BC"/>
  </w:style>
  <w:style w:type="character" w:customStyle="1" w:styleId="CommentTextChar">
    <w:name w:val="Comment Text Char"/>
    <w:basedOn w:val="DefaultParagraphFont"/>
    <w:link w:val="CommentText"/>
    <w:uiPriority w:val="99"/>
    <w:semiHidden/>
    <w:locked/>
    <w:rsid w:val="002D1C56"/>
    <w:rPr>
      <w:rFonts w:ascii="Times New Roman" w:hAnsi="Times New Roman" w:cs="Times New Roman"/>
      <w:sz w:val="20"/>
      <w:szCs w:val="20"/>
    </w:rPr>
  </w:style>
  <w:style w:type="paragraph" w:styleId="FootnoteText">
    <w:name w:val="footnote text"/>
    <w:basedOn w:val="single"/>
    <w:link w:val="FootnoteTextChar"/>
    <w:uiPriority w:val="99"/>
    <w:semiHidden/>
    <w:rsid w:val="00BA46BC"/>
    <w:rPr>
      <w:sz w:val="22"/>
    </w:rPr>
  </w:style>
  <w:style w:type="character" w:customStyle="1" w:styleId="FootnoteTextChar">
    <w:name w:val="Footnote Text Char"/>
    <w:basedOn w:val="DefaultParagraphFont"/>
    <w:link w:val="FootnoteText"/>
    <w:uiPriority w:val="99"/>
    <w:semiHidden/>
    <w:locked/>
    <w:rsid w:val="002D1C56"/>
    <w:rPr>
      <w:rFonts w:ascii="Times New Roman" w:hAnsi="Times New Roman" w:cs="Times New Roman"/>
      <w:sz w:val="20"/>
      <w:szCs w:val="20"/>
    </w:rPr>
  </w:style>
  <w:style w:type="paragraph" w:styleId="TOC7">
    <w:name w:val="toc 7"/>
    <w:basedOn w:val="TOC4"/>
    <w:uiPriority w:val="99"/>
    <w:semiHidden/>
    <w:rsid w:val="00BA46BC"/>
    <w:pPr>
      <w:ind w:left="5040"/>
    </w:pPr>
  </w:style>
  <w:style w:type="paragraph" w:styleId="TOC4">
    <w:name w:val="toc 4"/>
    <w:basedOn w:val="TOC3"/>
    <w:uiPriority w:val="99"/>
    <w:semiHidden/>
    <w:rsid w:val="00BA46BC"/>
    <w:pPr>
      <w:ind w:left="2880"/>
    </w:pPr>
  </w:style>
  <w:style w:type="paragraph" w:styleId="TOC3">
    <w:name w:val="toc 3"/>
    <w:basedOn w:val="TOC2"/>
    <w:uiPriority w:val="99"/>
    <w:semiHidden/>
    <w:rsid w:val="00BA46BC"/>
    <w:pPr>
      <w:ind w:left="2160"/>
    </w:pPr>
  </w:style>
  <w:style w:type="paragraph" w:styleId="TOC2">
    <w:name w:val="toc 2"/>
    <w:basedOn w:val="TOC1"/>
    <w:uiPriority w:val="99"/>
    <w:semiHidden/>
    <w:rsid w:val="00BA46BC"/>
    <w:pPr>
      <w:ind w:left="1440"/>
    </w:pPr>
  </w:style>
  <w:style w:type="paragraph" w:styleId="TOC1">
    <w:name w:val="toc 1"/>
    <w:basedOn w:val="unjustifiedblock"/>
    <w:uiPriority w:val="99"/>
    <w:semiHidden/>
    <w:rsid w:val="00BA46BC"/>
    <w:pPr>
      <w:keepLines/>
      <w:tabs>
        <w:tab w:val="right" w:leader="dot" w:pos="9000"/>
      </w:tabs>
      <w:ind w:left="720" w:right="720" w:hanging="720"/>
    </w:pPr>
    <w:rPr>
      <w:color w:val="0000FF"/>
    </w:rPr>
  </w:style>
  <w:style w:type="paragraph" w:customStyle="1" w:styleId="unjustifiedblock">
    <w:name w:val="unjustified block"/>
    <w:basedOn w:val="singleblock"/>
    <w:uiPriority w:val="99"/>
    <w:rsid w:val="00BA46BC"/>
  </w:style>
  <w:style w:type="paragraph" w:customStyle="1" w:styleId="singleblock">
    <w:name w:val="single block"/>
    <w:basedOn w:val="single"/>
    <w:uiPriority w:val="99"/>
    <w:rsid w:val="00BA46BC"/>
    <w:pPr>
      <w:ind w:firstLine="0"/>
    </w:pPr>
  </w:style>
  <w:style w:type="paragraph" w:styleId="TOC6">
    <w:name w:val="toc 6"/>
    <w:basedOn w:val="TOC4"/>
    <w:uiPriority w:val="99"/>
    <w:semiHidden/>
    <w:rsid w:val="00BA46BC"/>
    <w:pPr>
      <w:ind w:left="4320"/>
    </w:pPr>
  </w:style>
  <w:style w:type="paragraph" w:styleId="TOC5">
    <w:name w:val="toc 5"/>
    <w:basedOn w:val="TOC4"/>
    <w:uiPriority w:val="99"/>
    <w:semiHidden/>
    <w:rsid w:val="00BA46BC"/>
    <w:pPr>
      <w:ind w:left="3600"/>
    </w:pPr>
  </w:style>
  <w:style w:type="paragraph" w:styleId="Index3">
    <w:name w:val="index 3"/>
    <w:basedOn w:val="Index2"/>
    <w:uiPriority w:val="99"/>
    <w:semiHidden/>
    <w:rsid w:val="00BA46BC"/>
    <w:pPr>
      <w:tabs>
        <w:tab w:val="right" w:pos="9000"/>
      </w:tabs>
      <w:spacing w:before="0"/>
    </w:pPr>
  </w:style>
  <w:style w:type="paragraph" w:styleId="Index2">
    <w:name w:val="index 2"/>
    <w:basedOn w:val="Normal"/>
    <w:next w:val="Normal"/>
    <w:uiPriority w:val="99"/>
    <w:semiHidden/>
    <w:rsid w:val="00BA46BC"/>
    <w:pPr>
      <w:tabs>
        <w:tab w:val="right" w:leader="dot" w:pos="9000"/>
      </w:tabs>
      <w:spacing w:before="240" w:line="240" w:lineRule="atLeast"/>
      <w:ind w:left="360" w:right="1440" w:hanging="360"/>
    </w:pPr>
    <w:rPr>
      <w:color w:val="0000FF"/>
    </w:rPr>
  </w:style>
  <w:style w:type="paragraph" w:styleId="Index1">
    <w:name w:val="index 1"/>
    <w:basedOn w:val="Normal"/>
    <w:next w:val="Normal"/>
    <w:uiPriority w:val="99"/>
    <w:semiHidden/>
    <w:rsid w:val="00BA46BC"/>
    <w:pPr>
      <w:spacing w:before="240" w:line="240" w:lineRule="atLeast"/>
      <w:ind w:firstLine="0"/>
    </w:pPr>
    <w:rPr>
      <w:b/>
      <w:color w:val="0000FF"/>
    </w:rPr>
  </w:style>
  <w:style w:type="paragraph" w:styleId="IndexHeading">
    <w:name w:val="index heading"/>
    <w:basedOn w:val="Normal"/>
    <w:next w:val="Normal"/>
    <w:uiPriority w:val="99"/>
    <w:semiHidden/>
    <w:rsid w:val="00BA46BC"/>
    <w:rPr>
      <w:b/>
    </w:rPr>
  </w:style>
  <w:style w:type="paragraph" w:styleId="Footer">
    <w:name w:val="footer"/>
    <w:basedOn w:val="plain"/>
    <w:link w:val="FooterChar"/>
    <w:uiPriority w:val="99"/>
    <w:rsid w:val="00BA46BC"/>
    <w:pPr>
      <w:tabs>
        <w:tab w:val="center" w:pos="4507"/>
        <w:tab w:val="right" w:pos="9000"/>
      </w:tabs>
      <w:ind w:right="4320"/>
    </w:pPr>
  </w:style>
  <w:style w:type="character" w:customStyle="1" w:styleId="FooterChar">
    <w:name w:val="Footer Char"/>
    <w:basedOn w:val="DefaultParagraphFont"/>
    <w:link w:val="Footer"/>
    <w:uiPriority w:val="99"/>
    <w:semiHidden/>
    <w:locked/>
    <w:rsid w:val="002D1C56"/>
    <w:rPr>
      <w:rFonts w:ascii="Times New Roman" w:hAnsi="Times New Roman" w:cs="Times New Roman"/>
      <w:sz w:val="20"/>
      <w:szCs w:val="20"/>
    </w:rPr>
  </w:style>
  <w:style w:type="paragraph" w:customStyle="1" w:styleId="plain">
    <w:name w:val="plain"/>
    <w:basedOn w:val="unjustifiedblock"/>
    <w:uiPriority w:val="99"/>
    <w:rsid w:val="00BA46BC"/>
    <w:pPr>
      <w:spacing w:before="0"/>
    </w:pPr>
  </w:style>
  <w:style w:type="paragraph" w:styleId="Header">
    <w:name w:val="header"/>
    <w:basedOn w:val="plain"/>
    <w:link w:val="HeaderChar"/>
    <w:uiPriority w:val="99"/>
    <w:rsid w:val="00BA46BC"/>
    <w:pPr>
      <w:tabs>
        <w:tab w:val="center" w:pos="4507"/>
        <w:tab w:val="right" w:pos="9000"/>
      </w:tabs>
    </w:pPr>
  </w:style>
  <w:style w:type="character" w:customStyle="1" w:styleId="HeaderChar">
    <w:name w:val="Header Char"/>
    <w:basedOn w:val="DefaultParagraphFont"/>
    <w:link w:val="Header"/>
    <w:uiPriority w:val="99"/>
    <w:semiHidden/>
    <w:locked/>
    <w:rsid w:val="002D1C56"/>
    <w:rPr>
      <w:rFonts w:ascii="Times New Roman" w:hAnsi="Times New Roman" w:cs="Times New Roman"/>
      <w:sz w:val="20"/>
      <w:szCs w:val="20"/>
    </w:rPr>
  </w:style>
  <w:style w:type="character" w:styleId="FootnoteReference">
    <w:name w:val="footnote reference"/>
    <w:basedOn w:val="DefaultParagraphFont"/>
    <w:uiPriority w:val="99"/>
    <w:semiHidden/>
    <w:rsid w:val="00BA46BC"/>
    <w:rPr>
      <w:rFonts w:cs="Times New Roman"/>
      <w:position w:val="6"/>
      <w:sz w:val="16"/>
    </w:rPr>
  </w:style>
  <w:style w:type="paragraph" w:styleId="NormalIndent">
    <w:name w:val="Normal Indent"/>
    <w:basedOn w:val="singleblock"/>
    <w:uiPriority w:val="99"/>
    <w:rsid w:val="00BA46BC"/>
    <w:pPr>
      <w:ind w:left="1440" w:right="720"/>
    </w:pPr>
  </w:style>
  <w:style w:type="paragraph" w:styleId="BlockText">
    <w:name w:val="Block Text"/>
    <w:basedOn w:val="Normal"/>
    <w:uiPriority w:val="99"/>
    <w:rsid w:val="00BA46BC"/>
    <w:pPr>
      <w:spacing w:after="120"/>
      <w:ind w:left="1440" w:right="1440"/>
    </w:pPr>
  </w:style>
  <w:style w:type="paragraph" w:customStyle="1" w:styleId="normalblock">
    <w:name w:val="normal block"/>
    <w:basedOn w:val="Normal"/>
    <w:uiPriority w:val="99"/>
    <w:rsid w:val="00BA46BC"/>
    <w:pPr>
      <w:ind w:firstLine="0"/>
    </w:pPr>
  </w:style>
  <w:style w:type="paragraph" w:customStyle="1" w:styleId="coverpage">
    <w:name w:val="cover page"/>
    <w:basedOn w:val="unjustifiedblock"/>
    <w:uiPriority w:val="99"/>
    <w:rsid w:val="00BA46BC"/>
    <w:pPr>
      <w:jc w:val="right"/>
    </w:pPr>
  </w:style>
  <w:style w:type="paragraph" w:customStyle="1" w:styleId="center">
    <w:name w:val="center"/>
    <w:basedOn w:val="unjustifiedblock"/>
    <w:uiPriority w:val="99"/>
    <w:rsid w:val="00BA46BC"/>
    <w:pPr>
      <w:keepLines/>
      <w:jc w:val="center"/>
    </w:pPr>
  </w:style>
  <w:style w:type="paragraph" w:customStyle="1" w:styleId="cclist">
    <w:name w:val="cc list"/>
    <w:basedOn w:val="unjustifiedblock"/>
    <w:uiPriority w:val="99"/>
    <w:rsid w:val="00BA46BC"/>
    <w:pPr>
      <w:keepLines/>
      <w:ind w:left="720" w:hanging="720"/>
    </w:pPr>
  </w:style>
  <w:style w:type="paragraph" w:customStyle="1" w:styleId="table">
    <w:name w:val="table"/>
    <w:basedOn w:val="plain"/>
    <w:uiPriority w:val="99"/>
    <w:rsid w:val="00BA46BC"/>
    <w:pPr>
      <w:spacing w:before="60" w:after="60" w:line="240" w:lineRule="auto"/>
    </w:pPr>
  </w:style>
  <w:style w:type="paragraph" w:customStyle="1" w:styleId="footnoteblock">
    <w:name w:val="footnote block"/>
    <w:basedOn w:val="FootnoteText"/>
    <w:uiPriority w:val="99"/>
    <w:rsid w:val="00BA46BC"/>
    <w:pPr>
      <w:ind w:firstLine="0"/>
    </w:pPr>
  </w:style>
  <w:style w:type="paragraph" w:customStyle="1" w:styleId="footnoteindent">
    <w:name w:val="footnote indent"/>
    <w:basedOn w:val="footnoteblock"/>
    <w:uiPriority w:val="99"/>
    <w:rsid w:val="00BA46BC"/>
    <w:pPr>
      <w:ind w:left="1440" w:right="720"/>
    </w:pPr>
  </w:style>
  <w:style w:type="paragraph" w:styleId="Title">
    <w:name w:val="Title"/>
    <w:basedOn w:val="center"/>
    <w:link w:val="TitleChar"/>
    <w:uiPriority w:val="99"/>
    <w:qFormat/>
    <w:rsid w:val="00BA46BC"/>
    <w:pPr>
      <w:keepNext/>
      <w:spacing w:after="240"/>
      <w:ind w:left="720" w:right="720"/>
    </w:pPr>
    <w:rPr>
      <w:b/>
    </w:rPr>
  </w:style>
  <w:style w:type="character" w:customStyle="1" w:styleId="TitleChar">
    <w:name w:val="Title Char"/>
    <w:basedOn w:val="DefaultParagraphFont"/>
    <w:link w:val="Title"/>
    <w:uiPriority w:val="99"/>
    <w:locked/>
    <w:rsid w:val="002D1C56"/>
    <w:rPr>
      <w:rFonts w:ascii="Cambria" w:hAnsi="Cambria" w:cs="Times New Roman"/>
      <w:b/>
      <w:bCs/>
      <w:kern w:val="28"/>
      <w:sz w:val="32"/>
      <w:szCs w:val="32"/>
    </w:rPr>
  </w:style>
  <w:style w:type="paragraph" w:customStyle="1" w:styleId="hangingindent">
    <w:name w:val="hanging indent"/>
    <w:basedOn w:val="normalblock"/>
    <w:uiPriority w:val="99"/>
    <w:rsid w:val="00BA46BC"/>
    <w:pPr>
      <w:spacing w:before="240" w:line="240" w:lineRule="atLeast"/>
      <w:ind w:left="720" w:hanging="720"/>
    </w:pPr>
    <w:rPr>
      <w:spacing w:val="8"/>
    </w:rPr>
  </w:style>
  <w:style w:type="paragraph" w:customStyle="1" w:styleId="bulletitem">
    <w:name w:val="bullet item"/>
    <w:basedOn w:val="single"/>
    <w:uiPriority w:val="99"/>
    <w:rsid w:val="00BA46BC"/>
    <w:pPr>
      <w:keepLines/>
      <w:ind w:left="720" w:right="360" w:hanging="720"/>
    </w:pPr>
  </w:style>
  <w:style w:type="paragraph" w:customStyle="1" w:styleId="righthalf">
    <w:name w:val="right half"/>
    <w:basedOn w:val="unjustifiedblock"/>
    <w:uiPriority w:val="99"/>
    <w:rsid w:val="00BA46BC"/>
    <w:pPr>
      <w:keepLines/>
      <w:tabs>
        <w:tab w:val="left" w:pos="4860"/>
        <w:tab w:val="right" w:pos="9090"/>
      </w:tabs>
      <w:spacing w:before="480"/>
      <w:ind w:left="4320" w:right="187"/>
    </w:pPr>
  </w:style>
  <w:style w:type="paragraph" w:customStyle="1" w:styleId="hangingnormal">
    <w:name w:val="hanging normal"/>
    <w:basedOn w:val="normalblock"/>
    <w:uiPriority w:val="99"/>
    <w:rsid w:val="00BA46BC"/>
    <w:pPr>
      <w:tabs>
        <w:tab w:val="right" w:pos="8820"/>
      </w:tabs>
      <w:ind w:left="720" w:hanging="720"/>
    </w:pPr>
  </w:style>
  <w:style w:type="paragraph" w:customStyle="1" w:styleId="hangingsingle">
    <w:name w:val="hanging single"/>
    <w:basedOn w:val="single"/>
    <w:uiPriority w:val="99"/>
    <w:rsid w:val="00BA46BC"/>
    <w:pPr>
      <w:keepLines/>
      <w:tabs>
        <w:tab w:val="right" w:pos="8820"/>
      </w:tabs>
      <w:ind w:left="720" w:right="360" w:hanging="720"/>
    </w:pPr>
  </w:style>
  <w:style w:type="paragraph" w:customStyle="1" w:styleId="hangingunjustified">
    <w:name w:val="hanging unjustified"/>
    <w:basedOn w:val="unjustifiedblock"/>
    <w:uiPriority w:val="99"/>
    <w:rsid w:val="00BA46BC"/>
    <w:pPr>
      <w:keepLines/>
      <w:tabs>
        <w:tab w:val="right" w:pos="8820"/>
      </w:tabs>
      <w:ind w:left="720" w:hanging="720"/>
    </w:pPr>
  </w:style>
  <w:style w:type="paragraph" w:customStyle="1" w:styleId="pleading-linenums">
    <w:name w:val="pleading-line nums"/>
    <w:uiPriority w:val="99"/>
    <w:rsid w:val="00BA46BC"/>
    <w:pPr>
      <w:framePr w:w="360" w:hSpace="144" w:vSpace="144" w:wrap="auto" w:vAnchor="page" w:hAnchor="page" w:x="1081" w:y="2161"/>
      <w:spacing w:line="240" w:lineRule="exact"/>
      <w:jc w:val="right"/>
    </w:pPr>
    <w:rPr>
      <w:sz w:val="20"/>
      <w:szCs w:val="20"/>
    </w:rPr>
  </w:style>
  <w:style w:type="paragraph" w:customStyle="1" w:styleId="c">
    <w:name w:val="c"/>
    <w:basedOn w:val="center"/>
    <w:uiPriority w:val="99"/>
    <w:rsid w:val="00BA46BC"/>
  </w:style>
  <w:style w:type="paragraph" w:customStyle="1" w:styleId="response">
    <w:name w:val="response"/>
    <w:basedOn w:val="Normal"/>
    <w:uiPriority w:val="99"/>
    <w:rsid w:val="00BA46BC"/>
    <w:pPr>
      <w:spacing w:after="2880"/>
    </w:pPr>
  </w:style>
  <w:style w:type="paragraph" w:customStyle="1" w:styleId="pleading-leftbar">
    <w:name w:val="pleading-left bar"/>
    <w:uiPriority w:val="99"/>
    <w:rsid w:val="00BA46BC"/>
    <w:pPr>
      <w:framePr w:w="144" w:wrap="auto" w:vAnchor="page" w:hAnchor="page" w:x="1441" w:yAlign="top"/>
      <w:pBdr>
        <w:left w:val="double" w:sz="6" w:space="1" w:color="auto"/>
      </w:pBdr>
      <w:spacing w:after="15600" w:line="240" w:lineRule="exact"/>
    </w:pPr>
    <w:rPr>
      <w:rFonts w:ascii="Courier" w:hAnsi="Courier"/>
      <w:sz w:val="24"/>
      <w:szCs w:val="20"/>
    </w:rPr>
  </w:style>
  <w:style w:type="paragraph" w:customStyle="1" w:styleId="pleading-rightbar">
    <w:name w:val="pleading-right bar"/>
    <w:uiPriority w:val="99"/>
    <w:rsid w:val="00BA46BC"/>
    <w:pPr>
      <w:framePr w:w="144" w:wrap="auto" w:vAnchor="page" w:hAnchor="page" w:x="11377" w:yAlign="top"/>
      <w:pBdr>
        <w:left w:val="single" w:sz="6" w:space="1" w:color="auto"/>
      </w:pBdr>
      <w:spacing w:after="15600" w:line="240" w:lineRule="exact"/>
    </w:pPr>
    <w:rPr>
      <w:rFonts w:ascii="Courier" w:hAnsi="Courier"/>
      <w:sz w:val="24"/>
      <w:szCs w:val="20"/>
    </w:rPr>
  </w:style>
  <w:style w:type="paragraph" w:customStyle="1" w:styleId="pleading-firmname">
    <w:name w:val="pleading-firm name"/>
    <w:uiPriority w:val="99"/>
    <w:rsid w:val="00BA46BC"/>
    <w:pPr>
      <w:framePr w:w="2880" w:hSpace="360" w:vSpace="360" w:wrap="auto" w:vAnchor="page" w:hAnchor="text" w:xAlign="right" w:yAlign="bottom"/>
      <w:spacing w:after="360"/>
      <w:jc w:val="center"/>
    </w:pPr>
    <w:rPr>
      <w:color w:val="000000"/>
      <w:sz w:val="16"/>
      <w:szCs w:val="20"/>
    </w:rPr>
  </w:style>
  <w:style w:type="paragraph" w:customStyle="1" w:styleId="macrobutton">
    <w:name w:val="macrobutton"/>
    <w:basedOn w:val="plain"/>
    <w:uiPriority w:val="99"/>
    <w:rsid w:val="00BA46BC"/>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pleading-rightrule">
    <w:name w:val="pleading-right rule"/>
    <w:basedOn w:val="pleading-leftrule"/>
    <w:uiPriority w:val="99"/>
    <w:rsid w:val="00BA46BC"/>
    <w:pPr>
      <w:framePr w:wrap="auto" w:x="11708"/>
    </w:pPr>
  </w:style>
  <w:style w:type="paragraph" w:customStyle="1" w:styleId="pleading-leftrule">
    <w:name w:val="pleading-left rule"/>
    <w:basedOn w:val="pleading-linenums"/>
    <w:uiPriority w:val="99"/>
    <w:rsid w:val="00BA46BC"/>
    <w:pPr>
      <w:framePr w:w="0" w:hSpace="0" w:vSpace="0" w:wrap="auto" w:x="1513" w:yAlign="top"/>
      <w:jc w:val="left"/>
    </w:pPr>
    <w:rPr>
      <w:rFonts w:ascii="Courier" w:hAnsi="Courier"/>
      <w:color w:val="0000FF"/>
    </w:rPr>
  </w:style>
  <w:style w:type="paragraph" w:styleId="EnvelopeAddress">
    <w:name w:val="envelope address"/>
    <w:basedOn w:val="Normal"/>
    <w:uiPriority w:val="99"/>
    <w:rsid w:val="00BA46BC"/>
    <w:pPr>
      <w:framePr w:w="7920" w:h="1987" w:hRule="exact" w:hSpace="187" w:wrap="around" w:hAnchor="page" w:xAlign="center" w:yAlign="bottom"/>
      <w:spacing w:line="240" w:lineRule="auto"/>
      <w:ind w:firstLine="0"/>
    </w:pPr>
  </w:style>
  <w:style w:type="paragraph" w:styleId="EnvelopeReturn">
    <w:name w:val="envelope return"/>
    <w:basedOn w:val="Normal"/>
    <w:uiPriority w:val="99"/>
    <w:rsid w:val="00BA46BC"/>
    <w:pPr>
      <w:spacing w:line="240" w:lineRule="auto"/>
      <w:ind w:firstLine="0"/>
    </w:pPr>
    <w:rPr>
      <w:sz w:val="20"/>
    </w:rPr>
  </w:style>
  <w:style w:type="paragraph" w:styleId="TOAHeading">
    <w:name w:val="toa heading"/>
    <w:basedOn w:val="Normal"/>
    <w:next w:val="Normal"/>
    <w:uiPriority w:val="99"/>
    <w:semiHidden/>
    <w:rsid w:val="00BA46BC"/>
    <w:pPr>
      <w:keepNext/>
      <w:keepLines/>
      <w:spacing w:before="120"/>
      <w:ind w:firstLine="0"/>
    </w:pPr>
    <w:rPr>
      <w:b/>
      <w:color w:val="0000FF"/>
    </w:rPr>
  </w:style>
  <w:style w:type="paragraph" w:styleId="TableofAuthorities">
    <w:name w:val="table of authorities"/>
    <w:basedOn w:val="Normal"/>
    <w:next w:val="Normal"/>
    <w:uiPriority w:val="99"/>
    <w:semiHidden/>
    <w:rsid w:val="00BA46BC"/>
    <w:pPr>
      <w:tabs>
        <w:tab w:val="right" w:leader="dot" w:pos="9000"/>
      </w:tabs>
      <w:spacing w:before="240" w:line="240" w:lineRule="auto"/>
      <w:ind w:left="245" w:right="1440" w:hanging="245"/>
    </w:pPr>
    <w:rPr>
      <w:color w:val="0000FF"/>
    </w:rPr>
  </w:style>
  <w:style w:type="paragraph" w:customStyle="1" w:styleId="cite">
    <w:name w:val="cite"/>
    <w:basedOn w:val="hangingunjustified"/>
    <w:uiPriority w:val="99"/>
    <w:rsid w:val="00BA46BC"/>
    <w:pPr>
      <w:framePr w:wrap="auto" w:hAnchor="text" w:yAlign="bottom"/>
      <w:tabs>
        <w:tab w:val="clear" w:pos="8820"/>
      </w:tabs>
      <w:spacing w:before="0"/>
      <w:ind w:left="360" w:hanging="360"/>
    </w:pPr>
    <w:rPr>
      <w:color w:val="0000FF"/>
    </w:rPr>
  </w:style>
  <w:style w:type="paragraph" w:customStyle="1" w:styleId="plead-firmname">
    <w:name w:val="plead-firm name"/>
    <w:uiPriority w:val="99"/>
    <w:rsid w:val="00BA46BC"/>
    <w:pPr>
      <w:framePr w:w="2880" w:vSpace="360" w:wrap="around" w:vAnchor="page" w:hAnchor="text" w:xAlign="right" w:yAlign="bottom"/>
      <w:spacing w:after="360"/>
      <w:jc w:val="center"/>
    </w:pPr>
    <w:rPr>
      <w:noProof/>
      <w:sz w:val="20"/>
      <w:szCs w:val="20"/>
    </w:rPr>
  </w:style>
  <w:style w:type="paragraph" w:customStyle="1" w:styleId="plead-linenums">
    <w:name w:val="plead-line nums"/>
    <w:uiPriority w:val="99"/>
    <w:rsid w:val="00BA46BC"/>
    <w:pPr>
      <w:framePr w:w="360" w:hSpace="144" w:vSpace="144" w:wrap="around" w:vAnchor="page" w:hAnchor="page" w:x="1081" w:y="2161"/>
      <w:spacing w:line="240" w:lineRule="exact"/>
      <w:jc w:val="right"/>
    </w:pPr>
    <w:rPr>
      <w:noProof/>
      <w:color w:val="0000FF"/>
      <w:sz w:val="20"/>
      <w:szCs w:val="20"/>
    </w:rPr>
  </w:style>
  <w:style w:type="paragraph" w:customStyle="1" w:styleId="plead-leftrule">
    <w:name w:val="plead-left rule"/>
    <w:basedOn w:val="Normal"/>
    <w:uiPriority w:val="99"/>
    <w:rsid w:val="00BA46BC"/>
    <w:pPr>
      <w:framePr w:w="144" w:wrap="around" w:vAnchor="page" w:hAnchor="page" w:x="1513" w:yAlign="top"/>
      <w:pBdr>
        <w:right w:val="double" w:sz="6" w:space="0" w:color="auto"/>
      </w:pBdr>
      <w:spacing w:after="15600" w:line="240" w:lineRule="exact"/>
      <w:ind w:firstLine="0"/>
    </w:pPr>
    <w:rPr>
      <w:color w:val="0000FF"/>
      <w:sz w:val="20"/>
    </w:rPr>
  </w:style>
  <w:style w:type="paragraph" w:customStyle="1" w:styleId="plead-rightrule">
    <w:name w:val="plead-right rule"/>
    <w:basedOn w:val="plead-leftrule"/>
    <w:uiPriority w:val="99"/>
    <w:rsid w:val="00BA46BC"/>
    <w:pPr>
      <w:framePr w:wrap="around" w:x="11737"/>
      <w:pBdr>
        <w:left w:val="single" w:sz="6" w:space="0" w:color="auto"/>
        <w:right w:val="none" w:sz="0" w:space="0" w:color="auto"/>
      </w:pBdr>
    </w:pPr>
  </w:style>
  <w:style w:type="paragraph" w:customStyle="1" w:styleId="CaptionTitle">
    <w:name w:val="CaptionTitle"/>
    <w:basedOn w:val="Normal"/>
    <w:uiPriority w:val="99"/>
    <w:rsid w:val="00BA46BC"/>
    <w:pPr>
      <w:keepNext/>
      <w:keepLines/>
      <w:spacing w:before="240" w:after="240" w:line="240" w:lineRule="atLeast"/>
      <w:ind w:left="720" w:right="720" w:firstLine="0"/>
      <w:jc w:val="center"/>
    </w:pPr>
  </w:style>
  <w:style w:type="character" w:customStyle="1" w:styleId="Bold">
    <w:name w:val="Bold"/>
    <w:basedOn w:val="DefaultParagraphFont"/>
    <w:uiPriority w:val="99"/>
    <w:rsid w:val="00BA46BC"/>
    <w:rPr>
      <w:rFonts w:cs="Times New Roman"/>
      <w:b/>
    </w:rPr>
  </w:style>
  <w:style w:type="paragraph" w:styleId="TOC8">
    <w:name w:val="toc 8"/>
    <w:basedOn w:val="Normal"/>
    <w:next w:val="Normal"/>
    <w:uiPriority w:val="99"/>
    <w:semiHidden/>
    <w:rsid w:val="00BA46BC"/>
    <w:pPr>
      <w:ind w:left="1680"/>
    </w:pPr>
    <w:rPr>
      <w:color w:val="0000FF"/>
    </w:rPr>
  </w:style>
  <w:style w:type="paragraph" w:styleId="TOC9">
    <w:name w:val="toc 9"/>
    <w:basedOn w:val="Normal"/>
    <w:next w:val="Normal"/>
    <w:uiPriority w:val="99"/>
    <w:semiHidden/>
    <w:rsid w:val="00BA46BC"/>
    <w:pPr>
      <w:ind w:left="1920"/>
    </w:pPr>
    <w:rPr>
      <w:color w:val="0000FF"/>
    </w:rPr>
  </w:style>
  <w:style w:type="character" w:customStyle="1" w:styleId="BoldItalics">
    <w:name w:val="Bold Italics"/>
    <w:basedOn w:val="DefaultParagraphFont"/>
    <w:uiPriority w:val="99"/>
    <w:rsid w:val="00BA46BC"/>
    <w:rPr>
      <w:rFonts w:cs="Times New Roman"/>
      <w:b/>
      <w:i/>
    </w:rPr>
  </w:style>
  <w:style w:type="character" w:customStyle="1" w:styleId="Underline">
    <w:name w:val="Underline"/>
    <w:basedOn w:val="DefaultParagraphFont"/>
    <w:uiPriority w:val="99"/>
    <w:rsid w:val="00BA46BC"/>
    <w:rPr>
      <w:rFonts w:cs="Times New Roman"/>
      <w:u w:val="single"/>
    </w:rPr>
  </w:style>
  <w:style w:type="character" w:customStyle="1" w:styleId="Italics">
    <w:name w:val="Italics"/>
    <w:basedOn w:val="DefaultParagraphFont"/>
    <w:uiPriority w:val="99"/>
    <w:rsid w:val="00BA46BC"/>
    <w:rPr>
      <w:rFonts w:cs="Times New Roman"/>
      <w:i/>
    </w:rPr>
  </w:style>
  <w:style w:type="paragraph" w:customStyle="1" w:styleId="Style6">
    <w:name w:val="Style 6"/>
    <w:basedOn w:val="Normal"/>
    <w:uiPriority w:val="99"/>
    <w:rsid w:val="00BA46BC"/>
    <w:pPr>
      <w:widowControl w:val="0"/>
      <w:tabs>
        <w:tab w:val="left" w:pos="1944"/>
      </w:tabs>
      <w:spacing w:line="240" w:lineRule="auto"/>
      <w:ind w:left="1296" w:right="1584" w:firstLine="0"/>
    </w:pPr>
    <w:rPr>
      <w:noProof/>
      <w:color w:val="000000"/>
      <w:sz w:val="20"/>
    </w:rPr>
  </w:style>
  <w:style w:type="paragraph" w:customStyle="1" w:styleId="Style5">
    <w:name w:val="Style 5"/>
    <w:basedOn w:val="Normal"/>
    <w:uiPriority w:val="99"/>
    <w:rsid w:val="00BA46BC"/>
    <w:pPr>
      <w:widowControl w:val="0"/>
      <w:spacing w:line="240" w:lineRule="auto"/>
      <w:ind w:left="648" w:right="864" w:firstLine="0"/>
    </w:pPr>
    <w:rPr>
      <w:noProof/>
      <w:color w:val="000000"/>
      <w:sz w:val="20"/>
    </w:rPr>
  </w:style>
  <w:style w:type="paragraph" w:customStyle="1" w:styleId="Style4">
    <w:name w:val="Style 4"/>
    <w:basedOn w:val="Normal"/>
    <w:uiPriority w:val="99"/>
    <w:rsid w:val="00BA46BC"/>
    <w:pPr>
      <w:widowControl w:val="0"/>
      <w:spacing w:line="240" w:lineRule="auto"/>
      <w:ind w:left="3816" w:firstLine="0"/>
    </w:pPr>
    <w:rPr>
      <w:noProof/>
      <w:color w:val="000000"/>
      <w:sz w:val="20"/>
    </w:rPr>
  </w:style>
  <w:style w:type="paragraph" w:customStyle="1" w:styleId="Style2">
    <w:name w:val="Style 2"/>
    <w:basedOn w:val="Normal"/>
    <w:uiPriority w:val="99"/>
    <w:rsid w:val="00BA46BC"/>
    <w:pPr>
      <w:widowControl w:val="0"/>
      <w:spacing w:line="360" w:lineRule="auto"/>
      <w:ind w:left="72" w:firstLine="648"/>
    </w:pPr>
    <w:rPr>
      <w:noProof/>
      <w:color w:val="000000"/>
      <w:sz w:val="20"/>
    </w:rPr>
  </w:style>
  <w:style w:type="paragraph" w:customStyle="1" w:styleId="Style9">
    <w:name w:val="Style 9"/>
    <w:basedOn w:val="Normal"/>
    <w:uiPriority w:val="99"/>
    <w:rsid w:val="00BA46BC"/>
    <w:pPr>
      <w:widowControl w:val="0"/>
      <w:spacing w:before="720" w:line="240" w:lineRule="auto"/>
      <w:ind w:left="3204" w:firstLine="0"/>
    </w:pPr>
    <w:rPr>
      <w:noProof/>
      <w:color w:val="000000"/>
      <w:sz w:val="20"/>
    </w:rPr>
  </w:style>
  <w:style w:type="paragraph" w:customStyle="1" w:styleId="FirmName">
    <w:name w:val="Firm Name"/>
    <w:basedOn w:val="Normal"/>
    <w:uiPriority w:val="99"/>
    <w:rsid w:val="00BA46BC"/>
    <w:pPr>
      <w:pBdr>
        <w:between w:val="none" w:sz="96" w:space="0" w:color="auto"/>
      </w:pBdr>
      <w:tabs>
        <w:tab w:val="center" w:pos="7776"/>
      </w:tabs>
      <w:spacing w:line="120" w:lineRule="exact"/>
      <w:ind w:firstLine="0"/>
      <w:jc w:val="center"/>
    </w:pPr>
    <w:rPr>
      <w:sz w:val="14"/>
    </w:rPr>
  </w:style>
  <w:style w:type="character" w:styleId="PageNumber">
    <w:name w:val="page number"/>
    <w:basedOn w:val="DefaultParagraphFont"/>
    <w:uiPriority w:val="99"/>
    <w:rsid w:val="00BA46BC"/>
    <w:rPr>
      <w:rFonts w:cs="Times New Roman"/>
    </w:rPr>
  </w:style>
  <w:style w:type="paragraph" w:customStyle="1" w:styleId="FooterCaption">
    <w:name w:val="FooterCaption"/>
    <w:basedOn w:val="Normal"/>
    <w:uiPriority w:val="99"/>
    <w:rsid w:val="00BA46BC"/>
    <w:pPr>
      <w:pBdr>
        <w:between w:val="none" w:sz="96" w:space="0" w:color="auto"/>
      </w:pBdr>
      <w:tabs>
        <w:tab w:val="left" w:pos="432"/>
        <w:tab w:val="left" w:pos="792"/>
        <w:tab w:val="center" w:pos="4680"/>
      </w:tabs>
      <w:spacing w:line="240" w:lineRule="exact"/>
      <w:ind w:left="792" w:hanging="792"/>
    </w:pPr>
  </w:style>
  <w:style w:type="character" w:customStyle="1" w:styleId="zzmpTrailerItem">
    <w:name w:val="zzmpTrailerItem"/>
    <w:basedOn w:val="DefaultParagraphFont"/>
    <w:uiPriority w:val="99"/>
    <w:rsid w:val="00632E44"/>
    <w:rPr>
      <w:rFonts w:ascii="Times New Roman" w:hAnsi="Times New Roman" w:cs="Times New Roman"/>
      <w:noProof/>
      <w:color w:val="auto"/>
      <w:spacing w:val="0"/>
      <w:position w:val="0"/>
      <w:sz w:val="16"/>
      <w:szCs w:val="16"/>
      <w:u w:val="none"/>
      <w:effect w:val="none"/>
      <w:vertAlign w:val="baseline"/>
    </w:rPr>
  </w:style>
  <w:style w:type="table" w:styleId="TableGrid">
    <w:name w:val="Table Grid"/>
    <w:basedOn w:val="TableNormal"/>
    <w:uiPriority w:val="99"/>
    <w:rsid w:val="00900F8C"/>
    <w:pPr>
      <w:spacing w:line="480" w:lineRule="atLeast"/>
      <w:ind w:firstLine="72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DA572B"/>
    <w:pPr>
      <w:tabs>
        <w:tab w:val="right" w:pos="9360"/>
      </w:tabs>
      <w:spacing w:line="240" w:lineRule="auto"/>
      <w:ind w:right="-168" w:firstLine="0"/>
    </w:pPr>
    <w:rPr>
      <w:rFonts w:ascii="Arial" w:hAnsi="Arial"/>
      <w:sz w:val="20"/>
      <w:lang w:eastAsia="zh-CN"/>
    </w:rPr>
  </w:style>
  <w:style w:type="character" w:customStyle="1" w:styleId="BodyTextChar">
    <w:name w:val="Body Text Char"/>
    <w:basedOn w:val="DefaultParagraphFont"/>
    <w:link w:val="BodyText"/>
    <w:uiPriority w:val="99"/>
    <w:semiHidden/>
    <w:locked/>
    <w:rsid w:val="002D1C56"/>
    <w:rPr>
      <w:rFonts w:ascii="Times New Roman" w:hAnsi="Times New Roman" w:cs="Times New Roman"/>
      <w:sz w:val="20"/>
      <w:szCs w:val="20"/>
    </w:rPr>
  </w:style>
  <w:style w:type="paragraph" w:styleId="BodyTextIndent">
    <w:name w:val="Body Text Indent"/>
    <w:basedOn w:val="Normal"/>
    <w:link w:val="BodyTextIndentChar"/>
    <w:uiPriority w:val="99"/>
    <w:rsid w:val="00DA572B"/>
    <w:pPr>
      <w:spacing w:line="240" w:lineRule="auto"/>
      <w:ind w:left="1080" w:firstLine="0"/>
    </w:pPr>
    <w:rPr>
      <w:rFonts w:ascii="Palatino Linotype" w:hAnsi="Palatino Linotype"/>
      <w:szCs w:val="24"/>
    </w:rPr>
  </w:style>
  <w:style w:type="character" w:customStyle="1" w:styleId="BodyTextIndentChar">
    <w:name w:val="Body Text Indent Char"/>
    <w:basedOn w:val="DefaultParagraphFont"/>
    <w:link w:val="BodyTextIndent"/>
    <w:uiPriority w:val="99"/>
    <w:semiHidden/>
    <w:locked/>
    <w:rsid w:val="002D1C56"/>
    <w:rPr>
      <w:rFonts w:ascii="Times New Roman" w:hAnsi="Times New Roman" w:cs="Times New Roman"/>
      <w:sz w:val="20"/>
      <w:szCs w:val="20"/>
    </w:rPr>
  </w:style>
  <w:style w:type="paragraph" w:styleId="BalloonText">
    <w:name w:val="Balloon Text"/>
    <w:basedOn w:val="Normal"/>
    <w:link w:val="BalloonTextChar"/>
    <w:uiPriority w:val="99"/>
    <w:semiHidden/>
    <w:rsid w:val="008115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1C56"/>
    <w:rPr>
      <w:rFonts w:ascii="Times New Roman" w:hAnsi="Times New Roman" w:cs="Times New Roman"/>
      <w:sz w:val="2"/>
    </w:rPr>
  </w:style>
  <w:style w:type="paragraph" w:customStyle="1" w:styleId="answer">
    <w:name w:val="answer"/>
    <w:basedOn w:val="Normal"/>
    <w:uiPriority w:val="99"/>
    <w:rsid w:val="0064164B"/>
    <w:pPr>
      <w:spacing w:before="120" w:after="120" w:line="480" w:lineRule="auto"/>
      <w:ind w:left="720" w:hanging="720"/>
    </w:pPr>
    <w:rPr>
      <w:lang w:eastAsia="zh-CN"/>
    </w:rPr>
  </w:style>
  <w:style w:type="paragraph" w:customStyle="1" w:styleId="Default">
    <w:name w:val="Default"/>
    <w:uiPriority w:val="99"/>
    <w:rsid w:val="00BE5C8F"/>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rsid w:val="00BB4C2B"/>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2D1C56"/>
    <w:rPr>
      <w:b/>
      <w:bCs/>
    </w:rPr>
  </w:style>
  <w:style w:type="character" w:styleId="Strong">
    <w:name w:val="Strong"/>
    <w:basedOn w:val="DefaultParagraphFont"/>
    <w:uiPriority w:val="99"/>
    <w:qFormat/>
    <w:rsid w:val="00F170F0"/>
    <w:rPr>
      <w:rFonts w:cs="Times New Roman"/>
      <w:b/>
      <w:bCs/>
    </w:rPr>
  </w:style>
  <w:style w:type="paragraph" w:styleId="ListParagraph">
    <w:name w:val="List Paragraph"/>
    <w:basedOn w:val="Normal"/>
    <w:uiPriority w:val="99"/>
    <w:qFormat/>
    <w:rsid w:val="00131987"/>
    <w:pPr>
      <w:widowControl w:val="0"/>
      <w:autoSpaceDE w:val="0"/>
      <w:autoSpaceDN w:val="0"/>
      <w:adjustRightInd w:val="0"/>
      <w:spacing w:line="240" w:lineRule="auto"/>
      <w:ind w:left="720" w:firstLine="0"/>
    </w:pPr>
    <w:rPr>
      <w:szCs w:val="24"/>
    </w:rPr>
  </w:style>
</w:styles>
</file>

<file path=word/webSettings.xml><?xml version="1.0" encoding="utf-8"?>
<w:webSettings xmlns:r="http://schemas.openxmlformats.org/officeDocument/2006/relationships" xmlns:w="http://schemas.openxmlformats.org/wordprocessingml/2006/main">
  <w:divs>
    <w:div w:id="855340535">
      <w:marLeft w:val="0"/>
      <w:marRight w:val="0"/>
      <w:marTop w:val="0"/>
      <w:marBottom w:val="0"/>
      <w:divBdr>
        <w:top w:val="none" w:sz="0" w:space="0" w:color="auto"/>
        <w:left w:val="none" w:sz="0" w:space="0" w:color="auto"/>
        <w:bottom w:val="none" w:sz="0" w:space="0" w:color="auto"/>
        <w:right w:val="none" w:sz="0" w:space="0" w:color="auto"/>
      </w:divBdr>
    </w:div>
    <w:div w:id="855340536">
      <w:marLeft w:val="0"/>
      <w:marRight w:val="0"/>
      <w:marTop w:val="0"/>
      <w:marBottom w:val="0"/>
      <w:divBdr>
        <w:top w:val="none" w:sz="0" w:space="0" w:color="auto"/>
        <w:left w:val="none" w:sz="0" w:space="0" w:color="auto"/>
        <w:bottom w:val="none" w:sz="0" w:space="0" w:color="auto"/>
        <w:right w:val="none" w:sz="0" w:space="0" w:color="auto"/>
      </w:divBdr>
    </w:div>
    <w:div w:id="855340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2C16ED37629714BB1E1EDBE5545B438" ma:contentTypeVersion="135" ma:contentTypeDescription="" ma:contentTypeScope="" ma:versionID="b1f94222ca92b06a2fd18dc7638c93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Agreement</DocumentSetType>
    <IsConfidential xmlns="dc463f71-b30c-4ab2-9473-d307f9d35888">false</IsConfidential>
    <AgendaOrder xmlns="dc463f71-b30c-4ab2-9473-d307f9d35888">false</AgendaOrder>
    <CaseType xmlns="dc463f71-b30c-4ab2-9473-d307f9d35888">Formal Complaint</CaseType>
    <IndustryCode xmlns="dc463f71-b30c-4ab2-9473-d307f9d35888">501</IndustryCode>
    <CaseStatus xmlns="dc463f71-b30c-4ab2-9473-d307f9d35888">Closed</CaseStatus>
    <OpenedDate xmlns="dc463f71-b30c-4ab2-9473-d307f9d35888">2011-05-02T07:00:00+00:00</OpenedDate>
    <Date1 xmlns="dc463f71-b30c-4ab2-9473-d307f9d35888">2012-08-30T07:00:00+00:00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110808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4EC9203-B175-479E-B647-0F84E8A590B8}"/>
</file>

<file path=customXml/itemProps2.xml><?xml version="1.0" encoding="utf-8"?>
<ds:datastoreItem xmlns:ds="http://schemas.openxmlformats.org/officeDocument/2006/customXml" ds:itemID="{DD15F4C2-BDDD-49D0-B29B-C3C564320321}"/>
</file>

<file path=customXml/itemProps3.xml><?xml version="1.0" encoding="utf-8"?>
<ds:datastoreItem xmlns:ds="http://schemas.openxmlformats.org/officeDocument/2006/customXml" ds:itemID="{54743F78-E717-47FC-A22E-093E1DB0BB49}"/>
</file>

<file path=customXml/itemProps4.xml><?xml version="1.0" encoding="utf-8"?>
<ds:datastoreItem xmlns:ds="http://schemas.openxmlformats.org/officeDocument/2006/customXml" ds:itemID="{812B51B1-5BE6-4FED-80A3-CAF5FD7BAD4F}"/>
</file>

<file path=docProps/app.xml><?xml version="1.0" encoding="utf-8"?>
<Properties xmlns="http://schemas.openxmlformats.org/officeDocument/2006/extended-properties" xmlns:vt="http://schemas.openxmlformats.org/officeDocument/2006/docPropsVTypes">
  <Pages>3</Pages>
  <Words>2145</Words>
  <Characters>11820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gFAA2RjfPKrF47iroJv/fHBOahYIkmqhcfiDPeu9dCTwQKn6LE1FAPmnXvsVB5zasEW4BjCUOVtegNkkXGedJwDX9r5yuhDD5pmpBGrEhRCAnneX8Nh6liSKhE4WFmPT6FFX/hMxekj/EvIXrDgg8OAS/nyRo24nQjc9PHF21sSrXpPH4ITJticMMyoZpx+WIhEXeHTJvGEKPEft6BaaBsdmPMcY260TRrdXt8nKWFk1PZQ9ZWDG6R9rr</vt:lpwstr>
  </property>
  <property fmtid="{D5CDD505-2E9C-101B-9397-08002B2CF9AE}" pid="3" name="MAIL_MSG_ID2">
    <vt:lpwstr>PZ+9vHWAfJJJtVTc5OvAaVPXPbu8Eq8mkXviOOq6YdcaHc1nshREZP18bQW5/GbDX0c0195P6VkDSL77ZFJwcnZgftvhKMZeQ==</vt:lpwstr>
  </property>
  <property fmtid="{D5CDD505-2E9C-101B-9397-08002B2CF9AE}" pid="4" name="RESPONSE_SENDER_NAME">
    <vt:lpwstr>sAAAUYtyAkeNWR7bUEergmTkpj0gzIFTU5Yt3ay6RvaaFuw=</vt:lpwstr>
  </property>
  <property fmtid="{D5CDD505-2E9C-101B-9397-08002B2CF9AE}" pid="5" name="EMAIL_OWNER_ADDRESS">
    <vt:lpwstr>4AAA6DouqOs9baE00g2yxD/LIbIUlPem8n7L0nUpm8pi8A2+Z2ihja9DxQ==</vt:lpwstr>
  </property>
  <property fmtid="{D5CDD505-2E9C-101B-9397-08002B2CF9AE}" pid="6" name="ContentTypeId">
    <vt:lpwstr>0x0101006E56B4D1795A2E4DB2F0B01679ED314A00A2C16ED37629714BB1E1EDBE5545B438</vt:lpwstr>
  </property>
  <property fmtid="{D5CDD505-2E9C-101B-9397-08002B2CF9AE}" pid="7" name="_docset_NoMedatataSyncRequired">
    <vt:lpwstr>False</vt:lpwstr>
  </property>
</Properties>
</file>