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B2" w:rsidRPr="00803AA5" w:rsidRDefault="00803AA5" w:rsidP="00B82C07">
      <w:pPr>
        <w:pStyle w:val="Court"/>
        <w:spacing w:after="480" w:line="240" w:lineRule="auto"/>
      </w:pPr>
      <w:r>
        <w:t>before the</w:t>
      </w:r>
      <w:r w:rsidR="00991EB6" w:rsidRPr="00BA2CA4">
        <w:rPr>
          <w:b/>
        </w:rPr>
        <w:br/>
      </w:r>
      <w:r>
        <w:t>washington utilities and transportation commission</w:t>
      </w:r>
    </w:p>
    <w:p w:rsidR="000B39B2" w:rsidRPr="00BA2CA4" w:rsidRDefault="000B39B2" w:rsidP="000B39B2">
      <w:pPr>
        <w:pStyle w:val="Court"/>
        <w:spacing w:after="480" w:line="240" w:lineRule="auto"/>
        <w:rPr>
          <w:b/>
        </w:rPr>
      </w:pPr>
    </w:p>
    <w:tbl>
      <w:tblPr>
        <w:tblW w:w="9468" w:type="dxa"/>
        <w:tblBorders>
          <w:insideH w:val="single" w:sz="4" w:space="0" w:color="auto"/>
          <w:insideV w:val="single" w:sz="4" w:space="0" w:color="auto"/>
        </w:tblBorders>
        <w:tblLayout w:type="fixed"/>
        <w:tblLook w:val="0000"/>
      </w:tblPr>
      <w:tblGrid>
        <w:gridCol w:w="4908"/>
        <w:gridCol w:w="4560"/>
      </w:tblGrid>
      <w:tr w:rsidR="00991EB6" w:rsidRPr="00BA2CA4">
        <w:tblPrEx>
          <w:tblCellMar>
            <w:top w:w="0" w:type="dxa"/>
            <w:bottom w:w="0" w:type="dxa"/>
          </w:tblCellMar>
        </w:tblPrEx>
        <w:tc>
          <w:tcPr>
            <w:tcW w:w="4908" w:type="dxa"/>
            <w:tcBorders>
              <w:top w:val="nil"/>
              <w:bottom w:val="single" w:sz="4" w:space="0" w:color="auto"/>
            </w:tcBorders>
          </w:tcPr>
          <w:p w:rsidR="00991EB6" w:rsidRPr="00803AA5" w:rsidRDefault="00803AA5" w:rsidP="00991EB6">
            <w:pPr>
              <w:pStyle w:val="SingleSpacing"/>
              <w:keepNext/>
              <w:rPr>
                <w:sz w:val="24"/>
                <w:szCs w:val="24"/>
              </w:rPr>
            </w:pPr>
            <w:bookmarkStart w:id="0" w:name="_zzmpFIXED_CaptionTable"/>
            <w:r>
              <w:rPr>
                <w:sz w:val="24"/>
                <w:szCs w:val="24"/>
              </w:rPr>
              <w:t>WASHINGTON UTILITIES AND</w:t>
            </w:r>
          </w:p>
          <w:p w:rsidR="00991EB6" w:rsidRPr="00803AA5" w:rsidRDefault="00803AA5" w:rsidP="00991EB6">
            <w:pPr>
              <w:pStyle w:val="SingleSpacing"/>
              <w:keepNext/>
              <w:rPr>
                <w:sz w:val="24"/>
                <w:szCs w:val="24"/>
              </w:rPr>
            </w:pPr>
            <w:r>
              <w:rPr>
                <w:sz w:val="24"/>
                <w:szCs w:val="24"/>
              </w:rPr>
              <w:t>TRANSPORTATION COMMISSION,</w:t>
            </w:r>
          </w:p>
          <w:p w:rsidR="00991EB6" w:rsidRDefault="00991EB6" w:rsidP="00991EB6">
            <w:pPr>
              <w:pStyle w:val="SingleSpacing"/>
              <w:keepNext/>
              <w:rPr>
                <w:b/>
                <w:sz w:val="24"/>
                <w:szCs w:val="24"/>
              </w:rPr>
            </w:pPr>
          </w:p>
          <w:p w:rsidR="00991EB6" w:rsidRPr="00803AA5" w:rsidRDefault="00803AA5" w:rsidP="00991EB6">
            <w:pPr>
              <w:pStyle w:val="SingleSpacing"/>
              <w:keepNext/>
              <w:tabs>
                <w:tab w:val="left" w:pos="2168"/>
                <w:tab w:val="left" w:pos="4550"/>
              </w:tabs>
              <w:ind w:right="360"/>
              <w:jc w:val="right"/>
              <w:rPr>
                <w:sz w:val="24"/>
                <w:szCs w:val="24"/>
              </w:rPr>
            </w:pPr>
            <w:r>
              <w:rPr>
                <w:sz w:val="24"/>
                <w:szCs w:val="24"/>
              </w:rPr>
              <w:t>Complainant,</w:t>
            </w:r>
          </w:p>
          <w:p w:rsidR="00991EB6" w:rsidRDefault="00991EB6" w:rsidP="00991EB6">
            <w:pPr>
              <w:pStyle w:val="SingleSpacing"/>
              <w:keepNext/>
              <w:rPr>
                <w:b/>
                <w:sz w:val="24"/>
                <w:szCs w:val="24"/>
              </w:rPr>
            </w:pPr>
          </w:p>
          <w:p w:rsidR="00991EB6" w:rsidRPr="00803AA5" w:rsidRDefault="00803AA5" w:rsidP="00991EB6">
            <w:pPr>
              <w:pStyle w:val="SingleSpacing"/>
              <w:keepNext/>
              <w:rPr>
                <w:sz w:val="24"/>
                <w:szCs w:val="24"/>
              </w:rPr>
            </w:pPr>
            <w:r>
              <w:rPr>
                <w:b/>
                <w:sz w:val="24"/>
                <w:szCs w:val="24"/>
              </w:rPr>
              <w:tab/>
            </w:r>
            <w:r>
              <w:rPr>
                <w:sz w:val="24"/>
                <w:szCs w:val="24"/>
              </w:rPr>
              <w:t>v.</w:t>
            </w:r>
          </w:p>
          <w:p w:rsidR="00991EB6" w:rsidRDefault="00991EB6" w:rsidP="00991EB6">
            <w:pPr>
              <w:pStyle w:val="SingleSpacing"/>
              <w:keepNext/>
              <w:rPr>
                <w:b/>
                <w:sz w:val="24"/>
                <w:szCs w:val="24"/>
              </w:rPr>
            </w:pPr>
          </w:p>
          <w:p w:rsidR="00991EB6" w:rsidRPr="00803AA5" w:rsidRDefault="00803AA5" w:rsidP="00991EB6">
            <w:pPr>
              <w:pStyle w:val="SingleSpacing"/>
              <w:keepNext/>
              <w:rPr>
                <w:sz w:val="24"/>
                <w:szCs w:val="24"/>
              </w:rPr>
            </w:pPr>
            <w:r>
              <w:rPr>
                <w:sz w:val="24"/>
                <w:szCs w:val="24"/>
              </w:rPr>
              <w:t>PUGET SOUND ENERGY, INC.,</w:t>
            </w:r>
          </w:p>
          <w:p w:rsidR="00991EB6" w:rsidRDefault="00991EB6" w:rsidP="00991EB6">
            <w:pPr>
              <w:pStyle w:val="SingleSpacing"/>
              <w:keepNext/>
              <w:rPr>
                <w:b/>
                <w:sz w:val="24"/>
                <w:szCs w:val="24"/>
              </w:rPr>
            </w:pPr>
          </w:p>
          <w:p w:rsidR="00991EB6" w:rsidRPr="00803AA5" w:rsidRDefault="00991EB6" w:rsidP="00143E8C">
            <w:pPr>
              <w:spacing w:before="120" w:after="120" w:line="240" w:lineRule="auto"/>
            </w:pPr>
            <w:r>
              <w:rPr>
                <w:b/>
                <w:szCs w:val="24"/>
              </w:rPr>
              <w:t xml:space="preserve">                                                 </w:t>
            </w:r>
            <w:r w:rsidR="00803AA5">
              <w:rPr>
                <w:b/>
                <w:szCs w:val="24"/>
              </w:rPr>
              <w:t xml:space="preserve"> </w:t>
            </w:r>
            <w:r w:rsidR="00803AA5">
              <w:rPr>
                <w:szCs w:val="24"/>
              </w:rPr>
              <w:t>Respondent.</w:t>
            </w:r>
          </w:p>
        </w:tc>
        <w:tc>
          <w:tcPr>
            <w:tcW w:w="4560" w:type="dxa"/>
          </w:tcPr>
          <w:p w:rsidR="00991EB6" w:rsidRPr="00803AA5" w:rsidRDefault="00803AA5" w:rsidP="00991EB6">
            <w:pPr>
              <w:pStyle w:val="SingleSpacing"/>
              <w:keepNext/>
              <w:ind w:left="198"/>
              <w:rPr>
                <w:rStyle w:val="Strong"/>
                <w:b w:val="0"/>
                <w:sz w:val="24"/>
                <w:szCs w:val="24"/>
              </w:rPr>
            </w:pPr>
            <w:r>
              <w:rPr>
                <w:rStyle w:val="Strong"/>
                <w:b w:val="0"/>
                <w:sz w:val="24"/>
                <w:szCs w:val="24"/>
              </w:rPr>
              <w:t>Docket No. UE-090704</w:t>
            </w:r>
          </w:p>
          <w:p w:rsidR="00B82C07" w:rsidRPr="00F235F9" w:rsidRDefault="00B82C07" w:rsidP="00991EB6">
            <w:pPr>
              <w:pStyle w:val="SingleSpacing"/>
              <w:keepNext/>
              <w:ind w:left="198"/>
              <w:rPr>
                <w:rStyle w:val="Strong"/>
                <w:sz w:val="24"/>
                <w:szCs w:val="24"/>
              </w:rPr>
            </w:pPr>
          </w:p>
          <w:p w:rsidR="00991EB6" w:rsidRPr="00803AA5" w:rsidRDefault="00803AA5" w:rsidP="00991EB6">
            <w:pPr>
              <w:pStyle w:val="SingleSpacing"/>
              <w:keepNext/>
              <w:ind w:left="198"/>
              <w:rPr>
                <w:rStyle w:val="Strong"/>
                <w:b w:val="0"/>
                <w:sz w:val="24"/>
                <w:szCs w:val="24"/>
              </w:rPr>
            </w:pPr>
            <w:r>
              <w:rPr>
                <w:rStyle w:val="Strong"/>
                <w:b w:val="0"/>
                <w:sz w:val="24"/>
                <w:szCs w:val="24"/>
              </w:rPr>
              <w:t>Docket No. UG-090705</w:t>
            </w:r>
          </w:p>
          <w:p w:rsidR="00991EB6" w:rsidRDefault="00991EB6" w:rsidP="00991EB6">
            <w:pPr>
              <w:pStyle w:val="SingleSpacing"/>
              <w:keepNext/>
              <w:ind w:left="198"/>
              <w:rPr>
                <w:rStyle w:val="Strong"/>
                <w:sz w:val="24"/>
                <w:szCs w:val="24"/>
              </w:rPr>
            </w:pPr>
          </w:p>
          <w:p w:rsidR="00F235F9" w:rsidRDefault="00F235F9" w:rsidP="00991EB6">
            <w:pPr>
              <w:pStyle w:val="SingleSpacing"/>
              <w:keepNext/>
              <w:ind w:left="198"/>
              <w:rPr>
                <w:rStyle w:val="Strong"/>
                <w:sz w:val="24"/>
                <w:szCs w:val="24"/>
              </w:rPr>
            </w:pPr>
          </w:p>
          <w:p w:rsidR="000B39B2" w:rsidRDefault="000B39B2" w:rsidP="00991EB6">
            <w:pPr>
              <w:pStyle w:val="SingleSpacing"/>
              <w:keepNext/>
              <w:ind w:left="198"/>
              <w:rPr>
                <w:rStyle w:val="Strong"/>
                <w:sz w:val="24"/>
                <w:szCs w:val="24"/>
              </w:rPr>
            </w:pPr>
          </w:p>
          <w:p w:rsidR="000B39B2" w:rsidRPr="00C8610C" w:rsidRDefault="000B39B2" w:rsidP="00991EB6">
            <w:pPr>
              <w:pStyle w:val="SingleSpacing"/>
              <w:keepNext/>
              <w:ind w:left="198"/>
              <w:rPr>
                <w:rStyle w:val="Strong"/>
                <w:sz w:val="24"/>
                <w:szCs w:val="24"/>
              </w:rPr>
            </w:pPr>
          </w:p>
          <w:p w:rsidR="00991EB6" w:rsidRPr="006406B7" w:rsidRDefault="000B39B2" w:rsidP="000B39B2">
            <w:pPr>
              <w:pStyle w:val="SingleSpacing"/>
              <w:keepNext/>
              <w:ind w:left="198"/>
              <w:rPr>
                <w:b/>
                <w:sz w:val="24"/>
              </w:rPr>
            </w:pPr>
            <w:r>
              <w:rPr>
                <w:b/>
                <w:sz w:val="24"/>
                <w:szCs w:val="24"/>
              </w:rPr>
              <w:t xml:space="preserve"> </w:t>
            </w:r>
          </w:p>
        </w:tc>
      </w:tr>
      <w:bookmarkEnd w:id="0"/>
    </w:tbl>
    <w:p w:rsidR="00991EB6" w:rsidRDefault="00991EB6" w:rsidP="00991EB6">
      <w:pPr>
        <w:pStyle w:val="normalblock"/>
        <w:spacing w:line="480" w:lineRule="auto"/>
        <w:ind w:firstLine="720"/>
        <w:rPr>
          <w:i/>
        </w:rPr>
      </w:pPr>
    </w:p>
    <w:p w:rsidR="000B39B2" w:rsidRDefault="000B39B2" w:rsidP="00991EB6">
      <w:pPr>
        <w:pStyle w:val="normalblock"/>
        <w:spacing w:line="480" w:lineRule="auto"/>
        <w:ind w:firstLine="720"/>
        <w:rPr>
          <w:i/>
        </w:rPr>
      </w:pPr>
    </w:p>
    <w:p w:rsidR="00B82C07" w:rsidRDefault="00B82C07" w:rsidP="00001086">
      <w:pPr>
        <w:pStyle w:val="normalblock"/>
        <w:spacing w:line="480" w:lineRule="auto"/>
        <w:ind w:firstLine="720"/>
        <w:rPr>
          <w:i/>
        </w:rPr>
      </w:pPr>
      <w:r>
        <w:rPr>
          <w:i/>
        </w:rPr>
        <w:t xml:space="preserve"> </w:t>
      </w:r>
    </w:p>
    <w:p w:rsidR="00143E8C" w:rsidRDefault="00143E8C" w:rsidP="00143E8C">
      <w:pPr>
        <w:pStyle w:val="normalblock"/>
        <w:spacing w:line="240" w:lineRule="auto"/>
      </w:pPr>
    </w:p>
    <w:p w:rsidR="00143E8C" w:rsidRDefault="00143E8C" w:rsidP="00143E8C">
      <w:pPr>
        <w:pStyle w:val="normalblock"/>
        <w:spacing w:line="240" w:lineRule="auto"/>
      </w:pPr>
    </w:p>
    <w:p w:rsidR="000B39B2" w:rsidRDefault="006102F9" w:rsidP="00143E8C">
      <w:pPr>
        <w:pStyle w:val="normalblock"/>
        <w:spacing w:line="240" w:lineRule="auto"/>
        <w:jc w:val="center"/>
      </w:pPr>
      <w:r>
        <w:t xml:space="preserve">INITIAL </w:t>
      </w:r>
      <w:r w:rsidR="00803AA5">
        <w:t>BRIEF OF NW ENERGY COALITION</w:t>
      </w:r>
    </w:p>
    <w:p w:rsidR="00001086" w:rsidRDefault="00001086" w:rsidP="00001086">
      <w:pPr>
        <w:pStyle w:val="normalblock"/>
        <w:spacing w:line="240" w:lineRule="auto"/>
        <w:ind w:left="2160"/>
      </w:pPr>
    </w:p>
    <w:p w:rsidR="00001086" w:rsidRDefault="00001086" w:rsidP="00001086">
      <w:pPr>
        <w:pStyle w:val="normalblock"/>
        <w:spacing w:line="240" w:lineRule="auto"/>
        <w:ind w:left="2160"/>
      </w:pPr>
    </w:p>
    <w:p w:rsidR="00001086" w:rsidRPr="00001086" w:rsidRDefault="00001086" w:rsidP="00001086">
      <w:pPr>
        <w:pStyle w:val="normalblock"/>
        <w:spacing w:line="240" w:lineRule="auto"/>
        <w:ind w:left="2160"/>
      </w:pPr>
    </w:p>
    <w:p w:rsidR="000B39B2" w:rsidRPr="00143E8C" w:rsidRDefault="00B82C07" w:rsidP="00143E8C">
      <w:pPr>
        <w:pStyle w:val="normalblock"/>
        <w:spacing w:line="240" w:lineRule="auto"/>
        <w:ind w:firstLine="720"/>
      </w:pPr>
      <w:r>
        <w:rPr>
          <w:i/>
        </w:rPr>
        <w:tab/>
      </w:r>
      <w:r>
        <w:rPr>
          <w:i/>
        </w:rPr>
        <w:tab/>
        <w:t xml:space="preserve">                   </w:t>
      </w:r>
      <w:r w:rsidR="00001086">
        <w:rPr>
          <w:i/>
        </w:rPr>
        <w:t xml:space="preserve"> </w:t>
      </w:r>
      <w:r w:rsidR="00803AA5">
        <w:rPr>
          <w:i/>
        </w:rPr>
        <w:t xml:space="preserve"> </w:t>
      </w:r>
      <w:r>
        <w:t xml:space="preserve"> </w:t>
      </w:r>
    </w:p>
    <w:p w:rsidR="000B39B2" w:rsidRDefault="00001086" w:rsidP="00001086">
      <w:pPr>
        <w:pStyle w:val="normalblock"/>
        <w:spacing w:line="240" w:lineRule="auto"/>
        <w:ind w:firstLine="720"/>
      </w:pPr>
      <w:r>
        <w:rPr>
          <w:i/>
        </w:rPr>
        <w:tab/>
      </w:r>
      <w:r>
        <w:rPr>
          <w:i/>
        </w:rPr>
        <w:tab/>
      </w:r>
      <w:r>
        <w:rPr>
          <w:i/>
        </w:rPr>
        <w:tab/>
        <w:t xml:space="preserve"> </w:t>
      </w:r>
      <w:r w:rsidR="00143E8C">
        <w:rPr>
          <w:i/>
        </w:rPr>
        <w:tab/>
      </w:r>
      <w:r w:rsidR="00143E8C">
        <w:rPr>
          <w:i/>
        </w:rPr>
        <w:tab/>
      </w:r>
      <w:r w:rsidR="00143E8C">
        <w:rPr>
          <w:i/>
        </w:rPr>
        <w:tab/>
      </w:r>
      <w:r>
        <w:t>David S. Johnson, Attorney</w:t>
      </w:r>
    </w:p>
    <w:p w:rsidR="00001086" w:rsidRDefault="00001086" w:rsidP="00001086">
      <w:pPr>
        <w:pStyle w:val="normalblock"/>
        <w:spacing w:line="240" w:lineRule="auto"/>
        <w:ind w:firstLine="720"/>
      </w:pPr>
      <w:r>
        <w:tab/>
      </w:r>
      <w:r>
        <w:tab/>
        <w:t xml:space="preserve">   </w:t>
      </w:r>
      <w:r w:rsidR="00143E8C">
        <w:tab/>
      </w:r>
      <w:r w:rsidR="00143E8C">
        <w:tab/>
      </w:r>
      <w:r w:rsidR="00143E8C">
        <w:tab/>
      </w:r>
      <w:r w:rsidR="00143E8C">
        <w:tab/>
      </w:r>
      <w:r>
        <w:t>Danielle Dixon, Senior Policy Associate</w:t>
      </w:r>
    </w:p>
    <w:p w:rsidR="00001086" w:rsidRPr="00001086" w:rsidRDefault="00001086" w:rsidP="00001086">
      <w:pPr>
        <w:pStyle w:val="normalblock"/>
        <w:spacing w:line="240" w:lineRule="auto"/>
        <w:ind w:firstLine="720"/>
      </w:pPr>
      <w:r>
        <w:tab/>
      </w:r>
      <w:r>
        <w:tab/>
      </w:r>
      <w:r>
        <w:tab/>
        <w:t xml:space="preserve">   </w:t>
      </w:r>
      <w:r w:rsidR="00143E8C">
        <w:tab/>
      </w:r>
      <w:r w:rsidR="00143E8C">
        <w:tab/>
      </w:r>
      <w:r w:rsidR="00143E8C">
        <w:tab/>
      </w:r>
      <w:r>
        <w:t>811 First Ave., Suite 305</w:t>
      </w:r>
    </w:p>
    <w:p w:rsidR="005B1443" w:rsidRDefault="00001086" w:rsidP="00001086">
      <w:pPr>
        <w:pStyle w:val="normalblock"/>
        <w:spacing w:line="240" w:lineRule="auto"/>
        <w:ind w:firstLine="720"/>
      </w:pPr>
      <w:r>
        <w:rPr>
          <w:i/>
        </w:rPr>
        <w:tab/>
      </w:r>
      <w:r>
        <w:rPr>
          <w:i/>
        </w:rPr>
        <w:tab/>
      </w:r>
      <w:r>
        <w:rPr>
          <w:i/>
        </w:rPr>
        <w:tab/>
        <w:t xml:space="preserve">       </w:t>
      </w:r>
      <w:r w:rsidR="00143E8C">
        <w:rPr>
          <w:i/>
        </w:rPr>
        <w:tab/>
      </w:r>
      <w:r w:rsidR="00143E8C">
        <w:rPr>
          <w:i/>
        </w:rPr>
        <w:tab/>
      </w:r>
      <w:r w:rsidR="00143E8C">
        <w:rPr>
          <w:i/>
        </w:rPr>
        <w:tab/>
      </w:r>
      <w:r>
        <w:t>Seattle, WA 98104</w:t>
      </w:r>
    </w:p>
    <w:p w:rsidR="00001086" w:rsidRDefault="00001086" w:rsidP="00001086">
      <w:pPr>
        <w:pStyle w:val="normalblock"/>
        <w:spacing w:line="240" w:lineRule="auto"/>
        <w:ind w:firstLine="720"/>
      </w:pPr>
      <w:r>
        <w:tab/>
      </w:r>
      <w:r>
        <w:tab/>
      </w:r>
      <w:r>
        <w:tab/>
        <w:t xml:space="preserve">         </w:t>
      </w:r>
      <w:r w:rsidR="00143E8C">
        <w:tab/>
      </w:r>
      <w:r w:rsidR="00143E8C">
        <w:tab/>
      </w:r>
      <w:r w:rsidR="00143E8C">
        <w:tab/>
      </w:r>
      <w:r>
        <w:t>(206) 621-0094</w:t>
      </w:r>
    </w:p>
    <w:p w:rsidR="00143E8C" w:rsidRDefault="00001086" w:rsidP="00143E8C">
      <w:pPr>
        <w:pStyle w:val="normalblock"/>
        <w:spacing w:line="240" w:lineRule="auto"/>
        <w:ind w:firstLine="720"/>
      </w:pPr>
      <w:r>
        <w:tab/>
      </w:r>
      <w:r>
        <w:tab/>
      </w:r>
      <w:r>
        <w:tab/>
        <w:t xml:space="preserve">    </w:t>
      </w:r>
      <w:r w:rsidR="00143E8C">
        <w:tab/>
      </w:r>
      <w:r w:rsidR="00143E8C">
        <w:tab/>
      </w:r>
      <w:r w:rsidR="00143E8C">
        <w:tab/>
      </w:r>
      <w:hyperlink r:id="rId7" w:history="1">
        <w:r w:rsidR="00143E8C" w:rsidRPr="00F826D8">
          <w:rPr>
            <w:rStyle w:val="Hyperlink"/>
          </w:rPr>
          <w:t>david@nwenergy.org</w:t>
        </w:r>
      </w:hyperlink>
    </w:p>
    <w:p w:rsidR="00143E8C" w:rsidRDefault="00143E8C" w:rsidP="00143E8C">
      <w:pPr>
        <w:pStyle w:val="normalblock"/>
        <w:spacing w:line="240" w:lineRule="auto"/>
        <w:ind w:firstLine="720"/>
      </w:pPr>
      <w:r>
        <w:tab/>
      </w:r>
      <w:r>
        <w:tab/>
      </w:r>
      <w:r>
        <w:tab/>
      </w:r>
      <w:r>
        <w:tab/>
      </w:r>
      <w:r>
        <w:tab/>
      </w:r>
      <w:r>
        <w:tab/>
      </w:r>
      <w:hyperlink r:id="rId8" w:history="1">
        <w:r w:rsidRPr="00F826D8">
          <w:rPr>
            <w:rStyle w:val="Hyperlink"/>
          </w:rPr>
          <w:t>danielle@nwenergy.org</w:t>
        </w:r>
      </w:hyperlink>
    </w:p>
    <w:p w:rsidR="00143E8C" w:rsidRPr="00001086" w:rsidRDefault="00001086" w:rsidP="00143E8C">
      <w:pPr>
        <w:pStyle w:val="normalblock"/>
        <w:spacing w:line="240" w:lineRule="auto"/>
        <w:ind w:firstLine="720"/>
      </w:pPr>
      <w:r>
        <w:tab/>
      </w:r>
      <w:r>
        <w:tab/>
      </w:r>
      <w:r>
        <w:tab/>
        <w:t xml:space="preserve">   </w:t>
      </w:r>
      <w:r w:rsidR="00143E8C">
        <w:tab/>
      </w:r>
    </w:p>
    <w:p w:rsidR="005B1443" w:rsidRPr="009841AE" w:rsidRDefault="009841AE" w:rsidP="000F040E">
      <w:pPr>
        <w:pStyle w:val="normalblock"/>
        <w:spacing w:line="480" w:lineRule="auto"/>
        <w:jc w:val="center"/>
        <w:rPr>
          <w:u w:val="single"/>
        </w:rPr>
      </w:pPr>
      <w:r>
        <w:rPr>
          <w:u w:val="single"/>
        </w:rPr>
        <w:lastRenderedPageBreak/>
        <w:t>Table of Contents</w:t>
      </w:r>
    </w:p>
    <w:p w:rsidR="005B1443" w:rsidRDefault="005B1443" w:rsidP="0014229B">
      <w:pPr>
        <w:pStyle w:val="normalblock"/>
        <w:spacing w:line="240" w:lineRule="auto"/>
        <w:ind w:firstLine="720"/>
        <w:jc w:val="center"/>
        <w:rPr>
          <w:i/>
        </w:rPr>
      </w:pPr>
    </w:p>
    <w:p w:rsidR="005B1443" w:rsidRPr="009841AE" w:rsidRDefault="00872A4D" w:rsidP="005B1443">
      <w:pPr>
        <w:pStyle w:val="normalblock"/>
        <w:spacing w:line="480" w:lineRule="auto"/>
        <w:ind w:firstLine="720"/>
        <w:jc w:val="center"/>
        <w:rPr>
          <w:u w:val="single"/>
        </w:rPr>
      </w:pPr>
      <w:r>
        <w:rPr>
          <w:i/>
        </w:rPr>
        <w:tab/>
      </w:r>
      <w:r>
        <w:rPr>
          <w:i/>
        </w:rPr>
        <w:tab/>
      </w:r>
      <w:r>
        <w:rPr>
          <w:i/>
        </w:rPr>
        <w:tab/>
      </w:r>
      <w:r>
        <w:rPr>
          <w:i/>
        </w:rPr>
        <w:tab/>
      </w:r>
      <w:r>
        <w:rPr>
          <w:i/>
        </w:rPr>
        <w:tab/>
      </w:r>
      <w:r>
        <w:rPr>
          <w:i/>
        </w:rPr>
        <w:tab/>
      </w:r>
      <w:r>
        <w:rPr>
          <w:i/>
        </w:rPr>
        <w:tab/>
      </w:r>
      <w:r>
        <w:rPr>
          <w:i/>
        </w:rPr>
        <w:tab/>
      </w:r>
      <w:r w:rsidR="00723B1C">
        <w:rPr>
          <w:i/>
        </w:rPr>
        <w:tab/>
      </w:r>
      <w:r w:rsidR="009841AE">
        <w:rPr>
          <w:u w:val="single"/>
        </w:rPr>
        <w:t>Page</w:t>
      </w:r>
    </w:p>
    <w:p w:rsidR="00872A4D" w:rsidRPr="00872A4D" w:rsidRDefault="00872A4D" w:rsidP="0014229B">
      <w:pPr>
        <w:pStyle w:val="normalblock"/>
        <w:spacing w:line="240" w:lineRule="auto"/>
        <w:ind w:firstLine="720"/>
        <w:jc w:val="center"/>
        <w:rPr>
          <w:b/>
          <w:u w:val="single"/>
        </w:rPr>
      </w:pPr>
    </w:p>
    <w:p w:rsidR="00872A4D" w:rsidRDefault="009841AE" w:rsidP="00872A4D">
      <w:pPr>
        <w:pStyle w:val="normalblock"/>
        <w:spacing w:line="480" w:lineRule="auto"/>
      </w:pPr>
      <w:r>
        <w:t>I</w:t>
      </w:r>
      <w:r w:rsidR="00050044">
        <w:t>NTRODUCTION</w:t>
      </w:r>
      <w:r w:rsidR="00C040EB">
        <w:tab/>
      </w:r>
      <w:r w:rsidR="00C040EB">
        <w:tab/>
      </w:r>
      <w:r w:rsidR="00C040EB">
        <w:tab/>
      </w:r>
      <w:r w:rsidR="00C040EB">
        <w:tab/>
      </w:r>
      <w:r w:rsidR="00C040EB">
        <w:tab/>
      </w:r>
      <w:r w:rsidR="00C040EB">
        <w:tab/>
      </w:r>
      <w:r w:rsidR="00C040EB">
        <w:tab/>
      </w:r>
      <w:r w:rsidR="00C040EB">
        <w:tab/>
      </w:r>
      <w:r w:rsidR="00C040EB">
        <w:tab/>
        <w:t>1</w:t>
      </w:r>
    </w:p>
    <w:p w:rsidR="009841AE" w:rsidRPr="009841AE" w:rsidRDefault="009841AE" w:rsidP="009841AE">
      <w:pPr>
        <w:pStyle w:val="normalblock"/>
        <w:spacing w:line="240" w:lineRule="auto"/>
      </w:pPr>
    </w:p>
    <w:p w:rsidR="00050044" w:rsidRDefault="00050044" w:rsidP="00050044">
      <w:pPr>
        <w:pStyle w:val="normalblock"/>
        <w:spacing w:line="240" w:lineRule="auto"/>
      </w:pPr>
      <w:r>
        <w:t>THE COALITION DOES NOT TAKE A POSITION ON WHETHER</w:t>
      </w:r>
      <w:r w:rsidR="00C040EB">
        <w:tab/>
      </w:r>
      <w:r w:rsidR="00C040EB">
        <w:tab/>
        <w:t>2</w:t>
      </w:r>
    </w:p>
    <w:p w:rsidR="005B1443" w:rsidRDefault="00DC7093" w:rsidP="00050044">
      <w:pPr>
        <w:pStyle w:val="normalblock"/>
        <w:spacing w:line="240" w:lineRule="auto"/>
      </w:pPr>
      <w:r>
        <w:t xml:space="preserve">PSE’S </w:t>
      </w:r>
      <w:r w:rsidR="00F8416F">
        <w:t xml:space="preserve">PROPOSED </w:t>
      </w:r>
      <w:r w:rsidR="00050044">
        <w:t xml:space="preserve">CONSERVATION ADJUSTMENT </w:t>
      </w:r>
      <w:r w:rsidR="00E86F6C">
        <w:t>REPRESENTS</w:t>
      </w:r>
    </w:p>
    <w:p w:rsidR="00050044" w:rsidRDefault="00E86F6C" w:rsidP="00050044">
      <w:pPr>
        <w:pStyle w:val="normalblock"/>
        <w:spacing w:line="240" w:lineRule="auto"/>
      </w:pPr>
      <w:r>
        <w:t xml:space="preserve">A PROPER </w:t>
      </w:r>
      <w:r w:rsidR="00DC7093">
        <w:t xml:space="preserve">PRO FORMA RATEMAKING ADJUSTMENT </w:t>
      </w:r>
    </w:p>
    <w:p w:rsidR="009841AE" w:rsidRDefault="009841AE" w:rsidP="009841AE">
      <w:pPr>
        <w:pStyle w:val="normalblock"/>
        <w:spacing w:line="240" w:lineRule="auto"/>
      </w:pPr>
    </w:p>
    <w:p w:rsidR="00050044" w:rsidRDefault="00050044" w:rsidP="009841AE">
      <w:pPr>
        <w:pStyle w:val="normalblock"/>
        <w:spacing w:line="240" w:lineRule="auto"/>
      </w:pPr>
    </w:p>
    <w:p w:rsidR="007B35C7" w:rsidRDefault="008F3BE8" w:rsidP="009841AE">
      <w:pPr>
        <w:pStyle w:val="normalblock"/>
        <w:spacing w:line="240" w:lineRule="auto"/>
      </w:pPr>
      <w:r>
        <w:t>INCENTIVE</w:t>
      </w:r>
      <w:r w:rsidR="00574B11">
        <w:t>S</w:t>
      </w:r>
      <w:r w:rsidR="007B35C7">
        <w:t xml:space="preserve"> </w:t>
      </w:r>
      <w:r w:rsidR="00231C1E">
        <w:t>REMAIN IMPORTANT TOOLS TO</w:t>
      </w:r>
      <w:r w:rsidR="00574B11">
        <w:t xml:space="preserve"> PROMOTE EN-</w:t>
      </w:r>
      <w:r w:rsidR="00574B11">
        <w:tab/>
      </w:r>
      <w:r w:rsidR="00C040EB">
        <w:tab/>
      </w:r>
      <w:r w:rsidR="00864AFE">
        <w:t>4</w:t>
      </w:r>
      <w:r w:rsidR="00574B11">
        <w:t xml:space="preserve">    ERGY </w:t>
      </w:r>
      <w:r w:rsidR="007B35C7">
        <w:t>CONSERV</w:t>
      </w:r>
      <w:r w:rsidR="00050044">
        <w:t>ATION</w:t>
      </w:r>
      <w:r w:rsidR="00574B11">
        <w:t>,</w:t>
      </w:r>
      <w:r w:rsidR="00442B59">
        <w:t xml:space="preserve"> DESPITE PSE’S</w:t>
      </w:r>
      <w:r>
        <w:t xml:space="preserve"> </w:t>
      </w:r>
      <w:r w:rsidR="00231C1E">
        <w:t>DECISION</w:t>
      </w:r>
      <w:r w:rsidR="009E7151">
        <w:t xml:space="preserve"> NOT TO</w:t>
      </w:r>
      <w:r w:rsidR="00231C1E">
        <w:t xml:space="preserve"> </w:t>
      </w:r>
    </w:p>
    <w:p w:rsidR="00050044" w:rsidRDefault="00574B11" w:rsidP="009841AE">
      <w:pPr>
        <w:pStyle w:val="normalblock"/>
        <w:spacing w:line="240" w:lineRule="auto"/>
      </w:pPr>
      <w:r>
        <w:t>PURSUE THEM</w:t>
      </w:r>
      <w:r w:rsidR="007B35C7">
        <w:t xml:space="preserve"> </w:t>
      </w:r>
    </w:p>
    <w:p w:rsidR="00574B11" w:rsidRDefault="00574B11" w:rsidP="009841AE">
      <w:pPr>
        <w:pStyle w:val="normalblock"/>
        <w:spacing w:line="240" w:lineRule="auto"/>
      </w:pPr>
    </w:p>
    <w:p w:rsidR="00050044" w:rsidRPr="009841AE" w:rsidRDefault="00050044" w:rsidP="009841AE">
      <w:pPr>
        <w:pStyle w:val="normalblock"/>
        <w:spacing w:line="240" w:lineRule="auto"/>
      </w:pPr>
    </w:p>
    <w:p w:rsidR="00050044" w:rsidRDefault="00F57D52" w:rsidP="00442B59">
      <w:pPr>
        <w:pStyle w:val="normalblock"/>
        <w:spacing w:line="240" w:lineRule="auto"/>
      </w:pPr>
      <w:r>
        <w:t>THE CO</w:t>
      </w:r>
      <w:r w:rsidR="008F3BE8">
        <w:t>ALITION ENCOURAGES THE COMMISSION TO INITIATE</w:t>
      </w:r>
      <w:r w:rsidR="00C040EB">
        <w:tab/>
      </w:r>
      <w:r w:rsidR="00C040EB">
        <w:tab/>
      </w:r>
      <w:r w:rsidR="00864AFE">
        <w:t>6</w:t>
      </w:r>
    </w:p>
    <w:p w:rsidR="005B1443" w:rsidRDefault="008F3BE8" w:rsidP="00442B59">
      <w:pPr>
        <w:pStyle w:val="normalblock"/>
        <w:spacing w:line="240" w:lineRule="auto"/>
      </w:pPr>
      <w:r>
        <w:t>A RULEMAKING OR OTHER PROCEEDING</w:t>
      </w:r>
      <w:r w:rsidR="00574B11">
        <w:t>,</w:t>
      </w:r>
      <w:r>
        <w:t xml:space="preserve"> </w:t>
      </w:r>
      <w:r w:rsidR="002C5EBF">
        <w:t>FOR THE SPECIFIC</w:t>
      </w:r>
      <w:r w:rsidR="00050044">
        <w:t xml:space="preserve">  </w:t>
      </w:r>
    </w:p>
    <w:p w:rsidR="00DA6E30" w:rsidRDefault="002C5EBF" w:rsidP="00DA6E30">
      <w:pPr>
        <w:pStyle w:val="normalblock"/>
        <w:spacing w:line="240" w:lineRule="auto"/>
      </w:pPr>
      <w:r>
        <w:t xml:space="preserve">PURPOSE OF </w:t>
      </w:r>
      <w:r w:rsidR="00574B11">
        <w:t>EXAMIN</w:t>
      </w:r>
      <w:r>
        <w:t>ING</w:t>
      </w:r>
      <w:r w:rsidR="00574B11">
        <w:t xml:space="preserve"> </w:t>
      </w:r>
      <w:r w:rsidR="00C22AEE">
        <w:t>DISI</w:t>
      </w:r>
      <w:r w:rsidR="008F3BE8">
        <w:t>NCENTIVES TO ENERGY C</w:t>
      </w:r>
      <w:r w:rsidR="00CE7157">
        <w:t>ON</w:t>
      </w:r>
      <w:r>
        <w:t>-</w:t>
      </w:r>
    </w:p>
    <w:p w:rsidR="002C5EBF" w:rsidRDefault="002C5EBF" w:rsidP="00DA6E30">
      <w:pPr>
        <w:pStyle w:val="normalblock"/>
        <w:spacing w:line="240" w:lineRule="auto"/>
      </w:pPr>
      <w:r>
        <w:t>SERVATION</w:t>
      </w:r>
    </w:p>
    <w:p w:rsidR="00442B59" w:rsidRDefault="00442B59" w:rsidP="00DA6E30">
      <w:pPr>
        <w:pStyle w:val="normalblock"/>
        <w:spacing w:line="240" w:lineRule="auto"/>
      </w:pPr>
    </w:p>
    <w:p w:rsidR="00442B59" w:rsidRDefault="00442B59" w:rsidP="00DA6E30">
      <w:pPr>
        <w:pStyle w:val="normalblock"/>
        <w:spacing w:line="240" w:lineRule="auto"/>
      </w:pPr>
    </w:p>
    <w:p w:rsidR="00DA6E30" w:rsidRPr="009841AE" w:rsidRDefault="00DA6E30" w:rsidP="00DA6E30">
      <w:pPr>
        <w:pStyle w:val="normalblock"/>
        <w:spacing w:line="240" w:lineRule="auto"/>
      </w:pPr>
      <w:r>
        <w:t>CONCLUSION</w:t>
      </w:r>
      <w:r w:rsidR="00C040EB">
        <w:tab/>
      </w:r>
      <w:r w:rsidR="00C040EB">
        <w:tab/>
      </w:r>
      <w:r w:rsidR="00C040EB">
        <w:tab/>
      </w:r>
      <w:r w:rsidR="00C040EB">
        <w:tab/>
      </w:r>
      <w:r w:rsidR="00C040EB">
        <w:tab/>
      </w:r>
      <w:r w:rsidR="00C040EB">
        <w:tab/>
      </w:r>
      <w:r w:rsidR="00C040EB">
        <w:tab/>
      </w:r>
      <w:r w:rsidR="00C040EB">
        <w:tab/>
      </w:r>
      <w:r w:rsidR="00C040EB">
        <w:tab/>
        <w:t>1</w:t>
      </w:r>
      <w:r w:rsidR="003E151A">
        <w:t>1</w:t>
      </w:r>
    </w:p>
    <w:p w:rsidR="005B1443" w:rsidRDefault="005B1443" w:rsidP="005B1443">
      <w:pPr>
        <w:pStyle w:val="normalblock"/>
        <w:spacing w:line="480" w:lineRule="auto"/>
        <w:ind w:firstLine="720"/>
        <w:jc w:val="center"/>
        <w:rPr>
          <w:i/>
        </w:rPr>
      </w:pPr>
    </w:p>
    <w:p w:rsidR="005B1443" w:rsidRDefault="005B1443" w:rsidP="005B1443">
      <w:pPr>
        <w:pStyle w:val="normalblock"/>
        <w:spacing w:line="480" w:lineRule="auto"/>
        <w:ind w:firstLine="720"/>
        <w:jc w:val="center"/>
        <w:rPr>
          <w:i/>
        </w:rPr>
      </w:pPr>
    </w:p>
    <w:p w:rsidR="005B1443" w:rsidRDefault="005B1443" w:rsidP="005B1443">
      <w:pPr>
        <w:pStyle w:val="normalblock"/>
        <w:spacing w:line="480" w:lineRule="auto"/>
        <w:ind w:firstLine="720"/>
        <w:jc w:val="center"/>
        <w:rPr>
          <w:i/>
        </w:rPr>
      </w:pPr>
    </w:p>
    <w:p w:rsidR="005B1443" w:rsidRDefault="005B1443" w:rsidP="005B1443">
      <w:pPr>
        <w:pStyle w:val="normalblock"/>
        <w:spacing w:line="480" w:lineRule="auto"/>
        <w:ind w:firstLine="720"/>
        <w:jc w:val="center"/>
        <w:rPr>
          <w:i/>
        </w:rPr>
      </w:pPr>
    </w:p>
    <w:p w:rsidR="005B1443" w:rsidRDefault="005B1443" w:rsidP="005B1443">
      <w:pPr>
        <w:pStyle w:val="normalblock"/>
        <w:spacing w:line="480" w:lineRule="auto"/>
        <w:ind w:firstLine="720"/>
        <w:jc w:val="center"/>
        <w:rPr>
          <w:i/>
        </w:rPr>
      </w:pPr>
    </w:p>
    <w:p w:rsidR="009841AE" w:rsidRDefault="009841AE" w:rsidP="005045E6">
      <w:pPr>
        <w:pStyle w:val="normalblock"/>
        <w:spacing w:line="240" w:lineRule="auto"/>
        <w:rPr>
          <w:i/>
        </w:rPr>
      </w:pPr>
    </w:p>
    <w:p w:rsidR="00442B59" w:rsidRDefault="00442B59" w:rsidP="005045E6">
      <w:pPr>
        <w:pStyle w:val="normalblock"/>
        <w:spacing w:line="240" w:lineRule="auto"/>
        <w:rPr>
          <w:i/>
        </w:rPr>
      </w:pPr>
    </w:p>
    <w:p w:rsidR="007B35C7" w:rsidRDefault="007B35C7" w:rsidP="005045E6">
      <w:pPr>
        <w:pStyle w:val="normalblock"/>
        <w:spacing w:line="240" w:lineRule="auto"/>
        <w:rPr>
          <w:i/>
        </w:rPr>
      </w:pPr>
    </w:p>
    <w:p w:rsidR="0014229B" w:rsidRDefault="0014229B" w:rsidP="005045E6">
      <w:pPr>
        <w:pStyle w:val="normalblock"/>
        <w:spacing w:line="240" w:lineRule="auto"/>
        <w:rPr>
          <w:i/>
        </w:rPr>
      </w:pPr>
    </w:p>
    <w:p w:rsidR="0014229B" w:rsidRDefault="0014229B" w:rsidP="005045E6">
      <w:pPr>
        <w:pStyle w:val="normalblock"/>
        <w:spacing w:line="240" w:lineRule="auto"/>
        <w:rPr>
          <w:i/>
        </w:rPr>
      </w:pPr>
    </w:p>
    <w:p w:rsidR="005B1443" w:rsidRPr="009841AE" w:rsidRDefault="009841AE" w:rsidP="000F040E">
      <w:pPr>
        <w:pStyle w:val="normalblock"/>
        <w:spacing w:line="480" w:lineRule="auto"/>
        <w:jc w:val="center"/>
        <w:rPr>
          <w:u w:val="single"/>
        </w:rPr>
      </w:pPr>
      <w:r>
        <w:rPr>
          <w:u w:val="single"/>
        </w:rPr>
        <w:lastRenderedPageBreak/>
        <w:t>Table of Authorities</w:t>
      </w:r>
    </w:p>
    <w:p w:rsidR="000F040E" w:rsidRDefault="000F040E" w:rsidP="0014229B">
      <w:pPr>
        <w:pStyle w:val="normalblock"/>
        <w:spacing w:line="240" w:lineRule="auto"/>
        <w:jc w:val="center"/>
        <w:rPr>
          <w:b/>
          <w:u w:val="single"/>
        </w:rPr>
      </w:pPr>
    </w:p>
    <w:p w:rsidR="000F040E" w:rsidRDefault="009841AE" w:rsidP="0014229B">
      <w:pPr>
        <w:pStyle w:val="normalblock"/>
        <w:spacing w:line="240" w:lineRule="auto"/>
        <w:jc w:val="center"/>
        <w:rPr>
          <w:u w:val="single"/>
        </w:rPr>
      </w:pPr>
      <w:r>
        <w:tab/>
      </w:r>
      <w:r>
        <w:tab/>
      </w:r>
      <w:r>
        <w:tab/>
      </w:r>
      <w:r>
        <w:tab/>
      </w:r>
      <w:r>
        <w:tab/>
      </w:r>
      <w:r>
        <w:tab/>
      </w:r>
      <w:r>
        <w:tab/>
      </w:r>
      <w:r>
        <w:tab/>
      </w:r>
      <w:r>
        <w:tab/>
      </w:r>
      <w:r>
        <w:tab/>
      </w:r>
      <w:r w:rsidR="00F934EB">
        <w:t xml:space="preserve"> </w:t>
      </w:r>
      <w:r>
        <w:rPr>
          <w:u w:val="single"/>
        </w:rPr>
        <w:t>Page</w:t>
      </w:r>
    </w:p>
    <w:p w:rsidR="0014229B" w:rsidRDefault="0014229B" w:rsidP="0014229B">
      <w:pPr>
        <w:pStyle w:val="normalblock"/>
        <w:spacing w:line="240" w:lineRule="auto"/>
        <w:jc w:val="center"/>
        <w:rPr>
          <w:u w:val="single"/>
        </w:rPr>
      </w:pPr>
    </w:p>
    <w:p w:rsidR="0014229B" w:rsidRPr="009841AE" w:rsidRDefault="0014229B" w:rsidP="0014229B">
      <w:pPr>
        <w:pStyle w:val="normalblock"/>
        <w:spacing w:line="240" w:lineRule="auto"/>
        <w:jc w:val="center"/>
        <w:rPr>
          <w:u w:val="single"/>
        </w:rPr>
      </w:pPr>
    </w:p>
    <w:p w:rsidR="009841AE" w:rsidRDefault="009841AE" w:rsidP="009841AE">
      <w:pPr>
        <w:pStyle w:val="normalblock"/>
        <w:spacing w:line="480" w:lineRule="auto"/>
        <w:rPr>
          <w:u w:val="single"/>
        </w:rPr>
      </w:pPr>
      <w:r>
        <w:rPr>
          <w:u w:val="single"/>
        </w:rPr>
        <w:t>WUTC Decisions</w:t>
      </w:r>
    </w:p>
    <w:p w:rsidR="009841AE" w:rsidRPr="009841AE" w:rsidRDefault="009841AE" w:rsidP="009841AE">
      <w:pPr>
        <w:pStyle w:val="normalblock"/>
        <w:spacing w:line="240" w:lineRule="auto"/>
        <w:rPr>
          <w:u w:val="single"/>
        </w:rPr>
      </w:pPr>
    </w:p>
    <w:p w:rsidR="005045E6" w:rsidRDefault="001968AA" w:rsidP="005045E6">
      <w:pPr>
        <w:pStyle w:val="normalblock"/>
        <w:spacing w:line="240" w:lineRule="auto"/>
      </w:pPr>
      <w:r>
        <w:rPr>
          <w:i/>
        </w:rPr>
        <w:t>WUTC v. Puget Sound Energy, Inc.</w:t>
      </w:r>
      <w:r>
        <w:t>, Docket Nos. UE-060266</w:t>
      </w:r>
      <w:r w:rsidR="006A57F9">
        <w:tab/>
      </w:r>
      <w:r w:rsidR="006A57F9">
        <w:tab/>
        <w:t xml:space="preserve">           </w:t>
      </w:r>
      <w:r w:rsidR="001B5067">
        <w:t xml:space="preserve"> </w:t>
      </w:r>
      <w:r w:rsidR="001A0ACC">
        <w:t>1</w:t>
      </w:r>
      <w:r w:rsidR="00F934EB">
        <w:t xml:space="preserve">, </w:t>
      </w:r>
      <w:r w:rsidR="001A0ACC">
        <w:t>5</w:t>
      </w:r>
    </w:p>
    <w:p w:rsidR="005045E6" w:rsidRDefault="005045E6" w:rsidP="005045E6">
      <w:pPr>
        <w:pStyle w:val="normalblock"/>
        <w:spacing w:line="240" w:lineRule="auto"/>
      </w:pPr>
      <w:r>
        <w:t>and UG-060267, Order 08 (January 5, 2007)</w:t>
      </w:r>
    </w:p>
    <w:p w:rsidR="005045E6" w:rsidRDefault="005045E6" w:rsidP="005045E6">
      <w:pPr>
        <w:pStyle w:val="normalblock"/>
        <w:spacing w:line="240" w:lineRule="auto"/>
      </w:pPr>
    </w:p>
    <w:p w:rsidR="005045E6" w:rsidRPr="00647866" w:rsidRDefault="005045E6" w:rsidP="005045E6">
      <w:pPr>
        <w:pStyle w:val="normalblock"/>
        <w:spacing w:line="240" w:lineRule="auto"/>
      </w:pPr>
      <w:r>
        <w:rPr>
          <w:i/>
        </w:rPr>
        <w:t>In the Matter of the Joint Application of Puget Holdings LLC</w:t>
      </w:r>
      <w:r w:rsidR="00F934EB">
        <w:rPr>
          <w:i/>
        </w:rPr>
        <w:tab/>
      </w:r>
      <w:r w:rsidR="00F934EB">
        <w:rPr>
          <w:i/>
        </w:rPr>
        <w:tab/>
      </w:r>
      <w:r w:rsidR="001B5067">
        <w:rPr>
          <w:i/>
        </w:rPr>
        <w:tab/>
      </w:r>
      <w:r w:rsidR="00647866">
        <w:t>8</w:t>
      </w:r>
    </w:p>
    <w:p w:rsidR="005045E6" w:rsidRDefault="005045E6" w:rsidP="005045E6">
      <w:pPr>
        <w:pStyle w:val="normalblock"/>
        <w:spacing w:line="240" w:lineRule="auto"/>
        <w:rPr>
          <w:i/>
        </w:rPr>
      </w:pPr>
      <w:r>
        <w:rPr>
          <w:i/>
        </w:rPr>
        <w:t>and Puget Sound Energy, Inc. For an Order Approving Pro-</w:t>
      </w:r>
    </w:p>
    <w:p w:rsidR="00833AF9" w:rsidRDefault="004F66E6" w:rsidP="005045E6">
      <w:pPr>
        <w:pStyle w:val="normalblock"/>
        <w:spacing w:line="240" w:lineRule="auto"/>
      </w:pPr>
      <w:r>
        <w:rPr>
          <w:i/>
        </w:rPr>
        <w:t>p</w:t>
      </w:r>
      <w:r w:rsidR="005045E6">
        <w:rPr>
          <w:i/>
        </w:rPr>
        <w:t>osed Transaction</w:t>
      </w:r>
      <w:r w:rsidR="005045E6">
        <w:t xml:space="preserve">, </w:t>
      </w:r>
      <w:r w:rsidR="00833AF9">
        <w:t>Docket No. U-07</w:t>
      </w:r>
      <w:r w:rsidR="004D35B7">
        <w:t>2375</w:t>
      </w:r>
      <w:r w:rsidR="00833AF9">
        <w:t xml:space="preserve">, </w:t>
      </w:r>
      <w:r w:rsidR="005045E6">
        <w:t>Order 08</w:t>
      </w:r>
    </w:p>
    <w:p w:rsidR="005045E6" w:rsidRDefault="00833AF9" w:rsidP="005045E6">
      <w:pPr>
        <w:pStyle w:val="normalblock"/>
        <w:spacing w:line="240" w:lineRule="auto"/>
      </w:pPr>
      <w:r>
        <w:t xml:space="preserve">(December </w:t>
      </w:r>
      <w:r w:rsidR="005045E6">
        <w:t>30, 2008)</w:t>
      </w:r>
    </w:p>
    <w:p w:rsidR="005045E6" w:rsidRDefault="005045E6" w:rsidP="005045E6">
      <w:pPr>
        <w:pStyle w:val="normalblock"/>
        <w:spacing w:line="240" w:lineRule="auto"/>
      </w:pPr>
    </w:p>
    <w:p w:rsidR="00F934EB" w:rsidRPr="00F934EB" w:rsidRDefault="005045E6" w:rsidP="005045E6">
      <w:pPr>
        <w:pStyle w:val="normalblock"/>
        <w:spacing w:line="240" w:lineRule="auto"/>
      </w:pPr>
      <w:r>
        <w:rPr>
          <w:i/>
        </w:rPr>
        <w:t>In re Review of PURPA Standards in the Energy Independence</w:t>
      </w:r>
      <w:r w:rsidR="00F934EB">
        <w:rPr>
          <w:i/>
        </w:rPr>
        <w:tab/>
      </w:r>
      <w:r w:rsidR="00F934EB">
        <w:rPr>
          <w:i/>
        </w:rPr>
        <w:tab/>
      </w:r>
      <w:r w:rsidR="001B5067">
        <w:rPr>
          <w:i/>
        </w:rPr>
        <w:tab/>
      </w:r>
      <w:r w:rsidR="00F934EB">
        <w:t xml:space="preserve">3, </w:t>
      </w:r>
      <w:r w:rsidR="003E151A">
        <w:t>6</w:t>
      </w:r>
      <w:r w:rsidR="0074379F">
        <w:t>,</w:t>
      </w:r>
    </w:p>
    <w:p w:rsidR="005045E6" w:rsidRPr="00F934EB" w:rsidRDefault="00F934EB" w:rsidP="005045E6">
      <w:pPr>
        <w:pStyle w:val="normalblock"/>
        <w:spacing w:line="240" w:lineRule="auto"/>
        <w:rPr>
          <w:i/>
        </w:rPr>
      </w:pPr>
      <w:r>
        <w:rPr>
          <w:i/>
        </w:rPr>
        <w:t>and</w:t>
      </w:r>
      <w:r w:rsidR="005045E6">
        <w:rPr>
          <w:i/>
        </w:rPr>
        <w:t xml:space="preserve"> Security Act of 2007</w:t>
      </w:r>
      <w:r w:rsidR="005045E6">
        <w:t>, Docket No. U-090222, Order 01</w:t>
      </w:r>
      <w:r w:rsidR="001A0ACC">
        <w:tab/>
      </w:r>
      <w:r w:rsidR="001A0ACC">
        <w:tab/>
      </w:r>
      <w:r w:rsidR="001A0ACC">
        <w:tab/>
      </w:r>
      <w:r w:rsidR="001A0ACC">
        <w:tab/>
        <w:t>1</w:t>
      </w:r>
      <w:r w:rsidR="003E151A">
        <w:t>0</w:t>
      </w:r>
      <w:r w:rsidR="001A0ACC">
        <w:t>-1</w:t>
      </w:r>
      <w:r w:rsidR="003E151A">
        <w:t>1</w:t>
      </w:r>
    </w:p>
    <w:p w:rsidR="005045E6" w:rsidRDefault="005045E6" w:rsidP="005045E6">
      <w:pPr>
        <w:pStyle w:val="normalblock"/>
        <w:spacing w:line="240" w:lineRule="auto"/>
      </w:pPr>
      <w:r>
        <w:t>(September 14, 2009)</w:t>
      </w:r>
    </w:p>
    <w:p w:rsidR="005045E6" w:rsidRDefault="005045E6" w:rsidP="005045E6">
      <w:pPr>
        <w:pStyle w:val="normalblock"/>
        <w:spacing w:line="240" w:lineRule="auto"/>
      </w:pPr>
    </w:p>
    <w:p w:rsidR="00DC5882" w:rsidRDefault="005045E6" w:rsidP="005045E6">
      <w:pPr>
        <w:pStyle w:val="normalblock"/>
        <w:spacing w:line="240" w:lineRule="auto"/>
      </w:pPr>
      <w:r>
        <w:rPr>
          <w:i/>
        </w:rPr>
        <w:t>WUTC v. Avista Corporation, d/b/a Avista Utilities</w:t>
      </w:r>
      <w:r>
        <w:t>, Docket</w:t>
      </w:r>
      <w:r w:rsidR="00DC5882">
        <w:tab/>
      </w:r>
      <w:r w:rsidR="00F934EB">
        <w:tab/>
      </w:r>
      <w:r w:rsidR="00F934EB">
        <w:tab/>
      </w:r>
      <w:r w:rsidR="00F934EB">
        <w:tab/>
        <w:t>3</w:t>
      </w:r>
      <w:r w:rsidR="006A57F9">
        <w:t xml:space="preserve">, </w:t>
      </w:r>
      <w:r w:rsidR="001A0ACC">
        <w:t>5</w:t>
      </w:r>
      <w:r w:rsidR="00DC5882">
        <w:t xml:space="preserve">, </w:t>
      </w:r>
      <w:r w:rsidR="001A0ACC">
        <w:t>8,</w:t>
      </w:r>
    </w:p>
    <w:p w:rsidR="00DC5882" w:rsidRDefault="00DC5882" w:rsidP="005045E6">
      <w:pPr>
        <w:pStyle w:val="normalblock"/>
        <w:spacing w:line="240" w:lineRule="auto"/>
      </w:pPr>
      <w:r>
        <w:t>Nos. UE-090134, UG-090135, and UG-060518, Order 10</w:t>
      </w:r>
      <w:r w:rsidR="001A0ACC">
        <w:tab/>
      </w:r>
      <w:r w:rsidR="001A0ACC">
        <w:tab/>
      </w:r>
      <w:r w:rsidR="001A0ACC">
        <w:tab/>
      </w:r>
      <w:r w:rsidR="001A0ACC">
        <w:tab/>
        <w:t>1</w:t>
      </w:r>
      <w:r w:rsidR="003E151A">
        <w:t>1</w:t>
      </w:r>
    </w:p>
    <w:p w:rsidR="002103A8" w:rsidRDefault="005045E6" w:rsidP="009841AE">
      <w:pPr>
        <w:pStyle w:val="normalblock"/>
        <w:spacing w:line="240" w:lineRule="auto"/>
      </w:pPr>
      <w:r>
        <w:t>(December 22, 2009</w:t>
      </w:r>
      <w:r w:rsidR="009841AE">
        <w:t>)</w:t>
      </w:r>
    </w:p>
    <w:p w:rsidR="009841AE" w:rsidRDefault="009841AE" w:rsidP="009841AE">
      <w:pPr>
        <w:pStyle w:val="normalblock"/>
        <w:spacing w:line="240" w:lineRule="auto"/>
      </w:pPr>
    </w:p>
    <w:p w:rsidR="009841AE" w:rsidRPr="001968AA" w:rsidRDefault="009841AE" w:rsidP="009841AE">
      <w:pPr>
        <w:pStyle w:val="normalblock"/>
        <w:spacing w:line="240" w:lineRule="auto"/>
      </w:pPr>
    </w:p>
    <w:p w:rsidR="009841AE" w:rsidRDefault="009841AE" w:rsidP="009841AE">
      <w:pPr>
        <w:pStyle w:val="normalblock"/>
        <w:spacing w:line="480" w:lineRule="auto"/>
        <w:rPr>
          <w:u w:val="single"/>
        </w:rPr>
      </w:pPr>
      <w:r>
        <w:rPr>
          <w:u w:val="single"/>
        </w:rPr>
        <w:t>Washington Statutes</w:t>
      </w:r>
    </w:p>
    <w:p w:rsidR="009841AE" w:rsidRPr="009841AE" w:rsidRDefault="009841AE" w:rsidP="009841AE">
      <w:pPr>
        <w:pStyle w:val="normalblock"/>
        <w:spacing w:line="240" w:lineRule="auto"/>
        <w:rPr>
          <w:u w:val="single"/>
        </w:rPr>
      </w:pPr>
    </w:p>
    <w:p w:rsidR="002103A8" w:rsidRPr="00132B27" w:rsidRDefault="00132B27" w:rsidP="002103A8">
      <w:pPr>
        <w:pStyle w:val="normalblock"/>
        <w:spacing w:line="480" w:lineRule="auto"/>
      </w:pPr>
      <w:r>
        <w:t>RCW 80.24.024</w:t>
      </w:r>
      <w:r w:rsidR="00F934EB">
        <w:tab/>
      </w:r>
      <w:r w:rsidR="00F934EB">
        <w:tab/>
      </w:r>
      <w:r w:rsidR="00F934EB">
        <w:tab/>
      </w:r>
      <w:r w:rsidR="00F934EB">
        <w:tab/>
      </w:r>
      <w:r w:rsidR="00F934EB">
        <w:tab/>
      </w:r>
      <w:r w:rsidR="00F934EB">
        <w:tab/>
      </w:r>
      <w:r w:rsidR="00F934EB">
        <w:tab/>
      </w:r>
      <w:r w:rsidR="00F934EB">
        <w:tab/>
      </w:r>
      <w:r w:rsidR="00F934EB">
        <w:tab/>
      </w:r>
      <w:r w:rsidR="0074598C">
        <w:t>5</w:t>
      </w:r>
    </w:p>
    <w:p w:rsidR="00132B27" w:rsidRDefault="00132B27" w:rsidP="002103A8">
      <w:pPr>
        <w:pStyle w:val="normalblock"/>
        <w:spacing w:line="480" w:lineRule="auto"/>
      </w:pPr>
      <w:r>
        <w:t>RCW 80.28.260</w:t>
      </w:r>
      <w:r w:rsidR="00F934EB">
        <w:tab/>
      </w:r>
      <w:r w:rsidR="00F934EB">
        <w:tab/>
      </w:r>
      <w:r w:rsidR="00F934EB">
        <w:tab/>
      </w:r>
      <w:r w:rsidR="00F934EB">
        <w:tab/>
      </w:r>
      <w:r w:rsidR="00F934EB">
        <w:tab/>
      </w:r>
      <w:r w:rsidR="00F934EB">
        <w:tab/>
      </w:r>
      <w:r w:rsidR="00F934EB">
        <w:tab/>
      </w:r>
      <w:r w:rsidR="00F934EB">
        <w:tab/>
      </w:r>
      <w:r w:rsidR="00F934EB">
        <w:tab/>
        <w:t>2</w:t>
      </w:r>
      <w:r w:rsidR="00357866">
        <w:t xml:space="preserve">, </w:t>
      </w:r>
      <w:r w:rsidR="0074598C">
        <w:t>5</w:t>
      </w:r>
    </w:p>
    <w:p w:rsidR="00132B27" w:rsidRDefault="00132B27" w:rsidP="002103A8">
      <w:pPr>
        <w:pStyle w:val="normalblock"/>
        <w:spacing w:line="480" w:lineRule="auto"/>
      </w:pPr>
      <w:r>
        <w:t>RCW 19.285.060</w:t>
      </w:r>
      <w:r w:rsidR="00F934EB">
        <w:tab/>
      </w:r>
      <w:r w:rsidR="00F934EB">
        <w:tab/>
      </w:r>
      <w:r w:rsidR="00F934EB">
        <w:tab/>
      </w:r>
      <w:r w:rsidR="00F934EB">
        <w:tab/>
      </w:r>
      <w:r w:rsidR="00F934EB">
        <w:tab/>
      </w:r>
      <w:r w:rsidR="00F934EB">
        <w:tab/>
      </w:r>
      <w:r w:rsidR="00F934EB">
        <w:tab/>
      </w:r>
      <w:r w:rsidR="00F934EB">
        <w:tab/>
      </w:r>
      <w:r w:rsidR="00F934EB">
        <w:tab/>
      </w:r>
      <w:r w:rsidR="0074598C">
        <w:t>5</w:t>
      </w:r>
    </w:p>
    <w:p w:rsidR="001968AA" w:rsidRPr="00132B27" w:rsidRDefault="00132B27" w:rsidP="009841AE">
      <w:pPr>
        <w:pStyle w:val="normalblock"/>
        <w:spacing w:line="480" w:lineRule="auto"/>
      </w:pPr>
      <w:r>
        <w:t>RCW 19.285.040</w:t>
      </w:r>
      <w:r w:rsidR="0074598C">
        <w:tab/>
      </w:r>
      <w:r w:rsidR="0074598C">
        <w:tab/>
      </w:r>
      <w:r w:rsidR="0074598C">
        <w:tab/>
      </w:r>
      <w:r w:rsidR="0074598C">
        <w:tab/>
      </w:r>
      <w:r w:rsidR="0074598C">
        <w:tab/>
      </w:r>
      <w:r w:rsidR="0074598C">
        <w:tab/>
      </w:r>
      <w:r w:rsidR="0074598C">
        <w:tab/>
      </w:r>
      <w:r w:rsidR="0074598C">
        <w:tab/>
      </w:r>
      <w:r w:rsidR="0074598C">
        <w:tab/>
      </w:r>
      <w:r w:rsidR="00F934EB">
        <w:t>5,</w:t>
      </w:r>
      <w:r w:rsidR="001B5067">
        <w:t xml:space="preserve"> </w:t>
      </w:r>
      <w:r w:rsidR="003E151A">
        <w:t>9</w:t>
      </w:r>
    </w:p>
    <w:p w:rsidR="009841AE" w:rsidRPr="004C30E2" w:rsidRDefault="004C30E2" w:rsidP="009841AE">
      <w:pPr>
        <w:pStyle w:val="normalblock"/>
        <w:spacing w:line="480" w:lineRule="auto"/>
      </w:pPr>
      <w:r>
        <w:t>Chapter 19.285 RCW</w:t>
      </w:r>
      <w:r>
        <w:tab/>
      </w:r>
      <w:r>
        <w:tab/>
      </w:r>
      <w:r>
        <w:tab/>
      </w:r>
      <w:r>
        <w:tab/>
      </w:r>
      <w:r>
        <w:tab/>
      </w:r>
      <w:r>
        <w:tab/>
      </w:r>
      <w:r>
        <w:tab/>
      </w:r>
      <w:r>
        <w:tab/>
      </w:r>
      <w:r>
        <w:tab/>
      </w:r>
      <w:r w:rsidR="003E151A">
        <w:t>6</w:t>
      </w:r>
    </w:p>
    <w:p w:rsidR="009841AE" w:rsidRDefault="009841AE" w:rsidP="009841AE">
      <w:pPr>
        <w:pStyle w:val="normalblock"/>
        <w:spacing w:line="480" w:lineRule="auto"/>
        <w:rPr>
          <w:b/>
          <w:u w:val="single"/>
        </w:rPr>
      </w:pPr>
    </w:p>
    <w:p w:rsidR="0014229B" w:rsidRPr="0014229B" w:rsidRDefault="0014229B" w:rsidP="0014229B">
      <w:pPr>
        <w:pStyle w:val="normalblock"/>
        <w:spacing w:line="240" w:lineRule="auto"/>
        <w:jc w:val="center"/>
        <w:rPr>
          <w:u w:val="single"/>
        </w:rPr>
      </w:pPr>
      <w:r>
        <w:rPr>
          <w:u w:val="single"/>
        </w:rPr>
        <w:lastRenderedPageBreak/>
        <w:t>Table of Authorities (cont.)</w:t>
      </w:r>
    </w:p>
    <w:p w:rsidR="0014229B" w:rsidRDefault="0014229B" w:rsidP="0014229B">
      <w:pPr>
        <w:pStyle w:val="normalblock"/>
        <w:spacing w:line="240" w:lineRule="auto"/>
      </w:pPr>
    </w:p>
    <w:p w:rsidR="0014229B" w:rsidRDefault="0014229B" w:rsidP="0014229B">
      <w:pPr>
        <w:pStyle w:val="normalblock"/>
        <w:spacing w:line="240" w:lineRule="auto"/>
      </w:pPr>
    </w:p>
    <w:p w:rsidR="00E60696" w:rsidRDefault="00E60696" w:rsidP="0014229B">
      <w:pPr>
        <w:pStyle w:val="normalblock"/>
        <w:spacing w:line="240" w:lineRule="auto"/>
        <w:rPr>
          <w:u w:val="single"/>
        </w:rPr>
      </w:pPr>
      <w:r>
        <w:tab/>
      </w:r>
      <w:r>
        <w:tab/>
      </w:r>
      <w:r>
        <w:tab/>
      </w:r>
      <w:r>
        <w:tab/>
      </w:r>
      <w:r>
        <w:tab/>
      </w:r>
      <w:r>
        <w:tab/>
      </w:r>
      <w:r>
        <w:tab/>
      </w:r>
      <w:r>
        <w:tab/>
      </w:r>
      <w:r>
        <w:tab/>
      </w:r>
      <w:r>
        <w:tab/>
        <w:t xml:space="preserve">          </w:t>
      </w:r>
      <w:r>
        <w:rPr>
          <w:u w:val="single"/>
        </w:rPr>
        <w:t>Page</w:t>
      </w:r>
    </w:p>
    <w:p w:rsidR="0014229B" w:rsidRDefault="0014229B" w:rsidP="0014229B">
      <w:pPr>
        <w:pStyle w:val="normalblock"/>
        <w:spacing w:line="240" w:lineRule="auto"/>
        <w:rPr>
          <w:u w:val="single"/>
        </w:rPr>
      </w:pPr>
    </w:p>
    <w:p w:rsidR="0014229B" w:rsidRPr="00E60696" w:rsidRDefault="0014229B" w:rsidP="0014229B">
      <w:pPr>
        <w:pStyle w:val="normalblock"/>
        <w:spacing w:line="240" w:lineRule="auto"/>
        <w:rPr>
          <w:u w:val="single"/>
        </w:rPr>
      </w:pPr>
    </w:p>
    <w:p w:rsidR="001968AA" w:rsidRDefault="009841AE" w:rsidP="009841AE">
      <w:pPr>
        <w:pStyle w:val="normalblock"/>
        <w:spacing w:line="480" w:lineRule="auto"/>
        <w:rPr>
          <w:u w:val="single"/>
        </w:rPr>
      </w:pPr>
      <w:r>
        <w:rPr>
          <w:u w:val="single"/>
        </w:rPr>
        <w:t>Washington Rules and Regulations</w:t>
      </w:r>
    </w:p>
    <w:p w:rsidR="009841AE" w:rsidRPr="009841AE" w:rsidRDefault="009841AE" w:rsidP="009841AE">
      <w:pPr>
        <w:pStyle w:val="normalblock"/>
        <w:spacing w:line="240" w:lineRule="auto"/>
        <w:rPr>
          <w:u w:val="single"/>
        </w:rPr>
      </w:pPr>
    </w:p>
    <w:p w:rsidR="002103A8" w:rsidRDefault="00132B27" w:rsidP="002103A8">
      <w:pPr>
        <w:pStyle w:val="normalblock"/>
        <w:spacing w:line="480" w:lineRule="auto"/>
      </w:pPr>
      <w:r>
        <w:t>WAC 480-07-495</w:t>
      </w:r>
      <w:r w:rsidR="00B95C39">
        <w:tab/>
      </w:r>
      <w:r w:rsidR="00B95C39">
        <w:tab/>
      </w:r>
      <w:r w:rsidR="00B95C39">
        <w:tab/>
      </w:r>
      <w:r w:rsidR="00B95C39">
        <w:tab/>
      </w:r>
      <w:r w:rsidR="00B95C39">
        <w:tab/>
      </w:r>
      <w:r w:rsidR="00B95C39">
        <w:tab/>
      </w:r>
      <w:r w:rsidR="00B95C39">
        <w:tab/>
      </w:r>
      <w:r w:rsidR="00B95C39">
        <w:tab/>
      </w:r>
      <w:r w:rsidR="00B95C39">
        <w:tab/>
      </w:r>
      <w:r w:rsidR="003E151A">
        <w:t>9</w:t>
      </w:r>
    </w:p>
    <w:p w:rsidR="00132B27" w:rsidRDefault="00132B27" w:rsidP="002103A8">
      <w:pPr>
        <w:pStyle w:val="normalblock"/>
        <w:spacing w:line="480" w:lineRule="auto"/>
      </w:pPr>
      <w:r>
        <w:t>WAC 480-07-510</w:t>
      </w:r>
      <w:r w:rsidR="00B95C39">
        <w:tab/>
      </w:r>
      <w:r w:rsidR="00B95C39">
        <w:tab/>
      </w:r>
      <w:r w:rsidR="00B95C39">
        <w:tab/>
      </w:r>
      <w:r w:rsidR="00B95C39">
        <w:tab/>
      </w:r>
      <w:r w:rsidR="00B95C39">
        <w:tab/>
      </w:r>
      <w:r w:rsidR="00B95C39">
        <w:tab/>
      </w:r>
      <w:r w:rsidR="00B95C39">
        <w:tab/>
      </w:r>
      <w:r w:rsidR="00B95C39">
        <w:tab/>
      </w:r>
      <w:r w:rsidR="00B95C39">
        <w:tab/>
        <w:t>1</w:t>
      </w:r>
      <w:r w:rsidR="006A57F9">
        <w:t>-</w:t>
      </w:r>
      <w:r w:rsidR="00B95C39">
        <w:t>3</w:t>
      </w:r>
    </w:p>
    <w:p w:rsidR="00132B27" w:rsidRDefault="00132B27" w:rsidP="002103A8">
      <w:pPr>
        <w:pStyle w:val="normalblock"/>
        <w:spacing w:line="480" w:lineRule="auto"/>
      </w:pPr>
      <w:r>
        <w:t>WAC 480-109-010</w:t>
      </w:r>
      <w:r w:rsidR="00B95C39">
        <w:tab/>
      </w:r>
      <w:r w:rsidR="00B95C39">
        <w:tab/>
      </w:r>
      <w:r w:rsidR="00B95C39">
        <w:tab/>
      </w:r>
      <w:r w:rsidR="00B95C39">
        <w:tab/>
      </w:r>
      <w:r w:rsidR="00B95C39">
        <w:tab/>
      </w:r>
      <w:r w:rsidR="00B95C39">
        <w:tab/>
      </w:r>
      <w:r w:rsidR="00B95C39">
        <w:tab/>
      </w:r>
      <w:r w:rsidR="00B95C39">
        <w:tab/>
      </w:r>
      <w:r w:rsidR="00B95C39">
        <w:tab/>
      </w:r>
      <w:r w:rsidR="003E151A">
        <w:t>9</w:t>
      </w:r>
    </w:p>
    <w:p w:rsidR="001968AA" w:rsidRPr="00132B27" w:rsidRDefault="001968AA" w:rsidP="009841AE">
      <w:pPr>
        <w:pStyle w:val="normalblock"/>
        <w:spacing w:line="240" w:lineRule="auto"/>
      </w:pPr>
    </w:p>
    <w:p w:rsidR="002103A8" w:rsidRDefault="009841AE" w:rsidP="002103A8">
      <w:pPr>
        <w:pStyle w:val="normalblock"/>
        <w:spacing w:line="480" w:lineRule="auto"/>
        <w:rPr>
          <w:u w:val="single"/>
        </w:rPr>
      </w:pPr>
      <w:r>
        <w:rPr>
          <w:u w:val="single"/>
        </w:rPr>
        <w:t>Other Citations</w:t>
      </w:r>
    </w:p>
    <w:p w:rsidR="009841AE" w:rsidRDefault="009841AE" w:rsidP="009841AE">
      <w:pPr>
        <w:pStyle w:val="normalblock"/>
        <w:spacing w:line="240" w:lineRule="auto"/>
        <w:rPr>
          <w:u w:val="single"/>
        </w:rPr>
      </w:pPr>
    </w:p>
    <w:p w:rsidR="009841AE" w:rsidRPr="003E151A" w:rsidRDefault="009841AE" w:rsidP="009841AE">
      <w:pPr>
        <w:pStyle w:val="normalblock"/>
        <w:spacing w:line="240" w:lineRule="auto"/>
      </w:pPr>
      <w:r>
        <w:rPr>
          <w:i/>
        </w:rPr>
        <w:t>Notice of Opportunity to Comment and Notice of Open</w:t>
      </w:r>
      <w:r w:rsidR="00B95C39">
        <w:rPr>
          <w:i/>
        </w:rPr>
        <w:tab/>
      </w:r>
      <w:r w:rsidR="00B95C39">
        <w:rPr>
          <w:i/>
        </w:rPr>
        <w:tab/>
      </w:r>
      <w:r w:rsidR="00B95C39">
        <w:rPr>
          <w:i/>
        </w:rPr>
        <w:tab/>
      </w:r>
      <w:r w:rsidR="00B95C39">
        <w:rPr>
          <w:i/>
        </w:rPr>
        <w:tab/>
      </w:r>
      <w:r w:rsidR="003E151A">
        <w:t>9</w:t>
      </w:r>
    </w:p>
    <w:p w:rsidR="009841AE" w:rsidRPr="009841AE" w:rsidRDefault="002058F7" w:rsidP="009841AE">
      <w:pPr>
        <w:pStyle w:val="normalblock"/>
        <w:spacing w:line="240" w:lineRule="auto"/>
      </w:pPr>
      <w:r>
        <w:rPr>
          <w:i/>
        </w:rPr>
        <w:t xml:space="preserve">Meeting, </w:t>
      </w:r>
      <w:r w:rsidR="009841AE" w:rsidRPr="002058F7">
        <w:t>Docket</w:t>
      </w:r>
      <w:r w:rsidR="009841AE">
        <w:t xml:space="preserve"> No. UE-100177 (February 2, 2010)</w:t>
      </w:r>
    </w:p>
    <w:p w:rsidR="009841AE" w:rsidRPr="009841AE" w:rsidRDefault="009841AE" w:rsidP="009841AE">
      <w:pPr>
        <w:pStyle w:val="normalblock"/>
        <w:spacing w:line="240" w:lineRule="auto"/>
        <w:rPr>
          <w:u w:val="single"/>
        </w:rPr>
      </w:pPr>
    </w:p>
    <w:p w:rsidR="005B1443" w:rsidRPr="000F040E" w:rsidRDefault="005B1443" w:rsidP="000B39B2">
      <w:pPr>
        <w:pStyle w:val="normalblock"/>
        <w:spacing w:line="480" w:lineRule="auto"/>
      </w:pPr>
    </w:p>
    <w:p w:rsidR="005B1443" w:rsidRDefault="005B1443" w:rsidP="000B39B2">
      <w:pPr>
        <w:pStyle w:val="normalblock"/>
        <w:spacing w:line="480" w:lineRule="auto"/>
        <w:rPr>
          <w:i/>
        </w:rPr>
      </w:pPr>
    </w:p>
    <w:p w:rsidR="005B1443" w:rsidRDefault="005B1443" w:rsidP="000B39B2">
      <w:pPr>
        <w:pStyle w:val="normalblock"/>
        <w:spacing w:line="480" w:lineRule="auto"/>
        <w:rPr>
          <w:i/>
        </w:rPr>
      </w:pPr>
    </w:p>
    <w:p w:rsidR="005B1443" w:rsidRDefault="005B1443" w:rsidP="000B39B2">
      <w:pPr>
        <w:pStyle w:val="normalblock"/>
        <w:spacing w:line="480" w:lineRule="auto"/>
        <w:rPr>
          <w:i/>
        </w:rPr>
      </w:pPr>
    </w:p>
    <w:p w:rsidR="005B1443" w:rsidRDefault="005B1443" w:rsidP="000B39B2">
      <w:pPr>
        <w:pStyle w:val="normalblock"/>
        <w:spacing w:line="480" w:lineRule="auto"/>
        <w:rPr>
          <w:i/>
        </w:rPr>
      </w:pPr>
    </w:p>
    <w:p w:rsidR="00872A4D" w:rsidRDefault="00872A4D" w:rsidP="000B39B2">
      <w:pPr>
        <w:pStyle w:val="normalblock"/>
        <w:spacing w:line="480" w:lineRule="auto"/>
        <w:rPr>
          <w:i/>
        </w:rPr>
      </w:pPr>
    </w:p>
    <w:p w:rsidR="00872A4D" w:rsidRDefault="00872A4D" w:rsidP="000B39B2">
      <w:pPr>
        <w:pStyle w:val="normalblock"/>
        <w:spacing w:line="480" w:lineRule="auto"/>
        <w:rPr>
          <w:i/>
        </w:rPr>
      </w:pPr>
    </w:p>
    <w:p w:rsidR="00872A4D" w:rsidRDefault="00872A4D" w:rsidP="000B39B2">
      <w:pPr>
        <w:pStyle w:val="normalblock"/>
        <w:spacing w:line="480" w:lineRule="auto"/>
        <w:rPr>
          <w:i/>
        </w:rPr>
      </w:pPr>
    </w:p>
    <w:p w:rsidR="00872A4D" w:rsidRDefault="00872A4D" w:rsidP="000B39B2">
      <w:pPr>
        <w:pStyle w:val="normalblock"/>
        <w:spacing w:line="480" w:lineRule="auto"/>
        <w:rPr>
          <w:i/>
        </w:rPr>
      </w:pPr>
    </w:p>
    <w:p w:rsidR="00872A4D" w:rsidRDefault="00872A4D" w:rsidP="000B39B2">
      <w:pPr>
        <w:pStyle w:val="normalblock"/>
        <w:spacing w:line="480" w:lineRule="auto"/>
        <w:rPr>
          <w:i/>
        </w:rPr>
      </w:pPr>
    </w:p>
    <w:p w:rsidR="009B1DDB" w:rsidRDefault="009B1DDB" w:rsidP="009B588E">
      <w:pPr>
        <w:pStyle w:val="normalblock"/>
        <w:spacing w:line="480" w:lineRule="auto"/>
        <w:rPr>
          <w:b/>
        </w:rPr>
        <w:sectPr w:rsidR="009B1DDB" w:rsidSect="009B1DDB">
          <w:headerReference w:type="default" r:id="rId9"/>
          <w:footerReference w:type="default" r:id="rId10"/>
          <w:footerReference w:type="first" r:id="rId11"/>
          <w:pgSz w:w="12240" w:h="15840"/>
          <w:pgMar w:top="-2160" w:right="1440" w:bottom="-2304" w:left="1872" w:header="360" w:footer="576" w:gutter="0"/>
          <w:pgNumType w:fmt="lowerRoman" w:start="1"/>
          <w:cols w:space="720"/>
          <w:formProt w:val="0"/>
          <w:titlePg/>
          <w:docGrid w:linePitch="360"/>
        </w:sectPr>
      </w:pPr>
    </w:p>
    <w:p w:rsidR="00950396" w:rsidRDefault="003B41FC" w:rsidP="0014229B">
      <w:pPr>
        <w:pStyle w:val="normalblock"/>
        <w:spacing w:line="480" w:lineRule="auto"/>
        <w:jc w:val="center"/>
        <w:rPr>
          <w:b/>
        </w:rPr>
      </w:pPr>
      <w:r>
        <w:rPr>
          <w:b/>
        </w:rPr>
        <w:lastRenderedPageBreak/>
        <w:t>INTRODUCTION</w:t>
      </w:r>
    </w:p>
    <w:p w:rsidR="00231C1E" w:rsidRPr="003D2DAD" w:rsidRDefault="00231C1E" w:rsidP="00231C1E">
      <w:pPr>
        <w:pStyle w:val="normalblock"/>
        <w:spacing w:line="240" w:lineRule="auto"/>
        <w:jc w:val="center"/>
        <w:rPr>
          <w:b/>
        </w:rPr>
      </w:pPr>
    </w:p>
    <w:p w:rsidR="00B768BB" w:rsidRPr="00B768BB" w:rsidRDefault="00654EBB" w:rsidP="00654EBB">
      <w:pPr>
        <w:widowControl/>
        <w:spacing w:line="480" w:lineRule="auto"/>
        <w:rPr>
          <w:b/>
        </w:rPr>
      </w:pPr>
      <w:r>
        <w:t>1.</w:t>
      </w:r>
      <w:r>
        <w:tab/>
        <w:t>T</w:t>
      </w:r>
      <w:r w:rsidR="00991EB6">
        <w:t>he NW Energy Coalition</w:t>
      </w:r>
      <w:r w:rsidR="00B768BB">
        <w:t xml:space="preserve"> (</w:t>
      </w:r>
      <w:r w:rsidR="001E601E">
        <w:t>“Coalition”)</w:t>
      </w:r>
      <w:r w:rsidR="00B82C07">
        <w:t xml:space="preserve"> submits th</w:t>
      </w:r>
      <w:r w:rsidR="000F040E">
        <w:t xml:space="preserve">is Brief related to Puget Sound </w:t>
      </w:r>
      <w:r w:rsidR="00B82C07">
        <w:t>Energy’s (“PSE”) general rate case</w:t>
      </w:r>
      <w:r w:rsidR="00991EB6">
        <w:t>.</w:t>
      </w:r>
      <w:r w:rsidR="00B768BB">
        <w:rPr>
          <w:b/>
        </w:rPr>
        <w:t xml:space="preserve">  </w:t>
      </w:r>
    </w:p>
    <w:p w:rsidR="00BD206C" w:rsidRDefault="00E07473" w:rsidP="00654EBB">
      <w:pPr>
        <w:widowControl/>
        <w:spacing w:line="480" w:lineRule="auto"/>
      </w:pPr>
      <w:r>
        <w:t>2.</w:t>
      </w:r>
      <w:r>
        <w:tab/>
      </w:r>
      <w:r w:rsidR="00287592">
        <w:t xml:space="preserve">We first recognize that PSE has been a </w:t>
      </w:r>
      <w:r w:rsidR="00BD206C">
        <w:t>leader</w:t>
      </w:r>
      <w:r>
        <w:t xml:space="preserve"> over the past several years</w:t>
      </w:r>
      <w:r w:rsidR="00287592">
        <w:t xml:space="preserve"> in acquiring cost-effective energy efficiency</w:t>
      </w:r>
      <w:r w:rsidR="00972D61">
        <w:t xml:space="preserve"> across all sectors of its </w:t>
      </w:r>
      <w:r w:rsidR="00BD206C">
        <w:t>service territory</w:t>
      </w:r>
      <w:r w:rsidR="00287592">
        <w:t>,</w:t>
      </w:r>
      <w:r w:rsidR="00BD206C">
        <w:t xml:space="preserve"> and </w:t>
      </w:r>
      <w:r w:rsidR="00287592">
        <w:t>in</w:t>
      </w:r>
      <w:r w:rsidR="00BD206C">
        <w:t xml:space="preserve"> support</w:t>
      </w:r>
      <w:r w:rsidR="00287592">
        <w:t xml:space="preserve">ing </w:t>
      </w:r>
      <w:r w:rsidR="00BD206C">
        <w:t>regional initiatives</w:t>
      </w:r>
      <w:r w:rsidR="00287592">
        <w:t xml:space="preserve"> to promote this objective</w:t>
      </w:r>
      <w:r w:rsidR="00BD206C">
        <w:t xml:space="preserve">.  The Coalition commits to work with PSE and other stakeholders to sustain and build upon the momentum that has </w:t>
      </w:r>
      <w:r w:rsidR="00B34728">
        <w:t>occurred</w:t>
      </w:r>
      <w:r w:rsidR="00BD206C">
        <w:t xml:space="preserve"> for cost-effective energy efficiency.</w:t>
      </w:r>
    </w:p>
    <w:p w:rsidR="007A5E5A" w:rsidRPr="00B768BB" w:rsidRDefault="00BD206C" w:rsidP="00654EBB">
      <w:pPr>
        <w:widowControl/>
        <w:spacing w:line="480" w:lineRule="auto"/>
        <w:rPr>
          <w:b/>
        </w:rPr>
      </w:pPr>
      <w:r>
        <w:t>3.</w:t>
      </w:r>
      <w:r>
        <w:tab/>
        <w:t>Our focus in this Brief is threefold.  We</w:t>
      </w:r>
      <w:r w:rsidR="00B23DCD">
        <w:t xml:space="preserve"> </w:t>
      </w:r>
      <w:r w:rsidR="002B1FA2">
        <w:t xml:space="preserve">address </w:t>
      </w:r>
      <w:r w:rsidR="007A5E5A">
        <w:t>the Conservation Phase-In Adj</w:t>
      </w:r>
      <w:r w:rsidR="004E544B">
        <w:t xml:space="preserve">ustment (“Adjustment”) that PSE </w:t>
      </w:r>
      <w:r w:rsidR="007A5E5A">
        <w:t>propose</w:t>
      </w:r>
      <w:r w:rsidR="004E544B">
        <w:t>s</w:t>
      </w:r>
      <w:r w:rsidR="007A5E5A">
        <w:t xml:space="preserve">.  </w:t>
      </w:r>
      <w:r w:rsidR="00891528">
        <w:t xml:space="preserve">The </w:t>
      </w:r>
      <w:r w:rsidR="00B768BB">
        <w:t xml:space="preserve">issue </w:t>
      </w:r>
      <w:r w:rsidR="00E1335C">
        <w:t xml:space="preserve">here </w:t>
      </w:r>
      <w:r w:rsidR="00B768BB">
        <w:t>is wh</w:t>
      </w:r>
      <w:r w:rsidR="007A5E5A">
        <w:t xml:space="preserve">ether the </w:t>
      </w:r>
      <w:r w:rsidR="003A4B1D">
        <w:t xml:space="preserve">proposed </w:t>
      </w:r>
      <w:r w:rsidR="007A5E5A">
        <w:t>Adjustmen</w:t>
      </w:r>
      <w:r w:rsidR="00BE4A58">
        <w:t xml:space="preserve">t represents a proper pro forma </w:t>
      </w:r>
      <w:r w:rsidR="00B77C08">
        <w:t xml:space="preserve">ratemaking </w:t>
      </w:r>
      <w:r w:rsidR="007A5E5A">
        <w:t xml:space="preserve">adjustment </w:t>
      </w:r>
      <w:r w:rsidR="002B1FA2">
        <w:t xml:space="preserve">under the </w:t>
      </w:r>
      <w:r w:rsidR="00D5369C">
        <w:t xml:space="preserve">Commission’s applicable </w:t>
      </w:r>
      <w:r w:rsidR="00B77C08">
        <w:t>accounting</w:t>
      </w:r>
      <w:r w:rsidR="002B1FA2">
        <w:t xml:space="preserve"> rule (</w:t>
      </w:r>
      <w:r w:rsidR="00D5369C">
        <w:t>WAC 480-07-</w:t>
      </w:r>
      <w:r w:rsidR="002B1FA2">
        <w:t>510(3)(e)(ii</w:t>
      </w:r>
      <w:r w:rsidR="008822DC">
        <w:t xml:space="preserve">i)).  </w:t>
      </w:r>
      <w:r w:rsidR="00B768BB">
        <w:t>As discusse</w:t>
      </w:r>
      <w:r w:rsidR="00B77C08">
        <w:t xml:space="preserve">d below, the Coalition does not </w:t>
      </w:r>
      <w:r w:rsidR="00B768BB">
        <w:t>take a position on this issue.</w:t>
      </w:r>
      <w:r w:rsidR="007A5E5A">
        <w:t xml:space="preserve">   </w:t>
      </w:r>
    </w:p>
    <w:p w:rsidR="002B1FA2" w:rsidRPr="002B1FA2" w:rsidRDefault="00BD206C" w:rsidP="00654EBB">
      <w:pPr>
        <w:widowControl/>
        <w:spacing w:line="480" w:lineRule="auto"/>
        <w:rPr>
          <w:b/>
        </w:rPr>
      </w:pPr>
      <w:r>
        <w:t>4</w:t>
      </w:r>
      <w:r w:rsidR="00654EBB">
        <w:t>.</w:t>
      </w:r>
      <w:r w:rsidR="00654EBB">
        <w:tab/>
        <w:t>W</w:t>
      </w:r>
      <w:r w:rsidR="00582B36">
        <w:t>e then re</w:t>
      </w:r>
      <w:r w:rsidR="00903A3F">
        <w:t>spond to</w:t>
      </w:r>
      <w:r w:rsidR="00582B36">
        <w:t xml:space="preserve"> </w:t>
      </w:r>
      <w:r w:rsidR="004E544B">
        <w:t xml:space="preserve">PSE’s </w:t>
      </w:r>
      <w:r w:rsidR="00903A3F">
        <w:t xml:space="preserve">position regarding its </w:t>
      </w:r>
      <w:r w:rsidR="002B1FA2">
        <w:t>Electric Conservation Incentive Mechanism (“</w:t>
      </w:r>
      <w:r w:rsidR="008F7FE3">
        <w:t>Mechanism</w:t>
      </w:r>
      <w:r w:rsidR="002B1FA2">
        <w:t>”)</w:t>
      </w:r>
      <w:r w:rsidR="00B768BB">
        <w:t xml:space="preserve">.  </w:t>
      </w:r>
      <w:r w:rsidR="00B77C08">
        <w:t>T</w:t>
      </w:r>
      <w:r w:rsidR="002B1FA2">
        <w:t xml:space="preserve">he Commission </w:t>
      </w:r>
      <w:r w:rsidR="00B77C08">
        <w:t xml:space="preserve">had </w:t>
      </w:r>
      <w:r w:rsidR="002B1FA2">
        <w:t>authorized</w:t>
      </w:r>
      <w:r w:rsidR="00B768BB">
        <w:t xml:space="preserve"> the Mechanism</w:t>
      </w:r>
      <w:r w:rsidR="002B1FA2">
        <w:t xml:space="preserve"> for a </w:t>
      </w:r>
      <w:r w:rsidR="004E544B">
        <w:t xml:space="preserve">three-year </w:t>
      </w:r>
      <w:r w:rsidR="00B768BB">
        <w:t>pilot</w:t>
      </w:r>
      <w:r w:rsidR="002B1FA2">
        <w:t xml:space="preserve"> period ending December 31, 2009.</w:t>
      </w:r>
      <w:r w:rsidR="002B1FA2">
        <w:rPr>
          <w:rStyle w:val="FootnoteReference"/>
        </w:rPr>
        <w:footnoteReference w:id="1"/>
      </w:r>
      <w:r w:rsidR="00B768BB">
        <w:t xml:space="preserve">  A</w:t>
      </w:r>
      <w:r w:rsidR="00903A3F">
        <w:t>t hearing</w:t>
      </w:r>
      <w:r w:rsidR="00B768BB">
        <w:t xml:space="preserve">, however, </w:t>
      </w:r>
      <w:r w:rsidR="00D5369C">
        <w:t>PSE</w:t>
      </w:r>
      <w:r w:rsidR="00B768BB">
        <w:t xml:space="preserve"> </w:t>
      </w:r>
      <w:r w:rsidR="007C4F35">
        <w:t>stated</w:t>
      </w:r>
      <w:r w:rsidR="00E1335C">
        <w:t xml:space="preserve"> that it </w:t>
      </w:r>
      <w:r w:rsidR="004B4EF8">
        <w:t xml:space="preserve">does </w:t>
      </w:r>
      <w:r w:rsidR="0082174A">
        <w:t>not intend to</w:t>
      </w:r>
      <w:r w:rsidR="00903A3F">
        <w:t xml:space="preserve"> </w:t>
      </w:r>
      <w:r w:rsidR="00D028CB">
        <w:t>seek</w:t>
      </w:r>
      <w:r w:rsidR="007C7684">
        <w:t xml:space="preserve"> </w:t>
      </w:r>
      <w:r w:rsidR="00B768BB">
        <w:t>continu</w:t>
      </w:r>
      <w:r w:rsidR="00D028CB">
        <w:t>ation of</w:t>
      </w:r>
      <w:r w:rsidR="00B768BB">
        <w:t xml:space="preserve"> the Mechan</w:t>
      </w:r>
      <w:r w:rsidR="004E544B">
        <w:t>ism</w:t>
      </w:r>
      <w:r w:rsidR="00D028CB">
        <w:t xml:space="preserve"> or </w:t>
      </w:r>
      <w:r w:rsidR="00903A3F">
        <w:t>approv</w:t>
      </w:r>
      <w:r w:rsidR="00E1335C">
        <w:t xml:space="preserve">al of other </w:t>
      </w:r>
      <w:r w:rsidR="00903A3F">
        <w:t>incentive-bas</w:t>
      </w:r>
      <w:r w:rsidR="00D028CB">
        <w:t xml:space="preserve">ed </w:t>
      </w:r>
      <w:r w:rsidR="00013FE4">
        <w:t xml:space="preserve">approaches </w:t>
      </w:r>
      <w:r w:rsidR="00406440">
        <w:t xml:space="preserve">to </w:t>
      </w:r>
      <w:r w:rsidR="00014DA2">
        <w:t xml:space="preserve">increasing </w:t>
      </w:r>
      <w:r w:rsidR="00013FE4">
        <w:t xml:space="preserve">energy </w:t>
      </w:r>
      <w:r w:rsidR="00E1335C">
        <w:t>efficiency</w:t>
      </w:r>
      <w:r w:rsidR="00903A3F">
        <w:t xml:space="preserve">.  </w:t>
      </w:r>
      <w:r w:rsidR="004E544B">
        <w:t xml:space="preserve">We offer </w:t>
      </w:r>
      <w:r w:rsidR="00F74407">
        <w:t xml:space="preserve">our thoughts </w:t>
      </w:r>
      <w:r w:rsidR="00903A3F">
        <w:t xml:space="preserve">on </w:t>
      </w:r>
      <w:r w:rsidR="003A4B1D">
        <w:t>th</w:t>
      </w:r>
      <w:r w:rsidR="0082174A">
        <w:t>is decision</w:t>
      </w:r>
      <w:r w:rsidR="004E544B">
        <w:t xml:space="preserve">. </w:t>
      </w:r>
    </w:p>
    <w:p w:rsidR="00BD206C" w:rsidRDefault="00BD206C" w:rsidP="00654EBB">
      <w:pPr>
        <w:widowControl/>
        <w:spacing w:line="480" w:lineRule="auto"/>
      </w:pPr>
      <w:r>
        <w:lastRenderedPageBreak/>
        <w:t>5</w:t>
      </w:r>
      <w:r w:rsidR="00654EBB">
        <w:t>.</w:t>
      </w:r>
      <w:r w:rsidR="00654EBB">
        <w:tab/>
        <w:t>F</w:t>
      </w:r>
      <w:r w:rsidR="00BC572D">
        <w:t xml:space="preserve">inally, </w:t>
      </w:r>
      <w:r w:rsidR="002B1FA2">
        <w:t xml:space="preserve">PSE </w:t>
      </w:r>
      <w:r w:rsidR="00BC572D">
        <w:t>distin</w:t>
      </w:r>
      <w:r w:rsidR="00862809">
        <w:t xml:space="preserve">guishes </w:t>
      </w:r>
      <w:r w:rsidR="008F7FE3">
        <w:t xml:space="preserve">between regulatory mechanisms that create incentives for energy efficiency investments, and mechanisms that reduce or eliminate disincentives </w:t>
      </w:r>
      <w:r w:rsidR="00B268A2">
        <w:t xml:space="preserve">to making those investments </w:t>
      </w:r>
      <w:r w:rsidR="00F74407">
        <w:t>(</w:t>
      </w:r>
      <w:r w:rsidR="00B268A2">
        <w:t xml:space="preserve">which </w:t>
      </w:r>
      <w:r w:rsidR="00F74407">
        <w:t>includ</w:t>
      </w:r>
      <w:r w:rsidR="00B268A2">
        <w:t>e</w:t>
      </w:r>
      <w:r w:rsidR="00F74407">
        <w:t xml:space="preserve"> financial disincentives</w:t>
      </w:r>
      <w:r w:rsidR="00B268A2">
        <w:t xml:space="preserve"> among others</w:t>
      </w:r>
      <w:r w:rsidR="00F74407">
        <w:t>)</w:t>
      </w:r>
      <w:r w:rsidR="008F7FE3">
        <w:t>.</w:t>
      </w:r>
      <w:r w:rsidR="00BC572D">
        <w:t xml:space="preserve">  We agree that </w:t>
      </w:r>
      <w:r w:rsidR="00972D61">
        <w:t>this</w:t>
      </w:r>
      <w:r w:rsidR="001046E7">
        <w:t xml:space="preserve"> </w:t>
      </w:r>
      <w:r w:rsidR="003A3929">
        <w:t>distinction</w:t>
      </w:r>
      <w:r w:rsidR="00BC572D">
        <w:t xml:space="preserve"> exists</w:t>
      </w:r>
      <w:r w:rsidR="00486C6B">
        <w:t>.</w:t>
      </w:r>
      <w:r w:rsidR="00BC572D">
        <w:t xml:space="preserve">  </w:t>
      </w:r>
      <w:r w:rsidR="007B5A68">
        <w:t xml:space="preserve">Though no one </w:t>
      </w:r>
      <w:r w:rsidR="00C26E42">
        <w:t>approach is perfect for all situati</w:t>
      </w:r>
      <w:r w:rsidR="00486C6B">
        <w:t xml:space="preserve">ons, </w:t>
      </w:r>
      <w:r w:rsidR="00C26E42">
        <w:t>b</w:t>
      </w:r>
      <w:r w:rsidR="00B77C08">
        <w:t xml:space="preserve">oth types of mechanisms </w:t>
      </w:r>
      <w:r w:rsidR="001046E7">
        <w:t>offer</w:t>
      </w:r>
      <w:r w:rsidR="006C7136">
        <w:t xml:space="preserve"> the potential to </w:t>
      </w:r>
      <w:r w:rsidR="002E3D0D">
        <w:t xml:space="preserve">increase </w:t>
      </w:r>
      <w:r w:rsidR="00B77C08">
        <w:t>the</w:t>
      </w:r>
      <w:r w:rsidR="003A3929">
        <w:t xml:space="preserve"> </w:t>
      </w:r>
      <w:r w:rsidR="00B77C08">
        <w:t xml:space="preserve">acquisition of </w:t>
      </w:r>
      <w:r w:rsidR="00DB33E3">
        <w:t xml:space="preserve">cost-effective </w:t>
      </w:r>
      <w:r w:rsidR="00AD3B25">
        <w:t xml:space="preserve">energy efficiency.  We offer our </w:t>
      </w:r>
      <w:r w:rsidR="00F74407">
        <w:t>perspective</w:t>
      </w:r>
      <w:r w:rsidR="00AD3B25">
        <w:t xml:space="preserve"> on how </w:t>
      </w:r>
      <w:r w:rsidR="002E154B">
        <w:t xml:space="preserve">to consider </w:t>
      </w:r>
      <w:r w:rsidR="00E1335C">
        <w:t>the</w:t>
      </w:r>
      <w:r w:rsidR="00E92F7C">
        <w:t xml:space="preserve">se </w:t>
      </w:r>
      <w:r w:rsidR="00486C6B">
        <w:t>mechanisms</w:t>
      </w:r>
      <w:r w:rsidR="00AD3B25">
        <w:t>.</w:t>
      </w:r>
    </w:p>
    <w:p w:rsidR="00AD3B25" w:rsidRPr="00CC65FF" w:rsidRDefault="00AD3B25" w:rsidP="00BD206C">
      <w:pPr>
        <w:widowControl/>
        <w:spacing w:line="240" w:lineRule="auto"/>
        <w:rPr>
          <w:b/>
        </w:rPr>
      </w:pPr>
      <w:r>
        <w:t xml:space="preserve">  </w:t>
      </w:r>
      <w:r w:rsidR="008F7FE3">
        <w:t xml:space="preserve">  </w:t>
      </w:r>
      <w:r w:rsidR="002B1FA2">
        <w:t xml:space="preserve">   </w:t>
      </w:r>
      <w:r w:rsidR="007A5E5A">
        <w:t xml:space="preserve">    </w:t>
      </w:r>
      <w:r w:rsidR="00991EB6">
        <w:t xml:space="preserve">  </w:t>
      </w:r>
    </w:p>
    <w:p w:rsidR="00991EB6" w:rsidRDefault="00442B59" w:rsidP="00950396">
      <w:pPr>
        <w:spacing w:line="240" w:lineRule="auto"/>
        <w:jc w:val="center"/>
        <w:rPr>
          <w:b/>
        </w:rPr>
      </w:pPr>
      <w:r>
        <w:rPr>
          <w:b/>
        </w:rPr>
        <w:t xml:space="preserve">THE COALITION DOES NOT TAKE A POSITION ON WHETHER </w:t>
      </w:r>
      <w:r w:rsidR="00DC7093">
        <w:rPr>
          <w:b/>
        </w:rPr>
        <w:t>PSE’S</w:t>
      </w:r>
      <w:r>
        <w:rPr>
          <w:b/>
        </w:rPr>
        <w:t xml:space="preserve"> </w:t>
      </w:r>
      <w:r w:rsidR="00F8416F">
        <w:rPr>
          <w:b/>
        </w:rPr>
        <w:t xml:space="preserve">PROPOSED </w:t>
      </w:r>
      <w:r>
        <w:rPr>
          <w:b/>
        </w:rPr>
        <w:t xml:space="preserve">CONSERVATION ADJUSTMENT </w:t>
      </w:r>
      <w:r w:rsidR="00E86F6C">
        <w:rPr>
          <w:b/>
        </w:rPr>
        <w:t xml:space="preserve">REPRESENTS </w:t>
      </w:r>
      <w:r w:rsidR="00DC7093">
        <w:rPr>
          <w:b/>
        </w:rPr>
        <w:t>A PROPER PRO FORMA RATEMAKING ADJUSTMENT</w:t>
      </w:r>
    </w:p>
    <w:p w:rsidR="00231C1E" w:rsidRDefault="00231C1E" w:rsidP="00950396">
      <w:pPr>
        <w:spacing w:line="240" w:lineRule="auto"/>
        <w:jc w:val="center"/>
        <w:rPr>
          <w:b/>
        </w:rPr>
      </w:pPr>
    </w:p>
    <w:p w:rsidR="00950396" w:rsidRPr="002202BF" w:rsidRDefault="00950396" w:rsidP="007B35C7">
      <w:pPr>
        <w:spacing w:line="240" w:lineRule="auto"/>
        <w:rPr>
          <w:b/>
        </w:rPr>
      </w:pPr>
    </w:p>
    <w:p w:rsidR="00D30AD5" w:rsidRPr="00D30AD5" w:rsidRDefault="00BD206C" w:rsidP="00654EBB">
      <w:pPr>
        <w:widowControl/>
        <w:spacing w:line="480" w:lineRule="auto"/>
        <w:rPr>
          <w:b/>
        </w:rPr>
      </w:pPr>
      <w:r>
        <w:t>6</w:t>
      </w:r>
      <w:r w:rsidR="00654EBB">
        <w:t>.</w:t>
      </w:r>
      <w:r w:rsidR="00654EBB">
        <w:tab/>
        <w:t>P</w:t>
      </w:r>
      <w:r w:rsidR="00FB6E61">
        <w:t>SE</w:t>
      </w:r>
      <w:r w:rsidR="00891528">
        <w:t xml:space="preserve">’s witness, Jon </w:t>
      </w:r>
      <w:r w:rsidR="00FB6E61">
        <w:t>Piliaris</w:t>
      </w:r>
      <w:r w:rsidR="00891528">
        <w:t>, d</w:t>
      </w:r>
      <w:r w:rsidR="0054205D">
        <w:t xml:space="preserve">iscusses </w:t>
      </w:r>
      <w:r w:rsidR="00891528">
        <w:t xml:space="preserve">the basis for the </w:t>
      </w:r>
      <w:r w:rsidR="003A4B1D">
        <w:t xml:space="preserve">proposed </w:t>
      </w:r>
      <w:r w:rsidR="00891528">
        <w:t>Adjustment in his direct testimony</w:t>
      </w:r>
      <w:r w:rsidR="00FB6E61">
        <w:t xml:space="preserve">.  </w:t>
      </w:r>
      <w:r w:rsidR="00E77170">
        <w:t xml:space="preserve">According to </w:t>
      </w:r>
      <w:r w:rsidR="00FB6E61">
        <w:t>Mr. Piliaris</w:t>
      </w:r>
      <w:r w:rsidR="00E77170">
        <w:t xml:space="preserve">, the Adjustment </w:t>
      </w:r>
      <w:r w:rsidR="003A4B1D">
        <w:t xml:space="preserve">would, if approved, </w:t>
      </w:r>
      <w:r w:rsidR="00E77170">
        <w:t>“restate the weather-normalized test year loads of the Company’s retail natural gas and electric customers.”</w:t>
      </w:r>
      <w:r w:rsidR="00E77170">
        <w:rPr>
          <w:rStyle w:val="FootnoteReference"/>
        </w:rPr>
        <w:footnoteReference w:id="2"/>
      </w:r>
      <w:r w:rsidR="00E77170">
        <w:t xml:space="preserve">  He argues that the Adjustment </w:t>
      </w:r>
      <w:r w:rsidR="0098270B">
        <w:t xml:space="preserve">is </w:t>
      </w:r>
      <w:r w:rsidR="00E1335C">
        <w:t xml:space="preserve">a </w:t>
      </w:r>
      <w:r w:rsidR="00AF36BC">
        <w:t>type</w:t>
      </w:r>
      <w:r w:rsidR="00E1335C">
        <w:t xml:space="preserve"> </w:t>
      </w:r>
      <w:r w:rsidR="006946A3">
        <w:t xml:space="preserve">of </w:t>
      </w:r>
      <w:r w:rsidR="00E77170">
        <w:t xml:space="preserve">annualizing adjustment </w:t>
      </w:r>
      <w:r w:rsidR="006946A3">
        <w:t xml:space="preserve">that </w:t>
      </w:r>
      <w:r w:rsidR="00891528">
        <w:t xml:space="preserve">the Commission </w:t>
      </w:r>
      <w:r w:rsidR="00E77170">
        <w:t>generally accept</w:t>
      </w:r>
      <w:r w:rsidR="00891528">
        <w:t xml:space="preserve">s </w:t>
      </w:r>
      <w:r w:rsidR="00E77170">
        <w:t>for ratemaking purposes.</w:t>
      </w:r>
      <w:r w:rsidR="00E77170">
        <w:rPr>
          <w:rStyle w:val="FootnoteReference"/>
        </w:rPr>
        <w:footnoteReference w:id="3"/>
      </w:r>
    </w:p>
    <w:p w:rsidR="00B23DCD" w:rsidRPr="00F41889" w:rsidRDefault="00BD206C" w:rsidP="00654EBB">
      <w:pPr>
        <w:widowControl/>
        <w:spacing w:line="480" w:lineRule="auto"/>
        <w:rPr>
          <w:b/>
        </w:rPr>
      </w:pPr>
      <w:r>
        <w:t>7</w:t>
      </w:r>
      <w:r w:rsidR="00654EBB">
        <w:t>.</w:t>
      </w:r>
      <w:r w:rsidR="00654EBB">
        <w:tab/>
        <w:t>T</w:t>
      </w:r>
      <w:r w:rsidR="006946A3">
        <w:t xml:space="preserve">he </w:t>
      </w:r>
      <w:r w:rsidR="00584062">
        <w:t>issu</w:t>
      </w:r>
      <w:r w:rsidR="007C4F35">
        <w:t xml:space="preserve">e in this proceeding </w:t>
      </w:r>
      <w:r w:rsidR="006946A3">
        <w:t xml:space="preserve">is whether </w:t>
      </w:r>
      <w:r w:rsidR="00891528">
        <w:t xml:space="preserve">the </w:t>
      </w:r>
      <w:r w:rsidR="003A4B1D">
        <w:t xml:space="preserve">proposed </w:t>
      </w:r>
      <w:r w:rsidR="00891528">
        <w:t>Adjustment</w:t>
      </w:r>
      <w:r w:rsidR="006946A3">
        <w:t xml:space="preserve"> </w:t>
      </w:r>
      <w:r w:rsidR="00584062">
        <w:t>represents a</w:t>
      </w:r>
      <w:r w:rsidR="000C649D">
        <w:t xml:space="preserve"> proper pro forma </w:t>
      </w:r>
      <w:r w:rsidR="00BE4A58">
        <w:t xml:space="preserve">ratemaking </w:t>
      </w:r>
      <w:r w:rsidR="000C649D">
        <w:t xml:space="preserve">adjustment </w:t>
      </w:r>
      <w:r w:rsidR="00C2681E">
        <w:t>u</w:t>
      </w:r>
      <w:r w:rsidR="00F44C06">
        <w:t xml:space="preserve">nder </w:t>
      </w:r>
      <w:r w:rsidR="000C649D">
        <w:t>WAC 480-07-510(3)(e)(iii)</w:t>
      </w:r>
      <w:r w:rsidR="00D30AD5">
        <w:t>.</w:t>
      </w:r>
      <w:r w:rsidR="00B768BB">
        <w:rPr>
          <w:rStyle w:val="FootnoteReference"/>
        </w:rPr>
        <w:footnoteReference w:id="4"/>
      </w:r>
      <w:r w:rsidR="00406C0B">
        <w:t xml:space="preserve">  </w:t>
      </w:r>
      <w:r w:rsidR="00D30AD5">
        <w:t xml:space="preserve">Staff’s witness, </w:t>
      </w:r>
      <w:r w:rsidR="00D30AD5">
        <w:lastRenderedPageBreak/>
        <w:t xml:space="preserve">Michael Parvinen, </w:t>
      </w:r>
      <w:r w:rsidR="00891528">
        <w:t xml:space="preserve">claims </w:t>
      </w:r>
      <w:r w:rsidR="00E1335C">
        <w:t xml:space="preserve">in </w:t>
      </w:r>
      <w:r w:rsidR="00772287">
        <w:t xml:space="preserve">his </w:t>
      </w:r>
      <w:r w:rsidR="00E8759B">
        <w:t xml:space="preserve">response testimony </w:t>
      </w:r>
      <w:r w:rsidR="00F1385A">
        <w:t xml:space="preserve">that the Adjustment </w:t>
      </w:r>
      <w:r w:rsidR="00637F41">
        <w:t>does not qualify</w:t>
      </w:r>
      <w:r w:rsidR="00891528">
        <w:t xml:space="preserve"> under the rule</w:t>
      </w:r>
      <w:r w:rsidR="00F1385A">
        <w:t>.</w:t>
      </w:r>
      <w:r w:rsidR="00F1385A">
        <w:rPr>
          <w:rStyle w:val="FootnoteReference"/>
        </w:rPr>
        <w:footnoteReference w:id="5"/>
      </w:r>
      <w:r w:rsidR="001654CE">
        <w:t xml:space="preserve">  Mr. Piliaris </w:t>
      </w:r>
      <w:r w:rsidR="00B63E68">
        <w:t>disagrees; he states</w:t>
      </w:r>
      <w:r w:rsidR="001654CE">
        <w:t xml:space="preserve"> </w:t>
      </w:r>
      <w:r w:rsidR="0033138F">
        <w:t>on rebuttal that</w:t>
      </w:r>
      <w:r w:rsidR="001654CE">
        <w:t xml:space="preserve"> Staff’</w:t>
      </w:r>
      <w:r w:rsidR="000220DE">
        <w:t xml:space="preserve">s position </w:t>
      </w:r>
      <w:r w:rsidR="001654CE">
        <w:t>is “novel, unsupported by existing statute, the Commission’s rules or its prior orders.”</w:t>
      </w:r>
      <w:r w:rsidR="00E3360B">
        <w:rPr>
          <w:rStyle w:val="FootnoteReference"/>
        </w:rPr>
        <w:footnoteReference w:id="6"/>
      </w:r>
      <w:r w:rsidR="00C2681E">
        <w:t xml:space="preserve">  This dispute</w:t>
      </w:r>
      <w:r w:rsidR="0054205D">
        <w:t>, then,</w:t>
      </w:r>
      <w:r w:rsidR="00C2681E">
        <w:t xml:space="preserve"> turns on </w:t>
      </w:r>
      <w:r w:rsidR="006946A3">
        <w:t xml:space="preserve">a </w:t>
      </w:r>
      <w:r w:rsidR="00891528">
        <w:t xml:space="preserve">narrow </w:t>
      </w:r>
      <w:r w:rsidR="006946A3">
        <w:t xml:space="preserve">question of </w:t>
      </w:r>
      <w:r w:rsidR="00D800AB">
        <w:t xml:space="preserve">ratemaking accounting, </w:t>
      </w:r>
      <w:r w:rsidR="00D800AB">
        <w:rPr>
          <w:i/>
        </w:rPr>
        <w:t>i.e.</w:t>
      </w:r>
      <w:r w:rsidR="00D800AB">
        <w:t xml:space="preserve">, </w:t>
      </w:r>
      <w:r w:rsidR="000E0DDA">
        <w:t xml:space="preserve">whether the Adjustment </w:t>
      </w:r>
      <w:r w:rsidR="003D668B">
        <w:t xml:space="preserve">would </w:t>
      </w:r>
      <w:r w:rsidR="000E0DDA">
        <w:t>give effect</w:t>
      </w:r>
      <w:r w:rsidR="00D800AB">
        <w:t>, under WAC 480-07-510(3)(e)(iii)</w:t>
      </w:r>
      <w:r w:rsidR="00F71A54">
        <w:t>,</w:t>
      </w:r>
      <w:r w:rsidR="00B0569D">
        <w:t xml:space="preserve"> </w:t>
      </w:r>
      <w:r w:rsidR="000E0DDA">
        <w:t>to</w:t>
      </w:r>
      <w:r w:rsidR="00F71A54">
        <w:t xml:space="preserve"> </w:t>
      </w:r>
      <w:r w:rsidR="00D800AB">
        <w:t xml:space="preserve">all </w:t>
      </w:r>
      <w:r w:rsidR="000E0DDA">
        <w:t>known and measurable changes that are not offset by other factors</w:t>
      </w:r>
      <w:r w:rsidR="00D33EB6">
        <w:t xml:space="preserve"> (</w:t>
      </w:r>
      <w:r w:rsidR="00723DF8">
        <w:t xml:space="preserve">which is how the Commission </w:t>
      </w:r>
      <w:r w:rsidR="005A7B56">
        <w:t>defin</w:t>
      </w:r>
      <w:r w:rsidR="00723DF8">
        <w:t>es</w:t>
      </w:r>
      <w:r w:rsidR="005A7B56">
        <w:t xml:space="preserve"> a pro forma adjustment for ratemaking purposes)</w:t>
      </w:r>
      <w:r w:rsidR="00B23DCD">
        <w:t>.</w:t>
      </w:r>
    </w:p>
    <w:p w:rsidR="00950396" w:rsidRPr="007B35C7" w:rsidRDefault="00972D61" w:rsidP="00452F40">
      <w:pPr>
        <w:widowControl/>
        <w:spacing w:line="480" w:lineRule="auto"/>
      </w:pPr>
      <w:r>
        <w:t>8</w:t>
      </w:r>
      <w:r w:rsidR="00654EBB">
        <w:t>.</w:t>
      </w:r>
      <w:r w:rsidR="00654EBB">
        <w:tab/>
        <w:t>I</w:t>
      </w:r>
      <w:r w:rsidR="00F31251">
        <w:t xml:space="preserve">n regulatory proceedings, the Coalition typically focuses </w:t>
      </w:r>
      <w:r w:rsidR="00B71764">
        <w:t xml:space="preserve">less on the intricacies of ratemaking accounting </w:t>
      </w:r>
      <w:r w:rsidR="0002715B">
        <w:t xml:space="preserve">(for which we profess no special expertise) </w:t>
      </w:r>
      <w:r w:rsidR="00B71764">
        <w:t xml:space="preserve">and more </w:t>
      </w:r>
      <w:r w:rsidR="009E1DC6">
        <w:t xml:space="preserve">on the </w:t>
      </w:r>
      <w:r w:rsidR="008D5BA6">
        <w:t xml:space="preserve">advancement </w:t>
      </w:r>
      <w:r w:rsidR="009E1DC6">
        <w:t xml:space="preserve">of </w:t>
      </w:r>
      <w:r w:rsidR="00BC572D">
        <w:t xml:space="preserve">regulatory </w:t>
      </w:r>
      <w:r w:rsidR="00B71764">
        <w:t xml:space="preserve">measures that </w:t>
      </w:r>
      <w:r w:rsidR="00B268A2">
        <w:t>-- consist</w:t>
      </w:r>
      <w:r w:rsidR="00296901">
        <w:t xml:space="preserve">ent with </w:t>
      </w:r>
      <w:r w:rsidR="0002715B">
        <w:t xml:space="preserve">the Commission’s </w:t>
      </w:r>
      <w:r w:rsidR="00452F40">
        <w:t xml:space="preserve">established </w:t>
      </w:r>
      <w:r w:rsidR="0002715B">
        <w:t>commitment</w:t>
      </w:r>
      <w:r w:rsidR="008D5BA6">
        <w:t xml:space="preserve"> to energy conservation</w:t>
      </w:r>
      <w:r w:rsidR="0002715B">
        <w:rPr>
          <w:rStyle w:val="FootnoteReference"/>
        </w:rPr>
        <w:footnoteReference w:id="7"/>
      </w:r>
      <w:r w:rsidR="007C4F35">
        <w:t xml:space="preserve"> -- </w:t>
      </w:r>
      <w:r w:rsidR="008D5BA6">
        <w:t xml:space="preserve">serve to promote </w:t>
      </w:r>
      <w:r w:rsidR="008F3BE8">
        <w:t xml:space="preserve">cost-effective energy efficiency and other </w:t>
      </w:r>
      <w:r w:rsidR="00BC12CB">
        <w:t>clean and affordable energy services</w:t>
      </w:r>
      <w:r w:rsidR="00B268A2">
        <w:t xml:space="preserve">.  </w:t>
      </w:r>
      <w:r w:rsidR="00D5369C">
        <w:t>Consequently, t</w:t>
      </w:r>
      <w:r w:rsidR="001978C4">
        <w:t xml:space="preserve">he Coalition </w:t>
      </w:r>
      <w:r w:rsidR="00C443AD">
        <w:t>do</w:t>
      </w:r>
      <w:r w:rsidR="001978C4">
        <w:t>es</w:t>
      </w:r>
      <w:r w:rsidR="00F41889">
        <w:t xml:space="preserve"> not </w:t>
      </w:r>
      <w:r w:rsidR="001978C4">
        <w:t xml:space="preserve">take a position </w:t>
      </w:r>
      <w:r w:rsidR="00593F08">
        <w:t xml:space="preserve">on </w:t>
      </w:r>
      <w:r w:rsidR="00F41889">
        <w:t xml:space="preserve">whether the </w:t>
      </w:r>
      <w:r w:rsidR="00F90A89">
        <w:t xml:space="preserve">proposed </w:t>
      </w:r>
      <w:r w:rsidR="00F41889">
        <w:t xml:space="preserve">Adjustment represents a proper pro forma </w:t>
      </w:r>
      <w:r w:rsidR="002E3060">
        <w:t xml:space="preserve">ratemaking </w:t>
      </w:r>
      <w:r w:rsidR="00F41889">
        <w:t>adjustment</w:t>
      </w:r>
      <w:r w:rsidR="00B0569D">
        <w:t xml:space="preserve"> under </w:t>
      </w:r>
      <w:r w:rsidR="00C2681E">
        <w:t xml:space="preserve">the </w:t>
      </w:r>
      <w:r w:rsidR="00F90A89">
        <w:t xml:space="preserve">Commission’s </w:t>
      </w:r>
      <w:r w:rsidR="00C2681E">
        <w:t>applicable accounting rule (</w:t>
      </w:r>
      <w:r w:rsidR="002E3060">
        <w:t>WAC 480-07-510(3)(e)(iii)</w:t>
      </w:r>
      <w:r w:rsidR="00C2681E">
        <w:t>)</w:t>
      </w:r>
      <w:r w:rsidR="00950396">
        <w:t>.</w:t>
      </w:r>
      <w:r w:rsidR="00F41889">
        <w:t xml:space="preserve">  </w:t>
      </w:r>
      <w:r w:rsidR="00584062">
        <w:t xml:space="preserve"> </w:t>
      </w:r>
      <w:r w:rsidR="000220DE">
        <w:t xml:space="preserve"> </w:t>
      </w:r>
      <w:r w:rsidR="00056CAA">
        <w:t xml:space="preserve"> </w:t>
      </w:r>
      <w:r w:rsidR="001654CE">
        <w:t xml:space="preserve"> </w:t>
      </w:r>
      <w:r w:rsidR="00D30AD5">
        <w:t xml:space="preserve"> </w:t>
      </w:r>
      <w:r w:rsidR="00E77170">
        <w:t xml:space="preserve"> </w:t>
      </w:r>
      <w:r w:rsidR="00FB6E61">
        <w:t xml:space="preserve"> </w:t>
      </w:r>
    </w:p>
    <w:p w:rsidR="00B03C03" w:rsidRDefault="008F3BE8" w:rsidP="00950396">
      <w:pPr>
        <w:widowControl/>
        <w:spacing w:line="240" w:lineRule="auto"/>
        <w:jc w:val="center"/>
        <w:rPr>
          <w:b/>
        </w:rPr>
      </w:pPr>
      <w:r>
        <w:rPr>
          <w:b/>
        </w:rPr>
        <w:lastRenderedPageBreak/>
        <w:t>INCENTIVE</w:t>
      </w:r>
      <w:r w:rsidR="00574B11">
        <w:rPr>
          <w:b/>
        </w:rPr>
        <w:t xml:space="preserve">S </w:t>
      </w:r>
      <w:r w:rsidR="0007357A">
        <w:rPr>
          <w:b/>
        </w:rPr>
        <w:t xml:space="preserve">REMAIN </w:t>
      </w:r>
      <w:r w:rsidR="00231C1E">
        <w:rPr>
          <w:b/>
        </w:rPr>
        <w:t>IMPORTANT</w:t>
      </w:r>
      <w:r w:rsidR="00950396">
        <w:rPr>
          <w:b/>
        </w:rPr>
        <w:t xml:space="preserve"> TOOL</w:t>
      </w:r>
      <w:r w:rsidR="0007357A">
        <w:rPr>
          <w:b/>
        </w:rPr>
        <w:t>S</w:t>
      </w:r>
      <w:r w:rsidR="00950396">
        <w:rPr>
          <w:b/>
        </w:rPr>
        <w:t xml:space="preserve"> TO PROMOTE ENERGY CONSERVATION</w:t>
      </w:r>
      <w:r w:rsidR="00574B11">
        <w:rPr>
          <w:b/>
        </w:rPr>
        <w:t>,</w:t>
      </w:r>
      <w:r>
        <w:rPr>
          <w:b/>
        </w:rPr>
        <w:t xml:space="preserve"> </w:t>
      </w:r>
      <w:r w:rsidR="00950396">
        <w:rPr>
          <w:b/>
        </w:rPr>
        <w:t xml:space="preserve">DESPITE </w:t>
      </w:r>
      <w:r w:rsidR="007B35C7">
        <w:rPr>
          <w:b/>
        </w:rPr>
        <w:t>PSE’S DECISION NOT TO PURSUE TH</w:t>
      </w:r>
      <w:r w:rsidR="00950396">
        <w:rPr>
          <w:b/>
        </w:rPr>
        <w:t>E</w:t>
      </w:r>
      <w:r w:rsidR="007B35C7">
        <w:rPr>
          <w:b/>
        </w:rPr>
        <w:t>M</w:t>
      </w:r>
    </w:p>
    <w:p w:rsidR="00231C1E" w:rsidRDefault="00231C1E" w:rsidP="00950396">
      <w:pPr>
        <w:widowControl/>
        <w:spacing w:line="240" w:lineRule="auto"/>
        <w:jc w:val="center"/>
        <w:rPr>
          <w:b/>
        </w:rPr>
      </w:pPr>
    </w:p>
    <w:p w:rsidR="00950396" w:rsidRDefault="00950396" w:rsidP="007B35C7">
      <w:pPr>
        <w:widowControl/>
        <w:spacing w:line="240" w:lineRule="auto"/>
      </w:pPr>
    </w:p>
    <w:p w:rsidR="00926935" w:rsidRPr="005D51E0" w:rsidRDefault="00972D61" w:rsidP="00654EBB">
      <w:pPr>
        <w:widowControl/>
        <w:spacing w:line="480" w:lineRule="auto"/>
      </w:pPr>
      <w:r>
        <w:t>9</w:t>
      </w:r>
      <w:r w:rsidR="00654EBB">
        <w:t>.</w:t>
      </w:r>
      <w:r w:rsidR="00654EBB">
        <w:tab/>
        <w:t>T</w:t>
      </w:r>
      <w:r w:rsidR="00013FE4">
        <w:t xml:space="preserve">he </w:t>
      </w:r>
      <w:r w:rsidR="00546320">
        <w:t>Mechanism</w:t>
      </w:r>
      <w:r w:rsidR="005317FA">
        <w:t xml:space="preserve"> </w:t>
      </w:r>
      <w:r w:rsidR="006E1D3B">
        <w:t>“</w:t>
      </w:r>
      <w:r w:rsidR="00546320">
        <w:t>provide</w:t>
      </w:r>
      <w:r w:rsidR="006E1D3B">
        <w:t>s</w:t>
      </w:r>
      <w:r w:rsidR="00546320">
        <w:t xml:space="preserve"> a financial incentive to the Company for energy savings from conservation programs that meet or exceed annual</w:t>
      </w:r>
      <w:r w:rsidR="004D7048">
        <w:t xml:space="preserve"> baseline targets set by PSE in </w:t>
      </w:r>
      <w:r w:rsidR="00546320">
        <w:t>consultation with the Conservation Resources Advisory Group (“CRAG”).”</w:t>
      </w:r>
      <w:r w:rsidR="00546320">
        <w:rPr>
          <w:rStyle w:val="FootnoteReference"/>
        </w:rPr>
        <w:footnoteReference w:id="8"/>
      </w:r>
      <w:r w:rsidR="00DF43F5">
        <w:t xml:space="preserve">  </w:t>
      </w:r>
      <w:r w:rsidR="00013FE4">
        <w:t xml:space="preserve">According to Mr. Piliaris, </w:t>
      </w:r>
      <w:r w:rsidR="00DF43F5">
        <w:t>PSE</w:t>
      </w:r>
      <w:r w:rsidR="007C7684">
        <w:t xml:space="preserve"> earned </w:t>
      </w:r>
      <w:r w:rsidR="005317FA">
        <w:t xml:space="preserve">additional </w:t>
      </w:r>
      <w:r w:rsidR="007C7684">
        <w:t xml:space="preserve">revenue of $3.45 million </w:t>
      </w:r>
      <w:r w:rsidR="005317FA">
        <w:t xml:space="preserve">in </w:t>
      </w:r>
      <w:r w:rsidR="007C7684">
        <w:t xml:space="preserve">2007 and $4.34 million </w:t>
      </w:r>
      <w:r w:rsidR="005317FA">
        <w:t xml:space="preserve">in </w:t>
      </w:r>
      <w:r w:rsidR="007C7684">
        <w:t>20</w:t>
      </w:r>
      <w:r w:rsidR="0007357A">
        <w:t xml:space="preserve">08 </w:t>
      </w:r>
      <w:r w:rsidR="00003D8F">
        <w:t>due to</w:t>
      </w:r>
      <w:r w:rsidR="00013FE4">
        <w:t xml:space="preserve"> the </w:t>
      </w:r>
      <w:r w:rsidR="007C7684">
        <w:t>Mechanism</w:t>
      </w:r>
      <w:r w:rsidR="00176D03">
        <w:t>.</w:t>
      </w:r>
      <w:r w:rsidR="007C7684">
        <w:rPr>
          <w:rStyle w:val="FootnoteReference"/>
        </w:rPr>
        <w:footnoteReference w:id="9"/>
      </w:r>
      <w:r w:rsidR="00DF43F5">
        <w:t xml:space="preserve"> </w:t>
      </w:r>
      <w:r w:rsidR="00546320">
        <w:t xml:space="preserve"> </w:t>
      </w:r>
      <w:r w:rsidR="00991EB6" w:rsidRPr="005D51E0">
        <w:t xml:space="preserve"> </w:t>
      </w:r>
    </w:p>
    <w:p w:rsidR="00682AC7" w:rsidRDefault="00972D61" w:rsidP="00654EBB">
      <w:pPr>
        <w:widowControl/>
        <w:spacing w:line="480" w:lineRule="auto"/>
      </w:pPr>
      <w:r>
        <w:t>10</w:t>
      </w:r>
      <w:r w:rsidR="00654EBB">
        <w:t>.</w:t>
      </w:r>
      <w:r w:rsidR="00654EBB">
        <w:tab/>
        <w:t>A</w:t>
      </w:r>
      <w:r w:rsidR="00D05BF3">
        <w:t>t hearing</w:t>
      </w:r>
      <w:r w:rsidR="008612DC">
        <w:t xml:space="preserve">, </w:t>
      </w:r>
      <w:r w:rsidR="00BC12CB">
        <w:t xml:space="preserve">however, </w:t>
      </w:r>
      <w:r w:rsidR="00013FE4">
        <w:t xml:space="preserve">Mr. Piliaris indicated </w:t>
      </w:r>
      <w:r w:rsidR="008612DC">
        <w:t xml:space="preserve">that PSE </w:t>
      </w:r>
      <w:r w:rsidR="0090015E">
        <w:t xml:space="preserve">will not </w:t>
      </w:r>
      <w:r w:rsidR="00013FE4">
        <w:t xml:space="preserve">seek continuation of the </w:t>
      </w:r>
      <w:r w:rsidR="00DF43F5">
        <w:t>Mechanism.  Nor</w:t>
      </w:r>
      <w:r w:rsidR="00FD5EB6">
        <w:t xml:space="preserve"> </w:t>
      </w:r>
      <w:r w:rsidR="00E35982">
        <w:t xml:space="preserve">does </w:t>
      </w:r>
      <w:r w:rsidR="00DF43F5">
        <w:t xml:space="preserve">the company </w:t>
      </w:r>
      <w:r w:rsidR="00E35982">
        <w:t xml:space="preserve">intend to </w:t>
      </w:r>
      <w:r w:rsidR="0090015E">
        <w:t xml:space="preserve">pursue </w:t>
      </w:r>
      <w:r w:rsidR="00013FE4">
        <w:t xml:space="preserve">other </w:t>
      </w:r>
      <w:r w:rsidR="00DF43F5">
        <w:t>incentive-based approaches</w:t>
      </w:r>
      <w:r w:rsidR="00D05BF3">
        <w:t xml:space="preserve"> </w:t>
      </w:r>
      <w:r w:rsidR="009E7151">
        <w:t xml:space="preserve">to the </w:t>
      </w:r>
      <w:r w:rsidR="00DB33E3">
        <w:t>acquisition of</w:t>
      </w:r>
      <w:r w:rsidR="00D05BF3">
        <w:t xml:space="preserve"> energy efficiency</w:t>
      </w:r>
      <w:r w:rsidR="00DF43F5">
        <w:t xml:space="preserve">.  </w:t>
      </w:r>
      <w:r w:rsidR="0090015E">
        <w:t xml:space="preserve">Instead, </w:t>
      </w:r>
      <w:r w:rsidR="00DF43F5">
        <w:t xml:space="preserve">PSE </w:t>
      </w:r>
      <w:r w:rsidR="00E35982">
        <w:t xml:space="preserve">will </w:t>
      </w:r>
      <w:r w:rsidR="00DF43F5">
        <w:t xml:space="preserve">focus </w:t>
      </w:r>
      <w:r w:rsidR="006A50B9">
        <w:t>on recover</w:t>
      </w:r>
      <w:r w:rsidR="00771140">
        <w:t xml:space="preserve">ing the costs </w:t>
      </w:r>
      <w:r w:rsidR="00FE67F5">
        <w:t xml:space="preserve">associated </w:t>
      </w:r>
      <w:r w:rsidR="00BC12CB">
        <w:t xml:space="preserve">with </w:t>
      </w:r>
      <w:r w:rsidR="0090015E">
        <w:t>its conservation</w:t>
      </w:r>
      <w:r w:rsidR="00FE67F5">
        <w:t xml:space="preserve"> </w:t>
      </w:r>
      <w:r w:rsidR="0090015E">
        <w:t>efforts</w:t>
      </w:r>
      <w:r w:rsidR="00DF43F5">
        <w:t>.</w:t>
      </w:r>
    </w:p>
    <w:p w:rsidR="004D325D" w:rsidRDefault="00972D61" w:rsidP="00654EBB">
      <w:pPr>
        <w:widowControl/>
        <w:spacing w:line="480" w:lineRule="auto"/>
      </w:pPr>
      <w:r>
        <w:t>11</w:t>
      </w:r>
      <w:r w:rsidR="00654EBB">
        <w:t>.</w:t>
      </w:r>
      <w:r w:rsidR="00654EBB">
        <w:tab/>
        <w:t>T</w:t>
      </w:r>
      <w:r w:rsidR="002E154B">
        <w:t xml:space="preserve">he Coalition supports </w:t>
      </w:r>
      <w:r w:rsidR="00D262FE">
        <w:t xml:space="preserve">a utility’s </w:t>
      </w:r>
      <w:r w:rsidR="004D325D">
        <w:t xml:space="preserve">decision to seek timely cost recovery for energy efficiency expenditures that are prudent and cost-effective.  The </w:t>
      </w:r>
      <w:r w:rsidR="002E154B">
        <w:t xml:space="preserve">issue of </w:t>
      </w:r>
      <w:r w:rsidR="004D325D">
        <w:t>cost recover</w:t>
      </w:r>
      <w:r w:rsidR="002052D9">
        <w:t>y</w:t>
      </w:r>
      <w:r w:rsidR="004D325D">
        <w:t xml:space="preserve"> is important and must be resolved.</w:t>
      </w:r>
      <w:r w:rsidR="002E154B">
        <w:t xml:space="preserve">  But the Coalition has made clear repeatedly that a utility </w:t>
      </w:r>
      <w:r w:rsidR="00D57FC5">
        <w:t xml:space="preserve">may </w:t>
      </w:r>
      <w:r w:rsidR="002E154B">
        <w:t>need more than cost recovery in order to put energy efficiency on an equal footing with other utility expenditures and to ensure acquisition of all cost-effective energy efficiency.</w:t>
      </w:r>
      <w:r w:rsidR="00D57FC5">
        <w:t xml:space="preserve">  This is particularl</w:t>
      </w:r>
      <w:r w:rsidR="00A63005">
        <w:t xml:space="preserve">y important when </w:t>
      </w:r>
      <w:r w:rsidR="00D57FC5">
        <w:t>resource acquisition levels reach substantial levels as they have with PSE.</w:t>
      </w:r>
    </w:p>
    <w:p w:rsidR="00BD4936" w:rsidRDefault="00654EBB" w:rsidP="00654EBB">
      <w:pPr>
        <w:widowControl/>
        <w:spacing w:line="480" w:lineRule="auto"/>
      </w:pPr>
      <w:r>
        <w:lastRenderedPageBreak/>
        <w:t>1</w:t>
      </w:r>
      <w:r w:rsidR="00972D61">
        <w:t>2</w:t>
      </w:r>
      <w:r w:rsidR="002E154B">
        <w:t>.</w:t>
      </w:r>
      <w:r w:rsidR="002E154B">
        <w:tab/>
        <w:t xml:space="preserve">Among other measures, </w:t>
      </w:r>
      <w:r w:rsidR="00C91BCB">
        <w:t xml:space="preserve">state policy </w:t>
      </w:r>
      <w:r w:rsidR="00053EC5">
        <w:t xml:space="preserve">strongly </w:t>
      </w:r>
      <w:r w:rsidR="00FE67F5">
        <w:t>support</w:t>
      </w:r>
      <w:r w:rsidR="00C91BCB">
        <w:t>s</w:t>
      </w:r>
      <w:r w:rsidR="00FE67F5">
        <w:t xml:space="preserve"> </w:t>
      </w:r>
      <w:r w:rsidR="009E7151">
        <w:t xml:space="preserve">the use of </w:t>
      </w:r>
      <w:r w:rsidR="00FE67F5">
        <w:t>incentive</w:t>
      </w:r>
      <w:r w:rsidR="00D57FC5">
        <w:t>s</w:t>
      </w:r>
      <w:r w:rsidR="00FE67F5">
        <w:t xml:space="preserve"> t</w:t>
      </w:r>
      <w:r w:rsidR="00053EC5">
        <w:t xml:space="preserve">o </w:t>
      </w:r>
      <w:r w:rsidR="00FE67F5">
        <w:t xml:space="preserve">promote energy conservation.  The </w:t>
      </w:r>
      <w:r w:rsidR="0090015E">
        <w:t>Washington Legislature has declared that incentives that promote conservation benefit the state’s citizens by encouraging efficient energy use.</w:t>
      </w:r>
      <w:r w:rsidR="0090015E">
        <w:rPr>
          <w:rStyle w:val="FootnoteReference"/>
        </w:rPr>
        <w:footnoteReference w:id="10"/>
      </w:r>
      <w:r w:rsidR="002014C4">
        <w:t xml:space="preserve">  In approving the </w:t>
      </w:r>
      <w:r w:rsidR="00506F5C">
        <w:t xml:space="preserve">Mechanism, the Commission </w:t>
      </w:r>
      <w:r w:rsidR="002014C4">
        <w:t>stated</w:t>
      </w:r>
      <w:r w:rsidR="00506F5C">
        <w:t xml:space="preserve"> that “state law and policy clearly support the use of financial incentives to promote a broad array of conservation measures.”</w:t>
      </w:r>
      <w:r w:rsidR="00506F5C">
        <w:rPr>
          <w:rStyle w:val="FootnoteReference"/>
        </w:rPr>
        <w:footnoteReference w:id="11"/>
      </w:r>
    </w:p>
    <w:p w:rsidR="006C201D" w:rsidRDefault="00972D61" w:rsidP="00654EBB">
      <w:pPr>
        <w:widowControl/>
        <w:spacing w:line="480" w:lineRule="auto"/>
      </w:pPr>
      <w:r>
        <w:t>13</w:t>
      </w:r>
      <w:r w:rsidR="00654EBB">
        <w:t>.</w:t>
      </w:r>
      <w:r w:rsidR="00654EBB">
        <w:tab/>
        <w:t>C</w:t>
      </w:r>
      <w:r w:rsidR="006C201D">
        <w:t xml:space="preserve">onsistent with this </w:t>
      </w:r>
      <w:r w:rsidR="00206167">
        <w:t xml:space="preserve">policy </w:t>
      </w:r>
      <w:r w:rsidR="0094020C">
        <w:t>direction,</w:t>
      </w:r>
      <w:r w:rsidR="006C201D">
        <w:t xml:space="preserve"> the </w:t>
      </w:r>
      <w:r w:rsidR="00A52EF8">
        <w:t xml:space="preserve">Coalition advocates for </w:t>
      </w:r>
      <w:r w:rsidR="006C201D">
        <w:t xml:space="preserve">regulatory </w:t>
      </w:r>
      <w:r w:rsidR="006823AB">
        <w:t xml:space="preserve">strategies </w:t>
      </w:r>
      <w:r w:rsidR="006C201D">
        <w:t xml:space="preserve">that, at a minimum, make utilities neutral to increases or decreases in their customers’ energy use, and </w:t>
      </w:r>
      <w:r w:rsidR="00C91BCB">
        <w:t>ideally</w:t>
      </w:r>
      <w:r w:rsidR="006C201D">
        <w:t xml:space="preserve"> motivate them to support sustained investment in all cost-effecti</w:t>
      </w:r>
      <w:r w:rsidR="00206167">
        <w:t>ve energy efficiency.  I</w:t>
      </w:r>
      <w:r w:rsidR="006C201D">
        <w:t>ncentive</w:t>
      </w:r>
      <w:r w:rsidR="00864AFE">
        <w:t>s</w:t>
      </w:r>
      <w:r w:rsidR="006C201D">
        <w:t xml:space="preserve"> that promote energy efficiency investment and reward superior performance should b</w:t>
      </w:r>
      <w:r w:rsidR="00B6338B">
        <w:t xml:space="preserve">e considered to help level </w:t>
      </w:r>
      <w:r w:rsidR="006C201D">
        <w:t>the playing field with re</w:t>
      </w:r>
      <w:r w:rsidR="003B6C00">
        <w:t>gard</w:t>
      </w:r>
      <w:r w:rsidR="006C201D">
        <w:t xml:space="preserve"> to </w:t>
      </w:r>
      <w:r w:rsidR="00864AFE">
        <w:t xml:space="preserve">incentives that may </w:t>
      </w:r>
      <w:r w:rsidR="006C201D">
        <w:t>exist for supply-side</w:t>
      </w:r>
      <w:r w:rsidR="00206167">
        <w:t xml:space="preserve"> </w:t>
      </w:r>
      <w:r w:rsidR="006C201D">
        <w:t>resources</w:t>
      </w:r>
      <w:r w:rsidR="008B798A">
        <w:t>.</w:t>
      </w:r>
    </w:p>
    <w:p w:rsidR="004F4320" w:rsidRDefault="00654EBB" w:rsidP="008B798A">
      <w:pPr>
        <w:widowControl/>
        <w:spacing w:line="480" w:lineRule="auto"/>
      </w:pPr>
      <w:r>
        <w:t>1</w:t>
      </w:r>
      <w:r w:rsidR="00972D61">
        <w:t>4</w:t>
      </w:r>
      <w:r>
        <w:t>.</w:t>
      </w:r>
      <w:r>
        <w:tab/>
        <w:t>O</w:t>
      </w:r>
      <w:r w:rsidR="00FE67F5">
        <w:t xml:space="preserve">ur point here is that </w:t>
      </w:r>
      <w:r w:rsidR="004A5E15">
        <w:t xml:space="preserve">a </w:t>
      </w:r>
      <w:r w:rsidR="008016CD">
        <w:t xml:space="preserve">utility </w:t>
      </w:r>
      <w:r w:rsidR="004A5E15">
        <w:t xml:space="preserve">decision to </w:t>
      </w:r>
      <w:r w:rsidR="002D27B7">
        <w:t xml:space="preserve">pursue </w:t>
      </w:r>
      <w:r w:rsidR="00F338DE">
        <w:t>cost recovery</w:t>
      </w:r>
      <w:r w:rsidR="00945463">
        <w:t xml:space="preserve"> need</w:t>
      </w:r>
      <w:r w:rsidR="009D0600">
        <w:t xml:space="preserve"> </w:t>
      </w:r>
      <w:r w:rsidR="00945463">
        <w:t>not</w:t>
      </w:r>
      <w:r w:rsidR="00C574F9">
        <w:t xml:space="preserve"> be made to the exclusion of </w:t>
      </w:r>
      <w:r w:rsidR="00991718">
        <w:t>other</w:t>
      </w:r>
      <w:r w:rsidR="00C574F9">
        <w:t xml:space="preserve"> </w:t>
      </w:r>
      <w:r w:rsidR="00FE67F5">
        <w:t>approach</w:t>
      </w:r>
      <w:r w:rsidR="004C53A3">
        <w:t>es</w:t>
      </w:r>
      <w:r w:rsidR="00864AFE">
        <w:t xml:space="preserve"> -- including</w:t>
      </w:r>
      <w:r w:rsidR="00D57F13">
        <w:t xml:space="preserve"> incentive measures</w:t>
      </w:r>
      <w:r w:rsidR="00864AFE">
        <w:t xml:space="preserve"> --</w:t>
      </w:r>
      <w:r w:rsidR="002D27B7">
        <w:t xml:space="preserve"> that</w:t>
      </w:r>
      <w:r w:rsidR="004C53A3">
        <w:t xml:space="preserve"> </w:t>
      </w:r>
      <w:r w:rsidR="00C22AEE">
        <w:t xml:space="preserve">may </w:t>
      </w:r>
      <w:r w:rsidR="002D27B7">
        <w:t>advance</w:t>
      </w:r>
      <w:r w:rsidR="00945463">
        <w:t xml:space="preserve"> </w:t>
      </w:r>
      <w:r w:rsidR="002D27B7">
        <w:t>energy conservation</w:t>
      </w:r>
      <w:r w:rsidR="009D4155">
        <w:t xml:space="preserve"> in </w:t>
      </w:r>
      <w:r w:rsidR="00A964E7">
        <w:t>certain</w:t>
      </w:r>
      <w:r w:rsidR="00D57F13">
        <w:t xml:space="preserve"> situations</w:t>
      </w:r>
      <w:r w:rsidR="00DC127D">
        <w:t>.</w:t>
      </w:r>
      <w:r w:rsidR="00FE67F5">
        <w:t xml:space="preserve">  We encourage the</w:t>
      </w:r>
      <w:r w:rsidR="00424CCD">
        <w:t xml:space="preserve"> Commiss</w:t>
      </w:r>
      <w:r w:rsidR="00867678">
        <w:t xml:space="preserve">ion </w:t>
      </w:r>
      <w:r w:rsidR="00FE67F5">
        <w:t>to</w:t>
      </w:r>
      <w:r w:rsidR="00867678">
        <w:t xml:space="preserve"> continue to support </w:t>
      </w:r>
      <w:r w:rsidR="00424CCD">
        <w:t>the use of incentive</w:t>
      </w:r>
      <w:r w:rsidR="00F71B26">
        <w:t>s</w:t>
      </w:r>
      <w:r w:rsidR="006D2B8F">
        <w:t>, where appropriate, in order</w:t>
      </w:r>
      <w:r w:rsidR="00424CCD">
        <w:t xml:space="preserve"> to promote </w:t>
      </w:r>
      <w:r w:rsidR="002014C4">
        <w:t xml:space="preserve">this </w:t>
      </w:r>
      <w:r w:rsidR="008016CD">
        <w:t xml:space="preserve">important </w:t>
      </w:r>
      <w:r w:rsidR="002014C4">
        <w:t>objective</w:t>
      </w:r>
      <w:r w:rsidR="00424CCD">
        <w:t>.</w:t>
      </w:r>
    </w:p>
    <w:p w:rsidR="00950396" w:rsidRDefault="00F57D52" w:rsidP="007B35C7">
      <w:pPr>
        <w:spacing w:line="240" w:lineRule="auto"/>
        <w:jc w:val="center"/>
        <w:rPr>
          <w:b/>
        </w:rPr>
      </w:pPr>
      <w:r>
        <w:rPr>
          <w:b/>
        </w:rPr>
        <w:lastRenderedPageBreak/>
        <w:t>THE CO</w:t>
      </w:r>
      <w:r w:rsidR="008F3BE8">
        <w:rPr>
          <w:b/>
        </w:rPr>
        <w:t>ALITION ENCOURAGES THE CO</w:t>
      </w:r>
      <w:r>
        <w:rPr>
          <w:b/>
        </w:rPr>
        <w:t xml:space="preserve">MMISSION </w:t>
      </w:r>
      <w:r w:rsidR="008F3BE8">
        <w:rPr>
          <w:b/>
        </w:rPr>
        <w:t xml:space="preserve">TO </w:t>
      </w:r>
      <w:r w:rsidR="00950396">
        <w:rPr>
          <w:b/>
        </w:rPr>
        <w:t>INITIAT</w:t>
      </w:r>
      <w:r w:rsidR="008F3BE8">
        <w:rPr>
          <w:b/>
        </w:rPr>
        <w:t>E</w:t>
      </w:r>
      <w:r w:rsidR="00950396">
        <w:rPr>
          <w:b/>
        </w:rPr>
        <w:t xml:space="preserve"> A RULEMAKING </w:t>
      </w:r>
      <w:r w:rsidR="008F3BE8">
        <w:rPr>
          <w:b/>
        </w:rPr>
        <w:t>OR OTHER PROCEEDING</w:t>
      </w:r>
      <w:r w:rsidR="00574B11">
        <w:rPr>
          <w:b/>
        </w:rPr>
        <w:t xml:space="preserve">, </w:t>
      </w:r>
      <w:r w:rsidR="002C5EBF">
        <w:rPr>
          <w:b/>
        </w:rPr>
        <w:t xml:space="preserve">FOR THE </w:t>
      </w:r>
      <w:r w:rsidR="00574B11">
        <w:rPr>
          <w:b/>
        </w:rPr>
        <w:t>SPECIFIC</w:t>
      </w:r>
      <w:r w:rsidR="002C5EBF">
        <w:rPr>
          <w:b/>
        </w:rPr>
        <w:t xml:space="preserve"> PURPOSE OF EXAMINING </w:t>
      </w:r>
      <w:r w:rsidR="00950396">
        <w:rPr>
          <w:b/>
        </w:rPr>
        <w:t xml:space="preserve">DISINCENTIVES TO </w:t>
      </w:r>
      <w:r w:rsidR="00E30A75">
        <w:rPr>
          <w:b/>
        </w:rPr>
        <w:t xml:space="preserve">ENERGY </w:t>
      </w:r>
      <w:r w:rsidR="00950396">
        <w:rPr>
          <w:b/>
        </w:rPr>
        <w:t>CONSERVATION</w:t>
      </w:r>
    </w:p>
    <w:p w:rsidR="004F4320" w:rsidRDefault="004F4320" w:rsidP="007B35C7">
      <w:pPr>
        <w:spacing w:line="240" w:lineRule="auto"/>
        <w:jc w:val="center"/>
        <w:rPr>
          <w:b/>
        </w:rPr>
      </w:pPr>
    </w:p>
    <w:p w:rsidR="00950396" w:rsidRPr="00945463" w:rsidRDefault="00950396" w:rsidP="00950396">
      <w:pPr>
        <w:spacing w:line="240" w:lineRule="auto"/>
        <w:jc w:val="center"/>
        <w:rPr>
          <w:b/>
        </w:rPr>
      </w:pPr>
    </w:p>
    <w:p w:rsidR="00991EB6" w:rsidRPr="009A2A90" w:rsidRDefault="00972D61" w:rsidP="00654EBB">
      <w:pPr>
        <w:widowControl/>
        <w:spacing w:line="480" w:lineRule="auto"/>
        <w:rPr>
          <w:i/>
        </w:rPr>
      </w:pPr>
      <w:r>
        <w:t>15</w:t>
      </w:r>
      <w:r w:rsidR="00654EBB">
        <w:t>.</w:t>
      </w:r>
      <w:r w:rsidR="00654EBB">
        <w:tab/>
        <w:t>M</w:t>
      </w:r>
      <w:r w:rsidR="00FB5B6E">
        <w:t xml:space="preserve">r. Piliaris </w:t>
      </w:r>
      <w:r w:rsidR="003622FE">
        <w:t>distin</w:t>
      </w:r>
      <w:r w:rsidR="00862809">
        <w:t xml:space="preserve">guishes </w:t>
      </w:r>
      <w:r w:rsidR="003622FE">
        <w:t xml:space="preserve">between </w:t>
      </w:r>
      <w:r w:rsidR="00E10A53">
        <w:t xml:space="preserve">mechanisms that create </w:t>
      </w:r>
      <w:r w:rsidR="003622FE">
        <w:t>incentives for energy efficiency investments, and mechanisms that reduce or el</w:t>
      </w:r>
      <w:r w:rsidR="008B798A">
        <w:t xml:space="preserve">iminate disincentives to </w:t>
      </w:r>
      <w:r w:rsidR="003622FE">
        <w:t>those inves</w:t>
      </w:r>
      <w:r w:rsidR="00372EE3">
        <w:t>tments</w:t>
      </w:r>
      <w:r w:rsidR="003622FE">
        <w:t xml:space="preserve">.  </w:t>
      </w:r>
      <w:r w:rsidR="008B798A">
        <w:t>T</w:t>
      </w:r>
      <w:r w:rsidR="003D6917">
        <w:t xml:space="preserve">he Mechanism </w:t>
      </w:r>
      <w:r w:rsidR="00C50B1A">
        <w:t>was established to</w:t>
      </w:r>
      <w:r w:rsidR="004C53A3">
        <w:t xml:space="preserve"> “</w:t>
      </w:r>
      <w:r w:rsidR="002D261C">
        <w:rPr>
          <w:i/>
        </w:rPr>
        <w:t>provide an incentive to conservation, but there were no illusions that it would remove disincentives.  These are apples and oranges</w:t>
      </w:r>
      <w:r w:rsidR="003622FE">
        <w:t>.</w:t>
      </w:r>
      <w:r w:rsidR="00C50B1A">
        <w:t>”</w:t>
      </w:r>
      <w:r w:rsidR="00C50B1A">
        <w:rPr>
          <w:rStyle w:val="FootnoteReference"/>
        </w:rPr>
        <w:footnoteReference w:id="12"/>
      </w:r>
      <w:r w:rsidR="009A2A90">
        <w:t xml:space="preserve">  </w:t>
      </w:r>
    </w:p>
    <w:p w:rsidR="00AC6FA0" w:rsidRPr="00AC6FA0" w:rsidRDefault="00972D61" w:rsidP="00654EBB">
      <w:pPr>
        <w:widowControl/>
        <w:spacing w:line="480" w:lineRule="auto"/>
        <w:rPr>
          <w:i/>
        </w:rPr>
      </w:pPr>
      <w:r>
        <w:t>16</w:t>
      </w:r>
      <w:r w:rsidR="00654EBB">
        <w:t>.</w:t>
      </w:r>
      <w:r w:rsidR="00654EBB">
        <w:tab/>
        <w:t>T</w:t>
      </w:r>
      <w:r w:rsidR="00BA0D1F">
        <w:t xml:space="preserve">he Coalition </w:t>
      </w:r>
      <w:r w:rsidR="009A2A90">
        <w:t>agree</w:t>
      </w:r>
      <w:r w:rsidR="00BA0D1F">
        <w:t>s</w:t>
      </w:r>
      <w:r w:rsidR="00206167">
        <w:t xml:space="preserve"> that </w:t>
      </w:r>
      <w:r w:rsidR="001046E7">
        <w:t>a</w:t>
      </w:r>
      <w:r w:rsidR="00382F67">
        <w:t xml:space="preserve"> </w:t>
      </w:r>
      <w:r w:rsidR="00EA557C">
        <w:t>distinction</w:t>
      </w:r>
      <w:r w:rsidR="00206167">
        <w:t xml:space="preserve"> exists</w:t>
      </w:r>
      <w:r w:rsidR="001046E7">
        <w:t xml:space="preserve"> between incentive and disincentive</w:t>
      </w:r>
      <w:r w:rsidR="0026572F">
        <w:t>-based</w:t>
      </w:r>
      <w:r w:rsidR="001046E7">
        <w:t xml:space="preserve"> mechanisms</w:t>
      </w:r>
      <w:r w:rsidR="009A2A90">
        <w:t>.</w:t>
      </w:r>
      <w:r w:rsidR="007B5A68">
        <w:t xml:space="preserve">  Though no one </w:t>
      </w:r>
      <w:r w:rsidR="00F91955">
        <w:t xml:space="preserve">approach is perfect for all </w:t>
      </w:r>
      <w:r w:rsidR="002E3D0D">
        <w:t xml:space="preserve">situations, both types of mechanisms </w:t>
      </w:r>
      <w:r w:rsidR="001046E7">
        <w:t>offer</w:t>
      </w:r>
      <w:r w:rsidR="002E3D0D">
        <w:t xml:space="preserve"> the potential to increase the acquisition of cost-effective energy efficiency.</w:t>
      </w:r>
      <w:r w:rsidR="00BA0D1F">
        <w:t xml:space="preserve">  As we discussed earlier, there is ample </w:t>
      </w:r>
      <w:r w:rsidR="00771140">
        <w:t xml:space="preserve">reason why </w:t>
      </w:r>
      <w:r w:rsidR="00BA0D1F">
        <w:t xml:space="preserve">utilities and </w:t>
      </w:r>
      <w:r w:rsidR="007B5A68">
        <w:t>regulators</w:t>
      </w:r>
      <w:r w:rsidR="00F03127">
        <w:t xml:space="preserve"> </w:t>
      </w:r>
      <w:r w:rsidR="00771140">
        <w:t xml:space="preserve">should </w:t>
      </w:r>
      <w:r w:rsidR="00BA0D1F">
        <w:t xml:space="preserve">consider multiple approaches to </w:t>
      </w:r>
      <w:r w:rsidR="009B3582">
        <w:t>e</w:t>
      </w:r>
      <w:r w:rsidR="00AC6FA0">
        <w:t>nhanc</w:t>
      </w:r>
      <w:r w:rsidR="009B3582">
        <w:t xml:space="preserve">ing </w:t>
      </w:r>
      <w:r w:rsidR="007D1A04">
        <w:t>energy conservation</w:t>
      </w:r>
      <w:r w:rsidR="00FB0724">
        <w:t>.</w:t>
      </w:r>
    </w:p>
    <w:p w:rsidR="00725DD6" w:rsidRPr="00AC26E4" w:rsidRDefault="00972D61" w:rsidP="00654EBB">
      <w:pPr>
        <w:widowControl/>
        <w:spacing w:line="480" w:lineRule="auto"/>
        <w:rPr>
          <w:i/>
        </w:rPr>
      </w:pPr>
      <w:r>
        <w:t>17</w:t>
      </w:r>
      <w:r w:rsidR="00654EBB">
        <w:t>.</w:t>
      </w:r>
      <w:r w:rsidR="00654EBB">
        <w:tab/>
        <w:t>M</w:t>
      </w:r>
      <w:r w:rsidR="007D1A04">
        <w:t>r. Piliaris</w:t>
      </w:r>
      <w:r w:rsidR="00087998">
        <w:t xml:space="preserve"> </w:t>
      </w:r>
      <w:r w:rsidR="007B5A68">
        <w:t xml:space="preserve">focuses </w:t>
      </w:r>
      <w:r w:rsidR="00087998">
        <w:t xml:space="preserve">most of </w:t>
      </w:r>
      <w:r w:rsidR="007B5A68">
        <w:t xml:space="preserve">his rebuttal, however, on </w:t>
      </w:r>
      <w:r w:rsidR="00DF6CD3">
        <w:t xml:space="preserve">just </w:t>
      </w:r>
      <w:r w:rsidR="007B5A68">
        <w:t xml:space="preserve">a single regulatory </w:t>
      </w:r>
      <w:r w:rsidR="00AC26E4">
        <w:t>approach</w:t>
      </w:r>
      <w:r w:rsidR="00372EE3">
        <w:t xml:space="preserve"> – the removal of </w:t>
      </w:r>
      <w:r w:rsidR="00372EE3" w:rsidRPr="00AC26E4">
        <w:rPr>
          <w:i/>
        </w:rPr>
        <w:t>financial</w:t>
      </w:r>
      <w:r w:rsidR="002E6637" w:rsidRPr="00AC26E4">
        <w:rPr>
          <w:i/>
        </w:rPr>
        <w:t xml:space="preserve"> </w:t>
      </w:r>
      <w:r w:rsidR="002E6637">
        <w:t xml:space="preserve">disincentives </w:t>
      </w:r>
      <w:r w:rsidR="00372EE3">
        <w:t>to utility-sponsored conservation.</w:t>
      </w:r>
      <w:r w:rsidR="00CE76C4">
        <w:t xml:space="preserve">  H</w:t>
      </w:r>
      <w:r w:rsidR="002E6637">
        <w:t xml:space="preserve">e </w:t>
      </w:r>
      <w:r w:rsidR="00F03127">
        <w:t>argues</w:t>
      </w:r>
      <w:r w:rsidR="002E6637">
        <w:t xml:space="preserve"> that, “in keeping with the fundamental doctrine of setting rates to cover appropriate costs, the Commission should authorize full recovery of [PSE’s]</w:t>
      </w:r>
      <w:r w:rsidR="00913F50">
        <w:t xml:space="preserve"> </w:t>
      </w:r>
      <w:r w:rsidR="002E6637">
        <w:t>lost margin resulting from the requirements of RCW 19.285.”</w:t>
      </w:r>
      <w:r w:rsidR="002E6637">
        <w:rPr>
          <w:rStyle w:val="FootnoteReference"/>
        </w:rPr>
        <w:footnoteReference w:id="13"/>
      </w:r>
      <w:r w:rsidR="00CE76C4">
        <w:t xml:space="preserve">  Mr. Piliaris </w:t>
      </w:r>
      <w:r w:rsidR="009B3582">
        <w:t xml:space="preserve">asks the Commission to </w:t>
      </w:r>
      <w:r w:rsidR="00506AAD">
        <w:t>“</w:t>
      </w:r>
      <w:r w:rsidR="009B3582">
        <w:t>formulate</w:t>
      </w:r>
      <w:r w:rsidR="004A1903">
        <w:t xml:space="preserve"> </w:t>
      </w:r>
      <w:r w:rsidR="009B3582">
        <w:t xml:space="preserve">clear </w:t>
      </w:r>
      <w:r w:rsidR="009B3582">
        <w:lastRenderedPageBreak/>
        <w:t>written policy</w:t>
      </w:r>
      <w:r w:rsidR="00506AAD">
        <w:t xml:space="preserve"> and approve </w:t>
      </w:r>
      <w:r w:rsidR="009B3582">
        <w:t xml:space="preserve">permanent mechanisms” that </w:t>
      </w:r>
      <w:r w:rsidR="00506AAD">
        <w:t xml:space="preserve">promote conservation investment and </w:t>
      </w:r>
      <w:r w:rsidR="003E2151">
        <w:t>“</w:t>
      </w:r>
      <w:r w:rsidR="009B3582">
        <w:t>a</w:t>
      </w:r>
      <w:r w:rsidR="00B95B44">
        <w:t xml:space="preserve">ddress the issue of lost margin </w:t>
      </w:r>
      <w:r w:rsidR="009B3582">
        <w:t>due to conservation.”</w:t>
      </w:r>
      <w:r w:rsidR="0074379F">
        <w:rPr>
          <w:rStyle w:val="FootnoteReference"/>
        </w:rPr>
        <w:footnoteReference w:id="14"/>
      </w:r>
      <w:r w:rsidR="002E6637">
        <w:t xml:space="preserve"> </w:t>
      </w:r>
    </w:p>
    <w:p w:rsidR="00087998" w:rsidRPr="00853370" w:rsidRDefault="00972D61" w:rsidP="00654EBB">
      <w:pPr>
        <w:widowControl/>
        <w:spacing w:line="480" w:lineRule="auto"/>
        <w:rPr>
          <w:i/>
        </w:rPr>
      </w:pPr>
      <w:r>
        <w:t>18</w:t>
      </w:r>
      <w:r w:rsidR="00654EBB">
        <w:t>.</w:t>
      </w:r>
      <w:r w:rsidR="00654EBB">
        <w:tab/>
        <w:t>T</w:t>
      </w:r>
      <w:r w:rsidR="0075230A">
        <w:t xml:space="preserve">he Coalition </w:t>
      </w:r>
      <w:r w:rsidR="00DA2336">
        <w:t>has</w:t>
      </w:r>
      <w:r w:rsidR="00DE6CB5">
        <w:t xml:space="preserve"> several comments in response</w:t>
      </w:r>
      <w:r w:rsidR="00DA2336">
        <w:t>.</w:t>
      </w:r>
      <w:r w:rsidR="000B63BF">
        <w:t xml:space="preserve">  </w:t>
      </w:r>
      <w:r w:rsidR="00E24E55">
        <w:t xml:space="preserve">Our first concerns are procedural.  </w:t>
      </w:r>
      <w:r w:rsidR="001D7A44">
        <w:t>It is</w:t>
      </w:r>
      <w:r w:rsidR="00F91955">
        <w:t xml:space="preserve"> </w:t>
      </w:r>
      <w:r w:rsidR="001D7A44">
        <w:t>unclear</w:t>
      </w:r>
      <w:r w:rsidR="00F91955">
        <w:t xml:space="preserve"> </w:t>
      </w:r>
      <w:r w:rsidR="00771140">
        <w:t xml:space="preserve">precisely </w:t>
      </w:r>
      <w:r w:rsidR="00430FC7">
        <w:t>what PSE request</w:t>
      </w:r>
      <w:r w:rsidR="00087998">
        <w:t>s</w:t>
      </w:r>
      <w:r w:rsidR="00430FC7">
        <w:t xml:space="preserve"> from the Commission.</w:t>
      </w:r>
      <w:r w:rsidR="001D7A44">
        <w:t xml:space="preserve">  The company does </w:t>
      </w:r>
      <w:r w:rsidR="000B63BF">
        <w:t xml:space="preserve">not state </w:t>
      </w:r>
      <w:r w:rsidR="001D7A44">
        <w:t xml:space="preserve">what the </w:t>
      </w:r>
      <w:r w:rsidR="00DE6CB5">
        <w:t xml:space="preserve">“clear written </w:t>
      </w:r>
      <w:r w:rsidR="001D7A44">
        <w:t>policy</w:t>
      </w:r>
      <w:r w:rsidR="00DE6CB5">
        <w:t xml:space="preserve">” </w:t>
      </w:r>
      <w:r w:rsidR="001D7A44">
        <w:t xml:space="preserve">should </w:t>
      </w:r>
      <w:r w:rsidR="00771140">
        <w:t>encompass</w:t>
      </w:r>
      <w:r w:rsidR="001D7A44">
        <w:t>.  Nor does PSE</w:t>
      </w:r>
      <w:r w:rsidR="000B63BF">
        <w:t xml:space="preserve"> indicate how th</w:t>
      </w:r>
      <w:r w:rsidR="00CE76C4">
        <w:t>is</w:t>
      </w:r>
      <w:r w:rsidR="000B63BF">
        <w:t xml:space="preserve"> policy should operate, </w:t>
      </w:r>
      <w:r w:rsidR="00087998">
        <w:rPr>
          <w:i/>
        </w:rPr>
        <w:t>e.g.</w:t>
      </w:r>
      <w:r w:rsidR="000B63BF">
        <w:rPr>
          <w:i/>
        </w:rPr>
        <w:t xml:space="preserve">, </w:t>
      </w:r>
      <w:r w:rsidR="000B63BF">
        <w:t xml:space="preserve">retroactively or prospectively and </w:t>
      </w:r>
      <w:r w:rsidR="00E24E55">
        <w:t>for</w:t>
      </w:r>
      <w:r w:rsidR="00771140">
        <w:t xml:space="preserve"> what recovery amount</w:t>
      </w:r>
      <w:r w:rsidR="000B63BF">
        <w:t xml:space="preserve">.  </w:t>
      </w:r>
      <w:r w:rsidR="0045077E">
        <w:t>Except for</w:t>
      </w:r>
      <w:r w:rsidR="00CE76C4">
        <w:t xml:space="preserve"> the proposed Adjustment, t</w:t>
      </w:r>
      <w:r w:rsidR="000B63BF">
        <w:t xml:space="preserve">he company does not define the </w:t>
      </w:r>
      <w:r w:rsidR="00DE6CB5">
        <w:t xml:space="preserve">“permanent </w:t>
      </w:r>
      <w:r w:rsidR="00CE76C4">
        <w:t>mechanism</w:t>
      </w:r>
      <w:r w:rsidR="00506AAD">
        <w:t>s</w:t>
      </w:r>
      <w:r w:rsidR="00087998">
        <w:t>”</w:t>
      </w:r>
      <w:r w:rsidR="00506AAD">
        <w:t xml:space="preserve"> </w:t>
      </w:r>
      <w:r w:rsidR="000B63BF">
        <w:t>that it</w:t>
      </w:r>
      <w:r w:rsidR="00E24E55">
        <w:t xml:space="preserve"> asks the Commission to </w:t>
      </w:r>
      <w:r w:rsidR="00CE5089">
        <w:t>approve</w:t>
      </w:r>
      <w:r w:rsidR="000B63BF">
        <w:t>.</w:t>
      </w:r>
    </w:p>
    <w:p w:rsidR="00CE76C4" w:rsidRPr="00CE76C4" w:rsidRDefault="00972D61" w:rsidP="00654EBB">
      <w:pPr>
        <w:widowControl/>
        <w:spacing w:line="480" w:lineRule="auto"/>
        <w:rPr>
          <w:i/>
        </w:rPr>
      </w:pPr>
      <w:r>
        <w:t>19</w:t>
      </w:r>
      <w:r w:rsidR="00654EBB">
        <w:t>.</w:t>
      </w:r>
      <w:r w:rsidR="00654EBB">
        <w:tab/>
        <w:t>I</w:t>
      </w:r>
      <w:r w:rsidR="00081BEE">
        <w:t xml:space="preserve">t is also unclear whether PSE has appropriately “teed up” the </w:t>
      </w:r>
      <w:r w:rsidR="00B0067C">
        <w:t xml:space="preserve">lost </w:t>
      </w:r>
      <w:r w:rsidR="00654EBB">
        <w:t xml:space="preserve">margin recovery </w:t>
      </w:r>
      <w:r w:rsidR="00081BEE">
        <w:t>issue.  T</w:t>
      </w:r>
      <w:r w:rsidR="000E6F61">
        <w:t xml:space="preserve">he other parties could not </w:t>
      </w:r>
      <w:r w:rsidR="002D261C">
        <w:t xml:space="preserve">present </w:t>
      </w:r>
      <w:r w:rsidR="00081BEE">
        <w:t>testimony on th</w:t>
      </w:r>
      <w:r w:rsidR="00406440">
        <w:t>is</w:t>
      </w:r>
      <w:r w:rsidR="00081BEE">
        <w:t xml:space="preserve"> issue because Mr. Piliaris raised it for the first time on rebuttal.  Further, the </w:t>
      </w:r>
      <w:r w:rsidR="00087998">
        <w:t xml:space="preserve">company seeks a formal </w:t>
      </w:r>
      <w:r w:rsidR="00081BEE">
        <w:t>policy that applies not just to PSE, but to “all jurisdictional utilities.”</w:t>
      </w:r>
      <w:r w:rsidR="0074379F">
        <w:rPr>
          <w:rStyle w:val="FootnoteReference"/>
        </w:rPr>
        <w:footnoteReference w:id="15"/>
      </w:r>
      <w:r w:rsidR="00087998">
        <w:t xml:space="preserve">  </w:t>
      </w:r>
      <w:r w:rsidR="00081BEE">
        <w:t>Given the dynamic that surrounds th</w:t>
      </w:r>
      <w:r w:rsidR="003E2151">
        <w:t>e</w:t>
      </w:r>
      <w:r w:rsidR="00081BEE">
        <w:t xml:space="preserve"> </w:t>
      </w:r>
      <w:r w:rsidR="00406440">
        <w:t xml:space="preserve">recovery </w:t>
      </w:r>
      <w:r w:rsidR="00081BEE">
        <w:t xml:space="preserve">issue and the strong opinions that exist, the Commission may wish to hear from multiple utilities and stakeholders rather than just the parties </w:t>
      </w:r>
      <w:r w:rsidR="000E6F61">
        <w:t>to this proceeding</w:t>
      </w:r>
      <w:r w:rsidR="00081BEE">
        <w:t>.</w:t>
      </w:r>
    </w:p>
    <w:p w:rsidR="007810D2" w:rsidRPr="007810D2" w:rsidRDefault="00972D61" w:rsidP="00654EBB">
      <w:pPr>
        <w:widowControl/>
        <w:spacing w:line="480" w:lineRule="auto"/>
        <w:rPr>
          <w:i/>
        </w:rPr>
      </w:pPr>
      <w:r>
        <w:t>20</w:t>
      </w:r>
      <w:r w:rsidR="00654EBB">
        <w:t>.</w:t>
      </w:r>
      <w:r w:rsidR="00654EBB">
        <w:tab/>
        <w:t>T</w:t>
      </w:r>
      <w:r w:rsidR="00CE76C4">
        <w:t xml:space="preserve">hough PSE couches the disincentive issue </w:t>
      </w:r>
      <w:r w:rsidR="00BE3AE3">
        <w:t xml:space="preserve">as </w:t>
      </w:r>
      <w:r w:rsidR="00CE76C4">
        <w:t>s</w:t>
      </w:r>
      <w:r w:rsidR="007810D2">
        <w:t>trictly a</w:t>
      </w:r>
      <w:r w:rsidR="00CE76C4">
        <w:t xml:space="preserve"> financial</w:t>
      </w:r>
      <w:r w:rsidR="003E2151">
        <w:t xml:space="preserve"> </w:t>
      </w:r>
      <w:r w:rsidR="007810D2">
        <w:t>one</w:t>
      </w:r>
      <w:r w:rsidR="00CE76C4">
        <w:t xml:space="preserve">, </w:t>
      </w:r>
      <w:r w:rsidR="00CE76C4">
        <w:rPr>
          <w:i/>
        </w:rPr>
        <w:t>i.e.</w:t>
      </w:r>
      <w:r w:rsidR="00CE76C4">
        <w:t>, the recovery of lost margin</w:t>
      </w:r>
      <w:r w:rsidR="003E2151">
        <w:t xml:space="preserve"> due to conservation</w:t>
      </w:r>
      <w:r w:rsidR="00CE76C4">
        <w:t>, there is much more to the issue.</w:t>
      </w:r>
      <w:r w:rsidR="003E2151">
        <w:t xml:space="preserve">  Utilities face other</w:t>
      </w:r>
      <w:r w:rsidR="007810D2">
        <w:t>, significant</w:t>
      </w:r>
      <w:r w:rsidR="003E2151">
        <w:t xml:space="preserve"> disincentives to achieving energy efficiency, </w:t>
      </w:r>
      <w:r w:rsidR="00AE1C94">
        <w:t>most notably regulatory</w:t>
      </w:r>
      <w:r w:rsidR="003E2151">
        <w:t xml:space="preserve"> measures that reward increased sales, penalize sales below accepted levels, and thereby </w:t>
      </w:r>
      <w:r w:rsidR="003E2151">
        <w:lastRenderedPageBreak/>
        <w:t>create a throughput incentive</w:t>
      </w:r>
      <w:r w:rsidR="00AE1C94">
        <w:t xml:space="preserve"> and a </w:t>
      </w:r>
      <w:r w:rsidR="007810D2">
        <w:t xml:space="preserve">disincentive to </w:t>
      </w:r>
      <w:r w:rsidR="00AE5040">
        <w:t xml:space="preserve">utility investment in </w:t>
      </w:r>
      <w:r w:rsidR="007810D2">
        <w:t>conservation</w:t>
      </w:r>
      <w:r w:rsidR="003E2151">
        <w:t xml:space="preserve">.  A policy that </w:t>
      </w:r>
      <w:r w:rsidR="00A46D8D">
        <w:t>seeks to remove</w:t>
      </w:r>
      <w:r w:rsidR="00771140">
        <w:t xml:space="preserve"> disincentives to c</w:t>
      </w:r>
      <w:r w:rsidR="007810D2">
        <w:t xml:space="preserve">onservation should </w:t>
      </w:r>
      <w:r w:rsidR="00A46D8D">
        <w:t>address</w:t>
      </w:r>
      <w:r w:rsidR="007810D2">
        <w:t xml:space="preserve"> </w:t>
      </w:r>
      <w:r w:rsidR="007810D2">
        <w:rPr>
          <w:i/>
        </w:rPr>
        <w:t xml:space="preserve">all </w:t>
      </w:r>
      <w:r w:rsidR="007810D2">
        <w:t xml:space="preserve">potential disincentives </w:t>
      </w:r>
      <w:r w:rsidR="00771140">
        <w:t xml:space="preserve">and not just the </w:t>
      </w:r>
      <w:r w:rsidR="009B49F0">
        <w:t>matter</w:t>
      </w:r>
      <w:r w:rsidR="00AE1C94">
        <w:t xml:space="preserve"> </w:t>
      </w:r>
      <w:r w:rsidR="007810D2">
        <w:t xml:space="preserve">of </w:t>
      </w:r>
      <w:r w:rsidR="00771140">
        <w:t>lost margin recovery.</w:t>
      </w:r>
      <w:r w:rsidR="009F4571">
        <w:rPr>
          <w:rStyle w:val="FootnoteReference"/>
        </w:rPr>
        <w:footnoteReference w:id="16"/>
      </w:r>
    </w:p>
    <w:p w:rsidR="00880B5E" w:rsidRPr="00880B5E" w:rsidRDefault="00972D61" w:rsidP="00654EBB">
      <w:pPr>
        <w:widowControl/>
        <w:spacing w:line="480" w:lineRule="auto"/>
        <w:rPr>
          <w:i/>
        </w:rPr>
      </w:pPr>
      <w:r>
        <w:t>21</w:t>
      </w:r>
      <w:r w:rsidR="00654EBB">
        <w:t>.</w:t>
      </w:r>
      <w:r w:rsidR="00654EBB">
        <w:tab/>
        <w:t>F</w:t>
      </w:r>
      <w:r w:rsidR="00236B4C">
        <w:t>urther</w:t>
      </w:r>
      <w:r w:rsidR="007810D2">
        <w:t>, the</w:t>
      </w:r>
      <w:r w:rsidR="00282578">
        <w:t>re are multiple factors</w:t>
      </w:r>
      <w:r w:rsidR="00AE1C94">
        <w:t xml:space="preserve"> to consider when struct</w:t>
      </w:r>
      <w:r w:rsidR="00F366B3">
        <w:t xml:space="preserve">uring a mechanism that </w:t>
      </w:r>
      <w:r w:rsidR="00AE1C94">
        <w:t>remove</w:t>
      </w:r>
      <w:r w:rsidR="00F366B3">
        <w:t xml:space="preserve">s </w:t>
      </w:r>
      <w:r w:rsidR="00AE1C94">
        <w:t>di</w:t>
      </w:r>
      <w:r w:rsidR="00282578">
        <w:t>sincentives</w:t>
      </w:r>
      <w:r w:rsidR="00B865F5">
        <w:t>, including financial disincentives</w:t>
      </w:r>
      <w:r w:rsidR="00236B4C">
        <w:t xml:space="preserve">.  </w:t>
      </w:r>
      <w:r w:rsidR="00B865F5">
        <w:t>As one example,</w:t>
      </w:r>
      <w:r w:rsidR="00F366B3">
        <w:rPr>
          <w:rStyle w:val="FootnoteReference"/>
        </w:rPr>
        <w:footnoteReference w:id="17"/>
      </w:r>
      <w:r w:rsidR="00F366B3">
        <w:t xml:space="preserve"> a</w:t>
      </w:r>
      <w:r w:rsidR="00282578">
        <w:t xml:space="preserve">ny such mechanism </w:t>
      </w:r>
      <w:r w:rsidR="00F366B3">
        <w:t xml:space="preserve">should be </w:t>
      </w:r>
      <w:r w:rsidR="00AE1C94">
        <w:t>linked</w:t>
      </w:r>
      <w:r w:rsidR="00F366B3">
        <w:t xml:space="preserve"> </w:t>
      </w:r>
      <w:r w:rsidR="00B865F5">
        <w:t xml:space="preserve">to a </w:t>
      </w:r>
      <w:r w:rsidR="00790296">
        <w:t xml:space="preserve">utility </w:t>
      </w:r>
      <w:r w:rsidR="00AE1C94">
        <w:t>commitment</w:t>
      </w:r>
      <w:r w:rsidR="00B865F5">
        <w:t xml:space="preserve"> </w:t>
      </w:r>
      <w:r w:rsidR="00AE1C94">
        <w:t>to pursue significant energy efficiency savings.</w:t>
      </w:r>
      <w:r w:rsidR="00790296">
        <w:t xml:space="preserve">  </w:t>
      </w:r>
      <w:r w:rsidR="00996B99">
        <w:t>Moreover, a</w:t>
      </w:r>
      <w:r w:rsidR="00790296">
        <w:t xml:space="preserve"> </w:t>
      </w:r>
      <w:r w:rsidR="00B865F5">
        <w:t xml:space="preserve">mechanism </w:t>
      </w:r>
      <w:r w:rsidR="00790296">
        <w:t xml:space="preserve">that permits lost margin recovery </w:t>
      </w:r>
      <w:r w:rsidR="00B865F5">
        <w:t>should not</w:t>
      </w:r>
      <w:r w:rsidR="00790296">
        <w:t xml:space="preserve">, in the process, </w:t>
      </w:r>
      <w:r w:rsidR="00B865F5">
        <w:t xml:space="preserve">erode </w:t>
      </w:r>
      <w:r w:rsidR="00790296">
        <w:t xml:space="preserve">the utility’s </w:t>
      </w:r>
      <w:r w:rsidR="00F366B3">
        <w:t>incentive to control costs or to i</w:t>
      </w:r>
      <w:r w:rsidR="00FD6E1E">
        <w:t>mprove operational efficiency.</w:t>
      </w:r>
    </w:p>
    <w:p w:rsidR="00F366B3" w:rsidRPr="00AC26E4" w:rsidRDefault="00972D61" w:rsidP="00A503F2">
      <w:pPr>
        <w:widowControl/>
        <w:spacing w:line="480" w:lineRule="auto"/>
        <w:rPr>
          <w:i/>
        </w:rPr>
      </w:pPr>
      <w:r>
        <w:t>22</w:t>
      </w:r>
      <w:r w:rsidR="00A503F2">
        <w:t>.</w:t>
      </w:r>
      <w:r w:rsidR="00A503F2">
        <w:tab/>
        <w:t>W</w:t>
      </w:r>
      <w:r w:rsidR="00A772A6">
        <w:t>e raise these concerns not to make the financial disincentive issue go aw</w:t>
      </w:r>
      <w:r w:rsidR="000A2740">
        <w:t xml:space="preserve">ay, but to put the issue </w:t>
      </w:r>
      <w:r w:rsidR="00D76E97">
        <w:t xml:space="preserve">in </w:t>
      </w:r>
      <w:r w:rsidR="00474F6F">
        <w:t xml:space="preserve">proper </w:t>
      </w:r>
      <w:r w:rsidR="00AC26E4">
        <w:t>perspective</w:t>
      </w:r>
      <w:r w:rsidR="00A772A6">
        <w:t xml:space="preserve">.  </w:t>
      </w:r>
      <w:r w:rsidR="00D76E97">
        <w:t xml:space="preserve">It is one thing for </w:t>
      </w:r>
      <w:r w:rsidR="00A772A6">
        <w:t xml:space="preserve">PSE </w:t>
      </w:r>
      <w:r w:rsidR="00D76E97">
        <w:t>to</w:t>
      </w:r>
      <w:r w:rsidR="00A772A6">
        <w:t xml:space="preserve"> argue conceptually that the Commission s</w:t>
      </w:r>
      <w:r w:rsidR="00D43471">
        <w:t xml:space="preserve">hould adopt a policy and mechanisms </w:t>
      </w:r>
      <w:r w:rsidR="00A772A6">
        <w:t>that</w:t>
      </w:r>
      <w:r w:rsidR="00D43471">
        <w:t xml:space="preserve"> </w:t>
      </w:r>
      <w:r w:rsidR="00AA11D4">
        <w:t xml:space="preserve">authorize full recovery of lost </w:t>
      </w:r>
      <w:r w:rsidR="00A772A6">
        <w:t>m</w:t>
      </w:r>
      <w:r w:rsidR="002D261C">
        <w:t>argin due to conservation.  U</w:t>
      </w:r>
      <w:r w:rsidR="001046E7">
        <w:t>ltimately</w:t>
      </w:r>
      <w:r w:rsidR="00FF5F63">
        <w:t xml:space="preserve">, </w:t>
      </w:r>
      <w:r w:rsidR="002D261C">
        <w:t xml:space="preserve">though, </w:t>
      </w:r>
      <w:r w:rsidR="00FF5F63">
        <w:t>“</w:t>
      </w:r>
      <w:r w:rsidR="00A772A6">
        <w:t xml:space="preserve">the </w:t>
      </w:r>
      <w:r w:rsidR="002D261C">
        <w:t>d</w:t>
      </w:r>
      <w:r w:rsidR="00A772A6">
        <w:t>evil is in the details.</w:t>
      </w:r>
      <w:r w:rsidR="00FF5F63">
        <w:t>”</w:t>
      </w:r>
      <w:r w:rsidR="00A772A6">
        <w:t xml:space="preserve">  Th</w:t>
      </w:r>
      <w:r w:rsidR="00D43471">
        <w:t>e fina</w:t>
      </w:r>
      <w:r w:rsidR="00B0067C">
        <w:t xml:space="preserve">ncial disincentive issue – </w:t>
      </w:r>
      <w:r w:rsidR="00D43471">
        <w:t>indeed</w:t>
      </w:r>
      <w:r w:rsidR="00B0067C">
        <w:t>,</w:t>
      </w:r>
      <w:r w:rsidR="00D43471">
        <w:t xml:space="preserve"> the</w:t>
      </w:r>
      <w:r w:rsidR="00A772A6">
        <w:t xml:space="preserve"> issue of </w:t>
      </w:r>
      <w:r w:rsidR="00A772A6" w:rsidRPr="00AC26E4">
        <w:rPr>
          <w:i/>
        </w:rPr>
        <w:t xml:space="preserve">all </w:t>
      </w:r>
      <w:r w:rsidR="00A772A6">
        <w:t xml:space="preserve">disincentives to conservation </w:t>
      </w:r>
      <w:r w:rsidR="00D43471">
        <w:t xml:space="preserve">-- </w:t>
      </w:r>
      <w:r w:rsidR="002D261C">
        <w:t>requires a complete review</w:t>
      </w:r>
      <w:r w:rsidR="00017A82">
        <w:t xml:space="preserve"> in </w:t>
      </w:r>
      <w:r w:rsidR="00D43471">
        <w:t>an appropriate</w:t>
      </w:r>
      <w:r w:rsidR="00017A82">
        <w:t xml:space="preserve"> forum</w:t>
      </w:r>
      <w:r w:rsidR="00D43471">
        <w:t xml:space="preserve"> so that the Commission can flesh out these details</w:t>
      </w:r>
      <w:r w:rsidR="00B0067C">
        <w:t xml:space="preserve"> and decide how best to proceed</w:t>
      </w:r>
      <w:r w:rsidR="00017A82">
        <w:t>.</w:t>
      </w:r>
      <w:r w:rsidR="00B865F5">
        <w:t xml:space="preserve">  </w:t>
      </w:r>
    </w:p>
    <w:p w:rsidR="00795BB2" w:rsidRPr="009F3DA1" w:rsidRDefault="00972D61" w:rsidP="00A503F2">
      <w:pPr>
        <w:widowControl/>
        <w:spacing w:line="480" w:lineRule="auto"/>
        <w:rPr>
          <w:i/>
        </w:rPr>
      </w:pPr>
      <w:r>
        <w:lastRenderedPageBreak/>
        <w:t>23</w:t>
      </w:r>
      <w:r w:rsidR="00A503F2">
        <w:t>.</w:t>
      </w:r>
      <w:r w:rsidR="00A503F2">
        <w:tab/>
        <w:t>T</w:t>
      </w:r>
      <w:r w:rsidR="00D43471">
        <w:t>he Coalition has identified several possibl</w:t>
      </w:r>
      <w:r w:rsidR="00FF5F63">
        <w:t xml:space="preserve">e avenues for this </w:t>
      </w:r>
      <w:r w:rsidR="002D261C">
        <w:t>review</w:t>
      </w:r>
      <w:r w:rsidR="00FF5F63">
        <w:t xml:space="preserve">.  </w:t>
      </w:r>
      <w:r w:rsidR="00A6209E">
        <w:t xml:space="preserve">PSE could </w:t>
      </w:r>
      <w:r w:rsidR="0058388D">
        <w:t xml:space="preserve">present </w:t>
      </w:r>
      <w:r w:rsidR="00D43471">
        <w:t xml:space="preserve">the </w:t>
      </w:r>
      <w:r w:rsidR="00F149CA">
        <w:t>dis</w:t>
      </w:r>
      <w:r w:rsidR="00D43471">
        <w:t>incentive issue</w:t>
      </w:r>
      <w:r w:rsidR="00D76E97">
        <w:t>s</w:t>
      </w:r>
      <w:r w:rsidR="00D43471">
        <w:t xml:space="preserve"> </w:t>
      </w:r>
      <w:r w:rsidR="00F149CA">
        <w:t xml:space="preserve">in its </w:t>
      </w:r>
      <w:r w:rsidR="00D43471">
        <w:t xml:space="preserve">next </w:t>
      </w:r>
      <w:r w:rsidR="00D76E97">
        <w:t xml:space="preserve">general </w:t>
      </w:r>
      <w:r w:rsidR="00E02BBA">
        <w:t xml:space="preserve">rate case, perhaps with </w:t>
      </w:r>
      <w:r w:rsidR="00D43471">
        <w:t>guidance from the Commission</w:t>
      </w:r>
      <w:r w:rsidR="001E5198">
        <w:t xml:space="preserve"> resulting from the</w:t>
      </w:r>
      <w:r w:rsidR="00D43471">
        <w:t xml:space="preserve"> final order in this proceeding.</w:t>
      </w:r>
      <w:r w:rsidR="00D76E97">
        <w:t xml:space="preserve">  </w:t>
      </w:r>
      <w:r w:rsidR="002D261C">
        <w:t xml:space="preserve">This would address </w:t>
      </w:r>
      <w:r w:rsidR="00F149CA">
        <w:t>some of our procedural concerns and</w:t>
      </w:r>
      <w:r w:rsidR="002A7A21">
        <w:t xml:space="preserve"> permit </w:t>
      </w:r>
      <w:r w:rsidR="00F149CA">
        <w:t xml:space="preserve">a more focused </w:t>
      </w:r>
      <w:r w:rsidR="001E5198">
        <w:t xml:space="preserve">examination </w:t>
      </w:r>
      <w:r w:rsidR="00D76E97">
        <w:t xml:space="preserve">of the </w:t>
      </w:r>
      <w:r w:rsidR="00B14F9D">
        <w:t>issue</w:t>
      </w:r>
      <w:r w:rsidR="00D76E97">
        <w:t>s</w:t>
      </w:r>
      <w:r w:rsidR="00F149CA">
        <w:t xml:space="preserve">.  By the same token, however, </w:t>
      </w:r>
      <w:r w:rsidR="00D76E97">
        <w:t xml:space="preserve">a </w:t>
      </w:r>
      <w:r w:rsidR="00F149CA">
        <w:t>delay</w:t>
      </w:r>
      <w:r w:rsidR="00D76E97">
        <w:t xml:space="preserve"> </w:t>
      </w:r>
      <w:r w:rsidR="00F149CA">
        <w:t xml:space="preserve">until PSE’s next rate case means that </w:t>
      </w:r>
      <w:r w:rsidR="00D76E97">
        <w:t xml:space="preserve">resolution of the issues </w:t>
      </w:r>
      <w:r w:rsidR="00293A25">
        <w:t xml:space="preserve">may </w:t>
      </w:r>
      <w:r w:rsidR="002A7A21">
        <w:t xml:space="preserve">not </w:t>
      </w:r>
      <w:r w:rsidR="00FF5F63">
        <w:t xml:space="preserve">occur for </w:t>
      </w:r>
      <w:r w:rsidR="00D76E97">
        <w:t xml:space="preserve">some time (which creates the potential for </w:t>
      </w:r>
      <w:r w:rsidR="002D261C">
        <w:t xml:space="preserve">unnecessary </w:t>
      </w:r>
      <w:r w:rsidR="00D76E97">
        <w:t>regulatory la</w:t>
      </w:r>
      <w:r w:rsidR="00F149CA">
        <w:t>g</w:t>
      </w:r>
      <w:r w:rsidR="00D76E97">
        <w:t>)</w:t>
      </w:r>
      <w:r w:rsidR="002F1D50">
        <w:t>.  Further</w:t>
      </w:r>
      <w:r w:rsidR="00F149CA">
        <w:t xml:space="preserve">, a </w:t>
      </w:r>
      <w:r w:rsidR="00795BB2">
        <w:t xml:space="preserve">rate case </w:t>
      </w:r>
      <w:r w:rsidR="00D76E97">
        <w:t>process</w:t>
      </w:r>
      <w:r w:rsidR="00F149CA">
        <w:t xml:space="preserve"> that is specific to PSE</w:t>
      </w:r>
      <w:r w:rsidR="00E02BBA">
        <w:t xml:space="preserve"> </w:t>
      </w:r>
      <w:r w:rsidR="00D244F6">
        <w:t xml:space="preserve">carries </w:t>
      </w:r>
      <w:r w:rsidR="00F149CA">
        <w:t xml:space="preserve">the risk that other </w:t>
      </w:r>
      <w:r w:rsidR="009749E1">
        <w:t xml:space="preserve">jurisdictional </w:t>
      </w:r>
      <w:r w:rsidR="00F149CA">
        <w:t>utilities might not be heard</w:t>
      </w:r>
      <w:r w:rsidR="00795BB2">
        <w:t>.</w:t>
      </w:r>
      <w:r w:rsidR="00FF5F63">
        <w:t xml:space="preserve">  </w:t>
      </w:r>
      <w:r w:rsidR="002D261C">
        <w:t xml:space="preserve">Thus, </w:t>
      </w:r>
      <w:r w:rsidR="00E02BBA">
        <w:t>the company’s next</w:t>
      </w:r>
      <w:r w:rsidR="00FF5F63">
        <w:t xml:space="preserve"> rate case </w:t>
      </w:r>
      <w:r w:rsidR="00293A25">
        <w:t xml:space="preserve">may not </w:t>
      </w:r>
      <w:r w:rsidR="00E02BBA">
        <w:t xml:space="preserve">be </w:t>
      </w:r>
      <w:r w:rsidR="004D49AD">
        <w:t xml:space="preserve">the ideal </w:t>
      </w:r>
      <w:r w:rsidR="00E02BBA">
        <w:t>forum</w:t>
      </w:r>
      <w:r w:rsidR="00293A25">
        <w:t>, by itself,</w:t>
      </w:r>
      <w:r w:rsidR="00E02BBA">
        <w:t xml:space="preserve"> </w:t>
      </w:r>
      <w:r w:rsidR="004D7048">
        <w:t xml:space="preserve">in which </w:t>
      </w:r>
      <w:r w:rsidR="00E02BBA">
        <w:t xml:space="preserve">to conduct a </w:t>
      </w:r>
      <w:r w:rsidR="004D49AD">
        <w:t>timely</w:t>
      </w:r>
      <w:r w:rsidR="005E35C4">
        <w:t xml:space="preserve"> and</w:t>
      </w:r>
      <w:r w:rsidR="004D49AD">
        <w:t xml:space="preserve"> global </w:t>
      </w:r>
      <w:r w:rsidR="00E02BBA">
        <w:t>examination of disincentive issues</w:t>
      </w:r>
      <w:r w:rsidR="00FF5F63">
        <w:t>.</w:t>
      </w:r>
      <w:r w:rsidR="0058388D">
        <w:rPr>
          <w:rStyle w:val="FootnoteReference"/>
        </w:rPr>
        <w:footnoteReference w:id="18"/>
      </w:r>
      <w:r w:rsidR="00FF5F63">
        <w:t xml:space="preserve">  </w:t>
      </w:r>
    </w:p>
    <w:p w:rsidR="00795BB2" w:rsidRPr="003D6917" w:rsidRDefault="00972D61" w:rsidP="00A503F2">
      <w:pPr>
        <w:widowControl/>
        <w:spacing w:line="480" w:lineRule="auto"/>
      </w:pPr>
      <w:r>
        <w:t>24</w:t>
      </w:r>
      <w:r w:rsidR="00A503F2">
        <w:t>.</w:t>
      </w:r>
      <w:r w:rsidR="00A503F2">
        <w:tab/>
        <w:t>T</w:t>
      </w:r>
      <w:r w:rsidR="009F3DA1">
        <w:t>he Co</w:t>
      </w:r>
      <w:r w:rsidR="00C033FE">
        <w:t xml:space="preserve">mmission could also </w:t>
      </w:r>
      <w:r w:rsidR="00E02BBA">
        <w:t xml:space="preserve">examine these issues </w:t>
      </w:r>
      <w:r w:rsidR="009F3DA1">
        <w:t xml:space="preserve">in the </w:t>
      </w:r>
      <w:r w:rsidR="00BB0A4E">
        <w:t xml:space="preserve">three </w:t>
      </w:r>
      <w:r w:rsidR="009F3DA1">
        <w:t xml:space="preserve">proceedings that it </w:t>
      </w:r>
      <w:r w:rsidR="009A2BC3">
        <w:t xml:space="preserve">recently </w:t>
      </w:r>
      <w:r w:rsidR="009F3DA1">
        <w:t xml:space="preserve">opened to consider </w:t>
      </w:r>
      <w:r w:rsidR="00AB5F73">
        <w:t xml:space="preserve">PacifiCorp’s, Avista’s, and </w:t>
      </w:r>
      <w:r w:rsidR="009F3DA1" w:rsidRPr="009F3DA1">
        <w:t>PSE’s</w:t>
      </w:r>
      <w:r w:rsidR="00795BB2">
        <w:t xml:space="preserve"> </w:t>
      </w:r>
      <w:r w:rsidR="009F3DA1">
        <w:t xml:space="preserve">reports </w:t>
      </w:r>
      <w:r w:rsidR="00032ACB">
        <w:t>regarding</w:t>
      </w:r>
      <w:r w:rsidR="009F3DA1">
        <w:t xml:space="preserve"> the utilities’</w:t>
      </w:r>
      <w:r w:rsidR="009A2BC3">
        <w:t xml:space="preserve"> </w:t>
      </w:r>
      <w:r w:rsidR="009F3DA1">
        <w:t>ten-year conservation potential and biennial</w:t>
      </w:r>
      <w:r w:rsidR="00AB5F73">
        <w:t xml:space="preserve"> </w:t>
      </w:r>
      <w:r w:rsidR="009F3DA1">
        <w:t>conservation targets</w:t>
      </w:r>
      <w:r w:rsidR="00795BB2">
        <w:t>.</w:t>
      </w:r>
      <w:r w:rsidR="00795BB2">
        <w:rPr>
          <w:rStyle w:val="FootnoteReference"/>
        </w:rPr>
        <w:footnoteReference w:id="19"/>
      </w:r>
      <w:r w:rsidR="00DD47E1">
        <w:t xml:space="preserve">  The </w:t>
      </w:r>
      <w:r w:rsidR="00D208DD">
        <w:t xml:space="preserve">dates </w:t>
      </w:r>
      <w:r w:rsidR="004D7048">
        <w:t xml:space="preserve">that the Commission scheduled in early March -- </w:t>
      </w:r>
      <w:r w:rsidR="00F347C6">
        <w:t xml:space="preserve">for comment and </w:t>
      </w:r>
      <w:r w:rsidR="00AE5040">
        <w:t xml:space="preserve">an </w:t>
      </w:r>
      <w:r w:rsidR="00D208DD">
        <w:t xml:space="preserve">open meeting </w:t>
      </w:r>
      <w:r w:rsidR="004D7048">
        <w:t xml:space="preserve">-- </w:t>
      </w:r>
      <w:r w:rsidR="007964C8">
        <w:t xml:space="preserve">suggest </w:t>
      </w:r>
      <w:r w:rsidR="004F4320">
        <w:t>that</w:t>
      </w:r>
      <w:r w:rsidR="003D6917">
        <w:t xml:space="preserve"> </w:t>
      </w:r>
      <w:r w:rsidR="004F4320">
        <w:t>the</w:t>
      </w:r>
      <w:r w:rsidR="00B957B5">
        <w:t xml:space="preserve"> </w:t>
      </w:r>
      <w:r w:rsidR="004F4320">
        <w:t xml:space="preserve">proceedings may </w:t>
      </w:r>
      <w:r w:rsidR="00D208DD">
        <w:t>be resolved relatively</w:t>
      </w:r>
      <w:r w:rsidR="00A964E7">
        <w:t xml:space="preserve"> </w:t>
      </w:r>
      <w:r w:rsidR="00D208DD">
        <w:t>quickly</w:t>
      </w:r>
      <w:r w:rsidR="007964C8">
        <w:t>.</w:t>
      </w:r>
      <w:r w:rsidR="007964C8">
        <w:rPr>
          <w:rStyle w:val="FootnoteReference"/>
        </w:rPr>
        <w:footnoteReference w:id="20"/>
      </w:r>
      <w:r w:rsidR="008A571A">
        <w:t xml:space="preserve">  </w:t>
      </w:r>
      <w:r w:rsidR="00D208DD">
        <w:t>T</w:t>
      </w:r>
      <w:r w:rsidR="008A571A">
        <w:t xml:space="preserve">he </w:t>
      </w:r>
      <w:r w:rsidR="00D208DD">
        <w:t xml:space="preserve">new </w:t>
      </w:r>
      <w:r w:rsidR="0045077E">
        <w:t xml:space="preserve">proceedings are </w:t>
      </w:r>
      <w:r w:rsidR="00D208DD">
        <w:t xml:space="preserve">also </w:t>
      </w:r>
      <w:r w:rsidR="008A571A">
        <w:lastRenderedPageBreak/>
        <w:t>conservation-specific</w:t>
      </w:r>
      <w:r w:rsidR="00373649">
        <w:t xml:space="preserve">; </w:t>
      </w:r>
      <w:r w:rsidR="00BB0A4E">
        <w:t>th</w:t>
      </w:r>
      <w:r w:rsidR="003E15F3">
        <w:t xml:space="preserve">ey could </w:t>
      </w:r>
      <w:r w:rsidR="001A13E6">
        <w:t xml:space="preserve">thus </w:t>
      </w:r>
      <w:r w:rsidR="00307641">
        <w:t xml:space="preserve">be structured </w:t>
      </w:r>
      <w:r w:rsidR="008A571A">
        <w:t>to recei</w:t>
      </w:r>
      <w:r w:rsidR="00D208DD">
        <w:t xml:space="preserve">ve </w:t>
      </w:r>
      <w:r w:rsidR="003456E7">
        <w:t>evidence regarding disincentives that</w:t>
      </w:r>
      <w:r w:rsidR="004A4CDA">
        <w:t xml:space="preserve"> </w:t>
      </w:r>
      <w:r w:rsidR="001A13E6">
        <w:t xml:space="preserve">may </w:t>
      </w:r>
      <w:r w:rsidR="003456E7">
        <w:t xml:space="preserve">affect the </w:t>
      </w:r>
      <w:r w:rsidR="00693D84">
        <w:t>companies’</w:t>
      </w:r>
      <w:r w:rsidR="000A2740">
        <w:t xml:space="preserve"> </w:t>
      </w:r>
      <w:r w:rsidR="003456E7">
        <w:t>conservation estimates.</w:t>
      </w:r>
      <w:r w:rsidR="00E02BBA">
        <w:t xml:space="preserve">  Still, </w:t>
      </w:r>
      <w:r w:rsidR="001A13E6">
        <w:t>we are</w:t>
      </w:r>
      <w:r w:rsidR="00D208DD">
        <w:t xml:space="preserve"> concerned that the introduction of new </w:t>
      </w:r>
      <w:r w:rsidR="00E02BBA">
        <w:t>issues and</w:t>
      </w:r>
      <w:r w:rsidR="003E15F3">
        <w:t xml:space="preserve"> evidence </w:t>
      </w:r>
      <w:r w:rsidR="004F4320">
        <w:t>into</w:t>
      </w:r>
      <w:r w:rsidR="00D208DD">
        <w:t xml:space="preserve"> the </w:t>
      </w:r>
      <w:r w:rsidR="003E15F3">
        <w:t>proceedings</w:t>
      </w:r>
      <w:r w:rsidR="004F4320">
        <w:t xml:space="preserve"> </w:t>
      </w:r>
      <w:r w:rsidR="00AA5C6D">
        <w:t>c</w:t>
      </w:r>
      <w:r w:rsidR="004F4320">
        <w:t>ould delay their resolution</w:t>
      </w:r>
      <w:r w:rsidR="004D49AD">
        <w:t xml:space="preserve">, which in turn </w:t>
      </w:r>
      <w:r w:rsidR="00AA5C6D">
        <w:t>c</w:t>
      </w:r>
      <w:r w:rsidR="004D49AD">
        <w:t xml:space="preserve">ould delay consideration of the </w:t>
      </w:r>
      <w:r w:rsidR="003E15F3">
        <w:t xml:space="preserve">utilities’ </w:t>
      </w:r>
      <w:r w:rsidR="004D49AD">
        <w:t>reports.</w:t>
      </w:r>
      <w:r w:rsidR="00FF5F63">
        <w:t xml:space="preserve">  </w:t>
      </w:r>
      <w:r w:rsidR="003456E7">
        <w:t xml:space="preserve"> </w:t>
      </w:r>
      <w:r w:rsidR="007964C8">
        <w:t xml:space="preserve"> </w:t>
      </w:r>
      <w:r w:rsidR="00F149CA">
        <w:t xml:space="preserve"> </w:t>
      </w:r>
    </w:p>
    <w:p w:rsidR="00447C32" w:rsidRPr="00447C32" w:rsidRDefault="00972D61" w:rsidP="00A503F2">
      <w:pPr>
        <w:widowControl/>
        <w:spacing w:line="480" w:lineRule="auto"/>
        <w:rPr>
          <w:i/>
        </w:rPr>
      </w:pPr>
      <w:r>
        <w:t>25</w:t>
      </w:r>
      <w:r w:rsidR="00A503F2">
        <w:t>.</w:t>
      </w:r>
      <w:r w:rsidR="00A503F2">
        <w:tab/>
      </w:r>
      <w:r w:rsidR="00307641">
        <w:t>A third possib</w:t>
      </w:r>
      <w:r w:rsidR="00764CD8">
        <w:t>ility</w:t>
      </w:r>
      <w:r w:rsidR="00D208DD">
        <w:t xml:space="preserve"> </w:t>
      </w:r>
      <w:r w:rsidR="00185969">
        <w:t xml:space="preserve">is a </w:t>
      </w:r>
      <w:r w:rsidR="00307641">
        <w:t xml:space="preserve">rulemaking </w:t>
      </w:r>
      <w:r w:rsidR="004D49AD">
        <w:t xml:space="preserve">or other proceeding </w:t>
      </w:r>
      <w:r w:rsidR="00307641">
        <w:t xml:space="preserve">tailored </w:t>
      </w:r>
      <w:r w:rsidR="00D76E97">
        <w:t xml:space="preserve">just </w:t>
      </w:r>
      <w:r w:rsidR="00307641">
        <w:t>to disincentive issues.</w:t>
      </w:r>
      <w:r w:rsidR="00764CD8">
        <w:t xml:space="preserve">  In </w:t>
      </w:r>
      <w:r w:rsidR="009A2BC3">
        <w:t>such a</w:t>
      </w:r>
      <w:r w:rsidR="00764CD8">
        <w:t xml:space="preserve"> proceeding, the Commission could seek </w:t>
      </w:r>
      <w:r w:rsidR="00447C32">
        <w:t xml:space="preserve">informed </w:t>
      </w:r>
      <w:r w:rsidR="00764CD8">
        <w:t xml:space="preserve">comments from a variety of stakeholders.  Depending on how the proceeding develops, </w:t>
      </w:r>
      <w:r w:rsidR="00D208DD">
        <w:t>th</w:t>
      </w:r>
      <w:r w:rsidR="008B28F5">
        <w:t>e</w:t>
      </w:r>
      <w:r w:rsidR="00D208DD">
        <w:t xml:space="preserve">se comments could aid </w:t>
      </w:r>
      <w:r w:rsidR="00764CD8">
        <w:t xml:space="preserve">the Commission </w:t>
      </w:r>
      <w:r w:rsidR="00D208DD">
        <w:t>in establishing specific guidelines of general applicability</w:t>
      </w:r>
      <w:r w:rsidR="008B28F5">
        <w:t xml:space="preserve"> </w:t>
      </w:r>
      <w:r w:rsidR="00D208DD">
        <w:t xml:space="preserve">that are </w:t>
      </w:r>
      <w:r w:rsidR="00447C32">
        <w:t xml:space="preserve">designed and intended to reduce or eliminate disincentives to </w:t>
      </w:r>
      <w:r w:rsidR="002C5EBF">
        <w:t xml:space="preserve">energy </w:t>
      </w:r>
      <w:r w:rsidR="00447C32">
        <w:t>conservatio</w:t>
      </w:r>
      <w:r w:rsidR="00373649">
        <w:t xml:space="preserve">n.  On balance, we believe </w:t>
      </w:r>
      <w:r w:rsidR="002C5EBF">
        <w:t xml:space="preserve">that </w:t>
      </w:r>
      <w:r w:rsidR="00447C32">
        <w:t xml:space="preserve">this </w:t>
      </w:r>
      <w:r w:rsidR="004D7048">
        <w:t xml:space="preserve">type of proceeding </w:t>
      </w:r>
      <w:r w:rsidR="00447C32">
        <w:t>is the best way to proceed.</w:t>
      </w:r>
    </w:p>
    <w:p w:rsidR="00604F42" w:rsidRDefault="00972D61" w:rsidP="00A503F2">
      <w:pPr>
        <w:widowControl/>
        <w:spacing w:line="480" w:lineRule="auto"/>
        <w:rPr>
          <w:i/>
        </w:rPr>
      </w:pPr>
      <w:r>
        <w:t>26</w:t>
      </w:r>
      <w:r w:rsidR="00A503F2">
        <w:t>.</w:t>
      </w:r>
      <w:r w:rsidR="00A503F2">
        <w:tab/>
      </w:r>
      <w:r w:rsidR="00DD47E1">
        <w:t xml:space="preserve">We are aware that the Commission </w:t>
      </w:r>
      <w:r w:rsidR="00604F42">
        <w:t xml:space="preserve">recently </w:t>
      </w:r>
      <w:r w:rsidR="00DD47E1">
        <w:t>terminated a rulemaking</w:t>
      </w:r>
      <w:r w:rsidR="00604F42">
        <w:t xml:space="preserve"> regarding </w:t>
      </w:r>
      <w:r w:rsidR="007B35C7">
        <w:t>energy</w:t>
      </w:r>
      <w:r w:rsidR="00DD47E1">
        <w:t xml:space="preserve"> utility standards under the Public Utility Regulatory Policies Act of 1978 (“PURPA”).</w:t>
      </w:r>
      <w:r w:rsidR="00DD47E1">
        <w:rPr>
          <w:rStyle w:val="FootnoteReference"/>
        </w:rPr>
        <w:footnoteReference w:id="21"/>
      </w:r>
      <w:r w:rsidR="00DD47E1">
        <w:t xml:space="preserve">  That </w:t>
      </w:r>
      <w:r w:rsidR="00C42137">
        <w:t xml:space="preserve">rulemaking </w:t>
      </w:r>
      <w:r w:rsidR="00185969">
        <w:t>had been</w:t>
      </w:r>
      <w:r w:rsidR="00C42137">
        <w:t xml:space="preserve"> initiated </w:t>
      </w:r>
      <w:r w:rsidR="009A2BC3">
        <w:t xml:space="preserve">to </w:t>
      </w:r>
      <w:r w:rsidR="00C42137">
        <w:t>consider</w:t>
      </w:r>
      <w:r w:rsidR="00AA11D4">
        <w:t xml:space="preserve"> </w:t>
      </w:r>
      <w:r w:rsidR="00C42137">
        <w:t>whether to implement new standards to carry out PURPA’s purposes, including rate design that promotes energy efficiency investment.</w:t>
      </w:r>
      <w:r w:rsidR="00C42137">
        <w:rPr>
          <w:rStyle w:val="FootnoteReference"/>
        </w:rPr>
        <w:footnoteReference w:id="22"/>
      </w:r>
      <w:r w:rsidR="007B35C7">
        <w:t xml:space="preserve">  One </w:t>
      </w:r>
      <w:r w:rsidR="00604F42">
        <w:t>standard (</w:t>
      </w:r>
      <w:r w:rsidR="00182A48">
        <w:t>Standard 17</w:t>
      </w:r>
      <w:r w:rsidR="00604F42">
        <w:t>) state</w:t>
      </w:r>
      <w:r w:rsidR="00424CCD">
        <w:t>s</w:t>
      </w:r>
      <w:r w:rsidR="00604F42">
        <w:t xml:space="preserve"> </w:t>
      </w:r>
      <w:r w:rsidR="009A2BC3">
        <w:t xml:space="preserve">in part </w:t>
      </w:r>
      <w:r w:rsidR="00604F42">
        <w:t>that regulatory authorities shall, in promoting energy efficiency investments, “consider removing the throughput incentive and other regulatory and management disincentives to energy efficiency.”</w:t>
      </w:r>
      <w:r w:rsidR="00604F42">
        <w:rPr>
          <w:rStyle w:val="FootnoteReference"/>
        </w:rPr>
        <w:footnoteReference w:id="23"/>
      </w:r>
    </w:p>
    <w:p w:rsidR="00A964E7" w:rsidRDefault="00972D61" w:rsidP="00A503F2">
      <w:pPr>
        <w:widowControl/>
        <w:spacing w:line="480" w:lineRule="auto"/>
      </w:pPr>
      <w:r>
        <w:lastRenderedPageBreak/>
        <w:t>27</w:t>
      </w:r>
      <w:r w:rsidR="00A503F2">
        <w:t>.</w:t>
      </w:r>
      <w:r w:rsidR="00A503F2">
        <w:tab/>
      </w:r>
      <w:r w:rsidR="00F8416F">
        <w:t>In Docket No.</w:t>
      </w:r>
      <w:r w:rsidR="002F7DFB">
        <w:t xml:space="preserve"> </w:t>
      </w:r>
      <w:r w:rsidR="00604F42">
        <w:t>U-090222, the Commission determined that</w:t>
      </w:r>
      <w:r w:rsidR="004E5621">
        <w:t>, because</w:t>
      </w:r>
      <w:r w:rsidR="00604F42">
        <w:t xml:space="preserve"> </w:t>
      </w:r>
      <w:r w:rsidR="004E5621">
        <w:t xml:space="preserve">it </w:t>
      </w:r>
      <w:r w:rsidR="00A503F2">
        <w:t xml:space="preserve">had </w:t>
      </w:r>
      <w:r w:rsidR="00AA11D4">
        <w:t xml:space="preserve">previously </w:t>
      </w:r>
      <w:r w:rsidR="00604F42">
        <w:t xml:space="preserve">considered the policy options in Standard 17 – including the </w:t>
      </w:r>
      <w:r w:rsidR="00E10A53">
        <w:t>question</w:t>
      </w:r>
      <w:r w:rsidR="00604F42">
        <w:t xml:space="preserve"> of disincentive</w:t>
      </w:r>
      <w:r w:rsidR="00185969">
        <w:t xml:space="preserve"> </w:t>
      </w:r>
      <w:r w:rsidR="00604F42">
        <w:t xml:space="preserve">removal </w:t>
      </w:r>
      <w:r w:rsidR="004E5621">
        <w:t>-- it was unnecessary to adopt the standard.</w:t>
      </w:r>
      <w:r w:rsidR="004E5621">
        <w:rPr>
          <w:rStyle w:val="FootnoteReference"/>
        </w:rPr>
        <w:footnoteReference w:id="24"/>
      </w:r>
      <w:r w:rsidR="004E5621">
        <w:t xml:space="preserve">  </w:t>
      </w:r>
      <w:r w:rsidR="002F7DFB">
        <w:t xml:space="preserve">The Commission may </w:t>
      </w:r>
      <w:r w:rsidR="008E27DD">
        <w:t xml:space="preserve">thus </w:t>
      </w:r>
      <w:r w:rsidR="004E5621">
        <w:t>decide</w:t>
      </w:r>
      <w:r w:rsidR="008E27DD">
        <w:t xml:space="preserve"> </w:t>
      </w:r>
      <w:r w:rsidR="004E5621">
        <w:t>that a</w:t>
      </w:r>
      <w:r w:rsidR="00C36BCD">
        <w:t>nother</w:t>
      </w:r>
      <w:r w:rsidR="00E10A53">
        <w:t xml:space="preserve"> </w:t>
      </w:r>
      <w:r w:rsidR="004E5621">
        <w:t xml:space="preserve">rulemaking to consider disincentive issues is unnecessary.  </w:t>
      </w:r>
      <w:r w:rsidR="008E27DD">
        <w:t xml:space="preserve">As we view last year’s </w:t>
      </w:r>
      <w:r w:rsidR="002F7DFB">
        <w:t xml:space="preserve">decision, however, the Commission acted simply to determine whether further regulatory standards were appropriate under PURPA.  </w:t>
      </w:r>
      <w:r w:rsidR="00DC714E">
        <w:t xml:space="preserve">The decision </w:t>
      </w:r>
      <w:r w:rsidR="00C36BCD">
        <w:t xml:space="preserve">does not preclude another </w:t>
      </w:r>
      <w:r w:rsidR="00E10A53">
        <w:t xml:space="preserve">rulemaking </w:t>
      </w:r>
      <w:r w:rsidR="002C5EBF">
        <w:t xml:space="preserve">or </w:t>
      </w:r>
      <w:r w:rsidR="00ED445F">
        <w:t xml:space="preserve">other </w:t>
      </w:r>
      <w:r w:rsidR="002C5EBF">
        <w:t xml:space="preserve">proceeding for the </w:t>
      </w:r>
      <w:r w:rsidR="00A503F2">
        <w:t xml:space="preserve">specific </w:t>
      </w:r>
      <w:r w:rsidR="002C5EBF">
        <w:t xml:space="preserve">purpose of </w:t>
      </w:r>
      <w:r w:rsidR="004A5752">
        <w:t>assess</w:t>
      </w:r>
      <w:r w:rsidR="002C5EBF">
        <w:t>ing</w:t>
      </w:r>
      <w:r w:rsidR="00E10A53">
        <w:t xml:space="preserve"> disincentives to</w:t>
      </w:r>
      <w:r w:rsidR="004A5752">
        <w:t xml:space="preserve"> </w:t>
      </w:r>
      <w:r w:rsidR="009749E1">
        <w:t xml:space="preserve">conservation and </w:t>
      </w:r>
      <w:r w:rsidR="004A5752">
        <w:t>develop</w:t>
      </w:r>
      <w:r w:rsidR="002C5EBF">
        <w:t>ing</w:t>
      </w:r>
      <w:r w:rsidR="004A5752">
        <w:t xml:space="preserve"> </w:t>
      </w:r>
      <w:r w:rsidR="009749E1">
        <w:t>solutions to th</w:t>
      </w:r>
      <w:r w:rsidR="00A52012">
        <w:t>em</w:t>
      </w:r>
      <w:r w:rsidR="006507D6">
        <w:t>,</w:t>
      </w:r>
      <w:r w:rsidR="00E10A53">
        <w:t xml:space="preserve"> </w:t>
      </w:r>
      <w:r w:rsidR="002F7DFB">
        <w:t xml:space="preserve">in the context of the </w:t>
      </w:r>
      <w:r w:rsidR="00A52012">
        <w:t>current</w:t>
      </w:r>
      <w:r w:rsidR="00E10A53">
        <w:t xml:space="preserve"> </w:t>
      </w:r>
      <w:r w:rsidR="002F7DFB">
        <w:t>econo</w:t>
      </w:r>
      <w:r w:rsidR="00E10A53">
        <w:t xml:space="preserve">mic and regulatory climate </w:t>
      </w:r>
      <w:r w:rsidR="002F7DFB">
        <w:t>in Washington State.</w:t>
      </w:r>
      <w:r w:rsidR="00232CF0">
        <w:t xml:space="preserve">  S</w:t>
      </w:r>
      <w:r w:rsidR="002C5EBF">
        <w:t xml:space="preserve">uch an outcome </w:t>
      </w:r>
      <w:r w:rsidR="007F3EAE">
        <w:t>would</w:t>
      </w:r>
      <w:r w:rsidR="007B035D">
        <w:t xml:space="preserve"> </w:t>
      </w:r>
      <w:r w:rsidR="00FB2ABC">
        <w:t xml:space="preserve">help </w:t>
      </w:r>
      <w:r w:rsidR="00AE2580">
        <w:t xml:space="preserve">address and </w:t>
      </w:r>
      <w:r w:rsidR="007F3EAE">
        <w:t xml:space="preserve">settle </w:t>
      </w:r>
      <w:r w:rsidR="00FB2ABC">
        <w:t xml:space="preserve">the </w:t>
      </w:r>
      <w:r w:rsidR="009071B7">
        <w:t xml:space="preserve">disincentive </w:t>
      </w:r>
      <w:r w:rsidR="00FB2ABC">
        <w:t xml:space="preserve">issues </w:t>
      </w:r>
      <w:r w:rsidR="0095646D">
        <w:t xml:space="preserve">that PSE </w:t>
      </w:r>
      <w:r w:rsidR="007F3EAE">
        <w:t>raise</w:t>
      </w:r>
      <w:r w:rsidR="00F8416F">
        <w:t>s</w:t>
      </w:r>
      <w:r w:rsidR="00185969">
        <w:t xml:space="preserve"> in this proceeding</w:t>
      </w:r>
      <w:r w:rsidR="007F3EAE">
        <w:t>.</w:t>
      </w:r>
    </w:p>
    <w:p w:rsidR="004F4320" w:rsidRDefault="004F4320" w:rsidP="004F4320">
      <w:pPr>
        <w:widowControl/>
        <w:spacing w:line="240" w:lineRule="auto"/>
        <w:ind w:firstLine="720"/>
      </w:pPr>
    </w:p>
    <w:p w:rsidR="00B6338B" w:rsidRDefault="007F4AB2" w:rsidP="009071B7">
      <w:pPr>
        <w:widowControl/>
        <w:spacing w:line="240" w:lineRule="auto"/>
        <w:jc w:val="center"/>
        <w:rPr>
          <w:b/>
        </w:rPr>
      </w:pPr>
      <w:r>
        <w:rPr>
          <w:b/>
        </w:rPr>
        <w:t>CONCLUSION</w:t>
      </w:r>
    </w:p>
    <w:p w:rsidR="004F4320" w:rsidRDefault="004F4320" w:rsidP="009071B7">
      <w:pPr>
        <w:widowControl/>
        <w:spacing w:line="240" w:lineRule="auto"/>
        <w:jc w:val="center"/>
        <w:rPr>
          <w:b/>
        </w:rPr>
      </w:pPr>
    </w:p>
    <w:p w:rsidR="00B6338B" w:rsidRDefault="00B6338B" w:rsidP="00B6338B">
      <w:pPr>
        <w:widowControl/>
        <w:spacing w:line="240" w:lineRule="auto"/>
        <w:jc w:val="center"/>
        <w:rPr>
          <w:b/>
        </w:rPr>
      </w:pPr>
    </w:p>
    <w:p w:rsidR="00B6338B" w:rsidRDefault="00972D61" w:rsidP="00B6338B">
      <w:pPr>
        <w:widowControl/>
        <w:spacing w:line="480" w:lineRule="auto"/>
      </w:pPr>
      <w:r>
        <w:t>28</w:t>
      </w:r>
      <w:r w:rsidR="00A503F2">
        <w:t>.</w:t>
      </w:r>
      <w:r w:rsidR="00A503F2">
        <w:tab/>
        <w:t>T</w:t>
      </w:r>
      <w:r w:rsidR="00D6185A">
        <w:t xml:space="preserve">he Commission has </w:t>
      </w:r>
      <w:r w:rsidR="007A3D2E">
        <w:t>affirmed</w:t>
      </w:r>
      <w:r w:rsidR="00343971">
        <w:t xml:space="preserve"> </w:t>
      </w:r>
      <w:r w:rsidR="00D6185A">
        <w:t xml:space="preserve">that </w:t>
      </w:r>
      <w:r w:rsidR="00185969">
        <w:t xml:space="preserve">conservation represents </w:t>
      </w:r>
      <w:r w:rsidR="00A93BA4">
        <w:t xml:space="preserve">a “priority resource” and that </w:t>
      </w:r>
      <w:r w:rsidR="00D6185A">
        <w:t>“it is difficult to overstate the importance of energy conservation measures</w:t>
      </w:r>
      <w:r w:rsidR="00070A19">
        <w:t>.</w:t>
      </w:r>
      <w:r w:rsidR="00D6185A">
        <w:t>”</w:t>
      </w:r>
      <w:r w:rsidR="00D6185A">
        <w:rPr>
          <w:rStyle w:val="FootnoteReference"/>
        </w:rPr>
        <w:footnoteReference w:id="25"/>
      </w:r>
      <w:r w:rsidR="00474F6F">
        <w:t xml:space="preserve">  T</w:t>
      </w:r>
      <w:r w:rsidR="00515365">
        <w:t xml:space="preserve">o fully achieve </w:t>
      </w:r>
      <w:r w:rsidR="00185969">
        <w:t>th</w:t>
      </w:r>
      <w:r w:rsidR="00AF784B">
        <w:t>e benefits of conservation</w:t>
      </w:r>
      <w:r w:rsidR="00D51FE5">
        <w:t xml:space="preserve">, </w:t>
      </w:r>
      <w:r w:rsidR="00474F6F">
        <w:t xml:space="preserve">however, </w:t>
      </w:r>
      <w:r w:rsidR="00D51FE5">
        <w:t>it is necessary</w:t>
      </w:r>
      <w:r w:rsidR="00202DD8">
        <w:t xml:space="preserve"> </w:t>
      </w:r>
      <w:r w:rsidR="00D51FE5">
        <w:t xml:space="preserve">to </w:t>
      </w:r>
      <w:r w:rsidR="007B35C7">
        <w:t>consider</w:t>
      </w:r>
      <w:r w:rsidR="00D51FE5">
        <w:t xml:space="preserve"> </w:t>
      </w:r>
      <w:r w:rsidR="002C5EBF">
        <w:t xml:space="preserve">different </w:t>
      </w:r>
      <w:r w:rsidR="00D6185A">
        <w:t xml:space="preserve">regulatory </w:t>
      </w:r>
      <w:r w:rsidR="009071B7">
        <w:t>approach</w:t>
      </w:r>
      <w:r w:rsidR="00D51FE5">
        <w:t>es</w:t>
      </w:r>
      <w:r w:rsidR="00D6185A">
        <w:t xml:space="preserve"> – including me</w:t>
      </w:r>
      <w:r w:rsidR="00C30805">
        <w:t>asures that</w:t>
      </w:r>
      <w:r w:rsidR="00D6185A">
        <w:t xml:space="preserve"> </w:t>
      </w:r>
      <w:r w:rsidR="00070A19">
        <w:t xml:space="preserve">incent increases in </w:t>
      </w:r>
      <w:r w:rsidR="00D6185A">
        <w:t xml:space="preserve">energy efficiency </w:t>
      </w:r>
      <w:r w:rsidR="00D6185A">
        <w:rPr>
          <w:i/>
        </w:rPr>
        <w:t>and</w:t>
      </w:r>
      <w:r w:rsidR="00B91A27">
        <w:t xml:space="preserve"> </w:t>
      </w:r>
      <w:r w:rsidR="00AF784B">
        <w:t xml:space="preserve">remove </w:t>
      </w:r>
      <w:r w:rsidR="00D6185A">
        <w:t xml:space="preserve">disincentives to </w:t>
      </w:r>
      <w:r w:rsidR="00070A19">
        <w:t xml:space="preserve">conservation </w:t>
      </w:r>
      <w:r w:rsidR="00FF052C">
        <w:t>in</w:t>
      </w:r>
      <w:r w:rsidR="00D6185A">
        <w:t>vest</w:t>
      </w:r>
      <w:r w:rsidR="00070A19">
        <w:t>ment</w:t>
      </w:r>
      <w:r w:rsidR="00D6185A">
        <w:t>.</w:t>
      </w:r>
      <w:r w:rsidR="00A964E7">
        <w:t xml:space="preserve">  T</w:t>
      </w:r>
      <w:r w:rsidR="009071B7">
        <w:t xml:space="preserve">hese approaches are important </w:t>
      </w:r>
      <w:r w:rsidR="004F4320">
        <w:t xml:space="preserve">in order </w:t>
      </w:r>
      <w:r w:rsidR="00616BB0">
        <w:t xml:space="preserve">to (1) promote </w:t>
      </w:r>
      <w:r w:rsidR="009071B7">
        <w:t>policy objectives in Washington State; (2) increase the acquis</w:t>
      </w:r>
      <w:r w:rsidR="006C5B3F">
        <w:t xml:space="preserve">ition of energy </w:t>
      </w:r>
      <w:r w:rsidR="006C5B3F">
        <w:lastRenderedPageBreak/>
        <w:t xml:space="preserve">efficiency; </w:t>
      </w:r>
      <w:r w:rsidR="009071B7">
        <w:t>(3) help utili</w:t>
      </w:r>
      <w:r w:rsidR="00616BB0">
        <w:t xml:space="preserve">ties </w:t>
      </w:r>
      <w:r w:rsidR="006C5B3F">
        <w:t>meet and exceed</w:t>
      </w:r>
      <w:r w:rsidR="00616BB0">
        <w:t xml:space="preserve"> their </w:t>
      </w:r>
      <w:r w:rsidR="009071B7">
        <w:t xml:space="preserve">obligations </w:t>
      </w:r>
      <w:r w:rsidR="00616BB0">
        <w:t>to obtain available conservation</w:t>
      </w:r>
      <w:r w:rsidR="006C5B3F">
        <w:t>; and (4) ensure that customers benefit by receiving the most cost-effective resources to meet their energy needs</w:t>
      </w:r>
      <w:r w:rsidR="009071B7">
        <w:t>.</w:t>
      </w:r>
    </w:p>
    <w:p w:rsidR="003A5713" w:rsidRDefault="00972D61" w:rsidP="00A964E7">
      <w:pPr>
        <w:widowControl/>
        <w:spacing w:line="480" w:lineRule="auto"/>
      </w:pPr>
      <w:r>
        <w:t>29</w:t>
      </w:r>
      <w:r w:rsidR="00A503F2">
        <w:t>.</w:t>
      </w:r>
      <w:r w:rsidR="00A503F2">
        <w:tab/>
        <w:t>T</w:t>
      </w:r>
      <w:r w:rsidR="00A57C4E">
        <w:t>he Coalition ha</w:t>
      </w:r>
      <w:r w:rsidR="00867678">
        <w:t xml:space="preserve">s attempted, in this Brief, to </w:t>
      </w:r>
      <w:r w:rsidR="00DA5DC6">
        <w:t xml:space="preserve">take </w:t>
      </w:r>
      <w:r w:rsidR="00867678">
        <w:t xml:space="preserve">a </w:t>
      </w:r>
      <w:r w:rsidR="00480F50">
        <w:t xml:space="preserve">fair and </w:t>
      </w:r>
      <w:r w:rsidR="00867678">
        <w:t>balanced</w:t>
      </w:r>
      <w:r w:rsidR="00474F6F">
        <w:t xml:space="preserve"> </w:t>
      </w:r>
      <w:r w:rsidR="00A57C4E">
        <w:t>approach</w:t>
      </w:r>
      <w:r w:rsidR="00070A19">
        <w:t xml:space="preserve"> to</w:t>
      </w:r>
      <w:r w:rsidR="00A57C4E">
        <w:t xml:space="preserve"> </w:t>
      </w:r>
      <w:r w:rsidR="001B7B04">
        <w:t>the issues</w:t>
      </w:r>
      <w:r w:rsidR="00FD5EB6">
        <w:t xml:space="preserve"> </w:t>
      </w:r>
      <w:r w:rsidR="00867678">
        <w:t xml:space="preserve">that PSE has </w:t>
      </w:r>
      <w:r w:rsidR="001B7B04">
        <w:t>raised</w:t>
      </w:r>
      <w:r w:rsidR="00FD5EB6">
        <w:t>.  T</w:t>
      </w:r>
      <w:r w:rsidR="00867678">
        <w:t>he</w:t>
      </w:r>
      <w:r w:rsidR="00F43B9B">
        <w:t>y</w:t>
      </w:r>
      <w:r w:rsidR="00867678">
        <w:t xml:space="preserve"> </w:t>
      </w:r>
      <w:r w:rsidR="00616BB0">
        <w:t>merit a complete review</w:t>
      </w:r>
      <w:r w:rsidR="00867678">
        <w:t xml:space="preserve"> in an appropriate </w:t>
      </w:r>
      <w:r w:rsidR="00616BB0">
        <w:t>proceeding</w:t>
      </w:r>
      <w:r w:rsidR="00867678">
        <w:t>.</w:t>
      </w:r>
      <w:r w:rsidR="00616BB0">
        <w:t xml:space="preserve">  We </w:t>
      </w:r>
      <w:r w:rsidR="00FD5EB6">
        <w:t>urge the Commission to</w:t>
      </w:r>
      <w:r w:rsidR="001046E7">
        <w:t xml:space="preserve"> consider the procedural options we have laid out so that the</w:t>
      </w:r>
      <w:r w:rsidR="00F43B9B">
        <w:t xml:space="preserve">se </w:t>
      </w:r>
      <w:r w:rsidR="001046E7">
        <w:t xml:space="preserve">issues can be heard, developed, and resolved at the earliest opportunity.  It is critically important that this process occur </w:t>
      </w:r>
      <w:r w:rsidR="00D44162">
        <w:t xml:space="preserve">so that </w:t>
      </w:r>
      <w:r w:rsidR="00DC235F">
        <w:t xml:space="preserve">PSE and other utilities can build upon their successes, and energy conservation can continue to flourish in </w:t>
      </w:r>
      <w:r w:rsidR="00DF5DD4">
        <w:t>Washington State.</w:t>
      </w:r>
    </w:p>
    <w:p w:rsidR="00AE5040" w:rsidRDefault="00AE5040" w:rsidP="00AE5040">
      <w:pPr>
        <w:widowControl/>
        <w:spacing w:line="240" w:lineRule="auto"/>
      </w:pPr>
    </w:p>
    <w:p w:rsidR="003A5713" w:rsidRDefault="00A47EE0" w:rsidP="00A964E7">
      <w:pPr>
        <w:widowControl/>
        <w:spacing w:line="480" w:lineRule="auto"/>
      </w:pPr>
      <w:r>
        <w:t>Dated</w:t>
      </w:r>
      <w:r w:rsidR="003A5713">
        <w:t xml:space="preserve"> this 19</w:t>
      </w:r>
      <w:r w:rsidR="003A5713" w:rsidRPr="003A5713">
        <w:rPr>
          <w:vertAlign w:val="superscript"/>
        </w:rPr>
        <w:t>th</w:t>
      </w:r>
      <w:r w:rsidR="003A5713">
        <w:t xml:space="preserve"> day of February, 2010.</w:t>
      </w:r>
    </w:p>
    <w:p w:rsidR="006C5B3F" w:rsidRDefault="006C5B3F" w:rsidP="006C5B3F">
      <w:pPr>
        <w:widowControl/>
        <w:spacing w:line="240" w:lineRule="auto"/>
      </w:pPr>
    </w:p>
    <w:p w:rsidR="003A5713" w:rsidRDefault="003A5713" w:rsidP="009071B7">
      <w:pPr>
        <w:widowControl/>
        <w:spacing w:line="480" w:lineRule="auto"/>
      </w:pPr>
      <w:r>
        <w:t>NW ENERGY COALITION</w:t>
      </w:r>
    </w:p>
    <w:p w:rsidR="003A5713" w:rsidRDefault="003A5713" w:rsidP="00292755">
      <w:pPr>
        <w:widowControl/>
        <w:spacing w:line="240" w:lineRule="auto"/>
      </w:pPr>
    </w:p>
    <w:p w:rsidR="003A5713" w:rsidRDefault="003A5713" w:rsidP="003A5713">
      <w:pPr>
        <w:widowControl/>
        <w:spacing w:line="240" w:lineRule="auto"/>
      </w:pPr>
      <w:r>
        <w:t xml:space="preserve">By: </w:t>
      </w:r>
      <w:r>
        <w:tab/>
        <w:t>_____________________________</w:t>
      </w:r>
    </w:p>
    <w:p w:rsidR="003A5713" w:rsidRDefault="003A5713" w:rsidP="003A5713">
      <w:pPr>
        <w:widowControl/>
        <w:spacing w:line="240" w:lineRule="auto"/>
      </w:pPr>
      <w:r>
        <w:tab/>
      </w:r>
    </w:p>
    <w:p w:rsidR="003A5713" w:rsidRDefault="003A5713" w:rsidP="003A5713">
      <w:pPr>
        <w:widowControl/>
        <w:spacing w:line="240" w:lineRule="auto"/>
        <w:ind w:firstLine="720"/>
      </w:pPr>
      <w:r>
        <w:t xml:space="preserve">David </w:t>
      </w:r>
      <w:r w:rsidR="00202DD8">
        <w:t xml:space="preserve">S. </w:t>
      </w:r>
      <w:r>
        <w:t>Johnson, Attorney</w:t>
      </w:r>
    </w:p>
    <w:p w:rsidR="003A5713" w:rsidRDefault="003A5713" w:rsidP="003A5713">
      <w:pPr>
        <w:widowControl/>
        <w:spacing w:line="240" w:lineRule="auto"/>
      </w:pPr>
      <w:r>
        <w:tab/>
        <w:t>Danielle Dixon, Senior Policy Associate</w:t>
      </w:r>
    </w:p>
    <w:p w:rsidR="00CD525A" w:rsidRPr="00B72FF2" w:rsidRDefault="001046E7" w:rsidP="00B72FF2">
      <w:pPr>
        <w:widowControl/>
        <w:spacing w:line="240" w:lineRule="auto"/>
      </w:pPr>
      <w:r>
        <w:t xml:space="preserve"> </w:t>
      </w:r>
      <w:r w:rsidR="00FD5EB6">
        <w:t xml:space="preserve"> </w:t>
      </w:r>
      <w:r w:rsidR="00867678">
        <w:t xml:space="preserve">  </w:t>
      </w:r>
    </w:p>
    <w:p w:rsidR="00CD525A" w:rsidRDefault="00CD525A" w:rsidP="001E601E">
      <w:pPr>
        <w:pStyle w:val="normalblock"/>
        <w:keepNext/>
        <w:spacing w:line="480" w:lineRule="auto"/>
        <w:rPr>
          <w:szCs w:val="24"/>
        </w:rPr>
      </w:pPr>
    </w:p>
    <w:p w:rsidR="00CD525A" w:rsidRDefault="00CD525A" w:rsidP="001E601E">
      <w:pPr>
        <w:pStyle w:val="normalblock"/>
        <w:keepNext/>
        <w:spacing w:line="480" w:lineRule="auto"/>
        <w:rPr>
          <w:szCs w:val="24"/>
        </w:rPr>
      </w:pPr>
    </w:p>
    <w:tbl>
      <w:tblPr>
        <w:tblW w:w="9576" w:type="dxa"/>
        <w:tblLayout w:type="fixed"/>
        <w:tblLook w:val="0000"/>
      </w:tblPr>
      <w:tblGrid>
        <w:gridCol w:w="4788"/>
        <w:gridCol w:w="4788"/>
      </w:tblGrid>
      <w:tr w:rsidR="00991EB6" w:rsidRPr="00D45C07" w:rsidTr="00B40572">
        <w:tblPrEx>
          <w:tblCellMar>
            <w:top w:w="0" w:type="dxa"/>
            <w:bottom w:w="0" w:type="dxa"/>
          </w:tblCellMar>
        </w:tblPrEx>
        <w:trPr>
          <w:cantSplit/>
          <w:trHeight w:val="4500"/>
        </w:trPr>
        <w:tc>
          <w:tcPr>
            <w:tcW w:w="4788" w:type="dxa"/>
          </w:tcPr>
          <w:p w:rsidR="00E94671" w:rsidRPr="00D45C07" w:rsidRDefault="00E94671" w:rsidP="00B72FF2">
            <w:pPr>
              <w:pStyle w:val="PleadingSignature"/>
              <w:rPr>
                <w:szCs w:val="24"/>
              </w:rPr>
            </w:pPr>
            <w:bookmarkStart w:id="1" w:name="_zzmpFIXED_SignatureTable"/>
          </w:p>
        </w:tc>
        <w:tc>
          <w:tcPr>
            <w:tcW w:w="4788" w:type="dxa"/>
          </w:tcPr>
          <w:p w:rsidR="00991EB6" w:rsidRPr="00D45C07" w:rsidRDefault="00991EB6" w:rsidP="00B40572">
            <w:pPr>
              <w:pStyle w:val="PleadingSignature"/>
              <w:ind w:left="360"/>
              <w:rPr>
                <w:szCs w:val="24"/>
              </w:rPr>
            </w:pPr>
          </w:p>
        </w:tc>
      </w:tr>
      <w:tr w:rsidR="008C19DC" w:rsidRPr="00D45C07" w:rsidTr="00B40572">
        <w:tblPrEx>
          <w:tblCellMar>
            <w:top w:w="0" w:type="dxa"/>
            <w:bottom w:w="0" w:type="dxa"/>
          </w:tblCellMar>
        </w:tblPrEx>
        <w:trPr>
          <w:cantSplit/>
          <w:trHeight w:val="4500"/>
        </w:trPr>
        <w:tc>
          <w:tcPr>
            <w:tcW w:w="4788" w:type="dxa"/>
          </w:tcPr>
          <w:p w:rsidR="008C19DC" w:rsidRPr="00D45C07" w:rsidRDefault="008C19DC" w:rsidP="00B40572">
            <w:pPr>
              <w:pStyle w:val="PleadingSignature"/>
              <w:spacing w:before="240"/>
              <w:ind w:left="360"/>
              <w:rPr>
                <w:b/>
                <w:caps/>
                <w:szCs w:val="24"/>
              </w:rPr>
            </w:pPr>
          </w:p>
        </w:tc>
        <w:tc>
          <w:tcPr>
            <w:tcW w:w="4788" w:type="dxa"/>
          </w:tcPr>
          <w:p w:rsidR="008C19DC" w:rsidRPr="00D45C07" w:rsidRDefault="008C19DC" w:rsidP="00B40572">
            <w:pPr>
              <w:pStyle w:val="PleadingSignature"/>
              <w:spacing w:before="240"/>
              <w:ind w:left="360"/>
              <w:rPr>
                <w:b/>
                <w:caps/>
                <w:szCs w:val="24"/>
              </w:rPr>
            </w:pPr>
          </w:p>
        </w:tc>
      </w:tr>
      <w:bookmarkEnd w:id="1"/>
    </w:tbl>
    <w:p w:rsidR="00991EB6" w:rsidRDefault="00991EB6" w:rsidP="00991EB6">
      <w:pPr>
        <w:tabs>
          <w:tab w:val="left" w:pos="-720"/>
        </w:tabs>
        <w:suppressAutoHyphens/>
      </w:pPr>
    </w:p>
    <w:sectPr w:rsidR="00991EB6" w:rsidSect="00696D93">
      <w:pgSz w:w="12240" w:h="15840" w:code="1"/>
      <w:pgMar w:top="-2160" w:right="1440" w:bottom="-2304" w:left="1872" w:header="360" w:footer="576" w:gutter="0"/>
      <w:pgNumType w:start="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6DB" w:rsidRDefault="00F036DB">
      <w:r>
        <w:separator/>
      </w:r>
    </w:p>
  </w:endnote>
  <w:endnote w:type="continuationSeparator" w:id="0">
    <w:p w:rsidR="00F036DB" w:rsidRDefault="00F03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DE3" w:rsidRDefault="006102F9" w:rsidP="00E42E17">
    <w:pPr>
      <w:pStyle w:val="Footer"/>
    </w:pPr>
    <w:r>
      <w:t xml:space="preserve">INITIAL </w:t>
    </w:r>
    <w:r w:rsidR="00A05BA8">
      <w:t xml:space="preserve">BRIEF OF NW ENERGY COALITION - </w:t>
    </w:r>
    <w:fldSimple w:instr=" PAGE   \* MERGEFORMAT ">
      <w:r w:rsidR="001C2C28">
        <w:rPr>
          <w:noProof/>
        </w:rPr>
        <w:t>13</w:t>
      </w:r>
    </w:fldSimple>
  </w:p>
  <w:p w:rsidR="006406B7" w:rsidRPr="00BA2CA4" w:rsidRDefault="006406B7" w:rsidP="00991EB6">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B7" w:rsidRPr="00D8387C" w:rsidRDefault="006406B7" w:rsidP="00991EB6">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6DB" w:rsidRDefault="00F036DB">
      <w:r>
        <w:separator/>
      </w:r>
    </w:p>
  </w:footnote>
  <w:footnote w:type="continuationSeparator" w:id="0">
    <w:p w:rsidR="00F036DB" w:rsidRDefault="00F036DB">
      <w:r>
        <w:continuationSeparator/>
      </w:r>
    </w:p>
  </w:footnote>
  <w:footnote w:id="1">
    <w:p w:rsidR="002B1FA2" w:rsidRPr="00CC65FF" w:rsidRDefault="002B1FA2">
      <w:pPr>
        <w:pStyle w:val="FootnoteText"/>
      </w:pPr>
      <w:r>
        <w:rPr>
          <w:rStyle w:val="FootnoteReference"/>
        </w:rPr>
        <w:footnoteRef/>
      </w:r>
      <w:r w:rsidR="00CC65FF">
        <w:t xml:space="preserve"> </w:t>
      </w:r>
      <w:r w:rsidR="00CC65FF">
        <w:rPr>
          <w:i/>
        </w:rPr>
        <w:t>WUTC v. Puget Sound Energy, Inc.</w:t>
      </w:r>
      <w:r w:rsidR="00CC65FF">
        <w:t>, Docket Nos. UE-0602</w:t>
      </w:r>
      <w:r w:rsidR="00D028CB">
        <w:t xml:space="preserve">66 and UG-060267, Order 08 at ¶¶ 154-158 </w:t>
      </w:r>
      <w:r w:rsidR="00CC65FF">
        <w:t>(January 5, 2007).</w:t>
      </w:r>
    </w:p>
  </w:footnote>
  <w:footnote w:id="2">
    <w:p w:rsidR="00E77170" w:rsidRDefault="00E77170">
      <w:pPr>
        <w:pStyle w:val="FootnoteText"/>
      </w:pPr>
      <w:r>
        <w:rPr>
          <w:rStyle w:val="FootnoteReference"/>
        </w:rPr>
        <w:footnoteRef/>
      </w:r>
      <w:r>
        <w:t xml:space="preserve"> </w:t>
      </w:r>
      <w:r w:rsidR="00C861D7">
        <w:t xml:space="preserve">Piliaris, Exh. JAP-1T </w:t>
      </w:r>
      <w:r>
        <w:t>at 19:9-10.</w:t>
      </w:r>
    </w:p>
    <w:p w:rsidR="00C861D7" w:rsidRPr="00E77170" w:rsidRDefault="00C861D7">
      <w:pPr>
        <w:pStyle w:val="FootnoteText"/>
      </w:pPr>
    </w:p>
  </w:footnote>
  <w:footnote w:id="3">
    <w:p w:rsidR="00E77170" w:rsidRDefault="00E77170">
      <w:pPr>
        <w:pStyle w:val="FootnoteText"/>
      </w:pPr>
      <w:r>
        <w:rPr>
          <w:rStyle w:val="FootnoteReference"/>
        </w:rPr>
        <w:footnoteRef/>
      </w:r>
      <w:r>
        <w:t xml:space="preserve"> </w:t>
      </w:r>
      <w:r>
        <w:rPr>
          <w:i/>
        </w:rPr>
        <w:t xml:space="preserve">Id. </w:t>
      </w:r>
      <w:r>
        <w:t>at 21:</w:t>
      </w:r>
      <w:r w:rsidR="00D30AD5">
        <w:t>1-12.</w:t>
      </w:r>
    </w:p>
    <w:p w:rsidR="00C861D7" w:rsidRPr="00E77170" w:rsidRDefault="00C861D7">
      <w:pPr>
        <w:pStyle w:val="FootnoteText"/>
      </w:pPr>
    </w:p>
  </w:footnote>
  <w:footnote w:id="4">
    <w:p w:rsidR="00C861D7" w:rsidRDefault="00B768BB">
      <w:pPr>
        <w:pStyle w:val="FootnoteText"/>
      </w:pPr>
      <w:r>
        <w:rPr>
          <w:rStyle w:val="FootnoteReference"/>
        </w:rPr>
        <w:footnoteRef/>
      </w:r>
      <w:r w:rsidR="00845C9A">
        <w:t xml:space="preserve"> </w:t>
      </w:r>
      <w:r w:rsidR="003A4B1D">
        <w:t xml:space="preserve">In addition to </w:t>
      </w:r>
      <w:r w:rsidR="006946A3">
        <w:t xml:space="preserve">his ratemaking argument, </w:t>
      </w:r>
      <w:r w:rsidR="00845C9A">
        <w:t>Mr. Piliaris</w:t>
      </w:r>
      <w:r w:rsidR="001C4032">
        <w:t xml:space="preserve"> </w:t>
      </w:r>
      <w:r w:rsidR="00D5369C">
        <w:t>asserts</w:t>
      </w:r>
      <w:r w:rsidR="00EB1DF8">
        <w:t xml:space="preserve"> </w:t>
      </w:r>
      <w:r w:rsidR="005D4590">
        <w:t xml:space="preserve">that RCW 80.28.260 provides </w:t>
      </w:r>
      <w:r w:rsidR="001271BF">
        <w:t>“</w:t>
      </w:r>
      <w:r w:rsidR="00406C0B">
        <w:t>support</w:t>
      </w:r>
      <w:r w:rsidR="001271BF">
        <w:t xml:space="preserve">” and </w:t>
      </w:r>
      <w:r w:rsidR="00C861D7">
        <w:t>“</w:t>
      </w:r>
      <w:r w:rsidR="00406C0B">
        <w:t>guidance</w:t>
      </w:r>
      <w:r w:rsidR="001271BF">
        <w:t xml:space="preserve">” for the </w:t>
      </w:r>
      <w:r w:rsidR="003A4B1D">
        <w:t xml:space="preserve">proposed </w:t>
      </w:r>
      <w:r w:rsidR="005D4590">
        <w:t>Adjustment.  Piliaris</w:t>
      </w:r>
      <w:r w:rsidR="001271BF">
        <w:t>, Exh. JAP-1T at 2</w:t>
      </w:r>
      <w:r w:rsidR="003A4B1D">
        <w:t xml:space="preserve">3:3-9.  The statute </w:t>
      </w:r>
      <w:r w:rsidR="007C4F35">
        <w:t xml:space="preserve">does </w:t>
      </w:r>
      <w:r w:rsidR="00C861D7">
        <w:t>permit</w:t>
      </w:r>
      <w:r w:rsidR="009B29D4">
        <w:t xml:space="preserve"> the Commission to remove </w:t>
      </w:r>
      <w:r w:rsidR="00EB1DF8">
        <w:t xml:space="preserve">financial </w:t>
      </w:r>
      <w:r w:rsidR="00C861D7">
        <w:t xml:space="preserve">disincentives to increasing energy </w:t>
      </w:r>
      <w:r w:rsidR="00EB1DF8">
        <w:t>efficiency.</w:t>
      </w:r>
      <w:r w:rsidR="007C4F35">
        <w:t xml:space="preserve">  </w:t>
      </w:r>
      <w:r w:rsidR="009B29D4">
        <w:t xml:space="preserve">But </w:t>
      </w:r>
      <w:r w:rsidR="0054205D">
        <w:t xml:space="preserve">RCW 80.28.260 </w:t>
      </w:r>
      <w:r w:rsidR="00C861D7">
        <w:t>does not</w:t>
      </w:r>
      <w:r w:rsidR="006946A3">
        <w:t xml:space="preserve"> </w:t>
      </w:r>
      <w:r w:rsidR="00C861D7">
        <w:t>command the Commission to</w:t>
      </w:r>
      <w:r w:rsidR="009B29D4">
        <w:t xml:space="preserve"> </w:t>
      </w:r>
      <w:r w:rsidR="00482DD0">
        <w:t xml:space="preserve">disregard </w:t>
      </w:r>
      <w:r w:rsidR="007C7684">
        <w:t xml:space="preserve">its </w:t>
      </w:r>
      <w:r w:rsidR="0054205D">
        <w:t xml:space="preserve">existing </w:t>
      </w:r>
      <w:r w:rsidR="006946A3">
        <w:t xml:space="preserve">accounting rules </w:t>
      </w:r>
      <w:r w:rsidR="003A4B1D">
        <w:t xml:space="preserve">when it </w:t>
      </w:r>
      <w:r w:rsidR="001C4032">
        <w:t>evaluat</w:t>
      </w:r>
      <w:r w:rsidR="003A4B1D">
        <w:t>es</w:t>
      </w:r>
      <w:r w:rsidR="002A3C7A">
        <w:t xml:space="preserve"> a </w:t>
      </w:r>
      <w:r w:rsidR="001C4032">
        <w:t xml:space="preserve">proposed </w:t>
      </w:r>
      <w:r w:rsidR="002A3C7A">
        <w:t xml:space="preserve">regulatory </w:t>
      </w:r>
      <w:r w:rsidR="00406C0B">
        <w:t>mechanism</w:t>
      </w:r>
      <w:r w:rsidR="00C861D7">
        <w:t>.</w:t>
      </w:r>
      <w:r w:rsidR="00EF76CE">
        <w:t xml:space="preserve">  </w:t>
      </w:r>
      <w:r w:rsidR="002A3C7A">
        <w:t>WAC 480-07-510(3)(e)(iii)</w:t>
      </w:r>
      <w:r w:rsidR="001C4032">
        <w:t xml:space="preserve"> remains the appr</w:t>
      </w:r>
      <w:r w:rsidR="0054205D">
        <w:t xml:space="preserve">opriate rule </w:t>
      </w:r>
      <w:r w:rsidR="001C4032">
        <w:t xml:space="preserve">to </w:t>
      </w:r>
      <w:r w:rsidR="006946A3">
        <w:t xml:space="preserve">apply </w:t>
      </w:r>
      <w:r w:rsidR="007C4F35">
        <w:t>in this proceeding</w:t>
      </w:r>
      <w:r w:rsidR="002A3C7A">
        <w:t>.</w:t>
      </w:r>
      <w:r w:rsidR="00C013B5">
        <w:t xml:space="preserve">      </w:t>
      </w:r>
    </w:p>
    <w:p w:rsidR="00B768BB" w:rsidRDefault="00C861D7">
      <w:pPr>
        <w:pStyle w:val="FootnoteText"/>
      </w:pPr>
      <w:r>
        <w:t xml:space="preserve">  </w:t>
      </w:r>
      <w:r w:rsidR="00E3426E">
        <w:t xml:space="preserve"> </w:t>
      </w:r>
      <w:r w:rsidR="00EB1DF8">
        <w:t xml:space="preserve">   </w:t>
      </w:r>
      <w:r w:rsidR="005D4590">
        <w:t xml:space="preserve"> </w:t>
      </w:r>
      <w:r w:rsidR="00845C9A">
        <w:t xml:space="preserve"> </w:t>
      </w:r>
      <w:r w:rsidR="00B768BB">
        <w:t xml:space="preserve"> </w:t>
      </w:r>
    </w:p>
  </w:footnote>
  <w:footnote w:id="5">
    <w:p w:rsidR="00F1385A" w:rsidRDefault="00F1385A">
      <w:pPr>
        <w:pStyle w:val="FootnoteText"/>
      </w:pPr>
      <w:r>
        <w:rPr>
          <w:rStyle w:val="FootnoteReference"/>
        </w:rPr>
        <w:footnoteRef/>
      </w:r>
      <w:r>
        <w:t xml:space="preserve"> Parvinen, Exh. MPP-1T at 13:14-16.</w:t>
      </w:r>
      <w:r w:rsidR="00056E1E">
        <w:t xml:space="preserve"> </w:t>
      </w:r>
      <w:r w:rsidR="00056CAA">
        <w:t xml:space="preserve"> </w:t>
      </w:r>
    </w:p>
    <w:p w:rsidR="00C861D7" w:rsidRPr="00056CAA" w:rsidRDefault="00C861D7">
      <w:pPr>
        <w:pStyle w:val="FootnoteText"/>
      </w:pPr>
    </w:p>
  </w:footnote>
  <w:footnote w:id="6">
    <w:p w:rsidR="00E3360B" w:rsidRDefault="00E3360B">
      <w:pPr>
        <w:pStyle w:val="FootnoteText"/>
      </w:pPr>
      <w:r>
        <w:rPr>
          <w:rStyle w:val="FootnoteReference"/>
        </w:rPr>
        <w:footnoteRef/>
      </w:r>
      <w:r>
        <w:t xml:space="preserve"> Piliaris, Exh. JAP-5T at 2:17-19.</w:t>
      </w:r>
    </w:p>
    <w:p w:rsidR="00E8759B" w:rsidRDefault="00E8759B">
      <w:pPr>
        <w:pStyle w:val="FootnoteText"/>
      </w:pPr>
    </w:p>
  </w:footnote>
  <w:footnote w:id="7">
    <w:p w:rsidR="0002715B" w:rsidRDefault="0002715B">
      <w:pPr>
        <w:pStyle w:val="FootnoteText"/>
      </w:pPr>
      <w:r>
        <w:rPr>
          <w:rStyle w:val="FootnoteReference"/>
        </w:rPr>
        <w:footnoteRef/>
      </w:r>
      <w:r>
        <w:t xml:space="preserve"> </w:t>
      </w:r>
      <w:r w:rsidR="00BB042E">
        <w:rPr>
          <w:i/>
        </w:rPr>
        <w:t xml:space="preserve">See generally </w:t>
      </w:r>
      <w:r w:rsidR="004462B0">
        <w:rPr>
          <w:i/>
        </w:rPr>
        <w:t>WUTC</w:t>
      </w:r>
      <w:r w:rsidR="004462B0">
        <w:t xml:space="preserve"> </w:t>
      </w:r>
      <w:r w:rsidR="004462B0">
        <w:rPr>
          <w:i/>
        </w:rPr>
        <w:t>v. Avista Corporation, d/b/a Avista Utilities</w:t>
      </w:r>
      <w:r w:rsidR="004462B0">
        <w:t>, Docket Nos. UE-090134, UG-090135, and UG-060518, Order 10 (December 22, 2009) at ¶ 237 (“the policy of this state promotes the advancement of conservation resources”)</w:t>
      </w:r>
      <w:r w:rsidR="007C4F35">
        <w:t>,</w:t>
      </w:r>
      <w:r w:rsidR="00B268A2">
        <w:t xml:space="preserve"> </w:t>
      </w:r>
      <w:r w:rsidR="00BB042E">
        <w:t xml:space="preserve">¶ </w:t>
      </w:r>
      <w:r w:rsidR="004462B0">
        <w:t>239 (“it is difficult to overstate the importance of conservation measures”)</w:t>
      </w:r>
      <w:r w:rsidR="007C4F35">
        <w:t>,</w:t>
      </w:r>
      <w:r w:rsidR="004462B0">
        <w:t xml:space="preserve"> and </w:t>
      </w:r>
      <w:r w:rsidR="00BB042E">
        <w:t>¶</w:t>
      </w:r>
      <w:r w:rsidR="006E1D3B">
        <w:t xml:space="preserve"> </w:t>
      </w:r>
      <w:r w:rsidR="004462B0">
        <w:t>289 (</w:t>
      </w:r>
      <w:r w:rsidR="00B268A2">
        <w:t>“</w:t>
      </w:r>
      <w:r w:rsidR="004462B0">
        <w:t xml:space="preserve">conservation is one of </w:t>
      </w:r>
      <w:r w:rsidR="00B268A2">
        <w:t xml:space="preserve">our </w:t>
      </w:r>
      <w:r w:rsidR="004462B0">
        <w:t>cornerstone missions”)</w:t>
      </w:r>
      <w:r w:rsidR="007C4F35">
        <w:t>;</w:t>
      </w:r>
      <w:r w:rsidR="00423BEB">
        <w:t xml:space="preserve"> </w:t>
      </w:r>
      <w:r w:rsidR="004462B0">
        <w:rPr>
          <w:i/>
        </w:rPr>
        <w:t xml:space="preserve">In </w:t>
      </w:r>
      <w:r w:rsidR="00F90A89">
        <w:rPr>
          <w:i/>
        </w:rPr>
        <w:t>r</w:t>
      </w:r>
      <w:r w:rsidR="004462B0">
        <w:rPr>
          <w:i/>
        </w:rPr>
        <w:t>e Review of PURPA Standards in the Energy Independence and Security Act of 2007</w:t>
      </w:r>
      <w:r w:rsidR="004462B0">
        <w:t>, Docket No. U-090222, Order 01 at ¶ 18 (Septemb</w:t>
      </w:r>
      <w:r w:rsidR="00BC572D">
        <w:t xml:space="preserve">er 14, 2009) (conservation </w:t>
      </w:r>
      <w:r w:rsidR="004462B0">
        <w:t>represents a “priority resource” in Washington State).</w:t>
      </w:r>
    </w:p>
    <w:p w:rsidR="00C2681E" w:rsidRPr="004462B0" w:rsidRDefault="00C2681E">
      <w:pPr>
        <w:pStyle w:val="FootnoteText"/>
      </w:pPr>
    </w:p>
  </w:footnote>
  <w:footnote w:id="8">
    <w:p w:rsidR="005317FA" w:rsidRDefault="00546320">
      <w:pPr>
        <w:pStyle w:val="FootnoteText"/>
      </w:pPr>
      <w:r>
        <w:rPr>
          <w:rStyle w:val="FootnoteReference"/>
        </w:rPr>
        <w:footnoteRef/>
      </w:r>
      <w:r>
        <w:t xml:space="preserve"> Piliaris, Exh. JAP-5T at 14:9-12.</w:t>
      </w:r>
      <w:r w:rsidR="006E1D3B">
        <w:t xml:space="preserve">  Mr. Piliaris </w:t>
      </w:r>
      <w:r w:rsidR="003D788D">
        <w:t xml:space="preserve">refers to </w:t>
      </w:r>
      <w:r w:rsidR="006E1D3B">
        <w:t>the</w:t>
      </w:r>
      <w:r w:rsidR="00013FE4">
        <w:t xml:space="preserve"> </w:t>
      </w:r>
      <w:r w:rsidR="006E1D3B">
        <w:t xml:space="preserve">Mechanism in the present tense </w:t>
      </w:r>
      <w:r w:rsidR="009941AB">
        <w:t xml:space="preserve">because </w:t>
      </w:r>
      <w:r w:rsidR="00013FE4">
        <w:t>he</w:t>
      </w:r>
      <w:r w:rsidR="009941AB">
        <w:t xml:space="preserve"> </w:t>
      </w:r>
      <w:r w:rsidR="006E1D3B">
        <w:t xml:space="preserve">filed </w:t>
      </w:r>
      <w:r w:rsidR="00013FE4">
        <w:t xml:space="preserve">his </w:t>
      </w:r>
      <w:r w:rsidR="006E1D3B">
        <w:t xml:space="preserve">rebuttal </w:t>
      </w:r>
      <w:r w:rsidR="00013FE4">
        <w:t>testimony on</w:t>
      </w:r>
      <w:r w:rsidR="00423BEB">
        <w:t xml:space="preserve"> December 17, 2009, when the Mechanism was in effect</w:t>
      </w:r>
      <w:r w:rsidR="006E1D3B">
        <w:t>.</w:t>
      </w:r>
      <w:r w:rsidR="00423BEB">
        <w:t xml:space="preserve">  </w:t>
      </w:r>
      <w:r w:rsidR="00013FE4">
        <w:t xml:space="preserve">It </w:t>
      </w:r>
      <w:r w:rsidR="00423BEB">
        <w:t>expired two weeks later.</w:t>
      </w:r>
    </w:p>
    <w:p w:rsidR="00546320" w:rsidRDefault="006E1D3B">
      <w:pPr>
        <w:pStyle w:val="FootnoteText"/>
      </w:pPr>
      <w:r>
        <w:t xml:space="preserve">   </w:t>
      </w:r>
      <w:r w:rsidR="00F90A89">
        <w:t xml:space="preserve">   </w:t>
      </w:r>
      <w:r w:rsidR="00546320">
        <w:t xml:space="preserve"> </w:t>
      </w:r>
    </w:p>
  </w:footnote>
  <w:footnote w:id="9">
    <w:p w:rsidR="007C7684" w:rsidRDefault="007C7684">
      <w:pPr>
        <w:pStyle w:val="FootnoteText"/>
      </w:pPr>
      <w:r>
        <w:rPr>
          <w:rStyle w:val="FootnoteReference"/>
        </w:rPr>
        <w:footnoteRef/>
      </w:r>
      <w:r>
        <w:t xml:space="preserve"> </w:t>
      </w:r>
      <w:r>
        <w:rPr>
          <w:i/>
        </w:rPr>
        <w:t xml:space="preserve">Id. </w:t>
      </w:r>
      <w:r>
        <w:t>at 14:14-16.</w:t>
      </w:r>
      <w:r w:rsidR="00AB3D59">
        <w:t xml:space="preserve">  </w:t>
      </w:r>
    </w:p>
    <w:p w:rsidR="007C7684" w:rsidRPr="007C7684" w:rsidRDefault="007C7684">
      <w:pPr>
        <w:pStyle w:val="FootnoteText"/>
      </w:pPr>
    </w:p>
  </w:footnote>
  <w:footnote w:id="10">
    <w:p w:rsidR="0090015E" w:rsidRDefault="0090015E">
      <w:pPr>
        <w:pStyle w:val="FootnoteText"/>
      </w:pPr>
      <w:r>
        <w:rPr>
          <w:rStyle w:val="FootnoteReference"/>
        </w:rPr>
        <w:footnoteRef/>
      </w:r>
      <w:r>
        <w:t xml:space="preserve"> RCW 80.24.024; </w:t>
      </w:r>
      <w:r>
        <w:rPr>
          <w:i/>
        </w:rPr>
        <w:t xml:space="preserve">see also </w:t>
      </w:r>
      <w:r>
        <w:t>RCW 80.28.260 (support for policies that provide financial incentives for energy efficiency programs)</w:t>
      </w:r>
      <w:r w:rsidR="00DF6CD3">
        <w:t xml:space="preserve"> and RCW 19.285.060(4) (</w:t>
      </w:r>
      <w:r w:rsidR="00FD5EB6">
        <w:t xml:space="preserve">the </w:t>
      </w:r>
      <w:r w:rsidR="00DF6CD3">
        <w:t xml:space="preserve">Commission may consider positive incentives for a utility to exceed </w:t>
      </w:r>
      <w:r w:rsidR="00FD5EB6">
        <w:t xml:space="preserve">the conservation </w:t>
      </w:r>
      <w:r w:rsidR="00DF6CD3">
        <w:t xml:space="preserve">targets established </w:t>
      </w:r>
      <w:r w:rsidR="00FD5EB6">
        <w:t>under</w:t>
      </w:r>
      <w:r w:rsidR="00DF6CD3">
        <w:t xml:space="preserve"> RCW 19.285.040)</w:t>
      </w:r>
      <w:r>
        <w:t>.</w:t>
      </w:r>
    </w:p>
    <w:p w:rsidR="00506F5C" w:rsidRDefault="00506F5C">
      <w:pPr>
        <w:pStyle w:val="FootnoteText"/>
      </w:pPr>
    </w:p>
  </w:footnote>
  <w:footnote w:id="11">
    <w:p w:rsidR="00991718" w:rsidRDefault="00506F5C">
      <w:pPr>
        <w:pStyle w:val="FootnoteText"/>
      </w:pPr>
      <w:r>
        <w:rPr>
          <w:rStyle w:val="FootnoteReference"/>
        </w:rPr>
        <w:footnoteRef/>
      </w:r>
      <w:r>
        <w:t xml:space="preserve"> </w:t>
      </w:r>
      <w:r>
        <w:rPr>
          <w:i/>
        </w:rPr>
        <w:t>WUTC v. Puget Sound Energy, Inc.</w:t>
      </w:r>
      <w:r>
        <w:t xml:space="preserve">, Docket Nos. UE-060266 and UG-060267, Order 08 at ¶ 153 (January 5, 2007); </w:t>
      </w:r>
      <w:r>
        <w:rPr>
          <w:i/>
        </w:rPr>
        <w:t>see also WUTC v. Avista Corporation, d/b/a Avista Utilities</w:t>
      </w:r>
      <w:r>
        <w:t xml:space="preserve">, Docket Nos. UE-090134, UG-090135, and UG-060518, Order 10 at ¶ 237 </w:t>
      </w:r>
      <w:r w:rsidR="0041172A">
        <w:t xml:space="preserve">(December 22, 2009) (the </w:t>
      </w:r>
      <w:r>
        <w:t xml:space="preserve">policy </w:t>
      </w:r>
      <w:r w:rsidR="0041172A">
        <w:t xml:space="preserve">of Washington State </w:t>
      </w:r>
      <w:r>
        <w:t>“encourages the Commission to consider incentives for investment in [conservation] resources”).</w:t>
      </w:r>
    </w:p>
    <w:p w:rsidR="00506F5C" w:rsidRDefault="00506F5C">
      <w:pPr>
        <w:pStyle w:val="FootnoteText"/>
      </w:pPr>
      <w:r>
        <w:rPr>
          <w:i/>
        </w:rPr>
        <w:t xml:space="preserve"> </w:t>
      </w:r>
      <w:r>
        <w:t xml:space="preserve"> </w:t>
      </w:r>
    </w:p>
  </w:footnote>
  <w:footnote w:id="12">
    <w:p w:rsidR="00C50B1A" w:rsidRDefault="00C50B1A">
      <w:pPr>
        <w:pStyle w:val="FootnoteText"/>
      </w:pPr>
      <w:r>
        <w:rPr>
          <w:rStyle w:val="FootnoteReference"/>
        </w:rPr>
        <w:footnoteRef/>
      </w:r>
      <w:r>
        <w:t xml:space="preserve"> Piliaris, Exh. JAP-5T</w:t>
      </w:r>
      <w:r w:rsidR="003622FE">
        <w:t xml:space="preserve"> at</w:t>
      </w:r>
      <w:r>
        <w:t xml:space="preserve"> </w:t>
      </w:r>
      <w:r w:rsidR="004C53A3">
        <w:t>16:6-8</w:t>
      </w:r>
      <w:r w:rsidR="00785AF9">
        <w:t>.</w:t>
      </w:r>
      <w:r w:rsidR="002D261C">
        <w:t xml:space="preserve">  (Emphasis added)</w:t>
      </w:r>
      <w:r w:rsidR="00652D0C">
        <w:t xml:space="preserve">  </w:t>
      </w:r>
    </w:p>
    <w:p w:rsidR="00853370" w:rsidRDefault="00853370">
      <w:pPr>
        <w:pStyle w:val="FootnoteText"/>
      </w:pPr>
    </w:p>
  </w:footnote>
  <w:footnote w:id="13">
    <w:p w:rsidR="002E6637" w:rsidRPr="001E0DB7" w:rsidRDefault="002E6637">
      <w:pPr>
        <w:pStyle w:val="FootnoteText"/>
        <w:rPr>
          <w:i/>
        </w:rPr>
      </w:pPr>
      <w:r>
        <w:rPr>
          <w:rStyle w:val="FootnoteReference"/>
        </w:rPr>
        <w:footnoteRef/>
      </w:r>
      <w:r>
        <w:t xml:space="preserve"> </w:t>
      </w:r>
      <w:r>
        <w:rPr>
          <w:i/>
        </w:rPr>
        <w:t xml:space="preserve">Id. </w:t>
      </w:r>
      <w:r w:rsidR="00CE76C4">
        <w:t>at 17:17</w:t>
      </w:r>
      <w:r>
        <w:t>-19.</w:t>
      </w:r>
      <w:r w:rsidR="001E0DB7">
        <w:t xml:space="preserve">  The Commission </w:t>
      </w:r>
      <w:r w:rsidR="005B0F14">
        <w:t xml:space="preserve">has stated that, </w:t>
      </w:r>
      <w:r w:rsidR="0023599B">
        <w:t xml:space="preserve">through </w:t>
      </w:r>
      <w:r w:rsidR="00994C38">
        <w:t xml:space="preserve">approved </w:t>
      </w:r>
      <w:r w:rsidR="00AE0F4D">
        <w:t xml:space="preserve">conservation </w:t>
      </w:r>
      <w:r w:rsidR="005B0F14">
        <w:t>tariffs,</w:t>
      </w:r>
      <w:r w:rsidR="005D2B32">
        <w:t xml:space="preserve"> </w:t>
      </w:r>
      <w:r w:rsidR="00994C38">
        <w:t xml:space="preserve">it provides PSE </w:t>
      </w:r>
      <w:r w:rsidR="00A46D8D">
        <w:t xml:space="preserve">with </w:t>
      </w:r>
      <w:r w:rsidR="001E0DB7">
        <w:t>“timely recovery of energy efficiency-related costs in rates</w:t>
      </w:r>
      <w:r w:rsidR="005B0F14">
        <w:t xml:space="preserve">.”  </w:t>
      </w:r>
      <w:r w:rsidR="001E0DB7">
        <w:rPr>
          <w:i/>
        </w:rPr>
        <w:t>In re Review of PURPA Standards in the Energy Independence and Security Act of 2007</w:t>
      </w:r>
      <w:r w:rsidR="001E0DB7">
        <w:t>, Docket No. U-0902</w:t>
      </w:r>
      <w:r w:rsidR="00E018B0">
        <w:t xml:space="preserve">22, Order 01 at ¶ 26 and </w:t>
      </w:r>
      <w:r w:rsidR="001E0DB7">
        <w:t xml:space="preserve">citations </w:t>
      </w:r>
      <w:r w:rsidR="00E018B0">
        <w:t>to PSE</w:t>
      </w:r>
      <w:r w:rsidR="00A74151">
        <w:t>’s</w:t>
      </w:r>
      <w:r w:rsidR="00E018B0">
        <w:t xml:space="preserve"> conservation tariffs </w:t>
      </w:r>
      <w:r w:rsidR="001E0DB7">
        <w:t>at n. 38 (September 14, 2009).</w:t>
      </w:r>
      <w:r w:rsidR="00D11EF6">
        <w:t xml:space="preserve">  These tariffs provide PSE with funding for programmatic conservation efforts.  </w:t>
      </w:r>
      <w:r w:rsidR="001E0DB7">
        <w:rPr>
          <w:i/>
        </w:rPr>
        <w:t xml:space="preserve"> </w:t>
      </w:r>
    </w:p>
    <w:p w:rsidR="009B3582" w:rsidRPr="002E6637" w:rsidRDefault="009B3582">
      <w:pPr>
        <w:pStyle w:val="FootnoteText"/>
      </w:pPr>
    </w:p>
  </w:footnote>
  <w:footnote w:id="14">
    <w:p w:rsidR="0074379F" w:rsidRDefault="0074379F">
      <w:pPr>
        <w:pStyle w:val="FootnoteText"/>
      </w:pPr>
      <w:r>
        <w:rPr>
          <w:rStyle w:val="FootnoteReference"/>
        </w:rPr>
        <w:footnoteRef/>
      </w:r>
      <w:r>
        <w:t xml:space="preserve"> Piliaris, Exh. JAP-5T at 20:12-21.</w:t>
      </w:r>
    </w:p>
    <w:p w:rsidR="0074379F" w:rsidRDefault="0074379F">
      <w:pPr>
        <w:pStyle w:val="FootnoteText"/>
      </w:pPr>
    </w:p>
  </w:footnote>
  <w:footnote w:id="15">
    <w:p w:rsidR="009F4571" w:rsidRDefault="0074379F">
      <w:pPr>
        <w:pStyle w:val="FootnoteText"/>
      </w:pPr>
      <w:r>
        <w:rPr>
          <w:rStyle w:val="FootnoteReference"/>
        </w:rPr>
        <w:footnoteRef/>
      </w:r>
      <w:r>
        <w:t xml:space="preserve"> </w:t>
      </w:r>
      <w:r>
        <w:rPr>
          <w:i/>
        </w:rPr>
        <w:t xml:space="preserve">Id. </w:t>
      </w:r>
      <w:r>
        <w:t>at 20:15-16.</w:t>
      </w:r>
    </w:p>
    <w:p w:rsidR="0074379F" w:rsidRDefault="0074379F">
      <w:pPr>
        <w:pStyle w:val="FootnoteText"/>
      </w:pPr>
      <w:r>
        <w:t xml:space="preserve"> </w:t>
      </w:r>
    </w:p>
  </w:footnote>
  <w:footnote w:id="16">
    <w:p w:rsidR="009F4571" w:rsidRDefault="009F4571">
      <w:pPr>
        <w:pStyle w:val="FootnoteText"/>
      </w:pPr>
      <w:r>
        <w:rPr>
          <w:rStyle w:val="FootnoteReference"/>
        </w:rPr>
        <w:footnoteRef/>
      </w:r>
      <w:r>
        <w:t xml:space="preserve"> Decoupling can help </w:t>
      </w:r>
      <w:r w:rsidR="00AD0BE9">
        <w:t xml:space="preserve">remove </w:t>
      </w:r>
      <w:r>
        <w:t>the throughput incentive</w:t>
      </w:r>
      <w:r w:rsidR="004D7048">
        <w:t>, for example</w:t>
      </w:r>
      <w:r>
        <w:t xml:space="preserve">.  </w:t>
      </w:r>
      <w:r w:rsidR="00BB0A4E">
        <w:t>Recently t</w:t>
      </w:r>
      <w:r>
        <w:t>he Commission</w:t>
      </w:r>
      <w:r w:rsidR="00BB0A4E">
        <w:t xml:space="preserve"> </w:t>
      </w:r>
      <w:r w:rsidR="00A30D91">
        <w:t>authorized Avista</w:t>
      </w:r>
      <w:r>
        <w:t xml:space="preserve"> to continue a </w:t>
      </w:r>
      <w:r w:rsidR="002D261C">
        <w:t xml:space="preserve">partial and limited </w:t>
      </w:r>
      <w:r>
        <w:t xml:space="preserve">decoupling mechanism that applies to service to residential gas customers.  </w:t>
      </w:r>
      <w:r>
        <w:rPr>
          <w:i/>
        </w:rPr>
        <w:t>WUTC v. Avista Corporation, d/b/a Avista Utilities</w:t>
      </w:r>
      <w:r>
        <w:t xml:space="preserve">, Docket Nos. UE-090134, UG-090135, and UG-060518, Order 10 at ¶¶ 290, 321 (December 22, 2009).  PSE is free at this time to request a decoupling mechanism for residential gas and electric service.  </w:t>
      </w:r>
      <w:r>
        <w:rPr>
          <w:i/>
        </w:rPr>
        <w:t>In the Matter of the Joint Application of Puget Holdings LLC and Puget Sound Energy, Inc. For an Order Approving Proposed Transaction</w:t>
      </w:r>
      <w:r>
        <w:t xml:space="preserve">, Docket </w:t>
      </w:r>
      <w:r w:rsidR="0003704F">
        <w:t xml:space="preserve">No. </w:t>
      </w:r>
      <w:r>
        <w:t>U-072375, Order 08, Appendix A to Multiparty Settlement Stipulation (Attachment A to Order 08) at ¶¶ 62-63 (December 30, 2008)</w:t>
      </w:r>
      <w:r w:rsidR="000A1742">
        <w:t xml:space="preserve"> (merger commitments that apply to decoupling)</w:t>
      </w:r>
      <w:r>
        <w:t>.</w:t>
      </w:r>
    </w:p>
    <w:p w:rsidR="009F4571" w:rsidRDefault="009F4571">
      <w:pPr>
        <w:pStyle w:val="FootnoteText"/>
      </w:pPr>
      <w:r>
        <w:t xml:space="preserve">  </w:t>
      </w:r>
    </w:p>
  </w:footnote>
  <w:footnote w:id="17">
    <w:p w:rsidR="00F366B3" w:rsidRDefault="00F366B3">
      <w:pPr>
        <w:pStyle w:val="FootnoteText"/>
      </w:pPr>
      <w:r>
        <w:rPr>
          <w:rStyle w:val="FootnoteReference"/>
        </w:rPr>
        <w:footnoteRef/>
      </w:r>
      <w:r w:rsidR="00FD5EB6">
        <w:t xml:space="preserve"> The factors </w:t>
      </w:r>
      <w:r>
        <w:t xml:space="preserve">in this paragraph </w:t>
      </w:r>
      <w:r w:rsidR="00FD5EB6">
        <w:t xml:space="preserve">are </w:t>
      </w:r>
      <w:r>
        <w:t xml:space="preserve">illustrative, </w:t>
      </w:r>
      <w:r w:rsidR="00541BC2">
        <w:t xml:space="preserve">not exhaustive.  </w:t>
      </w:r>
      <w:r w:rsidR="00790296">
        <w:t xml:space="preserve">Other </w:t>
      </w:r>
      <w:r w:rsidR="00B0067C">
        <w:t xml:space="preserve">factors </w:t>
      </w:r>
      <w:r w:rsidR="00790296">
        <w:t>may</w:t>
      </w:r>
      <w:r w:rsidR="00282578">
        <w:t xml:space="preserve"> apply</w:t>
      </w:r>
      <w:r w:rsidR="00541BC2">
        <w:t xml:space="preserve"> </w:t>
      </w:r>
      <w:r>
        <w:t>depending on the nature and sc</w:t>
      </w:r>
      <w:r w:rsidR="00282578">
        <w:t xml:space="preserve">ope of a particular </w:t>
      </w:r>
      <w:r>
        <w:t>mechanism.</w:t>
      </w:r>
      <w:r w:rsidR="00282578">
        <w:t xml:space="preserve">  </w:t>
      </w:r>
      <w:r w:rsidR="00C50E9A">
        <w:t xml:space="preserve"> </w:t>
      </w:r>
      <w:r w:rsidR="00282578">
        <w:t xml:space="preserve">  </w:t>
      </w:r>
      <w:r>
        <w:t xml:space="preserve"> </w:t>
      </w:r>
      <w:r w:rsidR="00282578">
        <w:t xml:space="preserve"> </w:t>
      </w:r>
      <w:r>
        <w:t xml:space="preserve"> </w:t>
      </w:r>
    </w:p>
  </w:footnote>
  <w:footnote w:id="18">
    <w:p w:rsidR="0058388D" w:rsidRDefault="0058388D">
      <w:pPr>
        <w:pStyle w:val="FootnoteText"/>
      </w:pPr>
      <w:r>
        <w:rPr>
          <w:rStyle w:val="FootnoteReference"/>
        </w:rPr>
        <w:footnoteRef/>
      </w:r>
      <w:r>
        <w:t xml:space="preserve"> There are other </w:t>
      </w:r>
      <w:r w:rsidR="00DE7B22">
        <w:t xml:space="preserve">potential </w:t>
      </w:r>
      <w:r>
        <w:t xml:space="preserve">problems with using a </w:t>
      </w:r>
      <w:r w:rsidR="001014EC">
        <w:t xml:space="preserve">general </w:t>
      </w:r>
      <w:r>
        <w:t xml:space="preserve">rate case </w:t>
      </w:r>
      <w:r w:rsidR="00F347C6">
        <w:t xml:space="preserve">to conduct </w:t>
      </w:r>
      <w:r w:rsidR="00AA5C6D">
        <w:t>a</w:t>
      </w:r>
      <w:r w:rsidR="001014EC">
        <w:t xml:space="preserve"> focused</w:t>
      </w:r>
      <w:r>
        <w:t xml:space="preserve"> review</w:t>
      </w:r>
      <w:r w:rsidR="00AA5C6D">
        <w:t xml:space="preserve"> of disincentive issues</w:t>
      </w:r>
      <w:r>
        <w:t>.</w:t>
      </w:r>
      <w:r w:rsidR="001014EC">
        <w:t xml:space="preserve">  A rate case </w:t>
      </w:r>
      <w:r w:rsidR="00CC2ADC">
        <w:t xml:space="preserve">typically </w:t>
      </w:r>
      <w:r w:rsidR="001A6807">
        <w:t xml:space="preserve">involves </w:t>
      </w:r>
      <w:r w:rsidR="00CC2ADC">
        <w:t xml:space="preserve">several </w:t>
      </w:r>
      <w:r w:rsidR="001014EC">
        <w:t xml:space="preserve">“big ticket” issues </w:t>
      </w:r>
      <w:r w:rsidR="00CC2ADC">
        <w:t>includ</w:t>
      </w:r>
      <w:r w:rsidR="00AE199A">
        <w:t>ing</w:t>
      </w:r>
      <w:r w:rsidR="001014EC">
        <w:t xml:space="preserve"> rate of return, rate base, and operating expenses.  Th</w:t>
      </w:r>
      <w:r w:rsidR="00CC2ADC">
        <w:t xml:space="preserve">ese </w:t>
      </w:r>
      <w:r w:rsidR="007C6632">
        <w:t>issues</w:t>
      </w:r>
      <w:r w:rsidR="0042210F">
        <w:t xml:space="preserve"> are often very </w:t>
      </w:r>
      <w:r w:rsidR="00CC2ADC">
        <w:t>technical and contentious</w:t>
      </w:r>
      <w:r w:rsidR="0042210F">
        <w:t>,</w:t>
      </w:r>
      <w:r w:rsidR="00A02896">
        <w:t xml:space="preserve"> </w:t>
      </w:r>
      <w:r w:rsidR="0042210F">
        <w:t xml:space="preserve">which </w:t>
      </w:r>
      <w:r w:rsidR="00DE7B22">
        <w:t>may</w:t>
      </w:r>
      <w:r w:rsidR="00515365">
        <w:t xml:space="preserve"> </w:t>
      </w:r>
      <w:r w:rsidR="00A02896">
        <w:t xml:space="preserve">serve to </w:t>
      </w:r>
      <w:r w:rsidR="001014EC">
        <w:t>overshadow</w:t>
      </w:r>
      <w:r w:rsidR="00CC2ADC">
        <w:t xml:space="preserve"> </w:t>
      </w:r>
      <w:r w:rsidR="00F347C6">
        <w:t xml:space="preserve">other </w:t>
      </w:r>
      <w:r w:rsidR="001014EC">
        <w:t>issues</w:t>
      </w:r>
      <w:r w:rsidR="00F347C6">
        <w:t xml:space="preserve"> in the case</w:t>
      </w:r>
      <w:r w:rsidR="00DF5DB3">
        <w:t xml:space="preserve"> </w:t>
      </w:r>
      <w:r w:rsidR="008E3DA7">
        <w:t>(</w:t>
      </w:r>
      <w:r w:rsidR="00AE199A">
        <w:t>such as energy efficiency</w:t>
      </w:r>
      <w:r w:rsidR="008E3DA7">
        <w:t>)</w:t>
      </w:r>
      <w:r w:rsidR="00FC7D49">
        <w:t>.</w:t>
      </w:r>
      <w:r w:rsidR="001014EC">
        <w:t xml:space="preserve">        </w:t>
      </w:r>
    </w:p>
    <w:p w:rsidR="0058388D" w:rsidRDefault="0058388D">
      <w:pPr>
        <w:pStyle w:val="FootnoteText"/>
      </w:pPr>
    </w:p>
  </w:footnote>
  <w:footnote w:id="19">
    <w:p w:rsidR="00A964E7" w:rsidRDefault="00795BB2">
      <w:pPr>
        <w:pStyle w:val="FootnoteText"/>
      </w:pPr>
      <w:r>
        <w:rPr>
          <w:rStyle w:val="FootnoteReference"/>
        </w:rPr>
        <w:footnoteRef/>
      </w:r>
      <w:r>
        <w:t xml:space="preserve"> The </w:t>
      </w:r>
      <w:r w:rsidR="001014EC">
        <w:t xml:space="preserve">three </w:t>
      </w:r>
      <w:r>
        <w:t xml:space="preserve">proceedings are Docket Nos. </w:t>
      </w:r>
      <w:r w:rsidR="00AB5F73">
        <w:t xml:space="preserve">UE-100170 (PacifiCorp), </w:t>
      </w:r>
      <w:r w:rsidR="00C033FE">
        <w:t>UE-100176</w:t>
      </w:r>
      <w:r w:rsidR="00AB5F73">
        <w:t xml:space="preserve"> (Avista)</w:t>
      </w:r>
      <w:r w:rsidR="005B0F14">
        <w:t xml:space="preserve">, </w:t>
      </w:r>
      <w:r w:rsidR="00AB5F73">
        <w:t xml:space="preserve">and </w:t>
      </w:r>
      <w:r w:rsidR="002C6B2A">
        <w:t>UE-100177</w:t>
      </w:r>
      <w:r w:rsidR="004A4CDA">
        <w:t xml:space="preserve"> </w:t>
      </w:r>
      <w:r w:rsidR="00D85E82">
        <w:t xml:space="preserve">(PSE).  </w:t>
      </w:r>
      <w:r w:rsidR="00C033FE">
        <w:t xml:space="preserve">The </w:t>
      </w:r>
      <w:r w:rsidR="009A046E">
        <w:t xml:space="preserve">reports </w:t>
      </w:r>
      <w:r w:rsidR="00D85E82">
        <w:t>a</w:t>
      </w:r>
      <w:r w:rsidR="00C033FE">
        <w:t xml:space="preserve">re required </w:t>
      </w:r>
      <w:r w:rsidR="004D7048">
        <w:t xml:space="preserve">by </w:t>
      </w:r>
      <w:r w:rsidR="00C033FE">
        <w:t>RCW 19.285.040</w:t>
      </w:r>
      <w:r w:rsidR="003A4ADD">
        <w:t>(1)(a)-(b)</w:t>
      </w:r>
      <w:r w:rsidR="00C033FE">
        <w:t xml:space="preserve"> and </w:t>
      </w:r>
      <w:r w:rsidR="003A4ADD">
        <w:t xml:space="preserve">WAC </w:t>
      </w:r>
      <w:r w:rsidR="00C033FE">
        <w:t>480-109</w:t>
      </w:r>
      <w:r w:rsidR="003A4ADD">
        <w:t>-010</w:t>
      </w:r>
      <w:r w:rsidR="00C033FE">
        <w:t>.</w:t>
      </w:r>
    </w:p>
    <w:p w:rsidR="007964C8" w:rsidRDefault="007964C8">
      <w:pPr>
        <w:pStyle w:val="FootnoteText"/>
      </w:pPr>
    </w:p>
  </w:footnote>
  <w:footnote w:id="20">
    <w:p w:rsidR="007964C8" w:rsidRDefault="007964C8">
      <w:pPr>
        <w:pStyle w:val="FootnoteText"/>
      </w:pPr>
      <w:r>
        <w:rPr>
          <w:rStyle w:val="FootnoteReference"/>
        </w:rPr>
        <w:footnoteRef/>
      </w:r>
      <w:r>
        <w:t xml:space="preserve"> </w:t>
      </w:r>
      <w:r>
        <w:rPr>
          <w:i/>
        </w:rPr>
        <w:t>See, e.g.</w:t>
      </w:r>
      <w:r>
        <w:t xml:space="preserve">, </w:t>
      </w:r>
      <w:r>
        <w:rPr>
          <w:i/>
        </w:rPr>
        <w:t>Notice of Opportunity to Comment and Notice of Open Meeting</w:t>
      </w:r>
      <w:r>
        <w:t>, Docket No. UE-10017</w:t>
      </w:r>
      <w:r w:rsidR="002C6B2A">
        <w:t>7</w:t>
      </w:r>
      <w:r>
        <w:t xml:space="preserve"> (February 2, 2010) (in the case of PSE, setting March 5, 2010 as the due date for written comments </w:t>
      </w:r>
      <w:r w:rsidR="002C6B2A">
        <w:t xml:space="preserve">on the company’s report </w:t>
      </w:r>
      <w:r>
        <w:t>and March 11, 2010 as the date to receive oral comments).</w:t>
      </w:r>
      <w:r w:rsidR="00D074D2">
        <w:t xml:space="preserve">  The Coalition </w:t>
      </w:r>
      <w:r w:rsidR="004A4CDA">
        <w:t xml:space="preserve">asks </w:t>
      </w:r>
      <w:r w:rsidR="00D074D2">
        <w:t xml:space="preserve">the Commission </w:t>
      </w:r>
      <w:r w:rsidR="004A4CDA">
        <w:t xml:space="preserve">to </w:t>
      </w:r>
      <w:r w:rsidR="00757AE9">
        <w:t xml:space="preserve">take official </w:t>
      </w:r>
      <w:r w:rsidR="00D074D2">
        <w:t>notice, under WAC 480-0</w:t>
      </w:r>
      <w:r w:rsidR="008B28F5">
        <w:t xml:space="preserve">7-495(2), of the Notices </w:t>
      </w:r>
      <w:r w:rsidR="00AA5C6D">
        <w:t xml:space="preserve">that it </w:t>
      </w:r>
      <w:r w:rsidR="00A26F1D">
        <w:t>issued on February 2</w:t>
      </w:r>
      <w:r w:rsidR="00D074D2">
        <w:t xml:space="preserve">, </w:t>
      </w:r>
      <w:r w:rsidR="00E50DA5">
        <w:t xml:space="preserve">should </w:t>
      </w:r>
      <w:r w:rsidR="009A2BC3">
        <w:t>it de</w:t>
      </w:r>
      <w:r w:rsidR="00E50DA5">
        <w:t>termine</w:t>
      </w:r>
      <w:r w:rsidR="009A2BC3">
        <w:t xml:space="preserve"> that </w:t>
      </w:r>
      <w:r w:rsidR="00D074D2">
        <w:t xml:space="preserve">such notice is </w:t>
      </w:r>
      <w:r w:rsidR="00E50DA5">
        <w:t>appropriate</w:t>
      </w:r>
      <w:r w:rsidR="00AA5C6D">
        <w:t xml:space="preserve"> in this proceeding</w:t>
      </w:r>
      <w:r w:rsidR="00D074D2">
        <w:t>.</w:t>
      </w:r>
    </w:p>
    <w:p w:rsidR="00DD47E1" w:rsidRDefault="00DD47E1">
      <w:pPr>
        <w:pStyle w:val="FootnoteText"/>
      </w:pPr>
    </w:p>
  </w:footnote>
  <w:footnote w:id="21">
    <w:p w:rsidR="00DD47E1" w:rsidRDefault="00DD47E1">
      <w:pPr>
        <w:pStyle w:val="FootnoteText"/>
      </w:pPr>
      <w:r>
        <w:rPr>
          <w:rStyle w:val="FootnoteReference"/>
        </w:rPr>
        <w:footnoteRef/>
      </w:r>
      <w:r>
        <w:t xml:space="preserve"> </w:t>
      </w:r>
      <w:r>
        <w:rPr>
          <w:i/>
        </w:rPr>
        <w:t>In re Review of PURPA Standards in the Energy Independence and Security Act of 2007</w:t>
      </w:r>
      <w:r>
        <w:t>, Docket No. U-090222, Order 01 at ¶ 57 (September 14, 2009).</w:t>
      </w:r>
    </w:p>
    <w:p w:rsidR="00C42137" w:rsidRPr="00DD47E1" w:rsidRDefault="00C42137">
      <w:pPr>
        <w:pStyle w:val="FootnoteText"/>
      </w:pPr>
    </w:p>
  </w:footnote>
  <w:footnote w:id="22">
    <w:p w:rsidR="00604F42" w:rsidRDefault="00C42137">
      <w:pPr>
        <w:pStyle w:val="FootnoteText"/>
      </w:pPr>
      <w:r>
        <w:rPr>
          <w:rStyle w:val="FootnoteReference"/>
        </w:rPr>
        <w:footnoteRef/>
      </w:r>
      <w:r>
        <w:t xml:space="preserve"> </w:t>
      </w:r>
      <w:r>
        <w:rPr>
          <w:i/>
        </w:rPr>
        <w:t xml:space="preserve">Id. </w:t>
      </w:r>
      <w:r>
        <w:t>at ¶¶ 3-4.</w:t>
      </w:r>
    </w:p>
    <w:p w:rsidR="00C42137" w:rsidRDefault="00C42137">
      <w:pPr>
        <w:pStyle w:val="FootnoteText"/>
      </w:pPr>
      <w:r>
        <w:t xml:space="preserve"> </w:t>
      </w:r>
    </w:p>
  </w:footnote>
  <w:footnote w:id="23">
    <w:p w:rsidR="004E5621" w:rsidRDefault="00604F42">
      <w:pPr>
        <w:pStyle w:val="FootnoteText"/>
      </w:pPr>
      <w:r>
        <w:rPr>
          <w:rStyle w:val="FootnoteReference"/>
        </w:rPr>
        <w:footnoteRef/>
      </w:r>
      <w:r>
        <w:t xml:space="preserve"> </w:t>
      </w:r>
      <w:r>
        <w:rPr>
          <w:i/>
        </w:rPr>
        <w:t xml:space="preserve">Id. </w:t>
      </w:r>
      <w:r>
        <w:t>at p. 8.</w:t>
      </w:r>
    </w:p>
    <w:p w:rsidR="00604F42" w:rsidRDefault="00604F42">
      <w:pPr>
        <w:pStyle w:val="FootnoteText"/>
      </w:pPr>
      <w:r>
        <w:t xml:space="preserve"> </w:t>
      </w:r>
    </w:p>
  </w:footnote>
  <w:footnote w:id="24">
    <w:p w:rsidR="004E5621" w:rsidRDefault="004E5621">
      <w:pPr>
        <w:pStyle w:val="FootnoteText"/>
      </w:pPr>
      <w:r>
        <w:rPr>
          <w:rStyle w:val="FootnoteReference"/>
        </w:rPr>
        <w:footnoteRef/>
      </w:r>
      <w:r>
        <w:t xml:space="preserve"> </w:t>
      </w:r>
      <w:r>
        <w:rPr>
          <w:i/>
        </w:rPr>
        <w:t xml:space="preserve">Id. </w:t>
      </w:r>
      <w:r>
        <w:t xml:space="preserve">at ¶¶ 25, 27. </w:t>
      </w:r>
    </w:p>
    <w:p w:rsidR="007C6632" w:rsidRDefault="007C6632">
      <w:pPr>
        <w:pStyle w:val="FootnoteText"/>
      </w:pPr>
    </w:p>
  </w:footnote>
  <w:footnote w:id="25">
    <w:p w:rsidR="00D6185A" w:rsidRPr="00D6185A" w:rsidRDefault="00D6185A">
      <w:pPr>
        <w:pStyle w:val="FootnoteText"/>
      </w:pPr>
      <w:r>
        <w:rPr>
          <w:rStyle w:val="FootnoteReference"/>
        </w:rPr>
        <w:footnoteRef/>
      </w:r>
      <w:r>
        <w:t xml:space="preserve"> </w:t>
      </w:r>
      <w:r w:rsidR="00A93BA4">
        <w:rPr>
          <w:i/>
        </w:rPr>
        <w:t xml:space="preserve">Id. </w:t>
      </w:r>
      <w:r w:rsidR="00A93BA4">
        <w:t xml:space="preserve">at ¶ 18; </w:t>
      </w:r>
      <w:r>
        <w:rPr>
          <w:i/>
        </w:rPr>
        <w:t>WUTC v. Avista Corporation, d/b/a Avista Utilities</w:t>
      </w:r>
      <w:r>
        <w:t>, Docket Nos. UE-090134, UG-090135, and UG-060518, Order 10 at ¶ 239 (December 22,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B7" w:rsidRPr="00BA2CA4" w:rsidRDefault="006406B7" w:rsidP="00991EB6">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410.4pt;margin-top:702pt;width:165.6pt;height:1in;z-index:251657728;mso-position-horizontal-relative:page;mso-position-vertical-relative:page" filled="f" stroked="f">
          <v:textbox style="mso-next-textbox:#_x0000_s2049" inset="0,0,0,0">
            <w:txbxContent>
              <w:p w:rsidR="006406B7" w:rsidRPr="007A6EBB" w:rsidRDefault="006406B7" w:rsidP="00991EB6"/>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7CB"/>
    <w:multiLevelType w:val="multilevel"/>
    <w:tmpl w:val="17022064"/>
    <w:lvl w:ilvl="0">
      <w:start w:val="1"/>
      <w:numFmt w:val="decimal"/>
      <w:lvlText w:val="%1"/>
      <w:lvlJc w:val="left"/>
      <w:pPr>
        <w:tabs>
          <w:tab w:val="num" w:pos="720"/>
        </w:tabs>
        <w:ind w:left="0" w:hanging="720"/>
      </w:pPr>
      <w:rPr>
        <w:rFonts w:hint="default"/>
        <w:b w:val="0"/>
        <w: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34A5260"/>
    <w:multiLevelType w:val="hybridMultilevel"/>
    <w:tmpl w:val="E78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167D"/>
    <w:multiLevelType w:val="hybridMultilevel"/>
    <w:tmpl w:val="CB9817E2"/>
    <w:lvl w:ilvl="0" w:tplc="F78C4A28">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657DC8"/>
    <w:multiLevelType w:val="hybridMultilevel"/>
    <w:tmpl w:val="DD98BEBA"/>
    <w:lvl w:ilvl="0" w:tplc="AF3C3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66C51"/>
    <w:multiLevelType w:val="hybridMultilevel"/>
    <w:tmpl w:val="68CA99F6"/>
    <w:lvl w:ilvl="0" w:tplc="21CACAC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1215D84"/>
    <w:multiLevelType w:val="hybridMultilevel"/>
    <w:tmpl w:val="C43CB834"/>
    <w:lvl w:ilvl="0" w:tplc="0DF869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0C6FF2"/>
    <w:multiLevelType w:val="hybridMultilevel"/>
    <w:tmpl w:val="BBEA822C"/>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nsid w:val="1B280471"/>
    <w:multiLevelType w:val="hybridMultilevel"/>
    <w:tmpl w:val="8E98C09E"/>
    <w:lvl w:ilvl="0" w:tplc="53207810">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31DD341B"/>
    <w:multiLevelType w:val="hybridMultilevel"/>
    <w:tmpl w:val="84901C08"/>
    <w:lvl w:ilvl="0" w:tplc="F7783F5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5BE079F"/>
    <w:multiLevelType w:val="hybridMultilevel"/>
    <w:tmpl w:val="6D10A002"/>
    <w:lvl w:ilvl="0" w:tplc="0409000F">
      <w:start w:val="1"/>
      <w:numFmt w:val="decimal"/>
      <w:lvlText w:val="%1."/>
      <w:lvlJc w:val="left"/>
      <w:pPr>
        <w:tabs>
          <w:tab w:val="num" w:pos="1440"/>
        </w:tabs>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137CA7"/>
    <w:multiLevelType w:val="hybridMultilevel"/>
    <w:tmpl w:val="D512D4BE"/>
    <w:lvl w:ilvl="0" w:tplc="9732BE3E">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49F378F"/>
    <w:multiLevelType w:val="hybridMultilevel"/>
    <w:tmpl w:val="C32E35D8"/>
    <w:lvl w:ilvl="0" w:tplc="A55A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BC27C8"/>
    <w:multiLevelType w:val="hybridMultilevel"/>
    <w:tmpl w:val="D77C6D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A77B75"/>
    <w:multiLevelType w:val="hybridMultilevel"/>
    <w:tmpl w:val="673838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620B2"/>
    <w:multiLevelType w:val="hybridMultilevel"/>
    <w:tmpl w:val="10C8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3A36B2"/>
    <w:multiLevelType w:val="hybridMultilevel"/>
    <w:tmpl w:val="8E084E36"/>
    <w:lvl w:ilvl="0" w:tplc="5AA866C8">
      <w:start w:val="9"/>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9203D2B"/>
    <w:multiLevelType w:val="hybridMultilevel"/>
    <w:tmpl w:val="91480326"/>
    <w:lvl w:ilvl="0" w:tplc="B338DA9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B9A1DA2"/>
    <w:multiLevelType w:val="hybridMultilevel"/>
    <w:tmpl w:val="8C60BF3A"/>
    <w:lvl w:ilvl="0" w:tplc="972E3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6"/>
  </w:num>
  <w:num w:numId="4">
    <w:abstractNumId w:val="9"/>
  </w:num>
  <w:num w:numId="5">
    <w:abstractNumId w:val="5"/>
  </w:num>
  <w:num w:numId="6">
    <w:abstractNumId w:val="10"/>
  </w:num>
  <w:num w:numId="7">
    <w:abstractNumId w:val="0"/>
  </w:num>
  <w:num w:numId="8">
    <w:abstractNumId w:val="12"/>
  </w:num>
  <w:num w:numId="9">
    <w:abstractNumId w:val="8"/>
  </w:num>
  <w:num w:numId="10">
    <w:abstractNumId w:val="18"/>
  </w:num>
  <w:num w:numId="11">
    <w:abstractNumId w:val="7"/>
  </w:num>
  <w:num w:numId="12">
    <w:abstractNumId w:val="3"/>
  </w:num>
  <w:num w:numId="13">
    <w:abstractNumId w:val="14"/>
  </w:num>
  <w:num w:numId="14">
    <w:abstractNumId w:val="13"/>
  </w:num>
  <w:num w:numId="15">
    <w:abstractNumId w:val="4"/>
  </w:num>
  <w:num w:numId="16">
    <w:abstractNumId w:val="11"/>
  </w:num>
  <w:num w:numId="17">
    <w:abstractNumId w:val="17"/>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stylePaneFormatFilter w:val="3F0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A2CA4"/>
    <w:rsid w:val="00001086"/>
    <w:rsid w:val="00003D8F"/>
    <w:rsid w:val="00013FE4"/>
    <w:rsid w:val="00014DA2"/>
    <w:rsid w:val="00017A82"/>
    <w:rsid w:val="00020B8A"/>
    <w:rsid w:val="000220DE"/>
    <w:rsid w:val="0002364B"/>
    <w:rsid w:val="0002715B"/>
    <w:rsid w:val="00032ACB"/>
    <w:rsid w:val="0003704F"/>
    <w:rsid w:val="00044678"/>
    <w:rsid w:val="00050044"/>
    <w:rsid w:val="00053EC5"/>
    <w:rsid w:val="00056CAA"/>
    <w:rsid w:val="00056E1E"/>
    <w:rsid w:val="00070A19"/>
    <w:rsid w:val="0007357A"/>
    <w:rsid w:val="000759A3"/>
    <w:rsid w:val="00080C29"/>
    <w:rsid w:val="00081BEE"/>
    <w:rsid w:val="00083290"/>
    <w:rsid w:val="0008694E"/>
    <w:rsid w:val="00087998"/>
    <w:rsid w:val="000A0B1E"/>
    <w:rsid w:val="000A1742"/>
    <w:rsid w:val="000A2740"/>
    <w:rsid w:val="000A67E6"/>
    <w:rsid w:val="000B39B2"/>
    <w:rsid w:val="000B63BF"/>
    <w:rsid w:val="000C649D"/>
    <w:rsid w:val="000E0DDA"/>
    <w:rsid w:val="000E6B54"/>
    <w:rsid w:val="000E6F61"/>
    <w:rsid w:val="000F040E"/>
    <w:rsid w:val="000F79E7"/>
    <w:rsid w:val="001014EC"/>
    <w:rsid w:val="001046E7"/>
    <w:rsid w:val="001132F9"/>
    <w:rsid w:val="001167F5"/>
    <w:rsid w:val="0012616E"/>
    <w:rsid w:val="001271BF"/>
    <w:rsid w:val="00132081"/>
    <w:rsid w:val="00132B27"/>
    <w:rsid w:val="0013605C"/>
    <w:rsid w:val="0014229B"/>
    <w:rsid w:val="00143E8C"/>
    <w:rsid w:val="00144133"/>
    <w:rsid w:val="0015223E"/>
    <w:rsid w:val="00152C8B"/>
    <w:rsid w:val="00153030"/>
    <w:rsid w:val="001654CE"/>
    <w:rsid w:val="00176D03"/>
    <w:rsid w:val="00182A48"/>
    <w:rsid w:val="00185969"/>
    <w:rsid w:val="0019060C"/>
    <w:rsid w:val="001968AA"/>
    <w:rsid w:val="001978C4"/>
    <w:rsid w:val="001A0ACC"/>
    <w:rsid w:val="001A13E6"/>
    <w:rsid w:val="001A6807"/>
    <w:rsid w:val="001A6FD6"/>
    <w:rsid w:val="001B1BEE"/>
    <w:rsid w:val="001B5067"/>
    <w:rsid w:val="001B7B04"/>
    <w:rsid w:val="001C0E0B"/>
    <w:rsid w:val="001C1600"/>
    <w:rsid w:val="001C20E8"/>
    <w:rsid w:val="001C2C28"/>
    <w:rsid w:val="001C4032"/>
    <w:rsid w:val="001D0219"/>
    <w:rsid w:val="001D0C3D"/>
    <w:rsid w:val="001D7A44"/>
    <w:rsid w:val="001E0DB7"/>
    <w:rsid w:val="001E3C48"/>
    <w:rsid w:val="001E5198"/>
    <w:rsid w:val="001E601E"/>
    <w:rsid w:val="001F6EF1"/>
    <w:rsid w:val="002014C4"/>
    <w:rsid w:val="00202DD8"/>
    <w:rsid w:val="002052D9"/>
    <w:rsid w:val="002058F7"/>
    <w:rsid w:val="00206167"/>
    <w:rsid w:val="002103A8"/>
    <w:rsid w:val="00213F9A"/>
    <w:rsid w:val="00231C1E"/>
    <w:rsid w:val="00232CF0"/>
    <w:rsid w:val="0023599B"/>
    <w:rsid w:val="00236B4C"/>
    <w:rsid w:val="0024323E"/>
    <w:rsid w:val="0026170D"/>
    <w:rsid w:val="0026572F"/>
    <w:rsid w:val="00272ED9"/>
    <w:rsid w:val="00280373"/>
    <w:rsid w:val="00280802"/>
    <w:rsid w:val="00282578"/>
    <w:rsid w:val="00287592"/>
    <w:rsid w:val="00292755"/>
    <w:rsid w:val="00293A25"/>
    <w:rsid w:val="00296901"/>
    <w:rsid w:val="002A3C7A"/>
    <w:rsid w:val="002A5CF5"/>
    <w:rsid w:val="002A66BB"/>
    <w:rsid w:val="002A7A21"/>
    <w:rsid w:val="002B1FA2"/>
    <w:rsid w:val="002C5EBF"/>
    <w:rsid w:val="002C6B2A"/>
    <w:rsid w:val="002C7822"/>
    <w:rsid w:val="002D261C"/>
    <w:rsid w:val="002D27B7"/>
    <w:rsid w:val="002E154B"/>
    <w:rsid w:val="002E3060"/>
    <w:rsid w:val="002E356A"/>
    <w:rsid w:val="002E3D0D"/>
    <w:rsid w:val="002E6637"/>
    <w:rsid w:val="002F1D50"/>
    <w:rsid w:val="002F58B2"/>
    <w:rsid w:val="002F7DFB"/>
    <w:rsid w:val="00303050"/>
    <w:rsid w:val="00307641"/>
    <w:rsid w:val="00312434"/>
    <w:rsid w:val="003167B1"/>
    <w:rsid w:val="0033138F"/>
    <w:rsid w:val="00343971"/>
    <w:rsid w:val="003456E7"/>
    <w:rsid w:val="00357866"/>
    <w:rsid w:val="003622FE"/>
    <w:rsid w:val="00372EE3"/>
    <w:rsid w:val="003735F9"/>
    <w:rsid w:val="00373649"/>
    <w:rsid w:val="00382F67"/>
    <w:rsid w:val="003A3929"/>
    <w:rsid w:val="003A3974"/>
    <w:rsid w:val="003A4ADD"/>
    <w:rsid w:val="003A4B1D"/>
    <w:rsid w:val="003A5713"/>
    <w:rsid w:val="003B2DD3"/>
    <w:rsid w:val="003B41FC"/>
    <w:rsid w:val="003B42D3"/>
    <w:rsid w:val="003B6C00"/>
    <w:rsid w:val="003C53C0"/>
    <w:rsid w:val="003D2DAD"/>
    <w:rsid w:val="003D668B"/>
    <w:rsid w:val="003D6917"/>
    <w:rsid w:val="003D7182"/>
    <w:rsid w:val="003D788D"/>
    <w:rsid w:val="003D7C3E"/>
    <w:rsid w:val="003E151A"/>
    <w:rsid w:val="003E15F3"/>
    <w:rsid w:val="003E2151"/>
    <w:rsid w:val="0040357F"/>
    <w:rsid w:val="00406440"/>
    <w:rsid w:val="00406C0B"/>
    <w:rsid w:val="0041172A"/>
    <w:rsid w:val="0041584B"/>
    <w:rsid w:val="00416AD3"/>
    <w:rsid w:val="004208A0"/>
    <w:rsid w:val="0042210F"/>
    <w:rsid w:val="00423BEB"/>
    <w:rsid w:val="00424CCD"/>
    <w:rsid w:val="00426104"/>
    <w:rsid w:val="00430FC7"/>
    <w:rsid w:val="004351FF"/>
    <w:rsid w:val="004415B2"/>
    <w:rsid w:val="00442B59"/>
    <w:rsid w:val="004462B0"/>
    <w:rsid w:val="00447C32"/>
    <w:rsid w:val="0045077E"/>
    <w:rsid w:val="00450835"/>
    <w:rsid w:val="00452F40"/>
    <w:rsid w:val="00474F6F"/>
    <w:rsid w:val="00480F50"/>
    <w:rsid w:val="00481955"/>
    <w:rsid w:val="00482B49"/>
    <w:rsid w:val="00482DD0"/>
    <w:rsid w:val="00484B4C"/>
    <w:rsid w:val="0048513A"/>
    <w:rsid w:val="00486C6B"/>
    <w:rsid w:val="004A15A9"/>
    <w:rsid w:val="004A1903"/>
    <w:rsid w:val="004A2F97"/>
    <w:rsid w:val="004A4CDA"/>
    <w:rsid w:val="004A5752"/>
    <w:rsid w:val="004A5E15"/>
    <w:rsid w:val="004B4EF8"/>
    <w:rsid w:val="004C30E2"/>
    <w:rsid w:val="004C53A3"/>
    <w:rsid w:val="004D325D"/>
    <w:rsid w:val="004D35B7"/>
    <w:rsid w:val="004D49AD"/>
    <w:rsid w:val="004D7048"/>
    <w:rsid w:val="004D76E8"/>
    <w:rsid w:val="004E544B"/>
    <w:rsid w:val="004E5621"/>
    <w:rsid w:val="004F4320"/>
    <w:rsid w:val="004F544C"/>
    <w:rsid w:val="004F66E6"/>
    <w:rsid w:val="00503EE8"/>
    <w:rsid w:val="005045E6"/>
    <w:rsid w:val="00506AAD"/>
    <w:rsid w:val="00506F5C"/>
    <w:rsid w:val="00515365"/>
    <w:rsid w:val="00527CA1"/>
    <w:rsid w:val="005317FA"/>
    <w:rsid w:val="00541BC2"/>
    <w:rsid w:val="0054205D"/>
    <w:rsid w:val="00544BB7"/>
    <w:rsid w:val="00545EA1"/>
    <w:rsid w:val="00546320"/>
    <w:rsid w:val="00563BC5"/>
    <w:rsid w:val="00565178"/>
    <w:rsid w:val="00574B11"/>
    <w:rsid w:val="00581E8F"/>
    <w:rsid w:val="00582B36"/>
    <w:rsid w:val="0058388D"/>
    <w:rsid w:val="00584062"/>
    <w:rsid w:val="005909B3"/>
    <w:rsid w:val="00593F08"/>
    <w:rsid w:val="00596667"/>
    <w:rsid w:val="005A35F3"/>
    <w:rsid w:val="005A3C31"/>
    <w:rsid w:val="005A4589"/>
    <w:rsid w:val="005A7B56"/>
    <w:rsid w:val="005B0F14"/>
    <w:rsid w:val="005B1443"/>
    <w:rsid w:val="005B55FD"/>
    <w:rsid w:val="005D20BD"/>
    <w:rsid w:val="005D2B32"/>
    <w:rsid w:val="005D4590"/>
    <w:rsid w:val="005D51E0"/>
    <w:rsid w:val="005E35C4"/>
    <w:rsid w:val="005E4B8A"/>
    <w:rsid w:val="00604F42"/>
    <w:rsid w:val="006057DE"/>
    <w:rsid w:val="006102F9"/>
    <w:rsid w:val="00616BB0"/>
    <w:rsid w:val="0061749D"/>
    <w:rsid w:val="006220AC"/>
    <w:rsid w:val="00637F41"/>
    <w:rsid w:val="006406B7"/>
    <w:rsid w:val="0064382D"/>
    <w:rsid w:val="00646147"/>
    <w:rsid w:val="00647866"/>
    <w:rsid w:val="006507D6"/>
    <w:rsid w:val="00652D0C"/>
    <w:rsid w:val="00654EBB"/>
    <w:rsid w:val="00673BF9"/>
    <w:rsid w:val="006823AB"/>
    <w:rsid w:val="00682AC7"/>
    <w:rsid w:val="0068451A"/>
    <w:rsid w:val="006921D6"/>
    <w:rsid w:val="00693D84"/>
    <w:rsid w:val="006946A3"/>
    <w:rsid w:val="00696D93"/>
    <w:rsid w:val="006A50B9"/>
    <w:rsid w:val="006A57F9"/>
    <w:rsid w:val="006A666B"/>
    <w:rsid w:val="006B0D08"/>
    <w:rsid w:val="006C201D"/>
    <w:rsid w:val="006C5188"/>
    <w:rsid w:val="006C5B3F"/>
    <w:rsid w:val="006C7136"/>
    <w:rsid w:val="006D2B8F"/>
    <w:rsid w:val="006D51C6"/>
    <w:rsid w:val="006D62BA"/>
    <w:rsid w:val="006E1D3B"/>
    <w:rsid w:val="006E225F"/>
    <w:rsid w:val="006F746A"/>
    <w:rsid w:val="0070033F"/>
    <w:rsid w:val="0071527F"/>
    <w:rsid w:val="007221CD"/>
    <w:rsid w:val="00723B1C"/>
    <w:rsid w:val="00723DF8"/>
    <w:rsid w:val="00725DD6"/>
    <w:rsid w:val="00732DBF"/>
    <w:rsid w:val="0073355F"/>
    <w:rsid w:val="0074379F"/>
    <w:rsid w:val="0074598C"/>
    <w:rsid w:val="007511FE"/>
    <w:rsid w:val="00751A84"/>
    <w:rsid w:val="0075230A"/>
    <w:rsid w:val="00757AE9"/>
    <w:rsid w:val="00763140"/>
    <w:rsid w:val="00764CD8"/>
    <w:rsid w:val="00771140"/>
    <w:rsid w:val="00772287"/>
    <w:rsid w:val="0077789C"/>
    <w:rsid w:val="007810D2"/>
    <w:rsid w:val="00785AF9"/>
    <w:rsid w:val="0079002B"/>
    <w:rsid w:val="00790296"/>
    <w:rsid w:val="00795BB2"/>
    <w:rsid w:val="00795C96"/>
    <w:rsid w:val="007964C8"/>
    <w:rsid w:val="007A3D2E"/>
    <w:rsid w:val="007A484E"/>
    <w:rsid w:val="007A5DD4"/>
    <w:rsid w:val="007A5E5A"/>
    <w:rsid w:val="007B035D"/>
    <w:rsid w:val="007B1DE3"/>
    <w:rsid w:val="007B35C7"/>
    <w:rsid w:val="007B5A68"/>
    <w:rsid w:val="007C4F35"/>
    <w:rsid w:val="007C6632"/>
    <w:rsid w:val="007C7684"/>
    <w:rsid w:val="007D1A04"/>
    <w:rsid w:val="007E3622"/>
    <w:rsid w:val="007F0C06"/>
    <w:rsid w:val="007F3EAE"/>
    <w:rsid w:val="007F4AB2"/>
    <w:rsid w:val="008016CD"/>
    <w:rsid w:val="00803AA5"/>
    <w:rsid w:val="0082174A"/>
    <w:rsid w:val="00827A26"/>
    <w:rsid w:val="00833AF9"/>
    <w:rsid w:val="00834540"/>
    <w:rsid w:val="00836552"/>
    <w:rsid w:val="00841224"/>
    <w:rsid w:val="00845C9A"/>
    <w:rsid w:val="00853370"/>
    <w:rsid w:val="008612DC"/>
    <w:rsid w:val="00862809"/>
    <w:rsid w:val="00864AFE"/>
    <w:rsid w:val="00867678"/>
    <w:rsid w:val="00872A4D"/>
    <w:rsid w:val="00880082"/>
    <w:rsid w:val="00880B5E"/>
    <w:rsid w:val="0088184C"/>
    <w:rsid w:val="008822DC"/>
    <w:rsid w:val="00891528"/>
    <w:rsid w:val="008A571A"/>
    <w:rsid w:val="008A65EE"/>
    <w:rsid w:val="008A726C"/>
    <w:rsid w:val="008B09A4"/>
    <w:rsid w:val="008B28F5"/>
    <w:rsid w:val="008B798A"/>
    <w:rsid w:val="008C19DC"/>
    <w:rsid w:val="008D0838"/>
    <w:rsid w:val="008D5BA6"/>
    <w:rsid w:val="008E27DD"/>
    <w:rsid w:val="008E3DA7"/>
    <w:rsid w:val="008E68CD"/>
    <w:rsid w:val="008F1234"/>
    <w:rsid w:val="008F3BE8"/>
    <w:rsid w:val="008F7FE3"/>
    <w:rsid w:val="0090015E"/>
    <w:rsid w:val="00903A3F"/>
    <w:rsid w:val="009071B7"/>
    <w:rsid w:val="00913F50"/>
    <w:rsid w:val="00914C80"/>
    <w:rsid w:val="009177B4"/>
    <w:rsid w:val="00926935"/>
    <w:rsid w:val="0094020C"/>
    <w:rsid w:val="00945463"/>
    <w:rsid w:val="00950396"/>
    <w:rsid w:val="0095646D"/>
    <w:rsid w:val="009578AD"/>
    <w:rsid w:val="00961D07"/>
    <w:rsid w:val="00962309"/>
    <w:rsid w:val="009677A6"/>
    <w:rsid w:val="00970365"/>
    <w:rsid w:val="00972D61"/>
    <w:rsid w:val="009749E1"/>
    <w:rsid w:val="0098270B"/>
    <w:rsid w:val="009841AE"/>
    <w:rsid w:val="00991718"/>
    <w:rsid w:val="00991EB6"/>
    <w:rsid w:val="009941AB"/>
    <w:rsid w:val="00994C38"/>
    <w:rsid w:val="00996B99"/>
    <w:rsid w:val="00997C06"/>
    <w:rsid w:val="009A046E"/>
    <w:rsid w:val="009A2A90"/>
    <w:rsid w:val="009A2BC3"/>
    <w:rsid w:val="009A41C1"/>
    <w:rsid w:val="009A61BD"/>
    <w:rsid w:val="009B1C8B"/>
    <w:rsid w:val="009B1DDB"/>
    <w:rsid w:val="009B29D4"/>
    <w:rsid w:val="009B3582"/>
    <w:rsid w:val="009B3607"/>
    <w:rsid w:val="009B49F0"/>
    <w:rsid w:val="009B588E"/>
    <w:rsid w:val="009D0600"/>
    <w:rsid w:val="009D17F8"/>
    <w:rsid w:val="009D282C"/>
    <w:rsid w:val="009D4155"/>
    <w:rsid w:val="009D41DD"/>
    <w:rsid w:val="009D678D"/>
    <w:rsid w:val="009E1DC6"/>
    <w:rsid w:val="009E55AB"/>
    <w:rsid w:val="009E7151"/>
    <w:rsid w:val="009F3DA1"/>
    <w:rsid w:val="009F4571"/>
    <w:rsid w:val="00A02771"/>
    <w:rsid w:val="00A02896"/>
    <w:rsid w:val="00A02C0A"/>
    <w:rsid w:val="00A0477E"/>
    <w:rsid w:val="00A05BA8"/>
    <w:rsid w:val="00A06C96"/>
    <w:rsid w:val="00A2130C"/>
    <w:rsid w:val="00A231A1"/>
    <w:rsid w:val="00A26F1D"/>
    <w:rsid w:val="00A30D91"/>
    <w:rsid w:val="00A46D8D"/>
    <w:rsid w:val="00A47EE0"/>
    <w:rsid w:val="00A503F2"/>
    <w:rsid w:val="00A52012"/>
    <w:rsid w:val="00A52EF8"/>
    <w:rsid w:val="00A57C4E"/>
    <w:rsid w:val="00A6209E"/>
    <w:rsid w:val="00A63005"/>
    <w:rsid w:val="00A74151"/>
    <w:rsid w:val="00A772A6"/>
    <w:rsid w:val="00A90878"/>
    <w:rsid w:val="00A93BA4"/>
    <w:rsid w:val="00A93C4A"/>
    <w:rsid w:val="00A961C6"/>
    <w:rsid w:val="00A964E7"/>
    <w:rsid w:val="00AA11D4"/>
    <w:rsid w:val="00AA5C6D"/>
    <w:rsid w:val="00AB3D59"/>
    <w:rsid w:val="00AB5F73"/>
    <w:rsid w:val="00AB60EE"/>
    <w:rsid w:val="00AC26E4"/>
    <w:rsid w:val="00AC507D"/>
    <w:rsid w:val="00AC6FA0"/>
    <w:rsid w:val="00AD0BE9"/>
    <w:rsid w:val="00AD3B25"/>
    <w:rsid w:val="00AE0F4D"/>
    <w:rsid w:val="00AE199A"/>
    <w:rsid w:val="00AE1C94"/>
    <w:rsid w:val="00AE2580"/>
    <w:rsid w:val="00AE5040"/>
    <w:rsid w:val="00AE5B0E"/>
    <w:rsid w:val="00AF35FD"/>
    <w:rsid w:val="00AF36BC"/>
    <w:rsid w:val="00AF69BB"/>
    <w:rsid w:val="00AF784B"/>
    <w:rsid w:val="00B0067C"/>
    <w:rsid w:val="00B03C03"/>
    <w:rsid w:val="00B0569D"/>
    <w:rsid w:val="00B07CE3"/>
    <w:rsid w:val="00B129AF"/>
    <w:rsid w:val="00B14F9D"/>
    <w:rsid w:val="00B172A9"/>
    <w:rsid w:val="00B23DCD"/>
    <w:rsid w:val="00B268A2"/>
    <w:rsid w:val="00B34728"/>
    <w:rsid w:val="00B40572"/>
    <w:rsid w:val="00B5630F"/>
    <w:rsid w:val="00B619D3"/>
    <w:rsid w:val="00B6338B"/>
    <w:rsid w:val="00B63E68"/>
    <w:rsid w:val="00B71764"/>
    <w:rsid w:val="00B72FF2"/>
    <w:rsid w:val="00B768BB"/>
    <w:rsid w:val="00B77C08"/>
    <w:rsid w:val="00B82C07"/>
    <w:rsid w:val="00B865F5"/>
    <w:rsid w:val="00B91A27"/>
    <w:rsid w:val="00B957B5"/>
    <w:rsid w:val="00B95B44"/>
    <w:rsid w:val="00B95C39"/>
    <w:rsid w:val="00BA0D1F"/>
    <w:rsid w:val="00BB042E"/>
    <w:rsid w:val="00BB0A4E"/>
    <w:rsid w:val="00BB3D9B"/>
    <w:rsid w:val="00BC12CB"/>
    <w:rsid w:val="00BC572D"/>
    <w:rsid w:val="00BD206C"/>
    <w:rsid w:val="00BD3F25"/>
    <w:rsid w:val="00BD4936"/>
    <w:rsid w:val="00BE05A7"/>
    <w:rsid w:val="00BE3AE3"/>
    <w:rsid w:val="00BE4A58"/>
    <w:rsid w:val="00BE684B"/>
    <w:rsid w:val="00BF01DC"/>
    <w:rsid w:val="00C013B5"/>
    <w:rsid w:val="00C033FE"/>
    <w:rsid w:val="00C0360A"/>
    <w:rsid w:val="00C040EB"/>
    <w:rsid w:val="00C215AC"/>
    <w:rsid w:val="00C22AEE"/>
    <w:rsid w:val="00C2681E"/>
    <w:rsid w:val="00C268D1"/>
    <w:rsid w:val="00C26E42"/>
    <w:rsid w:val="00C26F6D"/>
    <w:rsid w:val="00C30805"/>
    <w:rsid w:val="00C32638"/>
    <w:rsid w:val="00C36BCD"/>
    <w:rsid w:val="00C37754"/>
    <w:rsid w:val="00C42137"/>
    <w:rsid w:val="00C443AD"/>
    <w:rsid w:val="00C46CAD"/>
    <w:rsid w:val="00C50B1A"/>
    <w:rsid w:val="00C50E9A"/>
    <w:rsid w:val="00C574F9"/>
    <w:rsid w:val="00C70535"/>
    <w:rsid w:val="00C8610C"/>
    <w:rsid w:val="00C861D7"/>
    <w:rsid w:val="00C91BCB"/>
    <w:rsid w:val="00CB1370"/>
    <w:rsid w:val="00CC2ADC"/>
    <w:rsid w:val="00CC65FF"/>
    <w:rsid w:val="00CD525A"/>
    <w:rsid w:val="00CD5626"/>
    <w:rsid w:val="00CD7946"/>
    <w:rsid w:val="00CE4B39"/>
    <w:rsid w:val="00CE5089"/>
    <w:rsid w:val="00CE7157"/>
    <w:rsid w:val="00CE76C4"/>
    <w:rsid w:val="00CF28D1"/>
    <w:rsid w:val="00CF599E"/>
    <w:rsid w:val="00CF79E1"/>
    <w:rsid w:val="00D028CB"/>
    <w:rsid w:val="00D05BF3"/>
    <w:rsid w:val="00D074D2"/>
    <w:rsid w:val="00D11EF6"/>
    <w:rsid w:val="00D13C85"/>
    <w:rsid w:val="00D208DD"/>
    <w:rsid w:val="00D244F6"/>
    <w:rsid w:val="00D262FE"/>
    <w:rsid w:val="00D30AD5"/>
    <w:rsid w:val="00D33558"/>
    <w:rsid w:val="00D33EB6"/>
    <w:rsid w:val="00D3685C"/>
    <w:rsid w:val="00D43471"/>
    <w:rsid w:val="00D4400A"/>
    <w:rsid w:val="00D44162"/>
    <w:rsid w:val="00D51FE5"/>
    <w:rsid w:val="00D5369C"/>
    <w:rsid w:val="00D57F13"/>
    <w:rsid w:val="00D57FC5"/>
    <w:rsid w:val="00D6185A"/>
    <w:rsid w:val="00D76B64"/>
    <w:rsid w:val="00D76E97"/>
    <w:rsid w:val="00D800AB"/>
    <w:rsid w:val="00D83342"/>
    <w:rsid w:val="00D85E82"/>
    <w:rsid w:val="00DA1DB0"/>
    <w:rsid w:val="00DA2336"/>
    <w:rsid w:val="00DA5DC6"/>
    <w:rsid w:val="00DA6E30"/>
    <w:rsid w:val="00DB1A4B"/>
    <w:rsid w:val="00DB33E3"/>
    <w:rsid w:val="00DC127D"/>
    <w:rsid w:val="00DC235F"/>
    <w:rsid w:val="00DC39BF"/>
    <w:rsid w:val="00DC5882"/>
    <w:rsid w:val="00DC7093"/>
    <w:rsid w:val="00DC714E"/>
    <w:rsid w:val="00DD0188"/>
    <w:rsid w:val="00DD47E1"/>
    <w:rsid w:val="00DE6CB5"/>
    <w:rsid w:val="00DE7B22"/>
    <w:rsid w:val="00DF43F5"/>
    <w:rsid w:val="00DF4E12"/>
    <w:rsid w:val="00DF4F74"/>
    <w:rsid w:val="00DF5DB3"/>
    <w:rsid w:val="00DF5DD4"/>
    <w:rsid w:val="00DF6CD3"/>
    <w:rsid w:val="00E018B0"/>
    <w:rsid w:val="00E02BBA"/>
    <w:rsid w:val="00E03B5F"/>
    <w:rsid w:val="00E07473"/>
    <w:rsid w:val="00E10A53"/>
    <w:rsid w:val="00E1335C"/>
    <w:rsid w:val="00E20467"/>
    <w:rsid w:val="00E24E55"/>
    <w:rsid w:val="00E253E4"/>
    <w:rsid w:val="00E2731D"/>
    <w:rsid w:val="00E30A75"/>
    <w:rsid w:val="00E3360B"/>
    <w:rsid w:val="00E3426E"/>
    <w:rsid w:val="00E35982"/>
    <w:rsid w:val="00E3731B"/>
    <w:rsid w:val="00E42E17"/>
    <w:rsid w:val="00E50DA5"/>
    <w:rsid w:val="00E60696"/>
    <w:rsid w:val="00E67EE4"/>
    <w:rsid w:val="00E77170"/>
    <w:rsid w:val="00E86F6C"/>
    <w:rsid w:val="00E8759B"/>
    <w:rsid w:val="00E92F7C"/>
    <w:rsid w:val="00E94671"/>
    <w:rsid w:val="00EA557C"/>
    <w:rsid w:val="00EB1DF8"/>
    <w:rsid w:val="00EC26AF"/>
    <w:rsid w:val="00EC4E69"/>
    <w:rsid w:val="00ED20C7"/>
    <w:rsid w:val="00ED445F"/>
    <w:rsid w:val="00ED7B10"/>
    <w:rsid w:val="00EE64E9"/>
    <w:rsid w:val="00EF3F8A"/>
    <w:rsid w:val="00EF76CE"/>
    <w:rsid w:val="00F03127"/>
    <w:rsid w:val="00F036DB"/>
    <w:rsid w:val="00F10DE7"/>
    <w:rsid w:val="00F119F8"/>
    <w:rsid w:val="00F1385A"/>
    <w:rsid w:val="00F149CA"/>
    <w:rsid w:val="00F1552A"/>
    <w:rsid w:val="00F235F9"/>
    <w:rsid w:val="00F31251"/>
    <w:rsid w:val="00F338DE"/>
    <w:rsid w:val="00F347C6"/>
    <w:rsid w:val="00F36509"/>
    <w:rsid w:val="00F366B3"/>
    <w:rsid w:val="00F41889"/>
    <w:rsid w:val="00F43B9B"/>
    <w:rsid w:val="00F44C06"/>
    <w:rsid w:val="00F57D52"/>
    <w:rsid w:val="00F71A54"/>
    <w:rsid w:val="00F71B26"/>
    <w:rsid w:val="00F74407"/>
    <w:rsid w:val="00F77469"/>
    <w:rsid w:val="00F8416F"/>
    <w:rsid w:val="00F90A89"/>
    <w:rsid w:val="00F91955"/>
    <w:rsid w:val="00F934EB"/>
    <w:rsid w:val="00F9465C"/>
    <w:rsid w:val="00F96DFB"/>
    <w:rsid w:val="00FA2061"/>
    <w:rsid w:val="00FB0724"/>
    <w:rsid w:val="00FB2ABC"/>
    <w:rsid w:val="00FB5B6E"/>
    <w:rsid w:val="00FB6E61"/>
    <w:rsid w:val="00FC7D49"/>
    <w:rsid w:val="00FD3126"/>
    <w:rsid w:val="00FD5311"/>
    <w:rsid w:val="00FD5EB6"/>
    <w:rsid w:val="00FD6E1E"/>
    <w:rsid w:val="00FD7D52"/>
    <w:rsid w:val="00FE67F5"/>
    <w:rsid w:val="00FF052C"/>
    <w:rsid w:val="00FF0DD1"/>
    <w:rsid w:val="00FF1D69"/>
    <w:rsid w:val="00FF5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A4"/>
    <w:pPr>
      <w:widowControl w:val="0"/>
      <w:spacing w:line="240" w:lineRule="exact"/>
    </w:pPr>
    <w:rPr>
      <w:sz w:val="24"/>
    </w:rPr>
  </w:style>
  <w:style w:type="paragraph" w:styleId="Heading1">
    <w:name w:val="heading 1"/>
    <w:basedOn w:val="Normal"/>
    <w:next w:val="BodyText"/>
    <w:qFormat/>
    <w:rsid w:val="00BA2CA4"/>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BA2CA4"/>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BA2CA4"/>
    <w:pPr>
      <w:keepNext/>
      <w:keepLines/>
      <w:widowControl/>
      <w:spacing w:after="240"/>
      <w:ind w:left="1440" w:hanging="720"/>
      <w:outlineLvl w:val="2"/>
    </w:pPr>
    <w:rPr>
      <w:rFonts w:ascii="Times New Roman Bold" w:hAnsi="Times New Roman Bold" w:cs="Arial"/>
      <w:b/>
      <w:bCs/>
      <w:szCs w:val="26"/>
    </w:rPr>
  </w:style>
  <w:style w:type="character" w:default="1" w:styleId="DefaultParagraphFont">
    <w:name w:val="Default Paragraph Font"/>
    <w:semiHidden/>
    <w:rsid w:val="00BA2CA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A2CA4"/>
  </w:style>
  <w:style w:type="paragraph" w:styleId="BodyText">
    <w:name w:val="Body Text"/>
    <w:basedOn w:val="Normal"/>
    <w:rsid w:val="00BA2CA4"/>
    <w:pPr>
      <w:spacing w:line="480" w:lineRule="exact"/>
      <w:ind w:firstLine="720"/>
    </w:pPr>
  </w:style>
  <w:style w:type="paragraph" w:styleId="TableofAuthorities">
    <w:name w:val="table of authorities"/>
    <w:basedOn w:val="Normal"/>
    <w:next w:val="Normal"/>
    <w:semiHidden/>
    <w:rsid w:val="00BA2CA4"/>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BodyTextContinued">
    <w:name w:val="Body Text Continued"/>
    <w:basedOn w:val="BodyText"/>
    <w:next w:val="BodyText"/>
    <w:rsid w:val="00BA2CA4"/>
    <w:pPr>
      <w:ind w:firstLine="0"/>
    </w:pPr>
  </w:style>
  <w:style w:type="paragraph" w:styleId="Quote">
    <w:name w:val="Quote"/>
    <w:basedOn w:val="Normal"/>
    <w:next w:val="BodyTextContinued"/>
    <w:qFormat/>
    <w:rsid w:val="00BA2CA4"/>
    <w:pPr>
      <w:widowControl/>
      <w:spacing w:before="240"/>
      <w:ind w:left="1440" w:right="1440"/>
    </w:pPr>
  </w:style>
  <w:style w:type="paragraph" w:styleId="Caption">
    <w:name w:val="caption"/>
    <w:basedOn w:val="Normal"/>
    <w:next w:val="Normal"/>
    <w:qFormat/>
    <w:rsid w:val="00BA2CA4"/>
    <w:rPr>
      <w:bCs/>
    </w:rPr>
  </w:style>
  <w:style w:type="paragraph" w:customStyle="1" w:styleId="Court">
    <w:name w:val="Court"/>
    <w:basedOn w:val="Normal"/>
    <w:rsid w:val="00BA2CA4"/>
    <w:pPr>
      <w:spacing w:before="720" w:after="200"/>
      <w:jc w:val="center"/>
    </w:pPr>
    <w:rPr>
      <w:caps/>
    </w:rPr>
  </w:style>
  <w:style w:type="paragraph" w:customStyle="1" w:styleId="DocumentTitle">
    <w:name w:val="Document Title"/>
    <w:basedOn w:val="Normal"/>
    <w:rsid w:val="00BA2CA4"/>
    <w:pPr>
      <w:tabs>
        <w:tab w:val="left" w:pos="1238"/>
      </w:tabs>
      <w:spacing w:after="240"/>
      <w:ind w:left="259" w:right="115"/>
    </w:pPr>
    <w:rPr>
      <w:szCs w:val="24"/>
    </w:rPr>
  </w:style>
  <w:style w:type="paragraph" w:customStyle="1" w:styleId="FirmInformation">
    <w:name w:val="Firm Information"/>
    <w:basedOn w:val="Normal"/>
    <w:rsid w:val="00BA2CA4"/>
    <w:pPr>
      <w:tabs>
        <w:tab w:val="left" w:pos="1296"/>
      </w:tabs>
    </w:pPr>
  </w:style>
  <w:style w:type="paragraph" w:styleId="Footer">
    <w:name w:val="footer"/>
    <w:basedOn w:val="Normal"/>
    <w:link w:val="FooterChar"/>
    <w:uiPriority w:val="99"/>
    <w:rsid w:val="00BA2CA4"/>
    <w:pPr>
      <w:widowControl/>
      <w:tabs>
        <w:tab w:val="center" w:pos="3240"/>
        <w:tab w:val="right" w:pos="4680"/>
      </w:tabs>
      <w:spacing w:line="240" w:lineRule="atLeast"/>
    </w:pPr>
  </w:style>
  <w:style w:type="paragraph" w:styleId="Header">
    <w:name w:val="header"/>
    <w:basedOn w:val="Normal"/>
    <w:rsid w:val="00BA2CA4"/>
    <w:pPr>
      <w:tabs>
        <w:tab w:val="center" w:pos="4320"/>
        <w:tab w:val="right" w:pos="9360"/>
      </w:tabs>
    </w:pPr>
  </w:style>
  <w:style w:type="paragraph" w:customStyle="1" w:styleId="HeaderNumbers">
    <w:name w:val="HeaderNumbers"/>
    <w:basedOn w:val="Normal"/>
    <w:rsid w:val="00BA2CA4"/>
    <w:pPr>
      <w:widowControl/>
      <w:spacing w:before="1840" w:line="240" w:lineRule="atLeast"/>
      <w:ind w:right="288"/>
      <w:jc w:val="right"/>
    </w:pPr>
    <w:rPr>
      <w:sz w:val="20"/>
    </w:rPr>
  </w:style>
  <w:style w:type="character" w:styleId="PageNumber">
    <w:name w:val="page number"/>
    <w:basedOn w:val="DefaultParagraphFont"/>
    <w:rsid w:val="00BA2CA4"/>
    <w:rPr>
      <w:sz w:val="24"/>
    </w:rPr>
  </w:style>
  <w:style w:type="paragraph" w:customStyle="1" w:styleId="PleadingSignature">
    <w:name w:val="Pleading Signature"/>
    <w:basedOn w:val="Normal"/>
    <w:rsid w:val="00BA2CA4"/>
    <w:pPr>
      <w:keepNext/>
      <w:keepLines/>
    </w:pPr>
  </w:style>
  <w:style w:type="paragraph" w:styleId="TOAHeading">
    <w:name w:val="toa heading"/>
    <w:basedOn w:val="Normal"/>
    <w:next w:val="Normal"/>
    <w:semiHidden/>
    <w:rsid w:val="00BA2CA4"/>
    <w:pPr>
      <w:widowControl/>
      <w:spacing w:before="120" w:after="240"/>
    </w:pPr>
    <w:rPr>
      <w:rFonts w:ascii="Arial" w:hAnsi="Arial" w:cs="Arial"/>
      <w:b/>
      <w:bCs/>
      <w:szCs w:val="24"/>
    </w:rPr>
  </w:style>
  <w:style w:type="paragraph" w:styleId="Title">
    <w:name w:val="Title"/>
    <w:basedOn w:val="Normal"/>
    <w:next w:val="BodyText"/>
    <w:qFormat/>
    <w:rsid w:val="00BA2CA4"/>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BA2CA4"/>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BA2CA4"/>
    <w:pPr>
      <w:widowControl/>
      <w:spacing w:before="60" w:after="60"/>
    </w:pPr>
    <w:rPr>
      <w:szCs w:val="24"/>
    </w:rPr>
  </w:style>
  <w:style w:type="paragraph" w:customStyle="1" w:styleId="FirmName">
    <w:name w:val="Firm Name"/>
    <w:basedOn w:val="FirmAddress"/>
    <w:next w:val="FirmAddress"/>
    <w:rsid w:val="00BA2CA4"/>
    <w:rPr>
      <w:b/>
    </w:rPr>
  </w:style>
  <w:style w:type="paragraph" w:customStyle="1" w:styleId="FirmAddress">
    <w:name w:val="Firm Address"/>
    <w:basedOn w:val="Normal"/>
    <w:rsid w:val="00BA2CA4"/>
    <w:pPr>
      <w:widowControl/>
      <w:spacing w:line="240" w:lineRule="auto"/>
      <w:jc w:val="center"/>
    </w:pPr>
    <w:rPr>
      <w:sz w:val="20"/>
    </w:rPr>
  </w:style>
  <w:style w:type="paragraph" w:customStyle="1" w:styleId="FooterDocumentTitle">
    <w:name w:val="Footer Document Title"/>
    <w:basedOn w:val="Normal"/>
    <w:rsid w:val="00BA2CA4"/>
    <w:pPr>
      <w:widowControl/>
      <w:spacing w:line="240" w:lineRule="auto"/>
    </w:pPr>
    <w:rPr>
      <w:cap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semiHidden/>
    <w:rsid w:val="008006C0"/>
    <w:rPr>
      <w:sz w:val="20"/>
    </w:rPr>
  </w:style>
  <w:style w:type="character" w:styleId="FootnoteReference">
    <w:name w:val="footnote reference"/>
    <w:basedOn w:val="DefaultParagraphFont"/>
    <w:semiHidden/>
    <w:rsid w:val="008006C0"/>
    <w:rPr>
      <w:vertAlign w:val="superscript"/>
    </w:rPr>
  </w:style>
  <w:style w:type="paragraph" w:customStyle="1" w:styleId="Default">
    <w:name w:val="Default"/>
    <w:rsid w:val="00920595"/>
    <w:pPr>
      <w:autoSpaceDE w:val="0"/>
      <w:autoSpaceDN w:val="0"/>
      <w:adjustRightInd w:val="0"/>
    </w:pPr>
    <w:rPr>
      <w:color w:val="000000"/>
      <w:sz w:val="24"/>
      <w:szCs w:val="24"/>
    </w:rPr>
  </w:style>
  <w:style w:type="paragraph" w:styleId="NormalWeb">
    <w:name w:val="Normal (Web)"/>
    <w:basedOn w:val="Normal"/>
    <w:rsid w:val="00920595"/>
    <w:pPr>
      <w:widowControl/>
      <w:spacing w:before="100" w:beforeAutospacing="1" w:after="100" w:afterAutospacing="1" w:line="240" w:lineRule="auto"/>
    </w:pPr>
    <w:rPr>
      <w:szCs w:val="24"/>
    </w:rPr>
  </w:style>
  <w:style w:type="character" w:styleId="Hyperlink">
    <w:name w:val="Hyperlink"/>
    <w:basedOn w:val="DefaultParagraphFont"/>
    <w:rsid w:val="00920595"/>
    <w:rPr>
      <w:color w:val="0000FF"/>
      <w:u w:val="single"/>
    </w:rPr>
  </w:style>
  <w:style w:type="paragraph" w:customStyle="1" w:styleId="targetcaption">
    <w:name w:val="targetcaption"/>
    <w:basedOn w:val="Normal"/>
    <w:rsid w:val="00920595"/>
    <w:pPr>
      <w:widowControl/>
      <w:spacing w:before="100" w:beforeAutospacing="1" w:after="100" w:afterAutospacing="1" w:line="240" w:lineRule="auto"/>
    </w:pPr>
    <w:rPr>
      <w:szCs w:val="24"/>
    </w:rPr>
  </w:style>
  <w:style w:type="character" w:styleId="Strong">
    <w:name w:val="Strong"/>
    <w:basedOn w:val="DefaultParagraphFont"/>
    <w:qFormat/>
    <w:rsid w:val="00920595"/>
    <w:rPr>
      <w:b/>
      <w:bCs/>
    </w:rPr>
  </w:style>
  <w:style w:type="paragraph" w:customStyle="1" w:styleId="righthalf">
    <w:name w:val="right half"/>
    <w:basedOn w:val="Normal"/>
    <w:rsid w:val="003772F9"/>
    <w:pPr>
      <w:keepLines/>
      <w:widowControl/>
      <w:tabs>
        <w:tab w:val="left" w:pos="4860"/>
        <w:tab w:val="right" w:pos="9090"/>
      </w:tabs>
      <w:spacing w:before="480" w:line="240" w:lineRule="atLeast"/>
      <w:ind w:left="4320" w:right="187"/>
    </w:pPr>
    <w:rPr>
      <w:lang w:eastAsia="zh-CN"/>
    </w:rPr>
  </w:style>
  <w:style w:type="paragraph" w:customStyle="1" w:styleId="normalblock">
    <w:name w:val="normal block"/>
    <w:basedOn w:val="Normal"/>
    <w:rsid w:val="009E23C3"/>
    <w:pPr>
      <w:widowControl/>
      <w:spacing w:line="480" w:lineRule="atLeast"/>
    </w:pPr>
    <w:rPr>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semiHidden/>
    <w:rsid w:val="009E23C3"/>
    <w:rPr>
      <w:lang w:val="en-US" w:eastAsia="en-US" w:bidi="ar-SA"/>
    </w:rPr>
  </w:style>
  <w:style w:type="character" w:customStyle="1" w:styleId="CharChar18">
    <w:name w:val=" Char Char18"/>
    <w:basedOn w:val="DefaultParagraphFont"/>
    <w:semiHidden/>
    <w:rsid w:val="00DD510C"/>
    <w:rPr>
      <w:lang w:eastAsia="zh-CN"/>
    </w:rPr>
  </w:style>
  <w:style w:type="paragraph" w:styleId="BalloonText">
    <w:name w:val="Balloon Text"/>
    <w:basedOn w:val="Normal"/>
    <w:link w:val="BalloonTextChar"/>
    <w:rsid w:val="00AC244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C244D"/>
    <w:rPr>
      <w:rFonts w:ascii="Tahoma" w:hAnsi="Tahoma" w:cs="Tahoma"/>
      <w:sz w:val="16"/>
      <w:szCs w:val="16"/>
    </w:rPr>
  </w:style>
  <w:style w:type="paragraph" w:customStyle="1" w:styleId="answer">
    <w:name w:val="answer"/>
    <w:basedOn w:val="Normal"/>
    <w:link w:val="answerChar"/>
    <w:pPr>
      <w:widowControl/>
      <w:spacing w:before="120" w:after="120" w:line="480" w:lineRule="auto"/>
      <w:ind w:left="720" w:hanging="720"/>
    </w:pPr>
    <w:rPr>
      <w:rFonts w:eastAsia="SimSun"/>
      <w:szCs w:val="24"/>
      <w:lang w:eastAsia="zh-CN"/>
    </w:rPr>
  </w:style>
  <w:style w:type="character" w:customStyle="1" w:styleId="answerChar">
    <w:name w:val="answer Char"/>
    <w:basedOn w:val="DefaultParagraphFont"/>
    <w:link w:val="answer"/>
    <w:rPr>
      <w:rFonts w:eastAsia="SimSun"/>
      <w:sz w:val="24"/>
      <w:szCs w:val="24"/>
      <w:lang w:val="en-US" w:eastAsia="zh-CN" w:bidi="ar-SA"/>
    </w:rPr>
  </w:style>
  <w:style w:type="character" w:customStyle="1" w:styleId="zzmpTrailerItem">
    <w:name w:val="zzmpTrailerItem"/>
    <w:basedOn w:val="DefaultParagraphFont"/>
    <w:rsid w:val="00B65FD3"/>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ingleSpacing">
    <w:name w:val="Single Spacing"/>
    <w:basedOn w:val="Normal"/>
    <w:rsid w:val="00B65FD3"/>
    <w:pPr>
      <w:widowControl/>
    </w:pPr>
    <w:rPr>
      <w:rFonts w:eastAsia="SimSun"/>
      <w:sz w:val="26"/>
      <w:szCs w:val="26"/>
      <w:lang w:eastAsia="zh-CN"/>
    </w:rPr>
  </w:style>
  <w:style w:type="paragraph" w:styleId="TOC2">
    <w:name w:val="toc 2"/>
    <w:basedOn w:val="Normal"/>
    <w:next w:val="Normal"/>
    <w:autoRedefine/>
    <w:semiHidden/>
    <w:rsid w:val="00B65FD3"/>
    <w:pPr>
      <w:ind w:left="240"/>
    </w:pPr>
  </w:style>
  <w:style w:type="character" w:customStyle="1" w:styleId="CharChar4">
    <w:name w:val=" Char Char4"/>
    <w:basedOn w:val="DefaultParagraphFont"/>
    <w:semiHidden/>
    <w:rsid w:val="007F255A"/>
    <w:rPr>
      <w:sz w:val="20"/>
      <w:szCs w:val="20"/>
    </w:rPr>
  </w:style>
  <w:style w:type="paragraph" w:styleId="ListParagraph">
    <w:name w:val="List Paragraph"/>
    <w:basedOn w:val="Normal"/>
    <w:qFormat/>
    <w:rsid w:val="007F255A"/>
    <w:pPr>
      <w:widowControl/>
      <w:spacing w:after="200" w:line="276" w:lineRule="auto"/>
      <w:ind w:left="720"/>
      <w:contextualSpacing/>
    </w:pPr>
    <w:rPr>
      <w:rFonts w:eastAsia="Calibri"/>
      <w:szCs w:val="24"/>
    </w:rPr>
  </w:style>
  <w:style w:type="character" w:styleId="CommentReference">
    <w:name w:val="annotation reference"/>
    <w:basedOn w:val="DefaultParagraphFont"/>
    <w:rsid w:val="00A2233F"/>
    <w:rPr>
      <w:sz w:val="16"/>
      <w:szCs w:val="16"/>
    </w:rPr>
  </w:style>
  <w:style w:type="paragraph" w:styleId="CommentText">
    <w:name w:val="annotation text"/>
    <w:basedOn w:val="Normal"/>
    <w:link w:val="CommentTextChar"/>
    <w:rsid w:val="00A2233F"/>
    <w:rPr>
      <w:sz w:val="20"/>
    </w:rPr>
  </w:style>
  <w:style w:type="character" w:customStyle="1" w:styleId="CommentTextChar">
    <w:name w:val="Comment Text Char"/>
    <w:basedOn w:val="DefaultParagraphFont"/>
    <w:link w:val="CommentText"/>
    <w:rsid w:val="00A2233F"/>
  </w:style>
  <w:style w:type="paragraph" w:styleId="CommentSubject">
    <w:name w:val="annotation subject"/>
    <w:basedOn w:val="CommentText"/>
    <w:next w:val="CommentText"/>
    <w:link w:val="CommentSubjectChar"/>
    <w:rsid w:val="00A2233F"/>
    <w:rPr>
      <w:b/>
      <w:bCs/>
    </w:rPr>
  </w:style>
  <w:style w:type="character" w:customStyle="1" w:styleId="CommentSubjectChar">
    <w:name w:val="Comment Subject Char"/>
    <w:basedOn w:val="CommentTextChar"/>
    <w:link w:val="CommentSubject"/>
    <w:rsid w:val="00A2233F"/>
    <w:rPr>
      <w:b/>
      <w:bCs/>
    </w:rPr>
  </w:style>
  <w:style w:type="character" w:customStyle="1" w:styleId="FooterChar">
    <w:name w:val="Footer Char"/>
    <w:basedOn w:val="DefaultParagraphFont"/>
    <w:link w:val="Footer"/>
    <w:uiPriority w:val="99"/>
    <w:rsid w:val="009B588E"/>
    <w:rPr>
      <w:sz w:val="24"/>
    </w:rPr>
  </w:style>
</w:styles>
</file>

<file path=word/webSettings.xml><?xml version="1.0" encoding="utf-8"?>
<w:webSettings xmlns:r="http://schemas.openxmlformats.org/officeDocument/2006/relationships" xmlns:w="http://schemas.openxmlformats.org/wordprocessingml/2006/main">
  <w:divs>
    <w:div w:id="276521485">
      <w:bodyDiv w:val="1"/>
      <w:marLeft w:val="0"/>
      <w:marRight w:val="0"/>
      <w:marTop w:val="0"/>
      <w:marBottom w:val="0"/>
      <w:divBdr>
        <w:top w:val="none" w:sz="0" w:space="0" w:color="auto"/>
        <w:left w:val="none" w:sz="0" w:space="0" w:color="auto"/>
        <w:bottom w:val="none" w:sz="0" w:space="0" w:color="auto"/>
        <w:right w:val="none" w:sz="0" w:space="0" w:color="auto"/>
      </w:divBdr>
    </w:div>
    <w:div w:id="493451273">
      <w:bodyDiv w:val="1"/>
      <w:marLeft w:val="0"/>
      <w:marRight w:val="0"/>
      <w:marTop w:val="0"/>
      <w:marBottom w:val="0"/>
      <w:divBdr>
        <w:top w:val="none" w:sz="0" w:space="0" w:color="auto"/>
        <w:left w:val="none" w:sz="0" w:space="0" w:color="auto"/>
        <w:bottom w:val="none" w:sz="0" w:space="0" w:color="auto"/>
        <w:right w:val="none" w:sz="0" w:space="0" w:color="auto"/>
      </w:divBdr>
      <w:divsChild>
        <w:div w:id="1000935953">
          <w:marLeft w:val="0"/>
          <w:marRight w:val="0"/>
          <w:marTop w:val="0"/>
          <w:marBottom w:val="0"/>
          <w:divBdr>
            <w:top w:val="none" w:sz="0" w:space="0" w:color="auto"/>
            <w:left w:val="none" w:sz="0" w:space="0" w:color="auto"/>
            <w:bottom w:val="none" w:sz="0" w:space="0" w:color="auto"/>
            <w:right w:val="none" w:sz="0" w:space="0" w:color="auto"/>
          </w:divBdr>
        </w:div>
      </w:divsChild>
    </w:div>
    <w:div w:id="1895198692">
      <w:bodyDiv w:val="1"/>
      <w:marLeft w:val="0"/>
      <w:marRight w:val="0"/>
      <w:marTop w:val="0"/>
      <w:marBottom w:val="0"/>
      <w:divBdr>
        <w:top w:val="none" w:sz="0" w:space="0" w:color="auto"/>
        <w:left w:val="none" w:sz="0" w:space="0" w:color="auto"/>
        <w:bottom w:val="none" w:sz="0" w:space="0" w:color="auto"/>
        <w:right w:val="none" w:sz="0" w:space="0" w:color="auto"/>
      </w:divBdr>
      <w:divsChild>
        <w:div w:id="276908647">
          <w:marLeft w:val="0"/>
          <w:marRight w:val="0"/>
          <w:marTop w:val="0"/>
          <w:marBottom w:val="0"/>
          <w:divBdr>
            <w:top w:val="none" w:sz="0" w:space="0" w:color="auto"/>
            <w:left w:val="none" w:sz="0" w:space="0" w:color="auto"/>
            <w:bottom w:val="none" w:sz="0" w:space="0" w:color="auto"/>
            <w:right w:val="none" w:sz="0" w:space="0" w:color="auto"/>
          </w:divBdr>
        </w:div>
        <w:div w:id="1054087237">
          <w:marLeft w:val="0"/>
          <w:marRight w:val="0"/>
          <w:marTop w:val="0"/>
          <w:marBottom w:val="0"/>
          <w:divBdr>
            <w:top w:val="none" w:sz="0" w:space="0" w:color="auto"/>
            <w:left w:val="none" w:sz="0" w:space="0" w:color="auto"/>
            <w:bottom w:val="none" w:sz="0" w:space="0" w:color="auto"/>
            <w:right w:val="none" w:sz="0" w:space="0" w:color="auto"/>
          </w:divBdr>
        </w:div>
        <w:div w:id="1317295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le@nwenerg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nwenergy.org"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2010-02-19T08:00:00+00:00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455858-C42C-40B6-A746-AD715532B73A}"/>
</file>

<file path=customXml/itemProps2.xml><?xml version="1.0" encoding="utf-8"?>
<ds:datastoreItem xmlns:ds="http://schemas.openxmlformats.org/officeDocument/2006/customXml" ds:itemID="{6636083F-CF9E-4555-8F8A-D6D32DF3799A}"/>
</file>

<file path=customXml/itemProps3.xml><?xml version="1.0" encoding="utf-8"?>
<ds:datastoreItem xmlns:ds="http://schemas.openxmlformats.org/officeDocument/2006/customXml" ds:itemID="{9FA79A77-4971-472E-A443-120F9841D831}"/>
</file>

<file path=customXml/itemProps4.xml><?xml version="1.0" encoding="utf-8"?>
<ds:datastoreItem xmlns:ds="http://schemas.openxmlformats.org/officeDocument/2006/customXml" ds:itemID="{BFE72678-00EF-4580-8609-CC61FE030FF8}"/>
</file>

<file path=docProps/app.xml><?xml version="1.0" encoding="utf-8"?>
<Properties xmlns="http://schemas.openxmlformats.org/officeDocument/2006/extended-properties" xmlns:vt="http://schemas.openxmlformats.org/officeDocument/2006/docPropsVTypes">
  <Template>Normal.dotm</Template>
  <TotalTime>0</TotalTime>
  <Pages>17</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17965</CharactersWithSpaces>
  <SharedDoc>false</SharedDoc>
  <HLinks>
    <vt:vector size="12" baseType="variant">
      <vt:variant>
        <vt:i4>3866654</vt:i4>
      </vt:variant>
      <vt:variant>
        <vt:i4>3</vt:i4>
      </vt:variant>
      <vt:variant>
        <vt:i4>0</vt:i4>
      </vt:variant>
      <vt:variant>
        <vt:i4>5</vt:i4>
      </vt:variant>
      <vt:variant>
        <vt:lpwstr>mailto:danielle@nwenergy.org</vt:lpwstr>
      </vt:variant>
      <vt:variant>
        <vt:lpwstr/>
      </vt:variant>
      <vt:variant>
        <vt:i4>4259967</vt:i4>
      </vt:variant>
      <vt:variant>
        <vt:i4>0</vt:i4>
      </vt:variant>
      <vt:variant>
        <vt:i4>0</vt:i4>
      </vt:variant>
      <vt:variant>
        <vt:i4>5</vt:i4>
      </vt:variant>
      <vt:variant>
        <vt:lpwstr>mailto:david@nwenergy.org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Joni Higgins, Customer Service Specialist 2</cp:lastModifiedBy>
  <cp:revision>2</cp:revision>
  <dcterms:created xsi:type="dcterms:W3CDTF">2010-02-22T17:09:00Z</dcterms:created>
  <dcterms:modified xsi:type="dcterms:W3CDTF">2010-02-22T17:09:00Z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oFAAoY+b3dyoaiR/X6M2TN1fRhYIkmqhcfiDPeu9dCTwQKn6LE1FAPmnXvsVB5zasEW4BjCUOVtegNkk_x000d_
XGedJwDX9r5yuhDD5pmpBGrEhRCAnneX8Nh6liSKhE4WFmPT6FFX/hMxekj/EvIkXGedJwDX9r5y_x000d_
uhDD5pmpBGrEhRCAnneX8Nh6liSKhGXoUHBdygeeNAY2e355ClUFOVIjNxoZmPFNiOGnHebQgmBR_x000d_
DRx/jGqOodz6VxK5K</vt:lpwstr>
  </property>
  <property fmtid="{D5CDD505-2E9C-101B-9397-08002B2CF9AE}" pid="3" name="MAIL_MSG_ID2">
    <vt:lpwstr>T9CTu7vtfr7aMX1bJpq9i2blaKx6NX+qbxuGzRv5ipUo3zDrdwIk3tu7iPR_x000d_
LYRS7Fx3ckP8JAdeJAk/xaID8xI9nZHpQ2r4Q6Y1cQ1/P4Pw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0x0101006E56B4D1795A2E4DB2F0B01679ED314A007CA42C26506CF14D82D0A72383FC3E88</vt:lpwstr>
  </property>
  <property fmtid="{D5CDD505-2E9C-101B-9397-08002B2CF9AE}" pid="7" name="_docset_NoMedatataSyncRequired">
    <vt:lpwstr>False</vt:lpwstr>
  </property>
</Properties>
</file>