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A9" w:rsidRDefault="00A159CD" w:rsidP="00E66BA9">
      <w:pPr>
        <w:jc w:val="center"/>
        <w:rPr>
          <w:b/>
        </w:rPr>
      </w:pPr>
      <w:r>
        <w:rPr>
          <w:b/>
        </w:rPr>
        <w:t xml:space="preserve">BEFORE THE WASHINGTON </w:t>
      </w:r>
    </w:p>
    <w:p w:rsidR="003E4795" w:rsidRDefault="00A159CD" w:rsidP="00E66BA9">
      <w:pPr>
        <w:jc w:val="center"/>
        <w:rPr>
          <w:b/>
        </w:rPr>
      </w:pPr>
      <w:r>
        <w:rPr>
          <w:b/>
        </w:rPr>
        <w:t xml:space="preserve">UTILITIES </w:t>
      </w:r>
      <w:smartTag w:uri="urn:schemas-microsoft-com:office:smarttags" w:element="stockticker">
        <w:r>
          <w:rPr>
            <w:b/>
          </w:rPr>
          <w:t>AND</w:t>
        </w:r>
      </w:smartTag>
      <w:r>
        <w:rPr>
          <w:b/>
        </w:rPr>
        <w:t xml:space="preserve"> TRANSPORTATION COMMISSION </w:t>
      </w:r>
    </w:p>
    <w:p w:rsidR="003E4795" w:rsidRDefault="003E4795">
      <w:pPr>
        <w:jc w:val="center"/>
        <w:rPr>
          <w:b/>
        </w:rPr>
      </w:pPr>
    </w:p>
    <w:p w:rsidR="003E4795" w:rsidRDefault="003E4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196"/>
      </w:tblGrid>
      <w:tr w:rsidR="003E4795">
        <w:tc>
          <w:tcPr>
            <w:tcW w:w="4788" w:type="dxa"/>
            <w:tcBorders>
              <w:top w:val="nil"/>
              <w:left w:val="nil"/>
            </w:tcBorders>
          </w:tcPr>
          <w:p w:rsidR="009111B7" w:rsidRPr="009111B7" w:rsidRDefault="009111B7" w:rsidP="009111B7">
            <w:pPr>
              <w:widowControl w:val="0"/>
              <w:rPr>
                <w:lang w:eastAsia="zh-CN"/>
              </w:rPr>
            </w:pPr>
            <w:r w:rsidRPr="009111B7">
              <w:rPr>
                <w:lang w:eastAsia="zh-CN"/>
              </w:rPr>
              <w:t>In the Matter of</w:t>
            </w:r>
          </w:p>
          <w:p w:rsidR="009111B7" w:rsidRPr="009111B7" w:rsidRDefault="009111B7" w:rsidP="009111B7">
            <w:pPr>
              <w:widowControl w:val="0"/>
              <w:rPr>
                <w:lang w:eastAsia="zh-CN"/>
              </w:rPr>
            </w:pPr>
          </w:p>
          <w:p w:rsidR="009111B7" w:rsidRPr="009111B7" w:rsidRDefault="009111B7" w:rsidP="009111B7">
            <w:pPr>
              <w:widowControl w:val="0"/>
              <w:rPr>
                <w:lang w:eastAsia="zh-CN"/>
              </w:rPr>
            </w:pPr>
            <w:r w:rsidRPr="009111B7">
              <w:rPr>
                <w:lang w:eastAsia="zh-CN"/>
              </w:rPr>
              <w:t>PACIFIC POWER &amp; LIGHT</w:t>
            </w:r>
          </w:p>
          <w:p w:rsidR="009111B7" w:rsidRPr="009111B7" w:rsidRDefault="009111B7" w:rsidP="009111B7">
            <w:pPr>
              <w:widowControl w:val="0"/>
              <w:rPr>
                <w:lang w:eastAsia="zh-CN"/>
              </w:rPr>
            </w:pPr>
            <w:r w:rsidRPr="009111B7">
              <w:rPr>
                <w:lang w:eastAsia="zh-CN"/>
              </w:rPr>
              <w:t>COMPANY,</w:t>
            </w:r>
          </w:p>
          <w:p w:rsidR="009111B7" w:rsidRPr="009111B7" w:rsidRDefault="009111B7" w:rsidP="009111B7">
            <w:pPr>
              <w:widowControl w:val="0"/>
              <w:rPr>
                <w:lang w:eastAsia="zh-CN"/>
              </w:rPr>
            </w:pPr>
          </w:p>
          <w:p w:rsidR="00371D90" w:rsidRDefault="009111B7">
            <w:r w:rsidRPr="009111B7">
              <w:rPr>
                <w:rFonts w:ascii="Times" w:eastAsia="Times" w:hAnsi="Times"/>
                <w:szCs w:val="20"/>
              </w:rPr>
              <w:t>Petition For a Rate Increase Based on a Modified Commission Basis Report, Two-Year Rate Plan, and Decoupling Mechanism.</w:t>
            </w:r>
          </w:p>
        </w:tc>
        <w:tc>
          <w:tcPr>
            <w:tcW w:w="4428" w:type="dxa"/>
            <w:tcBorders>
              <w:top w:val="nil"/>
              <w:bottom w:val="nil"/>
              <w:right w:val="nil"/>
            </w:tcBorders>
          </w:tcPr>
          <w:p w:rsidR="003E4795" w:rsidRPr="00371D90" w:rsidRDefault="00A159CD">
            <w:r w:rsidRPr="00371D90">
              <w:t>DOCKET NO. UE-1</w:t>
            </w:r>
            <w:r w:rsidR="00371D90">
              <w:t>52253</w:t>
            </w:r>
          </w:p>
          <w:p w:rsidR="003E4795" w:rsidRPr="00371D90" w:rsidRDefault="003E4795"/>
          <w:p w:rsidR="00371D90" w:rsidRPr="00371D90" w:rsidRDefault="00371D90" w:rsidP="00371D90">
            <w:pPr>
              <w:rPr>
                <w:caps/>
              </w:rPr>
            </w:pPr>
            <w:r w:rsidRPr="00371D90">
              <w:rPr>
                <w:caps/>
              </w:rPr>
              <w:t xml:space="preserve">Pacific </w:t>
            </w:r>
            <w:r w:rsidR="00B25E87" w:rsidRPr="0066604B">
              <w:t>POWER &amp; LIGHT COMPANY’S</w:t>
            </w:r>
            <w:r w:rsidR="00982A52">
              <w:rPr>
                <w:caps/>
              </w:rPr>
              <w:t xml:space="preserve"> </w:t>
            </w:r>
            <w:r w:rsidRPr="00371D90">
              <w:rPr>
                <w:caps/>
              </w:rPr>
              <w:t xml:space="preserve">Response </w:t>
            </w:r>
            <w:r w:rsidR="00982A52">
              <w:rPr>
                <w:caps/>
              </w:rPr>
              <w:t xml:space="preserve">TO </w:t>
            </w:r>
            <w:r w:rsidR="00A34CB2">
              <w:rPr>
                <w:caps/>
              </w:rPr>
              <w:t>BOISE’s</w:t>
            </w:r>
            <w:r w:rsidR="00982A52">
              <w:rPr>
                <w:caps/>
              </w:rPr>
              <w:t xml:space="preserve"> </w:t>
            </w:r>
            <w:r w:rsidRPr="00371D90">
              <w:rPr>
                <w:caps/>
              </w:rPr>
              <w:t>Motion to dismiss</w:t>
            </w:r>
            <w:r w:rsidR="00CA489A">
              <w:rPr>
                <w:caps/>
              </w:rPr>
              <w:t>/</w:t>
            </w:r>
            <w:r w:rsidRPr="00371D90">
              <w:rPr>
                <w:caps/>
              </w:rPr>
              <w:t>Motion to Treat as a General Rate Case</w:t>
            </w:r>
          </w:p>
          <w:p w:rsidR="003E4795" w:rsidRPr="00371D90" w:rsidRDefault="003E4795"/>
        </w:tc>
      </w:tr>
    </w:tbl>
    <w:p w:rsidR="003E4795" w:rsidRDefault="003E4795"/>
    <w:p w:rsidR="003E4795" w:rsidRPr="008C3474" w:rsidRDefault="00A159CD" w:rsidP="007D3777">
      <w:pPr>
        <w:pStyle w:val="Heading1"/>
      </w:pPr>
      <w:r w:rsidRPr="008C3474">
        <w:t>INTRODUCTION</w:t>
      </w:r>
    </w:p>
    <w:p w:rsidR="00371D90" w:rsidRDefault="00A159CD" w:rsidP="00371D90">
      <w:pPr>
        <w:pStyle w:val="Washingtonparagraph"/>
        <w:numPr>
          <w:ilvl w:val="0"/>
          <w:numId w:val="2"/>
        </w:numPr>
        <w:tabs>
          <w:tab w:val="num" w:pos="720"/>
        </w:tabs>
        <w:ind w:hanging="720"/>
      </w:pPr>
      <w:r>
        <w:tab/>
      </w:r>
      <w:r w:rsidR="00CA489A">
        <w:t xml:space="preserve">Under </w:t>
      </w:r>
      <w:r w:rsidR="00371D90" w:rsidRPr="006808C2">
        <w:t>WAC 480-07-380(1)(c)</w:t>
      </w:r>
      <w:r w:rsidR="00371D90">
        <w:t>,</w:t>
      </w:r>
      <w:r w:rsidR="00371D90" w:rsidRPr="006808C2">
        <w:t xml:space="preserve"> Pacific Power &amp; Light Company (Pacific Power or Company), a division of PacifiCorp,</w:t>
      </w:r>
      <w:r w:rsidR="00371D90">
        <w:t xml:space="preserve"> provides the following </w:t>
      </w:r>
      <w:r w:rsidR="000573A9">
        <w:t>r</w:t>
      </w:r>
      <w:r w:rsidR="00371D90">
        <w:t xml:space="preserve">esponse </w:t>
      </w:r>
      <w:r w:rsidR="00CA4FC5">
        <w:t>opposing the</w:t>
      </w:r>
      <w:r w:rsidR="00371D90">
        <w:t xml:space="preserve"> Motion to Dismiss of Boise White Paper, L</w:t>
      </w:r>
      <w:r w:rsidR="005A0110">
        <w:t>L</w:t>
      </w:r>
      <w:r w:rsidR="00371D90">
        <w:t>C (</w:t>
      </w:r>
      <w:r w:rsidR="00CA489A">
        <w:t>Boise</w:t>
      </w:r>
      <w:r w:rsidR="00371D90">
        <w:t>)</w:t>
      </w:r>
      <w:r w:rsidR="00982A52">
        <w:t xml:space="preserve"> and</w:t>
      </w:r>
      <w:r w:rsidR="00371D90">
        <w:t xml:space="preserve"> Alternative Motion to Treat As a General Rate </w:t>
      </w:r>
      <w:r w:rsidR="000573A9">
        <w:t xml:space="preserve">Case </w:t>
      </w:r>
      <w:r w:rsidR="00371D90">
        <w:t>Filing</w:t>
      </w:r>
      <w:r w:rsidR="00CA489A">
        <w:t xml:space="preserve">.  </w:t>
      </w:r>
      <w:r w:rsidR="00D37815">
        <w:t>To avoid delay, the Company</w:t>
      </w:r>
      <w:r w:rsidR="00371D90">
        <w:t xml:space="preserve"> requests </w:t>
      </w:r>
      <w:r w:rsidR="00CA489A">
        <w:t>that the</w:t>
      </w:r>
      <w:r w:rsidR="00B63B0E" w:rsidRPr="00B63B0E">
        <w:t xml:space="preserve"> </w:t>
      </w:r>
      <w:r w:rsidR="00B63B0E" w:rsidRPr="00E76DC8">
        <w:t xml:space="preserve">Washington Utilities and Transportation Commission </w:t>
      </w:r>
      <w:r w:rsidR="00B63B0E">
        <w:t>(</w:t>
      </w:r>
      <w:r w:rsidR="00B63B0E" w:rsidRPr="00E76DC8">
        <w:t>Commission</w:t>
      </w:r>
      <w:r w:rsidR="00B63B0E">
        <w:t>)</w:t>
      </w:r>
      <w:r w:rsidR="00B63B0E" w:rsidRPr="00E76DC8">
        <w:t xml:space="preserve"> </w:t>
      </w:r>
      <w:r w:rsidR="00CA489A">
        <w:t xml:space="preserve">hear Boise’s </w:t>
      </w:r>
      <w:r w:rsidR="000573A9">
        <w:t>m</w:t>
      </w:r>
      <w:r w:rsidR="00CA489A">
        <w:t xml:space="preserve">otions at the prehearing conference in this case, now scheduled on December 22, 2015. </w:t>
      </w:r>
      <w:r w:rsidR="00371D90" w:rsidRPr="00371D90">
        <w:t xml:space="preserve"> </w:t>
      </w:r>
    </w:p>
    <w:p w:rsidR="00371D90" w:rsidRDefault="00A159CD" w:rsidP="00186A7C">
      <w:pPr>
        <w:pStyle w:val="Washingtonparagraph"/>
        <w:numPr>
          <w:ilvl w:val="0"/>
          <w:numId w:val="2"/>
        </w:numPr>
        <w:tabs>
          <w:tab w:val="num" w:pos="720"/>
        </w:tabs>
        <w:ind w:hanging="720"/>
      </w:pPr>
      <w:r>
        <w:tab/>
      </w:r>
      <w:r w:rsidR="00522A8D">
        <w:t xml:space="preserve">There is no basis for Boise’s </w:t>
      </w:r>
      <w:r w:rsidR="000573A9">
        <w:t>m</w:t>
      </w:r>
      <w:r w:rsidR="00522A8D">
        <w:t xml:space="preserve">otion to </w:t>
      </w:r>
      <w:r w:rsidR="000573A9">
        <w:t>d</w:t>
      </w:r>
      <w:r w:rsidR="00522A8D">
        <w:t>ismiss</w:t>
      </w:r>
      <w:r w:rsidR="00B63B0E">
        <w:t xml:space="preserve">.  Boise </w:t>
      </w:r>
      <w:r w:rsidR="007B7C44">
        <w:t>argues</w:t>
      </w:r>
      <w:r w:rsidR="00371D90" w:rsidRPr="00E76DC8">
        <w:t xml:space="preserve"> that the Company</w:t>
      </w:r>
      <w:r w:rsidR="007B7C44">
        <w:t xml:space="preserve">’s </w:t>
      </w:r>
      <w:r w:rsidR="007078C8">
        <w:t>petition</w:t>
      </w:r>
      <w:r w:rsidR="007B7C44">
        <w:t xml:space="preserve"> violates </w:t>
      </w:r>
      <w:r w:rsidR="00E147C5">
        <w:t xml:space="preserve">certain orders of the Thurston County </w:t>
      </w:r>
      <w:r w:rsidR="007B7C44">
        <w:t xml:space="preserve">Superior Court and </w:t>
      </w:r>
      <w:r w:rsidR="00E147C5">
        <w:t xml:space="preserve">the </w:t>
      </w:r>
      <w:r w:rsidR="007B7C44">
        <w:t>Commission in Puget Sound Energy, Inc.’s (PSE) recent expedited rate filing (ERF) and multi-year rate plan</w:t>
      </w:r>
      <w:r w:rsidR="00B86F09">
        <w:t xml:space="preserve"> request</w:t>
      </w:r>
      <w:r w:rsidR="007B7C44">
        <w:t>.</w:t>
      </w:r>
      <w:r w:rsidR="00B86F09">
        <w:rPr>
          <w:rStyle w:val="FootnoteReference"/>
        </w:rPr>
        <w:footnoteReference w:id="1"/>
      </w:r>
      <w:r w:rsidR="007B7C44">
        <w:t xml:space="preserve">  </w:t>
      </w:r>
      <w:r w:rsidR="00B63B0E">
        <w:t>Based on the</w:t>
      </w:r>
      <w:r w:rsidR="00E147C5">
        <w:t xml:space="preserve"> PSE O</w:t>
      </w:r>
      <w:r w:rsidR="00B63B0E">
        <w:t>rders, Boise claims that</w:t>
      </w:r>
      <w:r w:rsidR="00B86F09">
        <w:t xml:space="preserve"> Pacific Power’s decision to forgo any change in cost of capital in this case constitutes a failure to provide substantial evidence and an impermissible shifting of the burden of proof</w:t>
      </w:r>
      <w:r w:rsidR="00B63B0E">
        <w:t>.  Bois</w:t>
      </w:r>
      <w:r w:rsidR="007D4DAB">
        <w:t>e mis</w:t>
      </w:r>
      <w:r w:rsidR="00B63B0E">
        <w:t>interpret</w:t>
      </w:r>
      <w:r w:rsidR="007D4DAB">
        <w:t xml:space="preserve">s and </w:t>
      </w:r>
      <w:r w:rsidR="00D959C5">
        <w:t xml:space="preserve">incorrectly </w:t>
      </w:r>
      <w:r w:rsidR="007D4DAB">
        <w:t>expands the scope of the</w:t>
      </w:r>
      <w:r w:rsidR="00B63B0E">
        <w:t xml:space="preserve"> PSE </w:t>
      </w:r>
      <w:r w:rsidR="00982A52">
        <w:t>O</w:t>
      </w:r>
      <w:r w:rsidR="007D4DAB">
        <w:t xml:space="preserve">rders.  Boise </w:t>
      </w:r>
      <w:r w:rsidR="00D959C5">
        <w:t xml:space="preserve">also </w:t>
      </w:r>
      <w:r w:rsidR="007D4DAB">
        <w:t xml:space="preserve">fails to </w:t>
      </w:r>
      <w:r w:rsidR="00F83371">
        <w:lastRenderedPageBreak/>
        <w:t xml:space="preserve">discuss </w:t>
      </w:r>
      <w:r w:rsidR="007D4DAB">
        <w:t xml:space="preserve">the critical fact that Pacific Power </w:t>
      </w:r>
      <w:r w:rsidR="00D959C5">
        <w:t>f</w:t>
      </w:r>
      <w:r w:rsidR="007D4DAB">
        <w:t>iled testimony in this case updating its return on equity</w:t>
      </w:r>
      <w:r w:rsidR="00D959C5">
        <w:t xml:space="preserve">, negating any argument that the </w:t>
      </w:r>
      <w:r w:rsidR="007078C8">
        <w:t>Company’s petition</w:t>
      </w:r>
      <w:r w:rsidR="00E147C5">
        <w:t xml:space="preserve"> is </w:t>
      </w:r>
      <w:r w:rsidR="00882E8B">
        <w:t>deficient</w:t>
      </w:r>
      <w:r w:rsidR="00D959C5">
        <w:t>.</w:t>
      </w:r>
      <w:r w:rsidR="00F83371">
        <w:rPr>
          <w:rStyle w:val="FootnoteReference"/>
        </w:rPr>
        <w:footnoteReference w:id="2"/>
      </w:r>
      <w:r w:rsidR="00D959C5">
        <w:t xml:space="preserve">  </w:t>
      </w:r>
      <w:r w:rsidR="00371D90">
        <w:t xml:space="preserve"> </w:t>
      </w:r>
    </w:p>
    <w:p w:rsidR="00DB53DF" w:rsidRDefault="00A159CD" w:rsidP="00416B2A">
      <w:pPr>
        <w:pStyle w:val="Washingtonparagraph"/>
        <w:numPr>
          <w:ilvl w:val="0"/>
          <w:numId w:val="2"/>
        </w:numPr>
        <w:tabs>
          <w:tab w:val="num" w:pos="720"/>
        </w:tabs>
        <w:ind w:hanging="720"/>
      </w:pPr>
      <w:r>
        <w:tab/>
      </w:r>
      <w:r w:rsidR="00E147C5">
        <w:t xml:space="preserve">While the </w:t>
      </w:r>
      <w:r w:rsidR="000573A9">
        <w:t>m</w:t>
      </w:r>
      <w:r w:rsidR="00E147C5">
        <w:t xml:space="preserve">otion to </w:t>
      </w:r>
      <w:r w:rsidR="000573A9">
        <w:t>d</w:t>
      </w:r>
      <w:r w:rsidR="00E147C5">
        <w:t xml:space="preserve">ismiss </w:t>
      </w:r>
      <w:r w:rsidR="000215B9">
        <w:t xml:space="preserve">entirely </w:t>
      </w:r>
      <w:r w:rsidR="00E147C5">
        <w:t>disregards the Company’s return on equity testimony</w:t>
      </w:r>
      <w:r w:rsidR="00F83371">
        <w:t xml:space="preserve">, </w:t>
      </w:r>
      <w:r w:rsidR="00371D90">
        <w:t xml:space="preserve">Boise’s </w:t>
      </w:r>
      <w:r w:rsidR="000573A9">
        <w:t>a</w:t>
      </w:r>
      <w:r w:rsidR="00371D90">
        <w:t xml:space="preserve">lternative </w:t>
      </w:r>
      <w:r w:rsidR="000573A9">
        <w:t>m</w:t>
      </w:r>
      <w:r w:rsidR="00371D90">
        <w:t xml:space="preserve">otion </w:t>
      </w:r>
      <w:r w:rsidR="005E054D">
        <w:t xml:space="preserve">points to </w:t>
      </w:r>
      <w:r w:rsidR="00E147C5">
        <w:t xml:space="preserve">this testimony as a </w:t>
      </w:r>
      <w:r w:rsidR="00371D90">
        <w:t xml:space="preserve">primary justification to </w:t>
      </w:r>
      <w:r w:rsidR="00A47409">
        <w:t>convert</w:t>
      </w:r>
      <w:r w:rsidR="00371D90">
        <w:t xml:space="preserve"> th</w:t>
      </w:r>
      <w:r w:rsidR="005E054D">
        <w:t>e</w:t>
      </w:r>
      <w:r w:rsidR="00371D90">
        <w:t xml:space="preserve"> </w:t>
      </w:r>
      <w:r w:rsidR="00426198">
        <w:t>petition t</w:t>
      </w:r>
      <w:r w:rsidR="00A47409">
        <w:t xml:space="preserve">o </w:t>
      </w:r>
      <w:r w:rsidR="00371D90">
        <w:t xml:space="preserve">a general rate case.  </w:t>
      </w:r>
      <w:r w:rsidR="00A47409">
        <w:t>C</w:t>
      </w:r>
      <w:r w:rsidR="00F83371">
        <w:t xml:space="preserve">ontradicting its argument </w:t>
      </w:r>
      <w:r w:rsidR="00A47409">
        <w:t xml:space="preserve">that Pacific Power’s return on equity </w:t>
      </w:r>
      <w:r w:rsidR="00F83371">
        <w:t>evidence</w:t>
      </w:r>
      <w:r w:rsidR="00A47409">
        <w:t xml:space="preserve"> is insufficient</w:t>
      </w:r>
      <w:r w:rsidR="00F83371">
        <w:t>, Boise’s</w:t>
      </w:r>
      <w:r w:rsidR="00371D90">
        <w:t xml:space="preserve"> </w:t>
      </w:r>
      <w:r w:rsidR="000573A9">
        <w:t>a</w:t>
      </w:r>
      <w:r w:rsidR="00371D90">
        <w:t xml:space="preserve">lternative </w:t>
      </w:r>
      <w:r w:rsidR="000573A9">
        <w:t>m</w:t>
      </w:r>
      <w:r w:rsidR="00371D90">
        <w:t xml:space="preserve">otion </w:t>
      </w:r>
      <w:r w:rsidR="00F83371">
        <w:t xml:space="preserve">argues </w:t>
      </w:r>
      <w:r w:rsidR="00371D90">
        <w:t xml:space="preserve">that </w:t>
      </w:r>
      <w:r w:rsidR="001D0E01">
        <w:t xml:space="preserve">the Company’s </w:t>
      </w:r>
      <w:r w:rsidR="00DB53DF">
        <w:t>return on equity</w:t>
      </w:r>
      <w:r w:rsidR="00371D90">
        <w:t xml:space="preserve"> evidence </w:t>
      </w:r>
      <w:r w:rsidR="00795E58">
        <w:t>is robust enough to mandate</w:t>
      </w:r>
      <w:r w:rsidR="00A47409">
        <w:t xml:space="preserve"> consideration in</w:t>
      </w:r>
      <w:r w:rsidR="00DB53DF">
        <w:t xml:space="preserve"> a general rate </w:t>
      </w:r>
      <w:r w:rsidR="00A47409">
        <w:t>case</w:t>
      </w:r>
      <w:r w:rsidR="00DB53DF">
        <w:t xml:space="preserve">.  To complete its </w:t>
      </w:r>
      <w:r w:rsidR="000573A9">
        <w:t>“</w:t>
      </w:r>
      <w:r w:rsidR="00DB53DF">
        <w:t>Catch-22</w:t>
      </w:r>
      <w:r w:rsidR="000573A9">
        <w:t>”</w:t>
      </w:r>
      <w:r w:rsidR="00DB53DF">
        <w:t xml:space="preserve"> argument, Boise argues that an</w:t>
      </w:r>
      <w:r w:rsidR="001D0E01">
        <w:t xml:space="preserve"> exemption from </w:t>
      </w:r>
      <w:r w:rsidR="00DB53DF">
        <w:t xml:space="preserve">the Commission’s rules to allow the case to proceed in an expedited manner </w:t>
      </w:r>
      <w:r w:rsidR="00DD02FB">
        <w:t>v</w:t>
      </w:r>
      <w:r w:rsidR="00DB53DF">
        <w:t>iolate</w:t>
      </w:r>
      <w:r w:rsidR="00DD02FB">
        <w:t>s</w:t>
      </w:r>
      <w:r w:rsidR="00DB53DF">
        <w:t xml:space="preserve"> the public interest.   </w:t>
      </w:r>
    </w:p>
    <w:p w:rsidR="00371D90" w:rsidRDefault="00DB53DF">
      <w:pPr>
        <w:pStyle w:val="Washingtonparagraph"/>
        <w:numPr>
          <w:ilvl w:val="0"/>
          <w:numId w:val="2"/>
        </w:numPr>
        <w:tabs>
          <w:tab w:val="num" w:pos="720"/>
        </w:tabs>
        <w:ind w:hanging="720"/>
      </w:pPr>
      <w:r>
        <w:tab/>
      </w:r>
      <w:r w:rsidR="00870807">
        <w:t>Pacific Power</w:t>
      </w:r>
      <w:r w:rsidR="00DD02FB">
        <w:t>’s</w:t>
      </w:r>
      <w:r w:rsidR="00870807">
        <w:t xml:space="preserve"> proposed </w:t>
      </w:r>
      <w:r w:rsidR="005A0110">
        <w:t>ERF</w:t>
      </w:r>
      <w:r w:rsidR="00870807">
        <w:t>, two-year rate plan</w:t>
      </w:r>
      <w:r w:rsidR="000573A9">
        <w:t>,</w:t>
      </w:r>
      <w:r w:rsidR="00A47409">
        <w:t xml:space="preserve"> and</w:t>
      </w:r>
      <w:r w:rsidR="00870807">
        <w:t xml:space="preserve"> </w:t>
      </w:r>
      <w:r w:rsidR="00A47409">
        <w:t xml:space="preserve">decoupling mechanism </w:t>
      </w:r>
      <w:r w:rsidR="00870807">
        <w:t>benefit</w:t>
      </w:r>
      <w:r w:rsidR="001D0E01">
        <w:t>s</w:t>
      </w:r>
      <w:r w:rsidR="00870807">
        <w:t xml:space="preserve"> the public interest by addressing the Commission’s </w:t>
      </w:r>
      <w:r w:rsidR="001D0E01">
        <w:t>“</w:t>
      </w:r>
      <w:r w:rsidR="00870807">
        <w:t>goal to entertain an</w:t>
      </w:r>
      <w:r w:rsidR="001D0E01">
        <w:t>d adopt ratemaking alternatives”</w:t>
      </w:r>
      <w:r w:rsidR="00870807">
        <w:t xml:space="preserve"> to break the cycle of continuous general rate case filings by Washington electric companies.</w:t>
      </w:r>
      <w:r w:rsidR="00870807">
        <w:rPr>
          <w:rStyle w:val="FootnoteReference"/>
        </w:rPr>
        <w:footnoteReference w:id="3"/>
      </w:r>
      <w:r w:rsidR="00870807">
        <w:t xml:space="preserve">  Boise’s </w:t>
      </w:r>
      <w:r w:rsidR="00B917C9">
        <w:t xml:space="preserve">multiple, inconsistent procedural objections to Pacific Power’s </w:t>
      </w:r>
      <w:r w:rsidR="007078C8">
        <w:t>petition</w:t>
      </w:r>
      <w:r w:rsidR="00B917C9">
        <w:t xml:space="preserve"> attempt to thwart the Commission’s efforts to develop new and streamlined regulatory processes.  The public interest, therefore, weighs in favor of the </w:t>
      </w:r>
      <w:r w:rsidR="007078C8">
        <w:t>Company’s petition</w:t>
      </w:r>
      <w:r w:rsidR="00B917C9">
        <w:t xml:space="preserve"> and against Boise’s motions. </w:t>
      </w:r>
      <w:r w:rsidR="00371D90">
        <w:t xml:space="preserve"> </w:t>
      </w:r>
    </w:p>
    <w:p w:rsidR="00371D90" w:rsidRDefault="00706628" w:rsidP="007D3777">
      <w:pPr>
        <w:pStyle w:val="Heading1"/>
        <w:keepNext/>
      </w:pPr>
      <w:r>
        <w:lastRenderedPageBreak/>
        <w:t>RE</w:t>
      </w:r>
      <w:r w:rsidR="000573A9">
        <w:t>S</w:t>
      </w:r>
      <w:r>
        <w:t>PONSE TO MOTION TO DI</w:t>
      </w:r>
      <w:r w:rsidR="00DD02FB">
        <w:t>S</w:t>
      </w:r>
      <w:r>
        <w:t>MISS</w:t>
      </w:r>
    </w:p>
    <w:p w:rsidR="00DD02FB" w:rsidRDefault="00371D90" w:rsidP="007D3777">
      <w:pPr>
        <w:pStyle w:val="Heading2"/>
        <w:keepNext/>
      </w:pPr>
      <w:r w:rsidRPr="002D1211">
        <w:t>Standard of Review for a Motion to Dismiss.</w:t>
      </w:r>
    </w:p>
    <w:p w:rsidR="008C3474" w:rsidRPr="008C3474" w:rsidRDefault="008C3474" w:rsidP="00ED2598">
      <w:pPr>
        <w:pStyle w:val="Heading2"/>
        <w:keepNext/>
        <w:numPr>
          <w:ilvl w:val="0"/>
          <w:numId w:val="0"/>
        </w:numPr>
        <w:ind w:left="1440"/>
      </w:pPr>
    </w:p>
    <w:p w:rsidR="00DD02FB" w:rsidRPr="00DD02FB" w:rsidRDefault="00B723DA" w:rsidP="00DD02FB">
      <w:pPr>
        <w:pStyle w:val="Washingtonparagraph"/>
        <w:numPr>
          <w:ilvl w:val="0"/>
          <w:numId w:val="2"/>
        </w:numPr>
        <w:tabs>
          <w:tab w:val="num" w:pos="720"/>
        </w:tabs>
        <w:ind w:hanging="720"/>
        <w:rPr>
          <w:b/>
        </w:rPr>
      </w:pPr>
      <w:r>
        <w:tab/>
      </w:r>
      <w:r w:rsidR="00371D90">
        <w:t xml:space="preserve">Boise filed </w:t>
      </w:r>
      <w:r w:rsidR="00CA489A">
        <w:t xml:space="preserve">its </w:t>
      </w:r>
      <w:r w:rsidR="00371D90">
        <w:t xml:space="preserve">Motion to Dismiss </w:t>
      </w:r>
      <w:r w:rsidR="00CA489A">
        <w:t>under</w:t>
      </w:r>
      <w:r w:rsidR="00371D90">
        <w:t xml:space="preserve"> WAC § 480-07-380(1)</w:t>
      </w:r>
      <w:r w:rsidR="009314E4">
        <w:t>(a)</w:t>
      </w:r>
      <w:r w:rsidR="00371D90">
        <w:t>, which states that, “[a]</w:t>
      </w:r>
      <w:r w:rsidR="00371D90" w:rsidRPr="00DD02FB">
        <w:rPr>
          <w:color w:val="000000"/>
        </w:rPr>
        <w:t xml:space="preserve"> party may move to </w:t>
      </w:r>
      <w:r w:rsidR="00371D90" w:rsidRPr="00DD02FB">
        <w:t>dismiss</w:t>
      </w:r>
      <w:r w:rsidR="00371D90" w:rsidRPr="00DD02FB">
        <w:rPr>
          <w:color w:val="000000"/>
        </w:rPr>
        <w:t xml:space="preserve"> another party's claim or case on the asserted basis that </w:t>
      </w:r>
      <w:r w:rsidR="00371D90" w:rsidRPr="00DD02FB">
        <w:t>the</w:t>
      </w:r>
      <w:r w:rsidR="00371D90" w:rsidRPr="00DD02FB">
        <w:rPr>
          <w:color w:val="000000"/>
        </w:rPr>
        <w:t xml:space="preserve"> </w:t>
      </w:r>
      <w:r w:rsidR="00371D90" w:rsidRPr="00DD02FB">
        <w:t>opposing</w:t>
      </w:r>
      <w:r w:rsidR="00371D90" w:rsidRPr="00DD02FB">
        <w:rPr>
          <w:color w:val="000000"/>
        </w:rPr>
        <w:t xml:space="preserve"> party</w:t>
      </w:r>
      <w:r w:rsidR="000573A9">
        <w:rPr>
          <w:color w:val="000000"/>
        </w:rPr>
        <w:t>’</w:t>
      </w:r>
      <w:r w:rsidR="00371D90" w:rsidRPr="00DD02FB">
        <w:rPr>
          <w:color w:val="000000"/>
        </w:rPr>
        <w:t xml:space="preserve">s pleading fails to state a claim on which the commission may grant relief.”  </w:t>
      </w:r>
      <w:r w:rsidR="00DB53DF" w:rsidRPr="00DD02FB">
        <w:rPr>
          <w:color w:val="000000"/>
        </w:rPr>
        <w:t>W</w:t>
      </w:r>
      <w:r w:rsidR="00371D90" w:rsidRPr="00DD02FB">
        <w:rPr>
          <w:color w:val="000000"/>
        </w:rPr>
        <w:t xml:space="preserve">hen ruling on a motion to dismiss, </w:t>
      </w:r>
      <w:r w:rsidR="00DB53DF" w:rsidRPr="00DD02FB">
        <w:rPr>
          <w:color w:val="000000"/>
        </w:rPr>
        <w:t>the Commission</w:t>
      </w:r>
      <w:r w:rsidR="00371D90" w:rsidRPr="00DD02FB">
        <w:rPr>
          <w:color w:val="000000"/>
        </w:rPr>
        <w:t xml:space="preserve"> consider</w:t>
      </w:r>
      <w:r w:rsidR="00DB53DF" w:rsidRPr="00DD02FB">
        <w:rPr>
          <w:color w:val="000000"/>
        </w:rPr>
        <w:t>s</w:t>
      </w:r>
      <w:r w:rsidR="00371D90" w:rsidRPr="00DD02FB">
        <w:rPr>
          <w:color w:val="000000"/>
        </w:rPr>
        <w:t xml:space="preserve"> the standards applicable to a motion made under Washington Court Rules (CR) 12(b)(6).</w:t>
      </w:r>
      <w:r w:rsidR="00D413D8">
        <w:rPr>
          <w:rStyle w:val="FootnoteReference"/>
          <w:color w:val="000000"/>
        </w:rPr>
        <w:footnoteReference w:id="4"/>
      </w:r>
      <w:r w:rsidR="00371D90" w:rsidRPr="00DD02FB">
        <w:rPr>
          <w:color w:val="000000"/>
        </w:rPr>
        <w:t xml:space="preserve">  A motion to dismiss </w:t>
      </w:r>
      <w:r w:rsidR="00A47409">
        <w:rPr>
          <w:color w:val="000000"/>
        </w:rPr>
        <w:t xml:space="preserve">is </w:t>
      </w:r>
      <w:r w:rsidR="00371D90" w:rsidRPr="00DD02FB">
        <w:rPr>
          <w:color w:val="000000"/>
        </w:rPr>
        <w:t>granted under CR 12(b)(6)</w:t>
      </w:r>
      <w:r w:rsidR="00880C22" w:rsidRPr="00DD02FB">
        <w:rPr>
          <w:color w:val="000000"/>
        </w:rPr>
        <w:t xml:space="preserve"> </w:t>
      </w:r>
      <w:r w:rsidR="00371D90" w:rsidRPr="007B6A10">
        <w:t xml:space="preserve">only if </w:t>
      </w:r>
      <w:r w:rsidR="00880C22">
        <w:t>“</w:t>
      </w:r>
      <w:r w:rsidR="00371D90" w:rsidRPr="007B6A10">
        <w:t xml:space="preserve">it appears beyond doubt that the plaintiff can prove no set of facts, consistent with the complaint, which would </w:t>
      </w:r>
      <w:r w:rsidR="00371D90">
        <w:t>entitle the plaintiff to relief.</w:t>
      </w:r>
      <w:r w:rsidR="00880C22">
        <w:t>”</w:t>
      </w:r>
      <w:r w:rsidR="00880C22" w:rsidRPr="00880C22">
        <w:rPr>
          <w:rStyle w:val="FootnoteReference"/>
        </w:rPr>
        <w:t xml:space="preserve"> </w:t>
      </w:r>
      <w:r w:rsidR="00880C22">
        <w:rPr>
          <w:rStyle w:val="FootnoteReference"/>
        </w:rPr>
        <w:footnoteReference w:id="5"/>
      </w:r>
      <w:r w:rsidR="00371D90">
        <w:t xml:space="preserve">  </w:t>
      </w:r>
      <w:r w:rsidR="00880C22">
        <w:t>In addition, such</w:t>
      </w:r>
      <w:r w:rsidR="00371D90" w:rsidRPr="007B6A10">
        <w:t xml:space="preserve"> motions should be granted only </w:t>
      </w:r>
      <w:r w:rsidR="00880C22">
        <w:t>“</w:t>
      </w:r>
      <w:r w:rsidR="00371D90" w:rsidRPr="007B6A10">
        <w:t>sparingly and with care.</w:t>
      </w:r>
      <w:r w:rsidR="00880C22">
        <w:t>”</w:t>
      </w:r>
      <w:r w:rsidR="00880C22">
        <w:rPr>
          <w:rStyle w:val="FootnoteReference"/>
        </w:rPr>
        <w:footnoteReference w:id="6"/>
      </w:r>
      <w:r w:rsidR="00880C22" w:rsidRPr="00880C22">
        <w:t xml:space="preserve"> </w:t>
      </w:r>
      <w:r w:rsidR="00880C22">
        <w:t xml:space="preserve"> As outlined below, the Company’s </w:t>
      </w:r>
      <w:r w:rsidR="00426198">
        <w:t>p</w:t>
      </w:r>
      <w:r w:rsidR="00880C22">
        <w:t>etition</w:t>
      </w:r>
      <w:r w:rsidR="00CB6D22">
        <w:t xml:space="preserve"> </w:t>
      </w:r>
      <w:r w:rsidR="00795E58">
        <w:t xml:space="preserve">clearly </w:t>
      </w:r>
      <w:r w:rsidR="00880C22">
        <w:t>state</w:t>
      </w:r>
      <w:r w:rsidR="00426198">
        <w:t>s</w:t>
      </w:r>
      <w:r w:rsidR="00880C22">
        <w:t xml:space="preserve"> a claim upon which the Commission may grant relief.   </w:t>
      </w:r>
    </w:p>
    <w:p w:rsidR="00596B60" w:rsidRDefault="002D4D43" w:rsidP="00E66BA9">
      <w:pPr>
        <w:pStyle w:val="Heading2"/>
        <w:jc w:val="left"/>
      </w:pPr>
      <w:r>
        <w:t xml:space="preserve">In its </w:t>
      </w:r>
      <w:r w:rsidR="00596B60">
        <w:t>Motion to Dismiss</w:t>
      </w:r>
      <w:r>
        <w:t>, Boise Misstates</w:t>
      </w:r>
      <w:r w:rsidR="00CB6D22">
        <w:t xml:space="preserve"> the Law and Misrepresents the Company’s </w:t>
      </w:r>
      <w:r w:rsidR="007078C8">
        <w:t>Petition</w:t>
      </w:r>
      <w:r w:rsidR="00596B60">
        <w:t>.</w:t>
      </w:r>
    </w:p>
    <w:p w:rsidR="008C3474" w:rsidRPr="007D3777" w:rsidRDefault="008C3474" w:rsidP="008C3474">
      <w:pPr>
        <w:pStyle w:val="Heading2"/>
        <w:numPr>
          <w:ilvl w:val="0"/>
          <w:numId w:val="0"/>
        </w:numPr>
        <w:ind w:left="720"/>
      </w:pPr>
    </w:p>
    <w:p w:rsidR="00371D90" w:rsidRPr="00C161DC" w:rsidRDefault="00880C22" w:rsidP="008C3474">
      <w:pPr>
        <w:pStyle w:val="Heading3"/>
      </w:pPr>
      <w:r w:rsidRPr="008C3474">
        <w:t>Boise</w:t>
      </w:r>
      <w:r>
        <w:t xml:space="preserve"> Mis</w:t>
      </w:r>
      <w:r w:rsidR="00AB2922">
        <w:t>s</w:t>
      </w:r>
      <w:r>
        <w:t xml:space="preserve">tates </w:t>
      </w:r>
      <w:r w:rsidR="00E94403">
        <w:t xml:space="preserve">the </w:t>
      </w:r>
      <w:r w:rsidR="002D4D43">
        <w:t xml:space="preserve">Evidentiary </w:t>
      </w:r>
      <w:r w:rsidR="00E94403">
        <w:t>Requirements for a Filing</w:t>
      </w:r>
      <w:r w:rsidR="002D4D43">
        <w:t xml:space="preserve"> to Change Rates</w:t>
      </w:r>
      <w:r>
        <w:t>.</w:t>
      </w:r>
    </w:p>
    <w:p w:rsidR="00371D90" w:rsidRDefault="00A159CD" w:rsidP="00DD02FB">
      <w:pPr>
        <w:shd w:val="clear" w:color="auto" w:fill="FFFFFF"/>
      </w:pPr>
      <w:r>
        <w:tab/>
      </w:r>
    </w:p>
    <w:p w:rsidR="00AB2922" w:rsidRDefault="00A159CD" w:rsidP="00AB2922">
      <w:pPr>
        <w:pStyle w:val="Washingtonparagraph"/>
        <w:numPr>
          <w:ilvl w:val="0"/>
          <w:numId w:val="2"/>
        </w:numPr>
        <w:tabs>
          <w:tab w:val="num" w:pos="720"/>
        </w:tabs>
        <w:ind w:hanging="720"/>
      </w:pPr>
      <w:r>
        <w:tab/>
      </w:r>
      <w:r w:rsidR="00371D90">
        <w:t xml:space="preserve">Boise argues that Pacific Power’s </w:t>
      </w:r>
      <w:r w:rsidR="007078C8">
        <w:t>petition</w:t>
      </w:r>
      <w:r w:rsidR="00371D90">
        <w:t xml:space="preserve"> </w:t>
      </w:r>
      <w:r w:rsidR="00A47409">
        <w:t>should be dismissed because the Compa</w:t>
      </w:r>
      <w:r w:rsidR="00371D90">
        <w:t xml:space="preserve">ny did not request a change </w:t>
      </w:r>
      <w:r w:rsidR="00A47409">
        <w:t xml:space="preserve">or update </w:t>
      </w:r>
      <w:r w:rsidR="00371D90">
        <w:t>to its cost of capital</w:t>
      </w:r>
      <w:r w:rsidR="00A47409">
        <w:t>, in violation</w:t>
      </w:r>
      <w:r w:rsidR="00CB6D22">
        <w:t xml:space="preserve"> </w:t>
      </w:r>
      <w:r w:rsidR="007078C8">
        <w:t xml:space="preserve">of </w:t>
      </w:r>
      <w:r w:rsidR="00CB6D22">
        <w:t>the PSE O</w:t>
      </w:r>
      <w:r w:rsidR="00AB2922">
        <w:t>rders.</w:t>
      </w:r>
      <w:r w:rsidR="00CB6D22">
        <w:rPr>
          <w:rStyle w:val="FootnoteReference"/>
        </w:rPr>
        <w:footnoteReference w:id="7"/>
      </w:r>
      <w:r w:rsidR="00AB2922">
        <w:t xml:space="preserve">  </w:t>
      </w:r>
      <w:r w:rsidR="00371D90">
        <w:t xml:space="preserve">Boise claims that the </w:t>
      </w:r>
      <w:r w:rsidR="007078C8">
        <w:t>Company’s petition</w:t>
      </w:r>
      <w:r w:rsidR="00371D90">
        <w:t xml:space="preserve"> impermissibly shifted the burden of proof to other parties.</w:t>
      </w:r>
      <w:r w:rsidR="00371D90">
        <w:rPr>
          <w:rStyle w:val="FootnoteReference"/>
        </w:rPr>
        <w:footnoteReference w:id="8"/>
      </w:r>
      <w:r w:rsidR="00371D90" w:rsidRPr="00371D90">
        <w:t xml:space="preserve"> </w:t>
      </w:r>
    </w:p>
    <w:p w:rsidR="00E94403" w:rsidRDefault="008C3474" w:rsidP="00AB2922">
      <w:pPr>
        <w:pStyle w:val="Washingtonparagraph"/>
        <w:numPr>
          <w:ilvl w:val="0"/>
          <w:numId w:val="2"/>
        </w:numPr>
        <w:tabs>
          <w:tab w:val="num" w:pos="720"/>
        </w:tabs>
        <w:ind w:hanging="720"/>
      </w:pPr>
      <w:r>
        <w:lastRenderedPageBreak/>
        <w:tab/>
      </w:r>
      <w:r w:rsidR="00A47409">
        <w:t xml:space="preserve">The Commission has never required </w:t>
      </w:r>
      <w:r w:rsidR="00E94403">
        <w:t xml:space="preserve">a utility to request a change or update to its cost of capital in </w:t>
      </w:r>
      <w:r w:rsidR="00795E58">
        <w:t>a</w:t>
      </w:r>
      <w:r w:rsidR="00CA4FC5">
        <w:t xml:space="preserve">ll </w:t>
      </w:r>
      <w:r w:rsidR="005E054D">
        <w:t xml:space="preserve">rate </w:t>
      </w:r>
      <w:r w:rsidR="00E94403">
        <w:t>filing</w:t>
      </w:r>
      <w:r w:rsidR="00CA4FC5">
        <w:t>s</w:t>
      </w:r>
      <w:r w:rsidR="00E94403">
        <w:t>.  For example, in Pacific Power’s 2011 “make whole” rate case filing, the Company did not file testimony on return on equity, proposing instead to maintain the return on equity set in the Company’s 2010 rate case.</w:t>
      </w:r>
      <w:r w:rsidR="00E94403">
        <w:rPr>
          <w:rStyle w:val="FootnoteReference"/>
        </w:rPr>
        <w:footnoteReference w:id="9"/>
      </w:r>
      <w:r w:rsidR="00E94403">
        <w:t xml:space="preserve">  No party claimed that the Company’s </w:t>
      </w:r>
      <w:r w:rsidR="007078C8">
        <w:t xml:space="preserve">“make whole” rate case </w:t>
      </w:r>
      <w:r w:rsidR="00E94403">
        <w:t>was deficient, no party filed testimony on this issue</w:t>
      </w:r>
      <w:r w:rsidR="00F23CDC">
        <w:t>, and t</w:t>
      </w:r>
      <w:r w:rsidR="00E94403">
        <w:t>he Commission appro</w:t>
      </w:r>
      <w:r w:rsidR="00F23CDC">
        <w:t>ved a stipulation incorporating the previously</w:t>
      </w:r>
      <w:r w:rsidR="000573A9">
        <w:t xml:space="preserve"> </w:t>
      </w:r>
      <w:r w:rsidR="00F23CDC">
        <w:t>approved return on equity.</w:t>
      </w:r>
      <w:r w:rsidR="00F23CDC">
        <w:rPr>
          <w:rStyle w:val="FootnoteReference"/>
        </w:rPr>
        <w:footnoteReference w:id="10"/>
      </w:r>
    </w:p>
    <w:p w:rsidR="00870807" w:rsidRDefault="00F23CDC" w:rsidP="00087167">
      <w:pPr>
        <w:pStyle w:val="Washingtonparagraph"/>
        <w:numPr>
          <w:ilvl w:val="0"/>
          <w:numId w:val="2"/>
        </w:numPr>
        <w:tabs>
          <w:tab w:val="num" w:pos="720"/>
        </w:tabs>
        <w:ind w:hanging="720"/>
      </w:pPr>
      <w:r>
        <w:tab/>
        <w:t xml:space="preserve">The PSE Orders did not </w:t>
      </w:r>
      <w:r w:rsidR="002D4D43">
        <w:t xml:space="preserve">change the law </w:t>
      </w:r>
      <w:r>
        <w:t xml:space="preserve">to require litigation of return on equity in every rate filing.  </w:t>
      </w:r>
      <w:r w:rsidR="00D55553">
        <w:t>T</w:t>
      </w:r>
      <w:r>
        <w:t xml:space="preserve">he </w:t>
      </w:r>
      <w:r w:rsidR="00AB2922">
        <w:t xml:space="preserve">Thurston </w:t>
      </w:r>
      <w:r w:rsidR="00D55553">
        <w:t xml:space="preserve">County Superior </w:t>
      </w:r>
      <w:r w:rsidR="00AB2922">
        <w:t xml:space="preserve">Court’s </w:t>
      </w:r>
      <w:r w:rsidR="000573A9">
        <w:t>o</w:t>
      </w:r>
      <w:r>
        <w:t>rder</w:t>
      </w:r>
      <w:r w:rsidR="00AB2922">
        <w:t xml:space="preserve"> was based on the particular facts, circumstances, and evidence present in the PSE proceeding</w:t>
      </w:r>
      <w:r w:rsidR="00D55553">
        <w:t>, addressing the issue of return on equity in the context of a three-year rate plan.</w:t>
      </w:r>
      <w:r w:rsidR="00D55553">
        <w:rPr>
          <w:rStyle w:val="FootnoteReference"/>
        </w:rPr>
        <w:footnoteReference w:id="11"/>
      </w:r>
      <w:r w:rsidR="00AB2922" w:rsidRPr="00371D90">
        <w:t xml:space="preserve"> </w:t>
      </w:r>
      <w:r w:rsidR="00D55553">
        <w:t xml:space="preserve"> T</w:t>
      </w:r>
      <w:r w:rsidR="00BB2821">
        <w:t xml:space="preserve">he </w:t>
      </w:r>
      <w:r w:rsidR="00D55553">
        <w:t xml:space="preserve">Superior </w:t>
      </w:r>
      <w:r w:rsidR="00BB2821">
        <w:t xml:space="preserve">Court </w:t>
      </w:r>
      <w:r w:rsidR="00D55553">
        <w:t xml:space="preserve">specifically </w:t>
      </w:r>
      <w:r w:rsidR="00087167">
        <w:t>limited its order to procedural requirements</w:t>
      </w:r>
      <w:r w:rsidR="002D4D43">
        <w:t xml:space="preserve"> in that case</w:t>
      </w:r>
      <w:r w:rsidR="00087167">
        <w:t xml:space="preserve">, deferring to the </w:t>
      </w:r>
      <w:r w:rsidR="00870807">
        <w:t>Commission</w:t>
      </w:r>
      <w:r w:rsidR="00D55553">
        <w:t xml:space="preserve">’s </w:t>
      </w:r>
      <w:r w:rsidR="00087167">
        <w:t>expertise “</w:t>
      </w:r>
      <w:r w:rsidR="00870807">
        <w:t>in understanding the relevant evidence, determining which evidence and models are credible, and determining what ‘fair, reasonable, and sufficient’ means in the context of an individual rate case.</w:t>
      </w:r>
      <w:r w:rsidR="00087167">
        <w:t>”</w:t>
      </w:r>
      <w:r w:rsidR="00870807">
        <w:rPr>
          <w:rStyle w:val="FootnoteReference"/>
        </w:rPr>
        <w:footnoteReference w:id="12"/>
      </w:r>
      <w:r w:rsidR="00870807">
        <w:t xml:space="preserve">   </w:t>
      </w:r>
    </w:p>
    <w:p w:rsidR="00BD2FF2" w:rsidRPr="00BD2FF2" w:rsidRDefault="008C3474" w:rsidP="00416B2A">
      <w:pPr>
        <w:pStyle w:val="Washingtonparagraph"/>
        <w:numPr>
          <w:ilvl w:val="0"/>
          <w:numId w:val="2"/>
        </w:numPr>
        <w:tabs>
          <w:tab w:val="num" w:pos="720"/>
        </w:tabs>
        <w:ind w:hanging="720"/>
        <w:rPr>
          <w:rFonts w:eastAsia="Times"/>
          <w:szCs w:val="20"/>
        </w:rPr>
      </w:pPr>
      <w:r>
        <w:lastRenderedPageBreak/>
        <w:tab/>
      </w:r>
      <w:r w:rsidR="00BD2FF2" w:rsidRPr="00BD2FF2">
        <w:rPr>
          <w:color w:val="000000"/>
        </w:rPr>
        <w:t>In the Final Order on Remand</w:t>
      </w:r>
      <w:r w:rsidR="00CA4FC5">
        <w:rPr>
          <w:color w:val="000000"/>
        </w:rPr>
        <w:t xml:space="preserve"> in the PSE case</w:t>
      </w:r>
      <w:r w:rsidR="00BD2FF2" w:rsidRPr="00BD2FF2">
        <w:rPr>
          <w:color w:val="000000"/>
        </w:rPr>
        <w:t xml:space="preserve">, </w:t>
      </w:r>
      <w:r w:rsidR="00BD2FF2">
        <w:t>the Commission addressed the Superior Court’s order by considering additional evidence on return on equity.</w:t>
      </w:r>
      <w:r w:rsidR="00BD2FF2">
        <w:rPr>
          <w:rStyle w:val="FootnoteReference"/>
        </w:rPr>
        <w:footnoteReference w:id="13"/>
      </w:r>
      <w:r w:rsidR="00BD2FF2">
        <w:t xml:space="preserve">  At the same time, the Commission limited the Superior Court’s order to the facts of the PSE case by making clear </w:t>
      </w:r>
      <w:r w:rsidR="00BD2FF2" w:rsidRPr="00BD2FF2">
        <w:rPr>
          <w:color w:val="000000"/>
        </w:rPr>
        <w:t>that there was no statutory or other prohibition against the Commission setting rates without considerin</w:t>
      </w:r>
      <w:r w:rsidR="00CA4FC5">
        <w:rPr>
          <w:color w:val="000000"/>
        </w:rPr>
        <w:t xml:space="preserve">g cost of capital, or that a </w:t>
      </w:r>
      <w:r w:rsidR="00BD2FF2" w:rsidRPr="00BD2FF2">
        <w:rPr>
          <w:color w:val="000000"/>
        </w:rPr>
        <w:t>detailed and costly analysis must be undertaken when the issue was recently decided for a given utility.</w:t>
      </w:r>
      <w:r w:rsidR="00BD2FF2">
        <w:rPr>
          <w:rStyle w:val="FootnoteReference"/>
          <w:color w:val="000000"/>
        </w:rPr>
        <w:footnoteReference w:id="14"/>
      </w:r>
      <w:r w:rsidR="00BD2FF2" w:rsidRPr="00BD2FF2">
        <w:rPr>
          <w:color w:val="000000"/>
        </w:rPr>
        <w:t xml:space="preserve">  </w:t>
      </w:r>
      <w:r w:rsidR="00B94D36">
        <w:rPr>
          <w:color w:val="000000"/>
        </w:rPr>
        <w:t>Th</w:t>
      </w:r>
      <w:r w:rsidR="00BD2FF2" w:rsidRPr="00BD2FF2">
        <w:rPr>
          <w:color w:val="000000"/>
        </w:rPr>
        <w:t xml:space="preserve">e </w:t>
      </w:r>
      <w:r w:rsidR="00BD2FF2">
        <w:rPr>
          <w:color w:val="000000"/>
        </w:rPr>
        <w:t xml:space="preserve">Commission specifically </w:t>
      </w:r>
      <w:r w:rsidR="00B94D36">
        <w:rPr>
          <w:color w:val="000000"/>
        </w:rPr>
        <w:t>reaffirmed</w:t>
      </w:r>
      <w:r w:rsidR="00BD2FF2">
        <w:t xml:space="preserve"> that the ERF was designed to update rates established in a general rate case without including cost of capital issues.</w:t>
      </w:r>
      <w:r w:rsidR="00BD2FF2">
        <w:rPr>
          <w:rStyle w:val="FootnoteReference"/>
        </w:rPr>
        <w:footnoteReference w:id="15"/>
      </w:r>
    </w:p>
    <w:p w:rsidR="00BB2821" w:rsidRPr="00DD02FB" w:rsidRDefault="00795E58" w:rsidP="007F306C">
      <w:pPr>
        <w:pStyle w:val="Heading3"/>
      </w:pPr>
      <w:r>
        <w:t xml:space="preserve">The Sufficiency of </w:t>
      </w:r>
      <w:r w:rsidR="00BB2821">
        <w:t xml:space="preserve">Pacific Power’s </w:t>
      </w:r>
      <w:r w:rsidR="007078C8">
        <w:t>Petition</w:t>
      </w:r>
      <w:r w:rsidR="00882E8B">
        <w:t xml:space="preserve"> </w:t>
      </w:r>
      <w:r>
        <w:t>Is Clear Under Any Interpretation of the PSE Orders</w:t>
      </w:r>
      <w:r w:rsidR="00BB2821">
        <w:t>.</w:t>
      </w:r>
    </w:p>
    <w:p w:rsidR="00BB2821" w:rsidRDefault="00BB2821" w:rsidP="00870807">
      <w:pPr>
        <w:shd w:val="clear" w:color="auto" w:fill="FFFFFF"/>
        <w:ind w:left="720" w:right="720"/>
      </w:pPr>
    </w:p>
    <w:p w:rsidR="00371D90" w:rsidRDefault="00BB2821" w:rsidP="00416B2A">
      <w:pPr>
        <w:pStyle w:val="Washingtonparagraph"/>
        <w:numPr>
          <w:ilvl w:val="0"/>
          <w:numId w:val="2"/>
        </w:numPr>
        <w:tabs>
          <w:tab w:val="num" w:pos="720"/>
        </w:tabs>
        <w:ind w:hanging="720"/>
      </w:pPr>
      <w:r>
        <w:tab/>
      </w:r>
      <w:r w:rsidR="00795E58">
        <w:t>Precisely to avoid the sort of dispute raised by Boise</w:t>
      </w:r>
      <w:r w:rsidR="00426198">
        <w:t xml:space="preserve">’s </w:t>
      </w:r>
      <w:r w:rsidR="00E35E31">
        <w:t>m</w:t>
      </w:r>
      <w:r w:rsidR="00426198">
        <w:t>otions</w:t>
      </w:r>
      <w:r w:rsidR="00795E58">
        <w:t>, Pacific Power’s</w:t>
      </w:r>
      <w:r w:rsidR="00371D90">
        <w:t xml:space="preserve"> </w:t>
      </w:r>
      <w:r w:rsidR="00426198">
        <w:t>p</w:t>
      </w:r>
      <w:r w:rsidR="007078C8">
        <w:t>etition</w:t>
      </w:r>
      <w:r w:rsidR="00795E58">
        <w:t xml:space="preserve"> includes the testimony of </w:t>
      </w:r>
      <w:r w:rsidR="000573A9">
        <w:t xml:space="preserve">Mr. </w:t>
      </w:r>
      <w:r w:rsidR="00795E58">
        <w:t>Kurt G. Strunk, updating his cost o</w:t>
      </w:r>
      <w:r w:rsidR="00B56C5E">
        <w:t>f</w:t>
      </w:r>
      <w:r w:rsidR="00795E58">
        <w:t xml:space="preserve"> equity analysis </w:t>
      </w:r>
      <w:r w:rsidR="00B56C5E">
        <w:t xml:space="preserve">from </w:t>
      </w:r>
      <w:r w:rsidR="00795E58">
        <w:t>the Company’s 2014 rate case.</w:t>
      </w:r>
      <w:r w:rsidR="00795E58">
        <w:rPr>
          <w:rStyle w:val="FootnoteReference"/>
        </w:rPr>
        <w:footnoteReference w:id="16"/>
      </w:r>
      <w:r w:rsidR="00795E58">
        <w:t xml:space="preserve"> </w:t>
      </w:r>
      <w:r w:rsidR="00B56C5E">
        <w:t xml:space="preserve"> Mr. Strunk</w:t>
      </w:r>
      <w:r w:rsidR="00371D90">
        <w:t xml:space="preserve"> “performed cost of capital studies using established financial models and review</w:t>
      </w:r>
      <w:r w:rsidR="005F4324">
        <w:t>ed</w:t>
      </w:r>
      <w:r w:rsidR="00371D90">
        <w:t xml:space="preserve"> general trends in capital market conditions.”</w:t>
      </w:r>
      <w:r w:rsidR="00B56C5E">
        <w:rPr>
          <w:rStyle w:val="FootnoteReference"/>
        </w:rPr>
        <w:footnoteReference w:id="17"/>
      </w:r>
      <w:r w:rsidR="00371D90">
        <w:t xml:space="preserve">  </w:t>
      </w:r>
    </w:p>
    <w:p w:rsidR="00B56C5E" w:rsidRDefault="00A159CD" w:rsidP="00416B2A">
      <w:pPr>
        <w:pStyle w:val="Washingtonparagraph"/>
        <w:numPr>
          <w:ilvl w:val="0"/>
          <w:numId w:val="2"/>
        </w:numPr>
        <w:tabs>
          <w:tab w:val="num" w:pos="720"/>
        </w:tabs>
        <w:ind w:hanging="720"/>
      </w:pPr>
      <w:r>
        <w:tab/>
      </w:r>
      <w:r w:rsidR="00B56C5E">
        <w:t xml:space="preserve">To support its claim that the Company failed to update its cost of equity, Boise ignores </w:t>
      </w:r>
      <w:r w:rsidR="00371D90">
        <w:t>Mr. Strunk’s testimony</w:t>
      </w:r>
      <w:r w:rsidR="00B56C5E">
        <w:t xml:space="preserve"> and misleadingly </w:t>
      </w:r>
      <w:r w:rsidR="00371D90">
        <w:t xml:space="preserve">cites to a portion of the </w:t>
      </w:r>
      <w:r w:rsidR="00B56C5E">
        <w:t xml:space="preserve">testimony of </w:t>
      </w:r>
      <w:r w:rsidR="00371D90">
        <w:lastRenderedPageBreak/>
        <w:t>Ms. Shelly E. McCoy</w:t>
      </w:r>
      <w:r w:rsidR="00B56C5E">
        <w:t>,</w:t>
      </w:r>
      <w:r w:rsidR="00371D90">
        <w:t xml:space="preserve"> </w:t>
      </w:r>
      <w:r w:rsidR="00426198">
        <w:t xml:space="preserve">which </w:t>
      </w:r>
      <w:r w:rsidR="00371D90">
        <w:t>list</w:t>
      </w:r>
      <w:r w:rsidR="00426198">
        <w:t>s</w:t>
      </w:r>
      <w:r w:rsidR="00B56C5E">
        <w:t xml:space="preserve"> the </w:t>
      </w:r>
      <w:r w:rsidR="00371D90">
        <w:t xml:space="preserve">elements of </w:t>
      </w:r>
      <w:r w:rsidR="00B56C5E">
        <w:t xml:space="preserve">the </w:t>
      </w:r>
      <w:r w:rsidR="00371D90">
        <w:t xml:space="preserve">enhanced Commission Basis Report </w:t>
      </w:r>
      <w:r w:rsidR="00B56C5E">
        <w:t xml:space="preserve">Staff proposed in </w:t>
      </w:r>
      <w:r w:rsidR="00371D90">
        <w:t>Pacific Power’s 2013 rate case.</w:t>
      </w:r>
      <w:r w:rsidR="00371D90">
        <w:rPr>
          <w:rStyle w:val="FootnoteReference"/>
        </w:rPr>
        <w:footnoteReference w:id="18"/>
      </w:r>
      <w:r w:rsidR="00371D90">
        <w:t xml:space="preserve"> </w:t>
      </w:r>
      <w:r w:rsidR="00DD4B5A">
        <w:t xml:space="preserve"> </w:t>
      </w:r>
      <w:r w:rsidR="00371D90">
        <w:t>Staff’s proposal included “[n]o updates or changes to the authorized rate of return.”</w:t>
      </w:r>
      <w:r w:rsidR="00371D90">
        <w:rPr>
          <w:rStyle w:val="FootnoteReference"/>
        </w:rPr>
        <w:footnoteReference w:id="19"/>
      </w:r>
      <w:r w:rsidR="00371D90">
        <w:t xml:space="preserve">  Ms. McCoy’s testimony</w:t>
      </w:r>
      <w:r w:rsidR="00B56C5E">
        <w:t xml:space="preserve"> cites </w:t>
      </w:r>
      <w:r w:rsidR="00DD4B5A">
        <w:t xml:space="preserve">to </w:t>
      </w:r>
      <w:r w:rsidR="00B56C5E">
        <w:t>S</w:t>
      </w:r>
      <w:r w:rsidR="00371D90">
        <w:t xml:space="preserve">taff’s </w:t>
      </w:r>
      <w:r w:rsidR="00DD4B5A">
        <w:t xml:space="preserve">proposal to show how the Company used it as a model for its </w:t>
      </w:r>
      <w:r w:rsidR="000C3912">
        <w:t>petition</w:t>
      </w:r>
      <w:r w:rsidR="00DD4B5A">
        <w:t xml:space="preserve">.  This testimony does not negate the existence of Mr. Strunk’s testimony updating the Company’s cost of equity, as is made clear </w:t>
      </w:r>
      <w:r w:rsidR="00371D90">
        <w:t xml:space="preserve">in the </w:t>
      </w:r>
      <w:r w:rsidR="00426198">
        <w:t>p</w:t>
      </w:r>
      <w:r w:rsidR="00371D90">
        <w:t>etition</w:t>
      </w:r>
      <w:r w:rsidR="00371D90">
        <w:rPr>
          <w:rStyle w:val="FootnoteReference"/>
        </w:rPr>
        <w:footnoteReference w:id="20"/>
      </w:r>
      <w:r w:rsidR="00371D90">
        <w:t xml:space="preserve"> </w:t>
      </w:r>
      <w:r w:rsidR="00DD4B5A">
        <w:t xml:space="preserve">and the policy testimony of </w:t>
      </w:r>
      <w:r w:rsidR="00371D90">
        <w:t xml:space="preserve">Mr. </w:t>
      </w:r>
      <w:r w:rsidR="00DD4B5A">
        <w:t xml:space="preserve">R. Bryce </w:t>
      </w:r>
      <w:r w:rsidR="00371D90">
        <w:t>Dalley</w:t>
      </w:r>
      <w:r w:rsidR="00DD4B5A">
        <w:t>.</w:t>
      </w:r>
      <w:r w:rsidR="00371D90">
        <w:rPr>
          <w:rStyle w:val="FootnoteReference"/>
        </w:rPr>
        <w:footnoteReference w:id="21"/>
      </w:r>
      <w:r w:rsidR="00371D90">
        <w:t xml:space="preserve"> </w:t>
      </w:r>
      <w:r>
        <w:tab/>
      </w:r>
      <w:r w:rsidR="00B56C5E">
        <w:tab/>
      </w:r>
    </w:p>
    <w:p w:rsidR="00C416E6" w:rsidRDefault="00DD4B5A" w:rsidP="00964A23">
      <w:pPr>
        <w:pStyle w:val="Washingtonparagraph"/>
        <w:numPr>
          <w:ilvl w:val="0"/>
          <w:numId w:val="2"/>
        </w:numPr>
        <w:tabs>
          <w:tab w:val="num" w:pos="720"/>
        </w:tabs>
        <w:ind w:hanging="720"/>
      </w:pPr>
      <w:r>
        <w:tab/>
      </w:r>
      <w:r w:rsidR="00F902D0">
        <w:t xml:space="preserve">Pacific Power’s </w:t>
      </w:r>
      <w:r w:rsidR="000215B9">
        <w:t xml:space="preserve">petition </w:t>
      </w:r>
      <w:r w:rsidR="00F902D0">
        <w:t xml:space="preserve">complies with the PSE Orders and meets the evidentiary standards necessary to prevail against a </w:t>
      </w:r>
      <w:r w:rsidR="000573A9">
        <w:t>m</w:t>
      </w:r>
      <w:r w:rsidR="00F902D0">
        <w:t xml:space="preserve">otion to </w:t>
      </w:r>
      <w:r w:rsidR="000573A9">
        <w:t>d</w:t>
      </w:r>
      <w:r w:rsidR="00F902D0">
        <w:t>ismiss.</w:t>
      </w:r>
      <w:r w:rsidR="00371D90">
        <w:t xml:space="preserve">  </w:t>
      </w:r>
      <w:r>
        <w:t>Boise</w:t>
      </w:r>
      <w:r w:rsidR="00FF196E">
        <w:t xml:space="preserve"> cites </w:t>
      </w:r>
      <w:r w:rsidR="00FF196E" w:rsidRPr="00426198">
        <w:rPr>
          <w:i/>
        </w:rPr>
        <w:t>WUTC v. Waste Control Inc</w:t>
      </w:r>
      <w:r w:rsidR="00FF196E">
        <w:t>. in support of its</w:t>
      </w:r>
      <w:r>
        <w:t xml:space="preserve"> </w:t>
      </w:r>
      <w:r w:rsidR="000573A9">
        <w:t>m</w:t>
      </w:r>
      <w:r>
        <w:t xml:space="preserve">otion to </w:t>
      </w:r>
      <w:r w:rsidR="000573A9">
        <w:t>d</w:t>
      </w:r>
      <w:r>
        <w:t>ismiss.</w:t>
      </w:r>
      <w:r>
        <w:rPr>
          <w:rStyle w:val="FootnoteReference"/>
        </w:rPr>
        <w:footnoteReference w:id="22"/>
      </w:r>
      <w:r>
        <w:t xml:space="preserve">  </w:t>
      </w:r>
      <w:r w:rsidR="00FF196E">
        <w:t xml:space="preserve">This case is </w:t>
      </w:r>
      <w:r w:rsidR="00153FB0">
        <w:t>distinguishable</w:t>
      </w:r>
      <w:r w:rsidR="00FF196E">
        <w:t xml:space="preserve"> because </w:t>
      </w:r>
      <w:r>
        <w:t xml:space="preserve">Waste Control did “not dispute that its prefiled testimony and exhibits fail to support </w:t>
      </w:r>
      <w:r w:rsidR="007078C8">
        <w:t xml:space="preserve">most </w:t>
      </w:r>
      <w:r>
        <w:t>of the adjustments in its general rate case filing” and “only filed testimony and exhibits for the adjustments it expected Staff to contest.”</w:t>
      </w:r>
      <w:r>
        <w:rPr>
          <w:rStyle w:val="FootnoteReference"/>
        </w:rPr>
        <w:footnoteReference w:id="23"/>
      </w:r>
      <w:r>
        <w:t xml:space="preserve">  </w:t>
      </w:r>
      <w:r w:rsidR="00FF196E">
        <w:t xml:space="preserve">In contrast, </w:t>
      </w:r>
      <w:r>
        <w:t>Pacific Power</w:t>
      </w:r>
      <w:r w:rsidR="007B1EA3">
        <w:t>’s</w:t>
      </w:r>
      <w:r>
        <w:t xml:space="preserve"> testimony and exhibits </w:t>
      </w:r>
      <w:r w:rsidR="00FF196E">
        <w:t xml:space="preserve">comprehensively </w:t>
      </w:r>
      <w:r>
        <w:t xml:space="preserve">support </w:t>
      </w:r>
      <w:r w:rsidR="00FF196E">
        <w:t xml:space="preserve">its </w:t>
      </w:r>
      <w:r w:rsidR="000215B9">
        <w:t>petition</w:t>
      </w:r>
      <w:r w:rsidR="00FF196E">
        <w:t>, including the proposal to hold its return on equity constant</w:t>
      </w:r>
      <w:r>
        <w:t xml:space="preserve">.  </w:t>
      </w:r>
      <w:r w:rsidR="00F92A61">
        <w:t xml:space="preserve">In any event, </w:t>
      </w:r>
      <w:r w:rsidR="00FF196E">
        <w:t xml:space="preserve">Boise’s arguments about the sufficiency of the </w:t>
      </w:r>
      <w:r w:rsidR="007078C8">
        <w:t>Company’s petition</w:t>
      </w:r>
      <w:r w:rsidR="00FF196E">
        <w:t xml:space="preserve"> go to the merits of the </w:t>
      </w:r>
      <w:r w:rsidR="007078C8">
        <w:t>Company’s petition</w:t>
      </w:r>
      <w:r w:rsidR="00FF196E">
        <w:t xml:space="preserve"> and are improperly raised in a motion to dismiss. </w:t>
      </w:r>
      <w:r w:rsidR="00FF196E" w:rsidRPr="00F902D0">
        <w:t xml:space="preserve"> </w:t>
      </w:r>
    </w:p>
    <w:p w:rsidR="00C416E6" w:rsidRDefault="00C416E6">
      <w:r>
        <w:br w:type="page"/>
      </w:r>
    </w:p>
    <w:p w:rsidR="00F92A61" w:rsidRDefault="00F92A61" w:rsidP="00F92A61">
      <w:pPr>
        <w:pStyle w:val="Heading1"/>
      </w:pPr>
      <w:r>
        <w:lastRenderedPageBreak/>
        <w:t xml:space="preserve">RESPONSE TO </w:t>
      </w:r>
      <w:r w:rsidRPr="001118CF">
        <w:t>ALTERNATIVE MOTION</w:t>
      </w:r>
    </w:p>
    <w:p w:rsidR="00F92A61" w:rsidRPr="00F92A61" w:rsidRDefault="00F92A61" w:rsidP="00416B2A">
      <w:pPr>
        <w:pStyle w:val="Washingtonparagraph"/>
        <w:numPr>
          <w:ilvl w:val="0"/>
          <w:numId w:val="2"/>
        </w:numPr>
        <w:tabs>
          <w:tab w:val="num" w:pos="720"/>
        </w:tabs>
        <w:ind w:hanging="720"/>
      </w:pPr>
      <w:r>
        <w:tab/>
        <w:t xml:space="preserve">As an alternative to its </w:t>
      </w:r>
      <w:r w:rsidR="000573A9">
        <w:t>m</w:t>
      </w:r>
      <w:r>
        <w:t xml:space="preserve">otion to </w:t>
      </w:r>
      <w:r w:rsidR="000573A9">
        <w:t>d</w:t>
      </w:r>
      <w:r>
        <w:t xml:space="preserve">ismiss, Boise asks the Commission to treat the </w:t>
      </w:r>
      <w:r w:rsidR="007078C8">
        <w:t>Company’s petition</w:t>
      </w:r>
      <w:r>
        <w:t xml:space="preserve"> as a general rate case based on</w:t>
      </w:r>
      <w:r w:rsidRPr="00F92A61">
        <w:rPr>
          <w:rFonts w:eastAsia="Times"/>
          <w:szCs w:val="20"/>
        </w:rPr>
        <w:t xml:space="preserve"> two primary arguments</w:t>
      </w:r>
      <w:r>
        <w:rPr>
          <w:rFonts w:eastAsia="Times"/>
          <w:szCs w:val="20"/>
        </w:rPr>
        <w:t>.</w:t>
      </w:r>
      <w:r w:rsidR="00B75C4E">
        <w:rPr>
          <w:rStyle w:val="FootnoteReference"/>
        </w:rPr>
        <w:footnoteReference w:id="24"/>
      </w:r>
      <w:r w:rsidR="00B75C4E">
        <w:t xml:space="preserve">  </w:t>
      </w:r>
      <w:r w:rsidRPr="00F92A61">
        <w:rPr>
          <w:rFonts w:eastAsia="Times"/>
          <w:szCs w:val="20"/>
        </w:rPr>
        <w:t xml:space="preserve">First, </w:t>
      </w:r>
      <w:r w:rsidRPr="00F92A61">
        <w:rPr>
          <w:color w:val="000000"/>
          <w:shd w:val="clear" w:color="auto" w:fill="FFFFFF"/>
        </w:rPr>
        <w:t xml:space="preserve">Boise argues that Mr. Strunk’s return on equity testimony </w:t>
      </w:r>
      <w:r>
        <w:rPr>
          <w:color w:val="000000"/>
          <w:shd w:val="clear" w:color="auto" w:fill="FFFFFF"/>
        </w:rPr>
        <w:t>and the proposed</w:t>
      </w:r>
      <w:r w:rsidRPr="00F92A61">
        <w:rPr>
          <w:color w:val="000000"/>
          <w:shd w:val="clear" w:color="auto" w:fill="FFFFFF"/>
        </w:rPr>
        <w:t xml:space="preserve"> rate increases near </w:t>
      </w:r>
      <w:r w:rsidR="000573A9">
        <w:rPr>
          <w:color w:val="000000"/>
          <w:shd w:val="clear" w:color="auto" w:fill="FFFFFF"/>
        </w:rPr>
        <w:t>three</w:t>
      </w:r>
      <w:r w:rsidRPr="00F92A61">
        <w:rPr>
          <w:color w:val="000000"/>
          <w:shd w:val="clear" w:color="auto" w:fill="FFFFFF"/>
        </w:rPr>
        <w:t xml:space="preserve"> percent</w:t>
      </w:r>
      <w:r>
        <w:rPr>
          <w:color w:val="000000"/>
          <w:shd w:val="clear" w:color="auto" w:fill="FFFFFF"/>
        </w:rPr>
        <w:t xml:space="preserve"> are</w:t>
      </w:r>
      <w:r w:rsidRPr="00F92A61">
        <w:rPr>
          <w:color w:val="000000"/>
          <w:shd w:val="clear" w:color="auto" w:fill="FFFFFF"/>
        </w:rPr>
        <w:t xml:space="preserve"> “well suited to a general rate proceeding.”</w:t>
      </w:r>
      <w:r>
        <w:rPr>
          <w:rStyle w:val="FootnoteReference"/>
          <w:color w:val="000000"/>
          <w:shd w:val="clear" w:color="auto" w:fill="FFFFFF"/>
        </w:rPr>
        <w:footnoteReference w:id="25"/>
      </w:r>
      <w:r w:rsidRPr="00F92A61">
        <w:rPr>
          <w:color w:val="000000"/>
          <w:shd w:val="clear" w:color="auto" w:fill="FFFFFF"/>
        </w:rPr>
        <w:t xml:space="preserve">  </w:t>
      </w:r>
      <w:r w:rsidR="006E6B8B">
        <w:rPr>
          <w:color w:val="000000"/>
          <w:shd w:val="clear" w:color="auto" w:fill="FFFFFF"/>
        </w:rPr>
        <w:t xml:space="preserve">Boise </w:t>
      </w:r>
      <w:r w:rsidRPr="00F92A61">
        <w:rPr>
          <w:color w:val="000000"/>
          <w:shd w:val="clear" w:color="auto" w:fill="FFFFFF"/>
        </w:rPr>
        <w:t xml:space="preserve">disregards the fact that Pacific Power’s </w:t>
      </w:r>
      <w:r w:rsidR="007078C8">
        <w:rPr>
          <w:color w:val="000000"/>
          <w:shd w:val="clear" w:color="auto" w:fill="FFFFFF"/>
        </w:rPr>
        <w:t>petition</w:t>
      </w:r>
      <w:r w:rsidRPr="00F92A61">
        <w:rPr>
          <w:color w:val="000000"/>
          <w:shd w:val="clear" w:color="auto" w:fill="FFFFFF"/>
        </w:rPr>
        <w:t xml:space="preserve"> is not a general rate case</w:t>
      </w:r>
      <w:r w:rsidR="006E6B8B">
        <w:rPr>
          <w:color w:val="000000"/>
          <w:shd w:val="clear" w:color="auto" w:fill="FFFFFF"/>
        </w:rPr>
        <w:t xml:space="preserve"> as defined </w:t>
      </w:r>
      <w:r w:rsidRPr="00F92A61">
        <w:rPr>
          <w:color w:val="000000"/>
          <w:shd w:val="clear" w:color="auto" w:fill="FFFFFF"/>
        </w:rPr>
        <w:t xml:space="preserve">under WAC 480-07-505(1).  </w:t>
      </w:r>
    </w:p>
    <w:p w:rsidR="00DD0FBC" w:rsidRPr="00F92A61" w:rsidRDefault="00F92A61" w:rsidP="002E07C3">
      <w:pPr>
        <w:pStyle w:val="Washingtonparagraph"/>
        <w:numPr>
          <w:ilvl w:val="0"/>
          <w:numId w:val="2"/>
        </w:numPr>
        <w:tabs>
          <w:tab w:val="num" w:pos="720"/>
        </w:tabs>
        <w:ind w:hanging="720"/>
      </w:pPr>
      <w:r w:rsidRPr="00C355F6">
        <w:rPr>
          <w:color w:val="000000"/>
          <w:shd w:val="clear" w:color="auto" w:fill="FFFFFF"/>
        </w:rPr>
        <w:tab/>
        <w:t xml:space="preserve">Second, Boise acknowledges that </w:t>
      </w:r>
      <w:r w:rsidR="00D725E7" w:rsidRPr="00C355F6">
        <w:rPr>
          <w:color w:val="000000"/>
          <w:shd w:val="clear" w:color="auto" w:fill="FFFFFF"/>
        </w:rPr>
        <w:t xml:space="preserve">the </w:t>
      </w:r>
      <w:r w:rsidRPr="00C355F6">
        <w:rPr>
          <w:color w:val="000000"/>
          <w:shd w:val="clear" w:color="auto" w:fill="FFFFFF"/>
        </w:rPr>
        <w:t xml:space="preserve">Commission may </w:t>
      </w:r>
      <w:r w:rsidR="006E6B8B" w:rsidRPr="00C355F6">
        <w:rPr>
          <w:color w:val="000000"/>
          <w:shd w:val="clear" w:color="auto" w:fill="FFFFFF"/>
        </w:rPr>
        <w:t>provide an exemption to its rules for general rate case filings</w:t>
      </w:r>
      <w:r w:rsidRPr="00C355F6">
        <w:rPr>
          <w:color w:val="000000"/>
          <w:shd w:val="clear" w:color="auto" w:fill="FFFFFF"/>
        </w:rPr>
        <w:t xml:space="preserve">, but argues the Commission should not do so here because the </w:t>
      </w:r>
      <w:r w:rsidR="007078C8" w:rsidRPr="00C355F6">
        <w:rPr>
          <w:color w:val="000000"/>
          <w:shd w:val="clear" w:color="auto" w:fill="FFFFFF"/>
        </w:rPr>
        <w:t>Company’s petition</w:t>
      </w:r>
      <w:r w:rsidRPr="00C355F6">
        <w:rPr>
          <w:color w:val="000000"/>
          <w:shd w:val="clear" w:color="auto" w:fill="FFFFFF"/>
        </w:rPr>
        <w:t xml:space="preserve"> is not in the public interest.</w:t>
      </w:r>
      <w:r>
        <w:rPr>
          <w:rStyle w:val="FootnoteReference"/>
          <w:color w:val="000000"/>
          <w:shd w:val="clear" w:color="auto" w:fill="FFFFFF"/>
        </w:rPr>
        <w:footnoteReference w:id="26"/>
      </w:r>
      <w:r w:rsidRPr="00C355F6">
        <w:rPr>
          <w:color w:val="000000"/>
          <w:shd w:val="clear" w:color="auto" w:fill="FFFFFF"/>
        </w:rPr>
        <w:t xml:space="preserve">  </w:t>
      </w:r>
      <w:r w:rsidR="006E6B8B" w:rsidRPr="00C355F6">
        <w:rPr>
          <w:color w:val="000000"/>
          <w:shd w:val="clear" w:color="auto" w:fill="FFFFFF"/>
        </w:rPr>
        <w:t xml:space="preserve">Boise broadly attacks the merits of the Company’s </w:t>
      </w:r>
      <w:r w:rsidR="00416B2A" w:rsidRPr="00C355F6">
        <w:rPr>
          <w:color w:val="000000"/>
          <w:shd w:val="clear" w:color="auto" w:fill="FFFFFF"/>
        </w:rPr>
        <w:t xml:space="preserve">petition </w:t>
      </w:r>
      <w:r w:rsidR="006E6B8B" w:rsidRPr="00C355F6">
        <w:rPr>
          <w:color w:val="000000"/>
          <w:shd w:val="clear" w:color="auto" w:fill="FFFFFF"/>
        </w:rPr>
        <w:t xml:space="preserve">on this basis, </w:t>
      </w:r>
      <w:r w:rsidR="00D34477" w:rsidRPr="00C355F6">
        <w:rPr>
          <w:color w:val="000000"/>
          <w:shd w:val="clear" w:color="auto" w:fill="FFFFFF"/>
        </w:rPr>
        <w:t xml:space="preserve">wrongly </w:t>
      </w:r>
      <w:r w:rsidR="006E6B8B" w:rsidRPr="00C355F6">
        <w:rPr>
          <w:color w:val="000000"/>
          <w:shd w:val="clear" w:color="auto" w:fill="FFFFFF"/>
        </w:rPr>
        <w:t>implying that the Commission must make a public interest determination now to permit th</w:t>
      </w:r>
      <w:r w:rsidR="00416B2A" w:rsidRPr="00C355F6">
        <w:rPr>
          <w:color w:val="000000"/>
          <w:shd w:val="clear" w:color="auto" w:fill="FFFFFF"/>
        </w:rPr>
        <w:t>e petition</w:t>
      </w:r>
      <w:r w:rsidR="006E6B8B" w:rsidRPr="00C355F6">
        <w:rPr>
          <w:color w:val="000000"/>
          <w:shd w:val="clear" w:color="auto" w:fill="FFFFFF"/>
        </w:rPr>
        <w:t xml:space="preserve"> to move forward on an </w:t>
      </w:r>
      <w:r w:rsidR="00D34477" w:rsidRPr="00C355F6">
        <w:rPr>
          <w:color w:val="000000"/>
          <w:shd w:val="clear" w:color="auto" w:fill="FFFFFF"/>
        </w:rPr>
        <w:t xml:space="preserve">expedited basis. </w:t>
      </w:r>
      <w:r w:rsidR="00D271C6" w:rsidRPr="00C355F6">
        <w:rPr>
          <w:color w:val="000000"/>
          <w:shd w:val="clear" w:color="auto" w:fill="FFFFFF"/>
        </w:rPr>
        <w:t xml:space="preserve"> </w:t>
      </w:r>
      <w:r w:rsidR="00416B2A" w:rsidRPr="00C355F6">
        <w:rPr>
          <w:color w:val="000000"/>
          <w:shd w:val="clear" w:color="auto" w:fill="FFFFFF"/>
        </w:rPr>
        <w:t xml:space="preserve">In fact, </w:t>
      </w:r>
      <w:r w:rsidRPr="00C355F6">
        <w:rPr>
          <w:color w:val="000000"/>
          <w:shd w:val="clear" w:color="auto" w:fill="FFFFFF"/>
        </w:rPr>
        <w:t xml:space="preserve">Boise’s public interest arguments </w:t>
      </w:r>
      <w:r w:rsidR="00416B2A" w:rsidRPr="00C355F6">
        <w:rPr>
          <w:color w:val="000000"/>
          <w:shd w:val="clear" w:color="auto" w:fill="FFFFFF"/>
        </w:rPr>
        <w:t xml:space="preserve">are irrelevant </w:t>
      </w:r>
      <w:r w:rsidR="005C6515" w:rsidRPr="00C355F6">
        <w:rPr>
          <w:color w:val="000000"/>
          <w:shd w:val="clear" w:color="auto" w:fill="FFFFFF"/>
        </w:rPr>
        <w:t xml:space="preserve">because </w:t>
      </w:r>
      <w:r w:rsidR="00416B2A" w:rsidRPr="00C355F6">
        <w:rPr>
          <w:color w:val="000000"/>
          <w:shd w:val="clear" w:color="auto" w:fill="FFFFFF"/>
        </w:rPr>
        <w:t xml:space="preserve">the Commission </w:t>
      </w:r>
      <w:r w:rsidR="005C6515" w:rsidRPr="00C355F6">
        <w:rPr>
          <w:color w:val="000000"/>
          <w:shd w:val="clear" w:color="auto" w:fill="FFFFFF"/>
        </w:rPr>
        <w:t xml:space="preserve">does not need to grant </w:t>
      </w:r>
      <w:r w:rsidR="00416B2A" w:rsidRPr="00C355F6">
        <w:rPr>
          <w:color w:val="000000"/>
          <w:shd w:val="clear" w:color="auto" w:fill="FFFFFF"/>
        </w:rPr>
        <w:t>a rule exemption to process the Company’s petition</w:t>
      </w:r>
      <w:r w:rsidRPr="00C355F6">
        <w:rPr>
          <w:color w:val="000000"/>
          <w:shd w:val="clear" w:color="auto" w:fill="FFFFFF"/>
        </w:rPr>
        <w:t xml:space="preserve">.       </w:t>
      </w:r>
    </w:p>
    <w:p w:rsidR="00F92A61" w:rsidRPr="00D273A1" w:rsidRDefault="00F92A61" w:rsidP="00E66BA9">
      <w:pPr>
        <w:pStyle w:val="Heading2"/>
        <w:jc w:val="left"/>
        <w:rPr>
          <w:b w:val="0"/>
        </w:rPr>
      </w:pPr>
      <w:r w:rsidRPr="00D273A1">
        <w:t xml:space="preserve">Pacific Power’s </w:t>
      </w:r>
      <w:r w:rsidR="00416B2A">
        <w:t xml:space="preserve">Petition </w:t>
      </w:r>
      <w:r w:rsidRPr="00D273A1">
        <w:t>is Not a General Rate Case</w:t>
      </w:r>
      <w:r w:rsidRPr="008C3474">
        <w:t xml:space="preserve"> Under the Commission’s Rules</w:t>
      </w:r>
      <w:r w:rsidRPr="00D273A1">
        <w:t>.</w:t>
      </w:r>
    </w:p>
    <w:p w:rsidR="00F92A61" w:rsidRPr="00D273A1" w:rsidRDefault="00F92A61" w:rsidP="00F92A61">
      <w:pPr>
        <w:rPr>
          <w:b/>
        </w:rPr>
      </w:pPr>
    </w:p>
    <w:p w:rsidR="00F92A61" w:rsidRDefault="00F92A61" w:rsidP="00F92A61">
      <w:pPr>
        <w:pStyle w:val="Washingtonparagraph"/>
        <w:numPr>
          <w:ilvl w:val="0"/>
          <w:numId w:val="2"/>
        </w:numPr>
        <w:tabs>
          <w:tab w:val="num" w:pos="720"/>
        </w:tabs>
        <w:ind w:hanging="720"/>
      </w:pPr>
      <w:r>
        <w:tab/>
      </w:r>
      <w:r w:rsidRPr="00784BED">
        <w:rPr>
          <w:rFonts w:eastAsia="Times"/>
          <w:color w:val="000000" w:themeColor="text1"/>
        </w:rPr>
        <w:t>The Commission’s rules distinguish between different types of rate increases.</w:t>
      </w:r>
      <w:r w:rsidRPr="00784BED">
        <w:rPr>
          <w:rFonts w:eastAsia="Times"/>
          <w:szCs w:val="20"/>
          <w:vertAlign w:val="superscript"/>
        </w:rPr>
        <w:footnoteReference w:id="27"/>
      </w:r>
      <w:r>
        <w:rPr>
          <w:rFonts w:eastAsia="Times"/>
          <w:color w:val="000000" w:themeColor="text1"/>
        </w:rPr>
        <w:t xml:space="preserve">  More significant rate increases are classified as general rate cases and are </w:t>
      </w:r>
      <w:r w:rsidRPr="00784BED">
        <w:rPr>
          <w:rFonts w:eastAsia="Times"/>
          <w:color w:val="000000" w:themeColor="text1"/>
        </w:rPr>
        <w:t xml:space="preserve">subject to requirements designed to standardize presentations, clarify issues, and simplify </w:t>
      </w:r>
      <w:r w:rsidRPr="00784BED">
        <w:rPr>
          <w:rFonts w:eastAsia="Times"/>
          <w:color w:val="000000" w:themeColor="text1"/>
        </w:rPr>
        <w:lastRenderedPageBreak/>
        <w:t>processing</w:t>
      </w:r>
      <w:r>
        <w:rPr>
          <w:rFonts w:eastAsia="Times"/>
          <w:color w:val="000000" w:themeColor="text1"/>
        </w:rPr>
        <w:t>, generally over an 11-month suspension period</w:t>
      </w:r>
      <w:r w:rsidRPr="00784BED">
        <w:rPr>
          <w:rFonts w:eastAsia="Times"/>
          <w:color w:val="000000" w:themeColor="text1"/>
        </w:rPr>
        <w:t>.</w:t>
      </w:r>
      <w:r w:rsidRPr="00784BED">
        <w:rPr>
          <w:rFonts w:eastAsia="Times"/>
          <w:szCs w:val="20"/>
          <w:vertAlign w:val="superscript"/>
        </w:rPr>
        <w:footnoteReference w:id="28"/>
      </w:r>
      <w:r w:rsidRPr="00784BED">
        <w:rPr>
          <w:rFonts w:ascii="Times" w:eastAsia="Times" w:hAnsi="Times"/>
          <w:szCs w:val="20"/>
          <w:vertAlign w:val="superscript"/>
        </w:rPr>
        <w:t xml:space="preserve"> </w:t>
      </w:r>
      <w:r>
        <w:rPr>
          <w:rFonts w:ascii="Times" w:eastAsia="Times" w:hAnsi="Times"/>
          <w:szCs w:val="20"/>
          <w:vertAlign w:val="superscript"/>
        </w:rPr>
        <w:t xml:space="preserve"> </w:t>
      </w:r>
      <w:r>
        <w:t xml:space="preserve">The </w:t>
      </w:r>
      <w:r w:rsidR="007078C8">
        <w:t>Company’s petition</w:t>
      </w:r>
      <w:r w:rsidR="00416B2A">
        <w:t xml:space="preserve"> </w:t>
      </w:r>
      <w:r>
        <w:t xml:space="preserve">is not a general rate case. </w:t>
      </w:r>
      <w:r w:rsidR="00B75C4E">
        <w:t xml:space="preserve"> </w:t>
      </w:r>
      <w:r>
        <w:t>WAC 480-07-505(1) defines a general rate case as a filing for an increase in rates that meets any of the following criteria:</w:t>
      </w:r>
    </w:p>
    <w:p w:rsidR="00F92A61" w:rsidRPr="00A53481" w:rsidRDefault="00F92A61" w:rsidP="00E66BA9">
      <w:pPr>
        <w:ind w:left="2160" w:right="720" w:hanging="720"/>
      </w:pPr>
      <w:r>
        <w:t>(a)</w:t>
      </w:r>
      <w:r w:rsidRPr="00A53481">
        <w:tab/>
        <w:t xml:space="preserve">The amount requested would increase gross annual revenue of the company from activities regulated by the commission by three percent or more. </w:t>
      </w:r>
      <w:r w:rsidR="00694CB2">
        <w:br/>
      </w:r>
    </w:p>
    <w:p w:rsidR="00F92A61" w:rsidRPr="00A53481" w:rsidRDefault="00F92A61" w:rsidP="00E66BA9">
      <w:pPr>
        <w:ind w:left="2160" w:right="720" w:hanging="720"/>
      </w:pPr>
      <w:r w:rsidRPr="00A53481">
        <w:t>(b)</w:t>
      </w:r>
      <w:r w:rsidRPr="00A53481">
        <w:tab/>
        <w:t xml:space="preserve">Tariffs would be restructured such that the gross revenue provided by any customer class would increase by three percent or more. </w:t>
      </w:r>
    </w:p>
    <w:p w:rsidR="00F92A61" w:rsidRDefault="00F92A61" w:rsidP="00F92A61">
      <w:pPr>
        <w:pStyle w:val="Washingtonparagraph"/>
        <w:spacing w:line="240" w:lineRule="auto"/>
        <w:ind w:left="2160" w:hanging="720"/>
      </w:pPr>
      <w:r w:rsidRPr="00A53481">
        <w:t>(c)</w:t>
      </w:r>
      <w:r w:rsidRPr="00A53481">
        <w:tab/>
        <w:t>The company requests a change in its authorized rate of return on common equity or a change in its capital structure.</w:t>
      </w:r>
      <w:r w:rsidRPr="00A53481">
        <w:rPr>
          <w:rStyle w:val="FootnoteReference"/>
        </w:rPr>
        <w:footnoteReference w:id="29"/>
      </w:r>
    </w:p>
    <w:p w:rsidR="00F92A61" w:rsidRDefault="00F92A61" w:rsidP="00F92A61">
      <w:pPr>
        <w:pStyle w:val="Washingtonparagraph"/>
        <w:spacing w:line="240" w:lineRule="auto"/>
        <w:ind w:firstLine="720"/>
      </w:pPr>
    </w:p>
    <w:p w:rsidR="0034021A" w:rsidRDefault="0034021A" w:rsidP="0034021A">
      <w:pPr>
        <w:pStyle w:val="Washingtonparagraph"/>
        <w:numPr>
          <w:ilvl w:val="0"/>
          <w:numId w:val="2"/>
        </w:numPr>
        <w:tabs>
          <w:tab w:val="num" w:pos="720"/>
        </w:tabs>
        <w:ind w:hanging="720"/>
      </w:pPr>
      <w:r>
        <w:tab/>
      </w:r>
      <w:r w:rsidR="00F92A61">
        <w:t>Pacific Power’s proposed annu</w:t>
      </w:r>
      <w:r w:rsidR="000215B9">
        <w:t xml:space="preserve">al rate increases are under </w:t>
      </w:r>
      <w:r w:rsidR="00694CB2">
        <w:t>three</w:t>
      </w:r>
      <w:r w:rsidR="00F92A61">
        <w:t xml:space="preserve"> percent, the tariffs are structured to cap increases to </w:t>
      </w:r>
      <w:r w:rsidR="00416B2A">
        <w:t xml:space="preserve">customer classes at </w:t>
      </w:r>
      <w:r w:rsidR="00F92A61">
        <w:t xml:space="preserve">under </w:t>
      </w:r>
      <w:r w:rsidR="00694CB2">
        <w:t>three</w:t>
      </w:r>
      <w:r w:rsidR="00F92A61">
        <w:t xml:space="preserve"> percent, and the Company does not request a change to its authorized rate of return on common equity or a change to its capital structure.</w:t>
      </w:r>
      <w:r w:rsidR="00F92A61">
        <w:rPr>
          <w:rStyle w:val="FootnoteReference"/>
        </w:rPr>
        <w:footnoteReference w:id="30"/>
      </w:r>
      <w:r w:rsidR="00F92A61">
        <w:t xml:space="preserve">    </w:t>
      </w:r>
    </w:p>
    <w:p w:rsidR="0034021A" w:rsidRDefault="0034021A" w:rsidP="0034021A">
      <w:pPr>
        <w:pStyle w:val="Washingtonparagraph"/>
        <w:numPr>
          <w:ilvl w:val="0"/>
          <w:numId w:val="2"/>
        </w:numPr>
        <w:tabs>
          <w:tab w:val="num" w:pos="720"/>
        </w:tabs>
        <w:ind w:hanging="720"/>
      </w:pPr>
      <w:r>
        <w:tab/>
      </w:r>
      <w:r w:rsidR="005C6515">
        <w:t xml:space="preserve">The Company’s petition </w:t>
      </w:r>
      <w:r w:rsidR="00C74A2E">
        <w:t>responds to</w:t>
      </w:r>
      <w:r w:rsidR="00F92A61">
        <w:t xml:space="preserve"> the Commission’s </w:t>
      </w:r>
      <w:r w:rsidR="005C6515">
        <w:t>p</w:t>
      </w:r>
      <w:r w:rsidR="00F92A61" w:rsidRPr="002D1211">
        <w:t xml:space="preserve">olicy </w:t>
      </w:r>
      <w:r w:rsidR="005C6515">
        <w:t>g</w:t>
      </w:r>
      <w:r w:rsidR="00F92A61">
        <w:t>oal of</w:t>
      </w:r>
      <w:r w:rsidR="005C6515">
        <w:t xml:space="preserve"> </w:t>
      </w:r>
      <w:r w:rsidR="00C74A2E">
        <w:t xml:space="preserve">developing new ratemaking mechanisms to </w:t>
      </w:r>
      <w:r w:rsidR="005C6515">
        <w:t>a</w:t>
      </w:r>
      <w:r w:rsidR="00F92A61">
        <w:t xml:space="preserve">void a </w:t>
      </w:r>
      <w:r w:rsidR="00153FB0">
        <w:t>c</w:t>
      </w:r>
      <w:r w:rsidR="00F92A61">
        <w:t xml:space="preserve">ontinuous </w:t>
      </w:r>
      <w:r w:rsidR="00153FB0">
        <w:t>c</w:t>
      </w:r>
      <w:r w:rsidR="00F92A61">
        <w:t xml:space="preserve">ycle of </w:t>
      </w:r>
      <w:r w:rsidR="00153FB0">
        <w:t>g</w:t>
      </w:r>
      <w:r w:rsidR="00F92A61">
        <w:t xml:space="preserve">eneral </w:t>
      </w:r>
      <w:r w:rsidR="00153FB0">
        <w:t>r</w:t>
      </w:r>
      <w:r w:rsidR="00F92A61">
        <w:t xml:space="preserve">ate </w:t>
      </w:r>
      <w:r w:rsidR="00153FB0">
        <w:t>c</w:t>
      </w:r>
      <w:r w:rsidR="00F92A61">
        <w:t xml:space="preserve">ase </w:t>
      </w:r>
      <w:r w:rsidR="00153FB0">
        <w:t>fi</w:t>
      </w:r>
      <w:r w:rsidR="00F92A61">
        <w:t>lings</w:t>
      </w:r>
      <w:r w:rsidR="00C74A2E">
        <w:t>.</w:t>
      </w:r>
      <w:r w:rsidR="00C74A2E">
        <w:rPr>
          <w:rStyle w:val="FootnoteReference"/>
        </w:rPr>
        <w:footnoteReference w:id="31"/>
      </w:r>
      <w:r w:rsidR="00C74A2E">
        <w:rPr>
          <w:rStyle w:val="FootnoteReference"/>
        </w:rPr>
        <w:t xml:space="preserve"> </w:t>
      </w:r>
      <w:r w:rsidR="00C74A2E">
        <w:t xml:space="preserve"> </w:t>
      </w:r>
      <w:r w:rsidR="00F92A61">
        <w:t>The</w:t>
      </w:r>
      <w:r w:rsidR="00C74A2E">
        <w:t xml:space="preserve"> petition</w:t>
      </w:r>
      <w:r w:rsidR="00F92A61">
        <w:t xml:space="preserve"> is consistent with Pacific Power’s 2013 general rate case where the Commission indicated </w:t>
      </w:r>
      <w:r w:rsidR="00C74A2E">
        <w:t xml:space="preserve">conceptual </w:t>
      </w:r>
      <w:r w:rsidR="00F92A61">
        <w:t xml:space="preserve">support for </w:t>
      </w:r>
      <w:r w:rsidR="00C74A2E">
        <w:t xml:space="preserve">an </w:t>
      </w:r>
      <w:r w:rsidR="00F92A61">
        <w:t>ERF.</w:t>
      </w:r>
      <w:r w:rsidR="00F92A61" w:rsidRPr="00965577">
        <w:rPr>
          <w:rFonts w:eastAsia="Times"/>
          <w:szCs w:val="20"/>
          <w:vertAlign w:val="superscript"/>
        </w:rPr>
        <w:footnoteReference w:id="32"/>
      </w:r>
      <w:r w:rsidR="00F92A61">
        <w:t xml:space="preserve">  </w:t>
      </w:r>
      <w:r w:rsidR="00F92A61" w:rsidRPr="00D273A1">
        <w:rPr>
          <w:rFonts w:eastAsia="Times"/>
          <w:szCs w:val="20"/>
        </w:rPr>
        <w:t xml:space="preserve">As the Commission stated when referring to the PSE ERF, “the filings are in structure, purpose and effect as distinct from a </w:t>
      </w:r>
      <w:r w:rsidR="00F92A61">
        <w:rPr>
          <w:rFonts w:eastAsia="Times"/>
          <w:szCs w:val="20"/>
        </w:rPr>
        <w:t>general rate case</w:t>
      </w:r>
      <w:r w:rsidR="00F92A61" w:rsidRPr="00D273A1">
        <w:rPr>
          <w:rFonts w:eastAsia="Times"/>
          <w:szCs w:val="20"/>
        </w:rPr>
        <w:t xml:space="preserve"> filing as they possibly could be.  The very purpose of these filings is to avoid the need for yet another general rate case proceeding.”</w:t>
      </w:r>
      <w:r w:rsidR="00F92A61" w:rsidRPr="006D75D1">
        <w:rPr>
          <w:rFonts w:eastAsia="Times"/>
          <w:szCs w:val="20"/>
          <w:vertAlign w:val="superscript"/>
        </w:rPr>
        <w:footnoteReference w:id="33"/>
      </w:r>
      <w:r w:rsidR="00F92A61" w:rsidRPr="00D273A1">
        <w:rPr>
          <w:rFonts w:eastAsia="Times"/>
          <w:szCs w:val="20"/>
        </w:rPr>
        <w:t xml:space="preserve">  </w:t>
      </w:r>
    </w:p>
    <w:p w:rsidR="00032997" w:rsidRPr="007F306C" w:rsidRDefault="0034021A" w:rsidP="007F306C">
      <w:pPr>
        <w:pStyle w:val="Washingtonparagraph"/>
        <w:numPr>
          <w:ilvl w:val="0"/>
          <w:numId w:val="2"/>
        </w:numPr>
        <w:tabs>
          <w:tab w:val="num" w:pos="720"/>
        </w:tabs>
        <w:ind w:hanging="720"/>
        <w:rPr>
          <w:b/>
        </w:rPr>
      </w:pPr>
      <w:r w:rsidRPr="007F306C">
        <w:rPr>
          <w:rFonts w:eastAsia="Times"/>
          <w:szCs w:val="20"/>
        </w:rPr>
        <w:lastRenderedPageBreak/>
        <w:tab/>
      </w:r>
      <w:r w:rsidR="00C74A2E" w:rsidRPr="007F306C">
        <w:rPr>
          <w:rFonts w:eastAsia="Times"/>
          <w:szCs w:val="20"/>
        </w:rPr>
        <w:t xml:space="preserve">Boise argues that the </w:t>
      </w:r>
      <w:r w:rsidR="007B1EA3" w:rsidRPr="007F306C">
        <w:rPr>
          <w:rFonts w:eastAsia="Times"/>
          <w:szCs w:val="20"/>
        </w:rPr>
        <w:t xml:space="preserve">Commission should treat the </w:t>
      </w:r>
      <w:r w:rsidR="00C74A2E" w:rsidRPr="00DA4BF1">
        <w:rPr>
          <w:rFonts w:eastAsia="Times"/>
          <w:szCs w:val="20"/>
        </w:rPr>
        <w:t xml:space="preserve">petition </w:t>
      </w:r>
      <w:r w:rsidR="007B1EA3" w:rsidRPr="00DA4BF1">
        <w:rPr>
          <w:rFonts w:eastAsia="Times"/>
          <w:szCs w:val="20"/>
        </w:rPr>
        <w:t xml:space="preserve">as a general rate case because </w:t>
      </w:r>
      <w:r w:rsidR="00032997" w:rsidRPr="00DA4BF1">
        <w:rPr>
          <w:rFonts w:eastAsia="Times"/>
          <w:szCs w:val="20"/>
        </w:rPr>
        <w:t xml:space="preserve">it </w:t>
      </w:r>
      <w:r w:rsidR="007B1EA3" w:rsidRPr="00DA4BF1">
        <w:rPr>
          <w:rFonts w:eastAsia="Times"/>
          <w:szCs w:val="20"/>
        </w:rPr>
        <w:t>includes testimony on Pacifi</w:t>
      </w:r>
      <w:r w:rsidR="006E5E62" w:rsidRPr="00DA4BF1">
        <w:rPr>
          <w:rFonts w:eastAsia="Times"/>
          <w:szCs w:val="20"/>
        </w:rPr>
        <w:t>c Power’s</w:t>
      </w:r>
      <w:r w:rsidR="007B1EA3" w:rsidRPr="00DA4BF1">
        <w:rPr>
          <w:rFonts w:eastAsia="Times"/>
          <w:szCs w:val="20"/>
        </w:rPr>
        <w:t xml:space="preserve"> cost of equity</w:t>
      </w:r>
      <w:r w:rsidR="00E9382A" w:rsidRPr="00DA4BF1">
        <w:rPr>
          <w:rFonts w:eastAsia="Times"/>
          <w:szCs w:val="20"/>
        </w:rPr>
        <w:t>.  In particular, Boise claims the</w:t>
      </w:r>
      <w:r w:rsidR="00E9382A" w:rsidRPr="00DA4BF1">
        <w:rPr>
          <w:color w:val="000000"/>
          <w:shd w:val="clear" w:color="auto" w:fill="FFFFFF"/>
        </w:rPr>
        <w:t xml:space="preserve"> testimony is robust enough to avoid any “prejudice or disadvantage” </w:t>
      </w:r>
      <w:r w:rsidR="00EC1422">
        <w:rPr>
          <w:color w:val="000000"/>
          <w:shd w:val="clear" w:color="auto" w:fill="FFFFFF"/>
        </w:rPr>
        <w:t>because</w:t>
      </w:r>
      <w:r w:rsidR="00E9382A" w:rsidRPr="00DA4BF1">
        <w:rPr>
          <w:color w:val="000000"/>
          <w:shd w:val="clear" w:color="auto" w:fill="FFFFFF"/>
        </w:rPr>
        <w:t xml:space="preserve"> “Pacific Power supports its filing with the documentation normally required for a general rate case.”’</w:t>
      </w:r>
      <w:r w:rsidR="00E9382A">
        <w:rPr>
          <w:rStyle w:val="FootnoteReference"/>
          <w:color w:val="000000"/>
          <w:shd w:val="clear" w:color="auto" w:fill="FFFFFF"/>
        </w:rPr>
        <w:footnoteReference w:id="34"/>
      </w:r>
      <w:r w:rsidR="00E9382A" w:rsidRPr="007F306C">
        <w:rPr>
          <w:color w:val="000000"/>
          <w:shd w:val="clear" w:color="auto" w:fill="FFFFFF"/>
        </w:rPr>
        <w:t xml:space="preserve">  </w:t>
      </w:r>
      <w:r w:rsidR="00032997">
        <w:t>Boise’s argument</w:t>
      </w:r>
      <w:r w:rsidR="00694CB2">
        <w:t xml:space="preserve"> is inconsistent with its motion to dismiss and</w:t>
      </w:r>
      <w:r w:rsidR="00032997">
        <w:t xml:space="preserve"> ignores the fact that Pacific Power does not request “a change to its cost of capital established earlier this year in the final order in its 2014 Rate Case</w:t>
      </w:r>
      <w:r w:rsidR="00426198">
        <w:t>.”</w:t>
      </w:r>
      <w:r w:rsidR="00DA4BF1">
        <w:rPr>
          <w:rStyle w:val="FootnoteReference"/>
        </w:rPr>
        <w:footnoteReference w:id="35"/>
      </w:r>
      <w:r w:rsidR="00DA4BF1">
        <w:t xml:space="preserve"> </w:t>
      </w:r>
      <w:r w:rsidR="00426198">
        <w:t xml:space="preserve"> While the Company does reserve its right to fully litigate cost of equity as the Commission determines necessary, this reservation does not convert the Company’s petition into a general rate case under WAC 480-07-505(1)</w:t>
      </w:r>
      <w:r w:rsidR="000215B9">
        <w:t>.</w:t>
      </w:r>
    </w:p>
    <w:p w:rsidR="00032997" w:rsidRDefault="00032997" w:rsidP="009B2E8A">
      <w:pPr>
        <w:pStyle w:val="Washingtonparagraph"/>
        <w:numPr>
          <w:ilvl w:val="0"/>
          <w:numId w:val="2"/>
        </w:numPr>
        <w:tabs>
          <w:tab w:val="num" w:pos="720"/>
        </w:tabs>
        <w:ind w:hanging="720"/>
      </w:pPr>
      <w:r>
        <w:tab/>
        <w:t xml:space="preserve">Boise also argues that the petition exceeds the </w:t>
      </w:r>
      <w:r w:rsidR="00694CB2">
        <w:t>three</w:t>
      </w:r>
      <w:r>
        <w:t xml:space="preserve"> percent threshold for general rate cases </w:t>
      </w:r>
      <w:r w:rsidR="00313AC2">
        <w:t xml:space="preserve">under WAC 480-07-505(1) </w:t>
      </w:r>
      <w:r>
        <w:t>because the second year rate increase is actually 3.1 percent higher than current rates</w:t>
      </w:r>
      <w:r w:rsidR="00313AC2">
        <w:t xml:space="preserve">.  Boise fails to acknowledge that </w:t>
      </w:r>
      <w:r>
        <w:t>the second</w:t>
      </w:r>
      <w:r w:rsidR="00694CB2">
        <w:t>-</w:t>
      </w:r>
      <w:r>
        <w:t xml:space="preserve">year rate increase </w:t>
      </w:r>
      <w:r w:rsidR="00313AC2">
        <w:t xml:space="preserve">is </w:t>
      </w:r>
      <w:r>
        <w:t>in addition to the first</w:t>
      </w:r>
      <w:r w:rsidR="00694CB2">
        <w:t>-</w:t>
      </w:r>
      <w:r>
        <w:t xml:space="preserve">year rate increase and not </w:t>
      </w:r>
      <w:r w:rsidR="00313AC2">
        <w:t xml:space="preserve">to </w:t>
      </w:r>
      <w:r>
        <w:t>current rates.</w:t>
      </w:r>
      <w:r>
        <w:rPr>
          <w:rStyle w:val="FootnoteReference"/>
        </w:rPr>
        <w:footnoteReference w:id="36"/>
      </w:r>
      <w:r>
        <w:t xml:space="preserve">  </w:t>
      </w:r>
    </w:p>
    <w:p w:rsidR="0034021A" w:rsidRDefault="00032997" w:rsidP="000012D5">
      <w:pPr>
        <w:pStyle w:val="Washingtonparagraph"/>
        <w:numPr>
          <w:ilvl w:val="0"/>
          <w:numId w:val="2"/>
        </w:numPr>
        <w:tabs>
          <w:tab w:val="num" w:pos="720"/>
        </w:tabs>
        <w:ind w:hanging="720"/>
      </w:pPr>
      <w:r>
        <w:tab/>
      </w:r>
      <w:r w:rsidR="00313AC2">
        <w:rPr>
          <w:rFonts w:eastAsia="Times"/>
          <w:szCs w:val="20"/>
        </w:rPr>
        <w:t>T</w:t>
      </w:r>
      <w:r w:rsidR="00313AC2" w:rsidRPr="00313AC2">
        <w:rPr>
          <w:rFonts w:eastAsia="Times"/>
          <w:szCs w:val="20"/>
        </w:rPr>
        <w:t xml:space="preserve">he </w:t>
      </w:r>
      <w:r>
        <w:t xml:space="preserve">Commission </w:t>
      </w:r>
      <w:r w:rsidR="00313AC2">
        <w:t>rejected similar</w:t>
      </w:r>
      <w:r w:rsidR="00DA4BF1">
        <w:t xml:space="preserve"> </w:t>
      </w:r>
      <w:r>
        <w:t>argument</w:t>
      </w:r>
      <w:r w:rsidR="00313AC2">
        <w:t>s</w:t>
      </w:r>
      <w:r>
        <w:t xml:space="preserve"> </w:t>
      </w:r>
      <w:r w:rsidR="00313AC2">
        <w:t>i</w:t>
      </w:r>
      <w:r>
        <w:t>n the PSE case</w:t>
      </w:r>
      <w:r w:rsidR="00313AC2">
        <w:t xml:space="preserve"> bec</w:t>
      </w:r>
      <w:r>
        <w:t>ause “[t]hese arguments ignore the purpose of the Subpart B special rules,” which is to organize and present issues in a comprehensive and complicated general rate case.</w:t>
      </w:r>
      <w:r>
        <w:rPr>
          <w:rStyle w:val="FootnoteReference"/>
        </w:rPr>
        <w:footnoteReference w:id="37"/>
      </w:r>
      <w:r>
        <w:t xml:space="preserve">  Here, like in the PSE proceeding, </w:t>
      </w:r>
      <w:r w:rsidR="00694CB2">
        <w:t xml:space="preserve">the Company’s </w:t>
      </w:r>
      <w:r w:rsidR="000C3912">
        <w:t xml:space="preserve">petition </w:t>
      </w:r>
      <w:r>
        <w:t xml:space="preserve">is a response “to the Commission’s invitation to parties to present innovative approaches to ratemaking that would avoid the complex </w:t>
      </w:r>
      <w:r>
        <w:lastRenderedPageBreak/>
        <w:t>process of a general rate case and the need to invoke the special rules in WAC 480-07, Subpart B.”</w:t>
      </w:r>
      <w:r>
        <w:rPr>
          <w:rStyle w:val="FootnoteReference"/>
        </w:rPr>
        <w:footnoteReference w:id="38"/>
      </w:r>
      <w:r>
        <w:t xml:space="preserve">  </w:t>
      </w:r>
    </w:p>
    <w:p w:rsidR="00DD0FBC" w:rsidRDefault="00480629" w:rsidP="00DC34BE">
      <w:pPr>
        <w:pStyle w:val="Washingtonparagraph"/>
        <w:numPr>
          <w:ilvl w:val="0"/>
          <w:numId w:val="2"/>
        </w:numPr>
        <w:tabs>
          <w:tab w:val="num" w:pos="720"/>
        </w:tabs>
        <w:ind w:hanging="720"/>
      </w:pPr>
      <w:r>
        <w:tab/>
      </w:r>
      <w:r w:rsidR="007F306C">
        <w:t xml:space="preserve">Boise’s argument also </w:t>
      </w:r>
      <w:r w:rsidR="004534C3">
        <w:t>blurs</w:t>
      </w:r>
      <w:r w:rsidR="007F306C">
        <w:t xml:space="preserve"> an important distinction in the Thurston County Superior Court’s </w:t>
      </w:r>
      <w:r w:rsidR="004534C3">
        <w:t>o</w:t>
      </w:r>
      <w:r w:rsidR="007F306C">
        <w:t>rder.</w:t>
      </w:r>
      <w:r w:rsidR="007F306C">
        <w:rPr>
          <w:rStyle w:val="FootnoteReference"/>
        </w:rPr>
        <w:footnoteReference w:id="39"/>
      </w:r>
      <w:r w:rsidR="007F306C">
        <w:t xml:space="preserve">  The Superior Court’s rulin</w:t>
      </w:r>
      <w:r w:rsidR="004534C3">
        <w:t xml:space="preserve">g </w:t>
      </w:r>
      <w:r w:rsidR="0094052D">
        <w:t xml:space="preserve">addresses </w:t>
      </w:r>
      <w:r w:rsidR="004534C3">
        <w:t>return on equity</w:t>
      </w:r>
      <w:r w:rsidR="007F306C">
        <w:t xml:space="preserve"> </w:t>
      </w:r>
      <w:r w:rsidR="004534C3">
        <w:t xml:space="preserve">evidence </w:t>
      </w:r>
      <w:r w:rsidR="007F306C">
        <w:t>“in the context of a multi-year rate plan.”</w:t>
      </w:r>
      <w:r w:rsidR="00EC1422">
        <w:rPr>
          <w:rStyle w:val="FootnoteReference"/>
        </w:rPr>
        <w:footnoteReference w:id="40"/>
      </w:r>
      <w:r w:rsidR="007F306C">
        <w:t xml:space="preserve">  Boise</w:t>
      </w:r>
      <w:r w:rsidR="0094052D">
        <w:t xml:space="preserve"> incorrectly implies that this ruling applies equally to a separate</w:t>
      </w:r>
      <w:r w:rsidR="005A0110">
        <w:t xml:space="preserve"> ERF</w:t>
      </w:r>
      <w:r w:rsidR="007F306C">
        <w:t xml:space="preserve">.  </w:t>
      </w:r>
      <w:r w:rsidR="0094052D">
        <w:t xml:space="preserve">If adopted, this overbroad reading of the Superior Court order would </w:t>
      </w:r>
      <w:r w:rsidR="007F306C">
        <w:t xml:space="preserve">preclude </w:t>
      </w:r>
      <w:r w:rsidR="0094052D">
        <w:t xml:space="preserve">future </w:t>
      </w:r>
      <w:r w:rsidR="005A0110">
        <w:t>ERF</w:t>
      </w:r>
      <w:r w:rsidR="007F306C">
        <w:t>s.  That is, Boise</w:t>
      </w:r>
      <w:r w:rsidR="000E03D7">
        <w:t>’s position is</w:t>
      </w:r>
      <w:r w:rsidR="007F306C">
        <w:t xml:space="preserve"> that a utility must file </w:t>
      </w:r>
      <w:r w:rsidR="000E03D7">
        <w:t xml:space="preserve">cost of </w:t>
      </w:r>
      <w:r w:rsidR="0094052D">
        <w:t xml:space="preserve">equity evidence in </w:t>
      </w:r>
      <w:r w:rsidR="005A0110">
        <w:t>ERFs</w:t>
      </w:r>
      <w:r w:rsidR="007F306C">
        <w:t xml:space="preserve"> or face dismissal, but if a utility fil</w:t>
      </w:r>
      <w:r w:rsidR="000E03D7">
        <w:t>es</w:t>
      </w:r>
      <w:r w:rsidR="007F306C">
        <w:t xml:space="preserve"> cost of equity testimony, then </w:t>
      </w:r>
      <w:r w:rsidR="0094052D">
        <w:t xml:space="preserve">the Commission must convert the filing to a </w:t>
      </w:r>
      <w:r w:rsidR="007F306C">
        <w:t>general rate case.</w:t>
      </w:r>
      <w:r w:rsidR="008A1F15">
        <w:t xml:space="preserve">  </w:t>
      </w:r>
      <w:r w:rsidR="000E03D7">
        <w:t xml:space="preserve">Either way, the </w:t>
      </w:r>
      <w:r w:rsidR="005A0110">
        <w:t>ERF</w:t>
      </w:r>
      <w:r w:rsidR="000E03D7">
        <w:t xml:space="preserve"> could not proceed.  </w:t>
      </w:r>
    </w:p>
    <w:p w:rsidR="0034021A" w:rsidRDefault="00F92A61" w:rsidP="00313AC2">
      <w:pPr>
        <w:pStyle w:val="Heading2"/>
        <w:spacing w:after="240"/>
      </w:pPr>
      <w:r>
        <w:t>If Necessary, the Commission Has Authority to Grant an Exemption From the General Rate Case Requirements of WAC 480-07, Subpart B.</w:t>
      </w:r>
      <w:r w:rsidR="0034021A" w:rsidRPr="0034021A">
        <w:t xml:space="preserve"> </w:t>
      </w:r>
    </w:p>
    <w:p w:rsidR="00F92A61" w:rsidRPr="0034021A" w:rsidRDefault="00F92A61" w:rsidP="0034021A">
      <w:pPr>
        <w:pStyle w:val="Washingtonparagraph"/>
        <w:numPr>
          <w:ilvl w:val="0"/>
          <w:numId w:val="2"/>
        </w:numPr>
        <w:tabs>
          <w:tab w:val="num" w:pos="720"/>
        </w:tabs>
        <w:ind w:hanging="720"/>
        <w:rPr>
          <w:rFonts w:eastAsia="Times"/>
          <w:szCs w:val="20"/>
        </w:rPr>
      </w:pPr>
      <w:r>
        <w:tab/>
      </w:r>
      <w:r w:rsidRPr="0034021A">
        <w:rPr>
          <w:rFonts w:eastAsia="Times"/>
          <w:szCs w:val="20"/>
        </w:rPr>
        <w:t xml:space="preserve">Pacific Power’s </w:t>
      </w:r>
      <w:r w:rsidR="007078C8">
        <w:rPr>
          <w:rFonts w:eastAsia="Times"/>
          <w:szCs w:val="20"/>
        </w:rPr>
        <w:t>petition</w:t>
      </w:r>
      <w:r w:rsidRPr="0034021A">
        <w:rPr>
          <w:rFonts w:eastAsia="Times"/>
          <w:szCs w:val="20"/>
        </w:rPr>
        <w:t xml:space="preserve"> is not a general rate case under WAC 480-07-505(1) and is consistent with the policy goals of the Commission to develop alternative ratemaking proceedings that are not general rate cases.</w:t>
      </w:r>
      <w:r w:rsidRPr="00313AC2">
        <w:rPr>
          <w:rFonts w:eastAsia="Times"/>
          <w:szCs w:val="20"/>
          <w:vertAlign w:val="superscript"/>
        </w:rPr>
        <w:footnoteReference w:id="41"/>
      </w:r>
      <w:r w:rsidRPr="00313AC2">
        <w:rPr>
          <w:rFonts w:eastAsia="Times"/>
          <w:szCs w:val="20"/>
          <w:vertAlign w:val="superscript"/>
        </w:rPr>
        <w:t xml:space="preserve"> </w:t>
      </w:r>
      <w:r w:rsidRPr="0034021A">
        <w:rPr>
          <w:rFonts w:eastAsia="Times"/>
          <w:szCs w:val="20"/>
        </w:rPr>
        <w:t xml:space="preserve"> </w:t>
      </w:r>
      <w:r w:rsidR="00D46CE6">
        <w:rPr>
          <w:rFonts w:eastAsia="Times"/>
          <w:szCs w:val="20"/>
        </w:rPr>
        <w:t>As</w:t>
      </w:r>
      <w:r w:rsidRPr="0034021A">
        <w:rPr>
          <w:rFonts w:eastAsia="Times"/>
          <w:szCs w:val="20"/>
        </w:rPr>
        <w:t xml:space="preserve"> necessary, </w:t>
      </w:r>
      <w:r w:rsidR="00313AC2">
        <w:rPr>
          <w:rFonts w:eastAsia="Times"/>
          <w:szCs w:val="20"/>
        </w:rPr>
        <w:t xml:space="preserve">however, </w:t>
      </w:r>
      <w:r w:rsidRPr="0034021A">
        <w:rPr>
          <w:rFonts w:eastAsia="Times"/>
          <w:szCs w:val="20"/>
        </w:rPr>
        <w:t xml:space="preserve">the Commission may grant an exemption from the general rate case requirements of WAC 480-07, Subpart B, </w:t>
      </w:r>
      <w:r w:rsidRPr="00166AA5">
        <w:rPr>
          <w:rFonts w:eastAsia="Times"/>
          <w:szCs w:val="20"/>
        </w:rPr>
        <w:t>“if consistent with the public interest, the purposes of the underlying regulation, and applicable statutes.”</w:t>
      </w:r>
      <w:r w:rsidRPr="00313AC2">
        <w:rPr>
          <w:rFonts w:eastAsia="Times"/>
          <w:szCs w:val="20"/>
          <w:vertAlign w:val="superscript"/>
        </w:rPr>
        <w:footnoteReference w:id="42"/>
      </w:r>
      <w:r w:rsidRPr="00313AC2">
        <w:rPr>
          <w:rFonts w:eastAsia="Times"/>
          <w:szCs w:val="20"/>
          <w:vertAlign w:val="superscript"/>
        </w:rPr>
        <w:t xml:space="preserve"> </w:t>
      </w:r>
      <w:r>
        <w:rPr>
          <w:rFonts w:eastAsia="Times"/>
          <w:szCs w:val="20"/>
        </w:rPr>
        <w:t xml:space="preserve"> In the </w:t>
      </w:r>
      <w:r w:rsidR="00575A6D">
        <w:rPr>
          <w:rFonts w:eastAsia="Times"/>
          <w:szCs w:val="20"/>
        </w:rPr>
        <w:t>p</w:t>
      </w:r>
      <w:r>
        <w:rPr>
          <w:rFonts w:eastAsia="Times"/>
          <w:szCs w:val="20"/>
        </w:rPr>
        <w:t xml:space="preserve">etition, Pacific Power </w:t>
      </w:r>
      <w:r w:rsidR="0037632A">
        <w:rPr>
          <w:rFonts w:eastAsia="Times"/>
          <w:szCs w:val="20"/>
        </w:rPr>
        <w:t xml:space="preserve">provisionally </w:t>
      </w:r>
      <w:r>
        <w:rPr>
          <w:rFonts w:eastAsia="Times"/>
          <w:szCs w:val="20"/>
        </w:rPr>
        <w:t xml:space="preserve">requested </w:t>
      </w:r>
      <w:r w:rsidR="00313AC2">
        <w:rPr>
          <w:rFonts w:eastAsia="Times"/>
          <w:szCs w:val="20"/>
        </w:rPr>
        <w:t xml:space="preserve">such </w:t>
      </w:r>
      <w:r>
        <w:rPr>
          <w:rFonts w:eastAsia="Times"/>
          <w:szCs w:val="20"/>
        </w:rPr>
        <w:t>an exemption</w:t>
      </w:r>
      <w:r w:rsidR="0037632A">
        <w:rPr>
          <w:rFonts w:eastAsia="Times"/>
          <w:szCs w:val="20"/>
        </w:rPr>
        <w:t>.</w:t>
      </w:r>
      <w:r w:rsidRPr="00313AC2">
        <w:rPr>
          <w:rFonts w:eastAsia="Times"/>
          <w:szCs w:val="20"/>
          <w:vertAlign w:val="superscript"/>
        </w:rPr>
        <w:footnoteReference w:id="43"/>
      </w:r>
    </w:p>
    <w:p w:rsidR="0034021A" w:rsidRDefault="00F92A61" w:rsidP="00313AC2">
      <w:pPr>
        <w:pStyle w:val="Washingtonparagraph"/>
        <w:numPr>
          <w:ilvl w:val="0"/>
          <w:numId w:val="2"/>
        </w:numPr>
        <w:tabs>
          <w:tab w:val="num" w:pos="720"/>
        </w:tabs>
        <w:ind w:hanging="720"/>
      </w:pPr>
      <w:r>
        <w:lastRenderedPageBreak/>
        <w:tab/>
      </w:r>
      <w:r w:rsidRPr="00313AC2">
        <w:rPr>
          <w:rFonts w:eastAsia="Times"/>
          <w:szCs w:val="20"/>
        </w:rPr>
        <w:t>The Commission granted an exemption in the PSE ERF proceeding because the filing met the p</w:t>
      </w:r>
      <w:r>
        <w:t xml:space="preserve">ublic </w:t>
      </w:r>
      <w:r w:rsidRPr="00313AC2">
        <w:rPr>
          <w:rFonts w:eastAsia="Times"/>
          <w:szCs w:val="20"/>
        </w:rPr>
        <w:t>i</w:t>
      </w:r>
      <w:r>
        <w:t xml:space="preserve">nterest standard by </w:t>
      </w:r>
      <w:r w:rsidRPr="00313AC2">
        <w:rPr>
          <w:rFonts w:eastAsia="Times"/>
          <w:szCs w:val="20"/>
        </w:rPr>
        <w:t>addressing</w:t>
      </w:r>
      <w:r>
        <w:t xml:space="preserve"> the Commission’s policy objective of pursuing alternatives to general rate cases.</w:t>
      </w:r>
      <w:r>
        <w:rPr>
          <w:rStyle w:val="FootnoteReference"/>
        </w:rPr>
        <w:footnoteReference w:id="44"/>
      </w:r>
      <w:r>
        <w:t xml:space="preserve">  This same </w:t>
      </w:r>
      <w:r w:rsidRPr="00313AC2">
        <w:rPr>
          <w:rFonts w:eastAsia="Times"/>
          <w:bCs/>
          <w:iCs/>
          <w:szCs w:val="20"/>
        </w:rPr>
        <w:t>rationale support</w:t>
      </w:r>
      <w:r w:rsidR="00313AC2" w:rsidRPr="00313AC2">
        <w:rPr>
          <w:rFonts w:eastAsia="Times"/>
          <w:bCs/>
          <w:iCs/>
          <w:szCs w:val="20"/>
        </w:rPr>
        <w:t>s</w:t>
      </w:r>
      <w:r w:rsidRPr="00313AC2">
        <w:rPr>
          <w:rFonts w:eastAsia="Times"/>
          <w:bCs/>
          <w:iCs/>
          <w:szCs w:val="20"/>
        </w:rPr>
        <w:t xml:space="preserve"> an exemption to WAC 480-07, Subpart B for Pacific Power’s </w:t>
      </w:r>
      <w:r w:rsidR="00575A6D">
        <w:rPr>
          <w:rFonts w:eastAsia="Times"/>
          <w:bCs/>
          <w:iCs/>
          <w:szCs w:val="20"/>
        </w:rPr>
        <w:t>p</w:t>
      </w:r>
      <w:r w:rsidRPr="00313AC2">
        <w:rPr>
          <w:rFonts w:eastAsia="Times"/>
          <w:bCs/>
          <w:iCs/>
          <w:szCs w:val="20"/>
        </w:rPr>
        <w:t xml:space="preserve">etition.  </w:t>
      </w:r>
      <w:r w:rsidR="0034021A" w:rsidRPr="0034021A">
        <w:t xml:space="preserve"> </w:t>
      </w:r>
    </w:p>
    <w:p w:rsidR="00F92A61" w:rsidRDefault="00F92A61" w:rsidP="0034021A">
      <w:pPr>
        <w:pStyle w:val="Heading2"/>
      </w:pPr>
      <w:r>
        <w:t xml:space="preserve">Boise’s Public Interest Arguments Are Irrelevant and Prematurely Argue the Merits of the Company’s </w:t>
      </w:r>
      <w:r w:rsidR="007078C8">
        <w:t>Petition</w:t>
      </w:r>
      <w:r>
        <w:t>.</w:t>
      </w:r>
    </w:p>
    <w:p w:rsidR="00F92A61" w:rsidRDefault="00F92A61" w:rsidP="00F92A61">
      <w:pPr>
        <w:rPr>
          <w:b/>
        </w:rPr>
      </w:pPr>
    </w:p>
    <w:p w:rsidR="00F92A61" w:rsidRDefault="0034021A" w:rsidP="002A6DE0">
      <w:pPr>
        <w:pStyle w:val="Washingtonparagraph"/>
        <w:numPr>
          <w:ilvl w:val="0"/>
          <w:numId w:val="2"/>
        </w:numPr>
        <w:tabs>
          <w:tab w:val="num" w:pos="720"/>
        </w:tabs>
        <w:ind w:hanging="720"/>
      </w:pPr>
      <w:r>
        <w:tab/>
      </w:r>
      <w:r w:rsidR="00F92A61">
        <w:t xml:space="preserve"> Boise’s argument</w:t>
      </w:r>
      <w:r w:rsidR="0062568B">
        <w:t>s</w:t>
      </w:r>
      <w:r w:rsidR="00F92A61">
        <w:t xml:space="preserve"> regarding the public interest standard conflate the Commission’s policy objective of pursuing alternatives to the general rate case process and the public interest standard associated with exemptions from Commission rules.</w:t>
      </w:r>
      <w:r w:rsidR="00F92A61">
        <w:rPr>
          <w:rStyle w:val="FootnoteReference"/>
        </w:rPr>
        <w:footnoteReference w:id="45"/>
      </w:r>
      <w:r w:rsidR="00F92A61">
        <w:t xml:space="preserve">  Boise </w:t>
      </w:r>
      <w:r w:rsidR="0062568B">
        <w:t xml:space="preserve">argues that the </w:t>
      </w:r>
      <w:r w:rsidR="005A0110">
        <w:t>ERF</w:t>
      </w:r>
      <w:r w:rsidR="00F92A61">
        <w:t xml:space="preserve"> concept</w:t>
      </w:r>
      <w:r w:rsidR="0062568B">
        <w:t xml:space="preserve"> is against the public interest</w:t>
      </w:r>
      <w:r w:rsidR="00F92A61">
        <w:t>.</w:t>
      </w:r>
      <w:r w:rsidR="00F92A61">
        <w:rPr>
          <w:rStyle w:val="FootnoteReference"/>
        </w:rPr>
        <w:footnoteReference w:id="46"/>
      </w:r>
      <w:r w:rsidR="00F92A61">
        <w:t xml:space="preserve">  </w:t>
      </w:r>
      <w:r w:rsidR="0062568B">
        <w:t>The Commission has expressly held otherwise</w:t>
      </w:r>
      <w:r w:rsidR="00F92A61">
        <w:t>.</w:t>
      </w:r>
      <w:r w:rsidR="00F92A61">
        <w:rPr>
          <w:rStyle w:val="FootnoteReference"/>
        </w:rPr>
        <w:footnoteReference w:id="47"/>
      </w:r>
      <w:r w:rsidR="0062568B">
        <w:t xml:space="preserve">  In addition, the Commission has not required a public interest </w:t>
      </w:r>
      <w:r w:rsidR="00F07A08">
        <w:t xml:space="preserve">evaluation </w:t>
      </w:r>
      <w:r w:rsidR="0062568B">
        <w:t xml:space="preserve">before it considers an ERF, contrary to what Boise implies.   </w:t>
      </w:r>
      <w:r>
        <w:tab/>
      </w:r>
    </w:p>
    <w:p w:rsidR="006C2E09" w:rsidRDefault="0034021A" w:rsidP="00F92A61">
      <w:pPr>
        <w:pStyle w:val="Washingtonparagraph"/>
        <w:numPr>
          <w:ilvl w:val="0"/>
          <w:numId w:val="2"/>
        </w:numPr>
        <w:tabs>
          <w:tab w:val="num" w:pos="720"/>
        </w:tabs>
        <w:ind w:hanging="720"/>
      </w:pPr>
      <w:r>
        <w:tab/>
      </w:r>
      <w:r w:rsidR="0062568B">
        <w:t>I</w:t>
      </w:r>
      <w:r w:rsidR="00F92A61">
        <w:t xml:space="preserve">n support </w:t>
      </w:r>
      <w:r w:rsidR="0062568B">
        <w:t xml:space="preserve">of </w:t>
      </w:r>
      <w:r w:rsidR="00F92A61">
        <w:t xml:space="preserve">its </w:t>
      </w:r>
      <w:r w:rsidR="00F07A08">
        <w:t>public interest claim,</w:t>
      </w:r>
      <w:r w:rsidR="00F92A61">
        <w:t xml:space="preserve"> </w:t>
      </w:r>
      <w:r w:rsidR="0062568B">
        <w:t xml:space="preserve">Boise </w:t>
      </w:r>
      <w:r w:rsidR="00F92A61">
        <w:t>a</w:t>
      </w:r>
      <w:r w:rsidR="00F07A08">
        <w:t>rgues</w:t>
      </w:r>
      <w:r w:rsidR="00F92A61">
        <w:t xml:space="preserve"> the merits of Pacific Power’s </w:t>
      </w:r>
      <w:r w:rsidR="007078C8">
        <w:t>petition</w:t>
      </w:r>
      <w:r w:rsidR="00F92A61">
        <w:t>, including the relative benefit of the rate increase cap in the ERF, as opposed to a general rate case.</w:t>
      </w:r>
      <w:r w:rsidR="00F92A61">
        <w:rPr>
          <w:rStyle w:val="FootnoteReference"/>
        </w:rPr>
        <w:footnoteReference w:id="48"/>
      </w:r>
      <w:r w:rsidR="00F92A61">
        <w:t xml:space="preserve">  Boise also </w:t>
      </w:r>
      <w:r w:rsidR="00F07A08">
        <w:t>raises</w:t>
      </w:r>
      <w:r w:rsidR="00F92A61">
        <w:t xml:space="preserve"> return on equity issue</w:t>
      </w:r>
      <w:r w:rsidR="00F07A08">
        <w:t>s</w:t>
      </w:r>
      <w:r w:rsidR="00F92A61">
        <w:t xml:space="preserve">, evidentiary issues from the Company’s last general rate case related to </w:t>
      </w:r>
      <w:r w:rsidR="00F07A08">
        <w:t>certain</w:t>
      </w:r>
      <w:r w:rsidR="00F92A61">
        <w:t xml:space="preserve"> pro forma adjustments, the intervention of the Sierra Club, the use of end-of-period rate base, and </w:t>
      </w:r>
      <w:r w:rsidR="00F07A08">
        <w:t xml:space="preserve">the Company’s </w:t>
      </w:r>
      <w:r w:rsidR="00F92A61">
        <w:t>earnings attrition analysis.</w:t>
      </w:r>
      <w:r w:rsidR="00F92A61">
        <w:rPr>
          <w:rStyle w:val="FootnoteReference"/>
        </w:rPr>
        <w:footnoteReference w:id="49"/>
      </w:r>
    </w:p>
    <w:p w:rsidR="00F92A61" w:rsidRDefault="006C2E09" w:rsidP="00F92A61">
      <w:pPr>
        <w:pStyle w:val="Washingtonparagraph"/>
        <w:numPr>
          <w:ilvl w:val="0"/>
          <w:numId w:val="2"/>
        </w:numPr>
        <w:tabs>
          <w:tab w:val="num" w:pos="720"/>
        </w:tabs>
        <w:ind w:hanging="720"/>
      </w:pPr>
      <w:r>
        <w:lastRenderedPageBreak/>
        <w:tab/>
        <w:t xml:space="preserve">Boise’s one-sided discussion of the petition </w:t>
      </w:r>
      <w:r w:rsidR="00CA4FC5">
        <w:t xml:space="preserve">omits its </w:t>
      </w:r>
      <w:r>
        <w:t>many advantages</w:t>
      </w:r>
      <w:r w:rsidR="00CA4FC5">
        <w:t>.</w:t>
      </w:r>
      <w:r>
        <w:t xml:space="preserve">   The Company will not file a general rate case for a rate change effective before April 1, 2018, which provides customers and the Commission a defined three-year break in general rate cases from the final order in Pacific Power’s most recent general rate case in March 2015 through April 1, 2018.</w:t>
      </w:r>
      <w:r>
        <w:rPr>
          <w:rStyle w:val="FootnoteReference"/>
        </w:rPr>
        <w:footnoteReference w:id="50"/>
      </w:r>
      <w:r>
        <w:t xml:space="preserve">  Pacific Power will also increase low-income funding in 2016 and 2017.</w:t>
      </w:r>
      <w:r>
        <w:rPr>
          <w:rStyle w:val="FootnoteReference"/>
        </w:rPr>
        <w:footnoteReference w:id="51"/>
      </w:r>
      <w:r>
        <w:t xml:space="preserve">  The Company proposes to file semi-annual Commission Basis Report that make the rate plan transparent and readily auditable.</w:t>
      </w:r>
      <w:r w:rsidR="00175B22">
        <w:rPr>
          <w:rStyle w:val="FootnoteReference"/>
        </w:rPr>
        <w:footnoteReference w:id="52"/>
      </w:r>
      <w:r>
        <w:t xml:space="preserve">  Finally, the </w:t>
      </w:r>
      <w:r w:rsidR="000E03D7">
        <w:t>petition</w:t>
      </w:r>
      <w:r>
        <w:t xml:space="preserve"> makes rate increases predictable and enables Pacific Power to make the investments necessary to provide and safe and reliable utility service.</w:t>
      </w:r>
    </w:p>
    <w:p w:rsidR="00F92A61" w:rsidRPr="00C416E6" w:rsidRDefault="0034021A" w:rsidP="00F92A61">
      <w:pPr>
        <w:pStyle w:val="Washingtonparagraph"/>
        <w:numPr>
          <w:ilvl w:val="0"/>
          <w:numId w:val="2"/>
        </w:numPr>
        <w:tabs>
          <w:tab w:val="num" w:pos="720"/>
        </w:tabs>
        <w:ind w:hanging="720"/>
        <w:rPr>
          <w:b/>
        </w:rPr>
      </w:pPr>
      <w:r>
        <w:tab/>
      </w:r>
      <w:r w:rsidR="00F07A08">
        <w:t>N</w:t>
      </w:r>
      <w:r w:rsidR="00F92A61">
        <w:t xml:space="preserve">one of </w:t>
      </w:r>
      <w:r w:rsidR="00CA4FC5">
        <w:t xml:space="preserve">Boise’s objections </w:t>
      </w:r>
      <w:r w:rsidR="0037632A">
        <w:t xml:space="preserve">to the Company’s petition </w:t>
      </w:r>
      <w:r w:rsidR="00F92A61">
        <w:t xml:space="preserve">are related to the criteria for a general rate case under WAC 480-07-505(1).  Instead, they </w:t>
      </w:r>
      <w:r w:rsidR="000747C9">
        <w:t>pertain to s</w:t>
      </w:r>
      <w:r w:rsidR="00F07A08">
        <w:t>ubstantive</w:t>
      </w:r>
      <w:r w:rsidR="00F92A61">
        <w:t xml:space="preserve"> issues </w:t>
      </w:r>
      <w:r w:rsidR="00F07A08">
        <w:t>the parties may address in the adjudicatory process the Commission has already commenced in this docket</w:t>
      </w:r>
      <w:r w:rsidR="00F92A61">
        <w:t>.</w:t>
      </w:r>
      <w:r w:rsidR="00F07A08">
        <w:rPr>
          <w:rStyle w:val="FootnoteReference"/>
        </w:rPr>
        <w:footnoteReference w:id="53"/>
      </w:r>
      <w:r w:rsidR="00F92A61">
        <w:t xml:space="preserve">  Boise’s procedural and evidentiary c</w:t>
      </w:r>
      <w:r w:rsidR="00F07A08">
        <w:t xml:space="preserve">laims </w:t>
      </w:r>
      <w:r w:rsidR="00F92A61">
        <w:t xml:space="preserve">are </w:t>
      </w:r>
      <w:r w:rsidR="00F07A08">
        <w:t>s</w:t>
      </w:r>
      <w:r w:rsidR="00F92A61">
        <w:t>peculati</w:t>
      </w:r>
      <w:r w:rsidR="00F07A08">
        <w:t>ve and unsubstantiated</w:t>
      </w:r>
      <w:r w:rsidR="00F92A61">
        <w:t>.</w:t>
      </w:r>
      <w:r w:rsidR="00F92A61">
        <w:rPr>
          <w:rStyle w:val="FootnoteReference"/>
        </w:rPr>
        <w:footnoteReference w:id="54"/>
      </w:r>
      <w:r w:rsidR="00F92A61">
        <w:t xml:space="preserve">  The Commission has already determined</w:t>
      </w:r>
      <w:r w:rsidR="00CA4FC5">
        <w:t xml:space="preserve"> that</w:t>
      </w:r>
      <w:r w:rsidR="00F92A61">
        <w:t xml:space="preserve">, as a matter of policy, an </w:t>
      </w:r>
      <w:r w:rsidR="005A0110">
        <w:t xml:space="preserve">ERF </w:t>
      </w:r>
      <w:r w:rsidR="00F92A61">
        <w:t>is consistent with the public interest</w:t>
      </w:r>
      <w:r w:rsidR="00F07A08">
        <w:t xml:space="preserve">.  </w:t>
      </w:r>
      <w:r w:rsidR="00F92A61">
        <w:t>Boise’s arguments addressing the public interest exemption requirements do not address that fundamental</w:t>
      </w:r>
      <w:r w:rsidR="00F07A08">
        <w:t xml:space="preserve"> fact</w:t>
      </w:r>
      <w:r w:rsidR="00F92A61">
        <w:t>.</w:t>
      </w:r>
      <w:r w:rsidR="00F92A61">
        <w:rPr>
          <w:rStyle w:val="FootnoteReference"/>
        </w:rPr>
        <w:footnoteReference w:id="55"/>
      </w:r>
      <w:r w:rsidR="00F92A61">
        <w:t xml:space="preserve">   </w:t>
      </w:r>
    </w:p>
    <w:p w:rsidR="00C416E6" w:rsidRPr="00BD2F95" w:rsidRDefault="00C416E6" w:rsidP="00480629">
      <w:pPr>
        <w:pStyle w:val="Washingtonparagraph"/>
        <w:rPr>
          <w:b/>
        </w:rPr>
      </w:pPr>
    </w:p>
    <w:p w:rsidR="00F92A61" w:rsidRDefault="00F92A61" w:rsidP="00F92A61">
      <w:pPr>
        <w:pStyle w:val="Heading1"/>
      </w:pPr>
      <w:r w:rsidRPr="00CD14F0">
        <w:lastRenderedPageBreak/>
        <w:t xml:space="preserve">CONCLUSION </w:t>
      </w:r>
    </w:p>
    <w:p w:rsidR="00D2627B" w:rsidRDefault="00F92A61" w:rsidP="00250EDE">
      <w:pPr>
        <w:pStyle w:val="Washingtonparagraph"/>
        <w:numPr>
          <w:ilvl w:val="0"/>
          <w:numId w:val="2"/>
        </w:numPr>
        <w:tabs>
          <w:tab w:val="num" w:pos="720"/>
        </w:tabs>
        <w:ind w:hanging="720"/>
      </w:pPr>
      <w:r>
        <w:tab/>
      </w:r>
      <w:r w:rsidR="00F07A08">
        <w:t>The Company respectfully requests that the</w:t>
      </w:r>
      <w:r w:rsidRPr="002001F7">
        <w:t xml:space="preserve"> Commission </w:t>
      </w:r>
      <w:r>
        <w:t xml:space="preserve">deny Boise’s Motion to Dismiss and Alternative Motion to Treat as a General Rate Case Filing.  Boise misstates the precedent from the PSE case and the Company’s </w:t>
      </w:r>
      <w:r w:rsidR="00D2627B">
        <w:t xml:space="preserve">petition </w:t>
      </w:r>
      <w:r>
        <w:t xml:space="preserve">satisfies </w:t>
      </w:r>
      <w:r w:rsidR="00D2627B">
        <w:t xml:space="preserve">all applicable </w:t>
      </w:r>
      <w:r>
        <w:t xml:space="preserve">evidentiary </w:t>
      </w:r>
      <w:r w:rsidR="00D2627B">
        <w:t xml:space="preserve">and filing </w:t>
      </w:r>
      <w:r>
        <w:t>standard</w:t>
      </w:r>
      <w:r w:rsidR="00D2627B">
        <w:t>s</w:t>
      </w:r>
      <w:r>
        <w:t xml:space="preserve">.  </w:t>
      </w:r>
    </w:p>
    <w:p w:rsidR="004C0614" w:rsidRDefault="00D2627B" w:rsidP="00250EDE">
      <w:pPr>
        <w:pStyle w:val="Washingtonparagraph"/>
        <w:numPr>
          <w:ilvl w:val="0"/>
          <w:numId w:val="2"/>
        </w:numPr>
        <w:tabs>
          <w:tab w:val="num" w:pos="720"/>
        </w:tabs>
        <w:ind w:hanging="720"/>
      </w:pPr>
      <w:r>
        <w:tab/>
      </w:r>
      <w:r w:rsidR="00F92A61">
        <w:t xml:space="preserve">The </w:t>
      </w:r>
      <w:r>
        <w:t xml:space="preserve">Commission should not treat the </w:t>
      </w:r>
      <w:r w:rsidR="00F92A61">
        <w:t xml:space="preserve">Company’s </w:t>
      </w:r>
      <w:r>
        <w:t xml:space="preserve">petition as </w:t>
      </w:r>
      <w:r w:rsidR="00F92A61">
        <w:t>a general rate case</w:t>
      </w:r>
      <w:r>
        <w:t xml:space="preserve"> because it does not fall under the guidelines set in</w:t>
      </w:r>
      <w:r w:rsidR="00F92A61">
        <w:t xml:space="preserve"> WAC 480-07-50</w:t>
      </w:r>
      <w:r w:rsidR="005E7ED2">
        <w:t>5</w:t>
      </w:r>
      <w:r w:rsidR="00F92A61">
        <w:t xml:space="preserve">(1).  The Company’s </w:t>
      </w:r>
      <w:r>
        <w:t>petition</w:t>
      </w:r>
      <w:r w:rsidR="00F92A61">
        <w:t xml:space="preserve"> is also </w:t>
      </w:r>
      <w:r>
        <w:t xml:space="preserve">fully </w:t>
      </w:r>
      <w:r w:rsidR="00F92A61">
        <w:t xml:space="preserve">consistent with Commission policy.  If necessary, the Commission </w:t>
      </w:r>
      <w:r>
        <w:t>should</w:t>
      </w:r>
      <w:r w:rsidR="00F92A61">
        <w:t xml:space="preserve"> grant an exemption to the general rate case procedural requirements </w:t>
      </w:r>
      <w:r>
        <w:t>because th</w:t>
      </w:r>
      <w:r w:rsidR="00694CB2">
        <w:t>e</w:t>
      </w:r>
      <w:r>
        <w:t xml:space="preserve"> petition is </w:t>
      </w:r>
      <w:r w:rsidR="00F92A61">
        <w:t xml:space="preserve">in the public interest.  Boise’s </w:t>
      </w:r>
      <w:r>
        <w:t xml:space="preserve">general </w:t>
      </w:r>
      <w:r w:rsidR="00F92A61">
        <w:t xml:space="preserve">public interest arguments are irrelevant and </w:t>
      </w:r>
      <w:r>
        <w:t xml:space="preserve">improperly </w:t>
      </w:r>
      <w:r w:rsidR="00F92A61">
        <w:t xml:space="preserve">address the merits of the </w:t>
      </w:r>
      <w:r w:rsidR="007078C8">
        <w:t>Company’s petition</w:t>
      </w:r>
      <w:r w:rsidR="00F92A61">
        <w:t>.</w:t>
      </w:r>
    </w:p>
    <w:p w:rsidR="00C416E6" w:rsidRDefault="00480629" w:rsidP="00480629">
      <w:pPr>
        <w:pStyle w:val="Washingtonparagraph"/>
        <w:numPr>
          <w:ilvl w:val="0"/>
          <w:numId w:val="2"/>
        </w:numPr>
        <w:tabs>
          <w:tab w:val="num" w:pos="720"/>
        </w:tabs>
        <w:ind w:hanging="720"/>
      </w:pPr>
      <w:r>
        <w:tab/>
      </w:r>
      <w:r w:rsidR="004C0614">
        <w:t>The</w:t>
      </w:r>
      <w:bookmarkStart w:id="0" w:name="_GoBack"/>
      <w:bookmarkEnd w:id="0"/>
      <w:r w:rsidR="004C0614">
        <w:t xml:space="preserve"> “Commission historically has shown its willingness and ability to meet [difficult] challenges” and </w:t>
      </w:r>
      <w:r w:rsidR="004759EB">
        <w:t xml:space="preserve">be </w:t>
      </w:r>
      <w:r w:rsidR="004C0614">
        <w:t>“flexible when carrying out statutory duties that are fundamentally defined by its obligation to ensure that utility rates are fair just, reasonable and sufficient on a continuing basis.”</w:t>
      </w:r>
      <w:r w:rsidR="004C0614">
        <w:rPr>
          <w:rStyle w:val="FootnoteReference"/>
        </w:rPr>
        <w:footnoteReference w:id="56"/>
      </w:r>
      <w:r w:rsidR="0037632A">
        <w:t xml:space="preserve"> </w:t>
      </w:r>
      <w:r w:rsidR="004C0614">
        <w:t xml:space="preserve"> </w:t>
      </w:r>
      <w:r w:rsidR="004759EB">
        <w:t xml:space="preserve">Pacific Power’s petition </w:t>
      </w:r>
      <w:r w:rsidR="000215B9">
        <w:t>constructively r</w:t>
      </w:r>
      <w:r w:rsidR="0037632A">
        <w:t xml:space="preserve">esponds </w:t>
      </w:r>
    </w:p>
    <w:p w:rsidR="00C416E6" w:rsidRDefault="00C416E6">
      <w:r>
        <w:br w:type="page"/>
      </w:r>
    </w:p>
    <w:p w:rsidR="00F92A61" w:rsidRDefault="0037632A" w:rsidP="00C416E6">
      <w:pPr>
        <w:pStyle w:val="Washingtonparagraph"/>
      </w:pPr>
      <w:r>
        <w:lastRenderedPageBreak/>
        <w:t xml:space="preserve">to the </w:t>
      </w:r>
      <w:r w:rsidR="004759EB">
        <w:t xml:space="preserve">Commission’s </w:t>
      </w:r>
      <w:r>
        <w:t>efforts to develop new mechanisms to</w:t>
      </w:r>
      <w:r w:rsidR="004759EB">
        <w:t xml:space="preserve"> meet </w:t>
      </w:r>
      <w:r w:rsidR="000215B9">
        <w:t xml:space="preserve">current ratemaking challenges.  Because </w:t>
      </w:r>
      <w:r w:rsidR="004759EB">
        <w:t xml:space="preserve">Boise’s </w:t>
      </w:r>
      <w:r w:rsidR="00694CB2">
        <w:t>m</w:t>
      </w:r>
      <w:r w:rsidR="004759EB">
        <w:t>otions</w:t>
      </w:r>
      <w:r w:rsidR="000215B9">
        <w:t xml:space="preserve"> attempt to thwart these initiatives, the </w:t>
      </w:r>
      <w:r w:rsidR="00694CB2">
        <w:t>m</w:t>
      </w:r>
      <w:r w:rsidR="000215B9">
        <w:t xml:space="preserve">otions should be denied. </w:t>
      </w:r>
      <w:r w:rsidR="004759EB">
        <w:t xml:space="preserve"> </w:t>
      </w:r>
      <w:r>
        <w:t xml:space="preserve">  </w:t>
      </w:r>
    </w:p>
    <w:p w:rsidR="00F92A61" w:rsidRPr="00B77831" w:rsidRDefault="00F92A61" w:rsidP="00F92A61">
      <w:pPr>
        <w:pStyle w:val="WAP1"/>
      </w:pPr>
      <w:r w:rsidRPr="00B77831">
        <w:t>Respectfully submitted this</w:t>
      </w:r>
      <w:r w:rsidR="00694CB2">
        <w:t xml:space="preserve"> 18th</w:t>
      </w:r>
      <w:r w:rsidRPr="00B77831">
        <w:t xml:space="preserve"> day of </w:t>
      </w:r>
      <w:r>
        <w:t>December</w:t>
      </w:r>
      <w:r w:rsidRPr="00B77831">
        <w:t>, 2015.</w:t>
      </w:r>
    </w:p>
    <w:p w:rsidR="00F92A61" w:rsidRPr="00945C41" w:rsidRDefault="00F92A61" w:rsidP="00F92A61">
      <w:pPr>
        <w:tabs>
          <w:tab w:val="left" w:pos="720"/>
          <w:tab w:val="left" w:pos="1800"/>
          <w:tab w:val="left" w:pos="4320"/>
        </w:tabs>
        <w:spacing w:line="500" w:lineRule="exact"/>
        <w:ind w:hanging="720"/>
        <w:jc w:val="both"/>
      </w:pPr>
    </w:p>
    <w:p w:rsidR="00F92A61" w:rsidRPr="00A40740" w:rsidRDefault="00F92A61" w:rsidP="00F92A61">
      <w:pPr>
        <w:tabs>
          <w:tab w:val="left" w:pos="720"/>
          <w:tab w:val="left" w:pos="4320"/>
        </w:tabs>
        <w:ind w:left="5400" w:hanging="720"/>
      </w:pPr>
      <w:r w:rsidRPr="00A40740">
        <w:t>___________________________</w:t>
      </w:r>
    </w:p>
    <w:p w:rsidR="00F92A61" w:rsidRPr="00A40740" w:rsidRDefault="00F92A61" w:rsidP="00F92A61">
      <w:pPr>
        <w:pStyle w:val="normalblock"/>
        <w:keepNext/>
        <w:keepLines/>
        <w:tabs>
          <w:tab w:val="left" w:pos="720"/>
          <w:tab w:val="left" w:pos="4140"/>
          <w:tab w:val="left" w:pos="4320"/>
        </w:tabs>
        <w:spacing w:line="240" w:lineRule="auto"/>
        <w:ind w:left="5400" w:hanging="720"/>
        <w:outlineLvl w:val="0"/>
        <w:rPr>
          <w:szCs w:val="24"/>
        </w:rPr>
      </w:pPr>
      <w:r w:rsidRPr="00A40740">
        <w:rPr>
          <w:szCs w:val="24"/>
        </w:rPr>
        <w:t>Katherine A. McDowell</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McDowell Rackner &amp; Gibson PC</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419 SW 11</w:t>
      </w:r>
      <w:r w:rsidRPr="00A40740">
        <w:rPr>
          <w:szCs w:val="24"/>
          <w:vertAlign w:val="superscript"/>
        </w:rPr>
        <w:t>th</w:t>
      </w:r>
      <w:r w:rsidRPr="00A40740">
        <w:rPr>
          <w:szCs w:val="24"/>
        </w:rPr>
        <w:t xml:space="preserve"> Ave., Suite 400</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Portland, OR 97205</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Telephone:  (503) 595-3924</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Facsimile:  (503) 595-3928</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A40740">
        <w:rPr>
          <w:szCs w:val="24"/>
        </w:rPr>
        <w:t xml:space="preserve">Email:  </w:t>
      </w:r>
      <w:hyperlink r:id="rId8" w:history="1">
        <w:r w:rsidRPr="00A40740">
          <w:rPr>
            <w:rStyle w:val="Hyperlink"/>
            <w:szCs w:val="24"/>
          </w:rPr>
          <w:t>katherine@mcd-law.com</w:t>
        </w:r>
      </w:hyperlink>
      <w:r w:rsidRPr="00A40740">
        <w:rPr>
          <w:szCs w:val="24"/>
        </w:rPr>
        <w:t xml:space="preserve">  </w:t>
      </w:r>
    </w:p>
    <w:p w:rsidR="00F92A61" w:rsidRPr="00A40740" w:rsidRDefault="00F92A61" w:rsidP="00F92A61">
      <w:pPr>
        <w:pStyle w:val="plain"/>
        <w:tabs>
          <w:tab w:val="left" w:pos="720"/>
          <w:tab w:val="left" w:pos="4140"/>
          <w:tab w:val="left" w:pos="4320"/>
        </w:tabs>
        <w:ind w:left="5400" w:hanging="720"/>
        <w:rPr>
          <w:szCs w:val="24"/>
        </w:rPr>
      </w:pPr>
    </w:p>
    <w:p w:rsidR="00F92A61" w:rsidRPr="00B77831" w:rsidRDefault="00F92A61" w:rsidP="00F92A61">
      <w:pPr>
        <w:pStyle w:val="normalblock"/>
        <w:keepNext/>
        <w:keepLines/>
        <w:tabs>
          <w:tab w:val="left" w:pos="720"/>
          <w:tab w:val="left" w:pos="4140"/>
          <w:tab w:val="left" w:pos="4320"/>
        </w:tabs>
        <w:spacing w:line="240" w:lineRule="auto"/>
        <w:ind w:left="5400" w:hanging="720"/>
        <w:rPr>
          <w:szCs w:val="24"/>
        </w:rPr>
      </w:pPr>
      <w:r w:rsidRPr="00B77831">
        <w:rPr>
          <w:szCs w:val="24"/>
        </w:rPr>
        <w:t>Matthew McVee</w:t>
      </w:r>
    </w:p>
    <w:p w:rsidR="00F92A61" w:rsidRPr="00B77831" w:rsidRDefault="00F92A61" w:rsidP="00F92A61">
      <w:pPr>
        <w:keepNext/>
        <w:keepLines/>
        <w:ind w:left="3960" w:firstLine="720"/>
        <w:rPr>
          <w:color w:val="000000" w:themeColor="text1"/>
        </w:rPr>
      </w:pPr>
      <w:r w:rsidRPr="00B77831">
        <w:t>Assistant General Counsel</w:t>
      </w:r>
    </w:p>
    <w:p w:rsidR="00F92A61" w:rsidRPr="00B77831" w:rsidRDefault="00F92A61" w:rsidP="00F92A61">
      <w:pPr>
        <w:keepNext/>
        <w:keepLines/>
        <w:ind w:left="4680"/>
        <w:rPr>
          <w:color w:val="000000" w:themeColor="text1"/>
        </w:rPr>
      </w:pPr>
      <w:r w:rsidRPr="00B77831">
        <w:rPr>
          <w:color w:val="000000" w:themeColor="text1"/>
        </w:rPr>
        <w:t>825 NE Multnomah Street, Suite 1800</w:t>
      </w:r>
    </w:p>
    <w:p w:rsidR="00F92A61" w:rsidRPr="00B77831" w:rsidRDefault="00F92A61" w:rsidP="00F92A61">
      <w:pPr>
        <w:keepNext/>
        <w:keepLines/>
        <w:ind w:left="3960" w:firstLine="720"/>
        <w:rPr>
          <w:color w:val="000000" w:themeColor="text1"/>
        </w:rPr>
      </w:pPr>
      <w:r w:rsidRPr="00B77831">
        <w:rPr>
          <w:color w:val="000000" w:themeColor="text1"/>
        </w:rPr>
        <w:t>Portland, OR  97232</w:t>
      </w:r>
    </w:p>
    <w:p w:rsidR="00F92A61" w:rsidRPr="00B77831" w:rsidRDefault="00F92A61" w:rsidP="00F92A61">
      <w:pPr>
        <w:keepNext/>
        <w:keepLines/>
        <w:ind w:left="3960" w:firstLine="720"/>
        <w:rPr>
          <w:color w:val="000000" w:themeColor="text1"/>
        </w:rPr>
      </w:pPr>
      <w:r w:rsidRPr="00B77831">
        <w:rPr>
          <w:color w:val="000000" w:themeColor="text1"/>
        </w:rPr>
        <w:t>Phone: (503) 813-5585</w:t>
      </w:r>
    </w:p>
    <w:p w:rsidR="00F92A61" w:rsidRPr="00A40740" w:rsidRDefault="00F92A61" w:rsidP="00F92A61">
      <w:pPr>
        <w:pStyle w:val="normalblock"/>
        <w:keepNext/>
        <w:keepLines/>
        <w:tabs>
          <w:tab w:val="left" w:pos="720"/>
          <w:tab w:val="left" w:pos="4140"/>
          <w:tab w:val="left" w:pos="4320"/>
        </w:tabs>
        <w:spacing w:line="240" w:lineRule="auto"/>
        <w:ind w:left="5400" w:hanging="720"/>
        <w:rPr>
          <w:szCs w:val="24"/>
        </w:rPr>
      </w:pPr>
      <w:r w:rsidRPr="00B77831">
        <w:rPr>
          <w:color w:val="000000" w:themeColor="text1"/>
          <w:szCs w:val="24"/>
        </w:rPr>
        <w:t xml:space="preserve">Email:  </w:t>
      </w:r>
      <w:r w:rsidRPr="00B77831">
        <w:rPr>
          <w:rStyle w:val="Hyperlink"/>
          <w:szCs w:val="24"/>
        </w:rPr>
        <w:t>matthew.mcvee@pacificorp.com</w:t>
      </w:r>
      <w:r w:rsidRPr="005D3EF2" w:rsidDel="005D3EF2">
        <w:rPr>
          <w:rStyle w:val="Hyperlink"/>
        </w:rPr>
        <w:t xml:space="preserve"> </w:t>
      </w:r>
    </w:p>
    <w:p w:rsidR="00F92A61" w:rsidRPr="00C8028F" w:rsidRDefault="00F92A61" w:rsidP="00F92A61">
      <w:pPr>
        <w:spacing w:line="480" w:lineRule="auto"/>
        <w:ind w:firstLine="720"/>
      </w:pPr>
    </w:p>
    <w:sectPr w:rsidR="00F92A61" w:rsidRPr="00C8028F" w:rsidSect="00B75C4E">
      <w:headerReference w:type="default" r:id="rId9"/>
      <w:footerReference w:type="even" r:id="rId10"/>
      <w:footerReference w:type="default" r:id="rId1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8B" w:rsidRDefault="0036158B">
      <w:r>
        <w:separator/>
      </w:r>
    </w:p>
  </w:endnote>
  <w:endnote w:type="continuationSeparator" w:id="0">
    <w:p w:rsidR="0036158B" w:rsidRDefault="003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A" w:rsidRDefault="0041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B2A" w:rsidRDefault="0041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C" w:rsidRDefault="00DD0FBC">
    <w:pPr>
      <w:pStyle w:val="Footer"/>
      <w:ind w:right="360"/>
    </w:pPr>
  </w:p>
  <w:p w:rsidR="00DD0FBC" w:rsidRDefault="00C355F6">
    <w:pPr>
      <w:pStyle w:val="Footer"/>
      <w:ind w:right="360"/>
    </w:pPr>
    <w:r>
      <w:t xml:space="preserve">Docket No. </w:t>
    </w:r>
    <w:r w:rsidR="00DD0FBC">
      <w:t>UE-152253</w:t>
    </w:r>
  </w:p>
  <w:p w:rsidR="00DD0FBC" w:rsidRDefault="00416B2A" w:rsidP="005A0110">
    <w:pPr>
      <w:pStyle w:val="Footer"/>
      <w:ind w:right="360"/>
      <w:rPr>
        <w:rStyle w:val="PageNumber"/>
      </w:rPr>
    </w:pPr>
    <w:r>
      <w:t>Pacific</w:t>
    </w:r>
    <w:r w:rsidR="000573A9">
      <w:t xml:space="preserve"> </w:t>
    </w:r>
    <w:r>
      <w:t>Power’s Response to Boise’s Motion</w:t>
    </w:r>
    <w:r w:rsidR="0045198D">
      <w:t xml:space="preserve"> to Dismiss and Alternative Motion</w:t>
    </w:r>
    <w:r w:rsidR="00DD0FBC">
      <w:t>—</w:t>
    </w:r>
    <w:r w:rsidR="00DD0FBC">
      <w:rPr>
        <w:rStyle w:val="PageNumber"/>
      </w:rPr>
      <w:fldChar w:fldCharType="begin"/>
    </w:r>
    <w:r w:rsidR="00DD0FBC">
      <w:rPr>
        <w:rStyle w:val="PageNumber"/>
      </w:rPr>
      <w:instrText xml:space="preserve">PAGE  </w:instrText>
    </w:r>
    <w:r w:rsidR="00DD0FBC">
      <w:rPr>
        <w:rStyle w:val="PageNumber"/>
      </w:rPr>
      <w:fldChar w:fldCharType="separate"/>
    </w:r>
    <w:r w:rsidR="00480629">
      <w:rPr>
        <w:rStyle w:val="PageNumber"/>
        <w:noProof/>
      </w:rPr>
      <w:t>14</w:t>
    </w:r>
    <w:r w:rsidR="00DD0F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8B" w:rsidRDefault="0036158B">
      <w:r>
        <w:separator/>
      </w:r>
    </w:p>
  </w:footnote>
  <w:footnote w:type="continuationSeparator" w:id="0">
    <w:p w:rsidR="0036158B" w:rsidRDefault="0036158B">
      <w:r>
        <w:continuationSeparator/>
      </w:r>
    </w:p>
  </w:footnote>
  <w:footnote w:id="1">
    <w:p w:rsidR="00416B2A" w:rsidRPr="0034021A" w:rsidRDefault="00416B2A" w:rsidP="0034021A">
      <w:pPr>
        <w:pStyle w:val="FootnoteText"/>
      </w:pPr>
      <w:r w:rsidRPr="0034021A">
        <w:rPr>
          <w:rStyle w:val="FootnoteReference"/>
        </w:rPr>
        <w:footnoteRef/>
      </w:r>
      <w:r w:rsidRPr="0034021A">
        <w:t xml:space="preserve"> </w:t>
      </w:r>
      <w:r w:rsidRPr="0034021A">
        <w:rPr>
          <w:i/>
        </w:rPr>
        <w:t>Indus</w:t>
      </w:r>
      <w:r w:rsidR="000573A9">
        <w:rPr>
          <w:i/>
        </w:rPr>
        <w:t>trial</w:t>
      </w:r>
      <w:r w:rsidRPr="0034021A">
        <w:rPr>
          <w:i/>
        </w:rPr>
        <w:t xml:space="preserve"> Customers of NW Utils. v. WUTC</w:t>
      </w:r>
      <w:r w:rsidRPr="0034021A">
        <w:t xml:space="preserve">, Thurston County Superior Court Case Nos. 13-2-01576-2 and 13-2-01582-7 (consolidated), Order Granting in Part and Denying in Part Petitions for Judicial Review (July 25, 2014) and </w:t>
      </w:r>
      <w:r w:rsidRPr="0034021A">
        <w:rPr>
          <w:i/>
        </w:rPr>
        <w:t xml:space="preserve">WUTC v. </w:t>
      </w:r>
      <w:r w:rsidR="009C2DF8" w:rsidRPr="0034021A">
        <w:rPr>
          <w:i/>
        </w:rPr>
        <w:t>Puget Sound Energy, Inc</w:t>
      </w:r>
      <w:r w:rsidR="0007178E">
        <w:rPr>
          <w:i/>
        </w:rPr>
        <w:t>.</w:t>
      </w:r>
      <w:r w:rsidR="009C2DF8" w:rsidRPr="0034021A">
        <w:t>.</w:t>
      </w:r>
      <w:r w:rsidRPr="0034021A">
        <w:t>, Dockets UE-130137 and UG-130138 (consolidated)</w:t>
      </w:r>
      <w:r w:rsidRPr="0034021A">
        <w:rPr>
          <w:i/>
        </w:rPr>
        <w:t xml:space="preserve"> et al.</w:t>
      </w:r>
      <w:r w:rsidRPr="0034021A">
        <w:t>, Order 15/14 (June 29, 2015) (</w:t>
      </w:r>
      <w:r w:rsidR="000573A9">
        <w:t>c</w:t>
      </w:r>
      <w:r w:rsidRPr="0034021A">
        <w:t>ollectively referred to as PSE Orders).</w:t>
      </w:r>
    </w:p>
  </w:footnote>
  <w:footnote w:id="2">
    <w:p w:rsidR="00416B2A" w:rsidRPr="0034021A" w:rsidRDefault="00416B2A" w:rsidP="0034021A">
      <w:pPr>
        <w:pStyle w:val="FootnoteText"/>
      </w:pPr>
      <w:r w:rsidRPr="0034021A">
        <w:rPr>
          <w:rStyle w:val="FootnoteReference"/>
        </w:rPr>
        <w:footnoteRef/>
      </w:r>
      <w:r w:rsidRPr="0034021A">
        <w:t xml:space="preserve"> As Pacific Power stated in its Petition for a Rate Increase Based on a Modified Commission Basis Report, Report, Two-Year Rate Plan, and Decoupling Mechanism, “Mr. [Kurt] Strunk’s testimony and analysis provides substantial evidence for the Commission to approve this petition without modifying the Company’s currently authorized return on equity.” </w:t>
      </w:r>
      <w:r w:rsidR="00C355F6">
        <w:t xml:space="preserve"> </w:t>
      </w:r>
      <w:r w:rsidRPr="0034021A">
        <w:t>Petition at 14, ¶ 28 (Nov. 25, 2015).</w:t>
      </w:r>
    </w:p>
  </w:footnote>
  <w:footnote w:id="3">
    <w:p w:rsidR="00416B2A" w:rsidRPr="0034021A" w:rsidRDefault="00416B2A" w:rsidP="0034021A">
      <w:pPr>
        <w:pStyle w:val="FootnoteText"/>
      </w:pPr>
      <w:r w:rsidRPr="0034021A">
        <w:rPr>
          <w:rStyle w:val="FootnoteReference"/>
        </w:rPr>
        <w:footnoteRef/>
      </w:r>
      <w:r w:rsidRPr="0034021A">
        <w:t xml:space="preserve"> </w:t>
      </w:r>
      <w:r w:rsidRPr="0034021A">
        <w:rPr>
          <w:i/>
        </w:rPr>
        <w:t xml:space="preserve">WUTC v. </w:t>
      </w:r>
      <w:r w:rsidR="009C2DF8" w:rsidRPr="0034021A">
        <w:rPr>
          <w:i/>
        </w:rPr>
        <w:t>Puget Sound Energy, Inc</w:t>
      </w:r>
      <w:r w:rsidR="009C2DF8" w:rsidRPr="0034021A">
        <w:t>.</w:t>
      </w:r>
      <w:r w:rsidRPr="0034021A">
        <w:t>, Dockets UE-130137 and UG-130138 (consolidated)</w:t>
      </w:r>
      <w:r w:rsidRPr="0034021A">
        <w:rPr>
          <w:i/>
        </w:rPr>
        <w:t xml:space="preserve"> et al.</w:t>
      </w:r>
      <w:r w:rsidRPr="0034021A">
        <w:t xml:space="preserve">, Order 07 at 13, ¶ 32 (June 25, 2013).  </w:t>
      </w:r>
    </w:p>
  </w:footnote>
  <w:footnote w:id="4">
    <w:p w:rsidR="00416B2A" w:rsidRPr="0034021A" w:rsidRDefault="00416B2A" w:rsidP="0034021A">
      <w:pPr>
        <w:pStyle w:val="HTMLPreformatted"/>
        <w:shd w:val="clear" w:color="auto" w:fill="FFFFFF"/>
        <w:rPr>
          <w:rFonts w:ascii="Times New Roman" w:hAnsi="Times New Roman" w:cs="Times New Roman"/>
        </w:rPr>
      </w:pPr>
      <w:r w:rsidRPr="0034021A">
        <w:rPr>
          <w:rStyle w:val="FootnoteReference"/>
          <w:rFonts w:ascii="Times New Roman" w:hAnsi="Times New Roman" w:cs="Times New Roman"/>
        </w:rPr>
        <w:footnoteRef/>
      </w:r>
      <w:r w:rsidRPr="0034021A">
        <w:rPr>
          <w:rFonts w:ascii="Times New Roman" w:hAnsi="Times New Roman" w:cs="Times New Roman"/>
        </w:rPr>
        <w:t xml:space="preserve"> </w:t>
      </w:r>
      <w:r w:rsidRPr="0034021A">
        <w:rPr>
          <w:rFonts w:ascii="Times New Roman" w:hAnsi="Times New Roman" w:cs="Times New Roman"/>
          <w:i/>
        </w:rPr>
        <w:t>WUTC v. Waste Control, Inc.</w:t>
      </w:r>
      <w:r w:rsidRPr="0034021A">
        <w:rPr>
          <w:rFonts w:ascii="Times New Roman" w:hAnsi="Times New Roman" w:cs="Times New Roman"/>
        </w:rPr>
        <w:t xml:space="preserve">, Docket TG-131794, Order 05 at 5, ¶ 12 (Mar. 25, 2014) (“In this review, we consider the facts alleged in the [Company’s] rate case filing in a light most favorable to the Company.”). </w:t>
      </w:r>
    </w:p>
  </w:footnote>
  <w:footnote w:id="5">
    <w:p w:rsidR="00416B2A" w:rsidRPr="0034021A" w:rsidRDefault="00416B2A" w:rsidP="0034021A">
      <w:pPr>
        <w:rPr>
          <w:sz w:val="20"/>
          <w:szCs w:val="20"/>
        </w:rPr>
      </w:pPr>
      <w:r w:rsidRPr="0034021A">
        <w:rPr>
          <w:rStyle w:val="FootnoteReference"/>
          <w:sz w:val="20"/>
          <w:szCs w:val="20"/>
        </w:rPr>
        <w:footnoteRef/>
      </w:r>
      <w:r w:rsidRPr="0034021A">
        <w:rPr>
          <w:sz w:val="20"/>
          <w:szCs w:val="20"/>
        </w:rPr>
        <w:t xml:space="preserve"> </w:t>
      </w:r>
      <w:r w:rsidRPr="0034021A">
        <w:rPr>
          <w:i/>
          <w:sz w:val="20"/>
          <w:szCs w:val="20"/>
        </w:rPr>
        <w:t>Bravo v. Dolsen Companies</w:t>
      </w:r>
      <w:r w:rsidRPr="0034021A">
        <w:rPr>
          <w:sz w:val="20"/>
          <w:szCs w:val="20"/>
        </w:rPr>
        <w:t xml:space="preserve">, </w:t>
      </w:r>
      <w:r w:rsidR="009C2DF8">
        <w:rPr>
          <w:sz w:val="20"/>
          <w:szCs w:val="20"/>
        </w:rPr>
        <w:t xml:space="preserve">125 Wash.2d 745, 750, </w:t>
      </w:r>
      <w:r w:rsidR="008A51C5">
        <w:rPr>
          <w:sz w:val="20"/>
          <w:szCs w:val="20"/>
        </w:rPr>
        <w:t>888 P.2d 147, 150 (</w:t>
      </w:r>
      <w:r w:rsidRPr="0034021A">
        <w:rPr>
          <w:sz w:val="20"/>
          <w:szCs w:val="20"/>
        </w:rPr>
        <w:t>1995)</w:t>
      </w:r>
      <w:r w:rsidR="009314E4">
        <w:rPr>
          <w:sz w:val="20"/>
          <w:szCs w:val="20"/>
        </w:rPr>
        <w:t>.</w:t>
      </w:r>
    </w:p>
  </w:footnote>
  <w:footnote w:id="6">
    <w:p w:rsidR="00416B2A" w:rsidRPr="0034021A" w:rsidRDefault="00416B2A" w:rsidP="0034021A">
      <w:pPr>
        <w:pStyle w:val="FootnoteText"/>
        <w:rPr>
          <w:i/>
        </w:rPr>
      </w:pPr>
      <w:r w:rsidRPr="0034021A">
        <w:rPr>
          <w:rStyle w:val="FootnoteReference"/>
        </w:rPr>
        <w:footnoteRef/>
      </w:r>
      <w:r w:rsidRPr="0034021A">
        <w:t xml:space="preserve"> </w:t>
      </w:r>
      <w:r w:rsidRPr="0034021A">
        <w:rPr>
          <w:i/>
        </w:rPr>
        <w:t>Id.</w:t>
      </w:r>
    </w:p>
  </w:footnote>
  <w:footnote w:id="7">
    <w:p w:rsidR="00416B2A" w:rsidRPr="0034021A" w:rsidRDefault="00416B2A" w:rsidP="0034021A">
      <w:pPr>
        <w:pStyle w:val="FootnoteText"/>
      </w:pPr>
      <w:r w:rsidRPr="0034021A">
        <w:rPr>
          <w:rStyle w:val="FootnoteReference"/>
        </w:rPr>
        <w:footnoteRef/>
      </w:r>
      <w:r w:rsidRPr="0034021A">
        <w:rPr>
          <w:i/>
        </w:rPr>
        <w:t xml:space="preserve"> See </w:t>
      </w:r>
      <w:r w:rsidR="0045198D">
        <w:t>Boise’s Motion to Dismiss and Alternative Motion</w:t>
      </w:r>
      <w:r w:rsidRPr="0034021A">
        <w:t xml:space="preserve"> at 1-5, §§ 1-7</w:t>
      </w:r>
      <w:r w:rsidR="007078C8">
        <w:t xml:space="preserve"> (Dec. 10, 2015)</w:t>
      </w:r>
      <w:r w:rsidRPr="0034021A">
        <w:t xml:space="preserve">.  Boise does not </w:t>
      </w:r>
      <w:r w:rsidR="000573A9">
        <w:t>seek dismissal of</w:t>
      </w:r>
      <w:r w:rsidR="000573A9" w:rsidRPr="0034021A">
        <w:t xml:space="preserve"> </w:t>
      </w:r>
      <w:r w:rsidRPr="0034021A">
        <w:t>the Company’s decoupling mechanism proposal.</w:t>
      </w:r>
    </w:p>
  </w:footnote>
  <w:footnote w:id="8">
    <w:p w:rsidR="00416B2A" w:rsidRPr="0034021A" w:rsidRDefault="00416B2A" w:rsidP="0034021A">
      <w:pPr>
        <w:pStyle w:val="FootnoteText"/>
      </w:pPr>
      <w:r w:rsidRPr="0034021A">
        <w:rPr>
          <w:rStyle w:val="FootnoteReference"/>
        </w:rPr>
        <w:footnoteRef/>
      </w:r>
      <w:r w:rsidRPr="0034021A">
        <w:rPr>
          <w:i/>
        </w:rPr>
        <w:t xml:space="preserve"> See </w:t>
      </w:r>
      <w:r w:rsidR="007078C8">
        <w:rPr>
          <w:i/>
        </w:rPr>
        <w:t>id.</w:t>
      </w:r>
      <w:r w:rsidRPr="0034021A">
        <w:t xml:space="preserve"> at 4</w:t>
      </w:r>
      <w:r w:rsidR="009314E4">
        <w:t>-5</w:t>
      </w:r>
      <w:r w:rsidRPr="0034021A">
        <w:t>, § 6</w:t>
      </w:r>
      <w:r w:rsidR="009314E4">
        <w:t>-7</w:t>
      </w:r>
      <w:r w:rsidRPr="0034021A">
        <w:t xml:space="preserve">. </w:t>
      </w:r>
    </w:p>
  </w:footnote>
  <w:footnote w:id="9">
    <w:p w:rsidR="00416B2A" w:rsidRPr="0034021A" w:rsidRDefault="00416B2A" w:rsidP="0034021A">
      <w:pPr>
        <w:pStyle w:val="FootnoteText"/>
      </w:pPr>
      <w:r w:rsidRPr="0034021A">
        <w:rPr>
          <w:rStyle w:val="FootnoteReference"/>
        </w:rPr>
        <w:footnoteRef/>
      </w:r>
      <w:r w:rsidRPr="0034021A">
        <w:t xml:space="preserve"> </w:t>
      </w:r>
      <w:r w:rsidRPr="0034021A">
        <w:rPr>
          <w:i/>
        </w:rPr>
        <w:t>WUTC v. Pacific Power &amp; Light,</w:t>
      </w:r>
      <w:r w:rsidRPr="0034021A">
        <w:t xml:space="preserve"> Docket UE-111190, Direct Testimony of Andrea L. Kelly, Exhibit No. ALK-1T at 8:1-11 and 9:20-23 (July 1, 2011).</w:t>
      </w:r>
      <w:r w:rsidR="007E51DD">
        <w:t xml:space="preserve">  </w:t>
      </w:r>
      <w:r w:rsidR="007E51DD" w:rsidRPr="00E66BA9">
        <w:rPr>
          <w:i/>
        </w:rPr>
        <w:t>See also</w:t>
      </w:r>
      <w:r w:rsidR="007E51DD">
        <w:t xml:space="preserve"> Direct Testimony of Bruce N. Williams, Exhibit No. BNW-1T at 1:23-2:3 (July 1, 2011).</w:t>
      </w:r>
    </w:p>
  </w:footnote>
  <w:footnote w:id="10">
    <w:p w:rsidR="00416B2A" w:rsidRPr="0034021A" w:rsidRDefault="00416B2A" w:rsidP="0034021A">
      <w:pPr>
        <w:pStyle w:val="FootnoteText"/>
      </w:pPr>
      <w:r w:rsidRPr="0034021A">
        <w:rPr>
          <w:rStyle w:val="FootnoteReference"/>
        </w:rPr>
        <w:footnoteRef/>
      </w:r>
      <w:r w:rsidRPr="0034021A">
        <w:t xml:space="preserve"> </w:t>
      </w:r>
      <w:r w:rsidR="007078C8" w:rsidRPr="00CA4FC5">
        <w:rPr>
          <w:i/>
        </w:rPr>
        <w:t xml:space="preserve">See </w:t>
      </w:r>
      <w:r w:rsidRPr="0034021A">
        <w:rPr>
          <w:i/>
        </w:rPr>
        <w:t>WUTC v. Pacific Power &amp; Light,</w:t>
      </w:r>
      <w:r w:rsidRPr="0034021A">
        <w:t xml:space="preserve"> Docket UE-111190, Order 07 (Mar. 30, 2012).</w:t>
      </w:r>
    </w:p>
  </w:footnote>
  <w:footnote w:id="11">
    <w:p w:rsidR="00416B2A" w:rsidRPr="0034021A" w:rsidRDefault="00416B2A" w:rsidP="0034021A">
      <w:pPr>
        <w:pStyle w:val="ListParagraph"/>
        <w:shd w:val="clear" w:color="auto" w:fill="FFFFFF"/>
        <w:ind w:left="0"/>
        <w:contextualSpacing w:val="0"/>
        <w:rPr>
          <w:sz w:val="20"/>
        </w:rPr>
      </w:pPr>
      <w:r w:rsidRPr="0034021A">
        <w:rPr>
          <w:rStyle w:val="FootnoteReference"/>
          <w:rFonts w:ascii="Times New Roman" w:hAnsi="Times New Roman"/>
          <w:sz w:val="20"/>
        </w:rPr>
        <w:footnoteRef/>
      </w:r>
      <w:r w:rsidRPr="0034021A">
        <w:rPr>
          <w:rFonts w:ascii="Times New Roman" w:hAnsi="Times New Roman"/>
          <w:sz w:val="20"/>
        </w:rPr>
        <w:t xml:space="preserve"> </w:t>
      </w:r>
      <w:r w:rsidR="00E35E31" w:rsidRPr="00E66BA9">
        <w:rPr>
          <w:rFonts w:ascii="Times New Roman" w:hAnsi="Times New Roman"/>
          <w:i/>
          <w:sz w:val="20"/>
        </w:rPr>
        <w:t>Industrial</w:t>
      </w:r>
      <w:r w:rsidRPr="0034021A">
        <w:rPr>
          <w:rFonts w:ascii="Times New Roman" w:hAnsi="Times New Roman"/>
          <w:i/>
          <w:sz w:val="20"/>
        </w:rPr>
        <w:t xml:space="preserve"> Customers of NW Utils. v. WUTC</w:t>
      </w:r>
      <w:r w:rsidRPr="0034021A">
        <w:rPr>
          <w:rFonts w:ascii="Times New Roman" w:hAnsi="Times New Roman"/>
          <w:sz w:val="20"/>
        </w:rPr>
        <w:t xml:space="preserve">, Thurston County Superior Court Case Nos. 13-2-01576-2 and 13-2-01582-7 (consolidated), Order Granting in Part and Denying in Part Petitions for Judicial Review at 2 (July 25, 2014) </w:t>
      </w:r>
      <w:r w:rsidRPr="0034021A">
        <w:rPr>
          <w:sz w:val="20"/>
        </w:rPr>
        <w:t>(“the Commission’s findings of fact with respect to the return on equity component of Puget Sound Energy, Inc.’s cost of capital in the context of a multi-year rate plan are not supported by substantial evidence and the Commission improperly shifted the burden of proof on this issue from Puget Sound Energy, Inc. to the other parties in the proceeding below, contrary to RCW 34.05.461(4) and RCW 80.04.130(4).”).</w:t>
      </w:r>
      <w:r w:rsidRPr="0034021A">
        <w:rPr>
          <w:rFonts w:ascii="Times New Roman" w:hAnsi="Times New Roman"/>
          <w:color w:val="000000"/>
          <w:sz w:val="20"/>
          <w:shd w:val="clear" w:color="auto" w:fill="FFFFFF"/>
        </w:rPr>
        <w:t xml:space="preserve"> </w:t>
      </w:r>
    </w:p>
  </w:footnote>
  <w:footnote w:id="12">
    <w:p w:rsidR="00416B2A" w:rsidRPr="0034021A" w:rsidRDefault="00416B2A" w:rsidP="0034021A">
      <w:pPr>
        <w:pStyle w:val="FootnoteText"/>
      </w:pPr>
      <w:r w:rsidRPr="0034021A">
        <w:rPr>
          <w:rStyle w:val="FootnoteReference"/>
        </w:rPr>
        <w:footnoteRef/>
      </w:r>
      <w:r w:rsidRPr="0034021A">
        <w:t xml:space="preserve"> </w:t>
      </w:r>
      <w:r w:rsidRPr="0034021A">
        <w:rPr>
          <w:i/>
        </w:rPr>
        <w:t>I</w:t>
      </w:r>
      <w:r w:rsidR="007078C8">
        <w:rPr>
          <w:i/>
        </w:rPr>
        <w:t xml:space="preserve">d., </w:t>
      </w:r>
      <w:r w:rsidRPr="0034021A">
        <w:t>Appendix A (July 25, 2014)</w:t>
      </w:r>
      <w:r w:rsidR="007078C8">
        <w:t>.</w:t>
      </w:r>
      <w:r w:rsidRPr="0034021A">
        <w:t xml:space="preserve"> </w:t>
      </w:r>
    </w:p>
  </w:footnote>
  <w:footnote w:id="13">
    <w:p w:rsidR="00416B2A" w:rsidRPr="0034021A" w:rsidRDefault="00416B2A" w:rsidP="0034021A">
      <w:pPr>
        <w:pStyle w:val="FootnoteText"/>
      </w:pPr>
      <w:r w:rsidRPr="0034021A">
        <w:rPr>
          <w:rStyle w:val="FootnoteReference"/>
        </w:rPr>
        <w:footnoteRef/>
      </w:r>
      <w:r w:rsidRPr="0034021A">
        <w:t xml:space="preserve"> </w:t>
      </w:r>
      <w:r w:rsidRPr="0034021A">
        <w:rPr>
          <w:i/>
        </w:rPr>
        <w:t>See</w:t>
      </w:r>
      <w:r w:rsidRPr="0034021A">
        <w:t xml:space="preserve"> </w:t>
      </w:r>
      <w:r w:rsidRPr="0034021A">
        <w:rPr>
          <w:i/>
        </w:rPr>
        <w:t xml:space="preserve">WUTC v. </w:t>
      </w:r>
      <w:r w:rsidR="009C2DF8" w:rsidRPr="0034021A">
        <w:rPr>
          <w:i/>
        </w:rPr>
        <w:t>Puget Sound Energy, Inc</w:t>
      </w:r>
      <w:r w:rsidR="009C2DF8" w:rsidRPr="0034021A">
        <w:t>.</w:t>
      </w:r>
      <w:r w:rsidR="009C2DF8">
        <w:t>,</w:t>
      </w:r>
      <w:r w:rsidRPr="0034021A">
        <w:t xml:space="preserve"> Dockets UE-130137 and UG-130138 (consolidated)</w:t>
      </w:r>
      <w:r w:rsidRPr="0034021A">
        <w:rPr>
          <w:i/>
        </w:rPr>
        <w:t xml:space="preserve"> et al.</w:t>
      </w:r>
      <w:r w:rsidRPr="0034021A">
        <w:t>, Order 15/14 (June 29, 2015).</w:t>
      </w:r>
    </w:p>
  </w:footnote>
  <w:footnote w:id="14">
    <w:p w:rsidR="00416B2A" w:rsidRPr="0034021A" w:rsidRDefault="00416B2A" w:rsidP="0034021A">
      <w:pPr>
        <w:pStyle w:val="FootnoteText"/>
      </w:pPr>
      <w:r w:rsidRPr="0034021A">
        <w:rPr>
          <w:rStyle w:val="FootnoteReference"/>
        </w:rPr>
        <w:footnoteRef/>
      </w:r>
      <w:r w:rsidRPr="0034021A">
        <w:t xml:space="preserve"> </w:t>
      </w:r>
      <w:r w:rsidR="009C2DF8" w:rsidRPr="0044279C">
        <w:rPr>
          <w:i/>
        </w:rPr>
        <w:t xml:space="preserve">Id. </w:t>
      </w:r>
      <w:r w:rsidRPr="0034021A">
        <w:t xml:space="preserve">at 12, ¶ 21, fn. </w:t>
      </w:r>
      <w:r w:rsidR="0007178E" w:rsidRPr="0034021A">
        <w:t>18</w:t>
      </w:r>
      <w:r w:rsidR="0007178E">
        <w:t>.</w:t>
      </w:r>
    </w:p>
  </w:footnote>
  <w:footnote w:id="15">
    <w:p w:rsidR="00416B2A" w:rsidRPr="0034021A" w:rsidRDefault="00416B2A" w:rsidP="0034021A">
      <w:pPr>
        <w:pStyle w:val="FootnoteText"/>
      </w:pPr>
      <w:r w:rsidRPr="0034021A">
        <w:rPr>
          <w:rStyle w:val="FootnoteReference"/>
        </w:rPr>
        <w:footnoteRef/>
      </w:r>
      <w:r w:rsidRPr="0034021A">
        <w:t xml:space="preserve"> </w:t>
      </w:r>
      <w:r w:rsidR="007078C8" w:rsidRPr="00CA4FC5">
        <w:rPr>
          <w:i/>
        </w:rPr>
        <w:t>Id.</w:t>
      </w:r>
      <w:r w:rsidR="00DA4BF1">
        <w:rPr>
          <w:i/>
        </w:rPr>
        <w:t xml:space="preserve">  See also </w:t>
      </w:r>
      <w:r w:rsidR="00DA4BF1" w:rsidRPr="00282918">
        <w:rPr>
          <w:i/>
        </w:rPr>
        <w:t>WUTC v. Cascade Natural Gas Corporation,</w:t>
      </w:r>
      <w:r w:rsidR="00DA4BF1" w:rsidRPr="00282918">
        <w:t xml:space="preserve"> Docket UG-151309, Advice No. CNG/W15-06-01 (Jun. 23, 2015).  </w:t>
      </w:r>
      <w:r w:rsidR="00DA70D9">
        <w:t>In</w:t>
      </w:r>
      <w:r w:rsidR="00DA4BF1" w:rsidRPr="00282918">
        <w:t xml:space="preserve"> August </w:t>
      </w:r>
      <w:r w:rsidR="00DA70D9">
        <w:t xml:space="preserve">2015, </w:t>
      </w:r>
      <w:r w:rsidR="00DA4BF1" w:rsidRPr="00282918">
        <w:t xml:space="preserve">the Commission </w:t>
      </w:r>
      <w:r w:rsidR="00DA4BF1">
        <w:t xml:space="preserve">considered Cascade’s request </w:t>
      </w:r>
      <w:r w:rsidR="00DA70D9">
        <w:t>for an exemption from</w:t>
      </w:r>
      <w:r w:rsidR="00DA4BF1">
        <w:t xml:space="preserve"> WAC 480-07-505(1)(c) </w:t>
      </w:r>
      <w:r w:rsidR="00DA70D9">
        <w:t>to</w:t>
      </w:r>
      <w:r w:rsidR="00DA4BF1">
        <w:t xml:space="preserve"> permit Cascade to change its rate of return </w:t>
      </w:r>
      <w:r w:rsidR="003F7481">
        <w:t xml:space="preserve">without converting its </w:t>
      </w:r>
      <w:r w:rsidR="00DA4BF1">
        <w:t xml:space="preserve">filing </w:t>
      </w:r>
      <w:r w:rsidR="003F7481">
        <w:t>to</w:t>
      </w:r>
      <w:r w:rsidR="00DA4BF1">
        <w:t xml:space="preserve"> a general rate case.  Unlike Pacific Power’s </w:t>
      </w:r>
      <w:r w:rsidR="000C3912">
        <w:t>petition</w:t>
      </w:r>
      <w:r w:rsidR="00DA4BF1">
        <w:t xml:space="preserve">, Cascade did not submit return on equity testimony.  The Commission considered and ultimately rejected the request by a 2-1 vote, but indicated support for non-general rate case proceedings.  </w:t>
      </w:r>
      <w:r w:rsidR="00DA70D9">
        <w:t>For example</w:t>
      </w:r>
      <w:r w:rsidR="00DA4BF1">
        <w:t xml:space="preserve">, </w:t>
      </w:r>
      <w:r w:rsidR="00DA4BF1" w:rsidRPr="00282918">
        <w:t>Commission</w:t>
      </w:r>
      <w:r w:rsidR="00DA4BF1">
        <w:t>er</w:t>
      </w:r>
      <w:r w:rsidR="00DA4BF1" w:rsidRPr="00282918">
        <w:t xml:space="preserve"> Jones was willing to grant the </w:t>
      </w:r>
      <w:r w:rsidR="000C3912">
        <w:t>exemption</w:t>
      </w:r>
      <w:r w:rsidR="00DA4BF1" w:rsidRPr="00282918">
        <w:t xml:space="preserve"> and proceed with the case because, “[f]lexibility, I think in our ratemaking processes is important.  I think we need to be open to new things when they come up.”  Open Meeting Transcript at 30 (Commissioner Jones) (Aug. 27, 2015).   </w:t>
      </w:r>
    </w:p>
  </w:footnote>
  <w:footnote w:id="16">
    <w:p w:rsidR="00416B2A" w:rsidRPr="0034021A" w:rsidRDefault="00416B2A" w:rsidP="0034021A">
      <w:pPr>
        <w:pStyle w:val="FootnoteText"/>
      </w:pPr>
      <w:r w:rsidRPr="0034021A">
        <w:rPr>
          <w:rStyle w:val="FootnoteReference"/>
        </w:rPr>
        <w:footnoteRef/>
      </w:r>
      <w:r w:rsidRPr="0034021A">
        <w:t xml:space="preserve"> Direct Testimony of Kurt G. Strunk, Exhibit No. KGS-1T at 8:</w:t>
      </w:r>
      <w:r w:rsidR="007078C8">
        <w:t>3</w:t>
      </w:r>
      <w:r w:rsidRPr="0034021A">
        <w:t>-</w:t>
      </w:r>
      <w:r w:rsidR="007078C8">
        <w:t>11:11</w:t>
      </w:r>
      <w:r w:rsidR="007078C8" w:rsidRPr="0034021A">
        <w:t xml:space="preserve"> </w:t>
      </w:r>
      <w:r w:rsidRPr="0034021A">
        <w:t>(Nov. 25, 2015).</w:t>
      </w:r>
    </w:p>
  </w:footnote>
  <w:footnote w:id="17">
    <w:p w:rsidR="00416B2A" w:rsidRPr="0034021A" w:rsidRDefault="00416B2A" w:rsidP="0034021A">
      <w:pPr>
        <w:pStyle w:val="FootnoteText"/>
      </w:pPr>
      <w:r w:rsidRPr="0034021A">
        <w:rPr>
          <w:rStyle w:val="FootnoteReference"/>
        </w:rPr>
        <w:footnoteRef/>
      </w:r>
      <w:r w:rsidRPr="0034021A">
        <w:t xml:space="preserve"> </w:t>
      </w:r>
      <w:r w:rsidR="005F6FE7" w:rsidRPr="00E66BA9">
        <w:rPr>
          <w:i/>
        </w:rPr>
        <w:t>Id.</w:t>
      </w:r>
      <w:r w:rsidR="005F6FE7">
        <w:t xml:space="preserve"> </w:t>
      </w:r>
      <w:r w:rsidR="005F6FE7" w:rsidRPr="0034021A">
        <w:t>at 8:</w:t>
      </w:r>
      <w:r w:rsidR="005F6FE7">
        <w:t>5</w:t>
      </w:r>
      <w:r w:rsidR="005F6FE7" w:rsidRPr="0034021A">
        <w:t>-</w:t>
      </w:r>
      <w:r w:rsidR="005F6FE7">
        <w:t>6</w:t>
      </w:r>
      <w:r w:rsidR="005F6FE7" w:rsidRPr="0034021A">
        <w:t xml:space="preserve"> (Nov. 25, 2015).</w:t>
      </w:r>
    </w:p>
  </w:footnote>
  <w:footnote w:id="18">
    <w:p w:rsidR="00416B2A" w:rsidRPr="0034021A" w:rsidRDefault="00416B2A" w:rsidP="0034021A">
      <w:pPr>
        <w:pStyle w:val="FootnoteText"/>
      </w:pPr>
      <w:r w:rsidRPr="0034021A">
        <w:rPr>
          <w:rStyle w:val="FootnoteReference"/>
        </w:rPr>
        <w:footnoteRef/>
      </w:r>
      <w:r w:rsidRPr="0034021A">
        <w:t xml:space="preserve"> </w:t>
      </w:r>
      <w:r w:rsidR="0045198D">
        <w:t>Boise’s Motion to Dismiss and Alternative Motion</w:t>
      </w:r>
      <w:r w:rsidRPr="0034021A">
        <w:t xml:space="preserve"> at 2 and Direct Testimony of Shelley E. McCoy, Exhibit No. SEM-1T at 4:13 (Nov. 25, 2015).</w:t>
      </w:r>
    </w:p>
  </w:footnote>
  <w:footnote w:id="19">
    <w:p w:rsidR="00416B2A" w:rsidRPr="0034021A" w:rsidRDefault="00416B2A" w:rsidP="0034021A">
      <w:pPr>
        <w:pStyle w:val="FootnoteText"/>
      </w:pPr>
      <w:r w:rsidRPr="0034021A">
        <w:rPr>
          <w:rStyle w:val="FootnoteReference"/>
        </w:rPr>
        <w:footnoteRef/>
      </w:r>
      <w:r w:rsidRPr="0034021A">
        <w:t xml:space="preserve"> Direct Testimony of Shelley E. McCoy, Exhibit No. SEM-1T at 4:13 (Nov. 25, 2015).</w:t>
      </w:r>
    </w:p>
  </w:footnote>
  <w:footnote w:id="20">
    <w:p w:rsidR="00416B2A" w:rsidRPr="0034021A" w:rsidRDefault="00416B2A" w:rsidP="0034021A">
      <w:pPr>
        <w:pStyle w:val="FootnoteText"/>
      </w:pPr>
      <w:r w:rsidRPr="0034021A">
        <w:rPr>
          <w:rStyle w:val="FootnoteReference"/>
        </w:rPr>
        <w:footnoteRef/>
      </w:r>
      <w:r w:rsidRPr="0034021A">
        <w:t xml:space="preserve"> Petition at 13-15, §§ 24-29</w:t>
      </w:r>
      <w:r w:rsidR="007078C8">
        <w:t>.</w:t>
      </w:r>
      <w:r w:rsidRPr="0034021A">
        <w:t xml:space="preserve"> </w:t>
      </w:r>
    </w:p>
  </w:footnote>
  <w:footnote w:id="21">
    <w:p w:rsidR="00416B2A" w:rsidRPr="0034021A" w:rsidRDefault="00416B2A" w:rsidP="0034021A">
      <w:pPr>
        <w:pStyle w:val="FootnoteText"/>
      </w:pPr>
      <w:r w:rsidRPr="0034021A">
        <w:rPr>
          <w:rStyle w:val="FootnoteReference"/>
        </w:rPr>
        <w:footnoteRef/>
      </w:r>
      <w:r w:rsidRPr="0034021A">
        <w:t xml:space="preserve"> Direct Testimony of R. Bryce Dalley, Exhibit No. RBD-1T at 11</w:t>
      </w:r>
      <w:r w:rsidR="00D725E7">
        <w:t>:15</w:t>
      </w:r>
      <w:r w:rsidRPr="0034021A">
        <w:t>-14</w:t>
      </w:r>
      <w:r w:rsidR="00D725E7">
        <w:t>:1</w:t>
      </w:r>
      <w:r w:rsidRPr="0034021A">
        <w:t xml:space="preserve"> (Nov. 25, 2015).</w:t>
      </w:r>
    </w:p>
  </w:footnote>
  <w:footnote w:id="22">
    <w:p w:rsidR="00416B2A" w:rsidRPr="0034021A" w:rsidRDefault="00416B2A" w:rsidP="0034021A">
      <w:pPr>
        <w:pStyle w:val="FootnoteText"/>
      </w:pPr>
      <w:r w:rsidRPr="0034021A">
        <w:rPr>
          <w:rStyle w:val="FootnoteReference"/>
        </w:rPr>
        <w:footnoteRef/>
      </w:r>
      <w:r w:rsidRPr="0034021A">
        <w:t xml:space="preserve"> </w:t>
      </w:r>
      <w:r w:rsidR="0045198D">
        <w:t>Boise’s Motion to Dismiss and Alternative Motion</w:t>
      </w:r>
      <w:r w:rsidRPr="0034021A">
        <w:t xml:space="preserve"> at 4-5, ¶¶ 6-7.</w:t>
      </w:r>
    </w:p>
  </w:footnote>
  <w:footnote w:id="23">
    <w:p w:rsidR="00416B2A" w:rsidRPr="0034021A" w:rsidRDefault="00416B2A" w:rsidP="0034021A">
      <w:pPr>
        <w:pStyle w:val="FootnoteText"/>
      </w:pPr>
      <w:r w:rsidRPr="0034021A">
        <w:rPr>
          <w:rStyle w:val="FootnoteReference"/>
        </w:rPr>
        <w:footnoteRef/>
      </w:r>
      <w:r w:rsidRPr="0034021A">
        <w:t xml:space="preserve"> </w:t>
      </w:r>
      <w:r w:rsidRPr="0034021A">
        <w:rPr>
          <w:i/>
        </w:rPr>
        <w:t>WUTC v. Waste Control, Inc.</w:t>
      </w:r>
      <w:r w:rsidRPr="0034021A">
        <w:t>, Docket TG-131794, Order 05 at 6, ¶ 14 (Mar. 25, 2014).</w:t>
      </w:r>
    </w:p>
  </w:footnote>
  <w:footnote w:id="24">
    <w:p w:rsidR="00B75C4E" w:rsidRDefault="00B75C4E" w:rsidP="00B75C4E">
      <w:pPr>
        <w:pStyle w:val="FootnoteText"/>
      </w:pPr>
      <w:r w:rsidRPr="00780AAF">
        <w:rPr>
          <w:rStyle w:val="FootnoteReference"/>
          <w:color w:val="000000" w:themeColor="text1"/>
        </w:rPr>
        <w:footnoteRef/>
      </w:r>
      <w:r w:rsidRPr="00780AAF">
        <w:rPr>
          <w:color w:val="000000" w:themeColor="text1"/>
        </w:rPr>
        <w:t xml:space="preserve"> Boise</w:t>
      </w:r>
      <w:r w:rsidR="00DA70D9">
        <w:rPr>
          <w:color w:val="000000" w:themeColor="text1"/>
        </w:rPr>
        <w:t xml:space="preserve"> also cites to</w:t>
      </w:r>
      <w:r w:rsidRPr="00780AAF">
        <w:rPr>
          <w:color w:val="000000" w:themeColor="text1"/>
        </w:rPr>
        <w:t xml:space="preserve"> the </w:t>
      </w:r>
      <w:r w:rsidR="003F7481">
        <w:rPr>
          <w:color w:val="000000" w:themeColor="text1"/>
        </w:rPr>
        <w:t xml:space="preserve">fact that the </w:t>
      </w:r>
      <w:r w:rsidRPr="00780AAF">
        <w:rPr>
          <w:color w:val="000000" w:themeColor="text1"/>
        </w:rPr>
        <w:t>Commission’s website refer</w:t>
      </w:r>
      <w:r w:rsidR="003F7481">
        <w:rPr>
          <w:color w:val="000000" w:themeColor="text1"/>
        </w:rPr>
        <w:t>s</w:t>
      </w:r>
      <w:r w:rsidRPr="00780AAF">
        <w:rPr>
          <w:color w:val="000000" w:themeColor="text1"/>
        </w:rPr>
        <w:t xml:space="preserve"> to Pacific Power’s petition as a </w:t>
      </w:r>
      <w:r w:rsidR="00DA70D9">
        <w:rPr>
          <w:color w:val="000000" w:themeColor="text1"/>
        </w:rPr>
        <w:t>“</w:t>
      </w:r>
      <w:r w:rsidRPr="00780AAF">
        <w:rPr>
          <w:color w:val="000000" w:themeColor="text1"/>
        </w:rPr>
        <w:t>general rate case</w:t>
      </w:r>
      <w:r w:rsidR="00DA70D9">
        <w:rPr>
          <w:color w:val="000000" w:themeColor="text1"/>
        </w:rPr>
        <w:t>.”</w:t>
      </w:r>
      <w:r>
        <w:rPr>
          <w:color w:val="000000" w:themeColor="text1"/>
        </w:rPr>
        <w:t xml:space="preserve">  Boise’s </w:t>
      </w:r>
      <w:r w:rsidR="004534C3">
        <w:rPr>
          <w:color w:val="000000" w:themeColor="text1"/>
        </w:rPr>
        <w:t>Motion to Dismiss and Alternative Motion</w:t>
      </w:r>
      <w:r>
        <w:rPr>
          <w:color w:val="000000" w:themeColor="text1"/>
        </w:rPr>
        <w:t xml:space="preserve"> at 5.</w:t>
      </w:r>
      <w:r w:rsidRPr="00780AAF">
        <w:rPr>
          <w:color w:val="000000" w:themeColor="text1"/>
        </w:rPr>
        <w:t xml:space="preserve"> </w:t>
      </w:r>
      <w:r w:rsidR="00277595">
        <w:rPr>
          <w:color w:val="000000" w:themeColor="text1"/>
        </w:rPr>
        <w:t xml:space="preserve"> </w:t>
      </w:r>
      <w:r w:rsidR="004534C3">
        <w:rPr>
          <w:color w:val="000000" w:themeColor="text1"/>
        </w:rPr>
        <w:t>The administrative description of the petition</w:t>
      </w:r>
      <w:r w:rsidR="000C3912">
        <w:rPr>
          <w:color w:val="000000" w:themeColor="text1"/>
        </w:rPr>
        <w:t xml:space="preserve"> on the website</w:t>
      </w:r>
      <w:r w:rsidR="004534C3">
        <w:rPr>
          <w:color w:val="000000" w:themeColor="text1"/>
        </w:rPr>
        <w:t xml:space="preserve"> is irrelevant to the legal question of whether the petition constitutes a general rate case under WAC 480-07-505(1).  </w:t>
      </w:r>
    </w:p>
  </w:footnote>
  <w:footnote w:id="25">
    <w:p w:rsidR="00416B2A" w:rsidRPr="0034021A" w:rsidRDefault="00416B2A" w:rsidP="0034021A">
      <w:pPr>
        <w:pStyle w:val="FootnoteText"/>
      </w:pPr>
      <w:r w:rsidRPr="0034021A">
        <w:rPr>
          <w:rStyle w:val="FootnoteReference"/>
        </w:rPr>
        <w:footnoteRef/>
      </w:r>
      <w:r w:rsidRPr="0034021A">
        <w:t xml:space="preserve"> </w:t>
      </w:r>
      <w:r w:rsidR="0045198D">
        <w:t>Boise’s Motion to Dismiss and Alternative Motion</w:t>
      </w:r>
      <w:r w:rsidRPr="0034021A">
        <w:t xml:space="preserve"> at 6-8, ¶¶ 10-14.</w:t>
      </w:r>
    </w:p>
  </w:footnote>
  <w:footnote w:id="26">
    <w:p w:rsidR="00416B2A" w:rsidRPr="0034021A" w:rsidRDefault="00416B2A" w:rsidP="0034021A">
      <w:pPr>
        <w:pStyle w:val="FootnoteText"/>
      </w:pPr>
      <w:r w:rsidRPr="0034021A">
        <w:rPr>
          <w:rStyle w:val="FootnoteReference"/>
        </w:rPr>
        <w:footnoteRef/>
      </w:r>
      <w:r w:rsidRPr="0034021A">
        <w:t xml:space="preserve"> </w:t>
      </w:r>
      <w:r w:rsidR="007078C8" w:rsidRPr="00CA4FC5">
        <w:rPr>
          <w:i/>
        </w:rPr>
        <w:t>Id.</w:t>
      </w:r>
      <w:r w:rsidR="007078C8">
        <w:t xml:space="preserve"> </w:t>
      </w:r>
      <w:r w:rsidRPr="0034021A">
        <w:t xml:space="preserve">at 8-14, ¶¶ 15-28. </w:t>
      </w:r>
    </w:p>
  </w:footnote>
  <w:footnote w:id="27">
    <w:p w:rsidR="00416B2A" w:rsidRPr="0034021A" w:rsidRDefault="00416B2A" w:rsidP="0034021A">
      <w:pPr>
        <w:pStyle w:val="FootnoteText"/>
        <w:tabs>
          <w:tab w:val="left" w:pos="5220"/>
        </w:tabs>
      </w:pPr>
      <w:r w:rsidRPr="0034021A">
        <w:rPr>
          <w:rStyle w:val="FootnoteReference"/>
        </w:rPr>
        <w:footnoteRef/>
      </w:r>
      <w:r w:rsidRPr="0034021A">
        <w:t xml:space="preserve"> </w:t>
      </w:r>
      <w:r w:rsidRPr="0034021A">
        <w:rPr>
          <w:i/>
        </w:rPr>
        <w:t>See</w:t>
      </w:r>
      <w:r w:rsidRPr="0034021A">
        <w:t xml:space="preserve"> WAC 480-07-500.</w:t>
      </w:r>
    </w:p>
  </w:footnote>
  <w:footnote w:id="28">
    <w:p w:rsidR="00416B2A" w:rsidRPr="00E66BA9" w:rsidRDefault="00416B2A" w:rsidP="0034021A">
      <w:pPr>
        <w:pStyle w:val="FootnoteText"/>
        <w:rPr>
          <w:color w:val="000000" w:themeColor="text1"/>
        </w:rPr>
      </w:pPr>
      <w:r w:rsidRPr="00E66BA9">
        <w:rPr>
          <w:rStyle w:val="FootnoteReference"/>
          <w:color w:val="000000" w:themeColor="text1"/>
        </w:rPr>
        <w:footnoteRef/>
      </w:r>
      <w:r w:rsidRPr="00E66BA9">
        <w:rPr>
          <w:color w:val="000000" w:themeColor="text1"/>
        </w:rPr>
        <w:t xml:space="preserve"> WAC 480-07-500(3).  S</w:t>
      </w:r>
      <w:r w:rsidRPr="00E66BA9">
        <w:rPr>
          <w:i/>
          <w:color w:val="000000" w:themeColor="text1"/>
        </w:rPr>
        <w:t xml:space="preserve">ee also </w:t>
      </w:r>
      <w:r w:rsidRPr="004650E3">
        <w:rPr>
          <w:color w:val="000000" w:themeColor="text1"/>
        </w:rPr>
        <w:t>RCW 80.28.060 and RCW 80.04.130(1).</w:t>
      </w:r>
    </w:p>
  </w:footnote>
  <w:footnote w:id="29">
    <w:p w:rsidR="00416B2A" w:rsidRPr="0034021A" w:rsidRDefault="00416B2A" w:rsidP="0034021A">
      <w:pPr>
        <w:pStyle w:val="FootnoteText"/>
      </w:pPr>
      <w:r w:rsidRPr="0034021A">
        <w:rPr>
          <w:rStyle w:val="FootnoteReference"/>
        </w:rPr>
        <w:footnoteRef/>
      </w:r>
      <w:r w:rsidRPr="0034021A">
        <w:t xml:space="preserve"> WAC 480-07-505(1)(d), related to solid waste companies, is not applicable to Pacific Power.</w:t>
      </w:r>
    </w:p>
  </w:footnote>
  <w:footnote w:id="30">
    <w:p w:rsidR="00416B2A" w:rsidRPr="0034021A" w:rsidRDefault="00416B2A" w:rsidP="0034021A">
      <w:pPr>
        <w:pStyle w:val="FootnoteText"/>
      </w:pPr>
      <w:r w:rsidRPr="0034021A">
        <w:rPr>
          <w:rStyle w:val="FootnoteReference"/>
        </w:rPr>
        <w:footnoteRef/>
      </w:r>
      <w:r w:rsidRPr="0034021A">
        <w:t xml:space="preserve"> </w:t>
      </w:r>
      <w:r w:rsidRPr="0034021A">
        <w:rPr>
          <w:i/>
        </w:rPr>
        <w:t xml:space="preserve">See </w:t>
      </w:r>
      <w:r w:rsidRPr="0034021A">
        <w:t>Petition and Direct Testimony of R. Bryce Dalley, Exhibit No. RBD-1T</w:t>
      </w:r>
      <w:r w:rsidR="00D725E7">
        <w:t xml:space="preserve"> at </w:t>
      </w:r>
      <w:r w:rsidR="00D725E7" w:rsidRPr="0034021A">
        <w:t>11</w:t>
      </w:r>
      <w:r w:rsidR="00D725E7">
        <w:t>:15</w:t>
      </w:r>
      <w:r w:rsidR="00D725E7" w:rsidRPr="0034021A">
        <w:t>-14</w:t>
      </w:r>
      <w:r w:rsidR="00D725E7">
        <w:t>:1</w:t>
      </w:r>
      <w:r w:rsidRPr="0034021A">
        <w:t xml:space="preserve"> (Nov. 25, 2015).</w:t>
      </w:r>
    </w:p>
  </w:footnote>
  <w:footnote w:id="31">
    <w:p w:rsidR="00C74A2E" w:rsidRPr="0034021A" w:rsidRDefault="00C74A2E" w:rsidP="0034021A">
      <w:pPr>
        <w:pStyle w:val="FootnoteText"/>
      </w:pPr>
      <w:r w:rsidRPr="0034021A">
        <w:rPr>
          <w:rStyle w:val="FootnoteReference"/>
        </w:rPr>
        <w:footnoteRef/>
      </w:r>
      <w:r w:rsidRPr="0034021A">
        <w:t xml:space="preserve"> </w:t>
      </w:r>
      <w:r w:rsidRPr="0034021A">
        <w:rPr>
          <w:i/>
        </w:rPr>
        <w:t>See</w:t>
      </w:r>
      <w:r w:rsidRPr="0034021A">
        <w:t xml:space="preserve"> </w:t>
      </w:r>
      <w:r w:rsidRPr="0034021A">
        <w:rPr>
          <w:i/>
        </w:rPr>
        <w:t>WUTC v. Puget Sound Energy, Inc</w:t>
      </w:r>
      <w:r w:rsidRPr="0034021A">
        <w:t>., Dockets UE-130137 and UG-130138 (consolidated)</w:t>
      </w:r>
      <w:r w:rsidRPr="0034021A">
        <w:rPr>
          <w:i/>
        </w:rPr>
        <w:t xml:space="preserve"> et al.</w:t>
      </w:r>
      <w:r w:rsidRPr="0034021A">
        <w:t>, Order 07 at i (June 25, 2013).</w:t>
      </w:r>
    </w:p>
  </w:footnote>
  <w:footnote w:id="32">
    <w:p w:rsidR="00416B2A" w:rsidRPr="0034021A" w:rsidRDefault="00416B2A" w:rsidP="0034021A">
      <w:pPr>
        <w:pStyle w:val="FootnoteText"/>
      </w:pPr>
      <w:r w:rsidRPr="0034021A">
        <w:rPr>
          <w:rStyle w:val="FootnoteReference"/>
        </w:rPr>
        <w:footnoteRef/>
      </w:r>
      <w:r w:rsidRPr="0034021A">
        <w:t xml:space="preserve"> </w:t>
      </w:r>
      <w:r w:rsidRPr="0034021A">
        <w:rPr>
          <w:i/>
        </w:rPr>
        <w:t>WUTC v. PacifiCorp</w:t>
      </w:r>
      <w:r w:rsidRPr="0034021A">
        <w:t>, Docket UE-130043, Order 05 at 82-85, ¶¶ 210-218 (Dec. 4, 2013).</w:t>
      </w:r>
    </w:p>
  </w:footnote>
  <w:footnote w:id="33">
    <w:p w:rsidR="00416B2A" w:rsidRPr="0034021A" w:rsidRDefault="00416B2A" w:rsidP="0034021A">
      <w:pPr>
        <w:pStyle w:val="FootnoteText"/>
      </w:pPr>
      <w:r w:rsidRPr="0034021A">
        <w:rPr>
          <w:rStyle w:val="FootnoteReference"/>
        </w:rPr>
        <w:footnoteRef/>
      </w:r>
      <w:r w:rsidRPr="0034021A">
        <w:t xml:space="preserve"> </w:t>
      </w:r>
      <w:r w:rsidRPr="0034021A">
        <w:rPr>
          <w:i/>
        </w:rPr>
        <w:t>WUTC v. Puget Sound Energy, Inc</w:t>
      </w:r>
      <w:r w:rsidRPr="0034021A">
        <w:t>., Dockets UE-130137 and UG-130138 (consolidated)</w:t>
      </w:r>
      <w:r w:rsidRPr="0034021A">
        <w:rPr>
          <w:i/>
        </w:rPr>
        <w:t xml:space="preserve"> et al.</w:t>
      </w:r>
      <w:r w:rsidRPr="0034021A">
        <w:t>, Order 07 at 3, ¶ 9, fn. 10 (June 25, 2013).</w:t>
      </w:r>
    </w:p>
  </w:footnote>
  <w:footnote w:id="34">
    <w:p w:rsidR="00E9382A" w:rsidRDefault="00E9382A" w:rsidP="00E9382A">
      <w:pPr>
        <w:pStyle w:val="FootnoteText"/>
      </w:pPr>
      <w:r>
        <w:rPr>
          <w:rStyle w:val="FootnoteReference"/>
        </w:rPr>
        <w:footnoteRef/>
      </w:r>
      <w:r>
        <w:t xml:space="preserve"> </w:t>
      </w:r>
      <w:r w:rsidR="0045198D">
        <w:t>Boise’s Motion to Dismiss and Alternative Motion</w:t>
      </w:r>
      <w:r>
        <w:t xml:space="preserve"> at 5-6, ¶ 9. </w:t>
      </w:r>
    </w:p>
  </w:footnote>
  <w:footnote w:id="35">
    <w:p w:rsidR="00DA4BF1" w:rsidRDefault="00DA4BF1" w:rsidP="00DA4BF1">
      <w:pPr>
        <w:pStyle w:val="FootnoteText"/>
      </w:pPr>
      <w:r>
        <w:rPr>
          <w:rStyle w:val="FootnoteReference"/>
        </w:rPr>
        <w:footnoteRef/>
      </w:r>
      <w:r>
        <w:t xml:space="preserve"> Petition at 13, ¶ 24.</w:t>
      </w:r>
    </w:p>
  </w:footnote>
  <w:footnote w:id="36">
    <w:p w:rsidR="00032997" w:rsidRDefault="00032997" w:rsidP="00032997">
      <w:pPr>
        <w:pStyle w:val="FootnoteText"/>
      </w:pPr>
      <w:r>
        <w:rPr>
          <w:rStyle w:val="FootnoteReference"/>
        </w:rPr>
        <w:footnoteRef/>
      </w:r>
      <w:r>
        <w:t xml:space="preserve"> </w:t>
      </w:r>
      <w:r w:rsidR="0045198D">
        <w:t>Boise’s Motion to Dismiss and Alternative Motion</w:t>
      </w:r>
      <w:r w:rsidR="00EC1422">
        <w:t xml:space="preserve"> </w:t>
      </w:r>
      <w:r>
        <w:t>at 7-8, ¶¶ 13-14.</w:t>
      </w:r>
    </w:p>
  </w:footnote>
  <w:footnote w:id="37">
    <w:p w:rsidR="00032997" w:rsidRDefault="00032997" w:rsidP="00032997">
      <w:pPr>
        <w:pStyle w:val="FootnoteText"/>
      </w:pPr>
      <w:r>
        <w:rPr>
          <w:rStyle w:val="FootnoteReference"/>
        </w:rPr>
        <w:footnoteRef/>
      </w:r>
      <w:r>
        <w:t xml:space="preserve"> </w:t>
      </w:r>
      <w:r w:rsidRPr="007B039D">
        <w:rPr>
          <w:i/>
        </w:rPr>
        <w:t>WUTC v. Puget Sound Energy, Inc</w:t>
      </w:r>
      <w:r w:rsidRPr="007B039D">
        <w:t xml:space="preserve">., </w:t>
      </w:r>
      <w:r w:rsidRPr="00002248">
        <w:t>Dockets UE-130137 and UG-130138 (consolidated)</w:t>
      </w:r>
      <w:r w:rsidRPr="00002248">
        <w:rPr>
          <w:i/>
        </w:rPr>
        <w:t xml:space="preserve"> et al.</w:t>
      </w:r>
      <w:r w:rsidRPr="00002248">
        <w:t xml:space="preserve">, </w:t>
      </w:r>
      <w:r w:rsidRPr="007B039D">
        <w:t>Order 0</w:t>
      </w:r>
      <w:r>
        <w:t>7</w:t>
      </w:r>
      <w:r w:rsidRPr="007B039D">
        <w:t xml:space="preserve"> at </w:t>
      </w:r>
      <w:r>
        <w:t>79</w:t>
      </w:r>
      <w:r w:rsidRPr="007B039D">
        <w:t xml:space="preserve">, ¶ </w:t>
      </w:r>
      <w:r>
        <w:t>185</w:t>
      </w:r>
      <w:r w:rsidRPr="007B039D">
        <w:t xml:space="preserve"> (</w:t>
      </w:r>
      <w:r>
        <w:t>June 25</w:t>
      </w:r>
      <w:r w:rsidRPr="007B039D">
        <w:t>, 201</w:t>
      </w:r>
      <w:r>
        <w:t>3).</w:t>
      </w:r>
    </w:p>
  </w:footnote>
  <w:footnote w:id="38">
    <w:p w:rsidR="00032997" w:rsidRDefault="00032997" w:rsidP="00032997">
      <w:pPr>
        <w:pStyle w:val="FootnoteText"/>
      </w:pPr>
      <w:r>
        <w:rPr>
          <w:rStyle w:val="FootnoteReference"/>
        </w:rPr>
        <w:footnoteRef/>
      </w:r>
      <w:r>
        <w:t xml:space="preserve"> </w:t>
      </w:r>
      <w:r w:rsidR="007078C8">
        <w:rPr>
          <w:i/>
        </w:rPr>
        <w:t xml:space="preserve">Id. </w:t>
      </w:r>
      <w:r w:rsidRPr="007B039D">
        <w:t xml:space="preserve">at </w:t>
      </w:r>
      <w:r>
        <w:t>80</w:t>
      </w:r>
      <w:r w:rsidRPr="007B039D">
        <w:t xml:space="preserve">, ¶ </w:t>
      </w:r>
      <w:r>
        <w:t>187</w:t>
      </w:r>
      <w:r w:rsidRPr="007B039D">
        <w:t xml:space="preserve"> (</w:t>
      </w:r>
      <w:r>
        <w:t>June 25</w:t>
      </w:r>
      <w:r w:rsidRPr="007B039D">
        <w:t>, 201</w:t>
      </w:r>
      <w:r>
        <w:t>3).</w:t>
      </w:r>
    </w:p>
  </w:footnote>
  <w:footnote w:id="39">
    <w:p w:rsidR="007F306C" w:rsidRDefault="007F306C" w:rsidP="007F306C">
      <w:pPr>
        <w:pStyle w:val="FootnoteText"/>
      </w:pPr>
      <w:r>
        <w:rPr>
          <w:rStyle w:val="FootnoteReference"/>
        </w:rPr>
        <w:footnoteRef/>
      </w:r>
      <w:r>
        <w:t xml:space="preserve"> </w:t>
      </w:r>
      <w:r w:rsidR="0045198D">
        <w:t>Boise’s Motion to Dismiss and Alternative Motion</w:t>
      </w:r>
      <w:r>
        <w:t xml:space="preserve"> at 6-8, ¶¶ 10-14.</w:t>
      </w:r>
    </w:p>
  </w:footnote>
  <w:footnote w:id="40">
    <w:p w:rsidR="00EC1422" w:rsidRDefault="00EC1422">
      <w:pPr>
        <w:pStyle w:val="FootnoteText"/>
      </w:pPr>
      <w:r>
        <w:rPr>
          <w:rStyle w:val="FootnoteReference"/>
        </w:rPr>
        <w:footnoteRef/>
      </w:r>
      <w:r>
        <w:t xml:space="preserve"> </w:t>
      </w:r>
      <w:r w:rsidR="00E35E31" w:rsidRPr="0034021A">
        <w:rPr>
          <w:i/>
        </w:rPr>
        <w:t>Indus</w:t>
      </w:r>
      <w:r w:rsidR="00E35E31">
        <w:rPr>
          <w:i/>
        </w:rPr>
        <w:t>trial</w:t>
      </w:r>
      <w:r w:rsidRPr="0034021A">
        <w:rPr>
          <w:i/>
        </w:rPr>
        <w:t xml:space="preserve"> Customers of NW Utils. v. WUTC</w:t>
      </w:r>
      <w:r w:rsidRPr="0034021A">
        <w:t>, Thurston County Superior Court Case Nos. 13-2-01576-2 and 13-2-01582-7 (consolidated), Order Granting in Part and Denying in Part Petitions for Judicial Review at 2 (July 25, 2014)</w:t>
      </w:r>
      <w:r>
        <w:t>.</w:t>
      </w:r>
    </w:p>
  </w:footnote>
  <w:footnote w:id="41">
    <w:p w:rsidR="00416B2A" w:rsidRPr="0034021A" w:rsidRDefault="00416B2A" w:rsidP="0034021A">
      <w:pPr>
        <w:pStyle w:val="FootnoteText"/>
      </w:pPr>
      <w:r w:rsidRPr="0034021A">
        <w:rPr>
          <w:rStyle w:val="FootnoteReference"/>
        </w:rPr>
        <w:footnoteRef/>
      </w:r>
      <w:r w:rsidRPr="0034021A">
        <w:t xml:space="preserve"> </w:t>
      </w:r>
      <w:r w:rsidR="00E37F92" w:rsidRPr="007B039D">
        <w:rPr>
          <w:i/>
        </w:rPr>
        <w:t>WUTC v. Puget Sound Energy, Inc</w:t>
      </w:r>
      <w:r w:rsidR="00E37F92" w:rsidRPr="007B039D">
        <w:t xml:space="preserve">., </w:t>
      </w:r>
      <w:r w:rsidR="00E37F92" w:rsidRPr="00002248">
        <w:t>Dockets UE-130137 and UG-130138 (consolidated)</w:t>
      </w:r>
      <w:r w:rsidR="00E37F92" w:rsidRPr="00002248">
        <w:rPr>
          <w:i/>
        </w:rPr>
        <w:t xml:space="preserve"> et al.</w:t>
      </w:r>
      <w:r w:rsidR="00E37F92" w:rsidRPr="00002248">
        <w:t xml:space="preserve">, </w:t>
      </w:r>
      <w:r w:rsidR="00E37F92" w:rsidRPr="007B039D">
        <w:t>Order 0</w:t>
      </w:r>
      <w:r w:rsidR="00E37F92">
        <w:t>7</w:t>
      </w:r>
      <w:r w:rsidR="00E37F92" w:rsidRPr="007B039D">
        <w:t xml:space="preserve"> at</w:t>
      </w:r>
      <w:r w:rsidRPr="0034021A">
        <w:t xml:space="preserve"> </w:t>
      </w:r>
      <w:r w:rsidR="00E37F92">
        <w:t>1</w:t>
      </w:r>
      <w:r w:rsidRPr="0034021A">
        <w:t xml:space="preserve">3, ¶ </w:t>
      </w:r>
      <w:r w:rsidR="00E37F92">
        <w:t>32</w:t>
      </w:r>
      <w:r w:rsidRPr="0034021A">
        <w:t>, (June 25, 2013).</w:t>
      </w:r>
    </w:p>
  </w:footnote>
  <w:footnote w:id="42">
    <w:p w:rsidR="00416B2A" w:rsidRPr="0034021A" w:rsidRDefault="00416B2A" w:rsidP="0034021A">
      <w:pPr>
        <w:pStyle w:val="FootnoteText"/>
      </w:pPr>
      <w:r w:rsidRPr="0034021A">
        <w:rPr>
          <w:rStyle w:val="FootnoteReference"/>
        </w:rPr>
        <w:footnoteRef/>
      </w:r>
      <w:r w:rsidRPr="0034021A">
        <w:t xml:space="preserve"> WAC 480-07-110(1).</w:t>
      </w:r>
    </w:p>
  </w:footnote>
  <w:footnote w:id="43">
    <w:p w:rsidR="00416B2A" w:rsidRPr="0034021A" w:rsidRDefault="00416B2A" w:rsidP="0034021A">
      <w:pPr>
        <w:pStyle w:val="FootnoteText"/>
      </w:pPr>
      <w:r w:rsidRPr="0034021A">
        <w:rPr>
          <w:rStyle w:val="FootnoteReference"/>
        </w:rPr>
        <w:footnoteRef/>
      </w:r>
      <w:r w:rsidRPr="0034021A">
        <w:t xml:space="preserve"> Petition at 5, ¶ 8 and 16, ¶ 31.</w:t>
      </w:r>
    </w:p>
  </w:footnote>
  <w:footnote w:id="44">
    <w:p w:rsidR="00416B2A" w:rsidRPr="0034021A" w:rsidRDefault="00416B2A" w:rsidP="0034021A">
      <w:pPr>
        <w:pStyle w:val="FootnoteText"/>
      </w:pPr>
      <w:r w:rsidRPr="0034021A">
        <w:rPr>
          <w:rStyle w:val="FootnoteReference"/>
        </w:rPr>
        <w:footnoteRef/>
      </w:r>
      <w:r w:rsidRPr="0034021A">
        <w:t xml:space="preserve"> </w:t>
      </w:r>
      <w:r w:rsidRPr="0034021A">
        <w:rPr>
          <w:i/>
        </w:rPr>
        <w:t>WUTC v. Puget Sound Energy, Inc</w:t>
      </w:r>
      <w:r w:rsidRPr="0034021A">
        <w:t>., Dockets UE-130137 and UG-130138 (consolidated)</w:t>
      </w:r>
      <w:r w:rsidRPr="0034021A">
        <w:rPr>
          <w:i/>
        </w:rPr>
        <w:t xml:space="preserve"> et al.</w:t>
      </w:r>
      <w:r w:rsidRPr="0034021A">
        <w:t>, Order 07 at 13, ¶ 32 (June 25, 2013).</w:t>
      </w:r>
      <w:r w:rsidR="00FA15E1">
        <w:t xml:space="preserve">  The Thurston County Superior Court affirmed this exemption and held “the Commission acted within its discretion to waive the general rate proceeding.”  </w:t>
      </w:r>
      <w:r w:rsidR="00FA15E1" w:rsidRPr="00CA4FC5">
        <w:rPr>
          <w:i/>
        </w:rPr>
        <w:t xml:space="preserve">See </w:t>
      </w:r>
      <w:r w:rsidR="00E35E31" w:rsidRPr="0034021A">
        <w:rPr>
          <w:i/>
        </w:rPr>
        <w:t>Indus</w:t>
      </w:r>
      <w:r w:rsidR="00E35E31">
        <w:rPr>
          <w:i/>
        </w:rPr>
        <w:t>trial</w:t>
      </w:r>
      <w:r w:rsidR="00FA15E1" w:rsidRPr="0034021A">
        <w:rPr>
          <w:i/>
        </w:rPr>
        <w:t xml:space="preserve"> Customers of NW Utils. v. WUTC</w:t>
      </w:r>
      <w:r w:rsidR="00FA15E1" w:rsidRPr="0034021A">
        <w:t xml:space="preserve">, Thurston County Superior Court Case Nos. 13-2-01576-2 and 13-2-01582-7 (consolidated), Order Granting in Part and Denying in Part </w:t>
      </w:r>
      <w:r w:rsidR="00FA15E1">
        <w:t>Petitions for Judicial Review, Appendix A</w:t>
      </w:r>
      <w:r w:rsidR="00FA15E1" w:rsidRPr="0034021A">
        <w:t xml:space="preserve"> (July 25, 2014)</w:t>
      </w:r>
      <w:r w:rsidR="00FA15E1">
        <w:t>.</w:t>
      </w:r>
    </w:p>
  </w:footnote>
  <w:footnote w:id="45">
    <w:p w:rsidR="00416B2A" w:rsidRPr="0034021A" w:rsidRDefault="00416B2A" w:rsidP="0034021A">
      <w:pPr>
        <w:pStyle w:val="FootnoteText"/>
      </w:pPr>
      <w:r w:rsidRPr="0034021A">
        <w:rPr>
          <w:rStyle w:val="FootnoteReference"/>
        </w:rPr>
        <w:footnoteRef/>
      </w:r>
      <w:r w:rsidRPr="0034021A">
        <w:t xml:space="preserve"> </w:t>
      </w:r>
      <w:r w:rsidR="0045198D">
        <w:t>Boise’s Motion to Dismiss and Alternative Motion</w:t>
      </w:r>
      <w:r w:rsidR="00A21E09" w:rsidRPr="0034021A">
        <w:t xml:space="preserve"> at </w:t>
      </w:r>
      <w:r w:rsidR="00A21E09">
        <w:t>8-14</w:t>
      </w:r>
      <w:r w:rsidR="00A21E09" w:rsidRPr="0034021A">
        <w:t>, ¶¶</w:t>
      </w:r>
      <w:r w:rsidR="00A21E09">
        <w:t xml:space="preserve"> </w:t>
      </w:r>
      <w:r w:rsidR="00A21E09" w:rsidRPr="0034021A">
        <w:t>1</w:t>
      </w:r>
      <w:r w:rsidR="00A21E09">
        <w:t>5</w:t>
      </w:r>
      <w:r w:rsidR="00A21E09" w:rsidRPr="0034021A">
        <w:t>-</w:t>
      </w:r>
      <w:r w:rsidR="00A21E09">
        <w:t>27</w:t>
      </w:r>
      <w:r w:rsidR="007E188F">
        <w:t>.</w:t>
      </w:r>
    </w:p>
  </w:footnote>
  <w:footnote w:id="46">
    <w:p w:rsidR="00416B2A" w:rsidRPr="0034021A" w:rsidRDefault="00416B2A" w:rsidP="0034021A">
      <w:pPr>
        <w:pStyle w:val="FootnoteText"/>
      </w:pPr>
      <w:r w:rsidRPr="0034021A">
        <w:rPr>
          <w:rStyle w:val="FootnoteReference"/>
        </w:rPr>
        <w:footnoteRef/>
      </w:r>
      <w:r w:rsidRPr="0034021A">
        <w:t xml:space="preserve"> </w:t>
      </w:r>
      <w:r w:rsidR="00A21E09" w:rsidRPr="00E66BA9">
        <w:rPr>
          <w:i/>
        </w:rPr>
        <w:t>Id.</w:t>
      </w:r>
    </w:p>
  </w:footnote>
  <w:footnote w:id="47">
    <w:p w:rsidR="00416B2A" w:rsidRPr="0034021A" w:rsidRDefault="00416B2A" w:rsidP="0034021A">
      <w:pPr>
        <w:pStyle w:val="FootnoteText"/>
      </w:pPr>
      <w:r w:rsidRPr="0034021A">
        <w:rPr>
          <w:rStyle w:val="FootnoteReference"/>
        </w:rPr>
        <w:footnoteRef/>
      </w:r>
      <w:r w:rsidRPr="0034021A">
        <w:t xml:space="preserve"> </w:t>
      </w:r>
      <w:r w:rsidR="00575A6D" w:rsidRPr="0034021A">
        <w:rPr>
          <w:i/>
        </w:rPr>
        <w:t>WUTC v. Puget Sound Energy, Inc</w:t>
      </w:r>
      <w:r w:rsidR="00575A6D" w:rsidRPr="0034021A">
        <w:t>., Dockets UE-130137 and UG-130138 (consolidated)</w:t>
      </w:r>
      <w:r w:rsidR="00575A6D" w:rsidRPr="0034021A">
        <w:rPr>
          <w:i/>
        </w:rPr>
        <w:t xml:space="preserve"> et al.</w:t>
      </w:r>
      <w:r w:rsidR="00575A6D" w:rsidRPr="0034021A">
        <w:t xml:space="preserve">, Order 07 at </w:t>
      </w:r>
      <w:r w:rsidR="00A21E09">
        <w:t xml:space="preserve">13, ¶ 32 and </w:t>
      </w:r>
      <w:r w:rsidR="00575A6D">
        <w:t>35-36,</w:t>
      </w:r>
      <w:r w:rsidR="00575A6D" w:rsidRPr="0034021A">
        <w:t xml:space="preserve"> ¶ </w:t>
      </w:r>
      <w:r w:rsidR="00575A6D">
        <w:t>80</w:t>
      </w:r>
      <w:r w:rsidR="00575A6D" w:rsidRPr="0034021A">
        <w:t xml:space="preserve"> (June 25, 2013).</w:t>
      </w:r>
    </w:p>
  </w:footnote>
  <w:footnote w:id="48">
    <w:p w:rsidR="00416B2A" w:rsidRPr="0034021A" w:rsidRDefault="00416B2A" w:rsidP="0034021A">
      <w:pPr>
        <w:pStyle w:val="FootnoteText"/>
      </w:pPr>
      <w:r w:rsidRPr="0034021A">
        <w:rPr>
          <w:rStyle w:val="FootnoteReference"/>
        </w:rPr>
        <w:footnoteRef/>
      </w:r>
      <w:r w:rsidRPr="0034021A">
        <w:t xml:space="preserve"> </w:t>
      </w:r>
      <w:r w:rsidR="0045198D">
        <w:t>Boise’s Motion to Dismiss and Alternative Motion</w:t>
      </w:r>
      <w:r w:rsidRPr="0034021A">
        <w:t xml:space="preserve"> at 9-11, ¶¶ 17-21.</w:t>
      </w:r>
    </w:p>
  </w:footnote>
  <w:footnote w:id="49">
    <w:p w:rsidR="00416B2A" w:rsidRPr="0034021A" w:rsidRDefault="00416B2A" w:rsidP="0034021A">
      <w:pPr>
        <w:pStyle w:val="FootnoteText"/>
      </w:pPr>
      <w:r w:rsidRPr="0034021A">
        <w:rPr>
          <w:rStyle w:val="FootnoteReference"/>
        </w:rPr>
        <w:footnoteRef/>
      </w:r>
      <w:r w:rsidRPr="0034021A">
        <w:t xml:space="preserve"> </w:t>
      </w:r>
      <w:r w:rsidR="00575A6D" w:rsidRPr="00CA4FC5">
        <w:rPr>
          <w:i/>
        </w:rPr>
        <w:t>Id.</w:t>
      </w:r>
      <w:r w:rsidR="00575A6D">
        <w:t xml:space="preserve"> </w:t>
      </w:r>
      <w:r w:rsidRPr="0034021A">
        <w:t>at 11-14, ¶¶ 22-2</w:t>
      </w:r>
      <w:r w:rsidR="00A21E09">
        <w:t>7</w:t>
      </w:r>
      <w:r w:rsidRPr="0034021A">
        <w:t>.</w:t>
      </w:r>
    </w:p>
  </w:footnote>
  <w:footnote w:id="50">
    <w:p w:rsidR="006C2E09" w:rsidRPr="007D2EDA" w:rsidRDefault="006C2E09" w:rsidP="006C2E09">
      <w:pPr>
        <w:pStyle w:val="FootnoteText"/>
      </w:pPr>
      <w:r w:rsidRPr="007D2EDA">
        <w:rPr>
          <w:rStyle w:val="FootnoteReference"/>
        </w:rPr>
        <w:footnoteRef/>
      </w:r>
      <w:r w:rsidRPr="007D2EDA">
        <w:t xml:space="preserve"> Petition</w:t>
      </w:r>
      <w:r w:rsidR="00A21E09">
        <w:t xml:space="preserve"> at 17, ¶ 35</w:t>
      </w:r>
      <w:r w:rsidRPr="007D2EDA">
        <w:t xml:space="preserve"> and Direct Testimony of R. Bryce Dalley, Exhibit No. RBD-1T</w:t>
      </w:r>
      <w:r>
        <w:t xml:space="preserve"> </w:t>
      </w:r>
      <w:r w:rsidR="00A21E09">
        <w:t xml:space="preserve">at 18:18-19:5 </w:t>
      </w:r>
      <w:r>
        <w:t>(Nov. 25, 2015)</w:t>
      </w:r>
      <w:r w:rsidRPr="007D2EDA">
        <w:t>.</w:t>
      </w:r>
    </w:p>
  </w:footnote>
  <w:footnote w:id="51">
    <w:p w:rsidR="006C2E09" w:rsidRDefault="006C2E09" w:rsidP="006C2E09">
      <w:pPr>
        <w:pStyle w:val="FootnoteText"/>
      </w:pPr>
      <w:r w:rsidRPr="007D2EDA">
        <w:rPr>
          <w:rStyle w:val="FootnoteReference"/>
        </w:rPr>
        <w:footnoteRef/>
      </w:r>
      <w:r w:rsidRPr="007D2EDA">
        <w:t xml:space="preserve"> </w:t>
      </w:r>
      <w:r w:rsidR="00175B22" w:rsidRPr="00E66BA9">
        <w:t>Petition at 17-18, ¶36 and</w:t>
      </w:r>
      <w:r w:rsidR="00175B22">
        <w:rPr>
          <w:i/>
        </w:rPr>
        <w:t xml:space="preserve"> </w:t>
      </w:r>
      <w:r w:rsidRPr="007D2EDA">
        <w:rPr>
          <w:i/>
        </w:rPr>
        <w:t>WUTC v. Pacific Power &amp; Light Co.</w:t>
      </w:r>
      <w:r w:rsidRPr="007D2EDA">
        <w:t>, Docket UE-111190, Order 07 at 8-9, ¶¶ 17-18 (Mar. 30, 2012)</w:t>
      </w:r>
      <w:r>
        <w:t>.</w:t>
      </w:r>
    </w:p>
  </w:footnote>
  <w:footnote w:id="52">
    <w:p w:rsidR="00175B22" w:rsidRDefault="00175B22">
      <w:pPr>
        <w:pStyle w:val="FootnoteText"/>
      </w:pPr>
      <w:r>
        <w:rPr>
          <w:rStyle w:val="FootnoteReference"/>
        </w:rPr>
        <w:footnoteRef/>
      </w:r>
      <w:r>
        <w:t xml:space="preserve"> </w:t>
      </w:r>
      <w:r w:rsidRPr="00780AAF">
        <w:t xml:space="preserve">Petition at </w:t>
      </w:r>
      <w:r>
        <w:t>17-</w:t>
      </w:r>
      <w:r w:rsidRPr="00780AAF">
        <w:t>18, ¶36</w:t>
      </w:r>
      <w:r>
        <w:t>.</w:t>
      </w:r>
    </w:p>
  </w:footnote>
  <w:footnote w:id="53">
    <w:p w:rsidR="00F07A08" w:rsidRDefault="00F07A08">
      <w:pPr>
        <w:pStyle w:val="FootnoteText"/>
      </w:pPr>
      <w:r>
        <w:rPr>
          <w:rStyle w:val="FootnoteReference"/>
        </w:rPr>
        <w:footnoteRef/>
      </w:r>
      <w:r>
        <w:t xml:space="preserve"> </w:t>
      </w:r>
      <w:r w:rsidR="00575A6D" w:rsidRPr="00CA4FC5">
        <w:rPr>
          <w:i/>
        </w:rPr>
        <w:t>See</w:t>
      </w:r>
      <w:r w:rsidR="00575A6D">
        <w:t xml:space="preserve"> UE-152253, Order 01 (Dec. 8, 2015).</w:t>
      </w:r>
    </w:p>
  </w:footnote>
  <w:footnote w:id="54">
    <w:p w:rsidR="00416B2A" w:rsidRPr="0034021A" w:rsidRDefault="00416B2A" w:rsidP="0034021A">
      <w:pPr>
        <w:pStyle w:val="FootnoteText"/>
      </w:pPr>
      <w:r w:rsidRPr="0034021A">
        <w:rPr>
          <w:rStyle w:val="FootnoteReference"/>
        </w:rPr>
        <w:footnoteRef/>
      </w:r>
      <w:r w:rsidRPr="0034021A">
        <w:t xml:space="preserve"> Petition at 11-14, ¶¶ 22-2</w:t>
      </w:r>
      <w:r w:rsidR="00175B22">
        <w:t>7</w:t>
      </w:r>
      <w:r w:rsidRPr="0034021A">
        <w:t>.</w:t>
      </w:r>
    </w:p>
  </w:footnote>
  <w:footnote w:id="55">
    <w:p w:rsidR="00416B2A" w:rsidRPr="0034021A" w:rsidRDefault="00416B2A" w:rsidP="0034021A">
      <w:pPr>
        <w:pStyle w:val="FootnoteText"/>
      </w:pPr>
      <w:r w:rsidRPr="0034021A">
        <w:rPr>
          <w:rStyle w:val="FootnoteReference"/>
        </w:rPr>
        <w:footnoteRef/>
      </w:r>
      <w:r w:rsidRPr="0034021A">
        <w:t xml:space="preserve"> </w:t>
      </w:r>
      <w:r w:rsidRPr="0034021A">
        <w:rPr>
          <w:i/>
        </w:rPr>
        <w:t>WUTC v. Puget Sound Energy, Inc.</w:t>
      </w:r>
      <w:r w:rsidRPr="0034021A">
        <w:t>, Dockets UE-130137 and UG-130138 (consolidated) et al., Order 07 at 8, ¶ 21 (June 25, 2013) (“We view our approval of the ERF, the decoupling mechanisms, and the rate plan in a single proceeding as a series of steps made in the interest of exploring new forms of rate making. An important policy objective underlying our decision is to relieve all stakeholders and the Commission from the burdens of almost continuous general rate case proceedings that have characterized our utility regulation during recent periods.”).</w:t>
      </w:r>
    </w:p>
  </w:footnote>
  <w:footnote w:id="56">
    <w:p w:rsidR="004C0614" w:rsidRDefault="004C0614">
      <w:pPr>
        <w:pStyle w:val="FootnoteText"/>
      </w:pPr>
      <w:r>
        <w:rPr>
          <w:rStyle w:val="FootnoteReference"/>
        </w:rPr>
        <w:footnoteRef/>
      </w:r>
      <w:r w:rsidRPr="00CA4FC5">
        <w:rPr>
          <w:i/>
        </w:rPr>
        <w:t xml:space="preserve"> </w:t>
      </w:r>
      <w:r w:rsidR="004759EB" w:rsidRPr="00CA4FC5">
        <w:rPr>
          <w:i/>
        </w:rPr>
        <w:t xml:space="preserve">WUTC v. </w:t>
      </w:r>
      <w:r w:rsidR="009C2DF8" w:rsidRPr="0034021A">
        <w:rPr>
          <w:i/>
        </w:rPr>
        <w:t>Puget Sound Energy, Inc</w:t>
      </w:r>
      <w:r w:rsidR="009C2DF8" w:rsidRPr="0034021A">
        <w:t>.</w:t>
      </w:r>
      <w:r w:rsidR="004759EB" w:rsidRPr="00CA4FC5">
        <w:rPr>
          <w:i/>
        </w:rPr>
        <w:t>,</w:t>
      </w:r>
      <w:r w:rsidR="004759EB">
        <w:t xml:space="preserve"> </w:t>
      </w:r>
      <w:r>
        <w:t xml:space="preserve">Dockets UE-111048 and UG-111049 (consolidated), Order 08 at </w:t>
      </w:r>
      <w:r w:rsidR="004759EB">
        <w:t>182, ¶ 492 (May 7, 2012)</w:t>
      </w:r>
      <w:r w:rsidR="000717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A" w:rsidRDefault="00416B2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4A0"/>
    <w:multiLevelType w:val="hybridMultilevel"/>
    <w:tmpl w:val="1F6CC260"/>
    <w:lvl w:ilvl="0" w:tplc="B40C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9781E"/>
    <w:multiLevelType w:val="hybridMultilevel"/>
    <w:tmpl w:val="60C4B2C8"/>
    <w:lvl w:ilvl="0" w:tplc="0409000F">
      <w:start w:val="1"/>
      <w:numFmt w:val="decimal"/>
      <w:lvlText w:val="%1."/>
      <w:lvlJc w:val="left"/>
      <w:pPr>
        <w:ind w:left="0" w:hanging="360"/>
      </w:pPr>
      <w:rPr>
        <w:b w:val="0"/>
        <w: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0115A7D"/>
    <w:multiLevelType w:val="multilevel"/>
    <w:tmpl w:val="8CCAC3B2"/>
    <w:lvl w:ilvl="0">
      <w:start w:val="1"/>
      <w:numFmt w:val="upperRoman"/>
      <w:pStyle w:val="Heading1"/>
      <w:lvlText w:val="%1."/>
      <w:lvlJc w:val="left"/>
      <w:pPr>
        <w:ind w:left="0" w:firstLine="0"/>
      </w:pPr>
      <w:rPr>
        <w:rFonts w:hint="default"/>
        <w:caps/>
        <w:smallCaps w:val="0"/>
        <w:vanish w:val="0"/>
        <w:color w:val="000000"/>
        <w:u w:val="none"/>
      </w:rPr>
    </w:lvl>
    <w:lvl w:ilvl="1">
      <w:start w:val="1"/>
      <w:numFmt w:val="upperLetter"/>
      <w:pStyle w:val="Heading2"/>
      <w:lvlText w:val="%2."/>
      <w:lvlJc w:val="left"/>
      <w:pPr>
        <w:ind w:left="720" w:hanging="720"/>
      </w:pPr>
      <w:rPr>
        <w:rFonts w:hint="default"/>
        <w:b/>
        <w:i w:val="0"/>
        <w:vanish w:val="0"/>
        <w:color w:val="000000"/>
        <w:u w:val="none"/>
      </w:rPr>
    </w:lvl>
    <w:lvl w:ilvl="2">
      <w:start w:val="1"/>
      <w:numFmt w:val="decimal"/>
      <w:pStyle w:val="Heading3"/>
      <w:lvlText w:val="%3."/>
      <w:lvlJc w:val="left"/>
      <w:pPr>
        <w:ind w:left="1440" w:hanging="720"/>
      </w:pPr>
      <w:rPr>
        <w:rFonts w:hint="default"/>
        <w:b/>
        <w:i w:val="0"/>
        <w:vanish w:val="0"/>
        <w:color w:val="000000"/>
        <w:u w:val="none"/>
      </w:rPr>
    </w:lvl>
    <w:lvl w:ilvl="3">
      <w:start w:val="1"/>
      <w:numFmt w:val="lowerLetter"/>
      <w:pStyle w:val="Heading4"/>
      <w:lvlText w:val="%4)"/>
      <w:lvlJc w:val="left"/>
      <w:pPr>
        <w:ind w:left="2160" w:firstLine="0"/>
      </w:pPr>
      <w:rPr>
        <w:rFonts w:hint="default"/>
        <w:b w:val="0"/>
        <w:i w:val="0"/>
        <w:vanish w:val="0"/>
        <w:color w:val="000000"/>
        <w:u w:val="none"/>
      </w:rPr>
    </w:lvl>
    <w:lvl w:ilvl="4">
      <w:start w:val="1"/>
      <w:numFmt w:val="decimal"/>
      <w:pStyle w:val="Heading5"/>
      <w:lvlText w:val="(%5)"/>
      <w:lvlJc w:val="left"/>
      <w:pPr>
        <w:ind w:left="2880" w:firstLine="0"/>
      </w:pPr>
      <w:rPr>
        <w:rFonts w:hint="default"/>
        <w:vanish w:val="0"/>
        <w:color w:val="000000"/>
        <w:u w:val="none"/>
      </w:rPr>
    </w:lvl>
    <w:lvl w:ilvl="5">
      <w:start w:val="1"/>
      <w:numFmt w:val="lowerLetter"/>
      <w:pStyle w:val="Heading6"/>
      <w:lvlText w:val="(%6)"/>
      <w:lvlJc w:val="left"/>
      <w:pPr>
        <w:ind w:left="3600" w:firstLine="0"/>
      </w:pPr>
      <w:rPr>
        <w:rFonts w:hint="default"/>
        <w:vanish w:val="0"/>
        <w:color w:val="000000"/>
        <w:u w:val="none"/>
      </w:rPr>
    </w:lvl>
    <w:lvl w:ilvl="6">
      <w:start w:val="1"/>
      <w:numFmt w:val="lowerRoman"/>
      <w:pStyle w:val="Heading7"/>
      <w:lvlText w:val="(%7)"/>
      <w:lvlJc w:val="left"/>
      <w:pPr>
        <w:ind w:left="4320" w:firstLine="0"/>
      </w:pPr>
      <w:rPr>
        <w:rFonts w:hint="default"/>
        <w:vanish w:val="0"/>
        <w:color w:val="000000"/>
        <w:u w:val="none"/>
      </w:rPr>
    </w:lvl>
    <w:lvl w:ilvl="7">
      <w:start w:val="1"/>
      <w:numFmt w:val="lowerLetter"/>
      <w:pStyle w:val="Heading8"/>
      <w:lvlText w:val="(%8)"/>
      <w:lvlJc w:val="left"/>
      <w:pPr>
        <w:ind w:left="5040" w:firstLine="0"/>
      </w:pPr>
      <w:rPr>
        <w:rFonts w:hint="default"/>
        <w:vanish w:val="0"/>
        <w:color w:val="000000"/>
        <w:u w:val="none"/>
      </w:rPr>
    </w:lvl>
    <w:lvl w:ilvl="8">
      <w:start w:val="1"/>
      <w:numFmt w:val="lowerRoman"/>
      <w:pStyle w:val="Heading9"/>
      <w:lvlText w:val="(%9)"/>
      <w:lvlJc w:val="left"/>
      <w:pPr>
        <w:ind w:left="5760" w:firstLine="0"/>
      </w:pPr>
      <w:rPr>
        <w:rFonts w:hint="default"/>
        <w:vanish w:val="0"/>
        <w:color w:val="000000"/>
        <w:u w:val="none"/>
      </w:rPr>
    </w:lvl>
  </w:abstractNum>
  <w:abstractNum w:abstractNumId="3" w15:restartNumberingAfterBreak="0">
    <w:nsid w:val="35052F4C"/>
    <w:multiLevelType w:val="hybridMultilevel"/>
    <w:tmpl w:val="9CCA6282"/>
    <w:lvl w:ilvl="0" w:tplc="1EC85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D26B6"/>
    <w:multiLevelType w:val="hybridMultilevel"/>
    <w:tmpl w:val="8BA6D5C8"/>
    <w:lvl w:ilvl="0" w:tplc="4E0ED656">
      <w:start w:val="1"/>
      <w:numFmt w:val="decimal"/>
      <w:lvlText w:val="%1"/>
      <w:lvlJc w:val="left"/>
      <w:pPr>
        <w:ind w:left="0" w:hanging="360"/>
      </w:pPr>
      <w:rPr>
        <w:rFonts w:ascii="Times New Roman" w:hAnsi="Times New Roman" w:hint="default"/>
        <w:b w:val="0"/>
        <w:i/>
        <w:color w:val="auto"/>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E1F6DA7"/>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420153F3"/>
    <w:multiLevelType w:val="hybridMultilevel"/>
    <w:tmpl w:val="975E7EE0"/>
    <w:lvl w:ilvl="0" w:tplc="7BB8E2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316B8C"/>
    <w:multiLevelType w:val="hybridMultilevel"/>
    <w:tmpl w:val="07468348"/>
    <w:lvl w:ilvl="0" w:tplc="C9822296">
      <w:start w:val="1"/>
      <w:numFmt w:val="lowerLetter"/>
      <w:lvlText w:val="%1."/>
      <w:lvlJc w:val="left"/>
      <w:pPr>
        <w:ind w:left="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51E5B45"/>
    <w:multiLevelType w:val="hybridMultilevel"/>
    <w:tmpl w:val="E16EC7B0"/>
    <w:lvl w:ilvl="0" w:tplc="2BDE5270">
      <w:start w:val="1"/>
      <w:numFmt w:val="upperLetter"/>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64D36A9"/>
    <w:multiLevelType w:val="multilevel"/>
    <w:tmpl w:val="75CCA616"/>
    <w:lvl w:ilvl="0">
      <w:start w:val="1"/>
      <w:numFmt w:val="upperRoman"/>
      <w:lvlText w:val="%1."/>
      <w:lvlJc w:val="left"/>
      <w:pPr>
        <w:ind w:left="0" w:firstLine="0"/>
      </w:pPr>
      <w:rPr>
        <w:rFonts w:hint="default"/>
        <w:caps/>
        <w:smallCaps w:val="0"/>
        <w:vanish w:val="0"/>
        <w:color w:val="000000"/>
        <w:u w:val="none"/>
      </w:rPr>
    </w:lvl>
    <w:lvl w:ilvl="1">
      <w:start w:val="1"/>
      <w:numFmt w:val="upperLetter"/>
      <w:lvlText w:val="%2."/>
      <w:lvlJc w:val="left"/>
      <w:pPr>
        <w:ind w:left="720" w:firstLine="0"/>
      </w:pPr>
      <w:rPr>
        <w:rFonts w:hint="default"/>
        <w:i w:val="0"/>
        <w:vanish w:val="0"/>
        <w:color w:val="000000"/>
        <w:u w:val="none"/>
      </w:rPr>
    </w:lvl>
    <w:lvl w:ilvl="2">
      <w:start w:val="1"/>
      <w:numFmt w:val="decimal"/>
      <w:lvlText w:val="%3."/>
      <w:lvlJc w:val="left"/>
      <w:pPr>
        <w:ind w:left="1440" w:firstLine="0"/>
      </w:pPr>
      <w:rPr>
        <w:rFonts w:hint="default"/>
        <w:b w:val="0"/>
        <w:i w:val="0"/>
        <w:vanish w:val="0"/>
        <w:color w:val="000000"/>
        <w:u w:val="none"/>
      </w:rPr>
    </w:lvl>
    <w:lvl w:ilvl="3">
      <w:start w:val="1"/>
      <w:numFmt w:val="lowerLetter"/>
      <w:lvlText w:val="%4)"/>
      <w:lvlJc w:val="left"/>
      <w:pPr>
        <w:ind w:left="2160" w:firstLine="0"/>
      </w:pPr>
      <w:rPr>
        <w:rFonts w:hint="default"/>
        <w:b w:val="0"/>
        <w:i w:val="0"/>
        <w:vanish w:val="0"/>
        <w:color w:val="000000"/>
        <w:u w:val="none"/>
      </w:rPr>
    </w:lvl>
    <w:lvl w:ilvl="4">
      <w:start w:val="1"/>
      <w:numFmt w:val="decimal"/>
      <w:lvlText w:val="(%5)"/>
      <w:lvlJc w:val="left"/>
      <w:pPr>
        <w:ind w:left="2880" w:firstLine="0"/>
      </w:pPr>
      <w:rPr>
        <w:rFonts w:hint="default"/>
        <w:vanish w:val="0"/>
        <w:color w:val="000000"/>
        <w:u w:val="none"/>
      </w:rPr>
    </w:lvl>
    <w:lvl w:ilvl="5">
      <w:start w:val="1"/>
      <w:numFmt w:val="lowerLetter"/>
      <w:lvlText w:val="(%6)"/>
      <w:lvlJc w:val="left"/>
      <w:pPr>
        <w:ind w:left="3600" w:firstLine="0"/>
      </w:pPr>
      <w:rPr>
        <w:rFonts w:hint="default"/>
        <w:vanish w:val="0"/>
        <w:color w:val="000000"/>
        <w:u w:val="none"/>
      </w:rPr>
    </w:lvl>
    <w:lvl w:ilvl="6">
      <w:start w:val="1"/>
      <w:numFmt w:val="lowerRoman"/>
      <w:lvlText w:val="(%7)"/>
      <w:lvlJc w:val="left"/>
      <w:pPr>
        <w:ind w:left="4320" w:firstLine="0"/>
      </w:pPr>
      <w:rPr>
        <w:rFonts w:hint="default"/>
        <w:vanish w:val="0"/>
        <w:color w:val="000000"/>
        <w:u w:val="none"/>
      </w:rPr>
    </w:lvl>
    <w:lvl w:ilvl="7">
      <w:start w:val="1"/>
      <w:numFmt w:val="lowerLetter"/>
      <w:lvlText w:val="(%8)"/>
      <w:lvlJc w:val="left"/>
      <w:pPr>
        <w:ind w:left="5040" w:firstLine="0"/>
      </w:pPr>
      <w:rPr>
        <w:rFonts w:hint="default"/>
        <w:vanish w:val="0"/>
        <w:color w:val="000000"/>
        <w:u w:val="none"/>
      </w:rPr>
    </w:lvl>
    <w:lvl w:ilvl="8">
      <w:start w:val="1"/>
      <w:numFmt w:val="lowerRoman"/>
      <w:lvlText w:val="(%9)"/>
      <w:lvlJc w:val="left"/>
      <w:pPr>
        <w:ind w:left="5760" w:firstLine="0"/>
      </w:pPr>
      <w:rPr>
        <w:rFonts w:hint="default"/>
        <w:vanish w:val="0"/>
        <w:color w:val="000000"/>
        <w:u w:val="none"/>
      </w:rPr>
    </w:lvl>
  </w:abstractNum>
  <w:abstractNum w:abstractNumId="10" w15:restartNumberingAfterBreak="0">
    <w:nsid w:val="5EB355D0"/>
    <w:multiLevelType w:val="hybridMultilevel"/>
    <w:tmpl w:val="94BEE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747119"/>
    <w:multiLevelType w:val="hybridMultilevel"/>
    <w:tmpl w:val="2D88426C"/>
    <w:lvl w:ilvl="0" w:tplc="F6CC8C8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27F72"/>
    <w:multiLevelType w:val="hybridMultilevel"/>
    <w:tmpl w:val="432AF01C"/>
    <w:lvl w:ilvl="0" w:tplc="F1E45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E75E97"/>
    <w:multiLevelType w:val="multilevel"/>
    <w:tmpl w:val="04090027"/>
    <w:lvl w:ilvl="0">
      <w:start w:val="1"/>
      <w:numFmt w:val="upperRoman"/>
      <w:lvlText w:val="%1."/>
      <w:lvlJc w:val="left"/>
      <w:pPr>
        <w:ind w:left="360" w:firstLine="0"/>
      </w:pPr>
      <w:rPr>
        <w:rFonts w:hint="default"/>
        <w:b/>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num w:numId="1">
    <w:abstractNumId w:val="9"/>
  </w:num>
  <w:num w:numId="2">
    <w:abstractNumId w:val="4"/>
  </w:num>
  <w:num w:numId="3">
    <w:abstractNumId w:val="7"/>
  </w:num>
  <w:num w:numId="4">
    <w:abstractNumId w:val="5"/>
  </w:num>
  <w:num w:numId="5">
    <w:abstractNumId w:val="1"/>
  </w:num>
  <w:num w:numId="6">
    <w:abstractNumId w:val="0"/>
  </w:num>
  <w:num w:numId="7">
    <w:abstractNumId w:val="3"/>
  </w:num>
  <w:num w:numId="8">
    <w:abstractNumId w:val="13"/>
  </w:num>
  <w:num w:numId="9">
    <w:abstractNumId w:val="6"/>
  </w:num>
  <w:num w:numId="10">
    <w:abstractNumId w:val="11"/>
  </w:num>
  <w:num w:numId="11">
    <w:abstractNumId w:val="12"/>
  </w:num>
  <w:num w:numId="12">
    <w:abstractNumId w:val="10"/>
  </w:num>
  <w:num w:numId="13">
    <w:abstractNumId w:val="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144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7">
    <w:abstractNumId w:val="2"/>
    <w:lvlOverride w:ilvl="0">
      <w:lvl w:ilvl="0">
        <w:start w:val="1"/>
        <w:numFmt w:val="upperRoman"/>
        <w:pStyle w:val="Heading1"/>
        <w:lvlText w:val="%1."/>
        <w:lvlJc w:val="left"/>
        <w:pPr>
          <w:ind w:left="0" w:firstLine="0"/>
        </w:pPr>
        <w:rPr>
          <w:rFonts w:hint="default"/>
          <w:caps/>
          <w:smallCaps w:val="0"/>
          <w:vanish w:val="0"/>
          <w:color w:val="000000"/>
          <w:u w:val="none"/>
        </w:rPr>
      </w:lvl>
    </w:lvlOverride>
    <w:lvlOverride w:ilvl="1">
      <w:lvl w:ilvl="1">
        <w:start w:val="1"/>
        <w:numFmt w:val="upperLetter"/>
        <w:pStyle w:val="Heading2"/>
        <w:lvlText w:val="%2."/>
        <w:lvlJc w:val="left"/>
        <w:pPr>
          <w:ind w:left="720" w:hanging="720"/>
        </w:pPr>
        <w:rPr>
          <w:rFonts w:hint="default"/>
          <w:i w:val="0"/>
          <w:vanish w:val="0"/>
          <w:color w:val="000000"/>
          <w:u w:val="none"/>
        </w:rPr>
      </w:lvl>
    </w:lvlOverride>
    <w:lvlOverride w:ilvl="2">
      <w:lvl w:ilvl="2">
        <w:start w:val="1"/>
        <w:numFmt w:val="decimal"/>
        <w:pStyle w:val="Heading3"/>
        <w:lvlText w:val="%3."/>
        <w:lvlJc w:val="left"/>
        <w:pPr>
          <w:ind w:left="1440" w:firstLine="0"/>
        </w:pPr>
        <w:rPr>
          <w:rFonts w:hint="default"/>
          <w:b w:val="0"/>
          <w:i w:val="0"/>
          <w:vanish w:val="0"/>
          <w:color w:val="000000"/>
          <w:u w:val="none"/>
        </w:rPr>
      </w:lvl>
    </w:lvlOverride>
    <w:lvlOverride w:ilvl="3">
      <w:lvl w:ilvl="3">
        <w:start w:val="1"/>
        <w:numFmt w:val="lowerLetter"/>
        <w:pStyle w:val="Heading4"/>
        <w:lvlText w:val="%4)"/>
        <w:lvlJc w:val="left"/>
        <w:pPr>
          <w:ind w:left="2160" w:firstLine="0"/>
        </w:pPr>
        <w:rPr>
          <w:rFonts w:hint="default"/>
          <w:b w:val="0"/>
          <w:i w:val="0"/>
          <w:vanish w:val="0"/>
          <w:color w:val="000000"/>
          <w:u w:val="none"/>
        </w:rPr>
      </w:lvl>
    </w:lvlOverride>
    <w:lvlOverride w:ilvl="4">
      <w:lvl w:ilvl="4">
        <w:start w:val="1"/>
        <w:numFmt w:val="decimal"/>
        <w:pStyle w:val="Heading5"/>
        <w:lvlText w:val="(%5)"/>
        <w:lvlJc w:val="left"/>
        <w:pPr>
          <w:ind w:left="2880" w:firstLine="0"/>
        </w:pPr>
        <w:rPr>
          <w:rFonts w:hint="default"/>
          <w:vanish w:val="0"/>
          <w:color w:val="000000"/>
          <w:u w:val="none"/>
        </w:rPr>
      </w:lvl>
    </w:lvlOverride>
    <w:lvlOverride w:ilvl="5">
      <w:lvl w:ilvl="5">
        <w:start w:val="1"/>
        <w:numFmt w:val="lowerLetter"/>
        <w:pStyle w:val="Heading6"/>
        <w:lvlText w:val="(%6)"/>
        <w:lvlJc w:val="left"/>
        <w:pPr>
          <w:ind w:left="3600" w:firstLine="0"/>
        </w:pPr>
        <w:rPr>
          <w:rFonts w:hint="default"/>
          <w:vanish w:val="0"/>
          <w:color w:val="000000"/>
          <w:u w:val="none"/>
        </w:rPr>
      </w:lvl>
    </w:lvlOverride>
    <w:lvlOverride w:ilvl="6">
      <w:lvl w:ilvl="6">
        <w:start w:val="1"/>
        <w:numFmt w:val="lowerRoman"/>
        <w:pStyle w:val="Heading7"/>
        <w:lvlText w:val="(%7)"/>
        <w:lvlJc w:val="left"/>
        <w:pPr>
          <w:ind w:left="4320" w:firstLine="0"/>
        </w:pPr>
        <w:rPr>
          <w:rFonts w:hint="default"/>
          <w:vanish w:val="0"/>
          <w:color w:val="000000"/>
          <w:u w:val="none"/>
        </w:rPr>
      </w:lvl>
    </w:lvlOverride>
    <w:lvlOverride w:ilvl="7">
      <w:lvl w:ilvl="7">
        <w:start w:val="1"/>
        <w:numFmt w:val="lowerLetter"/>
        <w:pStyle w:val="Heading8"/>
        <w:lvlText w:val="(%8)"/>
        <w:lvlJc w:val="left"/>
        <w:pPr>
          <w:ind w:left="5040" w:firstLine="0"/>
        </w:pPr>
        <w:rPr>
          <w:rFonts w:hint="default"/>
          <w:vanish w:val="0"/>
          <w:color w:val="000000"/>
          <w:u w:val="none"/>
        </w:rPr>
      </w:lvl>
    </w:lvlOverride>
    <w:lvlOverride w:ilvl="8">
      <w:lvl w:ilvl="8">
        <w:start w:val="1"/>
        <w:numFmt w:val="lowerRoman"/>
        <w:pStyle w:val="Heading9"/>
        <w:lvlText w:val="(%9)"/>
        <w:lvlJc w:val="left"/>
        <w:pPr>
          <w:ind w:left="5760" w:firstLine="0"/>
        </w:pPr>
        <w:rPr>
          <w:rFonts w:hint="default"/>
          <w:vanish w:val="0"/>
          <w:color w:val="000000"/>
          <w:u w:val="none"/>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95"/>
    <w:rsid w:val="00001890"/>
    <w:rsid w:val="00003EDA"/>
    <w:rsid w:val="00010D68"/>
    <w:rsid w:val="000111EB"/>
    <w:rsid w:val="000215B9"/>
    <w:rsid w:val="00027605"/>
    <w:rsid w:val="00032997"/>
    <w:rsid w:val="00034402"/>
    <w:rsid w:val="00040EF5"/>
    <w:rsid w:val="000517C2"/>
    <w:rsid w:val="00055E02"/>
    <w:rsid w:val="000573A9"/>
    <w:rsid w:val="00063A61"/>
    <w:rsid w:val="0007178E"/>
    <w:rsid w:val="00072C6C"/>
    <w:rsid w:val="000747C9"/>
    <w:rsid w:val="00087167"/>
    <w:rsid w:val="00092B85"/>
    <w:rsid w:val="000A55D0"/>
    <w:rsid w:val="000C3912"/>
    <w:rsid w:val="000C5C35"/>
    <w:rsid w:val="000E03D7"/>
    <w:rsid w:val="000E5DA8"/>
    <w:rsid w:val="001002CB"/>
    <w:rsid w:val="00123330"/>
    <w:rsid w:val="00141C25"/>
    <w:rsid w:val="001454B0"/>
    <w:rsid w:val="00153FB0"/>
    <w:rsid w:val="0015486F"/>
    <w:rsid w:val="00160369"/>
    <w:rsid w:val="001650C3"/>
    <w:rsid w:val="00166AA5"/>
    <w:rsid w:val="001709D6"/>
    <w:rsid w:val="00172720"/>
    <w:rsid w:val="00175B22"/>
    <w:rsid w:val="00186A7C"/>
    <w:rsid w:val="001A5C79"/>
    <w:rsid w:val="001A6C9D"/>
    <w:rsid w:val="001D0E01"/>
    <w:rsid w:val="001F6959"/>
    <w:rsid w:val="00205CB1"/>
    <w:rsid w:val="00207C5C"/>
    <w:rsid w:val="00211F03"/>
    <w:rsid w:val="00212719"/>
    <w:rsid w:val="002220A6"/>
    <w:rsid w:val="00251CB2"/>
    <w:rsid w:val="00275AAF"/>
    <w:rsid w:val="00277595"/>
    <w:rsid w:val="00282918"/>
    <w:rsid w:val="00290F3E"/>
    <w:rsid w:val="002933A7"/>
    <w:rsid w:val="0029782E"/>
    <w:rsid w:val="002A65E5"/>
    <w:rsid w:val="002C412C"/>
    <w:rsid w:val="002D1211"/>
    <w:rsid w:val="002D4D43"/>
    <w:rsid w:val="00306082"/>
    <w:rsid w:val="0030699F"/>
    <w:rsid w:val="00313AC2"/>
    <w:rsid w:val="0032672E"/>
    <w:rsid w:val="00330168"/>
    <w:rsid w:val="003343C5"/>
    <w:rsid w:val="0034021A"/>
    <w:rsid w:val="00346102"/>
    <w:rsid w:val="00356C2B"/>
    <w:rsid w:val="0036158B"/>
    <w:rsid w:val="0036192C"/>
    <w:rsid w:val="00371D90"/>
    <w:rsid w:val="0037632A"/>
    <w:rsid w:val="00377521"/>
    <w:rsid w:val="00377FAF"/>
    <w:rsid w:val="00384600"/>
    <w:rsid w:val="003B4E65"/>
    <w:rsid w:val="003C6FA6"/>
    <w:rsid w:val="003E3B0E"/>
    <w:rsid w:val="003E4795"/>
    <w:rsid w:val="003F7481"/>
    <w:rsid w:val="00411164"/>
    <w:rsid w:val="00414E0A"/>
    <w:rsid w:val="00415353"/>
    <w:rsid w:val="00416B2A"/>
    <w:rsid w:val="00426198"/>
    <w:rsid w:val="00433091"/>
    <w:rsid w:val="0044279C"/>
    <w:rsid w:val="0045198D"/>
    <w:rsid w:val="004534C3"/>
    <w:rsid w:val="004650E3"/>
    <w:rsid w:val="00470B76"/>
    <w:rsid w:val="00474A61"/>
    <w:rsid w:val="004759EB"/>
    <w:rsid w:val="00480629"/>
    <w:rsid w:val="00491B41"/>
    <w:rsid w:val="004A3C83"/>
    <w:rsid w:val="004B1A26"/>
    <w:rsid w:val="004B3BFE"/>
    <w:rsid w:val="004C0614"/>
    <w:rsid w:val="004C78E6"/>
    <w:rsid w:val="004D5A04"/>
    <w:rsid w:val="004E44C7"/>
    <w:rsid w:val="00516C08"/>
    <w:rsid w:val="00522A8D"/>
    <w:rsid w:val="005453B2"/>
    <w:rsid w:val="00573F59"/>
    <w:rsid w:val="00575A6D"/>
    <w:rsid w:val="005838C1"/>
    <w:rsid w:val="00596B60"/>
    <w:rsid w:val="005A0110"/>
    <w:rsid w:val="005A540D"/>
    <w:rsid w:val="005A66FC"/>
    <w:rsid w:val="005A7D99"/>
    <w:rsid w:val="005B7838"/>
    <w:rsid w:val="005B7C63"/>
    <w:rsid w:val="005C269A"/>
    <w:rsid w:val="005C6515"/>
    <w:rsid w:val="005E054D"/>
    <w:rsid w:val="005E7ED2"/>
    <w:rsid w:val="005F4324"/>
    <w:rsid w:val="005F6FE7"/>
    <w:rsid w:val="0062568B"/>
    <w:rsid w:val="00646CCB"/>
    <w:rsid w:val="0065302F"/>
    <w:rsid w:val="00665049"/>
    <w:rsid w:val="00676921"/>
    <w:rsid w:val="006822C1"/>
    <w:rsid w:val="00682F1C"/>
    <w:rsid w:val="00694CB2"/>
    <w:rsid w:val="00696C1D"/>
    <w:rsid w:val="006B287A"/>
    <w:rsid w:val="006B5D6F"/>
    <w:rsid w:val="006B7B24"/>
    <w:rsid w:val="006C2E09"/>
    <w:rsid w:val="006C7177"/>
    <w:rsid w:val="006D75D1"/>
    <w:rsid w:val="006E5A54"/>
    <w:rsid w:val="006E5E62"/>
    <w:rsid w:val="006E6B8B"/>
    <w:rsid w:val="006E6F98"/>
    <w:rsid w:val="006F20A9"/>
    <w:rsid w:val="006F2597"/>
    <w:rsid w:val="00701F18"/>
    <w:rsid w:val="00706628"/>
    <w:rsid w:val="007078C8"/>
    <w:rsid w:val="00713E7C"/>
    <w:rsid w:val="00753C29"/>
    <w:rsid w:val="00765A34"/>
    <w:rsid w:val="00784BED"/>
    <w:rsid w:val="007915A5"/>
    <w:rsid w:val="00795E58"/>
    <w:rsid w:val="007979DE"/>
    <w:rsid w:val="007B1EA3"/>
    <w:rsid w:val="007B49C0"/>
    <w:rsid w:val="007B6E55"/>
    <w:rsid w:val="007B70A6"/>
    <w:rsid w:val="007B7C44"/>
    <w:rsid w:val="007D3777"/>
    <w:rsid w:val="007D4DAB"/>
    <w:rsid w:val="007E1075"/>
    <w:rsid w:val="007E188F"/>
    <w:rsid w:val="007E299E"/>
    <w:rsid w:val="007E51DD"/>
    <w:rsid w:val="007F306C"/>
    <w:rsid w:val="008057E1"/>
    <w:rsid w:val="00811037"/>
    <w:rsid w:val="00841AE7"/>
    <w:rsid w:val="008552B8"/>
    <w:rsid w:val="00864CB0"/>
    <w:rsid w:val="00870807"/>
    <w:rsid w:val="00880C22"/>
    <w:rsid w:val="00882E8B"/>
    <w:rsid w:val="0088707E"/>
    <w:rsid w:val="008878E3"/>
    <w:rsid w:val="008A1F15"/>
    <w:rsid w:val="008A360C"/>
    <w:rsid w:val="008A51C5"/>
    <w:rsid w:val="008B16C6"/>
    <w:rsid w:val="008B2084"/>
    <w:rsid w:val="008B2100"/>
    <w:rsid w:val="008C3474"/>
    <w:rsid w:val="008C426B"/>
    <w:rsid w:val="008C6D66"/>
    <w:rsid w:val="008C7821"/>
    <w:rsid w:val="008E45AA"/>
    <w:rsid w:val="008F30B9"/>
    <w:rsid w:val="008F3BA7"/>
    <w:rsid w:val="008F71A9"/>
    <w:rsid w:val="009014B4"/>
    <w:rsid w:val="009111B7"/>
    <w:rsid w:val="00914F00"/>
    <w:rsid w:val="009314E4"/>
    <w:rsid w:val="009331E4"/>
    <w:rsid w:val="00934DFB"/>
    <w:rsid w:val="0094052D"/>
    <w:rsid w:val="00954062"/>
    <w:rsid w:val="00965577"/>
    <w:rsid w:val="00965DEE"/>
    <w:rsid w:val="009710F3"/>
    <w:rsid w:val="00977F19"/>
    <w:rsid w:val="00982A52"/>
    <w:rsid w:val="00986371"/>
    <w:rsid w:val="00986D70"/>
    <w:rsid w:val="009C2DF8"/>
    <w:rsid w:val="009C4DA8"/>
    <w:rsid w:val="009F276D"/>
    <w:rsid w:val="00A11DA7"/>
    <w:rsid w:val="00A159CD"/>
    <w:rsid w:val="00A21E09"/>
    <w:rsid w:val="00A34CB2"/>
    <w:rsid w:val="00A47409"/>
    <w:rsid w:val="00A6017F"/>
    <w:rsid w:val="00A6738B"/>
    <w:rsid w:val="00A73916"/>
    <w:rsid w:val="00A819F5"/>
    <w:rsid w:val="00A90FC1"/>
    <w:rsid w:val="00AA1B25"/>
    <w:rsid w:val="00AB2922"/>
    <w:rsid w:val="00AD0DF0"/>
    <w:rsid w:val="00AD201E"/>
    <w:rsid w:val="00AE593D"/>
    <w:rsid w:val="00AF0896"/>
    <w:rsid w:val="00B25E87"/>
    <w:rsid w:val="00B34BFE"/>
    <w:rsid w:val="00B36350"/>
    <w:rsid w:val="00B36408"/>
    <w:rsid w:val="00B54299"/>
    <w:rsid w:val="00B56C5E"/>
    <w:rsid w:val="00B57196"/>
    <w:rsid w:val="00B63B0E"/>
    <w:rsid w:val="00B654FF"/>
    <w:rsid w:val="00B723DA"/>
    <w:rsid w:val="00B75C4E"/>
    <w:rsid w:val="00B86250"/>
    <w:rsid w:val="00B86F09"/>
    <w:rsid w:val="00B917C9"/>
    <w:rsid w:val="00B93B61"/>
    <w:rsid w:val="00B94D36"/>
    <w:rsid w:val="00BA6056"/>
    <w:rsid w:val="00BB11FE"/>
    <w:rsid w:val="00BB2821"/>
    <w:rsid w:val="00BC1835"/>
    <w:rsid w:val="00BD2B07"/>
    <w:rsid w:val="00BD2F95"/>
    <w:rsid w:val="00BD2FF2"/>
    <w:rsid w:val="00BD509E"/>
    <w:rsid w:val="00BD77E3"/>
    <w:rsid w:val="00BE43FF"/>
    <w:rsid w:val="00BF2B70"/>
    <w:rsid w:val="00C10DED"/>
    <w:rsid w:val="00C113F4"/>
    <w:rsid w:val="00C12F11"/>
    <w:rsid w:val="00C3416F"/>
    <w:rsid w:val="00C355F6"/>
    <w:rsid w:val="00C416E6"/>
    <w:rsid w:val="00C74963"/>
    <w:rsid w:val="00C74A2E"/>
    <w:rsid w:val="00C766FB"/>
    <w:rsid w:val="00CA1314"/>
    <w:rsid w:val="00CA489A"/>
    <w:rsid w:val="00CA4FC5"/>
    <w:rsid w:val="00CB6D22"/>
    <w:rsid w:val="00CC301A"/>
    <w:rsid w:val="00CF6D87"/>
    <w:rsid w:val="00D00BDD"/>
    <w:rsid w:val="00D07BE2"/>
    <w:rsid w:val="00D17AD3"/>
    <w:rsid w:val="00D2627B"/>
    <w:rsid w:val="00D271C6"/>
    <w:rsid w:val="00D34477"/>
    <w:rsid w:val="00D37815"/>
    <w:rsid w:val="00D413D8"/>
    <w:rsid w:val="00D46CE6"/>
    <w:rsid w:val="00D549EE"/>
    <w:rsid w:val="00D55553"/>
    <w:rsid w:val="00D725E7"/>
    <w:rsid w:val="00D77EA9"/>
    <w:rsid w:val="00D82410"/>
    <w:rsid w:val="00D85F16"/>
    <w:rsid w:val="00D959C5"/>
    <w:rsid w:val="00DA4BF1"/>
    <w:rsid w:val="00DA70D9"/>
    <w:rsid w:val="00DB2D72"/>
    <w:rsid w:val="00DB53DF"/>
    <w:rsid w:val="00DC2048"/>
    <w:rsid w:val="00DD022D"/>
    <w:rsid w:val="00DD02FB"/>
    <w:rsid w:val="00DD0FBC"/>
    <w:rsid w:val="00DD4B5A"/>
    <w:rsid w:val="00DE2D29"/>
    <w:rsid w:val="00DF0244"/>
    <w:rsid w:val="00DF282F"/>
    <w:rsid w:val="00E147C5"/>
    <w:rsid w:val="00E176F6"/>
    <w:rsid w:val="00E246BC"/>
    <w:rsid w:val="00E30446"/>
    <w:rsid w:val="00E35E31"/>
    <w:rsid w:val="00E37F92"/>
    <w:rsid w:val="00E511DC"/>
    <w:rsid w:val="00E6234B"/>
    <w:rsid w:val="00E66BA9"/>
    <w:rsid w:val="00E66C55"/>
    <w:rsid w:val="00E9382A"/>
    <w:rsid w:val="00E94403"/>
    <w:rsid w:val="00EA4F1D"/>
    <w:rsid w:val="00EB2CCC"/>
    <w:rsid w:val="00EC1422"/>
    <w:rsid w:val="00EC2351"/>
    <w:rsid w:val="00ED2598"/>
    <w:rsid w:val="00EE2240"/>
    <w:rsid w:val="00EE34C6"/>
    <w:rsid w:val="00F07A08"/>
    <w:rsid w:val="00F149F4"/>
    <w:rsid w:val="00F1558D"/>
    <w:rsid w:val="00F23446"/>
    <w:rsid w:val="00F23CDC"/>
    <w:rsid w:val="00F26D33"/>
    <w:rsid w:val="00F7157D"/>
    <w:rsid w:val="00F76C63"/>
    <w:rsid w:val="00F83371"/>
    <w:rsid w:val="00F902D0"/>
    <w:rsid w:val="00F92A61"/>
    <w:rsid w:val="00FA15E1"/>
    <w:rsid w:val="00FC1417"/>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6B"/>
    <w:rPr>
      <w:sz w:val="24"/>
      <w:szCs w:val="24"/>
    </w:rPr>
  </w:style>
  <w:style w:type="paragraph" w:styleId="Heading1">
    <w:name w:val="heading 1"/>
    <w:basedOn w:val="Washingtonparagraph"/>
    <w:qFormat/>
    <w:rsid w:val="008C3474"/>
    <w:pPr>
      <w:numPr>
        <w:numId w:val="14"/>
      </w:numPr>
      <w:jc w:val="center"/>
      <w:outlineLvl w:val="0"/>
    </w:pPr>
    <w:rPr>
      <w:b/>
    </w:rPr>
  </w:style>
  <w:style w:type="paragraph" w:styleId="Heading2">
    <w:name w:val="heading 2"/>
    <w:basedOn w:val="Normal"/>
    <w:qFormat/>
    <w:rsid w:val="008C3474"/>
    <w:pPr>
      <w:numPr>
        <w:ilvl w:val="1"/>
        <w:numId w:val="14"/>
      </w:numPr>
      <w:jc w:val="both"/>
      <w:outlineLvl w:val="1"/>
    </w:pPr>
    <w:rPr>
      <w:rFonts w:eastAsia="Times"/>
      <w:b/>
      <w:bCs/>
      <w:shd w:val="clear" w:color="auto" w:fill="FFFFFF"/>
    </w:rPr>
  </w:style>
  <w:style w:type="paragraph" w:styleId="Heading3">
    <w:name w:val="heading 3"/>
    <w:basedOn w:val="ListParagraph"/>
    <w:qFormat/>
    <w:rsid w:val="008C3474"/>
    <w:pPr>
      <w:numPr>
        <w:ilvl w:val="2"/>
        <w:numId w:val="14"/>
      </w:numPr>
      <w:shd w:val="clear" w:color="auto" w:fill="FFFFFF"/>
      <w:outlineLvl w:val="2"/>
    </w:pPr>
    <w:rPr>
      <w:rFonts w:ascii="Times New Roman" w:eastAsia="Times New Roman" w:hAnsi="Times New Roman"/>
      <w:b/>
      <w:szCs w:val="24"/>
    </w:rPr>
  </w:style>
  <w:style w:type="paragraph" w:styleId="Heading4">
    <w:name w:val="heading 4"/>
    <w:basedOn w:val="Normal"/>
    <w:qFormat/>
    <w:rsid w:val="005F086B"/>
    <w:pPr>
      <w:numPr>
        <w:ilvl w:val="3"/>
        <w:numId w:val="14"/>
      </w:numPr>
      <w:spacing w:after="240"/>
      <w:jc w:val="both"/>
      <w:outlineLvl w:val="3"/>
    </w:pPr>
  </w:style>
  <w:style w:type="paragraph" w:styleId="Heading5">
    <w:name w:val="heading 5"/>
    <w:basedOn w:val="Normal"/>
    <w:qFormat/>
    <w:rsid w:val="005F086B"/>
    <w:pPr>
      <w:numPr>
        <w:ilvl w:val="4"/>
        <w:numId w:val="14"/>
      </w:numPr>
      <w:spacing w:after="240"/>
      <w:outlineLvl w:val="4"/>
    </w:pPr>
  </w:style>
  <w:style w:type="paragraph" w:styleId="Heading6">
    <w:name w:val="heading 6"/>
    <w:basedOn w:val="Normal"/>
    <w:qFormat/>
    <w:rsid w:val="005F086B"/>
    <w:pPr>
      <w:numPr>
        <w:ilvl w:val="5"/>
        <w:numId w:val="14"/>
      </w:numPr>
      <w:spacing w:after="240"/>
      <w:outlineLvl w:val="5"/>
    </w:pPr>
  </w:style>
  <w:style w:type="paragraph" w:styleId="Heading7">
    <w:name w:val="heading 7"/>
    <w:basedOn w:val="Normal"/>
    <w:qFormat/>
    <w:rsid w:val="005F086B"/>
    <w:pPr>
      <w:numPr>
        <w:ilvl w:val="6"/>
        <w:numId w:val="14"/>
      </w:numPr>
      <w:spacing w:after="240"/>
      <w:outlineLvl w:val="6"/>
    </w:pPr>
  </w:style>
  <w:style w:type="paragraph" w:styleId="Heading8">
    <w:name w:val="heading 8"/>
    <w:basedOn w:val="Normal"/>
    <w:qFormat/>
    <w:rsid w:val="005F086B"/>
    <w:pPr>
      <w:numPr>
        <w:ilvl w:val="7"/>
        <w:numId w:val="14"/>
      </w:numPr>
      <w:spacing w:after="240"/>
      <w:outlineLvl w:val="7"/>
    </w:pPr>
  </w:style>
  <w:style w:type="paragraph" w:styleId="Heading9">
    <w:name w:val="heading 9"/>
    <w:basedOn w:val="Normal"/>
    <w:qFormat/>
    <w:rsid w:val="005F086B"/>
    <w:pPr>
      <w:numPr>
        <w:ilvl w:val="8"/>
        <w:numId w:val="1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86B"/>
    <w:pPr>
      <w:tabs>
        <w:tab w:val="center" w:pos="4320"/>
        <w:tab w:val="right" w:pos="8640"/>
      </w:tabs>
    </w:pPr>
  </w:style>
  <w:style w:type="paragraph" w:styleId="Footer">
    <w:name w:val="footer"/>
    <w:basedOn w:val="Normal"/>
    <w:rsid w:val="005F086B"/>
    <w:pPr>
      <w:tabs>
        <w:tab w:val="center" w:pos="4320"/>
        <w:tab w:val="right" w:pos="8640"/>
      </w:tabs>
    </w:pPr>
  </w:style>
  <w:style w:type="character" w:styleId="Hyperlink">
    <w:name w:val="Hyperlink"/>
    <w:uiPriority w:val="99"/>
    <w:rsid w:val="005F086B"/>
    <w:rPr>
      <w:color w:val="0000FF"/>
      <w:u w:val="single"/>
    </w:rPr>
  </w:style>
  <w:style w:type="paragraph" w:styleId="BodyText">
    <w:name w:val="Body Text"/>
    <w:basedOn w:val="Normal"/>
    <w:rsid w:val="005F086B"/>
    <w:pPr>
      <w:spacing w:line="480" w:lineRule="exact"/>
      <w:ind w:firstLine="720"/>
    </w:pPr>
    <w:rPr>
      <w:szCs w:val="20"/>
    </w:rPr>
  </w:style>
  <w:style w:type="character" w:styleId="PageNumber">
    <w:name w:val="page number"/>
    <w:basedOn w:val="DefaultParagraphFont"/>
    <w:rsid w:val="005F086B"/>
  </w:style>
  <w:style w:type="character" w:styleId="CommentReference">
    <w:name w:val="annotation reference"/>
    <w:semiHidden/>
    <w:rsid w:val="005F086B"/>
    <w:rPr>
      <w:sz w:val="16"/>
      <w:szCs w:val="16"/>
    </w:rPr>
  </w:style>
  <w:style w:type="paragraph" w:styleId="CommentText">
    <w:name w:val="annotation text"/>
    <w:basedOn w:val="Normal"/>
    <w:semiHidden/>
    <w:rsid w:val="005F086B"/>
    <w:rPr>
      <w:sz w:val="20"/>
      <w:szCs w:val="20"/>
    </w:rPr>
  </w:style>
  <w:style w:type="paragraph" w:styleId="BalloonText">
    <w:name w:val="Balloon Text"/>
    <w:basedOn w:val="Normal"/>
    <w:semiHidden/>
    <w:rsid w:val="00FE186F"/>
    <w:rPr>
      <w:rFonts w:ascii="Tahoma" w:hAnsi="Tahoma" w:cs="Tahoma"/>
      <w:sz w:val="16"/>
      <w:szCs w:val="16"/>
    </w:rPr>
  </w:style>
  <w:style w:type="character" w:styleId="LineNumber">
    <w:name w:val="line number"/>
    <w:basedOn w:val="DefaultParagraphFont"/>
    <w:rsid w:val="00CD2060"/>
  </w:style>
  <w:style w:type="paragraph" w:customStyle="1" w:styleId="CharChar2">
    <w:name w:val="Char Char2"/>
    <w:basedOn w:val="Normal"/>
    <w:rsid w:val="00CD2060"/>
    <w:pPr>
      <w:spacing w:after="160" w:line="240" w:lineRule="exact"/>
    </w:pPr>
    <w:rPr>
      <w:rFonts w:ascii="Verdana" w:hAnsi="Verdana"/>
      <w:sz w:val="20"/>
      <w:szCs w:val="20"/>
    </w:rPr>
  </w:style>
  <w:style w:type="paragraph" w:customStyle="1" w:styleId="CharChar1">
    <w:name w:val="Char Char1"/>
    <w:basedOn w:val="Normal"/>
    <w:rsid w:val="003C01DE"/>
    <w:pPr>
      <w:spacing w:after="160" w:line="240" w:lineRule="exact"/>
    </w:pPr>
    <w:rPr>
      <w:rFonts w:ascii="Verdana" w:hAnsi="Verdana" w:cs="Verdana"/>
      <w:sz w:val="20"/>
      <w:szCs w:val="20"/>
    </w:rPr>
  </w:style>
  <w:style w:type="paragraph" w:customStyle="1" w:styleId="CharChar">
    <w:name w:val="Char Char"/>
    <w:basedOn w:val="Normal"/>
    <w:rsid w:val="00B46B63"/>
    <w:pPr>
      <w:spacing w:after="160" w:line="240" w:lineRule="exact"/>
    </w:pPr>
    <w:rPr>
      <w:rFonts w:ascii="Verdana" w:hAnsi="Verdana" w:cs="Verdana"/>
      <w:sz w:val="20"/>
      <w:szCs w:val="20"/>
    </w:rPr>
  </w:style>
  <w:style w:type="paragraph" w:styleId="CommentSubject">
    <w:name w:val="annotation subject"/>
    <w:basedOn w:val="CommentText"/>
    <w:next w:val="CommentText"/>
    <w:semiHidden/>
    <w:rsid w:val="00C87115"/>
    <w:rPr>
      <w:b/>
      <w:bCs/>
    </w:rPr>
  </w:style>
  <w:style w:type="paragraph" w:styleId="ListParagraph">
    <w:name w:val="List Paragraph"/>
    <w:basedOn w:val="Normal"/>
    <w:uiPriority w:val="34"/>
    <w:qFormat/>
    <w:rsid w:val="00DE2626"/>
    <w:pPr>
      <w:ind w:left="720"/>
      <w:contextualSpacing/>
    </w:pPr>
    <w:rPr>
      <w:rFonts w:ascii="Times" w:eastAsia="Times" w:hAnsi="Times"/>
      <w:szCs w:val="20"/>
    </w:rPr>
  </w:style>
  <w:style w:type="paragraph" w:customStyle="1" w:styleId="Washingtonparagraph">
    <w:name w:val="Washington paragraph"/>
    <w:basedOn w:val="ListParagraph"/>
    <w:uiPriority w:val="99"/>
    <w:rsid w:val="00DE2626"/>
    <w:pPr>
      <w:spacing w:line="480" w:lineRule="auto"/>
      <w:ind w:left="0"/>
    </w:pPr>
    <w:rPr>
      <w:rFonts w:ascii="Times New Roman" w:eastAsia="Times New Roman" w:hAnsi="Times New Roman"/>
      <w:szCs w:val="24"/>
    </w:rPr>
  </w:style>
  <w:style w:type="paragraph" w:customStyle="1" w:styleId="PleadingSignature">
    <w:name w:val="Pleading Signature"/>
    <w:basedOn w:val="Normal"/>
    <w:rsid w:val="002A01E6"/>
    <w:pPr>
      <w:keepNext/>
      <w:keepLines/>
      <w:spacing w:line="240" w:lineRule="exact"/>
    </w:pPr>
    <w:rPr>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 Char,ALTS FOOTNOTE,fn,f"/>
    <w:basedOn w:val="Normal"/>
    <w:link w:val="FootnoteTextChar"/>
    <w:uiPriority w:val="99"/>
    <w:unhideWhenUsed/>
    <w:qFormat/>
    <w:rsid w:val="005E673B"/>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5E673B"/>
  </w:style>
  <w:style w:type="character" w:styleId="FootnoteReference">
    <w:name w:val="footnote reference"/>
    <w:aliases w:val="Style 3,o,fr,Style 13,Style 12,Style 15,Style 17,Style 9,o1,fr1,o2,fr2,o3,fr3,Style 18,(NECG) Footnote Reference,Style 20,Style 7,Style 8,Style 19,Style 28,Style 11,Style 16,Styl,Style 6"/>
    <w:uiPriority w:val="99"/>
    <w:unhideWhenUsed/>
    <w:qFormat/>
    <w:rsid w:val="005E673B"/>
    <w:rPr>
      <w:vertAlign w:val="superscript"/>
    </w:rPr>
  </w:style>
  <w:style w:type="paragraph" w:styleId="BodyTextIndent3">
    <w:name w:val="Body Text Indent 3"/>
    <w:basedOn w:val="Normal"/>
    <w:link w:val="BodyTextIndent3Char"/>
    <w:uiPriority w:val="99"/>
    <w:semiHidden/>
    <w:unhideWhenUsed/>
    <w:rsid w:val="001649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916"/>
    <w:rPr>
      <w:sz w:val="16"/>
      <w:szCs w:val="16"/>
    </w:rPr>
  </w:style>
  <w:style w:type="character" w:customStyle="1" w:styleId="apple-converted-space">
    <w:name w:val="apple-converted-space"/>
    <w:basedOn w:val="DefaultParagraphFont"/>
    <w:rsid w:val="00371D90"/>
  </w:style>
  <w:style w:type="paragraph" w:customStyle="1" w:styleId="plain">
    <w:name w:val="plain"/>
    <w:basedOn w:val="Normal"/>
    <w:rsid w:val="00371D90"/>
    <w:pPr>
      <w:spacing w:line="240" w:lineRule="atLeast"/>
    </w:pPr>
    <w:rPr>
      <w:szCs w:val="20"/>
    </w:rPr>
  </w:style>
  <w:style w:type="paragraph" w:customStyle="1" w:styleId="normalblock">
    <w:name w:val="normal block"/>
    <w:basedOn w:val="Normal"/>
    <w:rsid w:val="00371D90"/>
    <w:pPr>
      <w:spacing w:line="480" w:lineRule="atLeast"/>
    </w:pPr>
    <w:rPr>
      <w:szCs w:val="20"/>
    </w:rPr>
  </w:style>
  <w:style w:type="paragraph" w:customStyle="1" w:styleId="WAP1">
    <w:name w:val="WA P1"/>
    <w:basedOn w:val="ListParagraph"/>
    <w:link w:val="WAP1Char"/>
    <w:autoRedefine/>
    <w:qFormat/>
    <w:rsid w:val="00371D90"/>
    <w:pPr>
      <w:widowControl w:val="0"/>
      <w:spacing w:line="480" w:lineRule="auto"/>
      <w:ind w:left="0" w:firstLine="720"/>
      <w:contextualSpacing w:val="0"/>
    </w:pPr>
    <w:rPr>
      <w:rFonts w:ascii="Times New Roman" w:hAnsi="Times New Roman"/>
      <w:szCs w:val="24"/>
    </w:rPr>
  </w:style>
  <w:style w:type="character" w:customStyle="1" w:styleId="WAP1Char">
    <w:name w:val="WA P1 Char"/>
    <w:basedOn w:val="DefaultParagraphFont"/>
    <w:link w:val="WAP1"/>
    <w:rsid w:val="00371D90"/>
    <w:rPr>
      <w:rFonts w:eastAsia="Times"/>
      <w:sz w:val="24"/>
      <w:szCs w:val="24"/>
    </w:rPr>
  </w:style>
  <w:style w:type="paragraph" w:styleId="HTMLPreformatted">
    <w:name w:val="HTML Preformatted"/>
    <w:basedOn w:val="Normal"/>
    <w:link w:val="HTMLPreformattedChar"/>
    <w:uiPriority w:val="99"/>
    <w:unhideWhenUsed/>
    <w:rsid w:val="00D413D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413D8"/>
    <w:rPr>
      <w:rFonts w:ascii="Consolas" w:hAnsi="Consolas" w:cs="Consolas"/>
    </w:rPr>
  </w:style>
  <w:style w:type="paragraph" w:customStyle="1" w:styleId="ReturnAddress">
    <w:name w:val="Return Address"/>
    <w:basedOn w:val="Normal"/>
    <w:rsid w:val="00B54299"/>
    <w:pPr>
      <w:keepLines/>
      <w:spacing w:line="200" w:lineRule="atLeast"/>
      <w:ind w:right="-120"/>
    </w:pPr>
    <w:rPr>
      <w:rFonts w:ascii="Arial" w:hAnsi="Arial" w:cs="Arial"/>
      <w:sz w:val="16"/>
      <w:szCs w:val="22"/>
    </w:rPr>
  </w:style>
  <w:style w:type="paragraph" w:styleId="Revision">
    <w:name w:val="Revision"/>
    <w:hidden/>
    <w:uiPriority w:val="99"/>
    <w:semiHidden/>
    <w:rsid w:val="00694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d-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2941CB-ACC9-4538-B1DB-0902C5F56410}"/>
</file>

<file path=customXml/itemProps2.xml><?xml version="1.0" encoding="utf-8"?>
<ds:datastoreItem xmlns:ds="http://schemas.openxmlformats.org/officeDocument/2006/customXml" ds:itemID="{2167240C-37A3-467F-B6F5-6F5EE80A0A30}"/>
</file>

<file path=customXml/itemProps3.xml><?xml version="1.0" encoding="utf-8"?>
<ds:datastoreItem xmlns:ds="http://schemas.openxmlformats.org/officeDocument/2006/customXml" ds:itemID="{E7517508-135E-4807-9913-AC131C5526D4}"/>
</file>

<file path=customXml/itemProps4.xml><?xml version="1.0" encoding="utf-8"?>
<ds:datastoreItem xmlns:ds="http://schemas.openxmlformats.org/officeDocument/2006/customXml" ds:itemID="{3EE494D6-573C-426B-88EE-1C7DB0D14685}"/>
</file>

<file path=customXml/itemProps5.xml><?xml version="1.0" encoding="utf-8"?>
<ds:datastoreItem xmlns:ds="http://schemas.openxmlformats.org/officeDocument/2006/customXml" ds:itemID="{1902F4AA-A8C2-4003-9ED0-D9D75FED1379}"/>
</file>

<file path=docProps/app.xml><?xml version="1.0" encoding="utf-8"?>
<Properties xmlns="http://schemas.openxmlformats.org/officeDocument/2006/extended-properties" xmlns:vt="http://schemas.openxmlformats.org/officeDocument/2006/docPropsVTypes">
  <Template>Normal</Template>
  <TotalTime>0</TotalTime>
  <Pages>14</Pages>
  <Words>2869</Words>
  <Characters>15637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2015-12-18T21:21:00Z</dcterms:created>
  <dcterms:modified xsi:type="dcterms:W3CDTF">2015-12-18T21:21:00Z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