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footer2.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charts/chart1.xml" ContentType="application/vnd.openxmlformats-officedocument.drawingml.chart+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706" w:rsidRPr="00277436" w:rsidRDefault="00435706" w:rsidP="00C432A0">
      <w:pPr>
        <w:tabs>
          <w:tab w:val="left" w:pos="1260"/>
        </w:tabs>
        <w:spacing w:line="480" w:lineRule="auto"/>
        <w:jc w:val="center"/>
      </w:pPr>
    </w:p>
    <w:p w:rsidR="00435706" w:rsidRPr="00277436" w:rsidRDefault="00435706" w:rsidP="00C432A0">
      <w:pPr>
        <w:tabs>
          <w:tab w:val="left" w:pos="1260"/>
        </w:tabs>
        <w:spacing w:line="480" w:lineRule="auto"/>
        <w:jc w:val="center"/>
      </w:pPr>
    </w:p>
    <w:p w:rsidR="00435706" w:rsidRPr="00277436" w:rsidRDefault="00435706" w:rsidP="00C432A0">
      <w:pPr>
        <w:tabs>
          <w:tab w:val="left" w:pos="1260"/>
        </w:tabs>
        <w:spacing w:line="480" w:lineRule="auto"/>
        <w:jc w:val="center"/>
      </w:pPr>
    </w:p>
    <w:p w:rsidR="00435706" w:rsidRPr="00277436" w:rsidRDefault="00435706" w:rsidP="00C432A0">
      <w:pPr>
        <w:tabs>
          <w:tab w:val="left" w:pos="1260"/>
        </w:tabs>
        <w:spacing w:line="480" w:lineRule="auto"/>
        <w:jc w:val="center"/>
      </w:pPr>
    </w:p>
    <w:p w:rsidR="00435706" w:rsidRPr="00277436" w:rsidRDefault="00435706" w:rsidP="00C432A0">
      <w:pPr>
        <w:tabs>
          <w:tab w:val="left" w:pos="1260"/>
        </w:tabs>
        <w:spacing w:line="480" w:lineRule="auto"/>
        <w:jc w:val="center"/>
      </w:pPr>
    </w:p>
    <w:p w:rsidR="00435706" w:rsidRPr="00277436" w:rsidRDefault="00435706" w:rsidP="00C432A0">
      <w:pPr>
        <w:tabs>
          <w:tab w:val="left" w:pos="1260"/>
        </w:tabs>
        <w:spacing w:line="480" w:lineRule="auto"/>
        <w:jc w:val="center"/>
      </w:pPr>
    </w:p>
    <w:p w:rsidR="00435706" w:rsidRPr="00277436" w:rsidRDefault="00435706" w:rsidP="00C432A0">
      <w:pPr>
        <w:tabs>
          <w:tab w:val="left" w:pos="1260"/>
        </w:tabs>
        <w:spacing w:line="480" w:lineRule="auto"/>
        <w:jc w:val="center"/>
        <w:rPr>
          <w:rStyle w:val="LineNumber"/>
        </w:rPr>
      </w:pPr>
    </w:p>
    <w:p w:rsidR="00435706" w:rsidRPr="00277436" w:rsidRDefault="00435706" w:rsidP="00C432A0">
      <w:pPr>
        <w:spacing w:line="480" w:lineRule="auto"/>
        <w:jc w:val="center"/>
      </w:pPr>
      <w:r w:rsidRPr="00277436">
        <w:t xml:space="preserve">BEFORE THE </w:t>
      </w:r>
      <w:smartTag w:uri="urn:schemas-microsoft-com:office:smarttags" w:element="place">
        <w:smartTag w:uri="urn:schemas-microsoft-com:office:smarttags" w:element="State">
          <w:r w:rsidRPr="00277436">
            <w:t>WASHINGTON</w:t>
          </w:r>
        </w:smartTag>
      </w:smartTag>
      <w:r w:rsidRPr="00277436">
        <w:t xml:space="preserve"> UTILITIES AND TRANSPORTATION COMMISSION</w:t>
      </w:r>
    </w:p>
    <w:p w:rsidR="00435706" w:rsidRPr="00277436" w:rsidRDefault="00435706" w:rsidP="00C432A0">
      <w:pPr>
        <w:tabs>
          <w:tab w:val="left" w:pos="1260"/>
        </w:tabs>
        <w:spacing w:line="480" w:lineRule="auto"/>
        <w:jc w:val="center"/>
      </w:pPr>
    </w:p>
    <w:p w:rsidR="0080138D" w:rsidRPr="00277436" w:rsidRDefault="0080138D" w:rsidP="00C432A0">
      <w:pPr>
        <w:tabs>
          <w:tab w:val="left" w:pos="1260"/>
        </w:tabs>
        <w:spacing w:line="480" w:lineRule="auto"/>
        <w:jc w:val="center"/>
      </w:pPr>
      <w:r w:rsidRPr="00277436">
        <w:t>DOCKET NO. UE-</w:t>
      </w:r>
      <w:r w:rsidR="00761B22">
        <w:t>1</w:t>
      </w:r>
      <w:r w:rsidR="00752F0B">
        <w:t>4</w:t>
      </w:r>
      <w:r w:rsidRPr="00277436">
        <w:t>________</w:t>
      </w:r>
    </w:p>
    <w:p w:rsidR="00435706" w:rsidRPr="00277436" w:rsidRDefault="00435706" w:rsidP="00C432A0">
      <w:pPr>
        <w:tabs>
          <w:tab w:val="left" w:pos="1260"/>
        </w:tabs>
        <w:spacing w:line="480" w:lineRule="auto"/>
        <w:jc w:val="center"/>
      </w:pPr>
      <w:r w:rsidRPr="00277436">
        <w:t xml:space="preserve">DOCKET NO. </w:t>
      </w:r>
      <w:r w:rsidR="0080138D" w:rsidRPr="00277436">
        <w:t>UG</w:t>
      </w:r>
      <w:r w:rsidRPr="00277436">
        <w:t>-</w:t>
      </w:r>
      <w:r w:rsidR="00761B22">
        <w:t>1</w:t>
      </w:r>
      <w:r w:rsidR="00752F0B">
        <w:t>4</w:t>
      </w:r>
      <w:r w:rsidR="00753FE0" w:rsidRPr="00277436">
        <w:t>________</w:t>
      </w:r>
    </w:p>
    <w:p w:rsidR="00435706" w:rsidRPr="00277436" w:rsidRDefault="00435706" w:rsidP="00C432A0">
      <w:pPr>
        <w:tabs>
          <w:tab w:val="left" w:pos="1260"/>
        </w:tabs>
        <w:spacing w:line="480" w:lineRule="auto"/>
        <w:jc w:val="center"/>
      </w:pPr>
    </w:p>
    <w:p w:rsidR="00435706" w:rsidRPr="00277436" w:rsidRDefault="00B955A8" w:rsidP="00C432A0">
      <w:pPr>
        <w:tabs>
          <w:tab w:val="left" w:pos="1260"/>
        </w:tabs>
        <w:spacing w:line="480" w:lineRule="auto"/>
        <w:jc w:val="center"/>
      </w:pPr>
      <w:r w:rsidRPr="00277436">
        <w:t>DIRECT</w:t>
      </w:r>
      <w:r w:rsidR="00435706" w:rsidRPr="00277436">
        <w:t xml:space="preserve"> TESTIMONY OF </w:t>
      </w:r>
    </w:p>
    <w:p w:rsidR="00435706" w:rsidRPr="00277436" w:rsidRDefault="00E074A5" w:rsidP="00C432A0">
      <w:pPr>
        <w:tabs>
          <w:tab w:val="left" w:pos="1260"/>
        </w:tabs>
        <w:spacing w:line="480" w:lineRule="auto"/>
        <w:jc w:val="center"/>
      </w:pPr>
      <w:r w:rsidRPr="00277436">
        <w:t xml:space="preserve">DAVE </w:t>
      </w:r>
      <w:r w:rsidR="00C25B7B">
        <w:t>B.</w:t>
      </w:r>
      <w:r w:rsidR="005E0FCE" w:rsidRPr="00277436">
        <w:t xml:space="preserve"> </w:t>
      </w:r>
      <w:r w:rsidRPr="00277436">
        <w:t>DEFELICE</w:t>
      </w:r>
    </w:p>
    <w:p w:rsidR="00435706" w:rsidRPr="00277436" w:rsidRDefault="00435706" w:rsidP="00C432A0">
      <w:pPr>
        <w:tabs>
          <w:tab w:val="left" w:pos="1260"/>
        </w:tabs>
        <w:spacing w:line="480" w:lineRule="auto"/>
        <w:jc w:val="center"/>
      </w:pPr>
      <w:r w:rsidRPr="00277436">
        <w:t>REPRESENTING AVISTA CORPORATION</w:t>
      </w:r>
    </w:p>
    <w:p w:rsidR="00A207FF" w:rsidRDefault="00A207FF" w:rsidP="00A207FF">
      <w:pPr>
        <w:tabs>
          <w:tab w:val="left" w:pos="1260"/>
        </w:tabs>
        <w:spacing w:line="480" w:lineRule="auto"/>
        <w:ind w:firstLine="720"/>
        <w:sectPr w:rsidR="00A207FF" w:rsidSect="006E1D22">
          <w:headerReference w:type="default" r:id="rId8"/>
          <w:footerReference w:type="default" r:id="rId9"/>
          <w:headerReference w:type="first" r:id="rId10"/>
          <w:pgSz w:w="12240" w:h="15840" w:code="1"/>
          <w:pgMar w:top="1440" w:right="1440" w:bottom="1714" w:left="1872" w:header="720" w:footer="360" w:gutter="0"/>
          <w:pgBorders w:display="firstPage" w:offsetFrom="page">
            <w:top w:val="single" w:sz="4" w:space="24" w:color="auto"/>
            <w:left w:val="single" w:sz="4" w:space="24" w:color="auto"/>
            <w:bottom w:val="single" w:sz="4" w:space="24" w:color="auto"/>
            <w:right w:val="single" w:sz="4" w:space="24" w:color="auto"/>
          </w:pgBorders>
          <w:pgNumType w:start="1"/>
          <w:cols w:space="720"/>
          <w:titlePg/>
          <w:docGrid w:linePitch="326"/>
        </w:sectPr>
      </w:pPr>
    </w:p>
    <w:p w:rsidR="00435706" w:rsidRPr="00277436" w:rsidRDefault="00435706">
      <w:pPr>
        <w:pStyle w:val="Heading5"/>
        <w:rPr>
          <w:rStyle w:val="PageNumber"/>
          <w:u w:val="single"/>
        </w:rPr>
      </w:pPr>
      <w:r w:rsidRPr="00277436">
        <w:rPr>
          <w:rStyle w:val="PageNumber"/>
          <w:u w:val="single"/>
        </w:rPr>
        <w:lastRenderedPageBreak/>
        <w:t>I.  INTRODUCTION</w:t>
      </w:r>
    </w:p>
    <w:p w:rsidR="00435706" w:rsidRPr="00277436" w:rsidRDefault="00435706" w:rsidP="00277436">
      <w:pPr>
        <w:tabs>
          <w:tab w:val="left" w:pos="1440"/>
        </w:tabs>
        <w:spacing w:line="480" w:lineRule="auto"/>
        <w:ind w:firstLine="720"/>
        <w:jc w:val="both"/>
        <w:rPr>
          <w:b/>
          <w:bCs/>
        </w:rPr>
      </w:pPr>
      <w:r w:rsidRPr="00277436">
        <w:rPr>
          <w:b/>
          <w:bCs/>
        </w:rPr>
        <w:t>Q.</w:t>
      </w:r>
      <w:r w:rsidRPr="00277436">
        <w:rPr>
          <w:b/>
          <w:bCs/>
        </w:rPr>
        <w:tab/>
        <w:t>Please state your name, employer and business address.</w:t>
      </w:r>
    </w:p>
    <w:p w:rsidR="00435706" w:rsidRPr="00277436" w:rsidRDefault="00435706" w:rsidP="00277436">
      <w:pPr>
        <w:pStyle w:val="BodyText2"/>
        <w:tabs>
          <w:tab w:val="left" w:pos="1440"/>
        </w:tabs>
        <w:ind w:firstLine="720"/>
      </w:pPr>
      <w:r w:rsidRPr="00EB1381">
        <w:t>A.</w:t>
      </w:r>
      <w:r w:rsidRPr="00277436">
        <w:tab/>
        <w:t>My name is</w:t>
      </w:r>
      <w:r w:rsidR="0038498D" w:rsidRPr="00277436">
        <w:t xml:space="preserve"> </w:t>
      </w:r>
      <w:r w:rsidR="00FA37AB" w:rsidRPr="00277436">
        <w:t>Dave DeFelice.</w:t>
      </w:r>
      <w:r w:rsidRPr="00277436">
        <w:t xml:space="preserve">  I am employed by Avista Corporation as </w:t>
      </w:r>
      <w:r w:rsidR="00277436" w:rsidRPr="00277436">
        <w:t>a Senior</w:t>
      </w:r>
      <w:r w:rsidR="00FA37AB" w:rsidRPr="00277436">
        <w:t xml:space="preserve"> Business Analyst</w:t>
      </w:r>
      <w:r w:rsidRPr="00277436">
        <w:t xml:space="preserve">.  My business address is 1411 East Mission, </w:t>
      </w:r>
      <w:smartTag w:uri="urn:schemas-microsoft-com:office:smarttags" w:element="place">
        <w:smartTag w:uri="urn:schemas-microsoft-com:office:smarttags" w:element="City">
          <w:r w:rsidRPr="00277436">
            <w:t>Spokane</w:t>
          </w:r>
        </w:smartTag>
        <w:r w:rsidRPr="00277436">
          <w:t xml:space="preserve">, </w:t>
        </w:r>
        <w:smartTag w:uri="urn:schemas-microsoft-com:office:smarttags" w:element="State">
          <w:r w:rsidRPr="00277436">
            <w:t>Washington</w:t>
          </w:r>
        </w:smartTag>
      </w:smartTag>
      <w:r w:rsidRPr="00277436">
        <w:t>.</w:t>
      </w:r>
    </w:p>
    <w:p w:rsidR="00435706" w:rsidRPr="00277436" w:rsidRDefault="00435706" w:rsidP="00277436">
      <w:pPr>
        <w:pStyle w:val="BodyText2"/>
        <w:tabs>
          <w:tab w:val="left" w:pos="1440"/>
        </w:tabs>
        <w:ind w:firstLine="720"/>
        <w:rPr>
          <w:b/>
          <w:bCs/>
        </w:rPr>
      </w:pPr>
      <w:r w:rsidRPr="00277436">
        <w:rPr>
          <w:b/>
          <w:bCs/>
        </w:rPr>
        <w:t>Q.</w:t>
      </w:r>
      <w:r w:rsidRPr="00277436">
        <w:rPr>
          <w:b/>
          <w:bCs/>
        </w:rPr>
        <w:tab/>
        <w:t>Please briefly describe your education</w:t>
      </w:r>
      <w:r w:rsidR="00461F9E">
        <w:rPr>
          <w:b/>
          <w:bCs/>
        </w:rPr>
        <w:t>al</w:t>
      </w:r>
      <w:r w:rsidRPr="00277436">
        <w:rPr>
          <w:b/>
          <w:bCs/>
        </w:rPr>
        <w:t xml:space="preserve"> background and professional experience.</w:t>
      </w:r>
    </w:p>
    <w:p w:rsidR="00435706" w:rsidRPr="00277436" w:rsidRDefault="00435706" w:rsidP="00277436">
      <w:pPr>
        <w:pStyle w:val="BodyText2"/>
        <w:tabs>
          <w:tab w:val="left" w:pos="1440"/>
        </w:tabs>
        <w:ind w:firstLine="720"/>
      </w:pPr>
      <w:r w:rsidRPr="001E2D76">
        <w:t>A.</w:t>
      </w:r>
      <w:r w:rsidRPr="00277436">
        <w:tab/>
      </w:r>
      <w:r w:rsidR="00FA37AB" w:rsidRPr="00277436">
        <w:t>I graduated from Eastern Washington University in June of 1983 with a Bachelor of Arts Degree in Business Administration</w:t>
      </w:r>
      <w:r w:rsidR="00AB7297">
        <w:t>,</w:t>
      </w:r>
      <w:r w:rsidR="00FA37AB" w:rsidRPr="00277436">
        <w:t xml:space="preserve"> majoring in Accounting. </w:t>
      </w:r>
      <w:r w:rsidR="00265EEF">
        <w:t xml:space="preserve"> </w:t>
      </w:r>
      <w:r w:rsidR="00FA37AB" w:rsidRPr="00277436">
        <w:t xml:space="preserve">I have served in various positions within the Company, including Analyst positions in the Finance Department (Rates </w:t>
      </w:r>
      <w:r w:rsidR="00D56ABE">
        <w:t>S</w:t>
      </w:r>
      <w:r w:rsidR="00FA37AB" w:rsidRPr="00277436">
        <w:t xml:space="preserve">ection and Plant Accounting) and in </w:t>
      </w:r>
      <w:r w:rsidR="00D56ABE">
        <w:t xml:space="preserve">the </w:t>
      </w:r>
      <w:r w:rsidR="00FA37AB" w:rsidRPr="00277436">
        <w:t xml:space="preserve">Marketing/Operations Departments, as well.  </w:t>
      </w:r>
      <w:r w:rsidR="00CB7CDB">
        <w:t>I</w:t>
      </w:r>
      <w:r w:rsidR="00FA37AB" w:rsidRPr="00277436">
        <w:t xml:space="preserve">n 1999, I </w:t>
      </w:r>
      <w:r w:rsidR="00D56ABE">
        <w:t>accepted</w:t>
      </w:r>
      <w:r w:rsidR="00FA37AB" w:rsidRPr="00277436">
        <w:t xml:space="preserve"> the</w:t>
      </w:r>
      <w:r w:rsidR="00D56ABE">
        <w:t xml:space="preserve"> </w:t>
      </w:r>
      <w:r w:rsidR="00FA37AB" w:rsidRPr="00277436">
        <w:t>S</w:t>
      </w:r>
      <w:r w:rsidR="00CB7CDB">
        <w:t>enior</w:t>
      </w:r>
      <w:r w:rsidR="00FA37AB" w:rsidRPr="00277436">
        <w:t xml:space="preserve"> Business Analyst </w:t>
      </w:r>
      <w:r w:rsidR="00D56ABE">
        <w:t xml:space="preserve">position </w:t>
      </w:r>
      <w:r w:rsidR="00FA37AB" w:rsidRPr="00277436">
        <w:t>that focuses on economic analysis of various project proposals as well as evaluations and recommendations pertaining to business policies and practices.</w:t>
      </w:r>
    </w:p>
    <w:p w:rsidR="00FA37AB" w:rsidRPr="00277436" w:rsidRDefault="00FA37AB" w:rsidP="008A07CA">
      <w:pPr>
        <w:pStyle w:val="BodyText2"/>
        <w:tabs>
          <w:tab w:val="left" w:pos="1440"/>
        </w:tabs>
        <w:ind w:firstLine="720"/>
      </w:pPr>
      <w:r w:rsidRPr="00265EEF">
        <w:rPr>
          <w:b/>
        </w:rPr>
        <w:t>Q.</w:t>
      </w:r>
      <w:r w:rsidRPr="00277436">
        <w:tab/>
      </w:r>
      <w:proofErr w:type="gramStart"/>
      <w:r w:rsidRPr="00277436">
        <w:rPr>
          <w:b/>
        </w:rPr>
        <w:t>As</w:t>
      </w:r>
      <w:proofErr w:type="gramEnd"/>
      <w:r w:rsidRPr="00277436">
        <w:rPr>
          <w:b/>
        </w:rPr>
        <w:t xml:space="preserve"> a </w:t>
      </w:r>
      <w:r w:rsidR="00277436" w:rsidRPr="00277436">
        <w:rPr>
          <w:b/>
        </w:rPr>
        <w:t>Senior</w:t>
      </w:r>
      <w:r w:rsidRPr="00277436">
        <w:rPr>
          <w:b/>
        </w:rPr>
        <w:t xml:space="preserve"> Business Analyst, what are your responsibilities?</w:t>
      </w:r>
    </w:p>
    <w:p w:rsidR="00FA37AB" w:rsidRPr="00277436" w:rsidRDefault="00FA37AB" w:rsidP="008A07CA">
      <w:pPr>
        <w:pStyle w:val="BodyText2"/>
        <w:tabs>
          <w:tab w:val="left" w:pos="1440"/>
        </w:tabs>
        <w:ind w:firstLine="720"/>
      </w:pPr>
      <w:r w:rsidRPr="001E2D76">
        <w:t>A.</w:t>
      </w:r>
      <w:r w:rsidRPr="00277436">
        <w:tab/>
        <w:t xml:space="preserve">As a </w:t>
      </w:r>
      <w:r w:rsidR="00277436" w:rsidRPr="00277436">
        <w:t>Senior</w:t>
      </w:r>
      <w:r w:rsidRPr="00277436">
        <w:t xml:space="preserve"> Business Analyst</w:t>
      </w:r>
      <w:r w:rsidR="00AB7297">
        <w:t>,</w:t>
      </w:r>
      <w:r w:rsidRPr="00277436">
        <w:t xml:space="preserve"> I</w:t>
      </w:r>
      <w:r w:rsidR="00E20C9A" w:rsidRPr="00277436">
        <w:t xml:space="preserve"> am</w:t>
      </w:r>
      <w:r w:rsidRPr="00277436">
        <w:t xml:space="preserve"> involved in financial analysis of numerous projects with</w:t>
      </w:r>
      <w:r w:rsidR="00D56ABE">
        <w:t>in</w:t>
      </w:r>
      <w:r w:rsidRPr="00277436">
        <w:t xml:space="preserve"> various departments such as Engineering, Operations, Marketing/Sales and Finance.  </w:t>
      </w:r>
    </w:p>
    <w:p w:rsidR="00435706" w:rsidRPr="00BE362D" w:rsidRDefault="00435706" w:rsidP="00277436">
      <w:pPr>
        <w:pStyle w:val="BodyText2"/>
        <w:tabs>
          <w:tab w:val="left" w:pos="1440"/>
        </w:tabs>
        <w:ind w:firstLine="720"/>
        <w:rPr>
          <w:b/>
          <w:bCs/>
        </w:rPr>
      </w:pPr>
      <w:r w:rsidRPr="00277436">
        <w:rPr>
          <w:b/>
          <w:bCs/>
        </w:rPr>
        <w:t>Q.</w:t>
      </w:r>
      <w:r w:rsidRPr="00277436">
        <w:rPr>
          <w:b/>
          <w:bCs/>
        </w:rPr>
        <w:tab/>
      </w:r>
      <w:r w:rsidRPr="00BE362D">
        <w:rPr>
          <w:b/>
          <w:bCs/>
        </w:rPr>
        <w:t>What is the scope of your testimony?</w:t>
      </w:r>
    </w:p>
    <w:p w:rsidR="00435706" w:rsidRPr="006E1D22" w:rsidRDefault="00B955A8" w:rsidP="00A80AC2">
      <w:pPr>
        <w:pStyle w:val="BodyText2"/>
        <w:tabs>
          <w:tab w:val="left" w:pos="1440"/>
        </w:tabs>
        <w:ind w:firstLine="720"/>
      </w:pPr>
      <w:r w:rsidRPr="00BE362D">
        <w:t>A.</w:t>
      </w:r>
      <w:r w:rsidRPr="00BE362D">
        <w:tab/>
      </w:r>
      <w:r w:rsidR="00FA37AB" w:rsidRPr="00BE362D">
        <w:t xml:space="preserve">My testimony and exhibits in this proceeding will cover the Company’s </w:t>
      </w:r>
      <w:r w:rsidR="00580D09" w:rsidRPr="00BE362D">
        <w:t>capital investments in utility plant through December 31, 2015</w:t>
      </w:r>
      <w:r w:rsidR="00E63C0D" w:rsidRPr="00BE362D">
        <w:t>.</w:t>
      </w:r>
      <w:r w:rsidR="00580D09" w:rsidRPr="00BE362D">
        <w:t xml:space="preserve"> </w:t>
      </w:r>
      <w:r w:rsidR="00BE362D">
        <w:t xml:space="preserve">The information included in my testimony, with the exception of the June 30, 2013 restating adjustment as described below, is included for informational purposes. As explained by Company witness Ms. </w:t>
      </w:r>
      <w:r w:rsidR="00BE362D">
        <w:lastRenderedPageBreak/>
        <w:t>Andrews, the Company is basing its electric and natural gas revenue increase requested in this case on its electric and natural gas Attr</w:t>
      </w:r>
      <w:r w:rsidR="006432B4">
        <w:t>ition Studies.  However, as a “</w:t>
      </w:r>
      <w:r w:rsidR="00A80AC2">
        <w:t>c</w:t>
      </w:r>
      <w:r w:rsidR="006432B4">
        <w:t xml:space="preserve">ross </w:t>
      </w:r>
      <w:r w:rsidR="00A80AC2">
        <w:t>c</w:t>
      </w:r>
      <w:r w:rsidR="00BE362D">
        <w:t>heck” to the Company’s request, Ms. Andrews has also prepared electric and natural gas Pro Forma Cross Check Studies, which incorpo</w:t>
      </w:r>
      <w:r w:rsidR="00B73C33">
        <w:t>rate Washington’s share of the Pro F</w:t>
      </w:r>
      <w:r w:rsidR="00BE362D">
        <w:t xml:space="preserve">orma or 2015 rate </w:t>
      </w:r>
      <w:r w:rsidR="00BE362D" w:rsidRPr="006E1D22">
        <w:t>year adjustments for expenses and capital additions described further in my testimony.</w:t>
      </w:r>
    </w:p>
    <w:p w:rsidR="00A80AC2" w:rsidRPr="006E1D22" w:rsidRDefault="00A80AC2" w:rsidP="00DA3F2A">
      <w:pPr>
        <w:pStyle w:val="TestBody"/>
        <w:spacing w:line="480" w:lineRule="auto"/>
        <w:ind w:left="0" w:firstLine="720"/>
        <w:rPr>
          <w:rFonts w:ascii="Times New Roman" w:hAnsi="Times New Roman" w:cs="Times New Roman"/>
        </w:rPr>
      </w:pPr>
      <w:r w:rsidRPr="006E1D22">
        <w:rPr>
          <w:rFonts w:ascii="Times New Roman" w:hAnsi="Times New Roman" w:cs="Times New Roman"/>
        </w:rPr>
        <w:t xml:space="preserve">In addition, for informational purposes only, I provide information on capital investment through 2016 as an indication of the ongoing capital investments by the Company. I also summarize the effect of the recently authorized depreciation rates, approved by the Washington Utilities and Transportation Commission in Dockets UE-120436 and UG-120437, Order No. 09.  </w:t>
      </w:r>
    </w:p>
    <w:p w:rsidR="00D002C0" w:rsidRDefault="00D002C0" w:rsidP="00DA3F2A">
      <w:pPr>
        <w:pStyle w:val="TestBody"/>
        <w:spacing w:line="480" w:lineRule="auto"/>
        <w:ind w:left="0" w:firstLine="720"/>
        <w:rPr>
          <w:rFonts w:ascii="Times New Roman" w:hAnsi="Times New Roman" w:cs="Times New Roman"/>
        </w:rPr>
      </w:pPr>
      <w:r w:rsidRPr="00B952E0">
        <w:rPr>
          <w:rFonts w:ascii="Times New Roman" w:hAnsi="Times New Roman" w:cs="Times New Roman"/>
        </w:rPr>
        <w:t>A table of contents for my testimony is as follows:</w:t>
      </w:r>
    </w:p>
    <w:p w:rsidR="00D002C0" w:rsidRPr="001F3C77" w:rsidRDefault="00D002C0" w:rsidP="00DA3F2A">
      <w:pPr>
        <w:pStyle w:val="TestBody"/>
        <w:tabs>
          <w:tab w:val="left" w:pos="7740"/>
        </w:tabs>
        <w:spacing w:line="360" w:lineRule="auto"/>
        <w:ind w:left="0" w:firstLine="720"/>
        <w:rPr>
          <w:rFonts w:ascii="Times New Roman" w:hAnsi="Times New Roman" w:cs="Times New Roman"/>
          <w:u w:val="single"/>
        </w:rPr>
      </w:pPr>
      <w:r w:rsidRPr="00B36103">
        <w:rPr>
          <w:rFonts w:ascii="Times New Roman" w:hAnsi="Times New Roman" w:cs="Times New Roman"/>
          <w:u w:val="single"/>
        </w:rPr>
        <w:t>Description</w:t>
      </w:r>
      <w:r w:rsidRPr="00B36103">
        <w:rPr>
          <w:rFonts w:ascii="Times New Roman" w:hAnsi="Times New Roman" w:cs="Times New Roman"/>
          <w:u w:val="single"/>
        </w:rPr>
        <w:tab/>
        <w:t>Page</w:t>
      </w:r>
    </w:p>
    <w:p w:rsidR="00D002C0" w:rsidRPr="001F3C77" w:rsidRDefault="00D002C0" w:rsidP="00DA3F2A">
      <w:pPr>
        <w:tabs>
          <w:tab w:val="left" w:pos="0"/>
          <w:tab w:val="right" w:pos="8100"/>
        </w:tabs>
        <w:spacing w:line="360" w:lineRule="auto"/>
        <w:ind w:left="1440" w:hanging="720"/>
        <w:jc w:val="both"/>
      </w:pPr>
      <w:r w:rsidRPr="001F3C77">
        <w:t>I.</w:t>
      </w:r>
      <w:r w:rsidRPr="001F3C77">
        <w:tab/>
        <w:t>Introduction</w:t>
      </w:r>
      <w:r w:rsidRPr="001F3C77">
        <w:tab/>
        <w:t>1</w:t>
      </w:r>
    </w:p>
    <w:p w:rsidR="00D002C0" w:rsidRPr="001F3C77" w:rsidRDefault="00D002C0" w:rsidP="00DA3F2A">
      <w:pPr>
        <w:tabs>
          <w:tab w:val="left" w:pos="0"/>
          <w:tab w:val="right" w:pos="8100"/>
        </w:tabs>
        <w:spacing w:line="360" w:lineRule="auto"/>
        <w:ind w:left="1440" w:hanging="720"/>
        <w:jc w:val="both"/>
      </w:pPr>
      <w:r w:rsidRPr="001F3C77">
        <w:t>II.</w:t>
      </w:r>
      <w:r w:rsidRPr="001F3C77">
        <w:tab/>
      </w:r>
      <w:r w:rsidR="00D620C7">
        <w:t xml:space="preserve">Capital Additions </w:t>
      </w:r>
      <w:r w:rsidR="00FD723E">
        <w:t>through</w:t>
      </w:r>
      <w:r w:rsidR="00D620C7">
        <w:t xml:space="preserve"> June 2013</w:t>
      </w:r>
      <w:r w:rsidRPr="001F3C77">
        <w:tab/>
      </w:r>
      <w:r w:rsidR="00FC68B4">
        <w:t>3</w:t>
      </w:r>
    </w:p>
    <w:p w:rsidR="00D002C0" w:rsidRPr="00B12D84" w:rsidRDefault="00D002C0" w:rsidP="00DA3F2A">
      <w:pPr>
        <w:tabs>
          <w:tab w:val="left" w:pos="0"/>
          <w:tab w:val="right" w:pos="8100"/>
        </w:tabs>
        <w:spacing w:line="360" w:lineRule="auto"/>
        <w:ind w:left="1440" w:hanging="720"/>
        <w:jc w:val="both"/>
      </w:pPr>
      <w:r w:rsidRPr="00B12D84">
        <w:t>III.</w:t>
      </w:r>
      <w:r w:rsidRPr="00B12D84">
        <w:tab/>
      </w:r>
      <w:r w:rsidR="007B4BE0" w:rsidRPr="00B12D84">
        <w:t>Capital Additions</w:t>
      </w:r>
      <w:r w:rsidR="005A28E6" w:rsidRPr="00B12D84">
        <w:t xml:space="preserve"> July 2013 – December 2015</w:t>
      </w:r>
      <w:r w:rsidRPr="00B12D84">
        <w:tab/>
      </w:r>
      <w:r w:rsidR="006E1D22">
        <w:t>5</w:t>
      </w:r>
    </w:p>
    <w:p w:rsidR="00C069F2" w:rsidRDefault="00C069F2" w:rsidP="00DA3F2A">
      <w:pPr>
        <w:tabs>
          <w:tab w:val="left" w:pos="0"/>
          <w:tab w:val="right" w:pos="8100"/>
        </w:tabs>
        <w:spacing w:line="360" w:lineRule="auto"/>
        <w:ind w:left="1440" w:hanging="720"/>
        <w:jc w:val="both"/>
      </w:pPr>
      <w:r w:rsidRPr="00B12D84">
        <w:t>IV.</w:t>
      </w:r>
      <w:r w:rsidRPr="00B12D84">
        <w:tab/>
      </w:r>
      <w:r w:rsidR="00B12D84" w:rsidRPr="00B12D84">
        <w:t>Capital</w:t>
      </w:r>
      <w:r w:rsidR="00B12D84">
        <w:t xml:space="preserve"> Budget and Review</w:t>
      </w:r>
      <w:r w:rsidR="00B12D84">
        <w:tab/>
      </w:r>
      <w:r w:rsidR="006E1D22">
        <w:t>7</w:t>
      </w:r>
    </w:p>
    <w:p w:rsidR="00A80AC2" w:rsidRDefault="00595DDC" w:rsidP="00A80AC2">
      <w:pPr>
        <w:tabs>
          <w:tab w:val="left" w:pos="0"/>
          <w:tab w:val="right" w:pos="8100"/>
        </w:tabs>
        <w:ind w:left="1440" w:hanging="720"/>
        <w:jc w:val="both"/>
      </w:pPr>
      <w:r>
        <w:t>V.</w:t>
      </w:r>
      <w:r>
        <w:tab/>
        <w:t>Compliance with past Commission Order</w:t>
      </w:r>
      <w:r w:rsidR="00A80AC2">
        <w:t xml:space="preserve"> on Capital </w:t>
      </w:r>
    </w:p>
    <w:p w:rsidR="00595DDC" w:rsidRPr="00C915A7" w:rsidRDefault="00A80AC2" w:rsidP="00A80AC2">
      <w:pPr>
        <w:tabs>
          <w:tab w:val="left" w:pos="0"/>
          <w:tab w:val="right" w:pos="8100"/>
        </w:tabs>
        <w:spacing w:line="360" w:lineRule="auto"/>
        <w:ind w:left="1440" w:hanging="720"/>
        <w:jc w:val="both"/>
      </w:pPr>
      <w:r>
        <w:tab/>
        <w:t xml:space="preserve">Expenditure Reporting </w:t>
      </w:r>
      <w:r w:rsidR="00FC68B4">
        <w:tab/>
        <w:t>2</w:t>
      </w:r>
      <w:r w:rsidR="006E1D22">
        <w:t>7</w:t>
      </w:r>
    </w:p>
    <w:p w:rsidR="000D4D51" w:rsidRPr="00C915A7" w:rsidRDefault="000D4D51" w:rsidP="00A80AC2">
      <w:pPr>
        <w:tabs>
          <w:tab w:val="left" w:pos="0"/>
          <w:tab w:val="right" w:pos="8100"/>
        </w:tabs>
        <w:spacing w:line="360" w:lineRule="auto"/>
        <w:ind w:left="1440" w:hanging="720"/>
        <w:jc w:val="both"/>
      </w:pPr>
      <w:r w:rsidRPr="00C915A7">
        <w:t>V</w:t>
      </w:r>
      <w:r w:rsidR="00C069F2">
        <w:t>I</w:t>
      </w:r>
      <w:r w:rsidRPr="00C915A7">
        <w:t>.</w:t>
      </w:r>
      <w:r w:rsidRPr="00C915A7">
        <w:tab/>
        <w:t>2016 Capital Additions</w:t>
      </w:r>
      <w:r w:rsidR="00FC68B4">
        <w:tab/>
        <w:t>28</w:t>
      </w:r>
    </w:p>
    <w:p w:rsidR="00A80AC2" w:rsidRDefault="00A80AC2" w:rsidP="002E2403">
      <w:pPr>
        <w:pStyle w:val="BodyText2"/>
        <w:ind w:firstLine="720"/>
        <w:rPr>
          <w:b/>
          <w:bCs/>
        </w:rPr>
      </w:pPr>
    </w:p>
    <w:p w:rsidR="002E2403" w:rsidRPr="00277436" w:rsidRDefault="002E2403" w:rsidP="002E2403">
      <w:pPr>
        <w:pStyle w:val="BodyText2"/>
        <w:ind w:firstLine="720"/>
        <w:rPr>
          <w:b/>
          <w:bCs/>
        </w:rPr>
      </w:pPr>
      <w:r w:rsidRPr="00277436">
        <w:rPr>
          <w:b/>
          <w:bCs/>
        </w:rPr>
        <w:t>Q.</w:t>
      </w:r>
      <w:r w:rsidRPr="00277436">
        <w:rPr>
          <w:b/>
          <w:bCs/>
        </w:rPr>
        <w:tab/>
        <w:t>Are you sponsoring any exhibits?</w:t>
      </w:r>
    </w:p>
    <w:p w:rsidR="004A5B34" w:rsidRDefault="002E2403" w:rsidP="00552C70">
      <w:pPr>
        <w:pStyle w:val="BodyText2"/>
        <w:ind w:firstLine="720"/>
      </w:pPr>
      <w:r w:rsidRPr="001E2D76">
        <w:t>A.</w:t>
      </w:r>
      <w:r w:rsidRPr="00277436">
        <w:tab/>
        <w:t>Yes.  I am sponsoring Exhibit No</w:t>
      </w:r>
      <w:r w:rsidR="00AC2CA8">
        <w:t>s</w:t>
      </w:r>
      <w:r w:rsidRPr="001A6DCA">
        <w:t>. _</w:t>
      </w:r>
      <w:proofErr w:type="gramStart"/>
      <w:r w:rsidRPr="001A6DCA">
        <w:t>_(</w:t>
      </w:r>
      <w:proofErr w:type="gramEnd"/>
      <w:r w:rsidRPr="001A6DCA">
        <w:t>DBD-</w:t>
      </w:r>
      <w:r w:rsidR="00AC2CA8">
        <w:t xml:space="preserve">2) </w:t>
      </w:r>
      <w:r w:rsidR="007F5EB5">
        <w:t>through</w:t>
      </w:r>
      <w:r w:rsidR="00AC2CA8">
        <w:t xml:space="preserve"> (DBD-</w:t>
      </w:r>
      <w:r w:rsidR="00580D09">
        <w:t>5</w:t>
      </w:r>
      <w:r w:rsidR="00AC2CA8">
        <w:t>)</w:t>
      </w:r>
      <w:r>
        <w:t xml:space="preserve"> </w:t>
      </w:r>
      <w:r w:rsidRPr="001A6DCA">
        <w:t>which w</w:t>
      </w:r>
      <w:r w:rsidR="00AC2CA8">
        <w:t>ere</w:t>
      </w:r>
      <w:r w:rsidRPr="001A6DCA">
        <w:t xml:space="preserve"> prepared under my direct</w:t>
      </w:r>
      <w:r w:rsidRPr="00277436">
        <w:t>ion</w:t>
      </w:r>
      <w:r w:rsidR="00C62DE6">
        <w:t>, and have</w:t>
      </w:r>
      <w:r w:rsidR="00C62DE6" w:rsidRPr="00277436">
        <w:t xml:space="preserve"> </w:t>
      </w:r>
      <w:r w:rsidR="00C62DE6" w:rsidRPr="001A6DCA">
        <w:t xml:space="preserve">been included to provide supporting information for </w:t>
      </w:r>
      <w:r w:rsidR="00C62DE6">
        <w:t>the capital investment</w:t>
      </w:r>
      <w:r w:rsidR="009E4CA3">
        <w:t xml:space="preserve"> </w:t>
      </w:r>
      <w:r w:rsidR="00C62DE6" w:rsidRPr="001A6DCA">
        <w:t xml:space="preserve">as </w:t>
      </w:r>
      <w:r w:rsidR="00C62DE6">
        <w:t>described</w:t>
      </w:r>
      <w:r w:rsidR="00C62DE6" w:rsidRPr="001A6DCA">
        <w:t xml:space="preserve"> in this testimony</w:t>
      </w:r>
      <w:r w:rsidR="00C62DE6">
        <w:t>.</w:t>
      </w:r>
      <w:r w:rsidR="00F80855">
        <w:t xml:space="preserve">  </w:t>
      </w:r>
    </w:p>
    <w:p w:rsidR="002547C5" w:rsidRPr="00BE362D" w:rsidRDefault="007D512E" w:rsidP="002547C5">
      <w:pPr>
        <w:pStyle w:val="Heading5"/>
        <w:rPr>
          <w:rStyle w:val="PageNumber"/>
          <w:u w:val="single"/>
        </w:rPr>
      </w:pPr>
      <w:r w:rsidRPr="00BE362D">
        <w:rPr>
          <w:rStyle w:val="PageNumber"/>
          <w:u w:val="single"/>
        </w:rPr>
        <w:lastRenderedPageBreak/>
        <w:t>I</w:t>
      </w:r>
      <w:r w:rsidR="002547C5" w:rsidRPr="00BE362D">
        <w:rPr>
          <w:rStyle w:val="PageNumber"/>
          <w:u w:val="single"/>
        </w:rPr>
        <w:t>I</w:t>
      </w:r>
      <w:proofErr w:type="gramStart"/>
      <w:r w:rsidR="007C06CD" w:rsidRPr="00BE362D">
        <w:rPr>
          <w:rStyle w:val="PageNumber"/>
          <w:u w:val="single"/>
        </w:rPr>
        <w:t>.</w:t>
      </w:r>
      <w:r w:rsidR="001E2D76" w:rsidRPr="00BE362D">
        <w:rPr>
          <w:rStyle w:val="PageNumber"/>
          <w:u w:val="single"/>
        </w:rPr>
        <w:t xml:space="preserve"> </w:t>
      </w:r>
      <w:r w:rsidR="007C06CD" w:rsidRPr="00BE362D">
        <w:rPr>
          <w:rStyle w:val="PageNumber"/>
          <w:u w:val="single"/>
        </w:rPr>
        <w:t xml:space="preserve"> </w:t>
      </w:r>
      <w:r w:rsidR="00580D09" w:rsidRPr="00BE362D">
        <w:rPr>
          <w:rStyle w:val="PageNumber"/>
          <w:u w:val="single"/>
        </w:rPr>
        <w:t>CAPITAL</w:t>
      </w:r>
      <w:proofErr w:type="gramEnd"/>
      <w:r w:rsidR="00580D09" w:rsidRPr="00BE362D">
        <w:rPr>
          <w:rStyle w:val="PageNumber"/>
          <w:u w:val="single"/>
        </w:rPr>
        <w:t xml:space="preserve"> </w:t>
      </w:r>
      <w:r w:rsidR="00D620C7" w:rsidRPr="00BE362D">
        <w:rPr>
          <w:rStyle w:val="PageNumber"/>
          <w:u w:val="single"/>
        </w:rPr>
        <w:t>ADDITIONS THROUGH JUNE 2013</w:t>
      </w:r>
    </w:p>
    <w:p w:rsidR="00A80AC2" w:rsidRDefault="00A80AC2" w:rsidP="00A80AC2">
      <w:pPr>
        <w:pStyle w:val="BodyText2"/>
        <w:tabs>
          <w:tab w:val="left" w:pos="1440"/>
        </w:tabs>
        <w:ind w:firstLine="720"/>
        <w:rPr>
          <w:b/>
          <w:bCs/>
        </w:rPr>
      </w:pPr>
      <w:r>
        <w:rPr>
          <w:b/>
          <w:bCs/>
        </w:rPr>
        <w:t>Q.</w:t>
      </w:r>
      <w:r>
        <w:rPr>
          <w:b/>
          <w:bCs/>
        </w:rPr>
        <w:tab/>
        <w:t>What does the Company's request for rate relief include regarding investment in utility plant that was in service at June 30, 2013?</w:t>
      </w:r>
    </w:p>
    <w:p w:rsidR="00A80AC2" w:rsidRDefault="00A80AC2" w:rsidP="00A80AC2">
      <w:pPr>
        <w:pStyle w:val="BodyText2"/>
        <w:tabs>
          <w:tab w:val="left" w:pos="1440"/>
        </w:tabs>
        <w:ind w:firstLine="720"/>
        <w:rPr>
          <w:bCs/>
        </w:rPr>
      </w:pPr>
      <w:r w:rsidRPr="005813C0">
        <w:rPr>
          <w:bCs/>
        </w:rPr>
        <w:t>A.</w:t>
      </w:r>
      <w:r w:rsidRPr="005813C0">
        <w:rPr>
          <w:bCs/>
        </w:rPr>
        <w:tab/>
      </w:r>
      <w:r>
        <w:rPr>
          <w:bCs/>
        </w:rPr>
        <w:t xml:space="preserve">As in prior rate cases, Avista started with rate base for the historical test year, </w:t>
      </w:r>
      <w:r w:rsidRPr="00A37EC4">
        <w:rPr>
          <w:bCs/>
        </w:rPr>
        <w:t>whi</w:t>
      </w:r>
      <w:r>
        <w:rPr>
          <w:bCs/>
        </w:rPr>
        <w:t>ch, for this case, is the average-</w:t>
      </w:r>
      <w:r w:rsidRPr="00A37EC4">
        <w:rPr>
          <w:bCs/>
        </w:rPr>
        <w:t>of</w:t>
      </w:r>
      <w:r>
        <w:rPr>
          <w:bCs/>
        </w:rPr>
        <w:t>-</w:t>
      </w:r>
      <w:r w:rsidRPr="00A37EC4">
        <w:rPr>
          <w:bCs/>
        </w:rPr>
        <w:t>monthly</w:t>
      </w:r>
      <w:r>
        <w:rPr>
          <w:bCs/>
        </w:rPr>
        <w:t>-</w:t>
      </w:r>
      <w:r w:rsidRPr="00A37EC4">
        <w:rPr>
          <w:bCs/>
        </w:rPr>
        <w:t>averages</w:t>
      </w:r>
      <w:r>
        <w:rPr>
          <w:bCs/>
        </w:rPr>
        <w:t xml:space="preserve"> (“AMA”)</w:t>
      </w:r>
      <w:r w:rsidRPr="00A37EC4">
        <w:rPr>
          <w:bCs/>
        </w:rPr>
        <w:t xml:space="preserve"> for the twelve months ended </w:t>
      </w:r>
      <w:r>
        <w:rPr>
          <w:bCs/>
        </w:rPr>
        <w:t>June 30, 2013</w:t>
      </w:r>
      <w:r w:rsidRPr="00A37EC4">
        <w:rPr>
          <w:bCs/>
        </w:rPr>
        <w:t>.</w:t>
      </w:r>
      <w:r>
        <w:rPr>
          <w:bCs/>
        </w:rPr>
        <w:t xml:space="preserve">  A restating adjustment,</w:t>
      </w:r>
      <w:r w:rsidRPr="00AE5652">
        <w:rPr>
          <w:bCs/>
        </w:rPr>
        <w:t xml:space="preserve"> made </w:t>
      </w:r>
      <w:r>
        <w:rPr>
          <w:bCs/>
        </w:rPr>
        <w:t>by Ms. Andrews in Exhibit Nos._</w:t>
      </w:r>
      <w:proofErr w:type="gramStart"/>
      <w:r>
        <w:rPr>
          <w:bCs/>
        </w:rPr>
        <w:t>_(</w:t>
      </w:r>
      <w:proofErr w:type="gramEnd"/>
      <w:r>
        <w:rPr>
          <w:bCs/>
        </w:rPr>
        <w:t xml:space="preserve">EMA-4) and (EMA-5), was made </w:t>
      </w:r>
      <w:r w:rsidRPr="00AE5652">
        <w:rPr>
          <w:bCs/>
        </w:rPr>
        <w:t>to re</w:t>
      </w:r>
      <w:r>
        <w:rPr>
          <w:bCs/>
        </w:rPr>
        <w:t>state</w:t>
      </w:r>
      <w:r w:rsidRPr="00AE5652">
        <w:rPr>
          <w:bCs/>
        </w:rPr>
        <w:t xml:space="preserve"> </w:t>
      </w:r>
      <w:r>
        <w:rPr>
          <w:bCs/>
        </w:rPr>
        <w:t>plant-in-service at June 30, 2013</w:t>
      </w:r>
      <w:r w:rsidRPr="00AE5652">
        <w:rPr>
          <w:bCs/>
        </w:rPr>
        <w:t>, together with the associated accumulated depreciation</w:t>
      </w:r>
      <w:r>
        <w:rPr>
          <w:bCs/>
        </w:rPr>
        <w:t xml:space="preserve"> (“A/D”)</w:t>
      </w:r>
      <w:r w:rsidRPr="00AE5652">
        <w:rPr>
          <w:bCs/>
        </w:rPr>
        <w:t xml:space="preserve"> and deferr</w:t>
      </w:r>
      <w:r>
        <w:rPr>
          <w:bCs/>
        </w:rPr>
        <w:t>ed federal income taxes (“DFIT”) at a June 30, 2013</w:t>
      </w:r>
      <w:r w:rsidRPr="00AE5652">
        <w:rPr>
          <w:bCs/>
        </w:rPr>
        <w:t xml:space="preserve"> end-of-period (</w:t>
      </w:r>
      <w:r>
        <w:rPr>
          <w:bCs/>
        </w:rPr>
        <w:t>“</w:t>
      </w:r>
      <w:r w:rsidRPr="00AE5652">
        <w:rPr>
          <w:bCs/>
        </w:rPr>
        <w:t>EOP</w:t>
      </w:r>
      <w:r>
        <w:rPr>
          <w:bCs/>
        </w:rPr>
        <w:t>”</w:t>
      </w:r>
      <w:r w:rsidRPr="00AE5652">
        <w:rPr>
          <w:bCs/>
        </w:rPr>
        <w:t>) basis</w:t>
      </w:r>
      <w:r>
        <w:rPr>
          <w:rStyle w:val="FootnoteReference"/>
          <w:bCs/>
        </w:rPr>
        <w:footnoteReference w:id="1"/>
      </w:r>
      <w:r w:rsidRPr="00AE5652">
        <w:rPr>
          <w:bCs/>
        </w:rPr>
        <w:t xml:space="preserve">.  This adjustment includes annualizing the associated depreciation expense on the plant-in-service at </w:t>
      </w:r>
      <w:r>
        <w:rPr>
          <w:bCs/>
        </w:rPr>
        <w:t>June 30, 2013.</w:t>
      </w:r>
    </w:p>
    <w:p w:rsidR="00B42BA7" w:rsidRPr="00632556" w:rsidRDefault="00B42BA7" w:rsidP="00B42BA7">
      <w:pPr>
        <w:pStyle w:val="BodyText2"/>
        <w:tabs>
          <w:tab w:val="left" w:pos="1440"/>
        </w:tabs>
        <w:ind w:firstLine="720"/>
        <w:rPr>
          <w:b/>
        </w:rPr>
      </w:pPr>
      <w:r>
        <w:rPr>
          <w:b/>
        </w:rPr>
        <w:t>Q.</w:t>
      </w:r>
      <w:r>
        <w:rPr>
          <w:b/>
        </w:rPr>
        <w:tab/>
        <w:t>What i</w:t>
      </w:r>
      <w:r w:rsidRPr="00632556">
        <w:rPr>
          <w:b/>
        </w:rPr>
        <w:t>s the net impact to electric rate base for the</w:t>
      </w:r>
      <w:r w:rsidR="00BD533B">
        <w:rPr>
          <w:b/>
        </w:rPr>
        <w:t xml:space="preserve"> twelve months ended June 30, 2013</w:t>
      </w:r>
      <w:r w:rsidR="005A28E6">
        <w:rPr>
          <w:b/>
        </w:rPr>
        <w:t xml:space="preserve">, to restate </w:t>
      </w:r>
      <w:r w:rsidRPr="00632556">
        <w:rPr>
          <w:b/>
        </w:rPr>
        <w:t xml:space="preserve">capital </w:t>
      </w:r>
      <w:r w:rsidR="005A28E6">
        <w:rPr>
          <w:b/>
        </w:rPr>
        <w:t>to an end</w:t>
      </w:r>
      <w:r w:rsidR="00A80AC2">
        <w:rPr>
          <w:b/>
        </w:rPr>
        <w:t>-</w:t>
      </w:r>
      <w:r w:rsidR="005A28E6">
        <w:rPr>
          <w:b/>
        </w:rPr>
        <w:t>of</w:t>
      </w:r>
      <w:r w:rsidR="00A80AC2">
        <w:rPr>
          <w:b/>
        </w:rPr>
        <w:t>-</w:t>
      </w:r>
      <w:r w:rsidR="005A28E6">
        <w:rPr>
          <w:b/>
        </w:rPr>
        <w:t>period basis</w:t>
      </w:r>
      <w:r w:rsidRPr="00632556">
        <w:rPr>
          <w:b/>
        </w:rPr>
        <w:t>?</w:t>
      </w:r>
    </w:p>
    <w:p w:rsidR="00BE362D" w:rsidRDefault="00B42BA7" w:rsidP="00B42BA7">
      <w:pPr>
        <w:pStyle w:val="BodyText2"/>
        <w:tabs>
          <w:tab w:val="left" w:pos="1440"/>
        </w:tabs>
        <w:ind w:firstLine="720"/>
      </w:pPr>
      <w:r w:rsidRPr="00632556">
        <w:t>A.</w:t>
      </w:r>
      <w:r w:rsidRPr="00632556">
        <w:tab/>
        <w:t>Electric net rate base for capital investment</w:t>
      </w:r>
      <w:r w:rsidR="00BD533B">
        <w:t xml:space="preserve"> as of year-end June 30, 2013</w:t>
      </w:r>
      <w:r w:rsidRPr="00632556">
        <w:t xml:space="preserve"> </w:t>
      </w:r>
      <w:r w:rsidRPr="00CE1EFD">
        <w:t xml:space="preserve">increased </w:t>
      </w:r>
      <w:r w:rsidR="00E713D3">
        <w:t>$3</w:t>
      </w:r>
      <w:r w:rsidR="00865A69">
        <w:t>5,200</w:t>
      </w:r>
      <w:r w:rsidR="00E713D3">
        <w:t>,000, from $1,157</w:t>
      </w:r>
      <w:r w:rsidR="00865A69">
        <w:t>,292</w:t>
      </w:r>
      <w:r w:rsidR="00CE1EFD" w:rsidRPr="00CE1EFD">
        <w:t>,000</w:t>
      </w:r>
      <w:r w:rsidRPr="00CE1EFD">
        <w:t xml:space="preserve"> </w:t>
      </w:r>
      <w:r w:rsidR="005A28E6">
        <w:t xml:space="preserve">on an AMA basis </w:t>
      </w:r>
      <w:r w:rsidRPr="00CE1EFD">
        <w:t>to $1,</w:t>
      </w:r>
      <w:r w:rsidR="00CE1EFD" w:rsidRPr="00CE1EFD">
        <w:t>192,492</w:t>
      </w:r>
      <w:r w:rsidR="00CE1EFD">
        <w:t>,000</w:t>
      </w:r>
      <w:r w:rsidR="005A28E6">
        <w:t xml:space="preserve"> on an EOP basis</w:t>
      </w:r>
      <w:r w:rsidR="00140817">
        <w:t>.  Table</w:t>
      </w:r>
      <w:r w:rsidR="006F6C51">
        <w:t xml:space="preserve"> No.</w:t>
      </w:r>
      <w:r w:rsidR="00140817">
        <w:t xml:space="preserve"> 1</w:t>
      </w:r>
      <w:r w:rsidRPr="00632556">
        <w:t xml:space="preserve"> below summarizes the adjustment</w:t>
      </w:r>
      <w:r w:rsidR="00A80AC2">
        <w:t xml:space="preserve"> and also reflects the change in the Company’s depreciation rates approved in our last rate case, which I will explain later.</w:t>
      </w:r>
    </w:p>
    <w:p w:rsidR="00B42BA7" w:rsidRPr="00DA3F2A" w:rsidRDefault="00C522F8" w:rsidP="00C522F8">
      <w:pPr>
        <w:pStyle w:val="BodyText2"/>
        <w:tabs>
          <w:tab w:val="left" w:pos="1440"/>
        </w:tabs>
        <w:ind w:firstLine="720"/>
        <w:rPr>
          <w:b/>
          <w:u w:val="single"/>
        </w:rPr>
      </w:pPr>
      <w:r>
        <w:rPr>
          <w:b/>
          <w:u w:val="single"/>
        </w:rPr>
        <w:br w:type="page"/>
      </w:r>
      <w:r w:rsidR="00EC6313">
        <w:rPr>
          <w:b/>
          <w:noProof/>
          <w:u w:val="single"/>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46" type="#_x0000_t75" style="position:absolute;left:0;text-align:left;margin-left:36pt;margin-top:17.85pt;width:368.4pt;height:156.9pt;z-index:251743232;mso-position-horizontal-relative:text;mso-position-vertical-relative:text">
            <v:imagedata r:id="rId11" o:title=""/>
          </v:shape>
          <o:OLEObject Type="Embed" ProgID="Excel.Sheet.12" ShapeID="_x0000_s1146" DrawAspect="Content" ObjectID="_1452587200" r:id="rId12"/>
        </w:pict>
      </w:r>
      <w:r w:rsidR="00B42BA7" w:rsidRPr="00DA3F2A">
        <w:rPr>
          <w:b/>
          <w:u w:val="single"/>
        </w:rPr>
        <w:t>Table</w:t>
      </w:r>
      <w:r w:rsidR="006F6C51" w:rsidRPr="00DA3F2A">
        <w:rPr>
          <w:b/>
          <w:u w:val="single"/>
        </w:rPr>
        <w:t xml:space="preserve"> No.</w:t>
      </w:r>
      <w:r w:rsidR="00B42BA7" w:rsidRPr="00DA3F2A">
        <w:rPr>
          <w:b/>
          <w:u w:val="single"/>
        </w:rPr>
        <w:t xml:space="preserve"> </w:t>
      </w:r>
      <w:r w:rsidR="00140817" w:rsidRPr="00DA3F2A">
        <w:rPr>
          <w:b/>
          <w:u w:val="single"/>
        </w:rPr>
        <w:t>1</w:t>
      </w:r>
      <w:r w:rsidR="00B42BA7" w:rsidRPr="00DA3F2A">
        <w:rPr>
          <w:b/>
          <w:u w:val="single"/>
        </w:rPr>
        <w:t>:</w:t>
      </w:r>
    </w:p>
    <w:p w:rsidR="00E20222" w:rsidRDefault="00E20222" w:rsidP="00B42BA7">
      <w:pPr>
        <w:pStyle w:val="BodyText2"/>
        <w:tabs>
          <w:tab w:val="left" w:pos="1440"/>
        </w:tabs>
        <w:ind w:firstLine="720"/>
        <w:rPr>
          <w:b/>
        </w:rPr>
      </w:pPr>
    </w:p>
    <w:p w:rsidR="00E20222" w:rsidRDefault="00E20222" w:rsidP="00B42BA7">
      <w:pPr>
        <w:pStyle w:val="BodyText2"/>
        <w:tabs>
          <w:tab w:val="left" w:pos="1440"/>
        </w:tabs>
        <w:ind w:firstLine="720"/>
        <w:rPr>
          <w:b/>
        </w:rPr>
      </w:pPr>
    </w:p>
    <w:p w:rsidR="00E20222" w:rsidRDefault="00E20222" w:rsidP="00B42BA7">
      <w:pPr>
        <w:pStyle w:val="BodyText2"/>
        <w:tabs>
          <w:tab w:val="left" w:pos="1440"/>
        </w:tabs>
        <w:ind w:firstLine="720"/>
        <w:rPr>
          <w:b/>
        </w:rPr>
      </w:pPr>
    </w:p>
    <w:p w:rsidR="00E20222" w:rsidRDefault="00E20222" w:rsidP="00B42BA7">
      <w:pPr>
        <w:pStyle w:val="BodyText2"/>
        <w:tabs>
          <w:tab w:val="left" w:pos="1440"/>
        </w:tabs>
        <w:ind w:firstLine="720"/>
        <w:rPr>
          <w:b/>
        </w:rPr>
      </w:pPr>
    </w:p>
    <w:p w:rsidR="00E20222" w:rsidRDefault="00E20222" w:rsidP="00B42BA7">
      <w:pPr>
        <w:pStyle w:val="BodyText2"/>
        <w:tabs>
          <w:tab w:val="left" w:pos="1440"/>
        </w:tabs>
        <w:ind w:firstLine="720"/>
        <w:rPr>
          <w:b/>
        </w:rPr>
      </w:pPr>
    </w:p>
    <w:p w:rsidR="00C522F8" w:rsidRDefault="00C522F8" w:rsidP="00B42BA7">
      <w:pPr>
        <w:pStyle w:val="BodyText2"/>
        <w:tabs>
          <w:tab w:val="left" w:pos="1440"/>
        </w:tabs>
        <w:ind w:firstLine="720"/>
        <w:rPr>
          <w:b/>
        </w:rPr>
      </w:pPr>
    </w:p>
    <w:p w:rsidR="00B42BA7" w:rsidRPr="00632556" w:rsidRDefault="00B42BA7" w:rsidP="00B42BA7">
      <w:pPr>
        <w:pStyle w:val="BodyText2"/>
        <w:tabs>
          <w:tab w:val="left" w:pos="1440"/>
        </w:tabs>
        <w:ind w:firstLine="720"/>
        <w:rPr>
          <w:b/>
        </w:rPr>
      </w:pPr>
      <w:r w:rsidRPr="00632556">
        <w:rPr>
          <w:b/>
        </w:rPr>
        <w:t>Q.</w:t>
      </w:r>
      <w:r w:rsidRPr="00632556">
        <w:rPr>
          <w:b/>
        </w:rPr>
        <w:tab/>
        <w:t xml:space="preserve">What was the net impact to natural gas rate base for the </w:t>
      </w:r>
      <w:r w:rsidR="00BD533B">
        <w:rPr>
          <w:b/>
        </w:rPr>
        <w:t xml:space="preserve">twelve months ended June 30, 2013 </w:t>
      </w:r>
      <w:r w:rsidR="00270A7A">
        <w:rPr>
          <w:b/>
        </w:rPr>
        <w:t xml:space="preserve">to restate </w:t>
      </w:r>
      <w:r w:rsidRPr="00632556">
        <w:rPr>
          <w:b/>
        </w:rPr>
        <w:t xml:space="preserve">capital </w:t>
      </w:r>
      <w:r w:rsidR="00A80AC2">
        <w:rPr>
          <w:b/>
        </w:rPr>
        <w:t>to an end-of-</w:t>
      </w:r>
      <w:r w:rsidR="00270A7A">
        <w:rPr>
          <w:b/>
        </w:rPr>
        <w:t>period basis</w:t>
      </w:r>
      <w:r w:rsidRPr="00632556">
        <w:rPr>
          <w:b/>
        </w:rPr>
        <w:t>?</w:t>
      </w:r>
    </w:p>
    <w:p w:rsidR="00B42BA7" w:rsidRDefault="00B42BA7" w:rsidP="00B42BA7">
      <w:pPr>
        <w:pStyle w:val="BodyText2"/>
        <w:tabs>
          <w:tab w:val="left" w:pos="1440"/>
        </w:tabs>
        <w:ind w:firstLine="720"/>
      </w:pPr>
      <w:r w:rsidRPr="00632556">
        <w:t>A.</w:t>
      </w:r>
      <w:r w:rsidRPr="00632556">
        <w:tab/>
        <w:t>Natural gas net rate base for capital investment</w:t>
      </w:r>
      <w:r w:rsidR="00BD533B">
        <w:t xml:space="preserve"> as of year-end June 30, 2013</w:t>
      </w:r>
      <w:r w:rsidR="00A80AC2">
        <w:t>,</w:t>
      </w:r>
      <w:r w:rsidRPr="00632556">
        <w:t xml:space="preserve"> </w:t>
      </w:r>
      <w:r w:rsidRPr="003B263B">
        <w:t>increased $</w:t>
      </w:r>
      <w:r w:rsidR="003B263B" w:rsidRPr="003B263B">
        <w:t>4,955,000, from $197,693,000</w:t>
      </w:r>
      <w:r w:rsidR="00270A7A">
        <w:t xml:space="preserve"> on an AMA basis</w:t>
      </w:r>
      <w:r w:rsidR="003B263B" w:rsidRPr="003B263B">
        <w:t xml:space="preserve"> to $202,648</w:t>
      </w:r>
      <w:r w:rsidRPr="003B263B">
        <w:t>,000</w:t>
      </w:r>
      <w:r w:rsidR="00270A7A">
        <w:t xml:space="preserve"> on an EOP basis</w:t>
      </w:r>
      <w:r w:rsidRPr="003B263B">
        <w:t>.</w:t>
      </w:r>
      <w:r w:rsidRPr="00632556">
        <w:t xml:space="preserve">  Table</w:t>
      </w:r>
      <w:r w:rsidR="006F6C51">
        <w:t xml:space="preserve"> No.</w:t>
      </w:r>
      <w:r w:rsidRPr="00632556">
        <w:t xml:space="preserve"> </w:t>
      </w:r>
      <w:r w:rsidR="00140817">
        <w:t>2</w:t>
      </w:r>
      <w:r w:rsidRPr="00632556">
        <w:t xml:space="preserve"> below summarizes the adjustment included in the case.</w:t>
      </w:r>
    </w:p>
    <w:p w:rsidR="00B42BA7" w:rsidRPr="00C522F8" w:rsidRDefault="00B12D84" w:rsidP="00B12D84">
      <w:pPr>
        <w:pStyle w:val="BodyText2"/>
        <w:tabs>
          <w:tab w:val="left" w:pos="720"/>
        </w:tabs>
        <w:jc w:val="left"/>
        <w:rPr>
          <w:b/>
          <w:u w:val="single"/>
        </w:rPr>
      </w:pPr>
      <w:r>
        <w:rPr>
          <w:b/>
        </w:rPr>
        <w:tab/>
      </w:r>
      <w:r w:rsidR="00140817" w:rsidRPr="00C522F8">
        <w:rPr>
          <w:b/>
          <w:u w:val="single"/>
        </w:rPr>
        <w:t xml:space="preserve">Table </w:t>
      </w:r>
      <w:r w:rsidR="006F6C51" w:rsidRPr="00C522F8">
        <w:rPr>
          <w:b/>
          <w:u w:val="single"/>
        </w:rPr>
        <w:t xml:space="preserve">No. </w:t>
      </w:r>
      <w:r w:rsidR="00140817" w:rsidRPr="00C522F8">
        <w:rPr>
          <w:b/>
          <w:u w:val="single"/>
        </w:rPr>
        <w:t>2</w:t>
      </w:r>
      <w:r w:rsidR="00B42BA7" w:rsidRPr="00C522F8">
        <w:rPr>
          <w:b/>
          <w:u w:val="single"/>
        </w:rPr>
        <w:t>:</w:t>
      </w:r>
    </w:p>
    <w:p w:rsidR="00E20222" w:rsidRDefault="00EC6313" w:rsidP="00B42BA7">
      <w:pPr>
        <w:pStyle w:val="BodyText2"/>
        <w:tabs>
          <w:tab w:val="left" w:pos="1440"/>
        </w:tabs>
        <w:ind w:firstLine="720"/>
        <w:rPr>
          <w:b/>
        </w:rPr>
      </w:pPr>
      <w:r>
        <w:rPr>
          <w:b/>
          <w:noProof/>
        </w:rPr>
        <w:pict>
          <v:shape id="_x0000_s1147" type="#_x0000_t75" style="position:absolute;left:0;text-align:left;margin-left:36pt;margin-top:0;width:368.4pt;height:161.25pt;z-index:251745280;mso-position-horizontal:absolute;mso-position-horizontal-relative:text;mso-position-vertical:absolute;mso-position-vertical-relative:text">
            <v:imagedata r:id="rId13" o:title=""/>
          </v:shape>
          <o:OLEObject Type="Embed" ProgID="Excel.Sheet.12" ShapeID="_x0000_s1147" DrawAspect="Content" ObjectID="_1452587201" r:id="rId14"/>
        </w:pict>
      </w:r>
    </w:p>
    <w:p w:rsidR="00E20222" w:rsidRDefault="00E20222" w:rsidP="00B42BA7">
      <w:pPr>
        <w:pStyle w:val="BodyText2"/>
        <w:tabs>
          <w:tab w:val="left" w:pos="1440"/>
        </w:tabs>
        <w:ind w:firstLine="720"/>
        <w:rPr>
          <w:b/>
        </w:rPr>
      </w:pPr>
    </w:p>
    <w:p w:rsidR="00E20222" w:rsidRDefault="00E20222" w:rsidP="00B42BA7">
      <w:pPr>
        <w:pStyle w:val="BodyText2"/>
        <w:tabs>
          <w:tab w:val="left" w:pos="1440"/>
        </w:tabs>
        <w:ind w:firstLine="720"/>
        <w:rPr>
          <w:b/>
        </w:rPr>
      </w:pPr>
    </w:p>
    <w:p w:rsidR="00E20222" w:rsidRDefault="00E20222" w:rsidP="00B42BA7">
      <w:pPr>
        <w:pStyle w:val="BodyText2"/>
        <w:tabs>
          <w:tab w:val="left" w:pos="1440"/>
        </w:tabs>
        <w:ind w:firstLine="720"/>
        <w:rPr>
          <w:b/>
        </w:rPr>
      </w:pPr>
    </w:p>
    <w:p w:rsidR="00E20222" w:rsidRDefault="00E20222" w:rsidP="00B42BA7">
      <w:pPr>
        <w:pStyle w:val="BodyText2"/>
        <w:tabs>
          <w:tab w:val="left" w:pos="1440"/>
        </w:tabs>
        <w:ind w:firstLine="720"/>
        <w:rPr>
          <w:b/>
        </w:rPr>
      </w:pPr>
    </w:p>
    <w:p w:rsidR="00E20222" w:rsidRDefault="00E20222" w:rsidP="00B42BA7">
      <w:pPr>
        <w:pStyle w:val="BodyText2"/>
        <w:tabs>
          <w:tab w:val="left" w:pos="1440"/>
        </w:tabs>
        <w:ind w:firstLine="720"/>
        <w:rPr>
          <w:b/>
        </w:rPr>
      </w:pPr>
    </w:p>
    <w:p w:rsidR="00E20222" w:rsidRDefault="00E20222" w:rsidP="00B42BA7">
      <w:pPr>
        <w:pStyle w:val="BodyText2"/>
        <w:tabs>
          <w:tab w:val="left" w:pos="1440"/>
        </w:tabs>
        <w:ind w:firstLine="720"/>
        <w:rPr>
          <w:b/>
        </w:rPr>
      </w:pPr>
    </w:p>
    <w:p w:rsidR="00845A0C" w:rsidRPr="00845A0C" w:rsidRDefault="007B3E8F" w:rsidP="00845A0C">
      <w:pPr>
        <w:pStyle w:val="BodyText2"/>
        <w:tabs>
          <w:tab w:val="left" w:pos="1440"/>
        </w:tabs>
        <w:ind w:firstLine="720"/>
        <w:rPr>
          <w:b/>
        </w:rPr>
      </w:pPr>
      <w:r>
        <w:rPr>
          <w:b/>
        </w:rPr>
        <w:t>Q.</w:t>
      </w:r>
      <w:r>
        <w:rPr>
          <w:b/>
        </w:rPr>
        <w:tab/>
        <w:t>Please summarize the effect of the</w:t>
      </w:r>
      <w:r w:rsidR="00845A0C" w:rsidRPr="00845A0C">
        <w:rPr>
          <w:b/>
        </w:rPr>
        <w:t xml:space="preserve"> most recently </w:t>
      </w:r>
      <w:r>
        <w:rPr>
          <w:b/>
        </w:rPr>
        <w:t xml:space="preserve">approved change in </w:t>
      </w:r>
      <w:r w:rsidR="00270A7A">
        <w:rPr>
          <w:b/>
        </w:rPr>
        <w:t>depreciation rates</w:t>
      </w:r>
      <w:r w:rsidR="00845A0C" w:rsidRPr="00845A0C">
        <w:rPr>
          <w:b/>
        </w:rPr>
        <w:t>.</w:t>
      </w:r>
    </w:p>
    <w:p w:rsidR="00845A0C" w:rsidRPr="00845A0C" w:rsidRDefault="00845A0C" w:rsidP="00845A0C">
      <w:pPr>
        <w:pStyle w:val="BodyText"/>
        <w:tabs>
          <w:tab w:val="left" w:pos="0"/>
        </w:tabs>
        <w:spacing w:line="480" w:lineRule="auto"/>
        <w:ind w:firstLine="720"/>
        <w:jc w:val="both"/>
        <w:rPr>
          <w:b w:val="0"/>
        </w:rPr>
      </w:pPr>
      <w:r w:rsidRPr="00845A0C">
        <w:rPr>
          <w:rFonts w:cs="Arial"/>
          <w:b w:val="0"/>
        </w:rPr>
        <w:lastRenderedPageBreak/>
        <w:t xml:space="preserve">A. </w:t>
      </w:r>
      <w:r w:rsidRPr="00845A0C">
        <w:rPr>
          <w:rFonts w:cs="Arial"/>
          <w:b w:val="0"/>
        </w:rPr>
        <w:tab/>
        <w:t>The Company was authorized to change its depreciation rates</w:t>
      </w:r>
      <w:r w:rsidR="00AC44FC">
        <w:rPr>
          <w:rFonts w:cs="Arial"/>
          <w:b w:val="0"/>
        </w:rPr>
        <w:t xml:space="preserve"> effective January1, 2013,</w:t>
      </w:r>
      <w:r w:rsidRPr="00845A0C">
        <w:rPr>
          <w:rFonts w:cs="Arial"/>
          <w:b w:val="0"/>
        </w:rPr>
        <w:t xml:space="preserve"> by the Washington Commission in Order No. 09, dated December 26, 2012 (</w:t>
      </w:r>
      <w:r w:rsidRPr="00845A0C">
        <w:rPr>
          <w:b w:val="0"/>
        </w:rPr>
        <w:t xml:space="preserve">Dockets Nos. </w:t>
      </w:r>
      <w:proofErr w:type="gramStart"/>
      <w:r w:rsidRPr="00845A0C">
        <w:rPr>
          <w:b w:val="0"/>
        </w:rPr>
        <w:t>UE-120436 and UG-120437</w:t>
      </w:r>
      <w:r w:rsidRPr="00845A0C">
        <w:rPr>
          <w:rFonts w:cs="Arial"/>
          <w:b w:val="0"/>
        </w:rPr>
        <w:t>).</w:t>
      </w:r>
      <w:proofErr w:type="gramEnd"/>
      <w:r w:rsidRPr="00845A0C">
        <w:rPr>
          <w:rFonts w:cs="Arial"/>
          <w:b w:val="0"/>
        </w:rPr>
        <w:t xml:space="preserve">  </w:t>
      </w:r>
    </w:p>
    <w:p w:rsidR="00B42BA7" w:rsidRDefault="00845A0C" w:rsidP="00845A0C">
      <w:pPr>
        <w:tabs>
          <w:tab w:val="left" w:pos="1440"/>
        </w:tabs>
        <w:adjustRightInd w:val="0"/>
        <w:spacing w:line="480" w:lineRule="auto"/>
        <w:ind w:left="180" w:firstLine="540"/>
        <w:jc w:val="both"/>
        <w:rPr>
          <w:rFonts w:cs="Arial"/>
        </w:rPr>
      </w:pPr>
      <w:r w:rsidRPr="00845A0C">
        <w:rPr>
          <w:rFonts w:cs="Arial"/>
        </w:rPr>
        <w:t xml:space="preserve">Depreciation expense and the associated accumulated depreciation for Washington electric and natural gas plant increased by $1,163,054 and $1,040,519, respectively, </w:t>
      </w:r>
      <w:r w:rsidR="00AC44FC">
        <w:rPr>
          <w:rFonts w:cs="Arial"/>
        </w:rPr>
        <w:t>when adjusted to reflect</w:t>
      </w:r>
      <w:r w:rsidRPr="00845A0C">
        <w:rPr>
          <w:rFonts w:cs="Arial"/>
        </w:rPr>
        <w:t xml:space="preserve"> the change in depreciation rates</w:t>
      </w:r>
      <w:r w:rsidR="00AC44FC">
        <w:rPr>
          <w:rFonts w:cs="Arial"/>
        </w:rPr>
        <w:t xml:space="preserve"> for all plant in service for the full twelve months of the test period.</w:t>
      </w:r>
      <w:r w:rsidRPr="00845A0C">
        <w:rPr>
          <w:rFonts w:cs="Arial"/>
        </w:rPr>
        <w:t xml:space="preserve">  This </w:t>
      </w:r>
      <w:r w:rsidR="00C86425">
        <w:rPr>
          <w:rFonts w:cs="Arial"/>
        </w:rPr>
        <w:t>includes</w:t>
      </w:r>
      <w:r w:rsidRPr="00845A0C">
        <w:rPr>
          <w:rFonts w:cs="Arial"/>
        </w:rPr>
        <w:t xml:space="preserve"> $476,444 electric and $180,448 natural gas, on transportation vehicles</w:t>
      </w:r>
      <w:r w:rsidR="00C86425">
        <w:rPr>
          <w:rFonts w:cs="Arial"/>
        </w:rPr>
        <w:t>,</w:t>
      </w:r>
      <w:r w:rsidRPr="00845A0C">
        <w:rPr>
          <w:rFonts w:cs="Arial"/>
        </w:rPr>
        <w:t xml:space="preserve"> and $686,610 electric and $860,071 natural gas, on all remaining Washington plant. These amounts are reflected in the Restate Capital Adjustment (2.19-Electric and 2.15-Natural Gas) in Company witness Ms. Andrews’ workpapers and exhibits as well as in my workpapers. </w:t>
      </w:r>
    </w:p>
    <w:p w:rsidR="00C86425" w:rsidRPr="007B3E8F" w:rsidRDefault="00C86425" w:rsidP="00845A0C">
      <w:pPr>
        <w:tabs>
          <w:tab w:val="left" w:pos="1440"/>
        </w:tabs>
        <w:adjustRightInd w:val="0"/>
        <w:spacing w:line="480" w:lineRule="auto"/>
        <w:ind w:left="180" w:firstLine="540"/>
        <w:jc w:val="both"/>
      </w:pPr>
    </w:p>
    <w:p w:rsidR="00B42BA7" w:rsidRPr="00FC68B4" w:rsidRDefault="009046A9" w:rsidP="00B42BA7">
      <w:pPr>
        <w:pStyle w:val="Heading5"/>
        <w:rPr>
          <w:rStyle w:val="PageNumber"/>
          <w:u w:val="single"/>
        </w:rPr>
      </w:pPr>
      <w:r w:rsidRPr="00FC68B4">
        <w:rPr>
          <w:rStyle w:val="PageNumber"/>
          <w:u w:val="single"/>
        </w:rPr>
        <w:t>III.</w:t>
      </w:r>
      <w:r w:rsidR="00B42BA7" w:rsidRPr="00FC68B4">
        <w:rPr>
          <w:rStyle w:val="PageNumber"/>
          <w:u w:val="single"/>
        </w:rPr>
        <w:t xml:space="preserve"> CAPITAL ADDITIONS</w:t>
      </w:r>
      <w:r w:rsidR="007B3E8F" w:rsidRPr="00FC68B4">
        <w:rPr>
          <w:rStyle w:val="PageNumber"/>
          <w:u w:val="single"/>
        </w:rPr>
        <w:t xml:space="preserve"> JULY 2013 THROUGH DECEMBER 2015</w:t>
      </w:r>
    </w:p>
    <w:p w:rsidR="006E0C2F" w:rsidRDefault="00F80855" w:rsidP="006E0C2F">
      <w:pPr>
        <w:pStyle w:val="BodyText2"/>
        <w:tabs>
          <w:tab w:val="left" w:pos="1440"/>
        </w:tabs>
        <w:ind w:firstLine="720"/>
        <w:rPr>
          <w:b/>
          <w:bCs/>
        </w:rPr>
      </w:pPr>
      <w:r>
        <w:rPr>
          <w:b/>
          <w:bCs/>
        </w:rPr>
        <w:t>Q.</w:t>
      </w:r>
      <w:r>
        <w:rPr>
          <w:b/>
          <w:bCs/>
        </w:rPr>
        <w:tab/>
      </w:r>
      <w:r w:rsidR="00140817">
        <w:rPr>
          <w:b/>
          <w:bCs/>
        </w:rPr>
        <w:t>What is the purpose of preparing the information w</w:t>
      </w:r>
      <w:r w:rsidR="00416CDD">
        <w:rPr>
          <w:b/>
          <w:bCs/>
        </w:rPr>
        <w:t xml:space="preserve">ith respect to the </w:t>
      </w:r>
      <w:r w:rsidR="00DC2AC5">
        <w:rPr>
          <w:b/>
          <w:bCs/>
        </w:rPr>
        <w:t>July through December 2013, 2</w:t>
      </w:r>
      <w:r w:rsidR="00E63C0D">
        <w:rPr>
          <w:b/>
          <w:bCs/>
        </w:rPr>
        <w:t>014</w:t>
      </w:r>
      <w:r w:rsidR="00483292">
        <w:rPr>
          <w:b/>
          <w:bCs/>
        </w:rPr>
        <w:t>,</w:t>
      </w:r>
      <w:r w:rsidR="00E63C0D">
        <w:rPr>
          <w:b/>
          <w:bCs/>
        </w:rPr>
        <w:t xml:space="preserve"> and </w:t>
      </w:r>
      <w:r w:rsidR="00416CDD">
        <w:rPr>
          <w:b/>
          <w:bCs/>
        </w:rPr>
        <w:t>2015</w:t>
      </w:r>
      <w:r w:rsidR="00140817">
        <w:rPr>
          <w:b/>
          <w:bCs/>
        </w:rPr>
        <w:t xml:space="preserve"> capital additions</w:t>
      </w:r>
      <w:r w:rsidR="006E0C2F">
        <w:rPr>
          <w:b/>
          <w:bCs/>
        </w:rPr>
        <w:t>?</w:t>
      </w:r>
    </w:p>
    <w:p w:rsidR="007B3E8F" w:rsidRDefault="006E0C2F" w:rsidP="006E0C2F">
      <w:pPr>
        <w:pStyle w:val="BodyText2"/>
        <w:tabs>
          <w:tab w:val="left" w:pos="1440"/>
        </w:tabs>
        <w:ind w:firstLine="720"/>
        <w:rPr>
          <w:bCs/>
        </w:rPr>
      </w:pPr>
      <w:r w:rsidRPr="005813C0">
        <w:rPr>
          <w:bCs/>
        </w:rPr>
        <w:t>A.</w:t>
      </w:r>
      <w:r w:rsidRPr="005813C0">
        <w:rPr>
          <w:bCs/>
        </w:rPr>
        <w:tab/>
      </w:r>
      <w:r w:rsidR="00B42BA7">
        <w:rPr>
          <w:bCs/>
        </w:rPr>
        <w:t xml:space="preserve">The </w:t>
      </w:r>
      <w:r w:rsidR="00155C92">
        <w:rPr>
          <w:bCs/>
        </w:rPr>
        <w:t>A</w:t>
      </w:r>
      <w:r w:rsidR="00B42BA7">
        <w:rPr>
          <w:bCs/>
        </w:rPr>
        <w:t xml:space="preserve">ttrition </w:t>
      </w:r>
      <w:r w:rsidR="00155C92">
        <w:rPr>
          <w:bCs/>
        </w:rPr>
        <w:t>A</w:t>
      </w:r>
      <w:r w:rsidR="00B42BA7">
        <w:rPr>
          <w:bCs/>
        </w:rPr>
        <w:t>djustment</w:t>
      </w:r>
      <w:r w:rsidR="00416CDD">
        <w:rPr>
          <w:bCs/>
        </w:rPr>
        <w:t xml:space="preserve"> sponsored by Company witness Mrs</w:t>
      </w:r>
      <w:r w:rsidR="00B42BA7">
        <w:rPr>
          <w:bCs/>
        </w:rPr>
        <w:t xml:space="preserve">. </w:t>
      </w:r>
      <w:r w:rsidR="00416CDD">
        <w:rPr>
          <w:bCs/>
        </w:rPr>
        <w:t>Andrews</w:t>
      </w:r>
      <w:r w:rsidR="00B42BA7">
        <w:rPr>
          <w:bCs/>
        </w:rPr>
        <w:t xml:space="preserve"> is used in deriving the revenue requirement, and through a trending analysis, captures additional capital</w:t>
      </w:r>
      <w:r w:rsidR="00FD723E">
        <w:rPr>
          <w:bCs/>
        </w:rPr>
        <w:t xml:space="preserve"> expenditures</w:t>
      </w:r>
      <w:r w:rsidR="00B42BA7">
        <w:rPr>
          <w:bCs/>
        </w:rPr>
        <w:t xml:space="preserve"> </w:t>
      </w:r>
      <w:r w:rsidR="007B3E8F">
        <w:rPr>
          <w:bCs/>
        </w:rPr>
        <w:t xml:space="preserve">up to and including the </w:t>
      </w:r>
      <w:r w:rsidR="00E63C0D">
        <w:rPr>
          <w:bCs/>
        </w:rPr>
        <w:t>2015</w:t>
      </w:r>
      <w:r w:rsidR="00B42BA7">
        <w:rPr>
          <w:bCs/>
        </w:rPr>
        <w:t xml:space="preserve"> rate year.  </w:t>
      </w:r>
      <w:r w:rsidR="007B3E8F">
        <w:rPr>
          <w:bCs/>
        </w:rPr>
        <w:t>The Company’s revenue increase proposal in this case is based on this Attrition Adjustment.</w:t>
      </w:r>
    </w:p>
    <w:p w:rsidR="00AC44FC" w:rsidRDefault="007B3E8F" w:rsidP="006E0C2F">
      <w:pPr>
        <w:pStyle w:val="BodyText2"/>
        <w:tabs>
          <w:tab w:val="left" w:pos="1440"/>
        </w:tabs>
        <w:ind w:firstLine="720"/>
        <w:rPr>
          <w:rStyle w:val="LineNumber"/>
        </w:rPr>
      </w:pPr>
      <w:r>
        <w:rPr>
          <w:bCs/>
        </w:rPr>
        <w:t>However, as Ms. Andrews explains in her testimony, Avista has prov</w:t>
      </w:r>
      <w:r w:rsidR="00B73C33">
        <w:rPr>
          <w:bCs/>
        </w:rPr>
        <w:t>ided additional analysis as a “Cross C</w:t>
      </w:r>
      <w:r>
        <w:rPr>
          <w:bCs/>
        </w:rPr>
        <w:t xml:space="preserve">heck” to the proposed electric and natural gas revenue increase </w:t>
      </w:r>
      <w:r w:rsidRPr="00FC68B4">
        <w:rPr>
          <w:bCs/>
        </w:rPr>
        <w:t>requests. We have referred to th</w:t>
      </w:r>
      <w:r w:rsidR="00FC68B4" w:rsidRPr="00FC68B4">
        <w:rPr>
          <w:bCs/>
        </w:rPr>
        <w:t>e</w:t>
      </w:r>
      <w:r w:rsidR="00B73C33">
        <w:rPr>
          <w:bCs/>
        </w:rPr>
        <w:t xml:space="preserve"> Cross C</w:t>
      </w:r>
      <w:r w:rsidRPr="00FC68B4">
        <w:rPr>
          <w:bCs/>
        </w:rPr>
        <w:t xml:space="preserve">heck analysis as a </w:t>
      </w:r>
      <w:r w:rsidR="00FC68B4" w:rsidRPr="00FC68B4">
        <w:rPr>
          <w:bCs/>
        </w:rPr>
        <w:t>P</w:t>
      </w:r>
      <w:r w:rsidRPr="00FC68B4">
        <w:rPr>
          <w:bCs/>
        </w:rPr>
        <w:t xml:space="preserve">ro </w:t>
      </w:r>
      <w:r w:rsidR="00FC68B4" w:rsidRPr="00FC68B4">
        <w:rPr>
          <w:bCs/>
        </w:rPr>
        <w:t>F</w:t>
      </w:r>
      <w:r w:rsidRPr="00FC68B4">
        <w:rPr>
          <w:bCs/>
        </w:rPr>
        <w:t>orma</w:t>
      </w:r>
      <w:r w:rsidR="00FD723E" w:rsidRPr="00FC68B4">
        <w:rPr>
          <w:bCs/>
        </w:rPr>
        <w:t xml:space="preserve"> </w:t>
      </w:r>
      <w:r w:rsidR="00FC68B4" w:rsidRPr="00FC68B4">
        <w:rPr>
          <w:bCs/>
        </w:rPr>
        <w:t>C</w:t>
      </w:r>
      <w:r w:rsidR="00FD723E" w:rsidRPr="00FC68B4">
        <w:rPr>
          <w:bCs/>
        </w:rPr>
        <w:t>ross</w:t>
      </w:r>
      <w:r w:rsidR="00FC68B4" w:rsidRPr="00FC68B4">
        <w:rPr>
          <w:bCs/>
        </w:rPr>
        <w:t xml:space="preserve"> C</w:t>
      </w:r>
      <w:r w:rsidR="00FD723E" w:rsidRPr="00FC68B4">
        <w:rPr>
          <w:bCs/>
        </w:rPr>
        <w:t>heck</w:t>
      </w:r>
      <w:r w:rsidRPr="00FC68B4">
        <w:rPr>
          <w:bCs/>
        </w:rPr>
        <w:t xml:space="preserve"> </w:t>
      </w:r>
      <w:r w:rsidR="00B73C33">
        <w:rPr>
          <w:bCs/>
        </w:rPr>
        <w:t>Study</w:t>
      </w:r>
      <w:r w:rsidRPr="00FC68B4">
        <w:rPr>
          <w:bCs/>
        </w:rPr>
        <w:t xml:space="preserve">. </w:t>
      </w:r>
      <w:r w:rsidRPr="00FC68B4">
        <w:rPr>
          <w:bCs/>
        </w:rPr>
        <w:lastRenderedPageBreak/>
        <w:t>Th</w:t>
      </w:r>
      <w:r w:rsidR="00FC68B4" w:rsidRPr="00FC68B4">
        <w:rPr>
          <w:bCs/>
        </w:rPr>
        <w:t>e</w:t>
      </w:r>
      <w:r w:rsidRPr="00FC68B4">
        <w:rPr>
          <w:bCs/>
        </w:rPr>
        <w:t xml:space="preserve"> </w:t>
      </w:r>
      <w:r w:rsidR="00FC68B4" w:rsidRPr="00FC68B4">
        <w:rPr>
          <w:bCs/>
        </w:rPr>
        <w:t>P</w:t>
      </w:r>
      <w:r w:rsidRPr="00FC68B4">
        <w:rPr>
          <w:bCs/>
        </w:rPr>
        <w:t>ro forma</w:t>
      </w:r>
      <w:r w:rsidR="001428EC" w:rsidRPr="00FC68B4">
        <w:rPr>
          <w:bCs/>
        </w:rPr>
        <w:t xml:space="preserve"> </w:t>
      </w:r>
      <w:r w:rsidR="00FC68B4" w:rsidRPr="00FC68B4">
        <w:rPr>
          <w:bCs/>
        </w:rPr>
        <w:t>C</w:t>
      </w:r>
      <w:r w:rsidR="001428EC" w:rsidRPr="00FC68B4">
        <w:rPr>
          <w:bCs/>
        </w:rPr>
        <w:t>ross</w:t>
      </w:r>
      <w:r w:rsidR="00FC68B4" w:rsidRPr="00FC68B4">
        <w:rPr>
          <w:bCs/>
        </w:rPr>
        <w:t xml:space="preserve"> C</w:t>
      </w:r>
      <w:r w:rsidR="001428EC" w:rsidRPr="00FC68B4">
        <w:rPr>
          <w:bCs/>
        </w:rPr>
        <w:t>heck</w:t>
      </w:r>
      <w:r w:rsidRPr="00FC68B4">
        <w:rPr>
          <w:bCs/>
        </w:rPr>
        <w:t xml:space="preserve"> </w:t>
      </w:r>
      <w:r w:rsidR="00FC68B4" w:rsidRPr="00FC68B4">
        <w:rPr>
          <w:bCs/>
        </w:rPr>
        <w:t>Studies are</w:t>
      </w:r>
      <w:r w:rsidRPr="00FC68B4">
        <w:rPr>
          <w:bCs/>
        </w:rPr>
        <w:t xml:space="preserve"> provided for informational purposes only as support or confirmation of the Company’s need for rate relief.  Avista’s revenue increase request is b</w:t>
      </w:r>
      <w:r w:rsidR="002867DC" w:rsidRPr="00FC68B4">
        <w:rPr>
          <w:bCs/>
        </w:rPr>
        <w:t xml:space="preserve">ased on the Attrition </w:t>
      </w:r>
      <w:r w:rsidR="00FC68B4" w:rsidRPr="00FC68B4">
        <w:rPr>
          <w:bCs/>
        </w:rPr>
        <w:t>Studies</w:t>
      </w:r>
      <w:r w:rsidR="00AC44FC">
        <w:rPr>
          <w:bCs/>
        </w:rPr>
        <w:t>,</w:t>
      </w:r>
      <w:r w:rsidR="00FC68B4" w:rsidRPr="00FC68B4">
        <w:rPr>
          <w:bCs/>
        </w:rPr>
        <w:t xml:space="preserve"> </w:t>
      </w:r>
      <w:r w:rsidRPr="00FC68B4">
        <w:rPr>
          <w:bCs/>
        </w:rPr>
        <w:t xml:space="preserve">not the </w:t>
      </w:r>
      <w:r w:rsidR="00FC68B4" w:rsidRPr="00FC68B4">
        <w:rPr>
          <w:bCs/>
        </w:rPr>
        <w:t>P</w:t>
      </w:r>
      <w:r w:rsidRPr="00FC68B4">
        <w:rPr>
          <w:bCs/>
        </w:rPr>
        <w:t xml:space="preserve">ro </w:t>
      </w:r>
      <w:r w:rsidR="00FC68B4" w:rsidRPr="00FC68B4">
        <w:rPr>
          <w:bCs/>
        </w:rPr>
        <w:t>F</w:t>
      </w:r>
      <w:r w:rsidRPr="00FC68B4">
        <w:rPr>
          <w:bCs/>
        </w:rPr>
        <w:t xml:space="preserve">orma </w:t>
      </w:r>
      <w:r w:rsidR="00FC68B4" w:rsidRPr="00FC68B4">
        <w:rPr>
          <w:bCs/>
        </w:rPr>
        <w:t>C</w:t>
      </w:r>
      <w:r w:rsidR="001428EC" w:rsidRPr="00FC68B4">
        <w:rPr>
          <w:bCs/>
        </w:rPr>
        <w:t>ross</w:t>
      </w:r>
      <w:r w:rsidR="00FC68B4" w:rsidRPr="00FC68B4">
        <w:rPr>
          <w:bCs/>
        </w:rPr>
        <w:t xml:space="preserve"> C</w:t>
      </w:r>
      <w:r w:rsidR="001428EC" w:rsidRPr="00FC68B4">
        <w:rPr>
          <w:bCs/>
        </w:rPr>
        <w:t xml:space="preserve">heck </w:t>
      </w:r>
      <w:r w:rsidR="00FC68B4" w:rsidRPr="00FC68B4">
        <w:rPr>
          <w:bCs/>
        </w:rPr>
        <w:t>Studies</w:t>
      </w:r>
      <w:r w:rsidRPr="00FC68B4">
        <w:rPr>
          <w:bCs/>
        </w:rPr>
        <w:t>.</w:t>
      </w:r>
      <w:r>
        <w:rPr>
          <w:bCs/>
        </w:rPr>
        <w:t xml:space="preserve"> </w:t>
      </w:r>
      <w:r>
        <w:rPr>
          <w:rStyle w:val="LineNumber"/>
        </w:rPr>
        <w:t xml:space="preserve"> </w:t>
      </w:r>
    </w:p>
    <w:p w:rsidR="000867CA" w:rsidRPr="000D213D" w:rsidRDefault="00B42BA7" w:rsidP="006E0C2F">
      <w:pPr>
        <w:pStyle w:val="BodyText2"/>
        <w:tabs>
          <w:tab w:val="left" w:pos="1440"/>
        </w:tabs>
        <w:ind w:firstLine="720"/>
        <w:rPr>
          <w:b/>
          <w:bCs/>
        </w:rPr>
      </w:pPr>
      <w:r w:rsidRPr="000D213D">
        <w:rPr>
          <w:rStyle w:val="LineNumber"/>
          <w:b/>
        </w:rPr>
        <w:t>Q.</w:t>
      </w:r>
      <w:r w:rsidRPr="000D213D">
        <w:rPr>
          <w:rStyle w:val="LineNumber"/>
          <w:b/>
        </w:rPr>
        <w:tab/>
      </w:r>
      <w:r w:rsidR="002867DC">
        <w:rPr>
          <w:rStyle w:val="LineNumber"/>
          <w:b/>
        </w:rPr>
        <w:t>How are the</w:t>
      </w:r>
      <w:r w:rsidR="00085A7D" w:rsidRPr="000D213D">
        <w:rPr>
          <w:b/>
          <w:bCs/>
        </w:rPr>
        <w:t xml:space="preserve"> </w:t>
      </w:r>
      <w:r w:rsidR="00907F1F">
        <w:rPr>
          <w:b/>
          <w:bCs/>
        </w:rPr>
        <w:t xml:space="preserve">July through December 2013, </w:t>
      </w:r>
      <w:r w:rsidR="00E63C0D">
        <w:rPr>
          <w:b/>
          <w:bCs/>
        </w:rPr>
        <w:t>2014</w:t>
      </w:r>
      <w:r w:rsidR="00483292">
        <w:rPr>
          <w:b/>
          <w:bCs/>
        </w:rPr>
        <w:t>,</w:t>
      </w:r>
      <w:r w:rsidR="00E63C0D">
        <w:rPr>
          <w:b/>
          <w:bCs/>
        </w:rPr>
        <w:t xml:space="preserve"> and 2015</w:t>
      </w:r>
      <w:r w:rsidR="00085A7D" w:rsidRPr="000D213D">
        <w:rPr>
          <w:b/>
          <w:bCs/>
        </w:rPr>
        <w:t xml:space="preserve"> capital additions</w:t>
      </w:r>
      <w:r w:rsidR="002867DC">
        <w:rPr>
          <w:b/>
          <w:bCs/>
        </w:rPr>
        <w:t xml:space="preserve"> reflected in the</w:t>
      </w:r>
      <w:r w:rsidR="00B73C33">
        <w:rPr>
          <w:b/>
          <w:bCs/>
        </w:rPr>
        <w:t xml:space="preserve"> Pro F</w:t>
      </w:r>
      <w:r w:rsidR="001428EC">
        <w:rPr>
          <w:b/>
          <w:bCs/>
        </w:rPr>
        <w:t>orma</w:t>
      </w:r>
      <w:r w:rsidR="00B73C33">
        <w:rPr>
          <w:b/>
          <w:bCs/>
        </w:rPr>
        <w:t xml:space="preserve"> Cross C</w:t>
      </w:r>
      <w:r w:rsidR="002867DC">
        <w:rPr>
          <w:b/>
          <w:bCs/>
        </w:rPr>
        <w:t xml:space="preserve">heck </w:t>
      </w:r>
      <w:r w:rsidR="00B73C33">
        <w:rPr>
          <w:b/>
          <w:bCs/>
        </w:rPr>
        <w:t>Studies</w:t>
      </w:r>
      <w:r w:rsidRPr="000D213D">
        <w:rPr>
          <w:b/>
          <w:bCs/>
        </w:rPr>
        <w:t>?</w:t>
      </w:r>
    </w:p>
    <w:p w:rsidR="00CA1F54" w:rsidRDefault="002867DC" w:rsidP="00CA1F54">
      <w:pPr>
        <w:pStyle w:val="BodyText2"/>
        <w:tabs>
          <w:tab w:val="left" w:pos="1440"/>
        </w:tabs>
        <w:ind w:firstLine="720"/>
      </w:pPr>
      <w:r>
        <w:rPr>
          <w:bCs/>
        </w:rPr>
        <w:t>A.</w:t>
      </w:r>
      <w:r>
        <w:rPr>
          <w:bCs/>
        </w:rPr>
        <w:tab/>
      </w:r>
      <w:r w:rsidR="00CA1F54">
        <w:rPr>
          <w:bCs/>
        </w:rPr>
        <w:t>For</w:t>
      </w:r>
      <w:r w:rsidR="00E208E3">
        <w:rPr>
          <w:bCs/>
        </w:rPr>
        <w:t xml:space="preserve"> July through December 2013, Ms. Andrews</w:t>
      </w:r>
      <w:r w:rsidR="00CA1F54">
        <w:rPr>
          <w:bCs/>
        </w:rPr>
        <w:t xml:space="preserve"> included all six months of </w:t>
      </w:r>
      <w:r w:rsidR="00CA1F54" w:rsidRPr="00AE5652">
        <w:rPr>
          <w:bCs/>
        </w:rPr>
        <w:t>capital</w:t>
      </w:r>
      <w:r w:rsidR="00E208E3">
        <w:rPr>
          <w:rStyle w:val="FootnoteReference"/>
          <w:bCs/>
        </w:rPr>
        <w:footnoteReference w:id="2"/>
      </w:r>
      <w:r w:rsidR="00CA1F54">
        <w:rPr>
          <w:bCs/>
        </w:rPr>
        <w:t>,</w:t>
      </w:r>
      <w:r w:rsidR="00CA1F54" w:rsidRPr="00AE5652">
        <w:rPr>
          <w:bCs/>
        </w:rPr>
        <w:t xml:space="preserve"> together with the associated </w:t>
      </w:r>
      <w:r w:rsidR="00CA1F54">
        <w:rPr>
          <w:bCs/>
        </w:rPr>
        <w:t>AD and ADFIT at a December 31, 2013</w:t>
      </w:r>
      <w:r w:rsidR="00CA1F54" w:rsidRPr="00AE5652">
        <w:rPr>
          <w:bCs/>
        </w:rPr>
        <w:t xml:space="preserve"> EOP basis.  This included associated </w:t>
      </w:r>
      <w:r w:rsidR="00CA1F54">
        <w:rPr>
          <w:bCs/>
        </w:rPr>
        <w:t xml:space="preserve">depreciation </w:t>
      </w:r>
      <w:r w:rsidR="00CA1F54" w:rsidRPr="00AE5652">
        <w:rPr>
          <w:bCs/>
        </w:rPr>
        <w:t xml:space="preserve">expense for the </w:t>
      </w:r>
      <w:r w:rsidR="00CA1F54">
        <w:rPr>
          <w:bCs/>
        </w:rPr>
        <w:t>capital</w:t>
      </w:r>
      <w:r w:rsidR="00CA1F54" w:rsidRPr="00AE5652">
        <w:rPr>
          <w:bCs/>
        </w:rPr>
        <w:t xml:space="preserve"> additions.  These specific capital additions are identified later in my testimony.  In addition, the plant</w:t>
      </w:r>
      <w:r w:rsidR="00CA1F54">
        <w:rPr>
          <w:bCs/>
        </w:rPr>
        <w:t>-in-service at June 30, 2013 was adjusted to a December 31, 2013</w:t>
      </w:r>
      <w:r w:rsidR="00CA1F54" w:rsidRPr="007F5EB5">
        <w:rPr>
          <w:bCs/>
        </w:rPr>
        <w:t xml:space="preserve"> EOP basis.</w:t>
      </w:r>
      <w:r w:rsidR="00CA1F54">
        <w:rPr>
          <w:bCs/>
        </w:rPr>
        <w:t xml:space="preserve"> </w:t>
      </w:r>
      <w:r w:rsidR="00CA1F54" w:rsidRPr="007F5EB5">
        <w:t xml:space="preserve"> </w:t>
      </w:r>
    </w:p>
    <w:p w:rsidR="006F6C51" w:rsidRDefault="00E208E3" w:rsidP="00CA1F54">
      <w:pPr>
        <w:pStyle w:val="BodyText2"/>
        <w:tabs>
          <w:tab w:val="left" w:pos="1440"/>
        </w:tabs>
        <w:ind w:firstLine="720"/>
        <w:rPr>
          <w:bCs/>
        </w:rPr>
      </w:pPr>
      <w:r>
        <w:rPr>
          <w:bCs/>
        </w:rPr>
        <w:t>Ms. Andrews</w:t>
      </w:r>
      <w:r w:rsidR="00CA1F54">
        <w:rPr>
          <w:bCs/>
        </w:rPr>
        <w:t xml:space="preserve"> also reflected </w:t>
      </w:r>
      <w:r w:rsidR="00CA1F54" w:rsidRPr="00AE5652">
        <w:rPr>
          <w:bCs/>
        </w:rPr>
        <w:t>all 201</w:t>
      </w:r>
      <w:r w:rsidR="00CA1F54">
        <w:rPr>
          <w:bCs/>
        </w:rPr>
        <w:t>4</w:t>
      </w:r>
      <w:r w:rsidR="00CA1F54" w:rsidRPr="00AE5652">
        <w:rPr>
          <w:bCs/>
        </w:rPr>
        <w:t xml:space="preserve"> capital additions</w:t>
      </w:r>
      <w:r w:rsidR="00A60A24">
        <w:rPr>
          <w:rStyle w:val="FootnoteReference"/>
          <w:bCs/>
        </w:rPr>
        <w:footnoteReference w:id="3"/>
      </w:r>
      <w:r w:rsidR="00CA1F54">
        <w:rPr>
          <w:bCs/>
        </w:rPr>
        <w:t>,</w:t>
      </w:r>
      <w:r w:rsidR="00CA1F54" w:rsidRPr="00AE5652">
        <w:rPr>
          <w:bCs/>
        </w:rPr>
        <w:t xml:space="preserve"> together with the associated </w:t>
      </w:r>
      <w:r>
        <w:rPr>
          <w:bCs/>
        </w:rPr>
        <w:t>AD</w:t>
      </w:r>
      <w:r w:rsidR="00CA1F54" w:rsidRPr="00AE5652">
        <w:rPr>
          <w:bCs/>
        </w:rPr>
        <w:t xml:space="preserve"> and </w:t>
      </w:r>
      <w:r>
        <w:rPr>
          <w:bCs/>
        </w:rPr>
        <w:t>ADFIT</w:t>
      </w:r>
      <w:r w:rsidR="00CA1F54" w:rsidRPr="00AE5652">
        <w:rPr>
          <w:bCs/>
        </w:rPr>
        <w:t xml:space="preserve"> at a 201</w:t>
      </w:r>
      <w:r w:rsidR="00CA1F54">
        <w:rPr>
          <w:bCs/>
        </w:rPr>
        <w:t>4</w:t>
      </w:r>
      <w:r w:rsidR="00CA1F54" w:rsidRPr="00AE5652">
        <w:rPr>
          <w:bCs/>
        </w:rPr>
        <w:t xml:space="preserve"> EOP basis.  This included associated </w:t>
      </w:r>
      <w:r w:rsidR="00CA1F54">
        <w:rPr>
          <w:bCs/>
        </w:rPr>
        <w:t xml:space="preserve">depreciation </w:t>
      </w:r>
      <w:r w:rsidR="00CA1F54" w:rsidRPr="00AE5652">
        <w:rPr>
          <w:bCs/>
        </w:rPr>
        <w:t xml:space="preserve">expense for the </w:t>
      </w:r>
    </w:p>
    <w:p w:rsidR="00CA1F54" w:rsidRDefault="00CA1F54" w:rsidP="006F6C51">
      <w:pPr>
        <w:pStyle w:val="BodyText2"/>
        <w:tabs>
          <w:tab w:val="left" w:pos="1440"/>
        </w:tabs>
        <w:rPr>
          <w:bCs/>
        </w:rPr>
      </w:pPr>
      <w:proofErr w:type="gramStart"/>
      <w:r>
        <w:rPr>
          <w:bCs/>
        </w:rPr>
        <w:t>capital</w:t>
      </w:r>
      <w:proofErr w:type="gramEnd"/>
      <w:r w:rsidRPr="00AE5652">
        <w:rPr>
          <w:bCs/>
        </w:rPr>
        <w:t xml:space="preserve"> additions.  These specific capital additions are identified later in my testimony.  In addition, the plant</w:t>
      </w:r>
      <w:r>
        <w:rPr>
          <w:bCs/>
        </w:rPr>
        <w:t>-in-service at December 31, 2013 was adjusted to a 2014</w:t>
      </w:r>
      <w:r w:rsidRPr="007F5EB5">
        <w:rPr>
          <w:bCs/>
        </w:rPr>
        <w:t xml:space="preserve"> EOP basis.</w:t>
      </w:r>
    </w:p>
    <w:p w:rsidR="00D67A4D" w:rsidRDefault="00CA1F54" w:rsidP="00AA0064">
      <w:pPr>
        <w:pStyle w:val="BodyText2"/>
        <w:tabs>
          <w:tab w:val="left" w:pos="1440"/>
        </w:tabs>
        <w:ind w:firstLine="720"/>
      </w:pPr>
      <w:r>
        <w:t>Finally, she</w:t>
      </w:r>
      <w:r w:rsidRPr="007F5EB5">
        <w:t xml:space="preserve"> </w:t>
      </w:r>
      <w:r>
        <w:t>included all 2015</w:t>
      </w:r>
      <w:r w:rsidR="00E208E3">
        <w:t xml:space="preserve"> capital additions</w:t>
      </w:r>
      <w:r w:rsidR="00A60A24">
        <w:rPr>
          <w:rStyle w:val="FootnoteReference"/>
        </w:rPr>
        <w:footnoteReference w:id="4"/>
      </w:r>
      <w:r w:rsidR="00E208E3">
        <w:t xml:space="preserve">, </w:t>
      </w:r>
      <w:r w:rsidRPr="00AE5652">
        <w:t xml:space="preserve">together with the associated </w:t>
      </w:r>
      <w:r w:rsidR="00E208E3">
        <w:t xml:space="preserve">AD </w:t>
      </w:r>
      <w:r w:rsidRPr="00AE5652">
        <w:t xml:space="preserve">and </w:t>
      </w:r>
      <w:r w:rsidR="00E208E3">
        <w:t xml:space="preserve">ADFIT </w:t>
      </w:r>
      <w:r w:rsidRPr="00AE5652">
        <w:t>at a 201</w:t>
      </w:r>
      <w:r>
        <w:t>5</w:t>
      </w:r>
      <w:r w:rsidRPr="00AE5652">
        <w:t xml:space="preserve"> AMA basis.  This included associated </w:t>
      </w:r>
      <w:r>
        <w:t xml:space="preserve">depreciation </w:t>
      </w:r>
      <w:r w:rsidRPr="00AE5652">
        <w:t xml:space="preserve">expense for the </w:t>
      </w:r>
      <w:r>
        <w:t>capital</w:t>
      </w:r>
      <w:r w:rsidRPr="00AE5652">
        <w:t xml:space="preserve"> additions.  These specific capital additions are identified later in my </w:t>
      </w:r>
      <w:r w:rsidRPr="0022508A">
        <w:t xml:space="preserve">testimony.  In addition, the plant-in-service at </w:t>
      </w:r>
      <w:r w:rsidR="00171E75">
        <w:t>December 31, 2014 was</w:t>
      </w:r>
      <w:r w:rsidRPr="0022508A">
        <w:t xml:space="preserve"> adjusted to a 201</w:t>
      </w:r>
      <w:r>
        <w:t>5</w:t>
      </w:r>
      <w:r w:rsidRPr="0022508A">
        <w:t xml:space="preserve"> AMA basis.</w:t>
      </w:r>
      <w:r>
        <w:t xml:space="preserve"> </w:t>
      </w:r>
      <w:r w:rsidR="00483292" w:rsidRPr="001428EC">
        <w:t xml:space="preserve">Tables </w:t>
      </w:r>
      <w:r w:rsidR="00483292" w:rsidRPr="001428EC">
        <w:lastRenderedPageBreak/>
        <w:t>depictin</w:t>
      </w:r>
      <w:r w:rsidR="00B73C33">
        <w:t>g the electric and natural gas Pro F</w:t>
      </w:r>
      <w:r w:rsidR="00483292" w:rsidRPr="001428EC">
        <w:t xml:space="preserve">orma </w:t>
      </w:r>
      <w:r w:rsidR="00B73C33">
        <w:t xml:space="preserve">Cross Check Study </w:t>
      </w:r>
      <w:r w:rsidR="00483292" w:rsidRPr="001428EC">
        <w:t xml:space="preserve">adjustments for July 2013 through 2015 are shown later in my testimony at Tables 11 and 12. </w:t>
      </w:r>
    </w:p>
    <w:p w:rsidR="00B12D84" w:rsidRDefault="00B12D84" w:rsidP="00A60A24">
      <w:pPr>
        <w:pStyle w:val="BodyText2"/>
        <w:tabs>
          <w:tab w:val="left" w:pos="1440"/>
        </w:tabs>
        <w:jc w:val="center"/>
        <w:rPr>
          <w:rStyle w:val="PageNumber"/>
          <w:b/>
          <w:highlight w:val="yellow"/>
          <w:u w:val="single"/>
        </w:rPr>
      </w:pPr>
    </w:p>
    <w:p w:rsidR="00171E75" w:rsidRPr="00171E75" w:rsidRDefault="00B12D84" w:rsidP="00A60A24">
      <w:pPr>
        <w:pStyle w:val="BodyText2"/>
        <w:tabs>
          <w:tab w:val="left" w:pos="1440"/>
        </w:tabs>
        <w:jc w:val="center"/>
        <w:rPr>
          <w:b/>
        </w:rPr>
      </w:pPr>
      <w:r w:rsidRPr="00B65DF5">
        <w:rPr>
          <w:rStyle w:val="PageNumber"/>
          <w:b/>
          <w:u w:val="single"/>
        </w:rPr>
        <w:t>IV</w:t>
      </w:r>
      <w:r w:rsidR="00171E75" w:rsidRPr="00B65DF5">
        <w:rPr>
          <w:rStyle w:val="PageNumber"/>
          <w:b/>
          <w:u w:val="single"/>
        </w:rPr>
        <w:t xml:space="preserve">. CAPITAL </w:t>
      </w:r>
      <w:r w:rsidRPr="00B65DF5">
        <w:rPr>
          <w:rStyle w:val="PageNumber"/>
          <w:b/>
          <w:u w:val="single"/>
        </w:rPr>
        <w:t>BUDGET AND REVIEW</w:t>
      </w:r>
    </w:p>
    <w:p w:rsidR="002E64D4" w:rsidRPr="002E64D4" w:rsidRDefault="001F3C77" w:rsidP="00441FEA">
      <w:pPr>
        <w:pStyle w:val="BodyText2"/>
        <w:tabs>
          <w:tab w:val="left" w:pos="1440"/>
        </w:tabs>
        <w:ind w:firstLine="720"/>
        <w:rPr>
          <w:b/>
          <w:bCs/>
        </w:rPr>
      </w:pPr>
      <w:r>
        <w:rPr>
          <w:b/>
          <w:bCs/>
        </w:rPr>
        <w:t>Q.</w:t>
      </w:r>
      <w:r>
        <w:rPr>
          <w:b/>
          <w:bCs/>
        </w:rPr>
        <w:tab/>
        <w:t xml:space="preserve">Please describe the </w:t>
      </w:r>
      <w:r w:rsidR="002E64D4" w:rsidRPr="002E64D4">
        <w:rPr>
          <w:b/>
          <w:bCs/>
        </w:rPr>
        <w:t>capital budget</w:t>
      </w:r>
      <w:r>
        <w:rPr>
          <w:b/>
          <w:bCs/>
        </w:rPr>
        <w:t>ing</w:t>
      </w:r>
      <w:r w:rsidR="002E64D4" w:rsidRPr="002E64D4">
        <w:rPr>
          <w:b/>
          <w:bCs/>
        </w:rPr>
        <w:t xml:space="preserve"> process. </w:t>
      </w:r>
    </w:p>
    <w:p w:rsidR="00152FA8" w:rsidRDefault="002E64D4" w:rsidP="00E713D3">
      <w:pPr>
        <w:pStyle w:val="BodyText2"/>
        <w:tabs>
          <w:tab w:val="left" w:pos="1440"/>
        </w:tabs>
        <w:ind w:firstLine="720"/>
        <w:rPr>
          <w:bCs/>
        </w:rPr>
      </w:pPr>
      <w:r w:rsidRPr="00E713D3">
        <w:rPr>
          <w:bCs/>
        </w:rPr>
        <w:t>A.</w:t>
      </w:r>
      <w:r w:rsidRPr="00E713D3">
        <w:rPr>
          <w:bCs/>
        </w:rPr>
        <w:tab/>
        <w:t xml:space="preserve">Avista </w:t>
      </w:r>
      <w:r w:rsidR="005F5376" w:rsidRPr="00E713D3">
        <w:rPr>
          <w:bCs/>
        </w:rPr>
        <w:t xml:space="preserve">has </w:t>
      </w:r>
      <w:r w:rsidRPr="00E713D3">
        <w:rPr>
          <w:bCs/>
        </w:rPr>
        <w:t>revised the capital budgeting process</w:t>
      </w:r>
      <w:r w:rsidR="00254954" w:rsidRPr="00E713D3">
        <w:rPr>
          <w:bCs/>
        </w:rPr>
        <w:t xml:space="preserve"> over the last </w:t>
      </w:r>
      <w:r w:rsidR="00152FA8">
        <w:rPr>
          <w:bCs/>
        </w:rPr>
        <w:t>several</w:t>
      </w:r>
      <w:r w:rsidR="00254954" w:rsidRPr="00E713D3">
        <w:rPr>
          <w:bCs/>
        </w:rPr>
        <w:t xml:space="preserve"> years</w:t>
      </w:r>
      <w:r w:rsidR="00FC1840" w:rsidRPr="00E713D3">
        <w:rPr>
          <w:bCs/>
        </w:rPr>
        <w:t xml:space="preserve">. The </w:t>
      </w:r>
      <w:r w:rsidR="005F5376" w:rsidRPr="00E713D3">
        <w:rPr>
          <w:bCs/>
        </w:rPr>
        <w:t>new</w:t>
      </w:r>
      <w:r>
        <w:rPr>
          <w:bCs/>
        </w:rPr>
        <w:t xml:space="preserve"> process allows for further and more detailed review of capital projects and progress by using business cases. A business case is </w:t>
      </w:r>
      <w:r w:rsidR="00483292">
        <w:rPr>
          <w:bCs/>
        </w:rPr>
        <w:t>a summary</w:t>
      </w:r>
      <w:r>
        <w:rPr>
          <w:bCs/>
        </w:rPr>
        <w:t xml:space="preserve"> document that provides support and analysis for a project or program. </w:t>
      </w:r>
      <w:r w:rsidR="000A76A1">
        <w:rPr>
          <w:bCs/>
        </w:rPr>
        <w:t>Components</w:t>
      </w:r>
      <w:r>
        <w:rPr>
          <w:bCs/>
        </w:rPr>
        <w:t xml:space="preserve"> of a business</w:t>
      </w:r>
      <w:r w:rsidR="00254954">
        <w:rPr>
          <w:bCs/>
        </w:rPr>
        <w:t xml:space="preserve"> case include: </w:t>
      </w:r>
      <w:r w:rsidR="000A76A1">
        <w:rPr>
          <w:bCs/>
        </w:rPr>
        <w:t xml:space="preserve">the </w:t>
      </w:r>
      <w:r w:rsidR="00254954">
        <w:rPr>
          <w:bCs/>
        </w:rPr>
        <w:t>p</w:t>
      </w:r>
      <w:r>
        <w:rPr>
          <w:bCs/>
        </w:rPr>
        <w:t>roject description, project alternatives, cost summary, business risk, financial assessment, strategic assessment, justification for the project (</w:t>
      </w:r>
      <w:r w:rsidR="00254954">
        <w:rPr>
          <w:bCs/>
        </w:rPr>
        <w:t>m</w:t>
      </w:r>
      <w:r w:rsidR="00216EEA">
        <w:rPr>
          <w:bCs/>
        </w:rPr>
        <w:t>andatory</w:t>
      </w:r>
      <w:r>
        <w:rPr>
          <w:bCs/>
        </w:rPr>
        <w:t xml:space="preserve">, resource </w:t>
      </w:r>
      <w:r w:rsidR="00216EEA">
        <w:rPr>
          <w:bCs/>
        </w:rPr>
        <w:t>requirements, etc)</w:t>
      </w:r>
      <w:r>
        <w:rPr>
          <w:bCs/>
        </w:rPr>
        <w:t>,</w:t>
      </w:r>
      <w:r w:rsidR="00216EEA">
        <w:rPr>
          <w:bCs/>
        </w:rPr>
        <w:t xml:space="preserve"> milestones, key performance indicators,</w:t>
      </w:r>
      <w:r>
        <w:rPr>
          <w:bCs/>
        </w:rPr>
        <w:t xml:space="preserve"> etc. Business cases</w:t>
      </w:r>
      <w:r w:rsidR="00191C6F">
        <w:rPr>
          <w:bCs/>
        </w:rPr>
        <w:t>,</w:t>
      </w:r>
      <w:r>
        <w:rPr>
          <w:bCs/>
        </w:rPr>
        <w:t xml:space="preserve"> </w:t>
      </w:r>
      <w:r w:rsidR="0002321A">
        <w:rPr>
          <w:bCs/>
        </w:rPr>
        <w:t xml:space="preserve">along with a cover sheet </w:t>
      </w:r>
      <w:r>
        <w:rPr>
          <w:bCs/>
        </w:rPr>
        <w:t>for the projects included in this case</w:t>
      </w:r>
      <w:r w:rsidR="00191C6F">
        <w:rPr>
          <w:bCs/>
        </w:rPr>
        <w:t>,</w:t>
      </w:r>
      <w:r>
        <w:rPr>
          <w:bCs/>
        </w:rPr>
        <w:t xml:space="preserve"> have been provided as additional su</w:t>
      </w:r>
      <w:r w:rsidR="00254954">
        <w:rPr>
          <w:bCs/>
        </w:rPr>
        <w:t>p</w:t>
      </w:r>
      <w:r w:rsidR="00152FA8">
        <w:rPr>
          <w:bCs/>
        </w:rPr>
        <w:t>port in Exhibit No. __</w:t>
      </w:r>
      <w:proofErr w:type="gramStart"/>
      <w:r w:rsidR="00152FA8">
        <w:rPr>
          <w:bCs/>
        </w:rPr>
        <w:t>_(</w:t>
      </w:r>
      <w:proofErr w:type="gramEnd"/>
      <w:r w:rsidR="00152FA8">
        <w:rPr>
          <w:bCs/>
        </w:rPr>
        <w:t>DBD-5).</w:t>
      </w:r>
    </w:p>
    <w:p w:rsidR="002E64D4" w:rsidRDefault="009E261D" w:rsidP="00E713D3">
      <w:pPr>
        <w:pStyle w:val="BodyText2"/>
        <w:tabs>
          <w:tab w:val="left" w:pos="1440"/>
        </w:tabs>
        <w:ind w:firstLine="720"/>
        <w:rPr>
          <w:bCs/>
        </w:rPr>
      </w:pPr>
      <w:r>
        <w:rPr>
          <w:bCs/>
        </w:rPr>
        <w:t>The budget process starts with project sponsors submitting new and updated business cases to the Financial Planning and Analysis (</w:t>
      </w:r>
      <w:r w:rsidR="00191C6F">
        <w:rPr>
          <w:bCs/>
        </w:rPr>
        <w:t>“</w:t>
      </w:r>
      <w:r>
        <w:rPr>
          <w:bCs/>
        </w:rPr>
        <w:t>FP&amp;A</w:t>
      </w:r>
      <w:r w:rsidR="00191C6F">
        <w:rPr>
          <w:bCs/>
        </w:rPr>
        <w:t>”</w:t>
      </w:r>
      <w:r>
        <w:rPr>
          <w:bCs/>
        </w:rPr>
        <w:t xml:space="preserve">) group for the upcoming five year period. </w:t>
      </w:r>
      <w:r w:rsidR="00FC1840">
        <w:rPr>
          <w:bCs/>
        </w:rPr>
        <w:t>The business cases are reviewed</w:t>
      </w:r>
      <w:r w:rsidR="005F5376">
        <w:rPr>
          <w:bCs/>
        </w:rPr>
        <w:t xml:space="preserve"> by FP&amp;A </w:t>
      </w:r>
      <w:r w:rsidR="00FC1840">
        <w:rPr>
          <w:bCs/>
        </w:rPr>
        <w:t xml:space="preserve">and then included in the </w:t>
      </w:r>
      <w:r w:rsidR="005F5376">
        <w:rPr>
          <w:bCs/>
        </w:rPr>
        <w:t xml:space="preserve">list of </w:t>
      </w:r>
      <w:r w:rsidR="00FC1840" w:rsidRPr="00FC1840">
        <w:rPr>
          <w:bCs/>
        </w:rPr>
        <w:t>valid projects and programs to be considered for funding by the Capital Planning Group (</w:t>
      </w:r>
      <w:r w:rsidR="00191C6F">
        <w:rPr>
          <w:bCs/>
        </w:rPr>
        <w:t>“</w:t>
      </w:r>
      <w:r w:rsidR="00FC1840" w:rsidRPr="00FC1840">
        <w:rPr>
          <w:bCs/>
        </w:rPr>
        <w:t>CPG</w:t>
      </w:r>
      <w:r w:rsidR="00191C6F">
        <w:rPr>
          <w:bCs/>
        </w:rPr>
        <w:t>”</w:t>
      </w:r>
      <w:r w:rsidR="00FC1840" w:rsidRPr="00FC1840">
        <w:rPr>
          <w:bCs/>
        </w:rPr>
        <w:t xml:space="preserve">). </w:t>
      </w:r>
      <w:r w:rsidR="005F5376">
        <w:rPr>
          <w:bCs/>
        </w:rPr>
        <w:t xml:space="preserve">The CPG is </w:t>
      </w:r>
      <w:r w:rsidR="00152FA8">
        <w:rPr>
          <w:bCs/>
        </w:rPr>
        <w:t>currently a group of several</w:t>
      </w:r>
      <w:r w:rsidR="005F5376">
        <w:rPr>
          <w:bCs/>
        </w:rPr>
        <w:t xml:space="preserve"> </w:t>
      </w:r>
      <w:r w:rsidR="00272EF2">
        <w:rPr>
          <w:bCs/>
        </w:rPr>
        <w:t>Directors</w:t>
      </w:r>
      <w:r w:rsidR="005F5376">
        <w:rPr>
          <w:bCs/>
        </w:rPr>
        <w:t xml:space="preserve"> that represent all</w:t>
      </w:r>
      <w:r w:rsidR="00152FA8">
        <w:rPr>
          <w:bCs/>
        </w:rPr>
        <w:t xml:space="preserve"> capital intensive</w:t>
      </w:r>
      <w:r w:rsidR="005F5376">
        <w:rPr>
          <w:bCs/>
        </w:rPr>
        <w:t xml:space="preserve"> areas of the Company. </w:t>
      </w:r>
      <w:r w:rsidR="00FC1840" w:rsidRPr="00FC1840">
        <w:rPr>
          <w:bCs/>
        </w:rPr>
        <w:t>The CPG meets to revi</w:t>
      </w:r>
      <w:r w:rsidR="00FC1840">
        <w:rPr>
          <w:bCs/>
        </w:rPr>
        <w:t>ew the submitted Business Cases</w:t>
      </w:r>
      <w:r w:rsidR="00FC1840" w:rsidRPr="00FC1840">
        <w:rPr>
          <w:bCs/>
        </w:rPr>
        <w:t xml:space="preserve"> and </w:t>
      </w:r>
      <w:r w:rsidR="00272EF2">
        <w:rPr>
          <w:bCs/>
        </w:rPr>
        <w:t>prioritize funding to meet the capital b</w:t>
      </w:r>
      <w:r w:rsidR="00FC1840" w:rsidRPr="00FC1840">
        <w:rPr>
          <w:bCs/>
        </w:rPr>
        <w:t xml:space="preserve">udget targets set by senior management. </w:t>
      </w:r>
      <w:r w:rsidR="009E26B6">
        <w:rPr>
          <w:bCs/>
        </w:rPr>
        <w:t xml:space="preserve">After approval from senior management, </w:t>
      </w:r>
      <w:r w:rsidR="00272EF2">
        <w:rPr>
          <w:bCs/>
        </w:rPr>
        <w:t>the capital budget</w:t>
      </w:r>
      <w:r w:rsidR="005F5376">
        <w:rPr>
          <w:bCs/>
        </w:rPr>
        <w:t xml:space="preserve"> is sent to the Board of Directors to approve</w:t>
      </w:r>
      <w:r w:rsidR="009E26B6">
        <w:rPr>
          <w:bCs/>
        </w:rPr>
        <w:t xml:space="preserve"> the </w:t>
      </w:r>
      <w:r w:rsidR="00152FA8">
        <w:rPr>
          <w:bCs/>
        </w:rPr>
        <w:t xml:space="preserve">capital </w:t>
      </w:r>
      <w:r w:rsidR="009E26B6">
        <w:rPr>
          <w:bCs/>
        </w:rPr>
        <w:t xml:space="preserve">budget amount for the five year period. </w:t>
      </w:r>
      <w:r>
        <w:rPr>
          <w:bCs/>
        </w:rPr>
        <w:t>The CPG meets monthly to review the</w:t>
      </w:r>
      <w:r w:rsidR="00152FA8">
        <w:rPr>
          <w:bCs/>
        </w:rPr>
        <w:t xml:space="preserve"> status of the </w:t>
      </w:r>
      <w:r w:rsidR="00152FA8">
        <w:rPr>
          <w:bCs/>
        </w:rPr>
        <w:lastRenderedPageBreak/>
        <w:t>projects and programs written in the</w:t>
      </w:r>
      <w:r>
        <w:rPr>
          <w:bCs/>
        </w:rPr>
        <w:t xml:space="preserve"> business cases</w:t>
      </w:r>
      <w:r w:rsidR="00152FA8">
        <w:rPr>
          <w:bCs/>
        </w:rPr>
        <w:t xml:space="preserve">, </w:t>
      </w:r>
      <w:r>
        <w:rPr>
          <w:bCs/>
        </w:rPr>
        <w:t xml:space="preserve">and approve or decline new business cases as well as monitor the overall capital budget.  </w:t>
      </w:r>
    </w:p>
    <w:p w:rsidR="00CA36F6" w:rsidRPr="00145DEF" w:rsidRDefault="00CA36F6" w:rsidP="00842620">
      <w:pPr>
        <w:pStyle w:val="BodyText2"/>
        <w:tabs>
          <w:tab w:val="left" w:pos="1440"/>
        </w:tabs>
        <w:ind w:firstLine="720"/>
        <w:rPr>
          <w:b/>
        </w:rPr>
      </w:pPr>
      <w:r w:rsidRPr="00145DEF">
        <w:rPr>
          <w:b/>
        </w:rPr>
        <w:t>Q.</w:t>
      </w:r>
      <w:r w:rsidRPr="00145DEF">
        <w:rPr>
          <w:b/>
        </w:rPr>
        <w:tab/>
      </w:r>
      <w:r w:rsidR="00152FA8">
        <w:rPr>
          <w:b/>
        </w:rPr>
        <w:t>Is the Company confident</w:t>
      </w:r>
      <w:r w:rsidRPr="00CA36F6">
        <w:rPr>
          <w:b/>
        </w:rPr>
        <w:t xml:space="preserve"> that the capital additions </w:t>
      </w:r>
      <w:r w:rsidR="00C53FE8">
        <w:rPr>
          <w:b/>
        </w:rPr>
        <w:t xml:space="preserve">that </w:t>
      </w:r>
      <w:r w:rsidR="00152FA8">
        <w:rPr>
          <w:b/>
        </w:rPr>
        <w:t>are presented</w:t>
      </w:r>
      <w:r w:rsidRPr="00CA36F6">
        <w:rPr>
          <w:b/>
        </w:rPr>
        <w:t xml:space="preserve"> in t</w:t>
      </w:r>
      <w:r w:rsidR="006D781F">
        <w:rPr>
          <w:b/>
        </w:rPr>
        <w:t xml:space="preserve">his case will actually occur </w:t>
      </w:r>
      <w:r w:rsidR="00152FA8">
        <w:rPr>
          <w:b/>
        </w:rPr>
        <w:t xml:space="preserve">for the period </w:t>
      </w:r>
      <w:r w:rsidR="006D781F">
        <w:rPr>
          <w:b/>
        </w:rPr>
        <w:t>July 2013 through</w:t>
      </w:r>
      <w:r w:rsidR="000D4D51">
        <w:rPr>
          <w:b/>
        </w:rPr>
        <w:t xml:space="preserve"> December 31, </w:t>
      </w:r>
      <w:r w:rsidR="006D781F">
        <w:rPr>
          <w:b/>
        </w:rPr>
        <w:t>2015</w:t>
      </w:r>
      <w:r w:rsidRPr="00CA36F6">
        <w:rPr>
          <w:b/>
        </w:rPr>
        <w:t>?</w:t>
      </w:r>
    </w:p>
    <w:p w:rsidR="00CA36F6" w:rsidRDefault="00CA36F6" w:rsidP="00CA36F6">
      <w:pPr>
        <w:pStyle w:val="BodyText2"/>
        <w:tabs>
          <w:tab w:val="left" w:pos="1440"/>
        </w:tabs>
        <w:ind w:firstLine="720"/>
      </w:pPr>
      <w:r w:rsidRPr="00145DEF">
        <w:t>A.</w:t>
      </w:r>
      <w:r w:rsidRPr="00145DEF">
        <w:tab/>
      </w:r>
      <w:r w:rsidR="00152FA8">
        <w:t xml:space="preserve">Yes. </w:t>
      </w:r>
      <w:r w:rsidR="00272EF2">
        <w:t>T</w:t>
      </w:r>
      <w:r w:rsidRPr="00CA36F6">
        <w:t>he</w:t>
      </w:r>
      <w:r w:rsidR="006D781F">
        <w:t xml:space="preserve"> July through December</w:t>
      </w:r>
      <w:r w:rsidRPr="00CA36F6">
        <w:t xml:space="preserve"> </w:t>
      </w:r>
      <w:r w:rsidR="006D781F">
        <w:t>2013</w:t>
      </w:r>
      <w:r w:rsidRPr="00CA36F6">
        <w:t xml:space="preserve"> projects </w:t>
      </w:r>
      <w:r w:rsidR="00272EF2">
        <w:t xml:space="preserve">are completed and many of the 2014 projects </w:t>
      </w:r>
      <w:r w:rsidRPr="00CA36F6">
        <w:t>are already underway or completed either through actual cons</w:t>
      </w:r>
      <w:r w:rsidR="00152FA8">
        <w:t>truction, contracts signed, and</w:t>
      </w:r>
      <w:r w:rsidRPr="00CA36F6">
        <w:t>/or materials ordered.  In addition, the actual and planned capital expenditures fo</w:t>
      </w:r>
      <w:r w:rsidR="006D781F">
        <w:t>r the utility for the years 2006</w:t>
      </w:r>
      <w:r w:rsidRPr="00CA36F6">
        <w:t xml:space="preserve"> through 201</w:t>
      </w:r>
      <w:r w:rsidR="000D4D51">
        <w:t>3</w:t>
      </w:r>
      <w:r w:rsidRPr="00CA36F6">
        <w:t xml:space="preserve"> are shown in Table</w:t>
      </w:r>
      <w:r w:rsidR="00DA3F2A">
        <w:t xml:space="preserve"> No.</w:t>
      </w:r>
      <w:r w:rsidRPr="00CA36F6">
        <w:t xml:space="preserve"> </w:t>
      </w:r>
      <w:r w:rsidR="00140817">
        <w:t>3</w:t>
      </w:r>
      <w:r w:rsidRPr="00CA36F6">
        <w:t xml:space="preserve"> below.  The table shows that actual capital expenditures have been very close to the planned expenditures on a consistent basis.  </w:t>
      </w:r>
      <w:r w:rsidR="001F3C77">
        <w:t>In fact, the eight</w:t>
      </w:r>
      <w:r w:rsidR="00267CB8">
        <w:t xml:space="preserve"> year average </w:t>
      </w:r>
      <w:r w:rsidR="007F5EB5">
        <w:t xml:space="preserve">of </w:t>
      </w:r>
      <w:r w:rsidR="007F5EB5" w:rsidRPr="00CF7A81">
        <w:rPr>
          <w:u w:val="single"/>
        </w:rPr>
        <w:t>actual</w:t>
      </w:r>
      <w:r w:rsidR="007F5EB5" w:rsidRPr="00CF7A81">
        <w:t xml:space="preserve"> expenditures </w:t>
      </w:r>
      <w:r w:rsidR="00C24AEC" w:rsidRPr="00CF7A81">
        <w:t xml:space="preserve">is </w:t>
      </w:r>
      <w:r w:rsidR="00AC44FC">
        <w:t>100</w:t>
      </w:r>
      <w:r w:rsidR="00267CB8" w:rsidRPr="00CF7A81">
        <w:t>% of the planned</w:t>
      </w:r>
      <w:r w:rsidR="00267CB8">
        <w:t xml:space="preserve"> expenditures</w:t>
      </w:r>
      <w:r w:rsidRPr="00CA36F6">
        <w:t>.  I believe it is fair to conclude that there is a high level of confidence that the planned c</w:t>
      </w:r>
      <w:r w:rsidR="006D781F">
        <w:t>apital expenditures for July 2013 through 2015</w:t>
      </w:r>
      <w:r w:rsidR="00152FA8">
        <w:t xml:space="preserve"> will occur.</w:t>
      </w:r>
    </w:p>
    <w:p w:rsidR="00CA36F6" w:rsidRPr="00DA3F2A" w:rsidRDefault="00EC6313" w:rsidP="00DA3F2A">
      <w:pPr>
        <w:pStyle w:val="BodyText2"/>
        <w:tabs>
          <w:tab w:val="left" w:pos="1440"/>
        </w:tabs>
        <w:rPr>
          <w:b/>
          <w:u w:val="single"/>
        </w:rPr>
      </w:pPr>
      <w:r w:rsidRPr="00EC6313">
        <w:rPr>
          <w:bCs/>
          <w:noProof/>
        </w:rPr>
        <w:pict>
          <v:shape id="_x0000_s1158" type="#_x0000_t75" style="position:absolute;left:0;text-align:left;margin-left:3pt;margin-top:22.55pt;width:407.25pt;height:228pt;z-index:251763712;mso-position-horizontal-relative:text;mso-position-vertical-relative:text">
            <v:imagedata r:id="rId15" o:title=""/>
          </v:shape>
          <o:OLEObject Type="Embed" ProgID="Excel.Sheet.12" ShapeID="_x0000_s1158" DrawAspect="Content" ObjectID="_1452587202" r:id="rId16"/>
        </w:pict>
      </w:r>
      <w:r w:rsidR="00140817" w:rsidRPr="00DA3F2A">
        <w:rPr>
          <w:b/>
          <w:u w:val="single"/>
        </w:rPr>
        <w:t>Table</w:t>
      </w:r>
      <w:r w:rsidR="00DA3F2A" w:rsidRPr="00DA3F2A">
        <w:rPr>
          <w:b/>
          <w:u w:val="single"/>
        </w:rPr>
        <w:t xml:space="preserve"> No.</w:t>
      </w:r>
      <w:r w:rsidR="00140817" w:rsidRPr="00DA3F2A">
        <w:rPr>
          <w:b/>
          <w:u w:val="single"/>
        </w:rPr>
        <w:t xml:space="preserve"> 3</w:t>
      </w:r>
      <w:r w:rsidR="00881FEF" w:rsidRPr="00DA3F2A">
        <w:rPr>
          <w:b/>
          <w:u w:val="single"/>
        </w:rPr>
        <w:t>:</w:t>
      </w:r>
    </w:p>
    <w:p w:rsidR="00AC44FC" w:rsidRDefault="00AC44FC" w:rsidP="00697518">
      <w:pPr>
        <w:pStyle w:val="BodyText2"/>
        <w:tabs>
          <w:tab w:val="left" w:pos="1440"/>
        </w:tabs>
        <w:ind w:firstLine="720"/>
        <w:jc w:val="left"/>
        <w:rPr>
          <w:bCs/>
        </w:rPr>
      </w:pPr>
    </w:p>
    <w:p w:rsidR="00AC44FC" w:rsidRDefault="00AC44FC" w:rsidP="00697518">
      <w:pPr>
        <w:pStyle w:val="BodyText2"/>
        <w:tabs>
          <w:tab w:val="left" w:pos="1440"/>
        </w:tabs>
        <w:ind w:firstLine="720"/>
        <w:jc w:val="left"/>
        <w:rPr>
          <w:bCs/>
        </w:rPr>
      </w:pPr>
    </w:p>
    <w:p w:rsidR="00AC44FC" w:rsidRDefault="00AC44FC" w:rsidP="00697518">
      <w:pPr>
        <w:pStyle w:val="BodyText2"/>
        <w:tabs>
          <w:tab w:val="left" w:pos="1440"/>
        </w:tabs>
        <w:ind w:firstLine="720"/>
        <w:jc w:val="left"/>
        <w:rPr>
          <w:bCs/>
        </w:rPr>
      </w:pPr>
    </w:p>
    <w:p w:rsidR="00AC44FC" w:rsidRDefault="00AC44FC" w:rsidP="00697518">
      <w:pPr>
        <w:pStyle w:val="BodyText2"/>
        <w:tabs>
          <w:tab w:val="left" w:pos="1440"/>
        </w:tabs>
        <w:ind w:firstLine="720"/>
        <w:jc w:val="left"/>
        <w:rPr>
          <w:bCs/>
        </w:rPr>
      </w:pPr>
    </w:p>
    <w:p w:rsidR="00AC44FC" w:rsidRDefault="00AC44FC" w:rsidP="00697518">
      <w:pPr>
        <w:pStyle w:val="BodyText2"/>
        <w:tabs>
          <w:tab w:val="left" w:pos="1440"/>
        </w:tabs>
        <w:ind w:firstLine="720"/>
        <w:jc w:val="left"/>
        <w:rPr>
          <w:bCs/>
        </w:rPr>
      </w:pPr>
    </w:p>
    <w:p w:rsidR="00AC44FC" w:rsidRDefault="00AC44FC" w:rsidP="00697518">
      <w:pPr>
        <w:pStyle w:val="BodyText2"/>
        <w:tabs>
          <w:tab w:val="left" w:pos="1440"/>
        </w:tabs>
        <w:ind w:firstLine="720"/>
        <w:jc w:val="left"/>
        <w:rPr>
          <w:bCs/>
        </w:rPr>
      </w:pPr>
    </w:p>
    <w:p w:rsidR="00AC44FC" w:rsidRDefault="00AC44FC" w:rsidP="00697518">
      <w:pPr>
        <w:pStyle w:val="BodyText2"/>
        <w:tabs>
          <w:tab w:val="left" w:pos="1440"/>
        </w:tabs>
        <w:ind w:firstLine="720"/>
        <w:jc w:val="left"/>
        <w:rPr>
          <w:bCs/>
        </w:rPr>
      </w:pPr>
    </w:p>
    <w:p w:rsidR="00D904C9" w:rsidRDefault="00D904C9" w:rsidP="00697518">
      <w:pPr>
        <w:pStyle w:val="BodyText2"/>
        <w:tabs>
          <w:tab w:val="left" w:pos="1440"/>
        </w:tabs>
        <w:ind w:firstLine="720"/>
        <w:jc w:val="left"/>
        <w:rPr>
          <w:bCs/>
        </w:rPr>
      </w:pPr>
    </w:p>
    <w:p w:rsidR="008359A4" w:rsidRPr="000C61AB" w:rsidRDefault="008359A4" w:rsidP="008359A4">
      <w:pPr>
        <w:spacing w:line="480" w:lineRule="auto"/>
        <w:ind w:firstLine="720"/>
        <w:jc w:val="both"/>
        <w:rPr>
          <w:b/>
        </w:rPr>
      </w:pPr>
      <w:r w:rsidRPr="000C61AB">
        <w:rPr>
          <w:b/>
        </w:rPr>
        <w:lastRenderedPageBreak/>
        <w:t>Q.</w:t>
      </w:r>
      <w:r w:rsidRPr="000C61AB">
        <w:rPr>
          <w:b/>
        </w:rPr>
        <w:tab/>
        <w:t xml:space="preserve">What is the </w:t>
      </w:r>
      <w:r>
        <w:rPr>
          <w:b/>
        </w:rPr>
        <w:t xml:space="preserve">historical and projected </w:t>
      </w:r>
      <w:r w:rsidRPr="000C61AB">
        <w:rPr>
          <w:b/>
        </w:rPr>
        <w:t>level of annual capital spending for Avista?</w:t>
      </w:r>
    </w:p>
    <w:p w:rsidR="008359A4" w:rsidRDefault="008359A4" w:rsidP="008359A4">
      <w:pPr>
        <w:spacing w:line="480" w:lineRule="auto"/>
        <w:ind w:firstLine="720"/>
        <w:jc w:val="both"/>
      </w:pPr>
      <w:r w:rsidRPr="00312861">
        <w:t>A.</w:t>
      </w:r>
      <w:r w:rsidRPr="00312861">
        <w:rPr>
          <w:b/>
        </w:rPr>
        <w:tab/>
      </w:r>
      <w:r w:rsidRPr="00312861">
        <w:t xml:space="preserve">Avista’s annual capital requirements have </w:t>
      </w:r>
      <w:r w:rsidRPr="00665A82">
        <w:t>steadily i</w:t>
      </w:r>
      <w:r w:rsidR="005B07D1">
        <w:t>ncreased from approximately $158</w:t>
      </w:r>
      <w:r w:rsidRPr="00665A82">
        <w:t xml:space="preserve"> million in 200</w:t>
      </w:r>
      <w:r w:rsidR="005B07D1">
        <w:t>6</w:t>
      </w:r>
      <w:r w:rsidRPr="00665A82">
        <w:t xml:space="preserve"> to approximately $2</w:t>
      </w:r>
      <w:r w:rsidR="00312861" w:rsidRPr="00665A82">
        <w:t>96</w:t>
      </w:r>
      <w:r w:rsidRPr="00665A82">
        <w:t xml:space="preserve"> million in 201</w:t>
      </w:r>
      <w:r w:rsidR="00312861" w:rsidRPr="00665A82">
        <w:t>3</w:t>
      </w:r>
      <w:r w:rsidRPr="00665A82">
        <w:t xml:space="preserve">.  </w:t>
      </w:r>
      <w:r w:rsidR="00FE6F98" w:rsidRPr="00665A82">
        <w:t>Capital expenditures of approximately $</w:t>
      </w:r>
      <w:r w:rsidR="00665A82" w:rsidRPr="00665A82">
        <w:t>686</w:t>
      </w:r>
      <w:r w:rsidR="00FE6F98" w:rsidRPr="00665A82">
        <w:t xml:space="preserve"> million are planned for </w:t>
      </w:r>
      <w:r w:rsidR="00312861" w:rsidRPr="00665A82">
        <w:t>2014-2015</w:t>
      </w:r>
      <w:r w:rsidR="00FE6F98" w:rsidRPr="00665A82">
        <w:t xml:space="preserve"> for customer growth, investment in generation upgrades and transmission and distribution facilities, as well as necessary maintenance and replacements of our natural gas utility systems.  Capital expenditures of approximately $1.</w:t>
      </w:r>
      <w:r w:rsidR="00665A82" w:rsidRPr="00665A82">
        <w:t>7</w:t>
      </w:r>
      <w:r w:rsidR="00FE6F98" w:rsidRPr="00665A82">
        <w:t xml:space="preserve"> billion are</w:t>
      </w:r>
      <w:r w:rsidR="00FE6F98" w:rsidRPr="00312861">
        <w:t xml:space="preserve"> planned for the five</w:t>
      </w:r>
      <w:r w:rsidR="00382B34">
        <w:t>-</w:t>
      </w:r>
      <w:r w:rsidR="00FE6F98" w:rsidRPr="00312861">
        <w:t>year period ending December 31, 201</w:t>
      </w:r>
      <w:r w:rsidR="00312861" w:rsidRPr="00312861">
        <w:t>8</w:t>
      </w:r>
      <w:r w:rsidR="00FE6F98" w:rsidRPr="00312861">
        <w:t xml:space="preserve">.  </w:t>
      </w:r>
      <w:r w:rsidRPr="00312861">
        <w:t>Exhibit No. __</w:t>
      </w:r>
      <w:proofErr w:type="gramStart"/>
      <w:r w:rsidRPr="00312861">
        <w:t>_(</w:t>
      </w:r>
      <w:proofErr w:type="gramEnd"/>
      <w:r w:rsidRPr="00312861">
        <w:t>DBD-2) reflects this trend that Avista has experienced and what is planned for in the near future.</w:t>
      </w:r>
      <w:r>
        <w:t xml:space="preserve">  </w:t>
      </w:r>
    </w:p>
    <w:p w:rsidR="00152FA8" w:rsidRPr="00145DEF" w:rsidRDefault="00152FA8" w:rsidP="00152FA8">
      <w:pPr>
        <w:pStyle w:val="BodyText2"/>
        <w:tabs>
          <w:tab w:val="left" w:pos="1440"/>
        </w:tabs>
        <w:ind w:firstLine="720"/>
        <w:rPr>
          <w:b/>
        </w:rPr>
      </w:pPr>
      <w:r w:rsidRPr="00145DEF">
        <w:rPr>
          <w:b/>
        </w:rPr>
        <w:t>Q.</w:t>
      </w:r>
      <w:r w:rsidRPr="00145DEF">
        <w:rPr>
          <w:b/>
        </w:rPr>
        <w:tab/>
        <w:t>How does new investment in utility plant change rate base over time?</w:t>
      </w:r>
    </w:p>
    <w:p w:rsidR="001E0B1E" w:rsidRPr="00970C9A" w:rsidRDefault="001E0B1E" w:rsidP="001E0B1E">
      <w:pPr>
        <w:pStyle w:val="BodyText2"/>
        <w:tabs>
          <w:tab w:val="left" w:pos="1440"/>
        </w:tabs>
        <w:ind w:firstLine="720"/>
      </w:pPr>
      <w:r w:rsidRPr="00145DEF">
        <w:t>A.</w:t>
      </w:r>
      <w:r w:rsidRPr="00145DEF">
        <w:tab/>
        <w:t xml:space="preserve">Avista’s investment in utility plant </w:t>
      </w:r>
      <w:r>
        <w:t>continues to significantly exceed</w:t>
      </w:r>
      <w:r w:rsidRPr="00145DEF">
        <w:t xml:space="preserve"> depreciation expense.  Because of this, rate base in the rate year is significantly greater than the historical test period AMA rate base.  </w:t>
      </w:r>
      <w:r>
        <w:t xml:space="preserve">This is shown in Illustration </w:t>
      </w:r>
      <w:r w:rsidR="00DA3F2A">
        <w:t>No.</w:t>
      </w:r>
      <w:r>
        <w:t>1 below.</w:t>
      </w:r>
    </w:p>
    <w:p w:rsidR="001E0B1E" w:rsidRPr="00DA3F2A" w:rsidRDefault="00EC6313" w:rsidP="00DA3F2A">
      <w:pPr>
        <w:pStyle w:val="BodyText2"/>
        <w:tabs>
          <w:tab w:val="left" w:pos="1440"/>
        </w:tabs>
        <w:rPr>
          <w:b/>
          <w:u w:val="single"/>
        </w:rPr>
      </w:pPr>
      <w:r w:rsidRPr="00EC6313">
        <w:rPr>
          <w:noProof/>
          <w:u w:val="single"/>
        </w:rPr>
        <w:pict>
          <v:shape id="_x0000_s1142" type="#_x0000_t75" style="position:absolute;left:0;text-align:left;margin-left:5.4pt;margin-top:20.65pt;width:390pt;height:195.6pt;z-index:251739136;mso-position-horizontal-relative:text;mso-position-vertical-relative:text">
            <v:imagedata r:id="rId17" o:title=""/>
          </v:shape>
          <o:OLEObject Type="Embed" ProgID="Excel.Sheet.12" ShapeID="_x0000_s1142" DrawAspect="Content" ObjectID="_1452587203" r:id="rId18"/>
        </w:pict>
      </w:r>
      <w:r w:rsidR="001E0B1E" w:rsidRPr="00DA3F2A">
        <w:rPr>
          <w:b/>
          <w:u w:val="single"/>
        </w:rPr>
        <w:t>Illustration</w:t>
      </w:r>
      <w:r w:rsidR="00DA3F2A" w:rsidRPr="00DA3F2A">
        <w:rPr>
          <w:b/>
          <w:u w:val="single"/>
        </w:rPr>
        <w:t xml:space="preserve"> No.</w:t>
      </w:r>
      <w:r w:rsidR="001E0B1E" w:rsidRPr="00DA3F2A">
        <w:rPr>
          <w:b/>
          <w:u w:val="single"/>
        </w:rPr>
        <w:t xml:space="preserve"> 1:</w:t>
      </w:r>
    </w:p>
    <w:p w:rsidR="001E0B1E" w:rsidRDefault="001E0B1E" w:rsidP="001E0B1E">
      <w:pPr>
        <w:pStyle w:val="BodyText2"/>
        <w:tabs>
          <w:tab w:val="left" w:pos="1440"/>
        </w:tabs>
        <w:ind w:firstLine="720"/>
        <w:rPr>
          <w:b/>
        </w:rPr>
      </w:pPr>
    </w:p>
    <w:p w:rsidR="00AC44FC" w:rsidRDefault="00AC44FC" w:rsidP="001E0B1E">
      <w:pPr>
        <w:pStyle w:val="BodyText2"/>
        <w:tabs>
          <w:tab w:val="left" w:pos="1440"/>
        </w:tabs>
        <w:ind w:firstLine="720"/>
        <w:rPr>
          <w:b/>
        </w:rPr>
      </w:pPr>
    </w:p>
    <w:p w:rsidR="001E0B1E" w:rsidRDefault="001E0B1E" w:rsidP="001E0B1E">
      <w:pPr>
        <w:pStyle w:val="BodyText2"/>
        <w:tabs>
          <w:tab w:val="left" w:pos="1440"/>
        </w:tabs>
        <w:ind w:firstLine="720"/>
        <w:rPr>
          <w:b/>
        </w:rPr>
      </w:pPr>
    </w:p>
    <w:p w:rsidR="001E0B1E" w:rsidRDefault="001E0B1E" w:rsidP="001E0B1E">
      <w:pPr>
        <w:pStyle w:val="BodyText2"/>
        <w:tabs>
          <w:tab w:val="left" w:pos="1440"/>
        </w:tabs>
        <w:ind w:firstLine="720"/>
        <w:rPr>
          <w:b/>
        </w:rPr>
      </w:pPr>
    </w:p>
    <w:p w:rsidR="001E0B1E" w:rsidRDefault="001E0B1E" w:rsidP="001E0B1E">
      <w:pPr>
        <w:pStyle w:val="BodyText2"/>
        <w:tabs>
          <w:tab w:val="left" w:pos="1440"/>
        </w:tabs>
        <w:ind w:firstLine="720"/>
        <w:rPr>
          <w:b/>
        </w:rPr>
      </w:pPr>
    </w:p>
    <w:p w:rsidR="001E0B1E" w:rsidRDefault="001E0B1E" w:rsidP="001E0B1E">
      <w:pPr>
        <w:pStyle w:val="BodyText2"/>
        <w:tabs>
          <w:tab w:val="left" w:pos="1440"/>
        </w:tabs>
        <w:ind w:firstLine="720"/>
        <w:rPr>
          <w:b/>
        </w:rPr>
      </w:pPr>
    </w:p>
    <w:p w:rsidR="00AC44FC" w:rsidRDefault="00AC44FC" w:rsidP="001E0B1E">
      <w:pPr>
        <w:pStyle w:val="BodyText2"/>
        <w:tabs>
          <w:tab w:val="left" w:pos="1440"/>
        </w:tabs>
        <w:ind w:firstLine="720"/>
        <w:rPr>
          <w:sz w:val="20"/>
          <w:szCs w:val="20"/>
        </w:rPr>
      </w:pPr>
    </w:p>
    <w:p w:rsidR="001E0B1E" w:rsidRDefault="00AC44FC" w:rsidP="001E0B1E">
      <w:pPr>
        <w:pStyle w:val="BodyText2"/>
        <w:tabs>
          <w:tab w:val="left" w:pos="1440"/>
        </w:tabs>
        <w:ind w:firstLine="720"/>
        <w:rPr>
          <w:sz w:val="20"/>
          <w:szCs w:val="20"/>
        </w:rPr>
      </w:pPr>
      <w:r w:rsidRPr="00AC44FC">
        <w:rPr>
          <w:sz w:val="20"/>
          <w:szCs w:val="20"/>
        </w:rPr>
        <w:t>*Net Plant is after accumulated depreciation is removed.</w:t>
      </w:r>
    </w:p>
    <w:p w:rsidR="00441FEA" w:rsidRDefault="00441FEA" w:rsidP="00441FEA">
      <w:pPr>
        <w:pStyle w:val="BodyText2"/>
        <w:tabs>
          <w:tab w:val="left" w:pos="1440"/>
        </w:tabs>
        <w:ind w:firstLine="720"/>
        <w:rPr>
          <w:b/>
          <w:bCs/>
        </w:rPr>
      </w:pPr>
      <w:r w:rsidRPr="00904B90">
        <w:rPr>
          <w:b/>
          <w:bCs/>
        </w:rPr>
        <w:lastRenderedPageBreak/>
        <w:t>Q.</w:t>
      </w:r>
      <w:r w:rsidRPr="00904B90">
        <w:rPr>
          <w:b/>
          <w:bCs/>
        </w:rPr>
        <w:tab/>
      </w:r>
      <w:r w:rsidR="00B117A0">
        <w:rPr>
          <w:b/>
          <w:bCs/>
        </w:rPr>
        <w:t>W</w:t>
      </w:r>
      <w:r>
        <w:rPr>
          <w:b/>
          <w:bCs/>
        </w:rPr>
        <w:t>hat is driving the significant investment in new utility plant?</w:t>
      </w:r>
    </w:p>
    <w:p w:rsidR="00B9556B" w:rsidRDefault="00441FEA" w:rsidP="00B9556B">
      <w:pPr>
        <w:spacing w:line="480" w:lineRule="auto"/>
        <w:ind w:firstLine="720"/>
        <w:jc w:val="both"/>
      </w:pPr>
      <w:r w:rsidRPr="001E2D76">
        <w:t>A.</w:t>
      </w:r>
      <w:r>
        <w:tab/>
      </w:r>
      <w:r w:rsidR="00BF11D9">
        <w:t xml:space="preserve">As </w:t>
      </w:r>
      <w:r w:rsidR="005011A6">
        <w:t xml:space="preserve">Company witnesses </w:t>
      </w:r>
      <w:r w:rsidR="00382B34">
        <w:t>M</w:t>
      </w:r>
      <w:r w:rsidR="005037F7">
        <w:t>s. Rosentrater</w:t>
      </w:r>
      <w:r w:rsidR="003D429E">
        <w:t xml:space="preserve"> and Mr. </w:t>
      </w:r>
      <w:r w:rsidR="005037F7">
        <w:t>Kinney</w:t>
      </w:r>
      <w:r w:rsidR="005F2184">
        <w:t>,</w:t>
      </w:r>
      <w:r w:rsidR="003D429E">
        <w:t xml:space="preserve"> </w:t>
      </w:r>
      <w:r w:rsidR="009C6AC2">
        <w:t xml:space="preserve">in particular, </w:t>
      </w:r>
      <w:r w:rsidR="003D429E">
        <w:t>explain in their testimony</w:t>
      </w:r>
      <w:r w:rsidR="00BF11D9">
        <w:t xml:space="preserve">, </w:t>
      </w:r>
      <w:r w:rsidR="001E0B1E">
        <w:t>it is necessary</w:t>
      </w:r>
      <w:r>
        <w:t xml:space="preserve"> to add </w:t>
      </w:r>
      <w:r w:rsidR="009C6AC2">
        <w:t>or upgrade</w:t>
      </w:r>
      <w:r>
        <w:t xml:space="preserve"> </w:t>
      </w:r>
      <w:r w:rsidR="007B50AB">
        <w:t>generation</w:t>
      </w:r>
      <w:r w:rsidR="009C6AC2">
        <w:t xml:space="preserve"> facilities</w:t>
      </w:r>
      <w:r w:rsidR="00F80855">
        <w:t xml:space="preserve"> and </w:t>
      </w:r>
      <w:r w:rsidR="00FE6F98">
        <w:t xml:space="preserve">expand </w:t>
      </w:r>
      <w:r>
        <w:t>transmission and distribution facilities</w:t>
      </w:r>
      <w:r w:rsidR="001E0B1E">
        <w:t>,</w:t>
      </w:r>
      <w:r>
        <w:t xml:space="preserve"> </w:t>
      </w:r>
      <w:r w:rsidRPr="00B9556B">
        <w:t xml:space="preserve">due in part to customer growth </w:t>
      </w:r>
      <w:r w:rsidR="00F80855">
        <w:t xml:space="preserve">and </w:t>
      </w:r>
      <w:r w:rsidRPr="00B9556B">
        <w:t>reliability requirements.</w:t>
      </w:r>
      <w:r>
        <w:t xml:space="preserve">  </w:t>
      </w:r>
      <w:r w:rsidR="00B9556B">
        <w:t xml:space="preserve">Other issues driving the need for capital investment include an aging </w:t>
      </w:r>
      <w:proofErr w:type="gramStart"/>
      <w:r w:rsidR="00B9556B">
        <w:t>infra</w:t>
      </w:r>
      <w:r w:rsidR="00F80855">
        <w:t>structure,</w:t>
      </w:r>
      <w:proofErr w:type="gramEnd"/>
      <w:r w:rsidR="00B9556B">
        <w:t xml:space="preserve"> and </w:t>
      </w:r>
      <w:r w:rsidRPr="00B9556B">
        <w:t>municipal compliance issues (</w:t>
      </w:r>
      <w:r w:rsidR="005011A6">
        <w:t>e.g.</w:t>
      </w:r>
      <w:r w:rsidRPr="00B9556B">
        <w:t>, street/highway relocations), etc.</w:t>
      </w:r>
      <w:r w:rsidR="00B9556B" w:rsidRPr="00B9556B">
        <w:t xml:space="preserve"> </w:t>
      </w:r>
      <w:r w:rsidR="00B9556B">
        <w:t xml:space="preserve"> </w:t>
      </w:r>
    </w:p>
    <w:p w:rsidR="001E0B1E" w:rsidRDefault="001E0B1E" w:rsidP="001E0B1E">
      <w:pPr>
        <w:spacing w:line="480" w:lineRule="auto"/>
        <w:ind w:firstLine="720"/>
        <w:jc w:val="both"/>
      </w:pPr>
      <w:r>
        <w:t xml:space="preserve">A significant factor in the growth in net plant investment or rate base is the cost of new utility equipment and facilities today, as compared to the cost of the older facilities that are now being replaced. </w:t>
      </w:r>
    </w:p>
    <w:p w:rsidR="001E0B1E" w:rsidRPr="001E0B1E" w:rsidRDefault="001E0B1E" w:rsidP="001E0B1E">
      <w:pPr>
        <w:spacing w:line="480" w:lineRule="auto"/>
        <w:ind w:firstLine="720"/>
        <w:jc w:val="both"/>
      </w:pPr>
      <w:r>
        <w:t xml:space="preserve">Some of the facilities we are replacing or upgrading were installed 40-60 years ago or even before that time. The cost to replace this equipment and facilities today is multiple times more expensive than when they were installed decades ago. </w:t>
      </w:r>
    </w:p>
    <w:p w:rsidR="00AB084A" w:rsidRDefault="00A72F59" w:rsidP="00A72F59">
      <w:pPr>
        <w:spacing w:line="480" w:lineRule="auto"/>
        <w:ind w:firstLine="720"/>
        <w:jc w:val="both"/>
        <w:rPr>
          <w:b/>
        </w:rPr>
      </w:pPr>
      <w:r w:rsidRPr="00F540CD">
        <w:rPr>
          <w:b/>
        </w:rPr>
        <w:t>Q.</w:t>
      </w:r>
      <w:r w:rsidRPr="00F540CD">
        <w:rPr>
          <w:b/>
        </w:rPr>
        <w:tab/>
      </w:r>
      <w:r w:rsidR="00F23EE7" w:rsidRPr="00F23EE7">
        <w:rPr>
          <w:b/>
        </w:rPr>
        <w:t xml:space="preserve">What data is available that depicts the increase in the cost of utility </w:t>
      </w:r>
      <w:r w:rsidR="004C3321">
        <w:rPr>
          <w:b/>
        </w:rPr>
        <w:t>plant assets</w:t>
      </w:r>
      <w:r w:rsidR="00F23EE7" w:rsidRPr="00F23EE7">
        <w:rPr>
          <w:b/>
        </w:rPr>
        <w:t xml:space="preserve"> </w:t>
      </w:r>
      <w:r w:rsidR="00F23EE7">
        <w:rPr>
          <w:b/>
        </w:rPr>
        <w:t>that ha</w:t>
      </w:r>
      <w:r w:rsidR="004C3321">
        <w:rPr>
          <w:b/>
        </w:rPr>
        <w:t>ve</w:t>
      </w:r>
      <w:r w:rsidR="00F23EE7">
        <w:rPr>
          <w:b/>
        </w:rPr>
        <w:t xml:space="preserve"> been added in recent years</w:t>
      </w:r>
      <w:r w:rsidR="0096232B">
        <w:rPr>
          <w:b/>
        </w:rPr>
        <w:t>,</w:t>
      </w:r>
      <w:r w:rsidR="00F23EE7">
        <w:rPr>
          <w:b/>
        </w:rPr>
        <w:t xml:space="preserve"> as compared to the cost of the facilities being replaced</w:t>
      </w:r>
      <w:r w:rsidRPr="00F540CD">
        <w:rPr>
          <w:b/>
        </w:rPr>
        <w:t>?</w:t>
      </w:r>
    </w:p>
    <w:p w:rsidR="003B4072" w:rsidRDefault="00A72F59" w:rsidP="00A72F59">
      <w:pPr>
        <w:spacing w:line="480" w:lineRule="auto"/>
        <w:ind w:firstLine="720"/>
        <w:jc w:val="both"/>
      </w:pPr>
      <w:r w:rsidRPr="00D54041">
        <w:t>A.</w:t>
      </w:r>
      <w:r w:rsidRPr="00D54041">
        <w:tab/>
      </w:r>
      <w:r w:rsidR="0000035F">
        <w:t>Using the Handy-Whitman Index</w:t>
      </w:r>
      <w:r w:rsidR="004C3321">
        <w:t xml:space="preserve"> Manual</w:t>
      </w:r>
      <w:r w:rsidR="00207776">
        <w:rPr>
          <w:rStyle w:val="FootnoteReference"/>
        </w:rPr>
        <w:footnoteReference w:id="5"/>
      </w:r>
      <w:r w:rsidR="0000035F">
        <w:t>, the Company analyzed se</w:t>
      </w:r>
      <w:r w:rsidR="00207776">
        <w:t>veral major</w:t>
      </w:r>
      <w:r w:rsidR="00AC2CA8">
        <w:t xml:space="preserve"> </w:t>
      </w:r>
      <w:r w:rsidR="00207776">
        <w:t xml:space="preserve">categories of plant.  </w:t>
      </w:r>
      <w:r w:rsidR="00A47E93">
        <w:t>Exhibit No. __</w:t>
      </w:r>
      <w:proofErr w:type="gramStart"/>
      <w:r w:rsidR="00A47E93">
        <w:t>_(</w:t>
      </w:r>
      <w:proofErr w:type="gramEnd"/>
      <w:r w:rsidR="00A47E93">
        <w:t>DBD-3)</w:t>
      </w:r>
      <w:r w:rsidR="00207776">
        <w:t xml:space="preserve"> depicts the increases in costs </w:t>
      </w:r>
      <w:r w:rsidR="00C707C0">
        <w:t>of transmission substations</w:t>
      </w:r>
      <w:r w:rsidR="005F3367">
        <w:t xml:space="preserve">, transmission equipment, distribution substations, and distribution equipment </w:t>
      </w:r>
      <w:r w:rsidR="00207776">
        <w:t>that the utility industry</w:t>
      </w:r>
      <w:r w:rsidR="0000035F">
        <w:t xml:space="preserve"> </w:t>
      </w:r>
      <w:r w:rsidR="00207776">
        <w:t>has experienced over the past fifty years.</w:t>
      </w:r>
      <w:r w:rsidR="005F3367">
        <w:t xml:space="preserve">  </w:t>
      </w:r>
      <w:r w:rsidR="004C3321" w:rsidRPr="004C3321">
        <w:t xml:space="preserve">These charts </w:t>
      </w:r>
      <w:r w:rsidR="004C3321" w:rsidRPr="004C3321">
        <w:lastRenderedPageBreak/>
        <w:t>show what these categories of plant have cost historically on a relative scale.</w:t>
      </w:r>
      <w:r w:rsidR="004C3321">
        <w:t xml:space="preserve"> </w:t>
      </w:r>
      <w:r w:rsidR="004C3321" w:rsidRPr="004C3321">
        <w:t xml:space="preserve"> </w:t>
      </w:r>
      <w:proofErr w:type="gramStart"/>
      <w:r w:rsidR="004C3321" w:rsidRPr="004C3321">
        <w:t>For example, on Page 4 of Exhibit No.</w:t>
      </w:r>
      <w:proofErr w:type="gramEnd"/>
      <w:r w:rsidR="004C3321" w:rsidRPr="004C3321">
        <w:t xml:space="preserve"> __</w:t>
      </w:r>
      <w:proofErr w:type="gramStart"/>
      <w:r w:rsidR="004C3321" w:rsidRPr="004C3321">
        <w:t>_(</w:t>
      </w:r>
      <w:proofErr w:type="gramEnd"/>
      <w:r w:rsidR="004C3321" w:rsidRPr="004C3321">
        <w:t xml:space="preserve">DBD-3), </w:t>
      </w:r>
      <w:r w:rsidR="007D7A68">
        <w:t>and also shown in Illustration</w:t>
      </w:r>
      <w:r w:rsidR="00DA3F2A">
        <w:t xml:space="preserve"> No.</w:t>
      </w:r>
      <w:r w:rsidR="007D7A68">
        <w:t xml:space="preserve"> 2 below, </w:t>
      </w:r>
      <w:r w:rsidR="004C3321" w:rsidRPr="004C3321">
        <w:t xml:space="preserve">distribution poles </w:t>
      </w:r>
      <w:r w:rsidR="004C3321" w:rsidRPr="00B479AA">
        <w:t xml:space="preserve">fifty years ago would have a cost </w:t>
      </w:r>
      <w:r w:rsidR="00312861">
        <w:t>of approximately</w:t>
      </w:r>
      <w:r w:rsidR="005F2184" w:rsidRPr="00B479AA">
        <w:t xml:space="preserve"> </w:t>
      </w:r>
      <w:r w:rsidR="004C3321" w:rsidRPr="00B479AA">
        <w:t xml:space="preserve">9% of the current replacement cost.  </w:t>
      </w:r>
    </w:p>
    <w:p w:rsidR="00453497" w:rsidRPr="00DA3F2A" w:rsidRDefault="007D7A68" w:rsidP="00DA3F2A">
      <w:pPr>
        <w:spacing w:line="480" w:lineRule="auto"/>
        <w:rPr>
          <w:b/>
          <w:u w:val="single"/>
        </w:rPr>
      </w:pPr>
      <w:r w:rsidRPr="00DA3F2A">
        <w:rPr>
          <w:b/>
          <w:u w:val="single"/>
        </w:rPr>
        <w:t xml:space="preserve">Illustration </w:t>
      </w:r>
      <w:r w:rsidR="00DA3F2A" w:rsidRPr="00DA3F2A">
        <w:rPr>
          <w:b/>
          <w:u w:val="single"/>
        </w:rPr>
        <w:t xml:space="preserve">No. </w:t>
      </w:r>
      <w:r w:rsidRPr="00DA3F2A">
        <w:rPr>
          <w:b/>
          <w:u w:val="single"/>
        </w:rPr>
        <w:t>2:</w:t>
      </w:r>
      <w:r w:rsidR="00453497" w:rsidRPr="00DA3F2A">
        <w:rPr>
          <w:b/>
          <w:u w:val="single"/>
        </w:rPr>
        <w:t xml:space="preserve"> </w:t>
      </w:r>
    </w:p>
    <w:p w:rsidR="007D7A68" w:rsidRDefault="00453497" w:rsidP="00A72F59">
      <w:pPr>
        <w:spacing w:line="480" w:lineRule="auto"/>
        <w:ind w:firstLine="720"/>
        <w:jc w:val="both"/>
        <w:rPr>
          <w:b/>
        </w:rPr>
      </w:pPr>
      <w:r w:rsidRPr="00453497">
        <w:rPr>
          <w:b/>
          <w:noProof/>
        </w:rPr>
        <w:drawing>
          <wp:anchor distT="0" distB="0" distL="114300" distR="114300" simplePos="0" relativeHeight="251729920" behindDoc="0" locked="0" layoutInCell="1" allowOverlap="1">
            <wp:simplePos x="0" y="0"/>
            <wp:positionH relativeFrom="column">
              <wp:posOffset>-7620</wp:posOffset>
            </wp:positionH>
            <wp:positionV relativeFrom="paragraph">
              <wp:posOffset>40640</wp:posOffset>
            </wp:positionV>
            <wp:extent cx="5777865" cy="4410075"/>
            <wp:effectExtent l="19050" t="0" r="13335" b="0"/>
            <wp:wrapNone/>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anchor>
        </w:drawing>
      </w:r>
      <w:r w:rsidR="00CB0B21">
        <w:rPr>
          <w:b/>
        </w:rPr>
        <w:tab/>
      </w:r>
      <w:r w:rsidR="00CB0B21">
        <w:rPr>
          <w:b/>
        </w:rPr>
        <w:tab/>
      </w:r>
      <w:r w:rsidR="00CB0B21">
        <w:rPr>
          <w:b/>
        </w:rPr>
        <w:tab/>
      </w:r>
    </w:p>
    <w:p w:rsidR="00453497" w:rsidRDefault="00453497" w:rsidP="00A72F59">
      <w:pPr>
        <w:spacing w:line="480" w:lineRule="auto"/>
        <w:ind w:firstLine="720"/>
        <w:jc w:val="both"/>
        <w:rPr>
          <w:b/>
        </w:rPr>
      </w:pPr>
    </w:p>
    <w:p w:rsidR="005B3EF9" w:rsidRDefault="005B3EF9" w:rsidP="00A72F59">
      <w:pPr>
        <w:spacing w:line="480" w:lineRule="auto"/>
        <w:ind w:firstLine="720"/>
        <w:jc w:val="both"/>
        <w:rPr>
          <w:b/>
        </w:rPr>
      </w:pPr>
    </w:p>
    <w:p w:rsidR="005B3EF9" w:rsidRDefault="005B3EF9" w:rsidP="00A72F59">
      <w:pPr>
        <w:spacing w:line="480" w:lineRule="auto"/>
        <w:ind w:firstLine="720"/>
        <w:jc w:val="both"/>
        <w:rPr>
          <w:b/>
        </w:rPr>
      </w:pPr>
    </w:p>
    <w:p w:rsidR="005B3EF9" w:rsidRDefault="005B3EF9" w:rsidP="00A72F59">
      <w:pPr>
        <w:spacing w:line="480" w:lineRule="auto"/>
        <w:ind w:firstLine="720"/>
        <w:jc w:val="both"/>
        <w:rPr>
          <w:b/>
        </w:rPr>
      </w:pPr>
    </w:p>
    <w:p w:rsidR="005B3EF9" w:rsidRDefault="005B3EF9" w:rsidP="00A72F59">
      <w:pPr>
        <w:spacing w:line="480" w:lineRule="auto"/>
        <w:ind w:firstLine="720"/>
        <w:jc w:val="both"/>
        <w:rPr>
          <w:b/>
        </w:rPr>
      </w:pPr>
    </w:p>
    <w:p w:rsidR="005B3EF9" w:rsidRDefault="005B3EF9" w:rsidP="00A72F59">
      <w:pPr>
        <w:spacing w:line="480" w:lineRule="auto"/>
        <w:ind w:firstLine="720"/>
        <w:jc w:val="both"/>
        <w:rPr>
          <w:b/>
        </w:rPr>
      </w:pPr>
    </w:p>
    <w:p w:rsidR="005B3EF9" w:rsidRDefault="005B3EF9" w:rsidP="00A72F59">
      <w:pPr>
        <w:spacing w:line="480" w:lineRule="auto"/>
        <w:ind w:firstLine="720"/>
        <w:jc w:val="both"/>
        <w:rPr>
          <w:b/>
        </w:rPr>
      </w:pPr>
    </w:p>
    <w:p w:rsidR="005B3EF9" w:rsidRDefault="005B3EF9" w:rsidP="00A72F59">
      <w:pPr>
        <w:spacing w:line="480" w:lineRule="auto"/>
        <w:ind w:firstLine="720"/>
        <w:jc w:val="both"/>
        <w:rPr>
          <w:b/>
        </w:rPr>
      </w:pPr>
    </w:p>
    <w:p w:rsidR="00D904C9" w:rsidRDefault="00D904C9" w:rsidP="00A72F59">
      <w:pPr>
        <w:spacing w:line="480" w:lineRule="auto"/>
        <w:ind w:firstLine="720"/>
        <w:jc w:val="both"/>
        <w:rPr>
          <w:b/>
        </w:rPr>
      </w:pPr>
    </w:p>
    <w:p w:rsidR="00D904C9" w:rsidRDefault="00D904C9" w:rsidP="00A72F59">
      <w:pPr>
        <w:spacing w:line="480" w:lineRule="auto"/>
        <w:ind w:firstLine="720"/>
        <w:jc w:val="both"/>
        <w:rPr>
          <w:b/>
        </w:rPr>
      </w:pPr>
    </w:p>
    <w:p w:rsidR="00D904C9" w:rsidRDefault="00D904C9" w:rsidP="00A72F59">
      <w:pPr>
        <w:spacing w:line="480" w:lineRule="auto"/>
        <w:ind w:firstLine="720"/>
        <w:jc w:val="both"/>
        <w:rPr>
          <w:b/>
        </w:rPr>
      </w:pPr>
    </w:p>
    <w:p w:rsidR="00C53FE8" w:rsidRDefault="00C53FE8" w:rsidP="00970C9A">
      <w:pPr>
        <w:spacing w:line="480" w:lineRule="auto"/>
      </w:pPr>
    </w:p>
    <w:p w:rsidR="00A72F59" w:rsidRDefault="004C3321" w:rsidP="00A72F59">
      <w:pPr>
        <w:spacing w:line="480" w:lineRule="auto"/>
        <w:ind w:firstLine="720"/>
        <w:jc w:val="both"/>
      </w:pPr>
      <w:proofErr w:type="gramStart"/>
      <w:r w:rsidRPr="004C3321">
        <w:t xml:space="preserve">The charts </w:t>
      </w:r>
      <w:r w:rsidR="007D7A68">
        <w:t>on Exhibit No.</w:t>
      </w:r>
      <w:proofErr w:type="gramEnd"/>
      <w:r w:rsidR="007D7A68">
        <w:t xml:space="preserve"> __</w:t>
      </w:r>
      <w:proofErr w:type="gramStart"/>
      <w:r w:rsidR="007D7A68">
        <w:t>_(</w:t>
      </w:r>
      <w:proofErr w:type="gramEnd"/>
      <w:r w:rsidR="007D7A68">
        <w:t xml:space="preserve">DBD-3), </w:t>
      </w:r>
      <w:r w:rsidRPr="004C3321">
        <w:t>show that the cost of the same equipment and facilities that ar</w:t>
      </w:r>
      <w:r w:rsidR="0096232B">
        <w:t>e being added today are many</w:t>
      </w:r>
      <w:r w:rsidRPr="004C3321">
        <w:t xml:space="preserve"> times more expensive than those facilities installed in the past</w:t>
      </w:r>
      <w:r>
        <w:t>.</w:t>
      </w:r>
      <w:r w:rsidRPr="004C3321">
        <w:t xml:space="preserve"> </w:t>
      </w:r>
      <w:r w:rsidR="006533B0">
        <w:t xml:space="preserve"> </w:t>
      </w:r>
      <w:r w:rsidR="00C47817" w:rsidRPr="00C47817">
        <w:t xml:space="preserve">Our retail rates are "cost-based" and reflect the low cost of the old </w:t>
      </w:r>
      <w:r w:rsidR="00C47817" w:rsidRPr="00C47817">
        <w:lastRenderedPageBreak/>
        <w:t>equipment serving customers</w:t>
      </w:r>
      <w:r w:rsidR="0096232B">
        <w:t>.</w:t>
      </w:r>
      <w:r w:rsidR="00C47817" w:rsidRPr="00C47817">
        <w:t xml:space="preserve"> </w:t>
      </w:r>
      <w:r w:rsidR="0096232B">
        <w:t>W</w:t>
      </w:r>
      <w:r w:rsidR="00C47817" w:rsidRPr="00C47817">
        <w:t>hen the equipment is replaced, it requires an increase in rates to reflect the much higher cost of the new equipment</w:t>
      </w:r>
      <w:r w:rsidR="00C47817">
        <w:t>.</w:t>
      </w:r>
      <w:r w:rsidR="006533B0">
        <w:t xml:space="preserve">  </w:t>
      </w:r>
    </w:p>
    <w:p w:rsidR="00C02902" w:rsidRPr="00F540CD" w:rsidRDefault="00C02902" w:rsidP="00A72F59">
      <w:pPr>
        <w:spacing w:line="480" w:lineRule="auto"/>
        <w:ind w:firstLine="720"/>
        <w:jc w:val="both"/>
        <w:rPr>
          <w:b/>
        </w:rPr>
      </w:pPr>
      <w:r w:rsidRPr="00F540CD">
        <w:rPr>
          <w:b/>
        </w:rPr>
        <w:t>Q.</w:t>
      </w:r>
      <w:r w:rsidRPr="00F540CD">
        <w:rPr>
          <w:b/>
        </w:rPr>
        <w:tab/>
      </w:r>
      <w:r w:rsidR="00220767">
        <w:rPr>
          <w:b/>
        </w:rPr>
        <w:t>With</w:t>
      </w:r>
      <w:r w:rsidRPr="00F540CD">
        <w:rPr>
          <w:b/>
        </w:rPr>
        <w:t xml:space="preserve"> respect to Avista’s </w:t>
      </w:r>
      <w:r w:rsidR="00665A82">
        <w:rPr>
          <w:b/>
        </w:rPr>
        <w:t>July 2013 through</w:t>
      </w:r>
      <w:r w:rsidR="00C53FE8">
        <w:rPr>
          <w:b/>
        </w:rPr>
        <w:t xml:space="preserve"> </w:t>
      </w:r>
      <w:r w:rsidR="009E261D">
        <w:rPr>
          <w:b/>
        </w:rPr>
        <w:t xml:space="preserve">December </w:t>
      </w:r>
      <w:r w:rsidR="00C53FE8">
        <w:rPr>
          <w:b/>
        </w:rPr>
        <w:t>201</w:t>
      </w:r>
      <w:r w:rsidR="00665A82">
        <w:rPr>
          <w:b/>
        </w:rPr>
        <w:t>5</w:t>
      </w:r>
      <w:r w:rsidRPr="00F540CD">
        <w:rPr>
          <w:b/>
        </w:rPr>
        <w:t xml:space="preserve"> capital additions, would there be some operation and maintenance (O&amp;M) savings associated with the replacement of some of the aging equipment with new equipment?</w:t>
      </w:r>
    </w:p>
    <w:p w:rsidR="00C02902" w:rsidRPr="00F540CD" w:rsidRDefault="00C02902" w:rsidP="009B219C">
      <w:pPr>
        <w:spacing w:line="480" w:lineRule="auto"/>
        <w:ind w:firstLine="720"/>
        <w:jc w:val="both"/>
      </w:pPr>
      <w:r w:rsidRPr="00D54041">
        <w:t>A.</w:t>
      </w:r>
      <w:r w:rsidRPr="00D54041">
        <w:tab/>
        <w:t>Not when you look at the total utility as a whole</w:t>
      </w:r>
      <w:r w:rsidR="001E0B1E">
        <w:t xml:space="preserve">. </w:t>
      </w:r>
      <w:r w:rsidRPr="00D54041">
        <w:t>At some point our</w:t>
      </w:r>
      <w:r w:rsidRPr="00F540CD">
        <w:t xml:space="preserve"> facilities approach the end of their useful lives and need to be replaced before they fail.  Our general practice is to attempt to replace our aging equipment before it fails, because it is not only less costly to replace this equipment on a </w:t>
      </w:r>
      <w:r w:rsidR="001E0B1E">
        <w:t>systematic</w:t>
      </w:r>
      <w:r w:rsidRPr="00F540CD">
        <w:t xml:space="preserve">, planned basis, but it also results in more reliable service to customers, which is expected by all utility stakeholders.  If our practice were to avoid replacing utility equipment until it failed, </w:t>
      </w:r>
      <w:r>
        <w:t xml:space="preserve">the reliability of </w:t>
      </w:r>
      <w:r w:rsidRPr="00F540CD">
        <w:t xml:space="preserve">our system would </w:t>
      </w:r>
      <w:r>
        <w:t>suffer</w:t>
      </w:r>
      <w:r w:rsidRPr="00F540CD">
        <w:t>.</w:t>
      </w:r>
    </w:p>
    <w:p w:rsidR="00592FAB" w:rsidRDefault="00C02902" w:rsidP="009B219C">
      <w:pPr>
        <w:spacing w:line="480" w:lineRule="auto"/>
        <w:ind w:firstLine="720"/>
        <w:jc w:val="both"/>
      </w:pPr>
      <w:r w:rsidRPr="00F540CD">
        <w:t>Therefore, it is imperative that we continue every year to reinvest and upgrade a portion of our utility system, in addition to the investments</w:t>
      </w:r>
      <w:r w:rsidR="0096232B">
        <w:t xml:space="preserve"> needed</w:t>
      </w:r>
      <w:r w:rsidRPr="00F540CD">
        <w:t xml:space="preserve"> to meet mandatory reliability requirements, so that our system will continue to provide reliable service.  On a net basis, we will continue to experience O&amp;M costs to maintain a system that continues to age.  </w:t>
      </w:r>
    </w:p>
    <w:p w:rsidR="00C02902" w:rsidRPr="00F540CD" w:rsidRDefault="00C02902" w:rsidP="009B219C">
      <w:pPr>
        <w:spacing w:line="480" w:lineRule="auto"/>
        <w:ind w:firstLine="720"/>
        <w:jc w:val="both"/>
      </w:pPr>
      <w:r w:rsidRPr="00F540CD">
        <w:t>The reinvestment and upgrades actually</w:t>
      </w:r>
      <w:r>
        <w:t xml:space="preserve"> serve, to a large extent, to </w:t>
      </w:r>
      <w:r w:rsidRPr="00F540CD">
        <w:t xml:space="preserve">allow the Company to avoid </w:t>
      </w:r>
      <w:r w:rsidRPr="00F540CD">
        <w:rPr>
          <w:u w:val="single"/>
        </w:rPr>
        <w:t>additional</w:t>
      </w:r>
      <w:r w:rsidRPr="00F540CD">
        <w:t xml:space="preserve"> costs in the future associated with maintenance – not to </w:t>
      </w:r>
      <w:r w:rsidRPr="00F540CD">
        <w:rPr>
          <w:u w:val="single"/>
        </w:rPr>
        <w:t>reduce</w:t>
      </w:r>
      <w:r w:rsidRPr="00F540CD">
        <w:t xml:space="preserve"> the overall level of existing</w:t>
      </w:r>
      <w:r>
        <w:t xml:space="preserve"> O&amp;M</w:t>
      </w:r>
      <w:r w:rsidRPr="00F540CD">
        <w:t xml:space="preserve"> costs.</w:t>
      </w:r>
      <w:r w:rsidR="00331EC4">
        <w:t xml:space="preserve"> </w:t>
      </w:r>
    </w:p>
    <w:p w:rsidR="007C275C" w:rsidRPr="00B752E6" w:rsidRDefault="007C275C" w:rsidP="007C275C">
      <w:pPr>
        <w:spacing w:line="480" w:lineRule="auto"/>
        <w:ind w:firstLine="720"/>
        <w:jc w:val="both"/>
        <w:rPr>
          <w:b/>
        </w:rPr>
      </w:pPr>
      <w:r w:rsidRPr="00B752E6">
        <w:rPr>
          <w:b/>
        </w:rPr>
        <w:t>Q.</w:t>
      </w:r>
      <w:r w:rsidRPr="00B752E6">
        <w:rPr>
          <w:b/>
        </w:rPr>
        <w:tab/>
        <w:t>Plea</w:t>
      </w:r>
      <w:r w:rsidR="00C9403D">
        <w:rPr>
          <w:b/>
        </w:rPr>
        <w:t xml:space="preserve">se provide a </w:t>
      </w:r>
      <w:r w:rsidR="001E0B1E">
        <w:rPr>
          <w:b/>
        </w:rPr>
        <w:t>summary</w:t>
      </w:r>
      <w:r w:rsidR="00C9403D">
        <w:rPr>
          <w:b/>
        </w:rPr>
        <w:t xml:space="preserve"> of the</w:t>
      </w:r>
      <w:r w:rsidRPr="00B752E6">
        <w:rPr>
          <w:b/>
        </w:rPr>
        <w:t xml:space="preserve"> </w:t>
      </w:r>
      <w:r w:rsidR="00C9403D">
        <w:rPr>
          <w:b/>
        </w:rPr>
        <w:t>July 2013 through</w:t>
      </w:r>
      <w:r w:rsidR="00A20DDB">
        <w:rPr>
          <w:b/>
        </w:rPr>
        <w:t xml:space="preserve"> December</w:t>
      </w:r>
      <w:r w:rsidR="00C9403D">
        <w:rPr>
          <w:b/>
        </w:rPr>
        <w:t xml:space="preserve"> 2015 </w:t>
      </w:r>
      <w:r w:rsidRPr="00B752E6">
        <w:rPr>
          <w:b/>
        </w:rPr>
        <w:t>capital projects.</w:t>
      </w:r>
    </w:p>
    <w:p w:rsidR="007C275C" w:rsidRDefault="007C275C" w:rsidP="007C275C">
      <w:pPr>
        <w:spacing w:line="480" w:lineRule="auto"/>
        <w:ind w:firstLine="720"/>
        <w:jc w:val="both"/>
      </w:pPr>
      <w:r w:rsidRPr="00360EA2">
        <w:lastRenderedPageBreak/>
        <w:t>A.</w:t>
      </w:r>
      <w:r w:rsidRPr="00360EA2">
        <w:tab/>
        <w:t>Exhibit No._</w:t>
      </w:r>
      <w:proofErr w:type="gramStart"/>
      <w:r w:rsidRPr="00360EA2">
        <w:t>_(</w:t>
      </w:r>
      <w:proofErr w:type="gramEnd"/>
      <w:r w:rsidRPr="00360EA2">
        <w:t xml:space="preserve">DBD-4), details the </w:t>
      </w:r>
      <w:r w:rsidR="00B66651">
        <w:t xml:space="preserve">system-level </w:t>
      </w:r>
      <w:r w:rsidRPr="00360EA2">
        <w:t>capital projects that will be transferred to plant</w:t>
      </w:r>
      <w:r w:rsidR="00A20DDB">
        <w:t xml:space="preserve"> from July 2013 through December 2015</w:t>
      </w:r>
      <w:r>
        <w:t xml:space="preserve">.  </w:t>
      </w:r>
      <w:r w:rsidRPr="00B752E6">
        <w:t xml:space="preserve">A listing and/or description of the capital projects and their system costs that will transfer to </w:t>
      </w:r>
      <w:r w:rsidR="001A2FBB">
        <w:t>plant-in-service</w:t>
      </w:r>
      <w:r w:rsidR="00A20DDB">
        <w:t xml:space="preserve"> for this time period</w:t>
      </w:r>
      <w:r w:rsidRPr="00B752E6">
        <w:t xml:space="preserve"> follows:</w:t>
      </w:r>
    </w:p>
    <w:p w:rsidR="007C275C" w:rsidRPr="00A75BD9" w:rsidRDefault="007C275C" w:rsidP="007C275C">
      <w:pPr>
        <w:ind w:left="720"/>
        <w:jc w:val="both"/>
        <w:rPr>
          <w:b/>
          <w:u w:val="single"/>
        </w:rPr>
      </w:pPr>
      <w:r w:rsidRPr="00A75BD9">
        <w:rPr>
          <w:b/>
          <w:u w:val="single"/>
        </w:rPr>
        <w:t>Ge</w:t>
      </w:r>
      <w:r w:rsidR="009046A9">
        <w:rPr>
          <w:b/>
          <w:u w:val="single"/>
        </w:rPr>
        <w:t>neration</w:t>
      </w:r>
      <w:r w:rsidRPr="00A75BD9">
        <w:rPr>
          <w:b/>
          <w:u w:val="single"/>
        </w:rPr>
        <w:t xml:space="preserve">:  </w:t>
      </w:r>
    </w:p>
    <w:p w:rsidR="007C275C" w:rsidRDefault="007C275C" w:rsidP="008C4F03">
      <w:pPr>
        <w:ind w:left="720"/>
        <w:jc w:val="both"/>
      </w:pPr>
      <w:r w:rsidRPr="00B752E6">
        <w:rPr>
          <w:b/>
        </w:rPr>
        <w:cr/>
      </w:r>
      <w:r w:rsidRPr="00B752E6">
        <w:t xml:space="preserve">The electric generation projects that will transfer to </w:t>
      </w:r>
      <w:r w:rsidR="001A2FBB">
        <w:t>plant-in-service</w:t>
      </w:r>
      <w:r w:rsidR="00D853AA">
        <w:t xml:space="preserve"> are described in detail in Mr.</w:t>
      </w:r>
      <w:r w:rsidR="006B4249">
        <w:t xml:space="preserve"> </w:t>
      </w:r>
      <w:r w:rsidR="00665A82">
        <w:t>Kinney</w:t>
      </w:r>
      <w:r w:rsidRPr="00B752E6">
        <w:t>’s direct testimony</w:t>
      </w:r>
      <w:r w:rsidR="00D853AA">
        <w:t xml:space="preserve">, </w:t>
      </w:r>
      <w:r w:rsidR="00665A82">
        <w:t>Exhibit No._</w:t>
      </w:r>
      <w:proofErr w:type="gramStart"/>
      <w:r w:rsidR="00665A82">
        <w:t>_(</w:t>
      </w:r>
      <w:proofErr w:type="gramEnd"/>
      <w:r w:rsidR="00665A82">
        <w:t>SJK</w:t>
      </w:r>
      <w:r w:rsidR="00D853AA" w:rsidRPr="006B4249">
        <w:t>-1T)</w:t>
      </w:r>
      <w:r w:rsidRPr="006B4249">
        <w:t>.</w:t>
      </w:r>
      <w:r w:rsidRPr="00B752E6">
        <w:t xml:space="preserve">  </w:t>
      </w:r>
      <w:proofErr w:type="gramStart"/>
      <w:r w:rsidRPr="00B752E6">
        <w:t>A l</w:t>
      </w:r>
      <w:r w:rsidR="008C4F03">
        <w:t xml:space="preserve">isting of these projects </w:t>
      </w:r>
      <w:r w:rsidR="00191C6F">
        <w:t xml:space="preserve">on a system basis </w:t>
      </w:r>
      <w:r w:rsidR="008C4F03">
        <w:t>are</w:t>
      </w:r>
      <w:proofErr w:type="gramEnd"/>
      <w:r w:rsidR="008C4F03">
        <w:t xml:space="preserve"> included in Table</w:t>
      </w:r>
      <w:r w:rsidR="00DA3F2A">
        <w:t xml:space="preserve"> No.</w:t>
      </w:r>
      <w:r w:rsidR="008C4F03">
        <w:t xml:space="preserve"> 4 below.</w:t>
      </w:r>
    </w:p>
    <w:p w:rsidR="00592FAB" w:rsidRDefault="00592FAB" w:rsidP="00592FAB">
      <w:pPr>
        <w:ind w:left="720"/>
        <w:jc w:val="both"/>
        <w:rPr>
          <w:b/>
        </w:rPr>
      </w:pPr>
    </w:p>
    <w:p w:rsidR="00592FAB" w:rsidRPr="00DA3F2A" w:rsidRDefault="00592FAB" w:rsidP="00C522F8">
      <w:pPr>
        <w:ind w:firstLine="720"/>
        <w:jc w:val="both"/>
        <w:rPr>
          <w:b/>
          <w:u w:val="single"/>
        </w:rPr>
      </w:pPr>
      <w:r w:rsidRPr="00DA3F2A">
        <w:rPr>
          <w:b/>
          <w:u w:val="single"/>
        </w:rPr>
        <w:t>Table</w:t>
      </w:r>
      <w:r w:rsidR="00DA3F2A" w:rsidRPr="00DA3F2A">
        <w:rPr>
          <w:b/>
          <w:u w:val="single"/>
        </w:rPr>
        <w:t xml:space="preserve"> No.</w:t>
      </w:r>
      <w:r w:rsidRPr="00DA3F2A">
        <w:rPr>
          <w:b/>
          <w:u w:val="single"/>
        </w:rPr>
        <w:t xml:space="preserve"> 4:</w:t>
      </w:r>
    </w:p>
    <w:p w:rsidR="00970C9A" w:rsidRDefault="00970C9A" w:rsidP="007C275C">
      <w:pPr>
        <w:spacing w:line="480" w:lineRule="auto"/>
        <w:ind w:firstLine="720"/>
        <w:jc w:val="both"/>
        <w:rPr>
          <w:b/>
          <w:u w:val="single"/>
        </w:rPr>
      </w:pPr>
    </w:p>
    <w:p w:rsidR="00970C9A" w:rsidRDefault="00EC6313" w:rsidP="007C275C">
      <w:pPr>
        <w:spacing w:line="480" w:lineRule="auto"/>
        <w:ind w:firstLine="720"/>
        <w:jc w:val="both"/>
        <w:rPr>
          <w:b/>
          <w:u w:val="single"/>
        </w:rPr>
      </w:pPr>
      <w:r>
        <w:rPr>
          <w:b/>
          <w:noProof/>
          <w:u w:val="single"/>
        </w:rPr>
        <w:pict>
          <v:shape id="_x0000_s1149" type="#_x0000_t75" style="position:absolute;left:0;text-align:left;margin-left:36pt;margin-top:0;width:420.9pt;height:340.5pt;z-index:251747328;mso-position-horizontal:absolute;mso-position-horizontal-relative:text;mso-position-vertical:absolute;mso-position-vertical-relative:text">
            <v:imagedata r:id="rId20" o:title=""/>
          </v:shape>
          <o:OLEObject Type="Embed" ProgID="Excel.Sheet.12" ShapeID="_x0000_s1149" DrawAspect="Content" ObjectID="_1452587204" r:id="rId21"/>
        </w:pict>
      </w:r>
    </w:p>
    <w:p w:rsidR="00970C9A" w:rsidRDefault="00970C9A" w:rsidP="007C275C">
      <w:pPr>
        <w:spacing w:line="480" w:lineRule="auto"/>
        <w:ind w:firstLine="720"/>
        <w:jc w:val="both"/>
        <w:rPr>
          <w:b/>
          <w:u w:val="single"/>
        </w:rPr>
      </w:pPr>
    </w:p>
    <w:p w:rsidR="00970C9A" w:rsidRDefault="00970C9A" w:rsidP="007C275C">
      <w:pPr>
        <w:spacing w:line="480" w:lineRule="auto"/>
        <w:ind w:firstLine="720"/>
        <w:jc w:val="both"/>
        <w:rPr>
          <w:b/>
          <w:u w:val="single"/>
        </w:rPr>
      </w:pPr>
    </w:p>
    <w:p w:rsidR="00970C9A" w:rsidRDefault="00970C9A" w:rsidP="007C275C">
      <w:pPr>
        <w:spacing w:line="480" w:lineRule="auto"/>
        <w:ind w:firstLine="720"/>
        <w:jc w:val="both"/>
        <w:rPr>
          <w:b/>
          <w:u w:val="single"/>
        </w:rPr>
      </w:pPr>
    </w:p>
    <w:p w:rsidR="00970C9A" w:rsidRDefault="00970C9A" w:rsidP="007C275C">
      <w:pPr>
        <w:spacing w:line="480" w:lineRule="auto"/>
        <w:ind w:firstLine="720"/>
        <w:jc w:val="both"/>
        <w:rPr>
          <w:b/>
          <w:u w:val="single"/>
        </w:rPr>
      </w:pPr>
    </w:p>
    <w:p w:rsidR="00970C9A" w:rsidRDefault="00970C9A" w:rsidP="007C275C">
      <w:pPr>
        <w:spacing w:line="480" w:lineRule="auto"/>
        <w:ind w:firstLine="720"/>
        <w:jc w:val="both"/>
        <w:rPr>
          <w:b/>
          <w:u w:val="single"/>
        </w:rPr>
      </w:pPr>
    </w:p>
    <w:p w:rsidR="00970C9A" w:rsidRDefault="00970C9A" w:rsidP="007C275C">
      <w:pPr>
        <w:spacing w:line="480" w:lineRule="auto"/>
        <w:ind w:firstLine="720"/>
        <w:jc w:val="both"/>
        <w:rPr>
          <w:b/>
          <w:u w:val="single"/>
        </w:rPr>
      </w:pPr>
    </w:p>
    <w:p w:rsidR="00382B34" w:rsidRDefault="00382B34" w:rsidP="007C275C">
      <w:pPr>
        <w:spacing w:line="480" w:lineRule="auto"/>
        <w:ind w:firstLine="720"/>
        <w:jc w:val="both"/>
        <w:rPr>
          <w:b/>
          <w:u w:val="single"/>
        </w:rPr>
      </w:pPr>
    </w:p>
    <w:p w:rsidR="00382B34" w:rsidRDefault="00382B34" w:rsidP="007C275C">
      <w:pPr>
        <w:spacing w:line="480" w:lineRule="auto"/>
        <w:ind w:firstLine="720"/>
        <w:jc w:val="both"/>
        <w:rPr>
          <w:b/>
          <w:u w:val="single"/>
        </w:rPr>
      </w:pPr>
    </w:p>
    <w:p w:rsidR="00FC68B4" w:rsidRDefault="00FC68B4" w:rsidP="00592FAB">
      <w:pPr>
        <w:spacing w:line="480" w:lineRule="auto"/>
        <w:ind w:firstLine="720"/>
        <w:jc w:val="both"/>
        <w:rPr>
          <w:b/>
          <w:u w:val="single"/>
        </w:rPr>
      </w:pPr>
    </w:p>
    <w:p w:rsidR="00B36103" w:rsidRDefault="00B36103" w:rsidP="00592FAB">
      <w:pPr>
        <w:spacing w:line="480" w:lineRule="auto"/>
        <w:ind w:firstLine="720"/>
        <w:jc w:val="both"/>
        <w:rPr>
          <w:b/>
          <w:u w:val="single"/>
        </w:rPr>
      </w:pPr>
    </w:p>
    <w:p w:rsidR="00B36103" w:rsidRDefault="00B36103" w:rsidP="00592FAB">
      <w:pPr>
        <w:spacing w:line="480" w:lineRule="auto"/>
        <w:ind w:firstLine="720"/>
        <w:jc w:val="both"/>
        <w:rPr>
          <w:b/>
          <w:u w:val="single"/>
        </w:rPr>
      </w:pPr>
    </w:p>
    <w:p w:rsidR="00B36103" w:rsidRDefault="00B36103" w:rsidP="00592FAB">
      <w:pPr>
        <w:spacing w:line="480" w:lineRule="auto"/>
        <w:ind w:firstLine="720"/>
        <w:jc w:val="both"/>
        <w:rPr>
          <w:b/>
          <w:u w:val="single"/>
        </w:rPr>
      </w:pPr>
    </w:p>
    <w:p w:rsidR="007C275C" w:rsidRPr="00A07DE9" w:rsidRDefault="00FC68B4" w:rsidP="00592FAB">
      <w:pPr>
        <w:spacing w:line="480" w:lineRule="auto"/>
        <w:ind w:firstLine="720"/>
        <w:jc w:val="both"/>
        <w:rPr>
          <w:b/>
          <w:u w:val="single"/>
        </w:rPr>
      </w:pPr>
      <w:r>
        <w:rPr>
          <w:b/>
          <w:u w:val="single"/>
        </w:rPr>
        <w:br w:type="page"/>
      </w:r>
      <w:r w:rsidR="00592FAB">
        <w:rPr>
          <w:b/>
          <w:u w:val="single"/>
        </w:rPr>
        <w:lastRenderedPageBreak/>
        <w:t>E</w:t>
      </w:r>
      <w:r w:rsidR="007C275C" w:rsidRPr="00A07DE9">
        <w:rPr>
          <w:b/>
          <w:u w:val="single"/>
        </w:rPr>
        <w:t>lectric Transmission:</w:t>
      </w:r>
    </w:p>
    <w:p w:rsidR="008C4F03" w:rsidRDefault="007C275C" w:rsidP="005B3EF9">
      <w:pPr>
        <w:spacing w:after="240"/>
        <w:ind w:left="720"/>
        <w:jc w:val="both"/>
      </w:pPr>
      <w:r w:rsidRPr="00A07DE9">
        <w:t>The electric transmission</w:t>
      </w:r>
      <w:r w:rsidR="00A20DDB" w:rsidRPr="00A07DE9">
        <w:t xml:space="preserve"> </w:t>
      </w:r>
      <w:r w:rsidRPr="00A07DE9">
        <w:t xml:space="preserve">projects that will transfer to </w:t>
      </w:r>
      <w:r w:rsidR="001A2FBB" w:rsidRPr="00A07DE9">
        <w:t>plant-in-service</w:t>
      </w:r>
      <w:r w:rsidRPr="00A07DE9">
        <w:t xml:space="preserve"> are d</w:t>
      </w:r>
      <w:r w:rsidR="00665A82" w:rsidRPr="00A07DE9">
        <w:t xml:space="preserve">escribed in detail in Ms. </w:t>
      </w:r>
      <w:proofErr w:type="spellStart"/>
      <w:r w:rsidR="00665A82" w:rsidRPr="00A07DE9">
        <w:t>Rosentrater’s</w:t>
      </w:r>
      <w:proofErr w:type="spellEnd"/>
      <w:r w:rsidRPr="00A07DE9">
        <w:t xml:space="preserve"> direct testimony</w:t>
      </w:r>
      <w:r w:rsidR="00D853AA" w:rsidRPr="00A07DE9">
        <w:t>, Exh</w:t>
      </w:r>
      <w:r w:rsidR="00665A82" w:rsidRPr="00A07DE9">
        <w:t>ibit No._</w:t>
      </w:r>
      <w:proofErr w:type="gramStart"/>
      <w:r w:rsidR="00665A82" w:rsidRPr="00A07DE9">
        <w:t>_(</w:t>
      </w:r>
      <w:proofErr w:type="gramEnd"/>
      <w:r w:rsidR="00A20DDB" w:rsidRPr="00A07DE9">
        <w:t>HL</w:t>
      </w:r>
      <w:r w:rsidR="00665A82" w:rsidRPr="00A07DE9">
        <w:t>R</w:t>
      </w:r>
      <w:r w:rsidR="00D853AA" w:rsidRPr="00A07DE9">
        <w:t xml:space="preserve">-1T). </w:t>
      </w:r>
      <w:r w:rsidRPr="00A07DE9">
        <w:t>A listing of these p</w:t>
      </w:r>
      <w:r w:rsidR="008C4F03">
        <w:t xml:space="preserve">rojects and system costs are included in Table </w:t>
      </w:r>
      <w:r w:rsidR="00DA3F2A">
        <w:t xml:space="preserve">No. </w:t>
      </w:r>
      <w:r w:rsidR="008C4F03">
        <w:t>5 below.</w:t>
      </w:r>
    </w:p>
    <w:p w:rsidR="00ED1384" w:rsidRPr="008C4F03" w:rsidRDefault="008C4F03" w:rsidP="00C522F8">
      <w:pPr>
        <w:spacing w:after="240"/>
        <w:ind w:firstLine="720"/>
        <w:jc w:val="both"/>
        <w:rPr>
          <w:b/>
          <w:u w:val="single"/>
        </w:rPr>
      </w:pPr>
      <w:r w:rsidRPr="00DA3F2A">
        <w:rPr>
          <w:b/>
          <w:u w:val="single"/>
        </w:rPr>
        <w:t xml:space="preserve">Table </w:t>
      </w:r>
      <w:r w:rsidR="00DA3F2A" w:rsidRPr="00DA3F2A">
        <w:rPr>
          <w:b/>
          <w:u w:val="single"/>
        </w:rPr>
        <w:t xml:space="preserve">No. </w:t>
      </w:r>
      <w:r w:rsidRPr="00DA3F2A">
        <w:rPr>
          <w:b/>
          <w:u w:val="single"/>
        </w:rPr>
        <w:t>5</w:t>
      </w:r>
      <w:r w:rsidRPr="008C4F03">
        <w:rPr>
          <w:b/>
        </w:rPr>
        <w:t>:</w:t>
      </w:r>
    </w:p>
    <w:p w:rsidR="00ED1384" w:rsidRPr="005B3EF9" w:rsidRDefault="00EC6313" w:rsidP="005B3EF9">
      <w:pPr>
        <w:spacing w:line="480" w:lineRule="auto"/>
        <w:ind w:firstLine="720"/>
        <w:jc w:val="both"/>
        <w:rPr>
          <w:b/>
          <w:u w:val="single"/>
        </w:rPr>
      </w:pPr>
      <w:r>
        <w:rPr>
          <w:b/>
          <w:noProof/>
          <w:u w:val="single"/>
        </w:rPr>
        <w:pict>
          <v:shape id="_x0000_s1150" type="#_x0000_t75" style="position:absolute;left:0;text-align:left;margin-left:36pt;margin-top:0;width:410.4pt;height:345.55pt;z-index:251749376;mso-position-horizontal:absolute;mso-position-horizontal-relative:text;mso-position-vertical:absolute;mso-position-vertical-relative:text">
            <v:imagedata r:id="rId22" o:title=""/>
          </v:shape>
          <o:OLEObject Type="Embed" ProgID="Excel.Sheet.12" ShapeID="_x0000_s1150" DrawAspect="Content" ObjectID="_1452587205" r:id="rId23"/>
        </w:pict>
      </w:r>
    </w:p>
    <w:p w:rsidR="00ED1384" w:rsidRPr="005B3EF9" w:rsidRDefault="00ED1384" w:rsidP="005B3EF9">
      <w:pPr>
        <w:spacing w:line="480" w:lineRule="auto"/>
        <w:ind w:firstLine="720"/>
        <w:jc w:val="both"/>
        <w:rPr>
          <w:b/>
          <w:u w:val="single"/>
        </w:rPr>
      </w:pPr>
    </w:p>
    <w:p w:rsidR="00ED1384" w:rsidRPr="005B3EF9" w:rsidRDefault="00ED1384" w:rsidP="005B3EF9">
      <w:pPr>
        <w:spacing w:line="480" w:lineRule="auto"/>
        <w:ind w:firstLine="720"/>
        <w:jc w:val="both"/>
        <w:rPr>
          <w:b/>
          <w:u w:val="single"/>
        </w:rPr>
      </w:pPr>
    </w:p>
    <w:p w:rsidR="00ED1384" w:rsidRPr="005B3EF9" w:rsidRDefault="00ED1384" w:rsidP="005B3EF9">
      <w:pPr>
        <w:spacing w:line="480" w:lineRule="auto"/>
        <w:ind w:firstLine="720"/>
        <w:jc w:val="both"/>
        <w:rPr>
          <w:b/>
          <w:u w:val="single"/>
        </w:rPr>
      </w:pPr>
    </w:p>
    <w:p w:rsidR="00ED1384" w:rsidRPr="005B3EF9" w:rsidRDefault="00ED1384" w:rsidP="005B3EF9">
      <w:pPr>
        <w:spacing w:line="480" w:lineRule="auto"/>
        <w:ind w:firstLine="720"/>
        <w:jc w:val="both"/>
        <w:rPr>
          <w:b/>
          <w:u w:val="single"/>
        </w:rPr>
      </w:pPr>
    </w:p>
    <w:p w:rsidR="00970C9A" w:rsidRPr="005B3EF9" w:rsidRDefault="00970C9A" w:rsidP="005B3EF9">
      <w:pPr>
        <w:spacing w:line="480" w:lineRule="auto"/>
        <w:ind w:firstLine="720"/>
        <w:jc w:val="both"/>
        <w:rPr>
          <w:b/>
          <w:u w:val="single"/>
        </w:rPr>
      </w:pPr>
    </w:p>
    <w:p w:rsidR="00970C9A" w:rsidRPr="005B3EF9" w:rsidRDefault="00970C9A" w:rsidP="005B3EF9">
      <w:pPr>
        <w:spacing w:line="480" w:lineRule="auto"/>
        <w:ind w:firstLine="720"/>
        <w:jc w:val="both"/>
        <w:rPr>
          <w:b/>
          <w:u w:val="single"/>
        </w:rPr>
      </w:pPr>
    </w:p>
    <w:p w:rsidR="00970C9A" w:rsidRPr="005B3EF9" w:rsidRDefault="00970C9A" w:rsidP="005B3EF9">
      <w:pPr>
        <w:spacing w:line="480" w:lineRule="auto"/>
        <w:ind w:firstLine="720"/>
        <w:jc w:val="both"/>
        <w:rPr>
          <w:b/>
          <w:u w:val="single"/>
        </w:rPr>
      </w:pPr>
    </w:p>
    <w:p w:rsidR="00970C9A" w:rsidRPr="005B3EF9" w:rsidRDefault="00970C9A" w:rsidP="005B3EF9">
      <w:pPr>
        <w:spacing w:line="480" w:lineRule="auto"/>
        <w:ind w:firstLine="720"/>
        <w:jc w:val="both"/>
        <w:rPr>
          <w:b/>
          <w:u w:val="single"/>
        </w:rPr>
      </w:pPr>
    </w:p>
    <w:p w:rsidR="00970C9A" w:rsidRDefault="00970C9A" w:rsidP="005B3EF9">
      <w:pPr>
        <w:spacing w:line="480" w:lineRule="auto"/>
        <w:ind w:firstLine="720"/>
        <w:jc w:val="both"/>
        <w:rPr>
          <w:b/>
          <w:u w:val="single"/>
        </w:rPr>
      </w:pPr>
    </w:p>
    <w:p w:rsidR="005B3EF9" w:rsidRPr="005B3EF9" w:rsidRDefault="005B3EF9" w:rsidP="005B3EF9">
      <w:pPr>
        <w:spacing w:line="480" w:lineRule="auto"/>
        <w:ind w:firstLine="720"/>
        <w:jc w:val="both"/>
        <w:rPr>
          <w:b/>
          <w:u w:val="single"/>
        </w:rPr>
      </w:pPr>
    </w:p>
    <w:p w:rsidR="00A07DE9" w:rsidRPr="00A20DDB" w:rsidRDefault="00A07DE9" w:rsidP="005B3EF9">
      <w:pPr>
        <w:spacing w:line="480" w:lineRule="auto"/>
        <w:ind w:firstLine="720"/>
        <w:jc w:val="both"/>
        <w:rPr>
          <w:highlight w:val="yellow"/>
        </w:rPr>
      </w:pPr>
    </w:p>
    <w:p w:rsidR="00AF2948" w:rsidRPr="00A20DDB" w:rsidRDefault="00AF2948" w:rsidP="00B66651">
      <w:pPr>
        <w:ind w:left="1152"/>
        <w:jc w:val="both"/>
        <w:rPr>
          <w:highlight w:val="yellow"/>
        </w:rPr>
      </w:pPr>
    </w:p>
    <w:p w:rsidR="00C915A7" w:rsidRDefault="00C915A7" w:rsidP="007C275C">
      <w:pPr>
        <w:ind w:left="720"/>
        <w:jc w:val="both"/>
        <w:rPr>
          <w:b/>
          <w:u w:val="single"/>
        </w:rPr>
      </w:pPr>
    </w:p>
    <w:p w:rsidR="00C915A7" w:rsidRDefault="00C915A7" w:rsidP="007C275C">
      <w:pPr>
        <w:ind w:left="720"/>
        <w:jc w:val="both"/>
        <w:rPr>
          <w:b/>
          <w:u w:val="single"/>
        </w:rPr>
      </w:pPr>
    </w:p>
    <w:p w:rsidR="00C915A7" w:rsidRDefault="00C915A7" w:rsidP="007C275C">
      <w:pPr>
        <w:ind w:left="720"/>
        <w:jc w:val="both"/>
        <w:rPr>
          <w:b/>
          <w:u w:val="single"/>
        </w:rPr>
      </w:pPr>
    </w:p>
    <w:p w:rsidR="00C915A7" w:rsidRDefault="00C915A7" w:rsidP="007C275C">
      <w:pPr>
        <w:ind w:left="720"/>
        <w:jc w:val="both"/>
        <w:rPr>
          <w:b/>
          <w:u w:val="single"/>
        </w:rPr>
      </w:pPr>
    </w:p>
    <w:p w:rsidR="00C915A7" w:rsidRDefault="00C915A7" w:rsidP="007C275C">
      <w:pPr>
        <w:ind w:left="720"/>
        <w:jc w:val="both"/>
        <w:rPr>
          <w:b/>
          <w:u w:val="single"/>
        </w:rPr>
      </w:pPr>
    </w:p>
    <w:p w:rsidR="00C915A7" w:rsidRDefault="00C915A7" w:rsidP="007C275C">
      <w:pPr>
        <w:ind w:left="720"/>
        <w:jc w:val="both"/>
        <w:rPr>
          <w:b/>
          <w:u w:val="single"/>
        </w:rPr>
      </w:pPr>
    </w:p>
    <w:p w:rsidR="00C915A7" w:rsidRDefault="00C915A7" w:rsidP="007C275C">
      <w:pPr>
        <w:ind w:left="720"/>
        <w:jc w:val="both"/>
        <w:rPr>
          <w:b/>
          <w:u w:val="single"/>
        </w:rPr>
      </w:pPr>
    </w:p>
    <w:p w:rsidR="00C915A7" w:rsidRDefault="00C915A7" w:rsidP="007C275C">
      <w:pPr>
        <w:ind w:left="720"/>
        <w:jc w:val="both"/>
        <w:rPr>
          <w:b/>
          <w:u w:val="single"/>
        </w:rPr>
      </w:pPr>
    </w:p>
    <w:p w:rsidR="00C915A7" w:rsidRDefault="00C915A7" w:rsidP="007C275C">
      <w:pPr>
        <w:ind w:left="720"/>
        <w:jc w:val="both"/>
        <w:rPr>
          <w:b/>
          <w:u w:val="single"/>
        </w:rPr>
      </w:pPr>
    </w:p>
    <w:p w:rsidR="00C915A7" w:rsidRDefault="00C915A7" w:rsidP="007C275C">
      <w:pPr>
        <w:ind w:left="720"/>
        <w:jc w:val="both"/>
        <w:rPr>
          <w:b/>
          <w:u w:val="single"/>
        </w:rPr>
      </w:pPr>
    </w:p>
    <w:p w:rsidR="00C915A7" w:rsidRDefault="00C915A7" w:rsidP="007C275C">
      <w:pPr>
        <w:ind w:left="720"/>
        <w:jc w:val="both"/>
        <w:rPr>
          <w:b/>
          <w:u w:val="single"/>
        </w:rPr>
      </w:pPr>
    </w:p>
    <w:p w:rsidR="007C275C" w:rsidRPr="00A07DE9" w:rsidRDefault="00A20DDB" w:rsidP="007C275C">
      <w:pPr>
        <w:ind w:left="720"/>
        <w:jc w:val="both"/>
        <w:rPr>
          <w:b/>
          <w:u w:val="single"/>
        </w:rPr>
      </w:pPr>
      <w:r w:rsidRPr="00A07DE9">
        <w:rPr>
          <w:b/>
          <w:u w:val="single"/>
        </w:rPr>
        <w:lastRenderedPageBreak/>
        <w:t>Electric Distribution:</w:t>
      </w:r>
      <w:r w:rsidR="007C275C" w:rsidRPr="00A07DE9">
        <w:rPr>
          <w:b/>
          <w:u w:val="single"/>
        </w:rPr>
        <w:cr/>
      </w:r>
    </w:p>
    <w:p w:rsidR="00A20DDB" w:rsidRDefault="00A20DDB" w:rsidP="008C4F03">
      <w:pPr>
        <w:ind w:left="720"/>
        <w:jc w:val="both"/>
      </w:pPr>
      <w:r w:rsidRPr="00A07DE9">
        <w:t xml:space="preserve">The electric distribution projects that will transfer to plant-in-service are described in detail in Ms. </w:t>
      </w:r>
      <w:proofErr w:type="spellStart"/>
      <w:r w:rsidRPr="00A07DE9">
        <w:t>Rosentrater’s</w:t>
      </w:r>
      <w:proofErr w:type="spellEnd"/>
      <w:r w:rsidRPr="00A07DE9">
        <w:t xml:space="preserve"> direct testimony, Exhibit No._</w:t>
      </w:r>
      <w:proofErr w:type="gramStart"/>
      <w:r w:rsidRPr="00A07DE9">
        <w:t>_(</w:t>
      </w:r>
      <w:proofErr w:type="gramEnd"/>
      <w:r w:rsidRPr="00A07DE9">
        <w:t>HLR-1T). A listing of these p</w:t>
      </w:r>
      <w:r w:rsidR="008C4F03">
        <w:t>rojects and system costs are included in Table</w:t>
      </w:r>
      <w:r w:rsidR="00DA3F2A">
        <w:t xml:space="preserve"> No.</w:t>
      </w:r>
      <w:r w:rsidR="008C4F03">
        <w:t xml:space="preserve"> 6 below.</w:t>
      </w:r>
    </w:p>
    <w:p w:rsidR="008C4F03" w:rsidRDefault="008C4F03" w:rsidP="008C4F03">
      <w:pPr>
        <w:ind w:left="720"/>
        <w:jc w:val="both"/>
      </w:pPr>
    </w:p>
    <w:p w:rsidR="008C4F03" w:rsidRPr="00DA3F2A" w:rsidRDefault="008C4F03" w:rsidP="00C522F8">
      <w:pPr>
        <w:ind w:firstLine="720"/>
        <w:jc w:val="both"/>
        <w:rPr>
          <w:b/>
          <w:u w:val="single"/>
        </w:rPr>
      </w:pPr>
      <w:r w:rsidRPr="00DA3F2A">
        <w:rPr>
          <w:b/>
          <w:u w:val="single"/>
        </w:rPr>
        <w:t>Table</w:t>
      </w:r>
      <w:r w:rsidR="00DA3F2A" w:rsidRPr="00DA3F2A">
        <w:rPr>
          <w:b/>
          <w:u w:val="single"/>
        </w:rPr>
        <w:t xml:space="preserve"> No.</w:t>
      </w:r>
      <w:r w:rsidRPr="00DA3F2A">
        <w:rPr>
          <w:b/>
          <w:u w:val="single"/>
        </w:rPr>
        <w:t xml:space="preserve"> 6: </w:t>
      </w:r>
    </w:p>
    <w:p w:rsidR="008C4F03" w:rsidRDefault="008C4F03" w:rsidP="008C4F03">
      <w:pPr>
        <w:ind w:left="720"/>
        <w:jc w:val="both"/>
      </w:pPr>
    </w:p>
    <w:p w:rsidR="00236A74" w:rsidRPr="005B3EF9" w:rsidRDefault="00EC6313" w:rsidP="005B3EF9">
      <w:pPr>
        <w:spacing w:line="480" w:lineRule="auto"/>
        <w:ind w:firstLine="720"/>
        <w:jc w:val="both"/>
        <w:rPr>
          <w:highlight w:val="yellow"/>
        </w:rPr>
      </w:pPr>
      <w:r>
        <w:rPr>
          <w:noProof/>
        </w:rPr>
        <w:pict>
          <v:shape id="_x0000_s1159" type="#_x0000_t75" style="position:absolute;left:0;text-align:left;margin-left:36pt;margin-top:6.8pt;width:405.15pt;height:437.9pt;z-index:251765760;mso-position-horizontal-relative:text;mso-position-vertical-relative:text">
            <v:imagedata r:id="rId24" o:title=""/>
          </v:shape>
          <o:OLEObject Type="Embed" ProgID="Excel.Sheet.12" ShapeID="_x0000_s1159" DrawAspect="Content" ObjectID="_1452587206" r:id="rId25"/>
        </w:pict>
      </w:r>
    </w:p>
    <w:p w:rsidR="00ED1384" w:rsidRPr="005B3EF9" w:rsidRDefault="00ED1384" w:rsidP="005B3EF9">
      <w:pPr>
        <w:spacing w:line="480" w:lineRule="auto"/>
        <w:ind w:firstLine="720"/>
        <w:jc w:val="both"/>
        <w:rPr>
          <w:highlight w:val="yellow"/>
        </w:rPr>
      </w:pPr>
    </w:p>
    <w:p w:rsidR="00ED1384" w:rsidRPr="005B3EF9" w:rsidRDefault="00ED1384" w:rsidP="005B3EF9">
      <w:pPr>
        <w:spacing w:line="480" w:lineRule="auto"/>
        <w:ind w:firstLine="720"/>
        <w:jc w:val="both"/>
        <w:rPr>
          <w:highlight w:val="yellow"/>
        </w:rPr>
      </w:pPr>
    </w:p>
    <w:p w:rsidR="00ED1384" w:rsidRPr="005B3EF9" w:rsidRDefault="00ED1384" w:rsidP="005B3EF9">
      <w:pPr>
        <w:spacing w:line="480" w:lineRule="auto"/>
        <w:ind w:firstLine="720"/>
        <w:jc w:val="both"/>
        <w:rPr>
          <w:highlight w:val="yellow"/>
        </w:rPr>
      </w:pPr>
    </w:p>
    <w:p w:rsidR="00ED1384" w:rsidRPr="005B3EF9" w:rsidRDefault="00ED1384" w:rsidP="005B3EF9">
      <w:pPr>
        <w:spacing w:line="480" w:lineRule="auto"/>
        <w:ind w:firstLine="720"/>
        <w:jc w:val="both"/>
        <w:rPr>
          <w:highlight w:val="yellow"/>
        </w:rPr>
      </w:pPr>
    </w:p>
    <w:p w:rsidR="00ED1384" w:rsidRPr="005B3EF9" w:rsidRDefault="00ED1384" w:rsidP="005B3EF9">
      <w:pPr>
        <w:spacing w:line="480" w:lineRule="auto"/>
        <w:ind w:firstLine="720"/>
        <w:jc w:val="both"/>
        <w:rPr>
          <w:highlight w:val="yellow"/>
        </w:rPr>
      </w:pPr>
    </w:p>
    <w:p w:rsidR="00ED1384" w:rsidRPr="005B3EF9" w:rsidRDefault="00ED1384" w:rsidP="005B3EF9">
      <w:pPr>
        <w:spacing w:line="480" w:lineRule="auto"/>
        <w:ind w:firstLine="720"/>
        <w:jc w:val="both"/>
        <w:rPr>
          <w:highlight w:val="yellow"/>
        </w:rPr>
      </w:pPr>
    </w:p>
    <w:p w:rsidR="00ED1384" w:rsidRPr="005B3EF9" w:rsidRDefault="00ED1384" w:rsidP="005B3EF9">
      <w:pPr>
        <w:spacing w:line="480" w:lineRule="auto"/>
        <w:ind w:firstLine="720"/>
        <w:jc w:val="both"/>
        <w:rPr>
          <w:highlight w:val="yellow"/>
        </w:rPr>
      </w:pPr>
    </w:p>
    <w:p w:rsidR="00ED1384" w:rsidRPr="005B3EF9" w:rsidRDefault="00ED1384" w:rsidP="005B3EF9">
      <w:pPr>
        <w:spacing w:line="480" w:lineRule="auto"/>
        <w:ind w:firstLine="720"/>
        <w:jc w:val="both"/>
        <w:rPr>
          <w:highlight w:val="yellow"/>
        </w:rPr>
      </w:pPr>
    </w:p>
    <w:p w:rsidR="00ED1384" w:rsidRPr="005B3EF9" w:rsidRDefault="00ED1384" w:rsidP="005B3EF9">
      <w:pPr>
        <w:spacing w:line="480" w:lineRule="auto"/>
        <w:ind w:firstLine="720"/>
        <w:jc w:val="both"/>
        <w:rPr>
          <w:highlight w:val="yellow"/>
        </w:rPr>
      </w:pPr>
    </w:p>
    <w:p w:rsidR="00ED1384" w:rsidRPr="005B3EF9" w:rsidRDefault="00ED1384" w:rsidP="005B3EF9">
      <w:pPr>
        <w:spacing w:line="480" w:lineRule="auto"/>
        <w:ind w:firstLine="720"/>
        <w:jc w:val="both"/>
        <w:rPr>
          <w:highlight w:val="yellow"/>
        </w:rPr>
      </w:pPr>
    </w:p>
    <w:p w:rsidR="005B3EF9" w:rsidRDefault="005B3EF9" w:rsidP="007C275C">
      <w:pPr>
        <w:spacing w:line="480" w:lineRule="auto"/>
        <w:ind w:left="720"/>
        <w:jc w:val="both"/>
        <w:rPr>
          <w:b/>
          <w:u w:val="single"/>
        </w:rPr>
      </w:pPr>
    </w:p>
    <w:p w:rsidR="007D10CA" w:rsidRDefault="007D10CA" w:rsidP="007C275C">
      <w:pPr>
        <w:spacing w:line="480" w:lineRule="auto"/>
        <w:ind w:left="720"/>
        <w:jc w:val="both"/>
        <w:rPr>
          <w:b/>
          <w:u w:val="single"/>
        </w:rPr>
      </w:pPr>
    </w:p>
    <w:p w:rsidR="007D10CA" w:rsidRDefault="007D10CA" w:rsidP="007C275C">
      <w:pPr>
        <w:spacing w:line="480" w:lineRule="auto"/>
        <w:ind w:left="720"/>
        <w:jc w:val="both"/>
        <w:rPr>
          <w:b/>
          <w:u w:val="single"/>
        </w:rPr>
      </w:pPr>
    </w:p>
    <w:p w:rsidR="007D10CA" w:rsidRDefault="007D10CA" w:rsidP="007C275C">
      <w:pPr>
        <w:spacing w:line="480" w:lineRule="auto"/>
        <w:ind w:left="720"/>
        <w:jc w:val="both"/>
        <w:rPr>
          <w:b/>
          <w:u w:val="single"/>
        </w:rPr>
      </w:pPr>
    </w:p>
    <w:p w:rsidR="007D10CA" w:rsidRDefault="007D10CA" w:rsidP="007C275C">
      <w:pPr>
        <w:spacing w:line="480" w:lineRule="auto"/>
        <w:ind w:left="720"/>
        <w:jc w:val="both"/>
        <w:rPr>
          <w:b/>
          <w:u w:val="single"/>
        </w:rPr>
      </w:pPr>
    </w:p>
    <w:p w:rsidR="007D10CA" w:rsidRDefault="007D10CA" w:rsidP="007C275C">
      <w:pPr>
        <w:spacing w:line="480" w:lineRule="auto"/>
        <w:ind w:left="720"/>
        <w:jc w:val="both"/>
        <w:rPr>
          <w:b/>
          <w:u w:val="single"/>
        </w:rPr>
      </w:pPr>
    </w:p>
    <w:p w:rsidR="00C915A7" w:rsidRDefault="00C915A7" w:rsidP="007C275C">
      <w:pPr>
        <w:spacing w:line="480" w:lineRule="auto"/>
        <w:ind w:left="720"/>
        <w:jc w:val="both"/>
        <w:rPr>
          <w:b/>
          <w:u w:val="single"/>
        </w:rPr>
      </w:pPr>
    </w:p>
    <w:p w:rsidR="008C4F03" w:rsidRDefault="007C275C" w:rsidP="008C4F03">
      <w:pPr>
        <w:ind w:left="720"/>
        <w:jc w:val="both"/>
        <w:rPr>
          <w:b/>
          <w:u w:val="single"/>
        </w:rPr>
      </w:pPr>
      <w:r w:rsidRPr="00E770CD">
        <w:rPr>
          <w:b/>
          <w:u w:val="single"/>
        </w:rPr>
        <w:lastRenderedPageBreak/>
        <w:t>General</w:t>
      </w:r>
      <w:r w:rsidR="00207B96" w:rsidRPr="00E770CD">
        <w:rPr>
          <w:b/>
          <w:u w:val="single"/>
        </w:rPr>
        <w:t>:</w:t>
      </w:r>
    </w:p>
    <w:p w:rsidR="008C4F03" w:rsidRDefault="008C4F03" w:rsidP="008C4F03">
      <w:pPr>
        <w:ind w:left="720"/>
        <w:jc w:val="both"/>
        <w:rPr>
          <w:b/>
          <w:u w:val="single"/>
        </w:rPr>
      </w:pPr>
    </w:p>
    <w:p w:rsidR="008C4F03" w:rsidRDefault="008C4F03" w:rsidP="008C4F03">
      <w:pPr>
        <w:ind w:left="720"/>
        <w:jc w:val="both"/>
      </w:pPr>
      <w:r w:rsidRPr="008C4F03">
        <w:t xml:space="preserve">The detailed </w:t>
      </w:r>
      <w:proofErr w:type="gramStart"/>
      <w:r w:rsidRPr="008C4F03">
        <w:t>listing</w:t>
      </w:r>
      <w:proofErr w:type="gramEnd"/>
      <w:r w:rsidRPr="008C4F03">
        <w:t xml:space="preserve"> of the </w:t>
      </w:r>
      <w:r>
        <w:t>general plant</w:t>
      </w:r>
      <w:r w:rsidRPr="008C4F03">
        <w:t xml:space="preserve"> projects</w:t>
      </w:r>
      <w:r w:rsidR="00191C6F">
        <w:t xml:space="preserve"> and system costs</w:t>
      </w:r>
      <w:r w:rsidRPr="008C4F03">
        <w:t xml:space="preserve"> that will transfer t</w:t>
      </w:r>
      <w:r>
        <w:t>o plant-in-servic</w:t>
      </w:r>
      <w:r w:rsidR="00191C6F">
        <w:t xml:space="preserve">e </w:t>
      </w:r>
      <w:r w:rsidR="00887DF1">
        <w:t xml:space="preserve">are included in Table </w:t>
      </w:r>
      <w:r w:rsidR="00DA3F2A">
        <w:t xml:space="preserve">No. </w:t>
      </w:r>
      <w:r w:rsidR="00887DF1">
        <w:t>7 below</w:t>
      </w:r>
      <w:r w:rsidR="004E7B3D">
        <w:t>, with narrative summaries following the table</w:t>
      </w:r>
      <w:r w:rsidR="00887DF1">
        <w:t xml:space="preserve">. </w:t>
      </w:r>
    </w:p>
    <w:p w:rsidR="008C4F03" w:rsidRDefault="008C4F03" w:rsidP="008C4F03">
      <w:pPr>
        <w:ind w:left="720"/>
        <w:jc w:val="both"/>
        <w:rPr>
          <w:b/>
          <w:u w:val="single"/>
        </w:rPr>
      </w:pPr>
    </w:p>
    <w:p w:rsidR="008C4F03" w:rsidRPr="00DA3F2A" w:rsidRDefault="008C4F03" w:rsidP="007C275C">
      <w:pPr>
        <w:spacing w:line="480" w:lineRule="auto"/>
        <w:ind w:left="720"/>
        <w:jc w:val="both"/>
        <w:rPr>
          <w:b/>
          <w:u w:val="single"/>
        </w:rPr>
      </w:pPr>
      <w:r w:rsidRPr="00DA3F2A">
        <w:rPr>
          <w:b/>
          <w:u w:val="single"/>
        </w:rPr>
        <w:t xml:space="preserve">Table </w:t>
      </w:r>
      <w:r w:rsidR="00DA3F2A" w:rsidRPr="00DA3F2A">
        <w:rPr>
          <w:b/>
          <w:u w:val="single"/>
        </w:rPr>
        <w:t xml:space="preserve">No. </w:t>
      </w:r>
      <w:r w:rsidRPr="00DA3F2A">
        <w:rPr>
          <w:b/>
          <w:u w:val="single"/>
        </w:rPr>
        <w:t>7:</w:t>
      </w:r>
    </w:p>
    <w:p w:rsidR="00ED1384" w:rsidRDefault="00EC6313" w:rsidP="007C275C">
      <w:pPr>
        <w:spacing w:line="480" w:lineRule="auto"/>
        <w:ind w:left="720"/>
        <w:jc w:val="both"/>
        <w:rPr>
          <w:u w:val="single"/>
        </w:rPr>
      </w:pPr>
      <w:r>
        <w:rPr>
          <w:noProof/>
          <w:u w:val="single"/>
        </w:rPr>
        <w:pict>
          <v:shape id="_x0000_s1152" type="#_x0000_t75" style="position:absolute;left:0;text-align:left;margin-left:36pt;margin-top:0;width:405.9pt;height:231pt;z-index:251753472;mso-position-horizontal:absolute;mso-position-horizontal-relative:text;mso-position-vertical:absolute;mso-position-vertical-relative:text">
            <v:imagedata r:id="rId26" o:title=""/>
          </v:shape>
          <o:OLEObject Type="Embed" ProgID="Excel.Sheet.12" ShapeID="_x0000_s1152" DrawAspect="Content" ObjectID="_1452587207" r:id="rId27"/>
        </w:pict>
      </w:r>
    </w:p>
    <w:p w:rsidR="00BF22E4" w:rsidRDefault="00BF22E4" w:rsidP="007C275C">
      <w:pPr>
        <w:spacing w:line="480" w:lineRule="auto"/>
        <w:ind w:left="720"/>
        <w:jc w:val="both"/>
        <w:rPr>
          <w:highlight w:val="yellow"/>
          <w:u w:val="single"/>
        </w:rPr>
      </w:pPr>
    </w:p>
    <w:p w:rsidR="00BF22E4" w:rsidRDefault="00BF22E4" w:rsidP="007C275C">
      <w:pPr>
        <w:spacing w:line="480" w:lineRule="auto"/>
        <w:ind w:left="720"/>
        <w:jc w:val="both"/>
        <w:rPr>
          <w:highlight w:val="yellow"/>
          <w:u w:val="single"/>
        </w:rPr>
      </w:pPr>
    </w:p>
    <w:p w:rsidR="00BF22E4" w:rsidRDefault="00BF22E4" w:rsidP="007C275C">
      <w:pPr>
        <w:spacing w:line="480" w:lineRule="auto"/>
        <w:ind w:left="720"/>
        <w:jc w:val="both"/>
        <w:rPr>
          <w:highlight w:val="yellow"/>
          <w:u w:val="single"/>
        </w:rPr>
      </w:pPr>
    </w:p>
    <w:p w:rsidR="00E765E7" w:rsidRDefault="00E765E7" w:rsidP="00207B96">
      <w:pPr>
        <w:adjustRightInd w:val="0"/>
        <w:ind w:left="720"/>
        <w:jc w:val="both"/>
        <w:rPr>
          <w:b/>
        </w:rPr>
      </w:pPr>
    </w:p>
    <w:p w:rsidR="00E765E7" w:rsidRDefault="00E765E7" w:rsidP="00207B96">
      <w:pPr>
        <w:adjustRightInd w:val="0"/>
        <w:ind w:left="720"/>
        <w:jc w:val="both"/>
        <w:rPr>
          <w:b/>
        </w:rPr>
      </w:pPr>
    </w:p>
    <w:p w:rsidR="00E765E7" w:rsidRDefault="00E765E7" w:rsidP="00207B96">
      <w:pPr>
        <w:adjustRightInd w:val="0"/>
        <w:ind w:left="720"/>
        <w:jc w:val="both"/>
        <w:rPr>
          <w:b/>
        </w:rPr>
      </w:pPr>
    </w:p>
    <w:p w:rsidR="00046A38" w:rsidRDefault="00046A38" w:rsidP="00207B96">
      <w:pPr>
        <w:adjustRightInd w:val="0"/>
        <w:ind w:left="720"/>
        <w:jc w:val="both"/>
        <w:rPr>
          <w:b/>
        </w:rPr>
      </w:pPr>
    </w:p>
    <w:p w:rsidR="00E765E7" w:rsidRDefault="00E765E7" w:rsidP="00207B96">
      <w:pPr>
        <w:adjustRightInd w:val="0"/>
        <w:ind w:left="720"/>
        <w:jc w:val="both"/>
        <w:rPr>
          <w:b/>
        </w:rPr>
      </w:pPr>
    </w:p>
    <w:p w:rsidR="00E765E7" w:rsidRDefault="00E765E7" w:rsidP="00207B96">
      <w:pPr>
        <w:adjustRightInd w:val="0"/>
        <w:ind w:left="720"/>
        <w:jc w:val="both"/>
        <w:rPr>
          <w:b/>
        </w:rPr>
      </w:pPr>
    </w:p>
    <w:p w:rsidR="00E765E7" w:rsidRDefault="00E765E7" w:rsidP="00207B96">
      <w:pPr>
        <w:adjustRightInd w:val="0"/>
        <w:ind w:left="720"/>
        <w:jc w:val="both"/>
        <w:rPr>
          <w:b/>
        </w:rPr>
      </w:pPr>
    </w:p>
    <w:p w:rsidR="00E765E7" w:rsidRDefault="00E765E7" w:rsidP="00207B96">
      <w:pPr>
        <w:adjustRightInd w:val="0"/>
        <w:ind w:left="720"/>
        <w:jc w:val="both"/>
        <w:rPr>
          <w:b/>
        </w:rPr>
      </w:pPr>
    </w:p>
    <w:p w:rsidR="00E765E7" w:rsidRDefault="00E765E7" w:rsidP="00207B96">
      <w:pPr>
        <w:adjustRightInd w:val="0"/>
        <w:ind w:left="720"/>
        <w:jc w:val="both"/>
        <w:rPr>
          <w:b/>
        </w:rPr>
      </w:pPr>
    </w:p>
    <w:p w:rsidR="00207B96" w:rsidRPr="00207B96" w:rsidRDefault="00501D81" w:rsidP="00207B96">
      <w:pPr>
        <w:adjustRightInd w:val="0"/>
        <w:ind w:left="720"/>
        <w:jc w:val="both"/>
        <w:rPr>
          <w:b/>
        </w:rPr>
      </w:pPr>
      <w:r w:rsidRPr="00501D81">
        <w:rPr>
          <w:b/>
        </w:rPr>
        <w:t>Capital Tools &amp; Stores Equipment</w:t>
      </w:r>
      <w:r w:rsidR="00207B96" w:rsidRPr="00501D81">
        <w:rPr>
          <w:b/>
        </w:rPr>
        <w:t xml:space="preserve"> - </w:t>
      </w:r>
      <w:r w:rsidRPr="00501D81">
        <w:rPr>
          <w:b/>
        </w:rPr>
        <w:t>2013: $404,000; 2014: $1,937,000; 2015: $2,348,000</w:t>
      </w:r>
    </w:p>
    <w:p w:rsidR="00207B96" w:rsidRPr="00207B96" w:rsidRDefault="00207B96" w:rsidP="00207B96">
      <w:pPr>
        <w:ind w:left="720"/>
        <w:jc w:val="both"/>
      </w:pPr>
      <w:r w:rsidRPr="00207B96">
        <w:t xml:space="preserve">Equipment utilized in warehouses throughout the service territory.  This includes equipment such as forklifts, </w:t>
      </w:r>
      <w:proofErr w:type="spellStart"/>
      <w:r w:rsidRPr="00207B96">
        <w:t>manlifts</w:t>
      </w:r>
      <w:proofErr w:type="spellEnd"/>
      <w:r w:rsidRPr="00207B96">
        <w:t>, shelving, cutting/binding machines, etc.</w:t>
      </w:r>
      <w:r w:rsidRPr="00207B96">
        <w:rPr>
          <w:b/>
        </w:rPr>
        <w:t xml:space="preserve"> </w:t>
      </w:r>
      <w:r w:rsidRPr="00207B96">
        <w:t>Expenditures in this category also include large tools and instruments used throughout the Company for gas and/or electric construction and maintenance work, distribution, transmission, or generation operations, telecommunications, and some fleet equipment (hoists, winch, etc) not permanently attached to the vehicle.</w:t>
      </w:r>
    </w:p>
    <w:p w:rsidR="00207B96" w:rsidRDefault="00207B96" w:rsidP="00207B96">
      <w:pPr>
        <w:adjustRightInd w:val="0"/>
        <w:ind w:left="720"/>
        <w:jc w:val="both"/>
        <w:rPr>
          <w:highlight w:val="yellow"/>
        </w:rPr>
      </w:pPr>
    </w:p>
    <w:p w:rsidR="00501D81" w:rsidRPr="00207B96" w:rsidRDefault="004E7B3D" w:rsidP="00501D81">
      <w:pPr>
        <w:adjustRightInd w:val="0"/>
        <w:ind w:left="720"/>
        <w:jc w:val="both"/>
        <w:rPr>
          <w:b/>
        </w:rPr>
      </w:pPr>
      <w:r>
        <w:rPr>
          <w:b/>
        </w:rPr>
        <w:t>Central Office Facility (</w:t>
      </w:r>
      <w:r w:rsidR="00207B96" w:rsidRPr="00501D81">
        <w:rPr>
          <w:b/>
        </w:rPr>
        <w:t>COF</w:t>
      </w:r>
      <w:r>
        <w:rPr>
          <w:b/>
        </w:rPr>
        <w:t>)</w:t>
      </w:r>
      <w:r w:rsidR="00207B96" w:rsidRPr="00501D81">
        <w:rPr>
          <w:b/>
        </w:rPr>
        <w:t xml:space="preserve"> Long Ter</w:t>
      </w:r>
      <w:r w:rsidR="00501D81">
        <w:rPr>
          <w:b/>
        </w:rPr>
        <w:t>m Campus Res</w:t>
      </w:r>
      <w:r w:rsidR="00501D81" w:rsidRPr="00501D81">
        <w:rPr>
          <w:b/>
        </w:rPr>
        <w:t>tructuring Plan</w:t>
      </w:r>
      <w:r w:rsidR="00501D81">
        <w:rPr>
          <w:b/>
        </w:rPr>
        <w:t xml:space="preserve"> </w:t>
      </w:r>
      <w:r w:rsidR="00501D81" w:rsidRPr="00501D81">
        <w:rPr>
          <w:b/>
        </w:rPr>
        <w:t>- 2013: $</w:t>
      </w:r>
      <w:r w:rsidR="00501D81">
        <w:rPr>
          <w:b/>
        </w:rPr>
        <w:t>8,461</w:t>
      </w:r>
      <w:r w:rsidR="00501D81" w:rsidRPr="00501D81">
        <w:rPr>
          <w:b/>
        </w:rPr>
        <w:t>,000; 2014: $</w:t>
      </w:r>
      <w:r w:rsidR="00501D81">
        <w:rPr>
          <w:b/>
        </w:rPr>
        <w:t>2,000</w:t>
      </w:r>
      <w:r w:rsidR="00501D81" w:rsidRPr="00501D81">
        <w:rPr>
          <w:b/>
        </w:rPr>
        <w:t>,000; 2015: $</w:t>
      </w:r>
      <w:r w:rsidR="00501D81">
        <w:rPr>
          <w:b/>
        </w:rPr>
        <w:t>1,500</w:t>
      </w:r>
      <w:r w:rsidR="00501D81" w:rsidRPr="00501D81">
        <w:rPr>
          <w:b/>
        </w:rPr>
        <w:t>,000</w:t>
      </w:r>
    </w:p>
    <w:p w:rsidR="00207B96" w:rsidRPr="00207B96" w:rsidRDefault="00207B96" w:rsidP="006A18BE">
      <w:pPr>
        <w:widowControl w:val="0"/>
        <w:tabs>
          <w:tab w:val="left" w:pos="90"/>
        </w:tabs>
        <w:adjustRightInd w:val="0"/>
        <w:spacing w:before="212"/>
        <w:ind w:left="720"/>
        <w:jc w:val="both"/>
      </w:pPr>
      <w:r w:rsidRPr="00207B96">
        <w:t xml:space="preserve">The </w:t>
      </w:r>
      <w:r w:rsidR="004E7B3D">
        <w:t>central office facility</w:t>
      </w:r>
      <w:r w:rsidR="00EC2A70">
        <w:t xml:space="preserve"> (COF)</w:t>
      </w:r>
      <w:r w:rsidR="004E7B3D">
        <w:t xml:space="preserve"> </w:t>
      </w:r>
      <w:r w:rsidRPr="00207B96">
        <w:t>campus restructuring plan is a 2-year, 3 phase plan to address parking and office space needs.  Avista employees are forced to park on residential streets which sometimes disturbs our neighbors.  Moreover, Avista does not meet the current city requirements for handicap and carpool parking spaces.  The campus restructuring will create 109 additional parking spaces for employees inside of the Avista property.  Avista is currently leasing office space for 75 employees that cannot fit into the current facility l</w:t>
      </w:r>
      <w:r w:rsidR="004E7B3D">
        <w:t xml:space="preserve">ayout.  In 2013, Facilities </w:t>
      </w:r>
      <w:r w:rsidRPr="00207B96">
        <w:t>remodel</w:t>
      </w:r>
      <w:r w:rsidR="004E7B3D">
        <w:t>ed</w:t>
      </w:r>
      <w:r w:rsidRPr="00207B96">
        <w:t xml:space="preserve"> the old warehouse to then accommodate 120 cubicles, meeting rooms, offices and restroom </w:t>
      </w:r>
      <w:r w:rsidRPr="00207B96">
        <w:lastRenderedPageBreak/>
        <w:t>facilities.  By remodeling the old wareh</w:t>
      </w:r>
      <w:r w:rsidR="004E7B3D">
        <w:t>ouse, Avista made</w:t>
      </w:r>
      <w:r w:rsidRPr="00207B96">
        <w:t xml:space="preserve"> wise use of the square footage and return employees to a central location. The 3</w:t>
      </w:r>
      <w:r w:rsidRPr="00207B96">
        <w:rPr>
          <w:vertAlign w:val="superscript"/>
        </w:rPr>
        <w:t>rd</w:t>
      </w:r>
      <w:r w:rsidRPr="00207B96">
        <w:t xml:space="preserve"> phase of the plan is to construct a 50 space parking lot on the Ross Court property adjacent to the Avista campus.  </w:t>
      </w:r>
      <w:r w:rsidR="006A18BE">
        <w:t>O&amp;M savings</w:t>
      </w:r>
      <w:r w:rsidR="006A18BE">
        <w:rPr>
          <w:rFonts w:cs="Calibri"/>
          <w:bCs/>
          <w:color w:val="000000"/>
        </w:rPr>
        <w:t xml:space="preserve"> </w:t>
      </w:r>
      <w:r w:rsidR="004E7B3D">
        <w:rPr>
          <w:rFonts w:cs="Calibri"/>
          <w:bCs/>
          <w:color w:val="000000"/>
        </w:rPr>
        <w:t>will result from eliminating the need for</w:t>
      </w:r>
      <w:r w:rsidR="006A18BE">
        <w:rPr>
          <w:rFonts w:cs="Calibri"/>
          <w:bCs/>
          <w:color w:val="000000"/>
        </w:rPr>
        <w:t xml:space="preserve"> l</w:t>
      </w:r>
      <w:r w:rsidR="006A18BE" w:rsidRPr="004941AB">
        <w:t xml:space="preserve">eased facilities </w:t>
      </w:r>
      <w:r w:rsidR="006A18BE">
        <w:t xml:space="preserve">used for </w:t>
      </w:r>
      <w:r w:rsidR="006A18BE" w:rsidRPr="004941AB">
        <w:t xml:space="preserve">personnel </w:t>
      </w:r>
      <w:r w:rsidR="006A18BE">
        <w:t>that will be re</w:t>
      </w:r>
      <w:r w:rsidR="006A18BE" w:rsidRPr="004941AB">
        <w:t xml:space="preserve">located </w:t>
      </w:r>
      <w:r w:rsidR="006A18BE">
        <w:t>to the</w:t>
      </w:r>
      <w:r w:rsidR="006A18BE" w:rsidRPr="004941AB">
        <w:t xml:space="preserve"> Mission Campus</w:t>
      </w:r>
      <w:r w:rsidR="006A18BE">
        <w:t xml:space="preserve">. In addition, savings are gained due to line trucks and employees not having to travel and off-load waste </w:t>
      </w:r>
      <w:r w:rsidR="006A18BE" w:rsidRPr="00B36103">
        <w:t>mat</w:t>
      </w:r>
      <w:r w:rsidR="00B36103" w:rsidRPr="00B36103">
        <w:t>ter that</w:t>
      </w:r>
      <w:r w:rsidR="00B36103">
        <w:t xml:space="preserve"> is</w:t>
      </w:r>
      <w:r w:rsidR="006A18BE">
        <w:t xml:space="preserve"> recyclable or hazardous. Savings</w:t>
      </w:r>
      <w:r w:rsidR="006A18BE" w:rsidRPr="004941AB">
        <w:rPr>
          <w:rFonts w:cs="Calibri"/>
          <w:bCs/>
          <w:color w:val="000000"/>
        </w:rPr>
        <w:t xml:space="preserve"> are $20,000 in 2014 and $20,000 in 2015 on a system level.  The allocation to Washington is 79.22% for Electric and 20.78% for Gas making the Washington allocated savings $15,844 Electric and $4,156 Gas in each year. </w:t>
      </w:r>
      <w:r w:rsidR="006A18BE">
        <w:t>This has been included in the O&amp;M Offsets adjustment as shown in Company witness Mrs. Andrews’ workpapers.</w:t>
      </w:r>
    </w:p>
    <w:p w:rsidR="00207B96" w:rsidRPr="00087DEA" w:rsidRDefault="00207B96" w:rsidP="00207B96">
      <w:pPr>
        <w:ind w:left="720"/>
        <w:jc w:val="both"/>
        <w:rPr>
          <w:highlight w:val="yellow"/>
        </w:rPr>
      </w:pPr>
    </w:p>
    <w:p w:rsidR="00207B96" w:rsidRPr="00501D81" w:rsidRDefault="00207B96" w:rsidP="00501D81">
      <w:pPr>
        <w:adjustRightInd w:val="0"/>
        <w:ind w:left="720"/>
        <w:jc w:val="both"/>
        <w:rPr>
          <w:b/>
        </w:rPr>
      </w:pPr>
      <w:r w:rsidRPr="00501D81">
        <w:rPr>
          <w:b/>
        </w:rPr>
        <w:t xml:space="preserve">Dollar Road </w:t>
      </w:r>
      <w:r w:rsidR="00501D81" w:rsidRPr="00501D81">
        <w:rPr>
          <w:b/>
        </w:rPr>
        <w:t>Service Center Addition &amp; Remodel</w:t>
      </w:r>
      <w:r w:rsidR="00887DF1">
        <w:rPr>
          <w:b/>
        </w:rPr>
        <w:t xml:space="preserve"> </w:t>
      </w:r>
      <w:r w:rsidRPr="00501D81">
        <w:rPr>
          <w:b/>
        </w:rPr>
        <w:t xml:space="preserve">- </w:t>
      </w:r>
      <w:r w:rsidR="00501D81" w:rsidRPr="00501D81">
        <w:rPr>
          <w:b/>
        </w:rPr>
        <w:t>2013: $213,000</w:t>
      </w:r>
    </w:p>
    <w:p w:rsidR="00207B96" w:rsidRDefault="00207B96" w:rsidP="00207B96">
      <w:pPr>
        <w:ind w:left="720"/>
        <w:jc w:val="both"/>
      </w:pPr>
      <w:r w:rsidRPr="00452B06">
        <w:t>In 2012</w:t>
      </w:r>
      <w:r w:rsidR="00501D81" w:rsidRPr="00452B06">
        <w:t xml:space="preserve"> and 2013</w:t>
      </w:r>
      <w:r w:rsidRPr="00452B06">
        <w:t>, Avista construct</w:t>
      </w:r>
      <w:r w:rsidR="004E7B3D">
        <w:t>ed</w:t>
      </w:r>
      <w:r w:rsidRPr="00452B06">
        <w:t xml:space="preserve"> a 12,900 sq. ft. 6-bay fleet facility.  </w:t>
      </w:r>
      <w:r w:rsidR="004E7B3D">
        <w:t xml:space="preserve">The facility </w:t>
      </w:r>
      <w:r w:rsidRPr="00452B06">
        <w:t>enable</w:t>
      </w:r>
      <w:r w:rsidR="00EA6F8A">
        <w:t>s</w:t>
      </w:r>
      <w:r w:rsidRPr="00452B06">
        <w:t xml:space="preserve"> Avista to service CNG vehicles and gas department vehicles on-site. The service of the gas vehicles </w:t>
      </w:r>
      <w:r w:rsidR="004E7B3D">
        <w:t>was</w:t>
      </w:r>
      <w:r w:rsidRPr="00452B06">
        <w:t xml:space="preserve"> taking place at a leased facility several miles north of the Dollar Rd. property.  The Dollar </w:t>
      </w:r>
      <w:r w:rsidR="00EA6F8A">
        <w:t>Rd. expansion</w:t>
      </w:r>
      <w:r w:rsidRPr="00452B06">
        <w:t xml:space="preserve"> include</w:t>
      </w:r>
      <w:r w:rsidR="00EA6F8A">
        <w:t>s</w:t>
      </w:r>
      <w:r w:rsidRPr="00452B06">
        <w:t xml:space="preserve"> a CNG filling station for the Avista fleet and CNG customers.  The justif</w:t>
      </w:r>
      <w:r w:rsidR="00EA6F8A">
        <w:t>ication of the fleet facility was</w:t>
      </w:r>
      <w:r w:rsidRPr="00452B06">
        <w:t xml:space="preserve"> found in efficiencies gained by having mechanics on-site to maintain Avista vehicles. </w:t>
      </w:r>
    </w:p>
    <w:p w:rsidR="003F1068" w:rsidRPr="006A18BE" w:rsidRDefault="003F1068" w:rsidP="00207B96">
      <w:pPr>
        <w:ind w:left="720"/>
        <w:jc w:val="both"/>
      </w:pPr>
    </w:p>
    <w:p w:rsidR="00207B96" w:rsidRPr="00452B06" w:rsidRDefault="00207B96" w:rsidP="00452B06">
      <w:pPr>
        <w:adjustRightInd w:val="0"/>
        <w:ind w:left="720"/>
        <w:jc w:val="both"/>
        <w:rPr>
          <w:b/>
        </w:rPr>
      </w:pPr>
      <w:r w:rsidRPr="00452B06">
        <w:rPr>
          <w:b/>
        </w:rPr>
        <w:t>Structures and Improvements</w:t>
      </w:r>
      <w:r w:rsidR="00452B06" w:rsidRPr="00452B06">
        <w:rPr>
          <w:b/>
        </w:rPr>
        <w:t>/Furniture</w:t>
      </w:r>
      <w:r w:rsidRPr="00452B06">
        <w:rPr>
          <w:b/>
        </w:rPr>
        <w:t xml:space="preserve"> -</w:t>
      </w:r>
      <w:r w:rsidR="00887DF1">
        <w:rPr>
          <w:b/>
        </w:rPr>
        <w:t xml:space="preserve"> </w:t>
      </w:r>
      <w:r w:rsidR="00452B06" w:rsidRPr="00452B06">
        <w:rPr>
          <w:b/>
        </w:rPr>
        <w:t>2013: $2,025,000; 2014: $3,353,000; 2015: $3,600,000</w:t>
      </w:r>
    </w:p>
    <w:p w:rsidR="00207B96" w:rsidRDefault="00383E9D" w:rsidP="00207B96">
      <w:pPr>
        <w:ind w:left="720"/>
        <w:jc w:val="both"/>
      </w:pPr>
      <w:r w:rsidRPr="00383E9D">
        <w:t>This program is for the Capital Maintenance, Improvements, and Furniture budgets at 50 plus Avista offices and service centers (over 700,000 square feet in total). Many of the included service centers were built in the 1950's and 1960's and are starting to show signs of severe aging. The program includes capital projects in all construction disciplines (Roofing, Asphalt, Electrical, Plumbing, HVAC, Energy efficiency projects etc.</w:t>
      </w:r>
      <w:r w:rsidR="00A04C8C">
        <w:t>).</w:t>
      </w:r>
    </w:p>
    <w:p w:rsidR="00383E9D" w:rsidRPr="00383E9D" w:rsidRDefault="00383E9D" w:rsidP="00207B96">
      <w:pPr>
        <w:ind w:left="720"/>
        <w:jc w:val="both"/>
      </w:pPr>
    </w:p>
    <w:p w:rsidR="00207B96" w:rsidRPr="005E529D" w:rsidRDefault="00207B96" w:rsidP="00452B06">
      <w:pPr>
        <w:adjustRightInd w:val="0"/>
        <w:ind w:left="720"/>
        <w:jc w:val="both"/>
        <w:rPr>
          <w:b/>
        </w:rPr>
      </w:pPr>
      <w:r w:rsidRPr="005E529D">
        <w:rPr>
          <w:b/>
        </w:rPr>
        <w:t xml:space="preserve">Clinic Expansion Project - </w:t>
      </w:r>
      <w:r w:rsidR="00452B06" w:rsidRPr="005E529D">
        <w:rPr>
          <w:b/>
        </w:rPr>
        <w:t>2013: $150</w:t>
      </w:r>
      <w:r w:rsidR="00501D81" w:rsidRPr="005E529D">
        <w:rPr>
          <w:b/>
        </w:rPr>
        <w:t>,000</w:t>
      </w:r>
    </w:p>
    <w:p w:rsidR="00383E9D" w:rsidRPr="00383E9D" w:rsidRDefault="00383E9D" w:rsidP="00383E9D">
      <w:pPr>
        <w:ind w:left="720"/>
        <w:jc w:val="both"/>
      </w:pPr>
      <w:r w:rsidRPr="005E529D">
        <w:t>Capital equipment costs for the new Clinic that</w:t>
      </w:r>
      <w:r w:rsidR="004E7B3D" w:rsidRPr="005E529D">
        <w:t xml:space="preserve"> was</w:t>
      </w:r>
      <w:r w:rsidRPr="005E529D">
        <w:t xml:space="preserve"> completed in 4th Quarter 2013. Costs include all furniture, specialized equipment, oxygen systems, exam tables etc. for a two-room examination Facility. Project shows the possibility of significant savings to the company through bringing many of the third p</w:t>
      </w:r>
      <w:r w:rsidR="006921A1" w:rsidRPr="005E529D">
        <w:t>arty health costs back in house.</w:t>
      </w:r>
      <w:r w:rsidR="005E529D" w:rsidRPr="005E529D">
        <w:t xml:space="preserve"> The clinic supports many required programs for WISHA, OSHA and DOT for requirements related to occupational health services such as audiogram testing, DOT Physicals, Drug/alcohol screens and testing, and other programs. By bringing these services in-house cost savings will be achieved by delivering these services more cost-effectively than using outside medical providers. Avista is self-insured for employee medical plans and the worker’s compensation program. Productivity is favorably impacted as a result of having a clinic on site for employees by decreasing lost time away from work and offering other medical services. The clinic can offer services comparable to an urgent care clinic at comparable or lower cost for services such as Lab/blood draws, vaccinations, allergy injections, would care, blood-pressure </w:t>
      </w:r>
      <w:r w:rsidR="005E529D" w:rsidRPr="005E529D">
        <w:lastRenderedPageBreak/>
        <w:t>checks and urgent care needs. Management of worker compensation claims for</w:t>
      </w:r>
      <w:r w:rsidR="005E529D">
        <w:t xml:space="preserve"> injured workers will benefit through early intervention and improved coordination of claim management through the services offered in the clinic, which helps the employee and controls expenses. The clinic is HIPPA compliant and is under the same regulations as comparable medical providers.</w:t>
      </w:r>
    </w:p>
    <w:p w:rsidR="00207B96" w:rsidRPr="00384C6B" w:rsidRDefault="00207B96" w:rsidP="00207B96">
      <w:pPr>
        <w:adjustRightInd w:val="0"/>
        <w:ind w:left="720"/>
        <w:jc w:val="both"/>
        <w:rPr>
          <w:b/>
        </w:rPr>
      </w:pPr>
    </w:p>
    <w:p w:rsidR="00501D81" w:rsidRPr="00384C6B" w:rsidRDefault="00207B96" w:rsidP="00501D81">
      <w:pPr>
        <w:adjustRightInd w:val="0"/>
        <w:ind w:left="720"/>
        <w:jc w:val="both"/>
        <w:rPr>
          <w:b/>
        </w:rPr>
      </w:pPr>
      <w:r w:rsidRPr="00384C6B">
        <w:rPr>
          <w:b/>
        </w:rPr>
        <w:t xml:space="preserve">Apprentice Training – </w:t>
      </w:r>
      <w:r w:rsidR="00452B06" w:rsidRPr="00384C6B">
        <w:rPr>
          <w:b/>
        </w:rPr>
        <w:t>2013: $10,000; 2014: $60,000; 2015: $60</w:t>
      </w:r>
      <w:r w:rsidR="00501D81" w:rsidRPr="00384C6B">
        <w:rPr>
          <w:b/>
        </w:rPr>
        <w:t>,000</w:t>
      </w:r>
    </w:p>
    <w:p w:rsidR="00384C6B" w:rsidRDefault="00384C6B" w:rsidP="00384C6B">
      <w:pPr>
        <w:widowControl w:val="0"/>
        <w:tabs>
          <w:tab w:val="left" w:pos="90"/>
        </w:tabs>
        <w:adjustRightInd w:val="0"/>
        <w:ind w:left="720"/>
        <w:jc w:val="both"/>
        <w:rPr>
          <w:rFonts w:ascii="Calibri" w:hAnsi="Calibri" w:cs="Calibri"/>
          <w:color w:val="000000"/>
          <w:sz w:val="26"/>
          <w:szCs w:val="26"/>
        </w:rPr>
      </w:pPr>
      <w:r w:rsidRPr="00384C6B">
        <w:t>This program is for on-going capital improvements to support the essential skills needed for journeyman workers, apprentices and pre-apprentices now and for the future.  It is important to provide the types of training scenarios that employees face in the field.  Capital expenditures under this program include items such as building new facilities or expanding existing facilities, purchase of equipment needed, or build out of realistic utility field infrastructure used to train employees.  Examples include:  new or expanded shops, truck canopies, classrooms, backhoes and other equipment, build out of “Safe City” located at the Company’s Jack Stewart training facility in Spokane, which could include commercial and residential building replicas, and distribution, transmission, smart grid, metering, gas and substation infrastructure</w:t>
      </w:r>
      <w:r w:rsidRPr="00384C6B">
        <w:rPr>
          <w:rFonts w:ascii="Calibri" w:hAnsi="Calibri" w:cs="Calibri"/>
          <w:color w:val="000000"/>
        </w:rPr>
        <w:t>.</w:t>
      </w:r>
      <w:r>
        <w:rPr>
          <w:rFonts w:ascii="Calibri" w:hAnsi="Calibri" w:cs="Calibri"/>
          <w:color w:val="000000"/>
        </w:rPr>
        <w:t xml:space="preserve"> </w:t>
      </w:r>
    </w:p>
    <w:p w:rsidR="00207B96" w:rsidRPr="00087DEA" w:rsidRDefault="00207B96" w:rsidP="00207B96">
      <w:pPr>
        <w:adjustRightInd w:val="0"/>
        <w:ind w:left="720"/>
        <w:jc w:val="both"/>
        <w:rPr>
          <w:b/>
          <w:highlight w:val="yellow"/>
        </w:rPr>
      </w:pPr>
    </w:p>
    <w:p w:rsidR="00501D81" w:rsidRPr="00384C6B" w:rsidRDefault="00207B96" w:rsidP="00501D81">
      <w:pPr>
        <w:adjustRightInd w:val="0"/>
        <w:ind w:left="720"/>
        <w:jc w:val="both"/>
        <w:rPr>
          <w:b/>
        </w:rPr>
      </w:pPr>
      <w:r w:rsidRPr="00384C6B">
        <w:rPr>
          <w:b/>
        </w:rPr>
        <w:t>HVAC Renovation Project - $</w:t>
      </w:r>
      <w:r w:rsidR="00384C6B" w:rsidRPr="00384C6B">
        <w:rPr>
          <w:b/>
        </w:rPr>
        <w:t>2013: $6,507,000; 2014: $2,000,000; 2015: $8,000</w:t>
      </w:r>
      <w:r w:rsidR="00501D81" w:rsidRPr="00384C6B">
        <w:rPr>
          <w:b/>
        </w:rPr>
        <w:t>,000</w:t>
      </w:r>
    </w:p>
    <w:p w:rsidR="00384C6B" w:rsidRPr="00384C6B" w:rsidRDefault="00384C6B" w:rsidP="00384C6B">
      <w:pPr>
        <w:ind w:left="720"/>
        <w:jc w:val="both"/>
      </w:pPr>
      <w:r w:rsidRPr="00384C6B">
        <w:t>The HVAC Renovation Project began in 2007 and 2008. The HVAC Project is a systematic replacement of the original 1956 Heating, Ventilation and Air Conditioning System for the Service Building, Cafeteria/ Auditorium and General Office Building. The original HVAC equipment has been operating 24/7 since original construction in 1956. The Project entails a floor by floor evacuation and relocation of employees and a complete demolition of each floor; including a massive Asbestos Abatement component, and removing the original fire proofing on the basic steel structure. The Project requires exhaustive demolition and reconstruction of each floor. Sustainable energy savings and conservation are built into the Project as we apply for LEED certification for each floor.  The 5th, 4th, and 3rd floor has obtained LEED-CI Gold status recognizing all of the renewable strategies we employed during the design and construction phases. The goal of this project is to re-purpose and recycle the entire Facility for the next generation of Avista employees to use for 50 more years. Life cycle costs weighed heavily on our Construction Specifications and equipment choices during the design phase. The design team chose energy efficient equipment that was designed for 30 to 50 year life cycles.</w:t>
      </w:r>
      <w:r w:rsidR="001F40A4" w:rsidRPr="001F40A4">
        <w:t xml:space="preserve"> </w:t>
      </w:r>
      <w:r w:rsidR="001F40A4">
        <w:t xml:space="preserve">After revenue requirement was finalized, it was determined that offsets exist for this business case. </w:t>
      </w:r>
      <w:r w:rsidR="001F40A4" w:rsidRPr="009F65B0">
        <w:t>The project will produce approximately $3</w:t>
      </w:r>
      <w:r w:rsidR="001F40A4">
        <w:t>6</w:t>
      </w:r>
      <w:r w:rsidR="001F40A4" w:rsidRPr="009F65B0">
        <w:t xml:space="preserve">,000 (system) </w:t>
      </w:r>
      <w:r w:rsidR="001F40A4">
        <w:t xml:space="preserve">in reduced energy costs for 2013 and 2014. For 2013, this would include six months of the savings or $18,000.  Washington’s allocation of this is $14,000 for Electric and $4,000 for gas.  In 2014, offsets were $36,000 ($29,000 WA Electric $7,000 WA Gas).  The O&amp;M savings for 2015 are estimated to be $112,590 and are planned to </w:t>
      </w:r>
      <w:r w:rsidR="001F40A4">
        <w:lastRenderedPageBreak/>
        <w:t xml:space="preserve">be in-service September 2015.  As such, the offset amount is $28,148 ($22,000 WA Electric and $6,000 WA Gas). </w:t>
      </w:r>
    </w:p>
    <w:p w:rsidR="00207B96" w:rsidRDefault="00207B96" w:rsidP="00207B96">
      <w:pPr>
        <w:ind w:left="720"/>
        <w:jc w:val="both"/>
        <w:rPr>
          <w:highlight w:val="yellow"/>
        </w:rPr>
      </w:pPr>
    </w:p>
    <w:p w:rsidR="00501D81" w:rsidRPr="00384C6B" w:rsidRDefault="00207B96" w:rsidP="00501D81">
      <w:pPr>
        <w:adjustRightInd w:val="0"/>
        <w:ind w:left="720"/>
        <w:jc w:val="both"/>
        <w:rPr>
          <w:b/>
        </w:rPr>
      </w:pPr>
      <w:r w:rsidRPr="00384C6B">
        <w:rPr>
          <w:b/>
        </w:rPr>
        <w:t>Microwave Refresh - $</w:t>
      </w:r>
      <w:r w:rsidR="00384C6B" w:rsidRPr="00384C6B">
        <w:rPr>
          <w:b/>
        </w:rPr>
        <w:t>2013: $3,171</w:t>
      </w:r>
      <w:r w:rsidR="00501D81" w:rsidRPr="00384C6B">
        <w:rPr>
          <w:b/>
        </w:rPr>
        <w:t>,00</w:t>
      </w:r>
      <w:r w:rsidR="00384C6B" w:rsidRPr="00384C6B">
        <w:rPr>
          <w:b/>
        </w:rPr>
        <w:t>0; 2014: $1,625,000; 2015: $1,073</w:t>
      </w:r>
      <w:r w:rsidR="00501D81" w:rsidRPr="00384C6B">
        <w:rPr>
          <w:b/>
        </w:rPr>
        <w:t>,000</w:t>
      </w:r>
    </w:p>
    <w:p w:rsidR="003F1BE2" w:rsidRPr="00B752E6" w:rsidRDefault="003F1BE2" w:rsidP="003F1BE2">
      <w:pPr>
        <w:adjustRightInd w:val="0"/>
        <w:ind w:left="720"/>
        <w:jc w:val="both"/>
        <w:rPr>
          <w:color w:val="000000"/>
        </w:rPr>
      </w:pPr>
      <w:r w:rsidRPr="00384C6B">
        <w:rPr>
          <w:color w:val="000000"/>
        </w:rPr>
        <w:t>The project is designed to replace the aging and no longer supported microwave equipment with a supported technology. These systems support the communication for protection and relaying of the electrical transmission systems that allow the reliable delivery of electricity throughout our service territory.</w:t>
      </w:r>
      <w:r w:rsidRPr="00B752E6">
        <w:rPr>
          <w:color w:val="000000"/>
        </w:rPr>
        <w:t xml:space="preserve"> </w:t>
      </w:r>
    </w:p>
    <w:p w:rsidR="00207B96" w:rsidRPr="00524217" w:rsidRDefault="00207B96" w:rsidP="00207B96">
      <w:pPr>
        <w:ind w:left="720"/>
        <w:jc w:val="both"/>
        <w:rPr>
          <w:b/>
        </w:rPr>
      </w:pPr>
    </w:p>
    <w:p w:rsidR="00501D81" w:rsidRPr="00207B96" w:rsidRDefault="00207B96" w:rsidP="00501D81">
      <w:pPr>
        <w:adjustRightInd w:val="0"/>
        <w:ind w:left="720"/>
        <w:jc w:val="both"/>
        <w:rPr>
          <w:b/>
        </w:rPr>
      </w:pPr>
      <w:r w:rsidRPr="00524217">
        <w:rPr>
          <w:b/>
        </w:rPr>
        <w:t>Mechanical Shop 3 Ton Crane</w:t>
      </w:r>
      <w:r w:rsidR="00524217" w:rsidRPr="00524217">
        <w:rPr>
          <w:b/>
        </w:rPr>
        <w:t xml:space="preserve"> - 2014: $154</w:t>
      </w:r>
      <w:r w:rsidR="00501D81" w:rsidRPr="00524217">
        <w:rPr>
          <w:b/>
        </w:rPr>
        <w:t>,000</w:t>
      </w:r>
    </w:p>
    <w:p w:rsidR="00207B96" w:rsidRDefault="00524217" w:rsidP="00524217">
      <w:pPr>
        <w:adjustRightInd w:val="0"/>
        <w:ind w:left="720"/>
        <w:jc w:val="both"/>
        <w:rPr>
          <w:color w:val="000000"/>
        </w:rPr>
      </w:pPr>
      <w:r w:rsidRPr="00524217">
        <w:rPr>
          <w:color w:val="000000"/>
        </w:rPr>
        <w:t xml:space="preserve">Replace 480v exposed buss shop crane with freestanding 3 ton unit.  Present crane is an electrocution hazard, and cannot handle many jobs due to its limited size. Limitations force us to outsource work that could be done at little or no incremental cost </w:t>
      </w:r>
      <w:r w:rsidRPr="00C272B1">
        <w:rPr>
          <w:color w:val="000000"/>
        </w:rPr>
        <w:t>by our own employees. The crane is also outmoded, with limited parts availability.</w:t>
      </w:r>
      <w:r w:rsidR="00E47390" w:rsidRPr="00C272B1">
        <w:rPr>
          <w:color w:val="000000"/>
        </w:rPr>
        <w:t xml:space="preserve">  An estimated O&amp;M offset of $20,000</w:t>
      </w:r>
      <w:r w:rsidR="00C272B1" w:rsidRPr="00C272B1">
        <w:rPr>
          <w:color w:val="000000"/>
        </w:rPr>
        <w:t xml:space="preserve"> system (13,000 WA)</w:t>
      </w:r>
      <w:r w:rsidR="00E47390" w:rsidRPr="00C272B1">
        <w:rPr>
          <w:color w:val="000000"/>
        </w:rPr>
        <w:t xml:space="preserve"> is gained in 2014 by eliminating the need to outsource to external contractors.</w:t>
      </w:r>
    </w:p>
    <w:p w:rsidR="00946EA3" w:rsidRDefault="00946EA3" w:rsidP="00524217">
      <w:pPr>
        <w:adjustRightInd w:val="0"/>
        <w:ind w:left="720"/>
        <w:jc w:val="both"/>
        <w:rPr>
          <w:color w:val="000000"/>
        </w:rPr>
      </w:pPr>
    </w:p>
    <w:p w:rsidR="00946EA3" w:rsidRDefault="00946EA3" w:rsidP="00946EA3">
      <w:pPr>
        <w:adjustRightInd w:val="0"/>
        <w:ind w:left="720"/>
        <w:jc w:val="both"/>
        <w:rPr>
          <w:b/>
        </w:rPr>
      </w:pPr>
      <w:r w:rsidRPr="00946EA3">
        <w:rPr>
          <w:b/>
        </w:rPr>
        <w:t>Transmission Outage Management - 2014: $300,000</w:t>
      </w:r>
    </w:p>
    <w:p w:rsidR="00946EA3" w:rsidRPr="00946EA3" w:rsidRDefault="00946EA3" w:rsidP="00946EA3">
      <w:pPr>
        <w:adjustRightInd w:val="0"/>
        <w:ind w:left="720"/>
        <w:jc w:val="both"/>
        <w:rPr>
          <w:color w:val="000000"/>
        </w:rPr>
      </w:pPr>
      <w:r w:rsidRPr="00946EA3">
        <w:rPr>
          <w:color w:val="000000"/>
        </w:rPr>
        <w:t>System Operations proposes installation of a Transmission Outage Management system that would provide additional transmission outage management functionality, streamline current transmission outage management processes, and eliminate the current homegrown logging application.  Implementing this system would automate many processes that are performed in a manual fashion and would bring Avista's capabilities up to industry standards.  Maintenance of the logging portion of the application would change from programming the application (current) to configuring the application.  Mining of data for calculating compliance reports and reliability indicators would be reduced with normalized data and automated processes.</w:t>
      </w:r>
    </w:p>
    <w:p w:rsidR="003F1BE2" w:rsidRPr="00207B96" w:rsidRDefault="003F1BE2" w:rsidP="00207B96">
      <w:pPr>
        <w:ind w:left="720"/>
        <w:jc w:val="both"/>
        <w:rPr>
          <w:b/>
          <w:highlight w:val="yellow"/>
        </w:rPr>
      </w:pPr>
    </w:p>
    <w:p w:rsidR="00946EA3" w:rsidRPr="00207B96" w:rsidRDefault="00946EA3" w:rsidP="00946EA3">
      <w:pPr>
        <w:adjustRightInd w:val="0"/>
        <w:ind w:left="720"/>
        <w:jc w:val="both"/>
        <w:rPr>
          <w:b/>
        </w:rPr>
      </w:pPr>
      <w:r w:rsidRPr="00946EA3">
        <w:rPr>
          <w:b/>
        </w:rPr>
        <w:t>New Deer Park Service Center- 2015: $2,500,000</w:t>
      </w:r>
    </w:p>
    <w:p w:rsidR="00946EA3" w:rsidRPr="00946EA3" w:rsidRDefault="00946EA3" w:rsidP="003F1068">
      <w:pPr>
        <w:adjustRightInd w:val="0"/>
        <w:ind w:left="720"/>
        <w:jc w:val="both"/>
        <w:rPr>
          <w:color w:val="000000"/>
        </w:rPr>
      </w:pPr>
      <w:r w:rsidRPr="003F1068">
        <w:t>Replace existing Deer Park Service Center. Current building is over 40 years old, and existing storage yard is becoming too small for ever-growing inventory.</w:t>
      </w:r>
      <w:r w:rsidRPr="003F1068">
        <w:rPr>
          <w:b/>
        </w:rPr>
        <w:t xml:space="preserve"> </w:t>
      </w:r>
      <w:r w:rsidRPr="00946EA3">
        <w:rPr>
          <w:color w:val="000000"/>
        </w:rPr>
        <w:t>Environmental concerns with existing site located near railroad tracks, and close proximity to city water well. The existing building is tight for current line truck sizes, warehouse is undersized, and has code compliance and security issues.  Deer Park is one of our lower-performing service centers on the Facilities Building Survey Report</w:t>
      </w:r>
      <w:r w:rsidR="003F1068">
        <w:rPr>
          <w:color w:val="000000"/>
        </w:rPr>
        <w:t>.</w:t>
      </w:r>
      <w:r w:rsidR="003F1068" w:rsidRPr="003F1068">
        <w:rPr>
          <w:color w:val="000000"/>
        </w:rPr>
        <w:t xml:space="preserve">  No O&amp;M offsets are presented on the attached copy of the Business Case, however after further discussion it was determined that $16,000 of annual savings </w:t>
      </w:r>
      <w:r w:rsidR="003F1068" w:rsidRPr="00C272B1">
        <w:rPr>
          <w:color w:val="000000"/>
        </w:rPr>
        <w:t>would occur after the in-service date of September 2015.  This amount has been prorated to include only 3 of those months.  Savings are from facilities energy and maintenance savings including employee efficiencies due to larger facilities and more spacious storage yard.  The total O&amp;M offset is calculated as $16,000 x (3/12) = $4,000.  Washington’s portion</w:t>
      </w:r>
      <w:r w:rsidR="003F1068" w:rsidRPr="003F1068">
        <w:rPr>
          <w:color w:val="000000"/>
        </w:rPr>
        <w:t xml:space="preserve"> of this is $</w:t>
      </w:r>
      <w:r w:rsidR="00E47390">
        <w:rPr>
          <w:color w:val="000000"/>
        </w:rPr>
        <w:t>3</w:t>
      </w:r>
      <w:r w:rsidR="003F1068" w:rsidRPr="003F1068">
        <w:rPr>
          <w:color w:val="000000"/>
        </w:rPr>
        <w:t>,169 Electric and $831 Gas.  This has been included in the O&amp;M Offsets adjustment as shown in Company witness Mrs. Andrews’ workpapers.</w:t>
      </w:r>
    </w:p>
    <w:p w:rsidR="00946EA3" w:rsidRDefault="00946EA3" w:rsidP="00501D81">
      <w:pPr>
        <w:adjustRightInd w:val="0"/>
        <w:ind w:left="720"/>
        <w:jc w:val="both"/>
        <w:rPr>
          <w:b/>
          <w:highlight w:val="yellow"/>
        </w:rPr>
      </w:pPr>
    </w:p>
    <w:p w:rsidR="00AC1E81" w:rsidRDefault="00AC1E81" w:rsidP="000D7190">
      <w:pPr>
        <w:adjustRightInd w:val="0"/>
        <w:ind w:left="720"/>
        <w:jc w:val="both"/>
        <w:rPr>
          <w:b/>
        </w:rPr>
      </w:pPr>
    </w:p>
    <w:p w:rsidR="00AC1E81" w:rsidRDefault="00AC1E81" w:rsidP="00AC1E81">
      <w:pPr>
        <w:adjustRightInd w:val="0"/>
        <w:ind w:left="720"/>
        <w:jc w:val="both"/>
        <w:rPr>
          <w:b/>
        </w:rPr>
      </w:pPr>
      <w:r>
        <w:rPr>
          <w:b/>
        </w:rPr>
        <w:t>Central Office Facility (C</w:t>
      </w:r>
      <w:r w:rsidR="000D7190">
        <w:rPr>
          <w:b/>
        </w:rPr>
        <w:t>OF</w:t>
      </w:r>
      <w:r>
        <w:rPr>
          <w:b/>
        </w:rPr>
        <w:t>)</w:t>
      </w:r>
      <w:r w:rsidR="000D7190">
        <w:rPr>
          <w:b/>
        </w:rPr>
        <w:t xml:space="preserve"> Long-Term Restructure Ph2</w:t>
      </w:r>
      <w:r w:rsidR="000D7190" w:rsidRPr="00946EA3">
        <w:rPr>
          <w:b/>
        </w:rPr>
        <w:t>- 2015: $2,500,000</w:t>
      </w:r>
    </w:p>
    <w:p w:rsidR="001F40A4" w:rsidRDefault="00FE771A" w:rsidP="00AC1E81">
      <w:pPr>
        <w:adjustRightInd w:val="0"/>
        <w:ind w:left="720"/>
        <w:jc w:val="both"/>
      </w:pPr>
      <w:r>
        <w:rPr>
          <w:color w:val="000000"/>
        </w:rPr>
        <w:t>Central Office Facility (</w:t>
      </w:r>
      <w:r w:rsidR="000D7190" w:rsidRPr="000D7190">
        <w:rPr>
          <w:color w:val="000000"/>
        </w:rPr>
        <w:t>COF</w:t>
      </w:r>
      <w:r>
        <w:rPr>
          <w:color w:val="000000"/>
        </w:rPr>
        <w:t>)</w:t>
      </w:r>
      <w:r w:rsidR="000D7190" w:rsidRPr="000D7190">
        <w:rPr>
          <w:color w:val="000000"/>
        </w:rPr>
        <w:t xml:space="preserve"> Long T</w:t>
      </w:r>
      <w:r>
        <w:rPr>
          <w:color w:val="000000"/>
        </w:rPr>
        <w:t>erm Restructuring Plan, Phase 2</w:t>
      </w:r>
      <w:r w:rsidR="000D7190" w:rsidRPr="000D7190">
        <w:rPr>
          <w:color w:val="000000"/>
        </w:rPr>
        <w:t xml:space="preserve"> involves the construction of a new Fleet Vehicle Garage and 4-story parking structure. By the end of 2015, Facilities projects will add approx. 183 new cubicles. Our parking lots will be beyond max capacity.  The Fleet Garage is over 50 yrs old and is constrained.  New garage will allow for maintenance of Compressed Natural Gas vehicles as the current bldg does not allow for this. Once Fleet is relocated there will be a distinct separation between operational/service vehicles and employee vehicle. This separation will increase safety by eliminating intermingling of pedestrians in work areas. Office building &amp; parking garage is projected to allow Call Center and any leased facilities to come back to Mission campus. Ross Park conversion to office will secure any future employee expansion that will occur.</w:t>
      </w:r>
      <w:r w:rsidR="001F40A4" w:rsidRPr="001F40A4">
        <w:t xml:space="preserve"> </w:t>
      </w:r>
      <w:r w:rsidR="001F40A4">
        <w:t xml:space="preserve">It was determined that O&amp;M savings of $33,000 will occur in July 2015.  </w:t>
      </w:r>
      <w:r w:rsidR="001F40A4">
        <w:rPr>
          <w:rFonts w:cs="Calibri"/>
          <w:bCs/>
          <w:color w:val="000000"/>
        </w:rPr>
        <w:t xml:space="preserve">These </w:t>
      </w:r>
      <w:r w:rsidR="001F40A4">
        <w:t>O&amp;M savings</w:t>
      </w:r>
      <w:r w:rsidR="001F40A4">
        <w:rPr>
          <w:rFonts w:cs="Calibri"/>
          <w:bCs/>
          <w:color w:val="000000"/>
        </w:rPr>
        <w:t xml:space="preserve"> are the result of eliminating the need of l</w:t>
      </w:r>
      <w:r w:rsidR="001F40A4" w:rsidRPr="004941AB">
        <w:t xml:space="preserve">eased facilities </w:t>
      </w:r>
      <w:r w:rsidR="001F40A4">
        <w:t xml:space="preserve">used for </w:t>
      </w:r>
      <w:r w:rsidR="001F40A4" w:rsidRPr="004941AB">
        <w:t xml:space="preserve">personnel </w:t>
      </w:r>
      <w:r w:rsidR="001F40A4">
        <w:t>that will be re</w:t>
      </w:r>
      <w:r w:rsidR="001F40A4" w:rsidRPr="004941AB">
        <w:t xml:space="preserve">located </w:t>
      </w:r>
      <w:r w:rsidR="001F40A4">
        <w:t>to the</w:t>
      </w:r>
      <w:r w:rsidR="001F40A4" w:rsidRPr="004941AB">
        <w:t xml:space="preserve"> Mission Campus</w:t>
      </w:r>
      <w:r w:rsidR="001F40A4">
        <w:t>.  In addition, we would not need to rent or purchase addition space for parking. These annual savings have been prorated to include savings after the in-service date.  The resulting offset is calculated as $33,000 x (5/12) = $13,860.  Washington’s apportionment of this amount is $10,980 Electric and $2,880 Gas. This has been included in the O&amp;M Offsets adjustment as shown in Company witness Mrs. Andrews’ workpapers.</w:t>
      </w:r>
    </w:p>
    <w:p w:rsidR="00FE771A" w:rsidRDefault="00FE771A" w:rsidP="00FE771A">
      <w:pPr>
        <w:adjustRightInd w:val="0"/>
        <w:ind w:left="720"/>
        <w:jc w:val="both"/>
        <w:rPr>
          <w:color w:val="000000"/>
        </w:rPr>
      </w:pPr>
    </w:p>
    <w:p w:rsidR="007C275C" w:rsidRDefault="007C275C" w:rsidP="00FE771A">
      <w:pPr>
        <w:adjustRightInd w:val="0"/>
        <w:ind w:left="720"/>
        <w:jc w:val="both"/>
        <w:rPr>
          <w:b/>
          <w:u w:val="single"/>
        </w:rPr>
      </w:pPr>
      <w:r w:rsidRPr="00E770CD">
        <w:rPr>
          <w:b/>
          <w:u w:val="single"/>
        </w:rPr>
        <w:t>Transportation:</w:t>
      </w:r>
    </w:p>
    <w:p w:rsidR="00E770CD" w:rsidRDefault="00E770CD" w:rsidP="00FE771A">
      <w:pPr>
        <w:adjustRightInd w:val="0"/>
        <w:ind w:left="720"/>
        <w:jc w:val="both"/>
        <w:rPr>
          <w:b/>
          <w:u w:val="single"/>
        </w:rPr>
      </w:pPr>
    </w:p>
    <w:p w:rsidR="00E770CD" w:rsidRDefault="00E770CD" w:rsidP="00E770CD">
      <w:pPr>
        <w:ind w:left="720"/>
        <w:jc w:val="both"/>
      </w:pPr>
      <w:r w:rsidRPr="00B752E6">
        <w:t xml:space="preserve">The </w:t>
      </w:r>
      <w:r>
        <w:t xml:space="preserve">detailed listing of the </w:t>
      </w:r>
      <w:r w:rsidR="00A04C8C">
        <w:t>transportation</w:t>
      </w:r>
      <w:r>
        <w:t xml:space="preserve"> projects</w:t>
      </w:r>
      <w:r w:rsidRPr="00B752E6">
        <w:t xml:space="preserve"> </w:t>
      </w:r>
      <w:r w:rsidR="00191C6F">
        <w:t xml:space="preserve">and the system costs </w:t>
      </w:r>
      <w:r w:rsidRPr="00B752E6">
        <w:t xml:space="preserve">that will </w:t>
      </w:r>
      <w:r w:rsidR="00887DF1">
        <w:t xml:space="preserve">transfer to plant-in-service </w:t>
      </w:r>
      <w:r w:rsidR="008C4F03">
        <w:t xml:space="preserve">are included in </w:t>
      </w:r>
      <w:r w:rsidR="00DA3F2A">
        <w:t>T</w:t>
      </w:r>
      <w:r w:rsidR="008C4F03">
        <w:t xml:space="preserve">able </w:t>
      </w:r>
      <w:r w:rsidR="00DA3F2A">
        <w:t xml:space="preserve">No. </w:t>
      </w:r>
      <w:r w:rsidR="008C4F03">
        <w:t>8 below</w:t>
      </w:r>
      <w:r w:rsidR="00217917">
        <w:t xml:space="preserve">, with narrative summaries following the table. </w:t>
      </w:r>
    </w:p>
    <w:p w:rsidR="00887DF1" w:rsidRDefault="00887DF1" w:rsidP="00887DF1">
      <w:pPr>
        <w:ind w:firstLine="720"/>
        <w:jc w:val="both"/>
      </w:pPr>
    </w:p>
    <w:p w:rsidR="008C4F03" w:rsidRDefault="008C4F03" w:rsidP="00887DF1">
      <w:pPr>
        <w:ind w:firstLine="720"/>
        <w:jc w:val="both"/>
        <w:rPr>
          <w:b/>
          <w:u w:val="single"/>
        </w:rPr>
      </w:pPr>
      <w:r w:rsidRPr="00DA3F2A">
        <w:rPr>
          <w:b/>
          <w:u w:val="single"/>
        </w:rPr>
        <w:t xml:space="preserve">Table </w:t>
      </w:r>
      <w:r w:rsidR="00DA3F2A" w:rsidRPr="00DA3F2A">
        <w:rPr>
          <w:b/>
          <w:u w:val="single"/>
        </w:rPr>
        <w:t xml:space="preserve">No. </w:t>
      </w:r>
      <w:r w:rsidRPr="00DA3F2A">
        <w:rPr>
          <w:b/>
          <w:u w:val="single"/>
        </w:rPr>
        <w:t>8:</w:t>
      </w:r>
    </w:p>
    <w:p w:rsidR="00046A38" w:rsidRPr="00DA3F2A" w:rsidRDefault="00046A38" w:rsidP="00887DF1">
      <w:pPr>
        <w:ind w:firstLine="720"/>
        <w:jc w:val="both"/>
        <w:rPr>
          <w:b/>
          <w:u w:val="single"/>
        </w:rPr>
      </w:pPr>
    </w:p>
    <w:p w:rsidR="008C4F03" w:rsidRPr="008C4F03" w:rsidRDefault="00EC6313" w:rsidP="00E770CD">
      <w:pPr>
        <w:ind w:left="720"/>
        <w:jc w:val="both"/>
        <w:rPr>
          <w:b/>
        </w:rPr>
      </w:pPr>
      <w:r>
        <w:rPr>
          <w:b/>
          <w:noProof/>
        </w:rPr>
        <w:pict>
          <v:shape id="_x0000_s1153" type="#_x0000_t75" style="position:absolute;left:0;text-align:left;margin-left:36pt;margin-top:0;width:409.5pt;height:105.75pt;z-index:251755520;mso-position-horizontal:absolute;mso-position-horizontal-relative:text;mso-position-vertical:absolute;mso-position-vertical-relative:text">
            <v:imagedata r:id="rId28" o:title=""/>
          </v:shape>
          <o:OLEObject Type="Embed" ProgID="Excel.Sheet.12" ShapeID="_x0000_s1153" DrawAspect="Content" ObjectID="_1452587208" r:id="rId29"/>
        </w:pict>
      </w:r>
    </w:p>
    <w:p w:rsidR="00ED1384" w:rsidRDefault="00ED1384" w:rsidP="00E770CD">
      <w:pPr>
        <w:ind w:left="720"/>
        <w:jc w:val="both"/>
      </w:pPr>
    </w:p>
    <w:p w:rsidR="00ED1384" w:rsidRDefault="00ED1384" w:rsidP="00E770CD">
      <w:pPr>
        <w:ind w:left="720"/>
        <w:jc w:val="both"/>
      </w:pPr>
    </w:p>
    <w:p w:rsidR="00ED1384" w:rsidRDefault="00ED1384" w:rsidP="00E770CD">
      <w:pPr>
        <w:ind w:left="720"/>
        <w:jc w:val="both"/>
      </w:pPr>
    </w:p>
    <w:p w:rsidR="00ED1384" w:rsidRDefault="00ED1384" w:rsidP="00E770CD">
      <w:pPr>
        <w:ind w:left="720"/>
        <w:jc w:val="both"/>
      </w:pPr>
    </w:p>
    <w:p w:rsidR="00ED1384" w:rsidRDefault="00ED1384" w:rsidP="00E770CD">
      <w:pPr>
        <w:ind w:left="720"/>
        <w:jc w:val="both"/>
      </w:pPr>
    </w:p>
    <w:p w:rsidR="00887DF1" w:rsidRDefault="00887DF1" w:rsidP="00E770CD">
      <w:pPr>
        <w:ind w:left="720"/>
        <w:jc w:val="both"/>
        <w:rPr>
          <w:b/>
        </w:rPr>
      </w:pPr>
    </w:p>
    <w:p w:rsidR="00E765E7" w:rsidRDefault="00E765E7" w:rsidP="00E770CD">
      <w:pPr>
        <w:ind w:left="720"/>
        <w:jc w:val="both"/>
        <w:rPr>
          <w:b/>
        </w:rPr>
      </w:pPr>
    </w:p>
    <w:p w:rsidR="00E770CD" w:rsidRPr="00A04C8C" w:rsidRDefault="00E770CD" w:rsidP="00E770CD">
      <w:pPr>
        <w:ind w:left="720"/>
        <w:jc w:val="both"/>
        <w:rPr>
          <w:b/>
        </w:rPr>
      </w:pPr>
      <w:r w:rsidRPr="00A04C8C">
        <w:rPr>
          <w:b/>
        </w:rPr>
        <w:t>CNG Fleet Conversion - 2013: $932,000; 2014: $200,000; 2015: $200,000</w:t>
      </w:r>
    </w:p>
    <w:p w:rsidR="00E770CD" w:rsidRPr="00E770CD" w:rsidRDefault="00E770CD" w:rsidP="00E770CD">
      <w:pPr>
        <w:adjustRightInd w:val="0"/>
        <w:ind w:left="720"/>
        <w:jc w:val="both"/>
        <w:rPr>
          <w:color w:val="000000"/>
        </w:rPr>
      </w:pPr>
      <w:r w:rsidRPr="00A04C8C">
        <w:rPr>
          <w:color w:val="000000"/>
        </w:rPr>
        <w:t>This project is to convert 119 light duty trucks to CNG over the next seven years.  If more vehicles are acquired in the fleet, there is a potential for more CNG to be served from these refueling stations</w:t>
      </w:r>
      <w:r w:rsidR="00217917">
        <w:rPr>
          <w:color w:val="000000"/>
        </w:rPr>
        <w:t>.  Vehicle conversion will began</w:t>
      </w:r>
      <w:r w:rsidRPr="00A04C8C">
        <w:rPr>
          <w:color w:val="000000"/>
        </w:rPr>
        <w:t xml:space="preserve"> in 2012</w:t>
      </w:r>
      <w:r w:rsidR="00CE6C8B">
        <w:rPr>
          <w:color w:val="000000"/>
        </w:rPr>
        <w:t xml:space="preserve"> and will continue </w:t>
      </w:r>
      <w:r w:rsidRPr="00A04C8C">
        <w:rPr>
          <w:color w:val="000000"/>
        </w:rPr>
        <w:t xml:space="preserve">on 15-20 vehicles per year for the foreseeable future.  </w:t>
      </w:r>
    </w:p>
    <w:p w:rsidR="007C275C" w:rsidRPr="00087DEA" w:rsidRDefault="0072004A" w:rsidP="007C275C">
      <w:pPr>
        <w:ind w:left="720"/>
        <w:jc w:val="both"/>
        <w:rPr>
          <w:b/>
          <w:highlight w:val="yellow"/>
        </w:rPr>
      </w:pPr>
      <w:r w:rsidRPr="0072004A">
        <w:rPr>
          <w:b/>
        </w:rPr>
        <w:lastRenderedPageBreak/>
        <w:t>Fleet Budget</w:t>
      </w:r>
      <w:r w:rsidR="007C275C" w:rsidRPr="0072004A">
        <w:rPr>
          <w:b/>
        </w:rPr>
        <w:t xml:space="preserve"> - </w:t>
      </w:r>
      <w:r w:rsidR="00E770CD" w:rsidRPr="0072004A">
        <w:rPr>
          <w:b/>
        </w:rPr>
        <w:t>2013: $</w:t>
      </w:r>
      <w:r w:rsidRPr="0072004A">
        <w:rPr>
          <w:b/>
        </w:rPr>
        <w:t>4,287,000; 2014: $5,586,000; 2015: $6,5</w:t>
      </w:r>
      <w:r w:rsidR="00E770CD" w:rsidRPr="0072004A">
        <w:rPr>
          <w:b/>
        </w:rPr>
        <w:t>00,000</w:t>
      </w:r>
    </w:p>
    <w:p w:rsidR="007C275C" w:rsidRPr="00AD78F3" w:rsidRDefault="007C275C" w:rsidP="007C275C">
      <w:pPr>
        <w:ind w:left="720"/>
        <w:jc w:val="both"/>
      </w:pPr>
      <w:r w:rsidRPr="00AD78F3">
        <w:t>Expenditures are for the scheduled replacement of trucks, off-road construction equipment and trailers that meet the Company's guidelines for replacement including age, mileage, hours of use and overall condition.  This also includes additions to the fleet for new positions or crews working to support the maintenance and construction of our electric and natural gas operations.</w:t>
      </w:r>
    </w:p>
    <w:p w:rsidR="00501D81" w:rsidRPr="00087DEA" w:rsidRDefault="00501D81" w:rsidP="00F67329">
      <w:pPr>
        <w:jc w:val="both"/>
        <w:rPr>
          <w:highlight w:val="yellow"/>
        </w:rPr>
      </w:pPr>
    </w:p>
    <w:p w:rsidR="007C275C" w:rsidRPr="00B475E9" w:rsidRDefault="005868F6" w:rsidP="007C275C">
      <w:pPr>
        <w:adjustRightInd w:val="0"/>
        <w:ind w:left="720"/>
        <w:jc w:val="both"/>
        <w:rPr>
          <w:b/>
          <w:u w:val="single"/>
        </w:rPr>
      </w:pPr>
      <w:r>
        <w:rPr>
          <w:b/>
          <w:u w:val="single"/>
        </w:rPr>
        <w:t xml:space="preserve">Enterprise </w:t>
      </w:r>
      <w:r w:rsidR="00B475E9" w:rsidRPr="00B475E9">
        <w:rPr>
          <w:b/>
          <w:u w:val="single"/>
        </w:rPr>
        <w:t>Technology</w:t>
      </w:r>
      <w:r w:rsidR="007C275C" w:rsidRPr="00B475E9">
        <w:rPr>
          <w:b/>
          <w:u w:val="single"/>
        </w:rPr>
        <w:t>:</w:t>
      </w:r>
    </w:p>
    <w:p w:rsidR="007C275C" w:rsidRPr="00087DEA" w:rsidRDefault="007C275C" w:rsidP="007C275C">
      <w:pPr>
        <w:ind w:left="720"/>
        <w:jc w:val="both"/>
        <w:outlineLvl w:val="0"/>
        <w:rPr>
          <w:highlight w:val="yellow"/>
        </w:rPr>
      </w:pPr>
    </w:p>
    <w:p w:rsidR="000015D0" w:rsidRDefault="000015D0" w:rsidP="000015D0">
      <w:pPr>
        <w:ind w:left="720"/>
        <w:jc w:val="both"/>
      </w:pPr>
      <w:r w:rsidRPr="00B752E6">
        <w:t xml:space="preserve">The </w:t>
      </w:r>
      <w:r w:rsidR="005868F6">
        <w:t>enterprise</w:t>
      </w:r>
      <w:r>
        <w:t xml:space="preserve"> technology </w:t>
      </w:r>
      <w:r w:rsidRPr="00B752E6">
        <w:t xml:space="preserve">projects that will </w:t>
      </w:r>
      <w:r w:rsidRPr="000015D0">
        <w:t xml:space="preserve">transfer to plant-in-service are described in detail in Mr. </w:t>
      </w:r>
      <w:proofErr w:type="spellStart"/>
      <w:r w:rsidR="00B73C33">
        <w:t>Kensok</w:t>
      </w:r>
      <w:r w:rsidRPr="000015D0">
        <w:t>’s</w:t>
      </w:r>
      <w:proofErr w:type="spellEnd"/>
      <w:r w:rsidRPr="000015D0">
        <w:t xml:space="preserve"> direct testimony, Exhibit No._</w:t>
      </w:r>
      <w:proofErr w:type="gramStart"/>
      <w:r w:rsidRPr="000015D0">
        <w:t>_(</w:t>
      </w:r>
      <w:proofErr w:type="gramEnd"/>
      <w:r w:rsidRPr="000015D0">
        <w:t>JMK-1T).  A listing</w:t>
      </w:r>
      <w:r w:rsidR="008C4F03">
        <w:t xml:space="preserve"> of these projects</w:t>
      </w:r>
      <w:r w:rsidR="00887DF1">
        <w:t xml:space="preserve"> </w:t>
      </w:r>
      <w:r w:rsidR="00191C6F">
        <w:t>and the system costs</w:t>
      </w:r>
      <w:r w:rsidR="00DA3F2A">
        <w:t xml:space="preserve"> are included in T</w:t>
      </w:r>
      <w:r w:rsidR="008C4F03">
        <w:t xml:space="preserve">able </w:t>
      </w:r>
      <w:r w:rsidR="00DA3F2A">
        <w:t xml:space="preserve">No. </w:t>
      </w:r>
      <w:r w:rsidR="008C4F03">
        <w:t>9 below</w:t>
      </w:r>
      <w:r w:rsidRPr="00B752E6">
        <w:t>:</w:t>
      </w:r>
    </w:p>
    <w:p w:rsidR="00887DF1" w:rsidRDefault="00887DF1" w:rsidP="00191C6F">
      <w:pPr>
        <w:jc w:val="both"/>
        <w:rPr>
          <w:b/>
        </w:rPr>
      </w:pPr>
    </w:p>
    <w:p w:rsidR="00EA6F8A" w:rsidRPr="00DA3F2A" w:rsidRDefault="00EA6F8A" w:rsidP="00EA6F8A">
      <w:pPr>
        <w:ind w:firstLine="720"/>
        <w:jc w:val="both"/>
        <w:rPr>
          <w:b/>
          <w:u w:val="single"/>
        </w:rPr>
      </w:pPr>
      <w:r w:rsidRPr="00DA3F2A">
        <w:rPr>
          <w:b/>
          <w:u w:val="single"/>
        </w:rPr>
        <w:t xml:space="preserve">Table </w:t>
      </w:r>
      <w:r w:rsidR="00DA3F2A">
        <w:rPr>
          <w:b/>
          <w:u w:val="single"/>
        </w:rPr>
        <w:t xml:space="preserve">No. </w:t>
      </w:r>
      <w:r w:rsidRPr="00DA3F2A">
        <w:rPr>
          <w:b/>
          <w:u w:val="single"/>
        </w:rPr>
        <w:t xml:space="preserve">9: </w:t>
      </w:r>
    </w:p>
    <w:p w:rsidR="00ED1384" w:rsidRDefault="00EC6313" w:rsidP="000015D0">
      <w:pPr>
        <w:ind w:left="720"/>
        <w:jc w:val="both"/>
      </w:pPr>
      <w:r>
        <w:rPr>
          <w:noProof/>
        </w:rPr>
        <w:pict>
          <v:shape id="_x0000_s1154" type="#_x0000_t75" style="position:absolute;left:0;text-align:left;margin-left:36pt;margin-top:12pt;width:406.65pt;height:249pt;z-index:251757568;mso-position-horizontal-relative:text;mso-position-vertical-relative:text">
            <v:imagedata r:id="rId30" o:title=""/>
          </v:shape>
          <o:OLEObject Type="Embed" ProgID="Excel.Sheet.12" ShapeID="_x0000_s1154" DrawAspect="Content" ObjectID="_1452587209" r:id="rId31"/>
        </w:pict>
      </w:r>
    </w:p>
    <w:p w:rsidR="00ED1384" w:rsidRDefault="00ED1384" w:rsidP="000015D0">
      <w:pPr>
        <w:ind w:left="720"/>
        <w:jc w:val="both"/>
      </w:pPr>
    </w:p>
    <w:p w:rsidR="00ED1384" w:rsidRDefault="00ED1384" w:rsidP="000015D0">
      <w:pPr>
        <w:ind w:left="720"/>
        <w:jc w:val="both"/>
      </w:pPr>
    </w:p>
    <w:p w:rsidR="00ED1384" w:rsidRDefault="00ED1384" w:rsidP="000015D0">
      <w:pPr>
        <w:ind w:left="720"/>
        <w:jc w:val="both"/>
      </w:pPr>
    </w:p>
    <w:p w:rsidR="00ED1384" w:rsidRDefault="00ED1384" w:rsidP="000015D0">
      <w:pPr>
        <w:ind w:left="720"/>
        <w:jc w:val="both"/>
      </w:pPr>
    </w:p>
    <w:p w:rsidR="00ED1384" w:rsidRDefault="00ED1384" w:rsidP="000015D0">
      <w:pPr>
        <w:ind w:left="720"/>
        <w:jc w:val="both"/>
      </w:pPr>
    </w:p>
    <w:p w:rsidR="00ED1384" w:rsidRDefault="00ED1384" w:rsidP="000015D0">
      <w:pPr>
        <w:ind w:left="720"/>
        <w:jc w:val="both"/>
      </w:pPr>
    </w:p>
    <w:p w:rsidR="00ED1384" w:rsidRDefault="00ED1384" w:rsidP="000015D0">
      <w:pPr>
        <w:ind w:left="720"/>
        <w:jc w:val="both"/>
      </w:pPr>
    </w:p>
    <w:p w:rsidR="00ED1384" w:rsidRDefault="00ED1384" w:rsidP="000015D0">
      <w:pPr>
        <w:ind w:left="720"/>
        <w:jc w:val="both"/>
      </w:pPr>
    </w:p>
    <w:p w:rsidR="00ED1384" w:rsidRDefault="00ED1384" w:rsidP="000015D0">
      <w:pPr>
        <w:ind w:left="720"/>
        <w:jc w:val="both"/>
      </w:pPr>
    </w:p>
    <w:p w:rsidR="00ED1384" w:rsidRDefault="00ED1384" w:rsidP="000015D0">
      <w:pPr>
        <w:ind w:left="720"/>
        <w:jc w:val="both"/>
      </w:pPr>
    </w:p>
    <w:p w:rsidR="007C275C" w:rsidRDefault="007C275C" w:rsidP="00B475E9">
      <w:pPr>
        <w:jc w:val="center"/>
        <w:rPr>
          <w:color w:val="000000"/>
        </w:rPr>
      </w:pPr>
    </w:p>
    <w:p w:rsidR="00B475E9" w:rsidRPr="00B475E9" w:rsidRDefault="00B475E9" w:rsidP="00B475E9">
      <w:pPr>
        <w:jc w:val="center"/>
        <w:rPr>
          <w:color w:val="000000"/>
        </w:rPr>
      </w:pPr>
    </w:p>
    <w:p w:rsidR="00887DF1" w:rsidRDefault="00887DF1" w:rsidP="00B475E9">
      <w:pPr>
        <w:ind w:left="720"/>
        <w:jc w:val="both"/>
        <w:outlineLvl w:val="0"/>
        <w:rPr>
          <w:b/>
          <w:u w:val="single"/>
        </w:rPr>
      </w:pPr>
    </w:p>
    <w:p w:rsidR="00EA6F8A" w:rsidRDefault="00EA6F8A" w:rsidP="00B475E9">
      <w:pPr>
        <w:ind w:left="720"/>
        <w:jc w:val="both"/>
        <w:outlineLvl w:val="0"/>
        <w:rPr>
          <w:b/>
          <w:u w:val="single"/>
        </w:rPr>
      </w:pPr>
    </w:p>
    <w:p w:rsidR="00EA6F8A" w:rsidRDefault="00EA6F8A" w:rsidP="00B475E9">
      <w:pPr>
        <w:ind w:left="720"/>
        <w:jc w:val="both"/>
        <w:outlineLvl w:val="0"/>
        <w:rPr>
          <w:b/>
          <w:u w:val="single"/>
        </w:rPr>
      </w:pPr>
    </w:p>
    <w:p w:rsidR="00046A38" w:rsidRDefault="00046A38" w:rsidP="00B475E9">
      <w:pPr>
        <w:ind w:left="720"/>
        <w:jc w:val="both"/>
        <w:outlineLvl w:val="0"/>
        <w:rPr>
          <w:b/>
          <w:u w:val="single"/>
        </w:rPr>
      </w:pPr>
    </w:p>
    <w:p w:rsidR="00046A38" w:rsidRDefault="00046A38" w:rsidP="00B475E9">
      <w:pPr>
        <w:ind w:left="720"/>
        <w:jc w:val="both"/>
        <w:outlineLvl w:val="0"/>
        <w:rPr>
          <w:b/>
          <w:u w:val="single"/>
        </w:rPr>
      </w:pPr>
    </w:p>
    <w:p w:rsidR="00EA6F8A" w:rsidRDefault="00EA6F8A" w:rsidP="00B475E9">
      <w:pPr>
        <w:ind w:left="720"/>
        <w:jc w:val="both"/>
        <w:outlineLvl w:val="0"/>
        <w:rPr>
          <w:b/>
          <w:u w:val="single"/>
        </w:rPr>
      </w:pPr>
    </w:p>
    <w:p w:rsidR="00B475E9" w:rsidRPr="002E7A3B" w:rsidRDefault="007C275C" w:rsidP="00B475E9">
      <w:pPr>
        <w:ind w:left="720"/>
        <w:jc w:val="both"/>
        <w:outlineLvl w:val="0"/>
        <w:rPr>
          <w:b/>
        </w:rPr>
      </w:pPr>
      <w:r w:rsidRPr="00B475E9">
        <w:rPr>
          <w:b/>
          <w:u w:val="single"/>
        </w:rPr>
        <w:t>Jackson Prairie Storage</w:t>
      </w:r>
      <w:r w:rsidR="00B475E9" w:rsidRPr="00B475E9">
        <w:rPr>
          <w:b/>
          <w:u w:val="single"/>
        </w:rPr>
        <w:t xml:space="preserve"> - </w:t>
      </w:r>
      <w:r w:rsidR="00B475E9" w:rsidRPr="00B475E9">
        <w:rPr>
          <w:b/>
        </w:rPr>
        <w:t>2013: $</w:t>
      </w:r>
      <w:r w:rsidR="00B475E9">
        <w:rPr>
          <w:b/>
        </w:rPr>
        <w:t>450,000; 2014: $500,000; 2015: $1,000,000</w:t>
      </w:r>
    </w:p>
    <w:p w:rsidR="007C275C" w:rsidRPr="00E65B5B" w:rsidRDefault="007C275C" w:rsidP="007C275C">
      <w:pPr>
        <w:ind w:left="720"/>
        <w:jc w:val="both"/>
      </w:pPr>
      <w:r w:rsidRPr="00E65B5B">
        <w:t xml:space="preserve">These projects include various capital improvements that Avista and its partners will complete at </w:t>
      </w:r>
      <w:r w:rsidR="00E65B5B" w:rsidRPr="00E65B5B">
        <w:t>Jackson Prairie facility</w:t>
      </w:r>
      <w:r w:rsidRPr="00E65B5B">
        <w:t>.</w:t>
      </w:r>
    </w:p>
    <w:p w:rsidR="007C275C" w:rsidRDefault="007C275C" w:rsidP="007C275C">
      <w:pPr>
        <w:ind w:left="720"/>
        <w:jc w:val="both"/>
        <w:rPr>
          <w:b/>
        </w:rPr>
      </w:pPr>
    </w:p>
    <w:p w:rsidR="00A04C8C" w:rsidRDefault="00A04C8C" w:rsidP="00A04C8C">
      <w:pPr>
        <w:ind w:left="720"/>
        <w:jc w:val="both"/>
        <w:outlineLvl w:val="0"/>
        <w:rPr>
          <w:b/>
          <w:u w:val="single"/>
        </w:rPr>
      </w:pPr>
      <w:r>
        <w:rPr>
          <w:b/>
          <w:u w:val="single"/>
        </w:rPr>
        <w:t>N</w:t>
      </w:r>
      <w:r w:rsidR="00E65B5B" w:rsidRPr="003034AB">
        <w:rPr>
          <w:b/>
          <w:u w:val="single"/>
        </w:rPr>
        <w:t>atural Gas Distribution:</w:t>
      </w:r>
    </w:p>
    <w:p w:rsidR="00405363" w:rsidRDefault="003034AB" w:rsidP="00CE6C8B">
      <w:pPr>
        <w:ind w:left="720"/>
        <w:jc w:val="both"/>
        <w:outlineLvl w:val="0"/>
        <w:rPr>
          <w:b/>
        </w:rPr>
      </w:pPr>
      <w:r w:rsidRPr="00A04C8C">
        <w:t>The detailed listing of the natural gas distribution projects</w:t>
      </w:r>
      <w:r w:rsidR="00191C6F">
        <w:t xml:space="preserve"> and system costs</w:t>
      </w:r>
      <w:r w:rsidRPr="00A04C8C">
        <w:t xml:space="preserve"> that will transfer t</w:t>
      </w:r>
      <w:r w:rsidR="008C4F03">
        <w:t>o plant-in-service</w:t>
      </w:r>
      <w:r w:rsidR="00191C6F">
        <w:t>,</w:t>
      </w:r>
      <w:r w:rsidR="008C4F03">
        <w:t xml:space="preserve"> are included in </w:t>
      </w:r>
      <w:r w:rsidR="00AC44FC">
        <w:t>T</w:t>
      </w:r>
      <w:r w:rsidR="008C4F03">
        <w:t>able 10</w:t>
      </w:r>
      <w:r w:rsidR="00CE6C8B">
        <w:t xml:space="preserve">, with narrative summaries following the table. </w:t>
      </w:r>
      <w:r w:rsidR="008C4F03">
        <w:t xml:space="preserve"> </w:t>
      </w:r>
    </w:p>
    <w:p w:rsidR="00CE6C8B" w:rsidRPr="00DA3F2A" w:rsidRDefault="006E1D22" w:rsidP="00CE6C8B">
      <w:pPr>
        <w:ind w:left="720"/>
        <w:jc w:val="both"/>
        <w:rPr>
          <w:b/>
          <w:u w:val="single"/>
        </w:rPr>
      </w:pPr>
      <w:r>
        <w:rPr>
          <w:b/>
        </w:rPr>
        <w:br w:type="page"/>
      </w:r>
      <w:r w:rsidR="00EA6F8A" w:rsidRPr="00DA3F2A">
        <w:rPr>
          <w:b/>
          <w:u w:val="single"/>
        </w:rPr>
        <w:lastRenderedPageBreak/>
        <w:t>T</w:t>
      </w:r>
      <w:r w:rsidR="00CE6C8B" w:rsidRPr="00DA3F2A">
        <w:rPr>
          <w:b/>
          <w:u w:val="single"/>
        </w:rPr>
        <w:t>able</w:t>
      </w:r>
      <w:r w:rsidR="00DA3F2A" w:rsidRPr="00DA3F2A">
        <w:rPr>
          <w:b/>
          <w:u w:val="single"/>
        </w:rPr>
        <w:t xml:space="preserve"> No.</w:t>
      </w:r>
      <w:r w:rsidR="00CE6C8B" w:rsidRPr="00DA3F2A">
        <w:rPr>
          <w:b/>
          <w:u w:val="single"/>
        </w:rPr>
        <w:t xml:space="preserve"> 10: </w:t>
      </w:r>
    </w:p>
    <w:p w:rsidR="00CE6C8B" w:rsidRDefault="00EC6313" w:rsidP="003034AB">
      <w:pPr>
        <w:ind w:left="720"/>
        <w:jc w:val="both"/>
      </w:pPr>
      <w:r>
        <w:rPr>
          <w:noProof/>
        </w:rPr>
        <w:pict>
          <v:shape id="_x0000_s1155" type="#_x0000_t75" style="position:absolute;left:0;text-align:left;margin-left:34.5pt;margin-top:6.6pt;width:405.9pt;height:254.25pt;z-index:251759616;mso-position-horizontal-relative:text;mso-position-vertical-relative:text">
            <v:imagedata r:id="rId32" o:title=""/>
          </v:shape>
          <o:OLEObject Type="Embed" ProgID="Excel.Sheet.12" ShapeID="_x0000_s1155" DrawAspect="Content" ObjectID="_1452587210" r:id="rId33"/>
        </w:pict>
      </w:r>
    </w:p>
    <w:p w:rsidR="00ED1384" w:rsidRDefault="00ED1384" w:rsidP="003034AB">
      <w:pPr>
        <w:ind w:left="720"/>
        <w:jc w:val="both"/>
      </w:pPr>
    </w:p>
    <w:p w:rsidR="00ED1384" w:rsidRDefault="00ED1384" w:rsidP="003034AB">
      <w:pPr>
        <w:ind w:left="720"/>
        <w:jc w:val="both"/>
      </w:pPr>
    </w:p>
    <w:p w:rsidR="00ED1384" w:rsidRDefault="00ED1384" w:rsidP="003034AB">
      <w:pPr>
        <w:ind w:left="720"/>
        <w:jc w:val="both"/>
      </w:pPr>
    </w:p>
    <w:p w:rsidR="00ED1384" w:rsidRDefault="00ED1384" w:rsidP="003034AB">
      <w:pPr>
        <w:ind w:left="720"/>
        <w:jc w:val="both"/>
      </w:pPr>
    </w:p>
    <w:p w:rsidR="00ED1384" w:rsidRDefault="00ED1384" w:rsidP="003034AB">
      <w:pPr>
        <w:ind w:left="720"/>
        <w:jc w:val="both"/>
      </w:pPr>
    </w:p>
    <w:p w:rsidR="00ED1384" w:rsidRDefault="00ED1384" w:rsidP="003034AB">
      <w:pPr>
        <w:ind w:left="720"/>
        <w:jc w:val="both"/>
      </w:pPr>
    </w:p>
    <w:p w:rsidR="00ED1384" w:rsidRDefault="00ED1384" w:rsidP="003034AB">
      <w:pPr>
        <w:ind w:left="720"/>
        <w:jc w:val="both"/>
      </w:pPr>
    </w:p>
    <w:p w:rsidR="00ED1384" w:rsidRDefault="00ED1384" w:rsidP="003034AB">
      <w:pPr>
        <w:ind w:left="720"/>
        <w:jc w:val="both"/>
      </w:pPr>
    </w:p>
    <w:p w:rsidR="00CE6C8B" w:rsidRDefault="00CE6C8B" w:rsidP="003034AB">
      <w:pPr>
        <w:ind w:left="720"/>
        <w:jc w:val="both"/>
      </w:pPr>
    </w:p>
    <w:p w:rsidR="00CE6C8B" w:rsidRDefault="00CE6C8B" w:rsidP="003034AB">
      <w:pPr>
        <w:ind w:left="720"/>
        <w:jc w:val="both"/>
      </w:pPr>
    </w:p>
    <w:p w:rsidR="00CE6C8B" w:rsidRDefault="00CE6C8B" w:rsidP="003034AB">
      <w:pPr>
        <w:ind w:left="720"/>
        <w:jc w:val="both"/>
      </w:pPr>
    </w:p>
    <w:p w:rsidR="00AC1E81" w:rsidRDefault="00AC1E81" w:rsidP="003034AB">
      <w:pPr>
        <w:ind w:left="720"/>
        <w:jc w:val="both"/>
      </w:pPr>
    </w:p>
    <w:p w:rsidR="00AC1E81" w:rsidRDefault="00AC1E81" w:rsidP="003034AB">
      <w:pPr>
        <w:ind w:left="720"/>
        <w:jc w:val="both"/>
      </w:pPr>
    </w:p>
    <w:p w:rsidR="00CE6C8B" w:rsidRDefault="00CE6C8B" w:rsidP="003034AB">
      <w:pPr>
        <w:ind w:left="720"/>
        <w:jc w:val="both"/>
      </w:pPr>
    </w:p>
    <w:p w:rsidR="00CE6C8B" w:rsidRDefault="00CE6C8B" w:rsidP="003034AB">
      <w:pPr>
        <w:ind w:left="720"/>
        <w:jc w:val="both"/>
      </w:pPr>
    </w:p>
    <w:p w:rsidR="00CE6C8B" w:rsidRDefault="00CE6C8B" w:rsidP="003034AB">
      <w:pPr>
        <w:ind w:left="720"/>
        <w:jc w:val="both"/>
      </w:pPr>
    </w:p>
    <w:p w:rsidR="00046A38" w:rsidRDefault="00046A38" w:rsidP="00E65B5B">
      <w:pPr>
        <w:ind w:left="720"/>
        <w:jc w:val="both"/>
        <w:outlineLvl w:val="0"/>
        <w:rPr>
          <w:b/>
        </w:rPr>
      </w:pPr>
    </w:p>
    <w:p w:rsidR="00046A38" w:rsidRDefault="00046A38" w:rsidP="00E65B5B">
      <w:pPr>
        <w:ind w:left="720"/>
        <w:jc w:val="both"/>
        <w:outlineLvl w:val="0"/>
        <w:rPr>
          <w:b/>
        </w:rPr>
      </w:pPr>
    </w:p>
    <w:p w:rsidR="00046A38" w:rsidRDefault="00046A38" w:rsidP="00E65B5B">
      <w:pPr>
        <w:ind w:left="720"/>
        <w:jc w:val="both"/>
        <w:outlineLvl w:val="0"/>
        <w:rPr>
          <w:b/>
        </w:rPr>
      </w:pPr>
    </w:p>
    <w:p w:rsidR="00E65B5B" w:rsidRPr="002E7A3B" w:rsidRDefault="002E7A3B" w:rsidP="00E65B5B">
      <w:pPr>
        <w:ind w:left="720"/>
        <w:jc w:val="both"/>
        <w:outlineLvl w:val="0"/>
        <w:rPr>
          <w:b/>
        </w:rPr>
      </w:pPr>
      <w:r w:rsidRPr="002E7A3B">
        <w:rPr>
          <w:b/>
        </w:rPr>
        <w:t>Aldyl A Replacement – 2013: $8,463,000; 2014: $16,452; 2015: $16,817</w:t>
      </w:r>
    </w:p>
    <w:p w:rsidR="00E65B5B" w:rsidRDefault="00E65B5B" w:rsidP="00E65B5B">
      <w:pPr>
        <w:adjustRightInd w:val="0"/>
        <w:ind w:left="720"/>
        <w:jc w:val="both"/>
        <w:rPr>
          <w:highlight w:val="yellow"/>
        </w:rPr>
      </w:pPr>
      <w:r w:rsidRPr="00E65B5B">
        <w:rPr>
          <w:szCs w:val="28"/>
        </w:rPr>
        <w:t xml:space="preserve">The Company </w:t>
      </w:r>
      <w:r w:rsidR="00EA6F8A">
        <w:rPr>
          <w:szCs w:val="28"/>
        </w:rPr>
        <w:t xml:space="preserve">currently </w:t>
      </w:r>
      <w:r w:rsidR="00CE6C8B">
        <w:rPr>
          <w:szCs w:val="28"/>
        </w:rPr>
        <w:t>undergoing</w:t>
      </w:r>
      <w:r w:rsidRPr="00E65B5B">
        <w:rPr>
          <w:szCs w:val="28"/>
        </w:rPr>
        <w:t xml:space="preserve"> a twenty-year program to systematically remove and replace select portions of the DuPont Aldyl </w:t>
      </w:r>
      <w:proofErr w:type="gramStart"/>
      <w:r w:rsidRPr="00E65B5B">
        <w:rPr>
          <w:szCs w:val="28"/>
        </w:rPr>
        <w:t>A</w:t>
      </w:r>
      <w:proofErr w:type="gramEnd"/>
      <w:r w:rsidRPr="00E65B5B">
        <w:rPr>
          <w:szCs w:val="28"/>
        </w:rPr>
        <w:t xml:space="preserve"> medium density polyethylene pipe in its natural gas distribution system in the States of Washington, Oregon and Idaho.  None of the subject pipe is “high pressure main pipe,” but rather, </w:t>
      </w:r>
      <w:r w:rsidRPr="00C24AEC">
        <w:rPr>
          <w:szCs w:val="28"/>
        </w:rPr>
        <w:t xml:space="preserve">consists of distribution mains at maximum operating pressures of 60 psi and pipe diameters ranging from 1¼ to 4 inches. </w:t>
      </w:r>
      <w:r w:rsidRPr="00C24AEC">
        <w:t>This program is described further by Mr. Kopczynski in his testimony, Exhibit No._</w:t>
      </w:r>
      <w:proofErr w:type="gramStart"/>
      <w:r w:rsidRPr="00C24AEC">
        <w:t>_(</w:t>
      </w:r>
      <w:proofErr w:type="gramEnd"/>
      <w:r w:rsidRPr="00C24AEC">
        <w:t xml:space="preserve">DFK-1T). </w:t>
      </w:r>
    </w:p>
    <w:p w:rsidR="00E65B5B" w:rsidRPr="00087DEA" w:rsidRDefault="00E65B5B" w:rsidP="00E65B5B">
      <w:pPr>
        <w:adjustRightInd w:val="0"/>
        <w:ind w:left="720"/>
        <w:jc w:val="both"/>
        <w:rPr>
          <w:highlight w:val="yellow"/>
        </w:rPr>
      </w:pPr>
    </w:p>
    <w:p w:rsidR="002E7A3B" w:rsidRDefault="002E7A3B" w:rsidP="00E65B5B">
      <w:pPr>
        <w:ind w:left="720"/>
        <w:jc w:val="both"/>
        <w:outlineLvl w:val="0"/>
        <w:rPr>
          <w:b/>
        </w:rPr>
      </w:pPr>
      <w:proofErr w:type="spellStart"/>
      <w:r>
        <w:rPr>
          <w:b/>
        </w:rPr>
        <w:t>Cathodic</w:t>
      </w:r>
      <w:proofErr w:type="spellEnd"/>
      <w:r>
        <w:rPr>
          <w:b/>
        </w:rPr>
        <w:t xml:space="preserve"> Protection </w:t>
      </w:r>
      <w:r w:rsidRPr="002E7A3B">
        <w:rPr>
          <w:b/>
        </w:rPr>
        <w:t>–</w:t>
      </w:r>
      <w:r w:rsidR="00E65B5B" w:rsidRPr="002E7A3B">
        <w:rPr>
          <w:b/>
        </w:rPr>
        <w:t xml:space="preserve"> </w:t>
      </w:r>
      <w:r w:rsidRPr="002E7A3B">
        <w:rPr>
          <w:b/>
        </w:rPr>
        <w:t>2013: $172,000; 2014: $</w:t>
      </w:r>
      <w:r>
        <w:rPr>
          <w:b/>
        </w:rPr>
        <w:t>800</w:t>
      </w:r>
      <w:r w:rsidR="00CF5812">
        <w:rPr>
          <w:b/>
        </w:rPr>
        <w:t>,000</w:t>
      </w:r>
      <w:r w:rsidRPr="002E7A3B">
        <w:rPr>
          <w:b/>
        </w:rPr>
        <w:t>; 2015: $</w:t>
      </w:r>
      <w:r>
        <w:rPr>
          <w:b/>
        </w:rPr>
        <w:t>800</w:t>
      </w:r>
      <w:r w:rsidR="00CF5812">
        <w:rPr>
          <w:b/>
        </w:rPr>
        <w:t>,000</w:t>
      </w:r>
    </w:p>
    <w:p w:rsidR="00E65B5B" w:rsidRPr="00E65B5B" w:rsidRDefault="00CE6C8B" w:rsidP="00E65B5B">
      <w:pPr>
        <w:ind w:left="720"/>
        <w:jc w:val="both"/>
        <w:outlineLvl w:val="0"/>
      </w:pPr>
      <w:r>
        <w:t xml:space="preserve">This annual project upgrades, replaces, or </w:t>
      </w:r>
      <w:r w:rsidR="00EA6F8A">
        <w:t>installs</w:t>
      </w:r>
      <w:r w:rsidR="00E65B5B" w:rsidRPr="00E65B5B">
        <w:t xml:space="preserve"> </w:t>
      </w:r>
      <w:proofErr w:type="spellStart"/>
      <w:r w:rsidR="00E65B5B" w:rsidRPr="00E65B5B">
        <w:t>cathodic</w:t>
      </w:r>
      <w:proofErr w:type="spellEnd"/>
      <w:r w:rsidR="00E65B5B" w:rsidRPr="00E65B5B">
        <w:t xml:space="preserve"> protection systems required to ensure compliance with PHMSA regulations regarding proper </w:t>
      </w:r>
      <w:proofErr w:type="spellStart"/>
      <w:r w:rsidR="00E65B5B" w:rsidRPr="00E65B5B">
        <w:t>cathodic</w:t>
      </w:r>
      <w:proofErr w:type="spellEnd"/>
      <w:r w:rsidR="00E65B5B" w:rsidRPr="00E65B5B">
        <w:t xml:space="preserve"> protection of steel mains.</w:t>
      </w:r>
    </w:p>
    <w:p w:rsidR="00E65B5B" w:rsidRPr="002E7A3B" w:rsidRDefault="00E65B5B" w:rsidP="00E65B5B">
      <w:pPr>
        <w:ind w:left="720"/>
        <w:jc w:val="both"/>
        <w:outlineLvl w:val="0"/>
      </w:pPr>
    </w:p>
    <w:p w:rsidR="00E65B5B" w:rsidRPr="002E7A3B" w:rsidRDefault="00E65B5B" w:rsidP="00E65B5B">
      <w:pPr>
        <w:ind w:left="720"/>
        <w:jc w:val="both"/>
        <w:outlineLvl w:val="0"/>
        <w:rPr>
          <w:b/>
        </w:rPr>
      </w:pPr>
      <w:r w:rsidRPr="002E7A3B">
        <w:rPr>
          <w:b/>
        </w:rPr>
        <w:t>Gas Distribution Non-Revenue Blanket -</w:t>
      </w:r>
      <w:r w:rsidR="002E7A3B" w:rsidRPr="002E7A3B">
        <w:rPr>
          <w:b/>
        </w:rPr>
        <w:t>20</w:t>
      </w:r>
      <w:r w:rsidR="009E261D">
        <w:rPr>
          <w:b/>
        </w:rPr>
        <w:t>13: $4,728,000; 2014:</w:t>
      </w:r>
      <w:r w:rsidR="00CE6C8B">
        <w:rPr>
          <w:b/>
        </w:rPr>
        <w:t xml:space="preserve"> </w:t>
      </w:r>
      <w:r w:rsidR="009E261D">
        <w:rPr>
          <w:b/>
        </w:rPr>
        <w:t>$7,402,000; 2015: $8,925</w:t>
      </w:r>
      <w:r w:rsidR="002E7A3B" w:rsidRPr="002E7A3B">
        <w:rPr>
          <w:b/>
        </w:rPr>
        <w:t>,000</w:t>
      </w:r>
    </w:p>
    <w:p w:rsidR="00E65B5B" w:rsidRPr="00E65B5B" w:rsidRDefault="00E65B5B" w:rsidP="00E65B5B">
      <w:pPr>
        <w:adjustRightInd w:val="0"/>
        <w:ind w:left="720"/>
        <w:jc w:val="both"/>
      </w:pPr>
      <w:r w:rsidRPr="00E65B5B">
        <w:t xml:space="preserve">This annual project will replace sections of existing natural gas piping that require replacement to improve the operation of the natural gas system but are not linked to new revenue. The project includes improvements in equipment and/or technology to improve system operation and/or maintenance, replacement of obsolete facilities, replacement of main to improve </w:t>
      </w:r>
      <w:proofErr w:type="spellStart"/>
      <w:r w:rsidRPr="00E65B5B">
        <w:t>cathodic</w:t>
      </w:r>
      <w:proofErr w:type="spellEnd"/>
      <w:r w:rsidRPr="00E65B5B">
        <w:t xml:space="preserve"> performance, and projects to improve public safety and/or improve system reliability.</w:t>
      </w:r>
    </w:p>
    <w:p w:rsidR="00E65B5B" w:rsidRPr="00087DEA" w:rsidRDefault="00E65B5B" w:rsidP="00E65B5B">
      <w:pPr>
        <w:adjustRightInd w:val="0"/>
        <w:ind w:left="720"/>
        <w:jc w:val="both"/>
        <w:rPr>
          <w:highlight w:val="yellow"/>
        </w:rPr>
      </w:pPr>
    </w:p>
    <w:p w:rsidR="00AC1E81" w:rsidRDefault="00AC1E81" w:rsidP="007C275C">
      <w:pPr>
        <w:ind w:left="720"/>
        <w:jc w:val="both"/>
        <w:rPr>
          <w:b/>
        </w:rPr>
      </w:pPr>
    </w:p>
    <w:p w:rsidR="00AC1E81" w:rsidRDefault="00AC1E81" w:rsidP="007C275C">
      <w:pPr>
        <w:ind w:left="720"/>
        <w:jc w:val="both"/>
        <w:rPr>
          <w:b/>
        </w:rPr>
      </w:pPr>
    </w:p>
    <w:p w:rsidR="007C275C" w:rsidRPr="00087DEA" w:rsidRDefault="007C275C" w:rsidP="007C275C">
      <w:pPr>
        <w:ind w:left="720"/>
        <w:jc w:val="both"/>
        <w:rPr>
          <w:b/>
          <w:highlight w:val="yellow"/>
        </w:rPr>
      </w:pPr>
      <w:r w:rsidRPr="003533D4">
        <w:rPr>
          <w:b/>
        </w:rPr>
        <w:t>G</w:t>
      </w:r>
      <w:r w:rsidR="002E7A3B" w:rsidRPr="003533D4">
        <w:rPr>
          <w:b/>
        </w:rPr>
        <w:t xml:space="preserve">as Reinforcement – Minor Blanket - </w:t>
      </w:r>
      <w:r w:rsidR="003533D4" w:rsidRPr="003533D4">
        <w:rPr>
          <w:b/>
        </w:rPr>
        <w:t>2013</w:t>
      </w:r>
      <w:r w:rsidR="003533D4">
        <w:rPr>
          <w:b/>
        </w:rPr>
        <w:t>: $395</w:t>
      </w:r>
      <w:r w:rsidR="002E7A3B" w:rsidRPr="002E7A3B">
        <w:rPr>
          <w:b/>
        </w:rPr>
        <w:t>,000; 2014: $</w:t>
      </w:r>
      <w:r w:rsidR="003533D4">
        <w:rPr>
          <w:b/>
        </w:rPr>
        <w:t>1,0</w:t>
      </w:r>
      <w:r w:rsidR="002E7A3B">
        <w:rPr>
          <w:b/>
        </w:rPr>
        <w:t>00</w:t>
      </w:r>
      <w:r w:rsidR="003533D4">
        <w:rPr>
          <w:b/>
        </w:rPr>
        <w:t>,000</w:t>
      </w:r>
      <w:r w:rsidR="002E7A3B" w:rsidRPr="002E7A3B">
        <w:rPr>
          <w:b/>
        </w:rPr>
        <w:t>; 2015: $</w:t>
      </w:r>
      <w:r w:rsidR="003533D4">
        <w:rPr>
          <w:b/>
        </w:rPr>
        <w:t>1,000,000</w:t>
      </w:r>
    </w:p>
    <w:p w:rsidR="007C275C" w:rsidRPr="00E65B5B" w:rsidRDefault="007C275C" w:rsidP="007C275C">
      <w:pPr>
        <w:ind w:left="720"/>
        <w:jc w:val="both"/>
      </w:pPr>
      <w:r w:rsidRPr="00E65B5B">
        <w:t xml:space="preserve">This annual project will reinforce portions of the existing </w:t>
      </w:r>
      <w:r w:rsidR="00C068B5" w:rsidRPr="00E65B5B">
        <w:t xml:space="preserve">natural </w:t>
      </w:r>
      <w:r w:rsidRPr="00E65B5B">
        <w:t>gas system to ensure continued reliable service during a design day for areas that have had low pressure problems due to increased growth and/or system demand.  This project will identify and install new sections of gas main to improve the operating reliability and performance of the gas distribution system. Execution of this program on an annual basis will ensure the continuation of reliable gas service that is of adequate pressure and capacity.</w:t>
      </w:r>
    </w:p>
    <w:p w:rsidR="003533D4" w:rsidRDefault="003533D4" w:rsidP="00E65B5B">
      <w:pPr>
        <w:ind w:left="720"/>
        <w:jc w:val="both"/>
        <w:outlineLvl w:val="0"/>
        <w:rPr>
          <w:b/>
          <w:highlight w:val="yellow"/>
        </w:rPr>
      </w:pPr>
    </w:p>
    <w:p w:rsidR="00E65B5B" w:rsidRPr="00087DEA" w:rsidRDefault="00E65B5B" w:rsidP="00E65B5B">
      <w:pPr>
        <w:ind w:left="720"/>
        <w:jc w:val="both"/>
        <w:outlineLvl w:val="0"/>
        <w:rPr>
          <w:b/>
          <w:highlight w:val="yellow"/>
        </w:rPr>
      </w:pPr>
      <w:r w:rsidRPr="003533D4">
        <w:rPr>
          <w:b/>
        </w:rPr>
        <w:t xml:space="preserve">Gas Replacement Street/Highways - </w:t>
      </w:r>
      <w:r w:rsidR="003533D4" w:rsidRPr="003533D4">
        <w:rPr>
          <w:b/>
        </w:rPr>
        <w:t>2013: $1</w:t>
      </w:r>
      <w:r w:rsidR="003533D4">
        <w:rPr>
          <w:b/>
        </w:rPr>
        <w:t>,938,000;</w:t>
      </w:r>
      <w:r w:rsidR="002E7A3B" w:rsidRPr="002E7A3B">
        <w:rPr>
          <w:b/>
        </w:rPr>
        <w:t xml:space="preserve"> 2014: $</w:t>
      </w:r>
      <w:r w:rsidR="003533D4">
        <w:rPr>
          <w:b/>
        </w:rPr>
        <w:t>4,500,000</w:t>
      </w:r>
      <w:r w:rsidR="002E7A3B" w:rsidRPr="002E7A3B">
        <w:rPr>
          <w:b/>
        </w:rPr>
        <w:t>; 2015: $</w:t>
      </w:r>
      <w:r w:rsidR="003533D4">
        <w:rPr>
          <w:b/>
        </w:rPr>
        <w:t>4,500,000</w:t>
      </w:r>
    </w:p>
    <w:p w:rsidR="00E65B5B" w:rsidRPr="003533D4" w:rsidRDefault="00E65B5B" w:rsidP="00E65B5B">
      <w:pPr>
        <w:adjustRightInd w:val="0"/>
        <w:ind w:left="720"/>
        <w:jc w:val="both"/>
      </w:pPr>
      <w:r w:rsidRPr="00E65B5B">
        <w:t xml:space="preserve">This annual project will replace sections of existing natural gas piping that require replacement due to relocation or improvement of streets or highways in areas where natural gas piping is installed.  Avista installs many of its facilities in public right-of-way under established franchise agreements.  Avista is required under the franchise agreements, in most cases, to relocate its facilities when they are in conflict with road </w:t>
      </w:r>
      <w:r w:rsidRPr="003533D4">
        <w:t xml:space="preserve">or highway improvements.  </w:t>
      </w:r>
    </w:p>
    <w:p w:rsidR="00E65B5B" w:rsidRPr="003533D4" w:rsidRDefault="00E65B5B" w:rsidP="00E65B5B">
      <w:pPr>
        <w:adjustRightInd w:val="0"/>
        <w:jc w:val="both"/>
      </w:pPr>
    </w:p>
    <w:p w:rsidR="00E65B5B" w:rsidRDefault="00E65B5B" w:rsidP="00E65B5B">
      <w:pPr>
        <w:ind w:left="720"/>
        <w:jc w:val="both"/>
        <w:outlineLvl w:val="0"/>
        <w:rPr>
          <w:b/>
        </w:rPr>
      </w:pPr>
      <w:r w:rsidRPr="003533D4">
        <w:rPr>
          <w:b/>
        </w:rPr>
        <w:t xml:space="preserve">Gas Telemetry - </w:t>
      </w:r>
      <w:r w:rsidR="003533D4" w:rsidRPr="003533D4">
        <w:rPr>
          <w:b/>
        </w:rPr>
        <w:t>2013: $98</w:t>
      </w:r>
      <w:r w:rsidR="002E7A3B" w:rsidRPr="003533D4">
        <w:rPr>
          <w:b/>
        </w:rPr>
        <w:t>,000; 2014: $</w:t>
      </w:r>
      <w:r w:rsidR="003533D4">
        <w:rPr>
          <w:b/>
        </w:rPr>
        <w:t>400,000</w:t>
      </w:r>
      <w:r w:rsidR="002E7A3B" w:rsidRPr="002E7A3B">
        <w:rPr>
          <w:b/>
        </w:rPr>
        <w:t>; 2015: $</w:t>
      </w:r>
      <w:r w:rsidR="003533D4">
        <w:rPr>
          <w:b/>
        </w:rPr>
        <w:t>400,000</w:t>
      </w:r>
    </w:p>
    <w:p w:rsidR="00E65B5B" w:rsidRPr="00E65B5B" w:rsidRDefault="00E65B5B" w:rsidP="00E65B5B">
      <w:pPr>
        <w:ind w:left="720"/>
        <w:jc w:val="both"/>
        <w:outlineLvl w:val="0"/>
      </w:pPr>
      <w:r w:rsidRPr="00E65B5B">
        <w:t>The projects will include the installation of six flow computers to replace existing aging infrastructure.  Additionally this project includes all new telemetry installations, to include both wireless and hard wired.</w:t>
      </w:r>
    </w:p>
    <w:p w:rsidR="00E65B5B" w:rsidRPr="00087DEA" w:rsidRDefault="00E65B5B" w:rsidP="00E65B5B">
      <w:pPr>
        <w:ind w:left="720"/>
        <w:jc w:val="both"/>
        <w:outlineLvl w:val="0"/>
        <w:rPr>
          <w:highlight w:val="yellow"/>
        </w:rPr>
      </w:pPr>
    </w:p>
    <w:p w:rsidR="00E65B5B" w:rsidRPr="003533D4" w:rsidRDefault="00E65B5B" w:rsidP="00E65B5B">
      <w:pPr>
        <w:ind w:left="720"/>
        <w:jc w:val="both"/>
        <w:outlineLvl w:val="0"/>
        <w:rPr>
          <w:b/>
        </w:rPr>
      </w:pPr>
      <w:r w:rsidRPr="003533D4">
        <w:rPr>
          <w:b/>
        </w:rPr>
        <w:t xml:space="preserve">Isolated Steel Replacement - </w:t>
      </w:r>
      <w:r w:rsidR="003533D4" w:rsidRPr="003533D4">
        <w:rPr>
          <w:b/>
        </w:rPr>
        <w:t>2013: $1,121</w:t>
      </w:r>
      <w:r w:rsidR="002E7A3B" w:rsidRPr="003533D4">
        <w:rPr>
          <w:b/>
        </w:rPr>
        <w:t>,000; 2014: $</w:t>
      </w:r>
      <w:r w:rsidR="003533D4" w:rsidRPr="003533D4">
        <w:rPr>
          <w:b/>
        </w:rPr>
        <w:t>2,598,000</w:t>
      </w:r>
      <w:r w:rsidR="002E7A3B" w:rsidRPr="003533D4">
        <w:rPr>
          <w:b/>
        </w:rPr>
        <w:t>; 2015: $</w:t>
      </w:r>
      <w:r w:rsidR="003533D4" w:rsidRPr="003533D4">
        <w:rPr>
          <w:b/>
        </w:rPr>
        <w:t>2,818,000</w:t>
      </w:r>
      <w:r w:rsidR="002E7A3B" w:rsidRPr="003533D4">
        <w:rPr>
          <w:b/>
        </w:rPr>
        <w:t xml:space="preserve"> </w:t>
      </w:r>
    </w:p>
    <w:p w:rsidR="00E65B5B" w:rsidRDefault="00E65B5B" w:rsidP="00E65B5B">
      <w:pPr>
        <w:adjustRightInd w:val="0"/>
        <w:ind w:left="720"/>
        <w:jc w:val="both"/>
        <w:rPr>
          <w:highlight w:val="yellow"/>
        </w:rPr>
      </w:pPr>
      <w:r w:rsidRPr="003F1BE2">
        <w:t xml:space="preserve">The Company is implementing a special </w:t>
      </w:r>
      <w:proofErr w:type="spellStart"/>
      <w:r w:rsidRPr="003F1BE2">
        <w:t>cathodic</w:t>
      </w:r>
      <w:proofErr w:type="spellEnd"/>
      <w:r w:rsidRPr="003F1BE2">
        <w:t xml:space="preserve"> protection program for the purpose of finding and addressing isolated steel in its natural gas piping systems.  </w:t>
      </w:r>
    </w:p>
    <w:p w:rsidR="00E65B5B" w:rsidRPr="00087DEA" w:rsidRDefault="00E65B5B" w:rsidP="00E65B5B">
      <w:pPr>
        <w:adjustRightInd w:val="0"/>
        <w:ind w:left="720"/>
        <w:jc w:val="both"/>
        <w:rPr>
          <w:highlight w:val="yellow"/>
        </w:rPr>
      </w:pPr>
    </w:p>
    <w:p w:rsidR="00E65B5B" w:rsidRPr="00CF5812" w:rsidRDefault="00E65B5B" w:rsidP="00E65B5B">
      <w:pPr>
        <w:ind w:left="720"/>
        <w:jc w:val="both"/>
        <w:outlineLvl w:val="0"/>
        <w:rPr>
          <w:b/>
        </w:rPr>
      </w:pPr>
      <w:r w:rsidRPr="00CF5812">
        <w:rPr>
          <w:b/>
        </w:rPr>
        <w:t>Over Bu</w:t>
      </w:r>
      <w:r w:rsidR="002E7A3B" w:rsidRPr="00CF5812">
        <w:rPr>
          <w:b/>
        </w:rPr>
        <w:t xml:space="preserve">ilt Pipe Replacement Blanket - </w:t>
      </w:r>
      <w:r w:rsidR="00CF5812" w:rsidRPr="00CF5812">
        <w:rPr>
          <w:b/>
        </w:rPr>
        <w:t>2013: $390</w:t>
      </w:r>
      <w:r w:rsidR="002E7A3B" w:rsidRPr="00CF5812">
        <w:rPr>
          <w:b/>
        </w:rPr>
        <w:t>,000; 2014: $</w:t>
      </w:r>
      <w:r w:rsidR="00CF5812" w:rsidRPr="00CF5812">
        <w:rPr>
          <w:b/>
        </w:rPr>
        <w:t>900,000</w:t>
      </w:r>
      <w:r w:rsidR="002E7A3B" w:rsidRPr="00CF5812">
        <w:rPr>
          <w:b/>
        </w:rPr>
        <w:t>; 2015: $</w:t>
      </w:r>
      <w:r w:rsidR="00CF5812" w:rsidRPr="00CF5812">
        <w:rPr>
          <w:b/>
        </w:rPr>
        <w:t>900,000</w:t>
      </w:r>
    </w:p>
    <w:p w:rsidR="00E65B5B" w:rsidRPr="003F1BE2" w:rsidRDefault="00E65B5B" w:rsidP="00E65B5B">
      <w:pPr>
        <w:adjustRightInd w:val="0"/>
        <w:ind w:left="720"/>
        <w:jc w:val="both"/>
      </w:pPr>
      <w:r w:rsidRPr="003F1BE2">
        <w:t>This annual project will replace sections of existing gas piping that have experienced encroachment or have been overbuilt i.e., where a structure has been built over existing gas piping.  It will address the replacement of sections of gas main that no longer can be operated safely and will identify and replace sections of main to improve public safety.  All types of overbuilds will be addressed with the primary focus of the project being overbuilds in manufactured home developments.</w:t>
      </w:r>
    </w:p>
    <w:p w:rsidR="00E65B5B" w:rsidRPr="00087DEA" w:rsidRDefault="00E65B5B" w:rsidP="00E65B5B">
      <w:pPr>
        <w:adjustRightInd w:val="0"/>
        <w:ind w:left="720"/>
        <w:jc w:val="both"/>
        <w:rPr>
          <w:highlight w:val="yellow"/>
        </w:rPr>
      </w:pPr>
    </w:p>
    <w:p w:rsidR="00E65B5B" w:rsidRPr="00CF5812" w:rsidRDefault="00E65B5B" w:rsidP="00E65B5B">
      <w:pPr>
        <w:ind w:left="720"/>
        <w:jc w:val="both"/>
        <w:outlineLvl w:val="0"/>
        <w:rPr>
          <w:b/>
        </w:rPr>
      </w:pPr>
      <w:r w:rsidRPr="00CF5812">
        <w:rPr>
          <w:b/>
        </w:rPr>
        <w:t>Regulator Station Rel</w:t>
      </w:r>
      <w:r w:rsidR="002E7A3B" w:rsidRPr="00CF5812">
        <w:rPr>
          <w:b/>
        </w:rPr>
        <w:t xml:space="preserve">iability </w:t>
      </w:r>
      <w:r w:rsidR="00CF5812" w:rsidRPr="00CF5812">
        <w:rPr>
          <w:b/>
        </w:rPr>
        <w:t xml:space="preserve">Replacement </w:t>
      </w:r>
      <w:r w:rsidR="002E7A3B" w:rsidRPr="00CF5812">
        <w:rPr>
          <w:b/>
        </w:rPr>
        <w:t xml:space="preserve">Projects - </w:t>
      </w:r>
      <w:r w:rsidR="00CF5812" w:rsidRPr="00CF5812">
        <w:rPr>
          <w:b/>
        </w:rPr>
        <w:t>2013: $218</w:t>
      </w:r>
      <w:r w:rsidR="002E7A3B" w:rsidRPr="00CF5812">
        <w:rPr>
          <w:b/>
        </w:rPr>
        <w:t>,000; 2014: $</w:t>
      </w:r>
      <w:r w:rsidR="00CF5812" w:rsidRPr="00CF5812">
        <w:rPr>
          <w:b/>
        </w:rPr>
        <w:t>600,000</w:t>
      </w:r>
      <w:r w:rsidR="002E7A3B" w:rsidRPr="00CF5812">
        <w:rPr>
          <w:b/>
        </w:rPr>
        <w:t>; 2015: $800</w:t>
      </w:r>
      <w:r w:rsidR="00CF5812" w:rsidRPr="00CF5812">
        <w:rPr>
          <w:b/>
        </w:rPr>
        <w:t>,000</w:t>
      </w:r>
    </w:p>
    <w:p w:rsidR="00E65B5B" w:rsidRPr="003F1BE2" w:rsidRDefault="00CE6C8B" w:rsidP="00E65B5B">
      <w:pPr>
        <w:ind w:left="720"/>
        <w:jc w:val="both"/>
        <w:outlineLvl w:val="0"/>
      </w:pPr>
      <w:r>
        <w:t>This annual project upgrades or replaces</w:t>
      </w:r>
      <w:r w:rsidR="00E65B5B" w:rsidRPr="003F1BE2">
        <w:t xml:space="preserve"> various regulator stations within the natural gas distribution system, improving station reliability and reducing operation and </w:t>
      </w:r>
      <w:r w:rsidR="00E65B5B" w:rsidRPr="003F1BE2">
        <w:lastRenderedPageBreak/>
        <w:t>maintenance co</w:t>
      </w:r>
      <w:r>
        <w:t>sts.  Existing stations require</w:t>
      </w:r>
      <w:r w:rsidR="00E65B5B" w:rsidRPr="003F1BE2">
        <w:t xml:space="preserve"> upgrades due to many factors, such as replacement of obsolete equipment and improvement in regulation technology. </w:t>
      </w:r>
    </w:p>
    <w:p w:rsidR="00E65B5B" w:rsidRPr="00FB7FF2" w:rsidRDefault="00E65B5B" w:rsidP="00E65B5B">
      <w:pPr>
        <w:ind w:left="720"/>
        <w:jc w:val="both"/>
        <w:outlineLvl w:val="0"/>
      </w:pPr>
    </w:p>
    <w:p w:rsidR="007C275C" w:rsidRPr="00FB7FF2" w:rsidRDefault="002E7A3B" w:rsidP="007C275C">
      <w:pPr>
        <w:ind w:left="720"/>
        <w:jc w:val="both"/>
        <w:outlineLvl w:val="0"/>
        <w:rPr>
          <w:b/>
        </w:rPr>
      </w:pPr>
      <w:r w:rsidRPr="00FB7FF2">
        <w:rPr>
          <w:b/>
        </w:rPr>
        <w:t xml:space="preserve">Replace </w:t>
      </w:r>
      <w:r w:rsidR="00FB7FF2" w:rsidRPr="00FB7FF2">
        <w:rPr>
          <w:b/>
        </w:rPr>
        <w:t>Deteriorating Steel Gas Systems -</w:t>
      </w:r>
      <w:r w:rsidRPr="00FB7FF2">
        <w:rPr>
          <w:b/>
        </w:rPr>
        <w:t xml:space="preserve"> </w:t>
      </w:r>
      <w:r w:rsidR="00FB7FF2">
        <w:rPr>
          <w:b/>
        </w:rPr>
        <w:t>2013: $495</w:t>
      </w:r>
      <w:r w:rsidRPr="00FB7FF2">
        <w:rPr>
          <w:b/>
        </w:rPr>
        <w:t>,000; 2014: $800</w:t>
      </w:r>
      <w:r w:rsidR="00FB7FF2">
        <w:rPr>
          <w:b/>
        </w:rPr>
        <w:t>,000</w:t>
      </w:r>
      <w:r w:rsidRPr="00FB7FF2">
        <w:rPr>
          <w:b/>
        </w:rPr>
        <w:t>; 2015: $</w:t>
      </w:r>
      <w:r w:rsidR="00FB7FF2">
        <w:rPr>
          <w:b/>
        </w:rPr>
        <w:t>1,000,000</w:t>
      </w:r>
    </w:p>
    <w:p w:rsidR="00CF5812" w:rsidRPr="00CF5812" w:rsidRDefault="00CF5812" w:rsidP="00FB7FF2">
      <w:pPr>
        <w:widowControl w:val="0"/>
        <w:tabs>
          <w:tab w:val="left" w:pos="90"/>
        </w:tabs>
        <w:adjustRightInd w:val="0"/>
        <w:ind w:left="720"/>
        <w:jc w:val="both"/>
      </w:pPr>
      <w:r w:rsidRPr="00CF5812">
        <w:t>This annual program will replace sections of existing steel gas piping that are suspect for failure or are showing signs of deterioration within the gas system.  This program will address the replacement of sections of gas main with corrosion related issues that no longer operate reliably and/or safely.  Sections of the gas system require replacement due to many factors including material failures, environmental impact, increased leak frequency, or coating problems.  This program will identify and replace sections of steel pipe to improve public safety and system reliability.  The projects</w:t>
      </w:r>
      <w:r w:rsidR="00CE6C8B">
        <w:t>’</w:t>
      </w:r>
      <w:r w:rsidRPr="00CF5812">
        <w:t xml:space="preserve"> primary focus is to address corrosion related pipe issues. </w:t>
      </w:r>
    </w:p>
    <w:p w:rsidR="007C275C" w:rsidRPr="00087DEA" w:rsidRDefault="007C275C" w:rsidP="007C275C">
      <w:pPr>
        <w:ind w:left="720"/>
        <w:jc w:val="both"/>
        <w:outlineLvl w:val="0"/>
        <w:rPr>
          <w:highlight w:val="yellow"/>
        </w:rPr>
      </w:pPr>
    </w:p>
    <w:p w:rsidR="007C275C" w:rsidRDefault="00FB7FF2" w:rsidP="007C275C">
      <w:pPr>
        <w:adjustRightInd w:val="0"/>
        <w:ind w:left="720"/>
        <w:jc w:val="both"/>
        <w:rPr>
          <w:highlight w:val="yellow"/>
        </w:rPr>
      </w:pPr>
      <w:r w:rsidRPr="00D7497E">
        <w:rPr>
          <w:b/>
        </w:rPr>
        <w:t>Gas PMC Program-Capital</w:t>
      </w:r>
      <w:r>
        <w:rPr>
          <w:b/>
        </w:rPr>
        <w:t xml:space="preserve"> Replacements</w:t>
      </w:r>
      <w:r w:rsidRPr="00FB7FF2">
        <w:rPr>
          <w:b/>
        </w:rPr>
        <w:t xml:space="preserve"> - </w:t>
      </w:r>
      <w:r w:rsidR="002E7A3B" w:rsidRPr="002E7A3B">
        <w:rPr>
          <w:b/>
        </w:rPr>
        <w:t>2014: $</w:t>
      </w:r>
      <w:r>
        <w:rPr>
          <w:b/>
        </w:rPr>
        <w:t>1,000,000</w:t>
      </w:r>
      <w:r w:rsidR="002E7A3B" w:rsidRPr="002E7A3B">
        <w:rPr>
          <w:b/>
        </w:rPr>
        <w:t>; 2015: $</w:t>
      </w:r>
      <w:r>
        <w:rPr>
          <w:b/>
        </w:rPr>
        <w:t>1,030,000</w:t>
      </w:r>
    </w:p>
    <w:p w:rsidR="00D7497E" w:rsidRPr="00D7497E" w:rsidRDefault="00D7497E" w:rsidP="00D7497E">
      <w:pPr>
        <w:widowControl w:val="0"/>
        <w:tabs>
          <w:tab w:val="left" w:pos="90"/>
        </w:tabs>
        <w:adjustRightInd w:val="0"/>
        <w:ind w:left="720"/>
        <w:jc w:val="both"/>
      </w:pPr>
      <w:r w:rsidRPr="00D7497E">
        <w:t xml:space="preserve">This annual program will provide for replacement of gas meters and associated measurement equipment that are completed in association with the Gas Planned Meter Change-out (PMC) program.  Avista is required by commission rules and an approved Tariff in WA, ID, and OR to test meters for accuracy and ensure proper metering performance.  Execution of this program on an annual basis will ensure the continuation of reliable gas measurement.  This program will include the labor and minor materials associated with the PMC program. </w:t>
      </w:r>
    </w:p>
    <w:p w:rsidR="003F1BE2" w:rsidRDefault="003F1BE2" w:rsidP="007C275C">
      <w:pPr>
        <w:adjustRightInd w:val="0"/>
        <w:ind w:left="720"/>
        <w:jc w:val="both"/>
        <w:rPr>
          <w:highlight w:val="yellow"/>
        </w:rPr>
      </w:pPr>
    </w:p>
    <w:p w:rsidR="003F1BE2" w:rsidRPr="003034AB" w:rsidRDefault="00FB7FF2" w:rsidP="007C275C">
      <w:pPr>
        <w:adjustRightInd w:val="0"/>
        <w:ind w:left="720"/>
        <w:jc w:val="both"/>
        <w:rPr>
          <w:b/>
        </w:rPr>
      </w:pPr>
      <w:r w:rsidRPr="003034AB">
        <w:rPr>
          <w:b/>
        </w:rPr>
        <w:t xml:space="preserve">ERTs Replacement Program - </w:t>
      </w:r>
      <w:r w:rsidR="002E7A3B" w:rsidRPr="003034AB">
        <w:rPr>
          <w:b/>
        </w:rPr>
        <w:t>2015: $</w:t>
      </w:r>
      <w:r w:rsidRPr="003034AB">
        <w:rPr>
          <w:b/>
        </w:rPr>
        <w:t>902,000</w:t>
      </w:r>
    </w:p>
    <w:p w:rsidR="00CE6C8B" w:rsidRDefault="003034AB" w:rsidP="003034AB">
      <w:pPr>
        <w:widowControl w:val="0"/>
        <w:tabs>
          <w:tab w:val="left" w:pos="90"/>
        </w:tabs>
        <w:adjustRightInd w:val="0"/>
        <w:ind w:left="720"/>
        <w:jc w:val="both"/>
      </w:pPr>
      <w:r w:rsidRPr="003034AB">
        <w:t xml:space="preserve">This program covers labor required for the replacement of 19,500 </w:t>
      </w:r>
      <w:proofErr w:type="gramStart"/>
      <w:r w:rsidRPr="003034AB">
        <w:t>gas</w:t>
      </w:r>
      <w:proofErr w:type="gramEnd"/>
      <w:r w:rsidRPr="003034AB">
        <w:t xml:space="preserve"> Encoder Receiver Transmitter (ERTs) annually for a 12-year cycle, beginning in the year 2015.  Analyses has identified that a </w:t>
      </w:r>
      <w:proofErr w:type="spellStart"/>
      <w:r w:rsidRPr="003034AB">
        <w:t>levelized</w:t>
      </w:r>
      <w:proofErr w:type="spellEnd"/>
      <w:r w:rsidRPr="003034AB">
        <w:t xml:space="preserve"> replacement strategy will minimize the effect of unit failures as well as introduce new, </w:t>
      </w:r>
      <w:proofErr w:type="spellStart"/>
      <w:r w:rsidRPr="003034AB">
        <w:t>levelized</w:t>
      </w:r>
      <w:proofErr w:type="spellEnd"/>
      <w:r w:rsidRPr="003034AB">
        <w:t xml:space="preserve"> populations of ERTs into the system for future predictive maintenance.  Large populations of ERTs are predicted to fail in quantities of over 20,000 units per year at the peak, causing an operations burden of personnel and equipment as well as an unreasonable number of estimated bills (currently Avista experiences just a couple hundred failures annually due to small ERT populations).</w:t>
      </w:r>
    </w:p>
    <w:p w:rsidR="003034AB" w:rsidRPr="003034AB" w:rsidRDefault="00CE6C8B" w:rsidP="003034AB">
      <w:pPr>
        <w:widowControl w:val="0"/>
        <w:tabs>
          <w:tab w:val="left" w:pos="90"/>
        </w:tabs>
        <w:adjustRightInd w:val="0"/>
        <w:ind w:left="720"/>
        <w:jc w:val="both"/>
      </w:pPr>
      <w:r w:rsidRPr="003034AB">
        <w:t xml:space="preserve"> </w:t>
      </w:r>
    </w:p>
    <w:p w:rsidR="003F1BE2" w:rsidRPr="003034AB" w:rsidRDefault="00FB7FF2" w:rsidP="007C275C">
      <w:pPr>
        <w:adjustRightInd w:val="0"/>
        <w:ind w:left="720"/>
        <w:jc w:val="both"/>
        <w:rPr>
          <w:b/>
        </w:rPr>
      </w:pPr>
      <w:r w:rsidRPr="003034AB">
        <w:rPr>
          <w:b/>
        </w:rPr>
        <w:t xml:space="preserve">Goldendale HP - </w:t>
      </w:r>
      <w:r w:rsidR="002E7A3B" w:rsidRPr="003034AB">
        <w:rPr>
          <w:b/>
        </w:rPr>
        <w:t>2015: $</w:t>
      </w:r>
      <w:r w:rsidRPr="003034AB">
        <w:rPr>
          <w:b/>
        </w:rPr>
        <w:t>3,500,000</w:t>
      </w:r>
    </w:p>
    <w:p w:rsidR="003034AB" w:rsidRDefault="003034AB" w:rsidP="003034AB">
      <w:pPr>
        <w:adjustRightInd w:val="0"/>
        <w:ind w:left="720"/>
        <w:jc w:val="both"/>
      </w:pPr>
      <w:r w:rsidRPr="003034AB">
        <w:t>The coating on the existing high pressure</w:t>
      </w:r>
      <w:r w:rsidR="00CE6C8B">
        <w:t xml:space="preserve"> (HP)</w:t>
      </w:r>
      <w:r w:rsidRPr="003034AB">
        <w:t xml:space="preserve"> main that feeds the town of Goldendale is disbanded and is showing signs of early stages of corrosion.  This line has been exposed in several different locations, and all sections have similar characteristics.  </w:t>
      </w:r>
      <w:r w:rsidR="00CE6C8B">
        <w:t>Avista will</w:t>
      </w:r>
      <w:r w:rsidRPr="003034AB">
        <w:t xml:space="preserve"> replace nearly 3 miles of 4" HP feeding the town of Goldendale with new 4" steel main. Federal code mandates that the coating on steel mains must be properly adhered to the main to protect the pipe from corrosion.  </w:t>
      </w:r>
    </w:p>
    <w:p w:rsidR="003034AB" w:rsidRPr="003034AB" w:rsidRDefault="003034AB" w:rsidP="003034AB">
      <w:pPr>
        <w:adjustRightInd w:val="0"/>
        <w:ind w:left="720"/>
        <w:jc w:val="both"/>
      </w:pPr>
    </w:p>
    <w:p w:rsidR="003F1BE2" w:rsidRPr="003034AB" w:rsidRDefault="00FB7FF2" w:rsidP="007C275C">
      <w:pPr>
        <w:adjustRightInd w:val="0"/>
        <w:ind w:left="720"/>
        <w:jc w:val="both"/>
        <w:rPr>
          <w:b/>
        </w:rPr>
      </w:pPr>
      <w:r w:rsidRPr="003034AB">
        <w:rPr>
          <w:b/>
        </w:rPr>
        <w:t xml:space="preserve">Reinforcement, Hwy 2 Kaiser - </w:t>
      </w:r>
      <w:r w:rsidR="002E7A3B" w:rsidRPr="003034AB">
        <w:rPr>
          <w:b/>
        </w:rPr>
        <w:t>2015: $</w:t>
      </w:r>
      <w:r w:rsidRPr="003034AB">
        <w:rPr>
          <w:b/>
        </w:rPr>
        <w:t>1,400,000</w:t>
      </w:r>
    </w:p>
    <w:p w:rsidR="003034AB" w:rsidRPr="003034AB" w:rsidRDefault="003034AB" w:rsidP="003034AB">
      <w:pPr>
        <w:adjustRightInd w:val="0"/>
        <w:ind w:left="720"/>
        <w:jc w:val="both"/>
      </w:pPr>
      <w:r w:rsidRPr="003034AB">
        <w:lastRenderedPageBreak/>
        <w:t xml:space="preserve">This project will reinforce the area north of the </w:t>
      </w:r>
      <w:r w:rsidR="00CE6C8B">
        <w:t xml:space="preserve">former </w:t>
      </w:r>
      <w:r w:rsidRPr="003034AB">
        <w:t xml:space="preserve">Kaiser Aluminum property along Hwy 2.  The distribution system in this area is not able to reliably serve customers on a design day.  Additionally, Avista serves the Inland Asphalt plant located north of this </w:t>
      </w:r>
      <w:r w:rsidR="00CE6C8B">
        <w:t>and</w:t>
      </w:r>
      <w:r w:rsidRPr="003034AB">
        <w:t xml:space="preserve"> cannot reliably serve this customer in the spring and fall.  Approximately 8,000’ of 6” high-pressure steel will be installed. Engineering to start in 2014, construction planned for 2015.  This project is the top reinforcement priority for the Spokane area.</w:t>
      </w:r>
    </w:p>
    <w:p w:rsidR="00152598" w:rsidRDefault="00152598" w:rsidP="003034AB"/>
    <w:p w:rsidR="00632556" w:rsidRPr="007A2ACE" w:rsidRDefault="00632556" w:rsidP="00AA0064">
      <w:pPr>
        <w:spacing w:line="480" w:lineRule="auto"/>
        <w:ind w:firstLine="720"/>
        <w:jc w:val="both"/>
        <w:rPr>
          <w:b/>
        </w:rPr>
      </w:pPr>
      <w:r w:rsidRPr="00632556">
        <w:rPr>
          <w:b/>
        </w:rPr>
        <w:t>Q.</w:t>
      </w:r>
      <w:r w:rsidRPr="00632556">
        <w:rPr>
          <w:b/>
        </w:rPr>
        <w:tab/>
        <w:t xml:space="preserve">What </w:t>
      </w:r>
      <w:r w:rsidR="00CE6C8B">
        <w:rPr>
          <w:b/>
        </w:rPr>
        <w:t>is the net change</w:t>
      </w:r>
      <w:r w:rsidRPr="00632556">
        <w:rPr>
          <w:b/>
        </w:rPr>
        <w:t xml:space="preserve"> to electric rate base for the </w:t>
      </w:r>
      <w:r w:rsidR="00087DEA">
        <w:rPr>
          <w:b/>
        </w:rPr>
        <w:t xml:space="preserve">July 2013 </w:t>
      </w:r>
      <w:r w:rsidR="00087DEA" w:rsidRPr="007A2ACE">
        <w:rPr>
          <w:b/>
        </w:rPr>
        <w:t>through December 2015</w:t>
      </w:r>
      <w:r w:rsidR="00E23806" w:rsidRPr="007A2ACE">
        <w:rPr>
          <w:b/>
        </w:rPr>
        <w:t xml:space="preserve"> </w:t>
      </w:r>
      <w:r w:rsidRPr="007A2ACE">
        <w:rPr>
          <w:b/>
        </w:rPr>
        <w:t xml:space="preserve">capital </w:t>
      </w:r>
      <w:r w:rsidR="00647E39" w:rsidRPr="007A2ACE">
        <w:rPr>
          <w:b/>
        </w:rPr>
        <w:t>investment</w:t>
      </w:r>
      <w:r w:rsidRPr="007A2ACE">
        <w:rPr>
          <w:b/>
        </w:rPr>
        <w:t>?</w:t>
      </w:r>
    </w:p>
    <w:p w:rsidR="00632556" w:rsidRDefault="00632556" w:rsidP="00AA0064">
      <w:pPr>
        <w:pStyle w:val="BodyText2"/>
        <w:tabs>
          <w:tab w:val="left" w:pos="1440"/>
        </w:tabs>
        <w:ind w:firstLine="720"/>
      </w:pPr>
      <w:r w:rsidRPr="007A2ACE">
        <w:t>A.</w:t>
      </w:r>
      <w:r w:rsidRPr="007A2ACE">
        <w:tab/>
        <w:t xml:space="preserve">Electric net rate base for capital investment </w:t>
      </w:r>
      <w:r w:rsidR="00142816" w:rsidRPr="007A2ACE">
        <w:t>would increase</w:t>
      </w:r>
      <w:r w:rsidRPr="007A2ACE">
        <w:t xml:space="preserve"> $</w:t>
      </w:r>
      <w:r w:rsidR="007A2ACE" w:rsidRPr="007A2ACE">
        <w:t>127</w:t>
      </w:r>
      <w:r w:rsidR="00BD6349" w:rsidRPr="007A2ACE">
        <w:t>,</w:t>
      </w:r>
      <w:r w:rsidR="007A2ACE" w:rsidRPr="007A2ACE">
        <w:t>613</w:t>
      </w:r>
      <w:r w:rsidR="003D2F6E" w:rsidRPr="007A2ACE">
        <w:t>,000</w:t>
      </w:r>
      <w:r w:rsidRPr="007A2ACE">
        <w:t>, from $</w:t>
      </w:r>
      <w:r w:rsidR="007A2ACE" w:rsidRPr="007A2ACE">
        <w:t>1,192,492</w:t>
      </w:r>
      <w:r w:rsidRPr="007A2ACE">
        <w:t>,000</w:t>
      </w:r>
      <w:r w:rsidR="002A4362" w:rsidRPr="007A2ACE">
        <w:t xml:space="preserve"> (after </w:t>
      </w:r>
      <w:r w:rsidR="007A2ACE" w:rsidRPr="007A2ACE">
        <w:t xml:space="preserve">restating </w:t>
      </w:r>
      <w:r w:rsidR="002A4362" w:rsidRPr="007A2ACE">
        <w:t>adjustment)</w:t>
      </w:r>
      <w:r w:rsidRPr="007A2ACE">
        <w:t xml:space="preserve"> to $</w:t>
      </w:r>
      <w:r w:rsidR="007A2ACE" w:rsidRPr="007A2ACE">
        <w:t>1,320</w:t>
      </w:r>
      <w:r w:rsidR="003D2F6E" w:rsidRPr="007A2ACE">
        <w:t>,</w:t>
      </w:r>
      <w:r w:rsidR="007A2ACE" w:rsidRPr="007A2ACE">
        <w:t>105</w:t>
      </w:r>
      <w:r w:rsidRPr="007A2ACE">
        <w:t xml:space="preserve">,000.  Table </w:t>
      </w:r>
      <w:r w:rsidR="00C522F8">
        <w:t xml:space="preserve">No. </w:t>
      </w:r>
      <w:r w:rsidR="008C4F03">
        <w:t>11</w:t>
      </w:r>
      <w:r w:rsidRPr="007A2ACE">
        <w:t xml:space="preserve"> below summarizes the </w:t>
      </w:r>
      <w:r w:rsidR="00142816" w:rsidRPr="007A2ACE">
        <w:t>impact of this capital investment</w:t>
      </w:r>
      <w:r w:rsidRPr="007A2ACE">
        <w:t>.</w:t>
      </w:r>
    </w:p>
    <w:p w:rsidR="007A0454" w:rsidRPr="00C522F8" w:rsidRDefault="007A0454" w:rsidP="00046A38">
      <w:pPr>
        <w:pStyle w:val="BodyText2"/>
        <w:tabs>
          <w:tab w:val="left" w:pos="1440"/>
        </w:tabs>
        <w:rPr>
          <w:b/>
          <w:u w:val="single"/>
        </w:rPr>
      </w:pPr>
      <w:r w:rsidRPr="00C522F8">
        <w:rPr>
          <w:b/>
          <w:u w:val="single"/>
        </w:rPr>
        <w:t xml:space="preserve">Table </w:t>
      </w:r>
      <w:r w:rsidR="00C522F8" w:rsidRPr="00C522F8">
        <w:rPr>
          <w:b/>
          <w:u w:val="single"/>
        </w:rPr>
        <w:t xml:space="preserve">No. </w:t>
      </w:r>
      <w:r w:rsidRPr="00C522F8">
        <w:rPr>
          <w:b/>
          <w:u w:val="single"/>
        </w:rPr>
        <w:t>11:</w:t>
      </w:r>
    </w:p>
    <w:p w:rsidR="00ED1384" w:rsidRDefault="00EC6313" w:rsidP="00632556">
      <w:pPr>
        <w:pStyle w:val="BodyText2"/>
        <w:tabs>
          <w:tab w:val="left" w:pos="1440"/>
        </w:tabs>
        <w:ind w:firstLine="720"/>
      </w:pPr>
      <w:r>
        <w:rPr>
          <w:noProof/>
        </w:rPr>
        <w:pict>
          <v:shape id="_x0000_s1134" type="#_x0000_t75" style="position:absolute;left:0;text-align:left;margin-left:4pt;margin-top:4.1pt;width:471.1pt;height:167.85pt;z-index:251724800;mso-position-horizontal-relative:text;mso-position-vertical-relative:text">
            <v:imagedata r:id="rId34" o:title=""/>
          </v:shape>
          <o:OLEObject Type="Embed" ProgID="Excel.Sheet.12" ShapeID="_x0000_s1134" DrawAspect="Content" ObjectID="_1452587211" r:id="rId35"/>
        </w:pict>
      </w:r>
    </w:p>
    <w:p w:rsidR="007A0454" w:rsidRDefault="007A0454" w:rsidP="00632556">
      <w:pPr>
        <w:pStyle w:val="BodyText2"/>
        <w:tabs>
          <w:tab w:val="left" w:pos="1440"/>
        </w:tabs>
        <w:ind w:firstLine="720"/>
      </w:pPr>
    </w:p>
    <w:p w:rsidR="007A0454" w:rsidRDefault="007A0454" w:rsidP="00632556">
      <w:pPr>
        <w:pStyle w:val="BodyText2"/>
        <w:tabs>
          <w:tab w:val="left" w:pos="1440"/>
        </w:tabs>
        <w:ind w:firstLine="720"/>
      </w:pPr>
    </w:p>
    <w:p w:rsidR="00ED1384" w:rsidRDefault="00ED1384" w:rsidP="00632556">
      <w:pPr>
        <w:pStyle w:val="BodyText2"/>
        <w:tabs>
          <w:tab w:val="left" w:pos="1440"/>
        </w:tabs>
        <w:ind w:firstLine="720"/>
      </w:pPr>
    </w:p>
    <w:p w:rsidR="00ED1384" w:rsidRDefault="00ED1384" w:rsidP="00632556">
      <w:pPr>
        <w:pStyle w:val="BodyText2"/>
        <w:tabs>
          <w:tab w:val="left" w:pos="1440"/>
        </w:tabs>
        <w:ind w:firstLine="720"/>
      </w:pPr>
    </w:p>
    <w:p w:rsidR="007A0454" w:rsidRDefault="007A0454" w:rsidP="00632556">
      <w:pPr>
        <w:pStyle w:val="BodyText2"/>
        <w:tabs>
          <w:tab w:val="left" w:pos="1440"/>
        </w:tabs>
        <w:ind w:firstLine="720"/>
      </w:pPr>
    </w:p>
    <w:p w:rsidR="007A0454" w:rsidRDefault="007A0454" w:rsidP="00632556">
      <w:pPr>
        <w:pStyle w:val="BodyText2"/>
        <w:tabs>
          <w:tab w:val="left" w:pos="1440"/>
        </w:tabs>
        <w:ind w:firstLine="720"/>
      </w:pPr>
    </w:p>
    <w:p w:rsidR="00632556" w:rsidRPr="00632556" w:rsidRDefault="00632556" w:rsidP="00632556">
      <w:pPr>
        <w:pStyle w:val="BodyText2"/>
        <w:tabs>
          <w:tab w:val="left" w:pos="1440"/>
        </w:tabs>
        <w:ind w:firstLine="720"/>
        <w:rPr>
          <w:b/>
        </w:rPr>
      </w:pPr>
      <w:r w:rsidRPr="00632556">
        <w:rPr>
          <w:b/>
        </w:rPr>
        <w:t>Q.</w:t>
      </w:r>
      <w:r w:rsidRPr="00632556">
        <w:rPr>
          <w:b/>
        </w:rPr>
        <w:tab/>
        <w:t xml:space="preserve">What </w:t>
      </w:r>
      <w:r w:rsidR="00155C92">
        <w:rPr>
          <w:b/>
        </w:rPr>
        <w:t>is</w:t>
      </w:r>
      <w:r w:rsidRPr="00632556">
        <w:rPr>
          <w:b/>
        </w:rPr>
        <w:t xml:space="preserve"> the net </w:t>
      </w:r>
      <w:r w:rsidR="00CE6C8B">
        <w:rPr>
          <w:b/>
        </w:rPr>
        <w:t xml:space="preserve">change </w:t>
      </w:r>
      <w:r w:rsidRPr="00632556">
        <w:rPr>
          <w:b/>
        </w:rPr>
        <w:t xml:space="preserve">to natural gas rate base for </w:t>
      </w:r>
      <w:r w:rsidR="0028564A" w:rsidRPr="00632556">
        <w:rPr>
          <w:b/>
        </w:rPr>
        <w:t>the</w:t>
      </w:r>
      <w:r w:rsidR="008B5534">
        <w:rPr>
          <w:b/>
        </w:rPr>
        <w:t xml:space="preserve"> </w:t>
      </w:r>
      <w:r w:rsidR="007A2ACE">
        <w:rPr>
          <w:b/>
        </w:rPr>
        <w:t xml:space="preserve">July 2013 </w:t>
      </w:r>
      <w:r w:rsidR="007A2ACE" w:rsidRPr="007A2ACE">
        <w:rPr>
          <w:b/>
        </w:rPr>
        <w:t>through December 2015</w:t>
      </w:r>
      <w:r w:rsidR="007A2ACE">
        <w:rPr>
          <w:b/>
        </w:rPr>
        <w:t xml:space="preserve"> </w:t>
      </w:r>
      <w:r w:rsidR="0028564A" w:rsidRPr="00632556">
        <w:rPr>
          <w:b/>
        </w:rPr>
        <w:t xml:space="preserve">capital </w:t>
      </w:r>
      <w:r w:rsidR="0028564A">
        <w:rPr>
          <w:b/>
        </w:rPr>
        <w:t>investment</w:t>
      </w:r>
      <w:r w:rsidRPr="00632556">
        <w:rPr>
          <w:b/>
        </w:rPr>
        <w:t>?</w:t>
      </w:r>
    </w:p>
    <w:p w:rsidR="00A33E10" w:rsidRDefault="00632556" w:rsidP="00632556">
      <w:pPr>
        <w:pStyle w:val="BodyText2"/>
        <w:tabs>
          <w:tab w:val="left" w:pos="1440"/>
        </w:tabs>
        <w:ind w:firstLine="720"/>
      </w:pPr>
      <w:r w:rsidRPr="00632556">
        <w:t>A.</w:t>
      </w:r>
      <w:r w:rsidRPr="00632556">
        <w:tab/>
        <w:t>Natural gas net rate base for capital investment</w:t>
      </w:r>
      <w:r w:rsidR="008B5534">
        <w:t xml:space="preserve"> </w:t>
      </w:r>
      <w:r w:rsidR="00142816">
        <w:t xml:space="preserve">would </w:t>
      </w:r>
      <w:r w:rsidR="003D2F6E">
        <w:t>in</w:t>
      </w:r>
      <w:r w:rsidRPr="00632556">
        <w:t>crease $</w:t>
      </w:r>
      <w:r w:rsidR="00765322">
        <w:t>30</w:t>
      </w:r>
      <w:r w:rsidR="008311CB">
        <w:t>,083</w:t>
      </w:r>
      <w:r w:rsidRPr="00632556">
        <w:t>,000, from $</w:t>
      </w:r>
      <w:r w:rsidR="008311CB">
        <w:t>202,648</w:t>
      </w:r>
      <w:r w:rsidRPr="00632556">
        <w:t xml:space="preserve">,000 </w:t>
      </w:r>
      <w:r w:rsidR="00142816">
        <w:t xml:space="preserve">(after </w:t>
      </w:r>
      <w:r w:rsidR="008311CB">
        <w:t>restating</w:t>
      </w:r>
      <w:r w:rsidR="00142816">
        <w:t xml:space="preserve"> adjustment)</w:t>
      </w:r>
      <w:r w:rsidR="00142816" w:rsidRPr="00632556">
        <w:t xml:space="preserve"> </w:t>
      </w:r>
      <w:r w:rsidRPr="00632556">
        <w:t>to $</w:t>
      </w:r>
      <w:r w:rsidR="008311CB">
        <w:t>232,731</w:t>
      </w:r>
      <w:r w:rsidR="002A4362">
        <w:t>,000.  Table</w:t>
      </w:r>
      <w:r w:rsidR="00C522F8">
        <w:t xml:space="preserve"> No.</w:t>
      </w:r>
      <w:r w:rsidR="002A4362">
        <w:t xml:space="preserve"> </w:t>
      </w:r>
      <w:r w:rsidR="008C4F03">
        <w:t>12</w:t>
      </w:r>
      <w:r w:rsidRPr="00632556">
        <w:t xml:space="preserve"> below summarizes the </w:t>
      </w:r>
      <w:r w:rsidR="00142816">
        <w:t>impact of this capital investment</w:t>
      </w:r>
      <w:r w:rsidRPr="00632556">
        <w:t>.</w:t>
      </w:r>
    </w:p>
    <w:p w:rsidR="00CE6C8B" w:rsidRPr="00C522F8" w:rsidRDefault="00EC6313" w:rsidP="00046A38">
      <w:pPr>
        <w:pStyle w:val="BodyText2"/>
        <w:tabs>
          <w:tab w:val="left" w:pos="1440"/>
        </w:tabs>
        <w:rPr>
          <w:b/>
          <w:u w:val="single"/>
        </w:rPr>
      </w:pPr>
      <w:r w:rsidRPr="00EC6313">
        <w:rPr>
          <w:noProof/>
          <w:u w:val="single"/>
        </w:rPr>
        <w:lastRenderedPageBreak/>
        <w:pict>
          <v:shape id="_x0000_s1136" type="#_x0000_t75" style="position:absolute;left:0;text-align:left;margin-left:4pt;margin-top:27.55pt;width:457.9pt;height:155.4pt;z-index:251726848;mso-position-horizontal-relative:text;mso-position-vertical-relative:text">
            <v:imagedata r:id="rId36" o:title=""/>
          </v:shape>
          <o:OLEObject Type="Embed" ProgID="Excel.Sheet.12" ShapeID="_x0000_s1136" DrawAspect="Content" ObjectID="_1452587212" r:id="rId37"/>
        </w:pict>
      </w:r>
      <w:r w:rsidR="00CE6C8B" w:rsidRPr="00C522F8">
        <w:rPr>
          <w:b/>
          <w:u w:val="single"/>
        </w:rPr>
        <w:t xml:space="preserve">Table </w:t>
      </w:r>
      <w:r w:rsidR="00C522F8" w:rsidRPr="00C522F8">
        <w:rPr>
          <w:b/>
          <w:u w:val="single"/>
        </w:rPr>
        <w:t xml:space="preserve">No. </w:t>
      </w:r>
      <w:r w:rsidR="00CE6C8B" w:rsidRPr="00C522F8">
        <w:rPr>
          <w:b/>
          <w:u w:val="single"/>
        </w:rPr>
        <w:t>12:</w:t>
      </w:r>
    </w:p>
    <w:p w:rsidR="00CE6C8B" w:rsidRDefault="00CE6C8B" w:rsidP="00632556">
      <w:pPr>
        <w:pStyle w:val="BodyText2"/>
        <w:tabs>
          <w:tab w:val="left" w:pos="1440"/>
        </w:tabs>
        <w:ind w:firstLine="720"/>
      </w:pPr>
    </w:p>
    <w:p w:rsidR="003413DB" w:rsidRDefault="003413DB" w:rsidP="00632556">
      <w:pPr>
        <w:pStyle w:val="BodyText2"/>
        <w:tabs>
          <w:tab w:val="left" w:pos="1440"/>
        </w:tabs>
        <w:ind w:firstLine="720"/>
      </w:pPr>
    </w:p>
    <w:p w:rsidR="00ED1384" w:rsidRDefault="00ED1384" w:rsidP="00632556">
      <w:pPr>
        <w:pStyle w:val="BodyText2"/>
        <w:tabs>
          <w:tab w:val="left" w:pos="1440"/>
        </w:tabs>
        <w:ind w:firstLine="720"/>
      </w:pPr>
    </w:p>
    <w:p w:rsidR="00ED1384" w:rsidRDefault="00ED1384" w:rsidP="00632556">
      <w:pPr>
        <w:pStyle w:val="BodyText2"/>
        <w:tabs>
          <w:tab w:val="left" w:pos="1440"/>
        </w:tabs>
        <w:ind w:firstLine="720"/>
      </w:pPr>
    </w:p>
    <w:p w:rsidR="00ED1384" w:rsidRDefault="00ED1384" w:rsidP="00632556">
      <w:pPr>
        <w:pStyle w:val="BodyText2"/>
        <w:tabs>
          <w:tab w:val="left" w:pos="1440"/>
        </w:tabs>
        <w:ind w:firstLine="720"/>
      </w:pPr>
    </w:p>
    <w:p w:rsidR="00ED1384" w:rsidRDefault="00ED1384" w:rsidP="00632556">
      <w:pPr>
        <w:pStyle w:val="BodyText2"/>
        <w:tabs>
          <w:tab w:val="left" w:pos="1440"/>
        </w:tabs>
        <w:ind w:firstLine="720"/>
      </w:pPr>
    </w:p>
    <w:p w:rsidR="00632556" w:rsidRPr="00632556" w:rsidRDefault="00592FAB" w:rsidP="00632556">
      <w:pPr>
        <w:pStyle w:val="BodyText2"/>
        <w:tabs>
          <w:tab w:val="left" w:pos="1440"/>
        </w:tabs>
        <w:ind w:firstLine="720"/>
        <w:rPr>
          <w:b/>
        </w:rPr>
      </w:pPr>
      <w:r>
        <w:rPr>
          <w:b/>
        </w:rPr>
        <w:t>Q.</w:t>
      </w:r>
      <w:r>
        <w:rPr>
          <w:b/>
        </w:rPr>
        <w:tab/>
      </w:r>
      <w:r w:rsidR="00632556" w:rsidRPr="00632556">
        <w:rPr>
          <w:b/>
        </w:rPr>
        <w:t xml:space="preserve">How were the offsets determined for the </w:t>
      </w:r>
      <w:r w:rsidR="005B137B">
        <w:rPr>
          <w:b/>
        </w:rPr>
        <w:t xml:space="preserve">July 2013 through December 2015 </w:t>
      </w:r>
      <w:r w:rsidR="00632556" w:rsidRPr="00632556">
        <w:rPr>
          <w:b/>
        </w:rPr>
        <w:t>plant investment?</w:t>
      </w:r>
    </w:p>
    <w:p w:rsidR="00632556" w:rsidRPr="00632556" w:rsidRDefault="00632556" w:rsidP="00632556">
      <w:pPr>
        <w:pStyle w:val="BodyText2"/>
        <w:tabs>
          <w:tab w:val="left" w:pos="1440"/>
        </w:tabs>
        <w:ind w:firstLine="720"/>
      </w:pPr>
      <w:r w:rsidRPr="00632556">
        <w:t>A.</w:t>
      </w:r>
      <w:r w:rsidRPr="00632556">
        <w:tab/>
        <w:t xml:space="preserve">Each capital addition was analyzed to determine any offsets (e.g. reduced O&amp;M costs, reduced load losses, etc.).  Maintenance records were reviewed to determine whether any specific maintenance costs were incurred in the test period that would be reduced or eliminated by the investment at the facility.  For transmission projects, analyses were conducted to determine the amount of potential load loss savings that would be achieved.  Those costs were quantified and included as a reduction to O&amp;M costs in the O&amp;M Savings </w:t>
      </w:r>
      <w:r w:rsidR="00331EC4">
        <w:t>pro forma</w:t>
      </w:r>
      <w:r w:rsidRPr="00632556">
        <w:t xml:space="preserve"> adjustment included by Ms. Andrews in the revenue requirement</w:t>
      </w:r>
      <w:r w:rsidR="007A0454">
        <w:t xml:space="preserve"> as a part of her Attrition study</w:t>
      </w:r>
      <w:r w:rsidRPr="00632556">
        <w:t xml:space="preserve">.  </w:t>
      </w:r>
    </w:p>
    <w:p w:rsidR="00632556" w:rsidRPr="00632556" w:rsidRDefault="00632556" w:rsidP="00632556">
      <w:pPr>
        <w:pStyle w:val="BodyText2"/>
        <w:tabs>
          <w:tab w:val="left" w:pos="1440"/>
        </w:tabs>
        <w:ind w:firstLine="720"/>
      </w:pPr>
      <w:r w:rsidRPr="00632556">
        <w:t>In addition, the output from generation assets is included in the A</w:t>
      </w:r>
      <w:r w:rsidR="008A4A72">
        <w:t>URORA</w:t>
      </w:r>
      <w:r w:rsidR="008A4A72" w:rsidRPr="008A4A72">
        <w:rPr>
          <w:vertAlign w:val="subscript"/>
        </w:rPr>
        <w:t>XMP</w:t>
      </w:r>
      <w:r w:rsidRPr="00632556">
        <w:t xml:space="preserve"> power cost model.  Therefore, to the extent that the additional investments serve to either preserve or increase generation from the generation projects, the benefits are </w:t>
      </w:r>
      <w:r w:rsidR="008B5534">
        <w:t xml:space="preserve">already </w:t>
      </w:r>
      <w:r w:rsidRPr="00632556">
        <w:t xml:space="preserve">reflected in the </w:t>
      </w:r>
      <w:r w:rsidR="008A4A72" w:rsidRPr="00632556">
        <w:t>A</w:t>
      </w:r>
      <w:r w:rsidR="008A4A72">
        <w:t>URORA</w:t>
      </w:r>
      <w:r w:rsidR="008A4A72" w:rsidRPr="008A4A72">
        <w:rPr>
          <w:vertAlign w:val="subscript"/>
        </w:rPr>
        <w:t>XMP</w:t>
      </w:r>
      <w:r w:rsidRPr="00632556">
        <w:t xml:space="preserve"> model.  </w:t>
      </w:r>
    </w:p>
    <w:p w:rsidR="00632556" w:rsidRPr="00632556" w:rsidRDefault="00632556" w:rsidP="00632556">
      <w:pPr>
        <w:pStyle w:val="BodyText2"/>
        <w:tabs>
          <w:tab w:val="left" w:pos="1440"/>
        </w:tabs>
        <w:ind w:firstLine="720"/>
        <w:rPr>
          <w:b/>
        </w:rPr>
      </w:pPr>
      <w:r w:rsidRPr="00632556">
        <w:rPr>
          <w:b/>
        </w:rPr>
        <w:lastRenderedPageBreak/>
        <w:t>Q.</w:t>
      </w:r>
      <w:r w:rsidRPr="00632556">
        <w:rPr>
          <w:b/>
        </w:rPr>
        <w:tab/>
        <w:t>What is the rationale behind the removal of capital expenditures for connecting new customers</w:t>
      </w:r>
      <w:r w:rsidR="00CE6C8B">
        <w:rPr>
          <w:b/>
        </w:rPr>
        <w:t xml:space="preserve">, in the </w:t>
      </w:r>
      <w:r w:rsidR="00B73C33">
        <w:rPr>
          <w:b/>
        </w:rPr>
        <w:t>Pro F</w:t>
      </w:r>
      <w:r w:rsidR="007A0454">
        <w:rPr>
          <w:b/>
        </w:rPr>
        <w:t xml:space="preserve">orma </w:t>
      </w:r>
      <w:r w:rsidR="00B73C33">
        <w:rPr>
          <w:b/>
        </w:rPr>
        <w:t>Cross</w:t>
      </w:r>
      <w:r w:rsidR="006432B4">
        <w:rPr>
          <w:b/>
        </w:rPr>
        <w:t xml:space="preserve"> </w:t>
      </w:r>
      <w:r w:rsidR="00B73C33">
        <w:rPr>
          <w:b/>
        </w:rPr>
        <w:t>C</w:t>
      </w:r>
      <w:r w:rsidR="006432B4">
        <w:rPr>
          <w:b/>
        </w:rPr>
        <w:t>heck Study</w:t>
      </w:r>
      <w:r w:rsidRPr="00632556">
        <w:rPr>
          <w:b/>
        </w:rPr>
        <w:t>?</w:t>
      </w:r>
    </w:p>
    <w:p w:rsidR="00FC68B4" w:rsidRDefault="00632556" w:rsidP="00632556">
      <w:pPr>
        <w:pStyle w:val="BodyText2"/>
        <w:tabs>
          <w:tab w:val="left" w:pos="1440"/>
        </w:tabs>
        <w:ind w:firstLine="720"/>
      </w:pPr>
      <w:r w:rsidRPr="00632556">
        <w:t>A.</w:t>
      </w:r>
      <w:r w:rsidRPr="00632556">
        <w:tab/>
        <w:t xml:space="preserve">The capital expenditures for </w:t>
      </w:r>
      <w:r w:rsidR="005B137B">
        <w:t>the period July 2013 through December 2015</w:t>
      </w:r>
      <w:r w:rsidRPr="00632556">
        <w:t xml:space="preserve"> exclude distribution</w:t>
      </w:r>
      <w:r w:rsidR="008B5534">
        <w:t>-</w:t>
      </w:r>
      <w:r w:rsidRPr="00632556">
        <w:t xml:space="preserve">related capital expenditures made that are associated with connecting new customers to the Company’s system.  </w:t>
      </w:r>
      <w:r w:rsidR="00CE6C8B">
        <w:t xml:space="preserve">Excluding these capital expenditures from the </w:t>
      </w:r>
      <w:r w:rsidR="00B73C33">
        <w:t>Pro F</w:t>
      </w:r>
      <w:r w:rsidR="007A0454">
        <w:t xml:space="preserve">orma </w:t>
      </w:r>
      <w:r w:rsidR="00B73C33">
        <w:t>C</w:t>
      </w:r>
      <w:r w:rsidR="006432B4">
        <w:t xml:space="preserve">ross </w:t>
      </w:r>
      <w:r w:rsidR="00B73C33">
        <w:t>C</w:t>
      </w:r>
      <w:r w:rsidR="006432B4">
        <w:t>heck Study</w:t>
      </w:r>
      <w:r w:rsidRPr="00632556">
        <w:t xml:space="preserve"> recognizes the fact that new customers provide incremental revenue that helps offset the </w:t>
      </w:r>
      <w:r w:rsidR="00CE6C8B">
        <w:t xml:space="preserve">costs associated with these </w:t>
      </w:r>
      <w:r w:rsidRPr="00632556">
        <w:t>distribution</w:t>
      </w:r>
      <w:r w:rsidR="008B5534">
        <w:t>-</w:t>
      </w:r>
      <w:r w:rsidRPr="00632556">
        <w:t>related capital additions</w:t>
      </w:r>
      <w:r w:rsidR="00CE6C8B">
        <w:t>.</w:t>
      </w:r>
    </w:p>
    <w:p w:rsidR="00CE6C8B" w:rsidRDefault="00CE6C8B" w:rsidP="00632556">
      <w:pPr>
        <w:pStyle w:val="BodyText2"/>
        <w:tabs>
          <w:tab w:val="left" w:pos="1440"/>
        </w:tabs>
        <w:ind w:firstLine="720"/>
      </w:pPr>
    </w:p>
    <w:p w:rsidR="00595DDC" w:rsidRPr="00FC68B4" w:rsidRDefault="00595DDC" w:rsidP="00881FEF">
      <w:pPr>
        <w:spacing w:line="480" w:lineRule="auto"/>
        <w:jc w:val="center"/>
        <w:rPr>
          <w:b/>
          <w:u w:val="single"/>
        </w:rPr>
      </w:pPr>
      <w:r w:rsidRPr="00FC68B4">
        <w:rPr>
          <w:b/>
          <w:u w:val="single"/>
        </w:rPr>
        <w:t>V.</w:t>
      </w:r>
      <w:r w:rsidRPr="00FC68B4">
        <w:rPr>
          <w:b/>
          <w:u w:val="single"/>
        </w:rPr>
        <w:tab/>
        <w:t>COMPLIANCE WITH PAST COMMISSION ORDER</w:t>
      </w:r>
      <w:r w:rsidR="00AC44FC">
        <w:rPr>
          <w:b/>
          <w:u w:val="single"/>
        </w:rPr>
        <w:t xml:space="preserve"> ON CAPITAL EXPENDITURE REPORTING</w:t>
      </w:r>
    </w:p>
    <w:p w:rsidR="00595DDC" w:rsidRDefault="00595DDC" w:rsidP="00595DDC">
      <w:pPr>
        <w:spacing w:line="480" w:lineRule="auto"/>
        <w:rPr>
          <w:b/>
        </w:rPr>
      </w:pPr>
      <w:r>
        <w:rPr>
          <w:b/>
        </w:rPr>
        <w:tab/>
      </w:r>
      <w:proofErr w:type="gramStart"/>
      <w:r>
        <w:rPr>
          <w:b/>
        </w:rPr>
        <w:t>Q.</w:t>
      </w:r>
      <w:r>
        <w:rPr>
          <w:b/>
        </w:rPr>
        <w:tab/>
        <w:t>Is the Company in compliance with t</w:t>
      </w:r>
      <w:r w:rsidR="00DD60B4">
        <w:rPr>
          <w:b/>
        </w:rPr>
        <w:t>he most recent commission order regarding capital addition compliance reports</w:t>
      </w:r>
      <w:r>
        <w:rPr>
          <w:b/>
        </w:rPr>
        <w:t>?</w:t>
      </w:r>
      <w:proofErr w:type="gramEnd"/>
      <w:r>
        <w:rPr>
          <w:b/>
        </w:rPr>
        <w:t xml:space="preserve"> </w:t>
      </w:r>
    </w:p>
    <w:p w:rsidR="00BE469D" w:rsidRPr="00BE469D" w:rsidRDefault="00595DDC" w:rsidP="00BE469D">
      <w:pPr>
        <w:adjustRightInd w:val="0"/>
        <w:spacing w:line="480" w:lineRule="auto"/>
        <w:jc w:val="both"/>
        <w:rPr>
          <w:rFonts w:cs="Arial"/>
          <w:bCs/>
        </w:rPr>
      </w:pPr>
      <w:r w:rsidRPr="00BE469D">
        <w:rPr>
          <w:rFonts w:cs="Arial"/>
          <w:bCs/>
        </w:rPr>
        <w:tab/>
        <w:t>A.</w:t>
      </w:r>
      <w:r w:rsidRPr="00BE469D">
        <w:rPr>
          <w:rFonts w:cs="Arial"/>
          <w:bCs/>
        </w:rPr>
        <w:tab/>
        <w:t xml:space="preserve">Yes.  In </w:t>
      </w:r>
      <w:r w:rsidR="006610AC" w:rsidRPr="00BE469D">
        <w:rPr>
          <w:rFonts w:cs="Arial"/>
          <w:bCs/>
        </w:rPr>
        <w:t>Order No. 09</w:t>
      </w:r>
      <w:r w:rsidR="006610AC">
        <w:rPr>
          <w:rFonts w:cs="Arial"/>
          <w:bCs/>
        </w:rPr>
        <w:t xml:space="preserve">, </w:t>
      </w:r>
      <w:r w:rsidRPr="00BE469D">
        <w:rPr>
          <w:rFonts w:cs="Arial"/>
          <w:bCs/>
        </w:rPr>
        <w:t>D</w:t>
      </w:r>
      <w:r w:rsidR="006610AC">
        <w:rPr>
          <w:rFonts w:cs="Arial"/>
          <w:bCs/>
        </w:rPr>
        <w:t>ockets UE-120436 and UG-120437,</w:t>
      </w:r>
      <w:r w:rsidRPr="00BE469D">
        <w:rPr>
          <w:rFonts w:cs="Arial"/>
          <w:bCs/>
        </w:rPr>
        <w:t xml:space="preserve"> th</w:t>
      </w:r>
      <w:r w:rsidR="00BE469D">
        <w:rPr>
          <w:rFonts w:cs="Arial"/>
          <w:bCs/>
        </w:rPr>
        <w:t>e Commission Ordered the Company to file reports as noted in the below paragraph:</w:t>
      </w:r>
    </w:p>
    <w:p w:rsidR="00992922" w:rsidRDefault="00992922" w:rsidP="00992922">
      <w:pPr>
        <w:adjustRightInd w:val="0"/>
        <w:ind w:left="720" w:right="1458"/>
        <w:jc w:val="both"/>
        <w:rPr>
          <w:i/>
          <w:sz w:val="25"/>
          <w:szCs w:val="25"/>
        </w:rPr>
      </w:pPr>
      <w:r>
        <w:rPr>
          <w:i/>
          <w:sz w:val="25"/>
          <w:szCs w:val="25"/>
        </w:rPr>
        <w:t>“</w:t>
      </w:r>
      <w:r w:rsidRPr="00992922">
        <w:rPr>
          <w:i/>
          <w:sz w:val="25"/>
          <w:szCs w:val="25"/>
        </w:rPr>
        <w:t>With regard to its planned capital expenditures for calendar year 2013, Avista</w:t>
      </w:r>
      <w:r>
        <w:rPr>
          <w:i/>
          <w:sz w:val="25"/>
          <w:szCs w:val="25"/>
        </w:rPr>
        <w:t xml:space="preserve"> </w:t>
      </w:r>
      <w:r w:rsidRPr="00992922">
        <w:rPr>
          <w:i/>
          <w:sz w:val="25"/>
          <w:szCs w:val="25"/>
        </w:rPr>
        <w:t>must file: (1) a progress report on its 2013 capital expenditures on or before</w:t>
      </w:r>
      <w:r>
        <w:rPr>
          <w:i/>
          <w:sz w:val="25"/>
          <w:szCs w:val="25"/>
        </w:rPr>
        <w:t xml:space="preserve"> </w:t>
      </w:r>
      <w:r w:rsidRPr="00992922">
        <w:rPr>
          <w:i/>
          <w:sz w:val="25"/>
          <w:szCs w:val="25"/>
        </w:rPr>
        <w:t>September 30, 2013; and (2) a comprehensive report on the final totals for</w:t>
      </w:r>
      <w:r>
        <w:rPr>
          <w:i/>
          <w:sz w:val="25"/>
          <w:szCs w:val="25"/>
        </w:rPr>
        <w:t xml:space="preserve"> </w:t>
      </w:r>
      <w:r w:rsidRPr="00992922">
        <w:rPr>
          <w:i/>
          <w:sz w:val="25"/>
          <w:szCs w:val="25"/>
        </w:rPr>
        <w:t>2013 capital expenditures on or before March 1, 2014.</w:t>
      </w:r>
    </w:p>
    <w:p w:rsidR="00992922" w:rsidRPr="00992922" w:rsidRDefault="00992922" w:rsidP="00992922">
      <w:pPr>
        <w:adjustRightInd w:val="0"/>
        <w:ind w:right="1458"/>
        <w:jc w:val="both"/>
        <w:rPr>
          <w:i/>
          <w:sz w:val="25"/>
          <w:szCs w:val="25"/>
        </w:rPr>
      </w:pPr>
    </w:p>
    <w:p w:rsidR="00FB6366" w:rsidRDefault="00992922" w:rsidP="00992922">
      <w:pPr>
        <w:adjustRightInd w:val="0"/>
        <w:spacing w:after="240"/>
        <w:ind w:left="720" w:right="1458"/>
        <w:jc w:val="both"/>
        <w:rPr>
          <w:i/>
          <w:sz w:val="25"/>
          <w:szCs w:val="25"/>
        </w:rPr>
      </w:pPr>
      <w:r w:rsidRPr="00992922">
        <w:rPr>
          <w:i/>
          <w:sz w:val="25"/>
          <w:szCs w:val="25"/>
        </w:rPr>
        <w:t>As to the capital expenditures Avista plans to make in calendar year 2014, the</w:t>
      </w:r>
      <w:r>
        <w:rPr>
          <w:i/>
          <w:sz w:val="25"/>
          <w:szCs w:val="25"/>
        </w:rPr>
        <w:t xml:space="preserve"> </w:t>
      </w:r>
      <w:r w:rsidRPr="00992922">
        <w:rPr>
          <w:i/>
          <w:sz w:val="25"/>
          <w:szCs w:val="25"/>
        </w:rPr>
        <w:t>Company must file: (1) its capital expenditure plan for 2014 on or before</w:t>
      </w:r>
      <w:r>
        <w:rPr>
          <w:i/>
          <w:sz w:val="25"/>
          <w:szCs w:val="25"/>
        </w:rPr>
        <w:t xml:space="preserve"> </w:t>
      </w:r>
      <w:r w:rsidRPr="00992922">
        <w:rPr>
          <w:i/>
          <w:sz w:val="25"/>
          <w:szCs w:val="25"/>
        </w:rPr>
        <w:t xml:space="preserve">September 30, 2013; and (2) updates on </w:t>
      </w:r>
    </w:p>
    <w:p w:rsidR="00595DDC" w:rsidRPr="00992922" w:rsidRDefault="00FB6366" w:rsidP="00992922">
      <w:pPr>
        <w:adjustRightInd w:val="0"/>
        <w:spacing w:after="240"/>
        <w:ind w:left="720" w:right="1458"/>
        <w:jc w:val="both"/>
        <w:rPr>
          <w:i/>
          <w:iCs/>
          <w:sz w:val="25"/>
          <w:szCs w:val="25"/>
        </w:rPr>
      </w:pPr>
      <w:r>
        <w:rPr>
          <w:i/>
          <w:sz w:val="25"/>
          <w:szCs w:val="25"/>
        </w:rPr>
        <w:br w:type="page"/>
      </w:r>
      <w:proofErr w:type="gramStart"/>
      <w:r w:rsidR="00992922" w:rsidRPr="00992922">
        <w:rPr>
          <w:i/>
          <w:sz w:val="25"/>
          <w:szCs w:val="25"/>
        </w:rPr>
        <w:lastRenderedPageBreak/>
        <w:t>changes</w:t>
      </w:r>
      <w:proofErr w:type="gramEnd"/>
      <w:r w:rsidR="00992922" w:rsidRPr="00992922">
        <w:rPr>
          <w:i/>
          <w:sz w:val="25"/>
          <w:szCs w:val="25"/>
        </w:rPr>
        <w:t xml:space="preserve"> in meeting its capital</w:t>
      </w:r>
      <w:r w:rsidR="00992922">
        <w:rPr>
          <w:i/>
          <w:sz w:val="25"/>
          <w:szCs w:val="25"/>
        </w:rPr>
        <w:t xml:space="preserve"> </w:t>
      </w:r>
      <w:r w:rsidR="00992922" w:rsidRPr="00992922">
        <w:rPr>
          <w:i/>
          <w:sz w:val="25"/>
          <w:szCs w:val="25"/>
        </w:rPr>
        <w:t>expenditure plan for 2014 and reports on progress in making such capital</w:t>
      </w:r>
      <w:r w:rsidR="00992922">
        <w:rPr>
          <w:i/>
          <w:sz w:val="25"/>
          <w:szCs w:val="25"/>
        </w:rPr>
        <w:t xml:space="preserve"> </w:t>
      </w:r>
      <w:r w:rsidR="00992922" w:rsidRPr="00992922">
        <w:rPr>
          <w:i/>
          <w:sz w:val="25"/>
          <w:szCs w:val="25"/>
        </w:rPr>
        <w:t>improvements on June 1, September 1, and December 1, 2014, respectively,</w:t>
      </w:r>
      <w:r w:rsidR="00992922">
        <w:rPr>
          <w:i/>
          <w:sz w:val="25"/>
          <w:szCs w:val="25"/>
        </w:rPr>
        <w:t xml:space="preserve"> </w:t>
      </w:r>
      <w:r w:rsidR="00992922" w:rsidRPr="00992922">
        <w:rPr>
          <w:i/>
          <w:sz w:val="25"/>
          <w:szCs w:val="25"/>
        </w:rPr>
        <w:t>for the previous quarters</w:t>
      </w:r>
      <w:r w:rsidR="00845A0C">
        <w:rPr>
          <w:rStyle w:val="FootnoteReference"/>
          <w:i/>
          <w:sz w:val="25"/>
          <w:szCs w:val="25"/>
        </w:rPr>
        <w:footnoteReference w:id="6"/>
      </w:r>
      <w:r w:rsidR="00992922" w:rsidRPr="00992922">
        <w:rPr>
          <w:i/>
          <w:sz w:val="25"/>
          <w:szCs w:val="25"/>
        </w:rPr>
        <w:t>.</w:t>
      </w:r>
      <w:r w:rsidR="00992922">
        <w:rPr>
          <w:i/>
          <w:sz w:val="25"/>
          <w:szCs w:val="25"/>
        </w:rPr>
        <w:t>”</w:t>
      </w:r>
    </w:p>
    <w:p w:rsidR="00BE469D" w:rsidRDefault="00BE469D" w:rsidP="00BE469D">
      <w:pPr>
        <w:adjustRightInd w:val="0"/>
        <w:spacing w:line="480" w:lineRule="auto"/>
        <w:jc w:val="both"/>
        <w:rPr>
          <w:iCs/>
          <w:sz w:val="25"/>
          <w:szCs w:val="25"/>
        </w:rPr>
      </w:pPr>
      <w:r>
        <w:rPr>
          <w:iCs/>
          <w:sz w:val="25"/>
          <w:szCs w:val="25"/>
        </w:rPr>
        <w:t>The Company filed</w:t>
      </w:r>
      <w:r w:rsidR="00405363">
        <w:rPr>
          <w:iCs/>
          <w:sz w:val="25"/>
          <w:szCs w:val="25"/>
        </w:rPr>
        <w:t xml:space="preserve"> its first</w:t>
      </w:r>
      <w:r>
        <w:rPr>
          <w:iCs/>
          <w:sz w:val="25"/>
          <w:szCs w:val="25"/>
        </w:rPr>
        <w:t xml:space="preserve"> Capital Compliance report on September 30, 2013 and will file the </w:t>
      </w:r>
      <w:r w:rsidR="00405363">
        <w:rPr>
          <w:iCs/>
          <w:sz w:val="25"/>
          <w:szCs w:val="25"/>
        </w:rPr>
        <w:t>additional required</w:t>
      </w:r>
      <w:r w:rsidR="00992922">
        <w:rPr>
          <w:iCs/>
          <w:sz w:val="25"/>
          <w:szCs w:val="25"/>
        </w:rPr>
        <w:t xml:space="preserve"> reports on M</w:t>
      </w:r>
      <w:r w:rsidR="006610AC">
        <w:rPr>
          <w:iCs/>
          <w:sz w:val="25"/>
          <w:szCs w:val="25"/>
        </w:rPr>
        <w:t>arch 1, June 1,</w:t>
      </w:r>
      <w:r w:rsidR="00021122">
        <w:rPr>
          <w:iCs/>
          <w:sz w:val="25"/>
          <w:szCs w:val="25"/>
        </w:rPr>
        <w:t xml:space="preserve"> September 1, and December 1, 2014</w:t>
      </w:r>
      <w:r w:rsidR="008A4A72">
        <w:rPr>
          <w:iCs/>
          <w:sz w:val="25"/>
          <w:szCs w:val="25"/>
        </w:rPr>
        <w:t xml:space="preserve"> as described above</w:t>
      </w:r>
      <w:r w:rsidR="00021122">
        <w:rPr>
          <w:iCs/>
          <w:sz w:val="25"/>
          <w:szCs w:val="25"/>
        </w:rPr>
        <w:t xml:space="preserve">. </w:t>
      </w:r>
      <w:r w:rsidR="00FB6366">
        <w:rPr>
          <w:iCs/>
          <w:sz w:val="25"/>
          <w:szCs w:val="25"/>
        </w:rPr>
        <w:t>The September 30, 2013 report demonstrated that the planned capital expenditures were occurring as anticipated.</w:t>
      </w:r>
    </w:p>
    <w:p w:rsidR="006610AC" w:rsidRPr="00BE469D" w:rsidRDefault="006610AC" w:rsidP="00BE469D">
      <w:pPr>
        <w:adjustRightInd w:val="0"/>
        <w:spacing w:line="480" w:lineRule="auto"/>
        <w:jc w:val="both"/>
      </w:pPr>
    </w:p>
    <w:p w:rsidR="006610AC" w:rsidRPr="00FC68B4" w:rsidRDefault="00552C70" w:rsidP="007A0454">
      <w:pPr>
        <w:spacing w:line="480" w:lineRule="auto"/>
        <w:jc w:val="center"/>
        <w:rPr>
          <w:b/>
          <w:u w:val="single"/>
        </w:rPr>
      </w:pPr>
      <w:r w:rsidRPr="00FC68B4">
        <w:rPr>
          <w:b/>
          <w:u w:val="single"/>
        </w:rPr>
        <w:t>V</w:t>
      </w:r>
      <w:r w:rsidR="00B12D84">
        <w:rPr>
          <w:b/>
          <w:u w:val="single"/>
        </w:rPr>
        <w:t>I</w:t>
      </w:r>
      <w:r w:rsidR="00217F7F" w:rsidRPr="00FC68B4">
        <w:rPr>
          <w:b/>
          <w:u w:val="single"/>
        </w:rPr>
        <w:t>. 2016 CAPITAL ADDITIONS</w:t>
      </w:r>
    </w:p>
    <w:p w:rsidR="00217F7F" w:rsidRPr="00D2172A" w:rsidRDefault="00217F7F" w:rsidP="005B3EF9">
      <w:pPr>
        <w:spacing w:line="480" w:lineRule="auto"/>
        <w:ind w:firstLine="720"/>
        <w:jc w:val="both"/>
        <w:rPr>
          <w:b/>
        </w:rPr>
      </w:pPr>
      <w:r w:rsidRPr="00D2172A">
        <w:rPr>
          <w:b/>
        </w:rPr>
        <w:t xml:space="preserve">Q. </w:t>
      </w:r>
      <w:r w:rsidRPr="00D2172A">
        <w:rPr>
          <w:b/>
        </w:rPr>
        <w:tab/>
        <w:t>Why has Avista included information regarding 201</w:t>
      </w:r>
      <w:r>
        <w:rPr>
          <w:b/>
        </w:rPr>
        <w:t>6</w:t>
      </w:r>
      <w:r w:rsidRPr="00D2172A">
        <w:rPr>
          <w:b/>
        </w:rPr>
        <w:t xml:space="preserve"> capital additions? </w:t>
      </w:r>
    </w:p>
    <w:p w:rsidR="00217F7F" w:rsidRPr="00D2172A" w:rsidRDefault="00217F7F" w:rsidP="005B3EF9">
      <w:pPr>
        <w:spacing w:line="480" w:lineRule="auto"/>
        <w:ind w:firstLine="720"/>
        <w:jc w:val="both"/>
      </w:pPr>
      <w:r w:rsidRPr="00D2172A">
        <w:t xml:space="preserve">A. </w:t>
      </w:r>
      <w:r w:rsidRPr="00D2172A">
        <w:tab/>
        <w:t>The Company has included 201</w:t>
      </w:r>
      <w:r>
        <w:t>6</w:t>
      </w:r>
      <w:r w:rsidRPr="00D2172A">
        <w:t xml:space="preserve"> </w:t>
      </w:r>
      <w:r>
        <w:t xml:space="preserve">information regarding </w:t>
      </w:r>
      <w:r w:rsidRPr="00D2172A">
        <w:t xml:space="preserve">capital additions to </w:t>
      </w:r>
      <w:r>
        <w:t xml:space="preserve">provide an indication of </w:t>
      </w:r>
      <w:r w:rsidRPr="00D2172A">
        <w:t xml:space="preserve">the Company’s </w:t>
      </w:r>
      <w:r w:rsidR="00FB6366">
        <w:t xml:space="preserve">ongoing </w:t>
      </w:r>
      <w:r w:rsidRPr="00D2172A">
        <w:t xml:space="preserve">need for additional </w:t>
      </w:r>
      <w:r>
        <w:t>rate relief beyond December 31, 2015</w:t>
      </w:r>
      <w:r w:rsidRPr="00D2172A">
        <w:t xml:space="preserve">. </w:t>
      </w:r>
      <w:r>
        <w:t>The 2016</w:t>
      </w:r>
      <w:r w:rsidRPr="00D2172A">
        <w:t xml:space="preserve"> plant additions</w:t>
      </w:r>
      <w:r w:rsidR="00663316">
        <w:rPr>
          <w:rStyle w:val="FootnoteReference"/>
        </w:rPr>
        <w:footnoteReference w:id="7"/>
      </w:r>
      <w:r w:rsidRPr="00D2172A">
        <w:t xml:space="preserve"> have been included for information purposes</w:t>
      </w:r>
      <w:r>
        <w:t xml:space="preserve"> only</w:t>
      </w:r>
      <w:r w:rsidRPr="00D2172A">
        <w:t xml:space="preserve"> and have not</w:t>
      </w:r>
      <w:r>
        <w:t xml:space="preserve"> otherwise</w:t>
      </w:r>
      <w:r w:rsidRPr="00D2172A">
        <w:t xml:space="preserve"> been included in the Company’s request. As di</w:t>
      </w:r>
      <w:r>
        <w:t xml:space="preserve">scussed further in Ms. Andrews </w:t>
      </w:r>
      <w:r w:rsidRPr="00D2172A">
        <w:t>and Mr. Thies’ testimony</w:t>
      </w:r>
      <w:r>
        <w:t>,</w:t>
      </w:r>
      <w:r w:rsidRPr="00D2172A">
        <w:t xml:space="preserve"> the Company’s plans call for significant capital expenditure requirements over the next five years. </w:t>
      </w:r>
    </w:p>
    <w:p w:rsidR="00217F7F" w:rsidRPr="00D2172A" w:rsidRDefault="00217F7F" w:rsidP="00217F7F">
      <w:pPr>
        <w:spacing w:line="480" w:lineRule="auto"/>
        <w:ind w:firstLine="720"/>
        <w:jc w:val="both"/>
        <w:rPr>
          <w:b/>
        </w:rPr>
      </w:pPr>
      <w:r w:rsidRPr="00821361">
        <w:rPr>
          <w:b/>
        </w:rPr>
        <w:t xml:space="preserve">Q. </w:t>
      </w:r>
      <w:r w:rsidRPr="00821361">
        <w:rPr>
          <w:b/>
        </w:rPr>
        <w:tab/>
      </w:r>
      <w:r w:rsidRPr="00D2172A">
        <w:rPr>
          <w:b/>
        </w:rPr>
        <w:t>How wer</w:t>
      </w:r>
      <w:r>
        <w:rPr>
          <w:b/>
        </w:rPr>
        <w:t>e the Capital Additions for 2016</w:t>
      </w:r>
      <w:r w:rsidRPr="00D2172A">
        <w:rPr>
          <w:b/>
        </w:rPr>
        <w:t xml:space="preserve"> computed? </w:t>
      </w:r>
    </w:p>
    <w:p w:rsidR="00877B33" w:rsidRDefault="00217F7F" w:rsidP="00877B33">
      <w:pPr>
        <w:pStyle w:val="BodyText2"/>
        <w:tabs>
          <w:tab w:val="left" w:pos="1440"/>
        </w:tabs>
        <w:ind w:firstLine="720"/>
      </w:pPr>
      <w:r w:rsidRPr="00D2172A">
        <w:t>A.</w:t>
      </w:r>
      <w:r w:rsidRPr="00D2172A">
        <w:tab/>
        <w:t xml:space="preserve">The </w:t>
      </w:r>
      <w:r>
        <w:t>capital investment</w:t>
      </w:r>
      <w:r w:rsidRPr="00D2172A">
        <w:t xml:space="preserve"> </w:t>
      </w:r>
      <w:r>
        <w:t xml:space="preserve">for </w:t>
      </w:r>
      <w:r w:rsidRPr="00D2172A">
        <w:t>201</w:t>
      </w:r>
      <w:r>
        <w:t>6 was derived as a part of the</w:t>
      </w:r>
      <w:r w:rsidRPr="00D2172A">
        <w:t xml:space="preserve"> capital budget process that was comp</w:t>
      </w:r>
      <w:r>
        <w:t>leted in the fall of 2013</w:t>
      </w:r>
      <w:r w:rsidRPr="00D2172A">
        <w:t xml:space="preserve">. The </w:t>
      </w:r>
      <w:r>
        <w:t xml:space="preserve">current </w:t>
      </w:r>
      <w:r w:rsidRPr="00D2172A">
        <w:t>forecasted</w:t>
      </w:r>
      <w:r w:rsidR="00B12D84">
        <w:t xml:space="preserve"> capital </w:t>
      </w:r>
      <w:r>
        <w:t xml:space="preserve">spend for 2016 </w:t>
      </w:r>
    </w:p>
    <w:p w:rsidR="00BE2A5D" w:rsidRDefault="00217F7F" w:rsidP="00877B33">
      <w:pPr>
        <w:pStyle w:val="BodyText2"/>
        <w:tabs>
          <w:tab w:val="left" w:pos="1440"/>
        </w:tabs>
      </w:pPr>
      <w:proofErr w:type="gramStart"/>
      <w:r>
        <w:lastRenderedPageBreak/>
        <w:t>has</w:t>
      </w:r>
      <w:proofErr w:type="gramEnd"/>
      <w:r>
        <w:t xml:space="preserve"> been </w:t>
      </w:r>
      <w:r w:rsidRPr="00D2172A">
        <w:t>approved</w:t>
      </w:r>
      <w:r>
        <w:t xml:space="preserve"> by the Board of Directors</w:t>
      </w:r>
      <w:r w:rsidRPr="00B2257F">
        <w:t xml:space="preserve">. </w:t>
      </w:r>
      <w:r w:rsidR="00CB5235">
        <w:t xml:space="preserve"> Table </w:t>
      </w:r>
      <w:r w:rsidR="00C522F8">
        <w:t xml:space="preserve">No. </w:t>
      </w:r>
      <w:r w:rsidR="00CB5235">
        <w:t xml:space="preserve">13 below, summarizes the gross capital additions by functional group, </w:t>
      </w:r>
      <w:r w:rsidR="00FB6366">
        <w:t xml:space="preserve">and </w:t>
      </w:r>
      <w:r w:rsidR="00CB5235">
        <w:t xml:space="preserve">for </w:t>
      </w:r>
      <w:r w:rsidR="00CA76B2">
        <w:t>further</w:t>
      </w:r>
      <w:r w:rsidR="00CB5235">
        <w:t xml:space="preserve"> deta</w:t>
      </w:r>
      <w:r w:rsidR="00560CD7">
        <w:t>il</w:t>
      </w:r>
      <w:r w:rsidR="00FB6366">
        <w:t>,</w:t>
      </w:r>
      <w:r w:rsidR="00560CD7">
        <w:t xml:space="preserve"> please see Exhibit No.__DBD-4</w:t>
      </w:r>
      <w:r w:rsidR="00CB5235">
        <w:t xml:space="preserve">. </w:t>
      </w:r>
      <w:r w:rsidR="00CB5235" w:rsidRPr="005A4E86">
        <w:t xml:space="preserve">The items listed in this table have the same </w:t>
      </w:r>
      <w:r w:rsidR="00663316">
        <w:t xml:space="preserve">types of </w:t>
      </w:r>
      <w:r w:rsidR="00FB6366">
        <w:t>projects</w:t>
      </w:r>
      <w:r w:rsidR="00663316">
        <w:t xml:space="preserve"> as those described</w:t>
      </w:r>
      <w:r w:rsidR="00CB5235" w:rsidRPr="005A4E86">
        <w:t xml:space="preserve"> for the July 30, 2013 through December 31, 2015 additions discussed earlier in my testimony.</w:t>
      </w:r>
      <w:r w:rsidR="00CB5235">
        <w:t xml:space="preserve"> </w:t>
      </w:r>
    </w:p>
    <w:p w:rsidR="00CB5235" w:rsidRPr="00C522F8" w:rsidRDefault="00EC6313" w:rsidP="00046A38">
      <w:pPr>
        <w:spacing w:line="480" w:lineRule="auto"/>
        <w:jc w:val="both"/>
        <w:rPr>
          <w:u w:val="single"/>
        </w:rPr>
      </w:pPr>
      <w:r w:rsidRPr="00EC6313">
        <w:rPr>
          <w:noProof/>
        </w:rPr>
        <w:pict>
          <v:shape id="_x0000_s1156" type="#_x0000_t75" style="position:absolute;left:0;text-align:left;margin-left:26.25pt;margin-top:27.65pt;width:366.15pt;height:188.25pt;z-index:251761664;mso-position-horizontal-relative:text;mso-position-vertical-relative:text">
            <v:imagedata r:id="rId38" o:title=""/>
          </v:shape>
          <o:OLEObject Type="Embed" ProgID="Excel.Sheet.12" ShapeID="_x0000_s1156" DrawAspect="Content" ObjectID="_1452587213" r:id="rId39"/>
        </w:pict>
      </w:r>
      <w:r w:rsidR="00E73299" w:rsidRPr="00C522F8">
        <w:rPr>
          <w:b/>
          <w:u w:val="single"/>
        </w:rPr>
        <w:t>Table</w:t>
      </w:r>
      <w:r w:rsidR="00C522F8" w:rsidRPr="00C522F8">
        <w:rPr>
          <w:b/>
          <w:u w:val="single"/>
        </w:rPr>
        <w:t xml:space="preserve"> No.</w:t>
      </w:r>
      <w:r w:rsidR="00E73299" w:rsidRPr="00C522F8">
        <w:rPr>
          <w:b/>
          <w:u w:val="single"/>
        </w:rPr>
        <w:t xml:space="preserve"> 13: </w:t>
      </w:r>
    </w:p>
    <w:p w:rsidR="00CB5235" w:rsidRDefault="00CB5235" w:rsidP="005B3EF9">
      <w:pPr>
        <w:spacing w:line="480" w:lineRule="auto"/>
        <w:ind w:firstLine="720"/>
        <w:jc w:val="both"/>
      </w:pPr>
    </w:p>
    <w:p w:rsidR="00E73299" w:rsidRDefault="00E73299" w:rsidP="005B3EF9">
      <w:pPr>
        <w:spacing w:line="480" w:lineRule="auto"/>
        <w:ind w:firstLine="720"/>
        <w:jc w:val="both"/>
      </w:pPr>
    </w:p>
    <w:p w:rsidR="00E73299" w:rsidRDefault="00E73299" w:rsidP="005B3EF9">
      <w:pPr>
        <w:spacing w:line="480" w:lineRule="auto"/>
        <w:ind w:firstLine="720"/>
        <w:jc w:val="both"/>
      </w:pPr>
    </w:p>
    <w:p w:rsidR="00E73299" w:rsidRDefault="00E73299" w:rsidP="005B3EF9">
      <w:pPr>
        <w:spacing w:line="480" w:lineRule="auto"/>
        <w:ind w:firstLine="720"/>
        <w:jc w:val="both"/>
      </w:pPr>
    </w:p>
    <w:p w:rsidR="00CB5235" w:rsidRDefault="00CB5235" w:rsidP="005B3EF9">
      <w:pPr>
        <w:spacing w:line="480" w:lineRule="auto"/>
        <w:ind w:firstLine="720"/>
        <w:jc w:val="both"/>
      </w:pPr>
    </w:p>
    <w:p w:rsidR="00CB5235" w:rsidRPr="00D2172A" w:rsidRDefault="00CB5235" w:rsidP="005B3EF9">
      <w:pPr>
        <w:spacing w:line="480" w:lineRule="auto"/>
        <w:ind w:firstLine="720"/>
        <w:jc w:val="both"/>
      </w:pPr>
    </w:p>
    <w:p w:rsidR="007A0454" w:rsidRDefault="007A0454" w:rsidP="00217F7F">
      <w:pPr>
        <w:spacing w:line="480" w:lineRule="auto"/>
        <w:ind w:firstLine="720"/>
        <w:jc w:val="both"/>
        <w:rPr>
          <w:b/>
        </w:rPr>
      </w:pPr>
    </w:p>
    <w:p w:rsidR="00217F7F" w:rsidRPr="00D2172A" w:rsidRDefault="006610AC" w:rsidP="00217F7F">
      <w:pPr>
        <w:spacing w:line="480" w:lineRule="auto"/>
        <w:ind w:firstLine="720"/>
        <w:jc w:val="both"/>
        <w:rPr>
          <w:b/>
        </w:rPr>
      </w:pPr>
      <w:r>
        <w:rPr>
          <w:b/>
        </w:rPr>
        <w:t>Q.</w:t>
      </w:r>
      <w:r>
        <w:rPr>
          <w:b/>
        </w:rPr>
        <w:tab/>
        <w:t xml:space="preserve">What is the net increase in </w:t>
      </w:r>
      <w:r w:rsidR="00217F7F">
        <w:rPr>
          <w:b/>
        </w:rPr>
        <w:t>electric</w:t>
      </w:r>
      <w:r w:rsidR="00217F7F" w:rsidRPr="00D2172A">
        <w:rPr>
          <w:b/>
        </w:rPr>
        <w:t xml:space="preserve"> </w:t>
      </w:r>
      <w:r w:rsidR="00217F7F" w:rsidRPr="00D2172A">
        <w:rPr>
          <w:b/>
          <w:u w:val="single"/>
        </w:rPr>
        <w:t>rate base</w:t>
      </w:r>
      <w:r w:rsidR="00217F7F" w:rsidRPr="00D2172A">
        <w:rPr>
          <w:b/>
        </w:rPr>
        <w:t xml:space="preserve"> </w:t>
      </w:r>
      <w:r>
        <w:rPr>
          <w:b/>
        </w:rPr>
        <w:t>from</w:t>
      </w:r>
      <w:r w:rsidR="00BE2A5D">
        <w:rPr>
          <w:b/>
        </w:rPr>
        <w:t xml:space="preserve"> AMA</w:t>
      </w:r>
      <w:r>
        <w:rPr>
          <w:b/>
        </w:rPr>
        <w:t xml:space="preserve"> 2015 to</w:t>
      </w:r>
      <w:r w:rsidR="00B12D84">
        <w:rPr>
          <w:b/>
        </w:rPr>
        <w:t xml:space="preserve"> </w:t>
      </w:r>
      <w:r w:rsidR="00BE2A5D">
        <w:rPr>
          <w:b/>
        </w:rPr>
        <w:t>AMA</w:t>
      </w:r>
      <w:r>
        <w:rPr>
          <w:b/>
        </w:rPr>
        <w:t xml:space="preserve"> 2016 related to 2016 capital expenditures</w:t>
      </w:r>
      <w:r w:rsidR="00217F7F" w:rsidRPr="00D2172A">
        <w:rPr>
          <w:b/>
        </w:rPr>
        <w:t xml:space="preserve">? </w:t>
      </w:r>
    </w:p>
    <w:p w:rsidR="00217F7F" w:rsidRPr="00D2172A" w:rsidRDefault="00217F7F" w:rsidP="00217F7F">
      <w:pPr>
        <w:spacing w:line="480" w:lineRule="auto"/>
        <w:jc w:val="both"/>
      </w:pPr>
      <w:r w:rsidRPr="00D2172A">
        <w:rPr>
          <w:b/>
        </w:rPr>
        <w:tab/>
      </w:r>
      <w:r w:rsidRPr="00D464E4">
        <w:t>A.</w:t>
      </w:r>
      <w:r w:rsidRPr="00D464E4">
        <w:tab/>
      </w:r>
      <w:r w:rsidR="008A5D0F" w:rsidRPr="00D464E4">
        <w:t>Electric</w:t>
      </w:r>
      <w:r w:rsidR="00CB5235">
        <w:t xml:space="preserve"> and Natural Gas</w:t>
      </w:r>
      <w:r w:rsidRPr="00D464E4">
        <w:t xml:space="preserve"> net </w:t>
      </w:r>
      <w:r w:rsidRPr="00D464E4">
        <w:rPr>
          <w:u w:val="single"/>
        </w:rPr>
        <w:t>rate base</w:t>
      </w:r>
      <w:r w:rsidRPr="00D464E4">
        <w:t xml:space="preserve"> for capital investment increased </w:t>
      </w:r>
      <w:r w:rsidR="00BD665F">
        <w:t>$73,436,000</w:t>
      </w:r>
      <w:r w:rsidR="00CB5235" w:rsidRPr="00CB5235">
        <w:t xml:space="preserve"> </w:t>
      </w:r>
      <w:r w:rsidRPr="00CB5235">
        <w:t xml:space="preserve">from </w:t>
      </w:r>
      <w:r w:rsidR="00D464E4" w:rsidRPr="00CB5235">
        <w:t xml:space="preserve">December 31, 2015 AMA balance of </w:t>
      </w:r>
      <w:r w:rsidR="00BD665F">
        <w:t>$1,320,105,000 to $1,393,541,000</w:t>
      </w:r>
      <w:r w:rsidR="00CA76B2">
        <w:t xml:space="preserve"> at AMA December </w:t>
      </w:r>
      <w:r w:rsidR="00D464E4" w:rsidRPr="00CB5235">
        <w:t>31</w:t>
      </w:r>
      <w:r w:rsidRPr="00CB5235">
        <w:t>, 201</w:t>
      </w:r>
      <w:r w:rsidR="00D464E4" w:rsidRPr="00CB5235">
        <w:t>6</w:t>
      </w:r>
      <w:r w:rsidR="008A5D0F" w:rsidRPr="00CB5235">
        <w:t xml:space="preserve">.  </w:t>
      </w:r>
      <w:r w:rsidR="00ED212D">
        <w:t>This adjustment has two components</w:t>
      </w:r>
      <w:r w:rsidR="00F71BFF">
        <w:t xml:space="preserve">: </w:t>
      </w:r>
      <w:r w:rsidR="00ED212D">
        <w:t xml:space="preserve"> </w:t>
      </w:r>
      <w:r w:rsidR="00F71BFF">
        <w:t>First, the December 31, 2015 AMA  net plant balances, net of ADFIT, that were included in the Pro Forma Cross Check Analysis have been adjusted to an December 31, 2016 AMA basis.</w:t>
      </w:r>
      <w:r w:rsidR="00B12D84" w:rsidRPr="00AE5652">
        <w:t xml:space="preserve"> </w:t>
      </w:r>
      <w:r w:rsidR="00F71BFF">
        <w:t xml:space="preserve">Next the 2016 addition together with the associated A/D and ADFIT were included to a December 31, 2016 AMA basis. </w:t>
      </w:r>
      <w:r w:rsidR="00B12D84" w:rsidRPr="00AE5652">
        <w:t xml:space="preserve"> </w:t>
      </w:r>
    </w:p>
    <w:p w:rsidR="00217F7F" w:rsidRPr="00D2172A" w:rsidRDefault="006610AC" w:rsidP="00217F7F">
      <w:pPr>
        <w:spacing w:line="480" w:lineRule="auto"/>
        <w:ind w:firstLine="720"/>
        <w:jc w:val="both"/>
        <w:rPr>
          <w:b/>
        </w:rPr>
      </w:pPr>
      <w:r>
        <w:rPr>
          <w:b/>
        </w:rPr>
        <w:lastRenderedPageBreak/>
        <w:t>Q.</w:t>
      </w:r>
      <w:r>
        <w:rPr>
          <w:b/>
        </w:rPr>
        <w:tab/>
        <w:t>What is</w:t>
      </w:r>
      <w:r w:rsidR="00217F7F" w:rsidRPr="00D2172A">
        <w:rPr>
          <w:b/>
        </w:rPr>
        <w:t xml:space="preserve"> the </w:t>
      </w:r>
      <w:r>
        <w:rPr>
          <w:b/>
        </w:rPr>
        <w:t xml:space="preserve">net increase in </w:t>
      </w:r>
      <w:r w:rsidR="00217F7F" w:rsidRPr="00D2172A">
        <w:rPr>
          <w:b/>
        </w:rPr>
        <w:t xml:space="preserve">natural gas </w:t>
      </w:r>
      <w:r w:rsidR="00217F7F" w:rsidRPr="00D2172A">
        <w:rPr>
          <w:b/>
          <w:u w:val="single"/>
        </w:rPr>
        <w:t>rate base</w:t>
      </w:r>
      <w:r w:rsidR="00217F7F" w:rsidRPr="00D2172A">
        <w:rPr>
          <w:b/>
        </w:rPr>
        <w:t xml:space="preserve"> </w:t>
      </w:r>
      <w:r>
        <w:rPr>
          <w:b/>
        </w:rPr>
        <w:t xml:space="preserve">from </w:t>
      </w:r>
      <w:r w:rsidR="00B12D84">
        <w:rPr>
          <w:b/>
        </w:rPr>
        <w:t xml:space="preserve">AMA </w:t>
      </w:r>
      <w:r>
        <w:rPr>
          <w:b/>
        </w:rPr>
        <w:t xml:space="preserve">2015 to </w:t>
      </w:r>
      <w:r w:rsidR="00B12D84">
        <w:rPr>
          <w:b/>
        </w:rPr>
        <w:t xml:space="preserve">AMA </w:t>
      </w:r>
      <w:r>
        <w:rPr>
          <w:b/>
        </w:rPr>
        <w:t>2016 related to 2016 capital expenditures</w:t>
      </w:r>
      <w:r w:rsidR="00217F7F" w:rsidRPr="00D2172A">
        <w:rPr>
          <w:b/>
        </w:rPr>
        <w:t xml:space="preserve">? </w:t>
      </w:r>
    </w:p>
    <w:p w:rsidR="00F71BFF" w:rsidRPr="00D2172A" w:rsidRDefault="00217F7F" w:rsidP="00F71BFF">
      <w:pPr>
        <w:spacing w:line="480" w:lineRule="auto"/>
        <w:jc w:val="both"/>
      </w:pPr>
      <w:r w:rsidRPr="00D2172A">
        <w:rPr>
          <w:b/>
        </w:rPr>
        <w:tab/>
      </w:r>
      <w:r w:rsidRPr="00D2172A">
        <w:t>A.</w:t>
      </w:r>
      <w:r w:rsidRPr="00D2172A">
        <w:tab/>
        <w:t xml:space="preserve">Natural gas net </w:t>
      </w:r>
      <w:r w:rsidRPr="00BD665F">
        <w:rPr>
          <w:u w:val="single"/>
        </w:rPr>
        <w:t>rate base</w:t>
      </w:r>
      <w:r w:rsidRPr="00BD665F">
        <w:t xml:space="preserve"> for capital investment increased </w:t>
      </w:r>
      <w:r w:rsidR="00CA76B2" w:rsidRPr="00BD665F">
        <w:t>$</w:t>
      </w:r>
      <w:r w:rsidR="00BD665F" w:rsidRPr="00BD665F">
        <w:t>12,196,000</w:t>
      </w:r>
      <w:r w:rsidR="00D464E4" w:rsidRPr="00BD665F">
        <w:t xml:space="preserve"> from December 31, 2015 AMA balance of </w:t>
      </w:r>
      <w:r w:rsidR="00BD665F" w:rsidRPr="00BD665F">
        <w:t>$232,731,000</w:t>
      </w:r>
      <w:r w:rsidR="00CA76B2" w:rsidRPr="00BD665F">
        <w:t xml:space="preserve"> to $</w:t>
      </w:r>
      <w:r w:rsidR="00BD665F" w:rsidRPr="00BD665F">
        <w:t>244,927,000</w:t>
      </w:r>
      <w:r w:rsidR="00CA76B2" w:rsidRPr="00BD665F">
        <w:t xml:space="preserve"> at AMA</w:t>
      </w:r>
      <w:r w:rsidR="00CA76B2">
        <w:t xml:space="preserve"> December</w:t>
      </w:r>
      <w:r w:rsidR="00D464E4" w:rsidRPr="00D464E4">
        <w:t xml:space="preserve"> 31, 2016.</w:t>
      </w:r>
      <w:r w:rsidRPr="00D2172A">
        <w:t xml:space="preserve">  </w:t>
      </w:r>
      <w:r w:rsidR="00F71BFF">
        <w:t>This adjustment has two components:  First, the December 31, 2015 AMA  net plant balances, net of ADFIT, that were included in the Pro Forma Cross Check Analysis have been adjusted to an December 31, 2016 AMA basis.</w:t>
      </w:r>
      <w:r w:rsidR="00F71BFF" w:rsidRPr="00AE5652">
        <w:t xml:space="preserve"> </w:t>
      </w:r>
      <w:r w:rsidR="00F71BFF">
        <w:t xml:space="preserve">Next the 2016 addition together with the associated A/D and ADFIT were included to a December 31, 2016 AMA basis. </w:t>
      </w:r>
      <w:r w:rsidR="00F71BFF" w:rsidRPr="00AE5652">
        <w:t xml:space="preserve"> </w:t>
      </w:r>
    </w:p>
    <w:p w:rsidR="00435706" w:rsidRPr="00D7770E" w:rsidRDefault="00435706" w:rsidP="00277436">
      <w:pPr>
        <w:pStyle w:val="BodyTextIndent2"/>
        <w:tabs>
          <w:tab w:val="clear" w:pos="1260"/>
          <w:tab w:val="left" w:pos="1440"/>
        </w:tabs>
        <w:ind w:left="0" w:firstLine="720"/>
        <w:rPr>
          <w:b/>
          <w:bCs/>
        </w:rPr>
      </w:pPr>
      <w:r w:rsidRPr="00D7770E">
        <w:rPr>
          <w:b/>
          <w:bCs/>
        </w:rPr>
        <w:t>Q.</w:t>
      </w:r>
      <w:r w:rsidRPr="00D7770E">
        <w:rPr>
          <w:b/>
          <w:bCs/>
        </w:rPr>
        <w:tab/>
        <w:t xml:space="preserve">Does this conclude your </w:t>
      </w:r>
      <w:r w:rsidR="005A2A7F" w:rsidRPr="00D7770E">
        <w:rPr>
          <w:b/>
          <w:bCs/>
        </w:rPr>
        <w:t>pre</w:t>
      </w:r>
      <w:r w:rsidR="00024CC7" w:rsidRPr="00D7770E">
        <w:rPr>
          <w:b/>
          <w:bCs/>
        </w:rPr>
        <w:t>-</w:t>
      </w:r>
      <w:r w:rsidR="005A2A7F" w:rsidRPr="00D7770E">
        <w:rPr>
          <w:b/>
          <w:bCs/>
        </w:rPr>
        <w:t>filed direct</w:t>
      </w:r>
      <w:r w:rsidRPr="00D7770E">
        <w:rPr>
          <w:b/>
          <w:bCs/>
        </w:rPr>
        <w:t xml:space="preserve"> testimony?</w:t>
      </w:r>
    </w:p>
    <w:p w:rsidR="00435706" w:rsidRPr="00D7770E" w:rsidRDefault="00435706" w:rsidP="00296150">
      <w:pPr>
        <w:pStyle w:val="BodyText2"/>
        <w:tabs>
          <w:tab w:val="left" w:pos="1440"/>
        </w:tabs>
        <w:ind w:firstLine="720"/>
      </w:pPr>
      <w:r w:rsidRPr="00D7770E">
        <w:t>A.</w:t>
      </w:r>
      <w:r w:rsidRPr="00D7770E">
        <w:tab/>
        <w:t>Yes, it does.</w:t>
      </w:r>
    </w:p>
    <w:sectPr w:rsidR="00435706" w:rsidRPr="00D7770E" w:rsidSect="0002734A">
      <w:footerReference w:type="first" r:id="rId40"/>
      <w:pgSz w:w="12240" w:h="15840" w:code="1"/>
      <w:pgMar w:top="1440" w:right="1440" w:bottom="1714" w:left="1872" w:header="720" w:footer="360" w:gutter="0"/>
      <w:lnNumType w:countBy="1" w:distance="432"/>
      <w:pgNumType w:start="1"/>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33F9" w:rsidRDefault="00D433F9">
      <w:r>
        <w:separator/>
      </w:r>
    </w:p>
  </w:endnote>
  <w:endnote w:type="continuationSeparator" w:id="0">
    <w:p w:rsidR="00D433F9" w:rsidRDefault="00D433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33F9" w:rsidRPr="00D904C9" w:rsidRDefault="00D433F9" w:rsidP="00410453">
    <w:pPr>
      <w:pStyle w:val="Footer"/>
      <w:tabs>
        <w:tab w:val="clear" w:pos="4320"/>
        <w:tab w:val="clear" w:pos="8640"/>
        <w:tab w:val="left" w:pos="180"/>
        <w:tab w:val="right" w:pos="9360"/>
      </w:tabs>
    </w:pPr>
    <w:r w:rsidRPr="00D904C9">
      <w:t>Direct Testimony of Dave B. DeFelice</w:t>
    </w:r>
  </w:p>
  <w:p w:rsidR="00D433F9" w:rsidRPr="00D904C9" w:rsidRDefault="00D433F9" w:rsidP="00410453">
    <w:pPr>
      <w:pStyle w:val="Footer"/>
      <w:tabs>
        <w:tab w:val="clear" w:pos="4320"/>
        <w:tab w:val="clear" w:pos="8640"/>
        <w:tab w:val="left" w:pos="180"/>
        <w:tab w:val="right" w:pos="9360"/>
      </w:tabs>
      <w:rPr>
        <w:rStyle w:val="PageNumber"/>
        <w:lang w:val="fr-FR"/>
      </w:rPr>
    </w:pPr>
    <w:r w:rsidRPr="00D904C9">
      <w:rPr>
        <w:lang w:val="fr-FR"/>
      </w:rPr>
      <w:t>Avista Corporation</w:t>
    </w:r>
  </w:p>
  <w:p w:rsidR="00D433F9" w:rsidRPr="00D904C9" w:rsidRDefault="00D433F9" w:rsidP="00877B33">
    <w:pPr>
      <w:pStyle w:val="Footer"/>
      <w:tabs>
        <w:tab w:val="clear" w:pos="4320"/>
        <w:tab w:val="clear" w:pos="8640"/>
        <w:tab w:val="left" w:pos="180"/>
        <w:tab w:val="right" w:pos="8910"/>
      </w:tabs>
    </w:pPr>
    <w:proofErr w:type="spellStart"/>
    <w:r w:rsidRPr="00D904C9">
      <w:rPr>
        <w:lang w:val="fr-FR"/>
      </w:rPr>
      <w:t>Docket</w:t>
    </w:r>
    <w:proofErr w:type="spellEnd"/>
    <w:r w:rsidRPr="00D904C9">
      <w:rPr>
        <w:lang w:val="fr-FR"/>
      </w:rPr>
      <w:t xml:space="preserve"> Nos. </w:t>
    </w:r>
    <w:r w:rsidRPr="00D904C9">
      <w:t>UE-14_______ &amp; UG-14_______</w:t>
    </w:r>
    <w:r w:rsidR="00877B33" w:rsidRPr="00877B33">
      <w:rPr>
        <w:lang w:val="fr-FR"/>
      </w:rPr>
      <w:t xml:space="preserve"> </w:t>
    </w:r>
    <w:r w:rsidR="00877B33">
      <w:rPr>
        <w:lang w:val="fr-FR"/>
      </w:rPr>
      <w:tab/>
    </w:r>
    <w:r w:rsidR="00877B33" w:rsidRPr="00D904C9">
      <w:rPr>
        <w:lang w:val="fr-FR"/>
      </w:rPr>
      <w:t xml:space="preserve">Page </w:t>
    </w:r>
    <w:r w:rsidR="00877B33" w:rsidRPr="00D904C9">
      <w:rPr>
        <w:rStyle w:val="PageNumber"/>
      </w:rPr>
      <w:fldChar w:fldCharType="begin"/>
    </w:r>
    <w:r w:rsidR="00877B33" w:rsidRPr="00D904C9">
      <w:rPr>
        <w:rStyle w:val="PageNumber"/>
        <w:lang w:val="fr-FR"/>
      </w:rPr>
      <w:instrText xml:space="preserve"> PAGE </w:instrText>
    </w:r>
    <w:r w:rsidR="00877B33" w:rsidRPr="00D904C9">
      <w:rPr>
        <w:rStyle w:val="PageNumber"/>
      </w:rPr>
      <w:fldChar w:fldCharType="separate"/>
    </w:r>
    <w:r w:rsidR="00877B33">
      <w:rPr>
        <w:rStyle w:val="PageNumber"/>
        <w:noProof/>
        <w:lang w:val="fr-FR"/>
      </w:rPr>
      <w:t>28</w:t>
    </w:r>
    <w:r w:rsidR="00877B33" w:rsidRPr="00D904C9">
      <w:rPr>
        <w:rStyle w:val="PageNumber"/>
      </w:rPr>
      <w:fldChar w:fldCharType="end"/>
    </w:r>
  </w:p>
  <w:p w:rsidR="00D433F9" w:rsidRPr="00410453" w:rsidRDefault="00D433F9" w:rsidP="0041045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33F9" w:rsidRPr="00D904C9" w:rsidRDefault="00D433F9" w:rsidP="00145DEF">
    <w:pPr>
      <w:pStyle w:val="Footer"/>
      <w:tabs>
        <w:tab w:val="clear" w:pos="4320"/>
        <w:tab w:val="clear" w:pos="8640"/>
        <w:tab w:val="left" w:pos="180"/>
        <w:tab w:val="right" w:pos="9360"/>
      </w:tabs>
    </w:pPr>
    <w:r w:rsidRPr="00D904C9">
      <w:t>Direct Testimony of Dave B. DeFelice</w:t>
    </w:r>
    <w:r w:rsidRPr="00D904C9">
      <w:tab/>
    </w:r>
  </w:p>
  <w:p w:rsidR="00D433F9" w:rsidRPr="00D904C9" w:rsidRDefault="00D433F9" w:rsidP="00145DEF">
    <w:pPr>
      <w:pStyle w:val="Footer"/>
      <w:tabs>
        <w:tab w:val="clear" w:pos="4320"/>
        <w:tab w:val="clear" w:pos="8640"/>
        <w:tab w:val="left" w:pos="180"/>
        <w:tab w:val="right" w:pos="9360"/>
      </w:tabs>
      <w:rPr>
        <w:rStyle w:val="PageNumber"/>
        <w:lang w:val="fr-FR"/>
      </w:rPr>
    </w:pPr>
    <w:r w:rsidRPr="00D904C9">
      <w:rPr>
        <w:lang w:val="fr-FR"/>
      </w:rPr>
      <w:t>Avista Corporation</w:t>
    </w:r>
    <w:r w:rsidRPr="00D904C9">
      <w:rPr>
        <w:lang w:val="fr-FR"/>
      </w:rPr>
      <w:tab/>
      <w:t xml:space="preserve">Page </w:t>
    </w:r>
    <w:r w:rsidRPr="00D904C9">
      <w:rPr>
        <w:rStyle w:val="PageNumber"/>
      </w:rPr>
      <w:fldChar w:fldCharType="begin"/>
    </w:r>
    <w:r w:rsidRPr="00D904C9">
      <w:rPr>
        <w:rStyle w:val="PageNumber"/>
        <w:lang w:val="fr-FR"/>
      </w:rPr>
      <w:instrText xml:space="preserve"> PAGE </w:instrText>
    </w:r>
    <w:r w:rsidRPr="00D904C9">
      <w:rPr>
        <w:rStyle w:val="PageNumber"/>
      </w:rPr>
      <w:fldChar w:fldCharType="separate"/>
    </w:r>
    <w:r w:rsidR="00877B33">
      <w:rPr>
        <w:rStyle w:val="PageNumber"/>
        <w:noProof/>
        <w:lang w:val="fr-FR"/>
      </w:rPr>
      <w:t>1</w:t>
    </w:r>
    <w:r w:rsidRPr="00D904C9">
      <w:rPr>
        <w:rStyle w:val="PageNumber"/>
      </w:rPr>
      <w:fldChar w:fldCharType="end"/>
    </w:r>
  </w:p>
  <w:p w:rsidR="00D433F9" w:rsidRPr="00D904C9" w:rsidRDefault="00D433F9" w:rsidP="00145DEF">
    <w:pPr>
      <w:pStyle w:val="Footer"/>
      <w:tabs>
        <w:tab w:val="clear" w:pos="4320"/>
        <w:tab w:val="clear" w:pos="8640"/>
        <w:tab w:val="left" w:pos="180"/>
        <w:tab w:val="right" w:pos="9360"/>
      </w:tabs>
    </w:pPr>
    <w:proofErr w:type="spellStart"/>
    <w:r w:rsidRPr="00D904C9">
      <w:rPr>
        <w:lang w:val="fr-FR"/>
      </w:rPr>
      <w:t>Docket</w:t>
    </w:r>
    <w:proofErr w:type="spellEnd"/>
    <w:r w:rsidRPr="00D904C9">
      <w:rPr>
        <w:lang w:val="fr-FR"/>
      </w:rPr>
      <w:t xml:space="preserve"> Nos. </w:t>
    </w:r>
    <w:r w:rsidRPr="00D904C9">
      <w:t>UE-14_______ &amp; UG-14_______</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33F9" w:rsidRDefault="00D433F9">
      <w:r>
        <w:separator/>
      </w:r>
    </w:p>
  </w:footnote>
  <w:footnote w:type="continuationSeparator" w:id="0">
    <w:p w:rsidR="00D433F9" w:rsidRDefault="00D433F9">
      <w:r>
        <w:continuationSeparator/>
      </w:r>
    </w:p>
  </w:footnote>
  <w:footnote w:id="1">
    <w:p w:rsidR="00D433F9" w:rsidRDefault="00D433F9" w:rsidP="00A80AC2">
      <w:pPr>
        <w:pStyle w:val="FootnoteText"/>
        <w:jc w:val="both"/>
      </w:pPr>
      <w:r>
        <w:rPr>
          <w:rStyle w:val="FootnoteReference"/>
        </w:rPr>
        <w:footnoteRef/>
      </w:r>
      <w:r>
        <w:t xml:space="preserve"> The revenue producing capital for the period ended June 30, 2013 was adjusted separately to an EOP basis in Ms. Andrews Attrition Analysis as shown in Exhibit Nos.___(EMA-2) and (EMA-3), because the Attrition Analysis reflects the growth in customers and growth in revenue from the test year to the rate year. </w:t>
      </w:r>
      <w:r w:rsidRPr="00632556">
        <w:t>The revenue-producin</w:t>
      </w:r>
      <w:r>
        <w:t>g distribution plant for the twelve-months-ended June 30, 2013</w:t>
      </w:r>
      <w:r w:rsidRPr="00632556">
        <w:t xml:space="preserve"> capital additions </w:t>
      </w:r>
      <w:r>
        <w:t xml:space="preserve">for the Pro Forma cross Check Analysis was not adjusted to EOP, because the Pro Forma Cross Check Analysis does not include growth in customers and revenue beyond the historical test year. </w:t>
      </w:r>
    </w:p>
  </w:footnote>
  <w:footnote w:id="2">
    <w:p w:rsidR="00D433F9" w:rsidRDefault="00D433F9" w:rsidP="00C069F2">
      <w:pPr>
        <w:pStyle w:val="FootnoteText"/>
        <w:jc w:val="both"/>
      </w:pPr>
      <w:r>
        <w:rPr>
          <w:rStyle w:val="FootnoteReference"/>
        </w:rPr>
        <w:footnoteRef/>
      </w:r>
      <w:r>
        <w:t xml:space="preserve"> For each of the periods July-December 2013, 2014, and 2015 distribution-related capital expenditures associated with connecting new customers to the Company’s system were excluded. The Pro Forma Cross Check Analysis does not include the increase in revenues from growth in the number of customers from the historical test year to the 2015 rate year, and therefore, the growth in plant investment associated with customer growth should also be excluded. </w:t>
      </w:r>
    </w:p>
  </w:footnote>
  <w:footnote w:id="3">
    <w:p w:rsidR="00D433F9" w:rsidRDefault="00D433F9">
      <w:pPr>
        <w:pStyle w:val="FootnoteText"/>
      </w:pPr>
      <w:r>
        <w:rPr>
          <w:rStyle w:val="FootnoteReference"/>
        </w:rPr>
        <w:footnoteRef/>
      </w:r>
      <w:r>
        <w:t xml:space="preserve"> Id.</w:t>
      </w:r>
    </w:p>
  </w:footnote>
  <w:footnote w:id="4">
    <w:p w:rsidR="00D433F9" w:rsidRDefault="00D433F9">
      <w:pPr>
        <w:pStyle w:val="FootnoteText"/>
      </w:pPr>
      <w:r>
        <w:rPr>
          <w:rStyle w:val="FootnoteReference"/>
        </w:rPr>
        <w:footnoteRef/>
      </w:r>
      <w:r>
        <w:t xml:space="preserve"> Id. </w:t>
      </w:r>
    </w:p>
  </w:footnote>
  <w:footnote w:id="5">
    <w:p w:rsidR="00D433F9" w:rsidRDefault="00D433F9" w:rsidP="00382B34">
      <w:pPr>
        <w:pStyle w:val="FootnoteText"/>
        <w:jc w:val="both"/>
      </w:pPr>
      <w:r>
        <w:rPr>
          <w:rStyle w:val="FootnoteReference"/>
        </w:rPr>
        <w:footnoteRef/>
      </w:r>
      <w:r>
        <w:t xml:space="preserve"> </w:t>
      </w:r>
      <w:r w:rsidRPr="00207776">
        <w:t xml:space="preserve">“The Handy-Whitman Index of Public Utility Construction Costs”, </w:t>
      </w:r>
      <w:r>
        <w:t xml:space="preserve">is </w:t>
      </w:r>
      <w:r w:rsidRPr="00207776">
        <w:t xml:space="preserve">published by Whitman, </w:t>
      </w:r>
      <w:proofErr w:type="spellStart"/>
      <w:r w:rsidRPr="00207776">
        <w:t>Requardt</w:t>
      </w:r>
      <w:proofErr w:type="spellEnd"/>
      <w:r w:rsidRPr="00207776">
        <w:t xml:space="preserve"> and Associates, Baltimore, Maryland.</w:t>
      </w:r>
      <w:r>
        <w:t xml:space="preserve">  </w:t>
      </w:r>
      <w:r w:rsidRPr="00573311">
        <w:t>The Handy-Whitman Indexes of Public Utility Construction Costs show the level of costs for different types of util</w:t>
      </w:r>
      <w:r>
        <w:t>ity construction.  Separate indic</w:t>
      </w:r>
      <w:r w:rsidRPr="00573311">
        <w:t>es are maintained for general items of construction, such as reinforced concrete, and specific items of material or equipment, such as pipe or turbo-generators.  Ha</w:t>
      </w:r>
      <w:r>
        <w:t>n</w:t>
      </w:r>
      <w:r w:rsidRPr="00573311">
        <w:t xml:space="preserve">dy-Whitman Index numbers are used to trend earlier valuations and original cost at prices prevailing at a certain date. </w:t>
      </w:r>
    </w:p>
  </w:footnote>
  <w:footnote w:id="6">
    <w:p w:rsidR="00D433F9" w:rsidRPr="00D433F9" w:rsidRDefault="00D433F9" w:rsidP="00B12D84">
      <w:pPr>
        <w:adjustRightInd w:val="0"/>
        <w:jc w:val="both"/>
        <w:rPr>
          <w:sz w:val="20"/>
          <w:szCs w:val="20"/>
        </w:rPr>
      </w:pPr>
      <w:r w:rsidRPr="00845A0C">
        <w:rPr>
          <w:rStyle w:val="FootnoteReference"/>
        </w:rPr>
        <w:footnoteRef/>
      </w:r>
      <w:r w:rsidRPr="00845A0C">
        <w:t xml:space="preserve"> </w:t>
      </w:r>
      <w:r w:rsidRPr="00845A0C">
        <w:rPr>
          <w:sz w:val="14"/>
          <w:szCs w:val="14"/>
        </w:rPr>
        <w:t xml:space="preserve"> </w:t>
      </w:r>
      <w:r w:rsidRPr="00D433F9">
        <w:rPr>
          <w:i/>
          <w:iCs/>
          <w:sz w:val="20"/>
          <w:szCs w:val="20"/>
        </w:rPr>
        <w:t xml:space="preserve">WUTC v. Avista Corporation d/b/a Avista Utilities, </w:t>
      </w:r>
      <w:r w:rsidRPr="00D433F9">
        <w:rPr>
          <w:sz w:val="20"/>
          <w:szCs w:val="20"/>
        </w:rPr>
        <w:t>Dockets UE-120436 and UG-120437,</w:t>
      </w:r>
    </w:p>
    <w:p w:rsidR="00D433F9" w:rsidRDefault="00D433F9" w:rsidP="00B12D84">
      <w:pPr>
        <w:pStyle w:val="FootnoteText"/>
        <w:jc w:val="both"/>
      </w:pPr>
      <w:r w:rsidRPr="00D433F9">
        <w:t>Order 09, ¶¶ 114 and 115, December 26, 2012.</w:t>
      </w:r>
      <w:r w:rsidRPr="00B12D84">
        <w:rPr>
          <w:sz w:val="24"/>
          <w:szCs w:val="24"/>
        </w:rPr>
        <w:t xml:space="preserve"> </w:t>
      </w:r>
    </w:p>
  </w:footnote>
  <w:footnote w:id="7">
    <w:p w:rsidR="00D433F9" w:rsidRDefault="00D433F9" w:rsidP="00B12D84">
      <w:pPr>
        <w:pStyle w:val="FootnoteText"/>
        <w:jc w:val="both"/>
      </w:pPr>
      <w:r>
        <w:rPr>
          <w:rStyle w:val="FootnoteReference"/>
        </w:rPr>
        <w:footnoteRef/>
      </w:r>
      <w:r>
        <w:t xml:space="preserve">  Distribution-related capital expenditures associated with connecting new customers to the Company’s system was excluded. The Pro Forma Cross Check Analysis does not include the increase in revenues from growth in the number of customers after the historical test year and therefore, the growth in plant investment associated with customer growth should also be excluded.</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33F9" w:rsidRPr="007945B5" w:rsidRDefault="00D433F9" w:rsidP="00744AFB">
    <w:pPr>
      <w:pStyle w:val="Header"/>
      <w:jc w:val="right"/>
    </w:pPr>
    <w:r w:rsidRPr="007945B5">
      <w:t>Exhibit No. __</w:t>
    </w:r>
    <w:proofErr w:type="gramStart"/>
    <w:r w:rsidRPr="007945B5">
      <w:t>_(</w:t>
    </w:r>
    <w:proofErr w:type="gramEnd"/>
    <w:r>
      <w:t>DBD</w:t>
    </w:r>
    <w:r w:rsidRPr="007945B5">
      <w:t>-</w:t>
    </w:r>
    <w:r>
      <w:t>1T</w:t>
    </w:r>
    <w:r w:rsidRPr="007945B5">
      <w:t>)</w:t>
    </w:r>
  </w:p>
  <w:p w:rsidR="00D433F9" w:rsidRDefault="00D433F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33F9" w:rsidRDefault="00D433F9" w:rsidP="0002734A">
    <w:pPr>
      <w:pStyle w:val="Header"/>
      <w:tabs>
        <w:tab w:val="clear" w:pos="8640"/>
        <w:tab w:val="right" w:pos="9270"/>
      </w:tabs>
      <w:jc w:val="right"/>
    </w:pPr>
    <w:r>
      <w:t>Exhibit No. _</w:t>
    </w:r>
    <w:proofErr w:type="gramStart"/>
    <w:r>
      <w:t>_(</w:t>
    </w:r>
    <w:proofErr w:type="gramEnd"/>
    <w:r>
      <w:t>DBD-1T)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101D9"/>
    <w:multiLevelType w:val="multilevel"/>
    <w:tmpl w:val="38D2213A"/>
    <w:lvl w:ilvl="0">
      <w:start w:val="17"/>
      <w:numFmt w:val="upperLetter"/>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
    <w:nsid w:val="0B5A38B6"/>
    <w:multiLevelType w:val="multilevel"/>
    <w:tmpl w:val="36B8AF2A"/>
    <w:lvl w:ilvl="0">
      <w:start w:val="17"/>
      <w:numFmt w:val="upperLetter"/>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
    <w:nsid w:val="0D855CB1"/>
    <w:multiLevelType w:val="hybridMultilevel"/>
    <w:tmpl w:val="6A70DB0C"/>
    <w:lvl w:ilvl="0" w:tplc="04663D88">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10D50D0"/>
    <w:multiLevelType w:val="multilevel"/>
    <w:tmpl w:val="0354F078"/>
    <w:lvl w:ilvl="0">
      <w:start w:val="1"/>
      <w:numFmt w:val="decimal"/>
      <w:lvlText w:val="%1."/>
      <w:lvlJc w:val="left"/>
      <w:pPr>
        <w:tabs>
          <w:tab w:val="num" w:pos="576"/>
        </w:tabs>
        <w:ind w:left="576" w:hanging="576"/>
      </w:pPr>
      <w:rPr>
        <w:rFonts w:hint="default"/>
      </w:rPr>
    </w:lvl>
    <w:lvl w:ilvl="1">
      <w:start w:val="7"/>
      <w:numFmt w:val="decimal"/>
      <w:lvlRestart w:val="0"/>
      <w:lvlText w:val="%2."/>
      <w:lvlJc w:val="left"/>
      <w:pPr>
        <w:tabs>
          <w:tab w:val="num" w:pos="576"/>
        </w:tabs>
        <w:ind w:left="576" w:hanging="576"/>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decimal"/>
      <w:lvlRestart w:val="0"/>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nsid w:val="19126C8B"/>
    <w:multiLevelType w:val="hybridMultilevel"/>
    <w:tmpl w:val="D1065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382C58"/>
    <w:multiLevelType w:val="hybridMultilevel"/>
    <w:tmpl w:val="3EFA5EB8"/>
    <w:lvl w:ilvl="0" w:tplc="26420E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5319D1"/>
    <w:multiLevelType w:val="hybridMultilevel"/>
    <w:tmpl w:val="59267AB0"/>
    <w:lvl w:ilvl="0" w:tplc="C90EA3F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D874A2"/>
    <w:multiLevelType w:val="hybridMultilevel"/>
    <w:tmpl w:val="BA722162"/>
    <w:lvl w:ilvl="0" w:tplc="E6D622C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1BD75D8"/>
    <w:multiLevelType w:val="hybridMultilevel"/>
    <w:tmpl w:val="8646C2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3C91A58"/>
    <w:multiLevelType w:val="hybridMultilevel"/>
    <w:tmpl w:val="A2ECDE06"/>
    <w:lvl w:ilvl="0" w:tplc="209C75EA">
      <w:start w:val="1"/>
      <w:numFmt w:val="upperLetter"/>
      <w:lvlText w:val="%1."/>
      <w:lvlJc w:val="left"/>
      <w:pPr>
        <w:tabs>
          <w:tab w:val="num" w:pos="1440"/>
        </w:tabs>
        <w:ind w:left="1440" w:hanging="7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252702D4"/>
    <w:multiLevelType w:val="hybridMultilevel"/>
    <w:tmpl w:val="9A342F28"/>
    <w:lvl w:ilvl="0" w:tplc="5D8E7514">
      <w:start w:val="1"/>
      <w:numFmt w:val="upperLetter"/>
      <w:lvlText w:val="%1."/>
      <w:lvlJc w:val="left"/>
      <w:pPr>
        <w:tabs>
          <w:tab w:val="num" w:pos="2160"/>
        </w:tabs>
        <w:ind w:left="2160" w:hanging="720"/>
      </w:pPr>
      <w:rPr>
        <w:rFonts w:hint="default"/>
        <w:b/>
        <w:color w:val="auto"/>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nsid w:val="25C772D4"/>
    <w:multiLevelType w:val="hybridMultilevel"/>
    <w:tmpl w:val="24EAA3D2"/>
    <w:lvl w:ilvl="0" w:tplc="26420E4E">
      <w:start w:val="1"/>
      <w:numFmt w:val="decimal"/>
      <w:lvlText w:val="(%1)"/>
      <w:lvlJc w:val="left"/>
      <w:pPr>
        <w:ind w:left="1980" w:hanging="360"/>
      </w:pPr>
      <w:rPr>
        <w:rFonts w:hint="default"/>
      </w:rPr>
    </w:lvl>
    <w:lvl w:ilvl="1" w:tplc="04090019" w:tentative="1">
      <w:start w:val="1"/>
      <w:numFmt w:val="lowerLetter"/>
      <w:lvlText w:val="%2."/>
      <w:lvlJc w:val="left"/>
      <w:pPr>
        <w:ind w:left="3456" w:hanging="360"/>
      </w:pPr>
    </w:lvl>
    <w:lvl w:ilvl="2" w:tplc="0409001B" w:tentative="1">
      <w:start w:val="1"/>
      <w:numFmt w:val="lowerRoman"/>
      <w:lvlText w:val="%3."/>
      <w:lvlJc w:val="right"/>
      <w:pPr>
        <w:ind w:left="4176" w:hanging="180"/>
      </w:pPr>
    </w:lvl>
    <w:lvl w:ilvl="3" w:tplc="0409000F" w:tentative="1">
      <w:start w:val="1"/>
      <w:numFmt w:val="decimal"/>
      <w:lvlText w:val="%4."/>
      <w:lvlJc w:val="left"/>
      <w:pPr>
        <w:ind w:left="4896" w:hanging="360"/>
      </w:pPr>
    </w:lvl>
    <w:lvl w:ilvl="4" w:tplc="04090019" w:tentative="1">
      <w:start w:val="1"/>
      <w:numFmt w:val="lowerLetter"/>
      <w:lvlText w:val="%5."/>
      <w:lvlJc w:val="left"/>
      <w:pPr>
        <w:ind w:left="5616" w:hanging="360"/>
      </w:pPr>
    </w:lvl>
    <w:lvl w:ilvl="5" w:tplc="0409001B" w:tentative="1">
      <w:start w:val="1"/>
      <w:numFmt w:val="lowerRoman"/>
      <w:lvlText w:val="%6."/>
      <w:lvlJc w:val="right"/>
      <w:pPr>
        <w:ind w:left="6336" w:hanging="180"/>
      </w:pPr>
    </w:lvl>
    <w:lvl w:ilvl="6" w:tplc="0409000F" w:tentative="1">
      <w:start w:val="1"/>
      <w:numFmt w:val="decimal"/>
      <w:lvlText w:val="%7."/>
      <w:lvlJc w:val="left"/>
      <w:pPr>
        <w:ind w:left="7056" w:hanging="360"/>
      </w:pPr>
    </w:lvl>
    <w:lvl w:ilvl="7" w:tplc="04090019" w:tentative="1">
      <w:start w:val="1"/>
      <w:numFmt w:val="lowerLetter"/>
      <w:lvlText w:val="%8."/>
      <w:lvlJc w:val="left"/>
      <w:pPr>
        <w:ind w:left="7776" w:hanging="360"/>
      </w:pPr>
    </w:lvl>
    <w:lvl w:ilvl="8" w:tplc="0409001B" w:tentative="1">
      <w:start w:val="1"/>
      <w:numFmt w:val="lowerRoman"/>
      <w:lvlText w:val="%9."/>
      <w:lvlJc w:val="right"/>
      <w:pPr>
        <w:ind w:left="8496" w:hanging="180"/>
      </w:pPr>
    </w:lvl>
  </w:abstractNum>
  <w:abstractNum w:abstractNumId="12">
    <w:nsid w:val="27657EB5"/>
    <w:multiLevelType w:val="hybridMultilevel"/>
    <w:tmpl w:val="23C8324E"/>
    <w:lvl w:ilvl="0" w:tplc="C54A458A">
      <w:start w:val="1"/>
      <w:numFmt w:val="upperLetter"/>
      <w:lvlText w:val="%1."/>
      <w:lvlJc w:val="left"/>
      <w:pPr>
        <w:tabs>
          <w:tab w:val="num" w:pos="2160"/>
        </w:tabs>
        <w:ind w:left="2160" w:hanging="14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2D2C3B46"/>
    <w:multiLevelType w:val="hybridMultilevel"/>
    <w:tmpl w:val="37760F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31D57E4E"/>
    <w:multiLevelType w:val="hybridMultilevel"/>
    <w:tmpl w:val="7090D708"/>
    <w:lvl w:ilvl="0" w:tplc="E7C4D254">
      <w:start w:val="17"/>
      <w:numFmt w:val="upperLetter"/>
      <w:lvlText w:val="%1."/>
      <w:lvlJc w:val="left"/>
      <w:pPr>
        <w:tabs>
          <w:tab w:val="num" w:pos="1620"/>
        </w:tabs>
        <w:ind w:left="1620" w:hanging="720"/>
      </w:pPr>
      <w:rPr>
        <w:rFonts w:hint="default"/>
        <w:b/>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5">
    <w:nsid w:val="31D7446D"/>
    <w:multiLevelType w:val="hybridMultilevel"/>
    <w:tmpl w:val="21725414"/>
    <w:lvl w:ilvl="0" w:tplc="CC4ACE1C">
      <w:start w:val="1"/>
      <w:numFmt w:val="upperLetter"/>
      <w:lvlText w:val="%1."/>
      <w:lvlJc w:val="left"/>
      <w:pPr>
        <w:tabs>
          <w:tab w:val="num" w:pos="3600"/>
        </w:tabs>
        <w:ind w:left="3600" w:hanging="720"/>
      </w:pPr>
      <w:rPr>
        <w:rFonts w:hint="default"/>
        <w:b/>
      </w:rPr>
    </w:lvl>
    <w:lvl w:ilvl="1" w:tplc="174883B2">
      <w:start w:val="17"/>
      <w:numFmt w:val="upperLetter"/>
      <w:lvlText w:val="%2."/>
      <w:lvlJc w:val="left"/>
      <w:pPr>
        <w:tabs>
          <w:tab w:val="num" w:pos="4320"/>
        </w:tabs>
        <w:ind w:left="4320" w:hanging="720"/>
      </w:pPr>
      <w:rPr>
        <w:rFonts w:hint="default"/>
        <w:b/>
      </w:r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6">
    <w:nsid w:val="32827183"/>
    <w:multiLevelType w:val="multilevel"/>
    <w:tmpl w:val="E2EC30BC"/>
    <w:lvl w:ilvl="0">
      <w:start w:val="17"/>
      <w:numFmt w:val="upperLetter"/>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7">
    <w:nsid w:val="3802545E"/>
    <w:multiLevelType w:val="singleLevel"/>
    <w:tmpl w:val="6700FE8A"/>
    <w:lvl w:ilvl="0">
      <w:start w:val="17"/>
      <w:numFmt w:val="upperLetter"/>
      <w:lvlText w:val="%1."/>
      <w:lvlJc w:val="left"/>
      <w:pPr>
        <w:tabs>
          <w:tab w:val="num" w:pos="1440"/>
        </w:tabs>
        <w:ind w:left="1440" w:hanging="720"/>
      </w:pPr>
      <w:rPr>
        <w:rFonts w:hint="default"/>
        <w:b/>
      </w:rPr>
    </w:lvl>
  </w:abstractNum>
  <w:abstractNum w:abstractNumId="18">
    <w:nsid w:val="3C6D6532"/>
    <w:multiLevelType w:val="hybridMultilevel"/>
    <w:tmpl w:val="5A445426"/>
    <w:lvl w:ilvl="0" w:tplc="D41CEDB2">
      <w:start w:val="17"/>
      <w:numFmt w:val="upperLetter"/>
      <w:lvlText w:val="%1."/>
      <w:lvlJc w:val="left"/>
      <w:pPr>
        <w:tabs>
          <w:tab w:val="num" w:pos="1440"/>
        </w:tabs>
        <w:ind w:left="1440" w:hanging="72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9">
    <w:nsid w:val="413E234F"/>
    <w:multiLevelType w:val="singleLevel"/>
    <w:tmpl w:val="911457EC"/>
    <w:lvl w:ilvl="0">
      <w:start w:val="1"/>
      <w:numFmt w:val="bullet"/>
      <w:pStyle w:val="AnswerBullets"/>
      <w:lvlText w:val=""/>
      <w:lvlJc w:val="left"/>
      <w:pPr>
        <w:tabs>
          <w:tab w:val="num" w:pos="360"/>
        </w:tabs>
        <w:ind w:left="360" w:hanging="360"/>
      </w:pPr>
      <w:rPr>
        <w:rFonts w:ascii="Symbol" w:hAnsi="Symbol" w:hint="default"/>
      </w:rPr>
    </w:lvl>
  </w:abstractNum>
  <w:abstractNum w:abstractNumId="20">
    <w:nsid w:val="4C616AC6"/>
    <w:multiLevelType w:val="hybridMultilevel"/>
    <w:tmpl w:val="01AA37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4CBF0833"/>
    <w:multiLevelType w:val="hybridMultilevel"/>
    <w:tmpl w:val="95D22CDE"/>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start w:val="1"/>
      <w:numFmt w:val="bullet"/>
      <w:lvlText w:val=""/>
      <w:lvlJc w:val="left"/>
      <w:pPr>
        <w:tabs>
          <w:tab w:val="num" w:pos="360"/>
        </w:tabs>
        <w:ind w:left="360" w:hanging="360"/>
      </w:pPr>
      <w:rPr>
        <w:rFonts w:ascii="Wingdings" w:hAnsi="Wingdings" w:cs="Wingdings" w:hint="default"/>
      </w:rPr>
    </w:lvl>
    <w:lvl w:ilvl="3" w:tplc="04090001">
      <w:start w:val="1"/>
      <w:numFmt w:val="bullet"/>
      <w:lvlText w:val=""/>
      <w:lvlJc w:val="left"/>
      <w:pPr>
        <w:tabs>
          <w:tab w:val="num" w:pos="1080"/>
        </w:tabs>
        <w:ind w:left="1080" w:hanging="360"/>
      </w:pPr>
      <w:rPr>
        <w:rFonts w:ascii="Symbol" w:hAnsi="Symbol" w:cs="Symbol" w:hint="default"/>
      </w:rPr>
    </w:lvl>
    <w:lvl w:ilvl="4" w:tplc="04090003">
      <w:start w:val="1"/>
      <w:numFmt w:val="bullet"/>
      <w:lvlText w:val="o"/>
      <w:lvlJc w:val="left"/>
      <w:pPr>
        <w:tabs>
          <w:tab w:val="num" w:pos="1800"/>
        </w:tabs>
        <w:ind w:left="1800" w:hanging="360"/>
      </w:pPr>
      <w:rPr>
        <w:rFonts w:ascii="Courier New" w:hAnsi="Courier New" w:cs="Courier New" w:hint="default"/>
      </w:rPr>
    </w:lvl>
    <w:lvl w:ilvl="5" w:tplc="04090005">
      <w:start w:val="1"/>
      <w:numFmt w:val="bullet"/>
      <w:lvlText w:val=""/>
      <w:lvlJc w:val="left"/>
      <w:pPr>
        <w:tabs>
          <w:tab w:val="num" w:pos="2520"/>
        </w:tabs>
        <w:ind w:left="2520" w:hanging="360"/>
      </w:pPr>
      <w:rPr>
        <w:rFonts w:ascii="Wingdings" w:hAnsi="Wingdings" w:cs="Wingdings" w:hint="default"/>
      </w:rPr>
    </w:lvl>
    <w:lvl w:ilvl="6" w:tplc="04090001">
      <w:start w:val="1"/>
      <w:numFmt w:val="bullet"/>
      <w:lvlText w:val=""/>
      <w:lvlJc w:val="left"/>
      <w:pPr>
        <w:tabs>
          <w:tab w:val="num" w:pos="3240"/>
        </w:tabs>
        <w:ind w:left="3240" w:hanging="360"/>
      </w:pPr>
      <w:rPr>
        <w:rFonts w:ascii="Symbol" w:hAnsi="Symbol" w:cs="Symbol" w:hint="default"/>
      </w:rPr>
    </w:lvl>
    <w:lvl w:ilvl="7" w:tplc="04090003">
      <w:start w:val="1"/>
      <w:numFmt w:val="bullet"/>
      <w:lvlText w:val="o"/>
      <w:lvlJc w:val="left"/>
      <w:pPr>
        <w:tabs>
          <w:tab w:val="num" w:pos="3960"/>
        </w:tabs>
        <w:ind w:left="3960" w:hanging="360"/>
      </w:pPr>
      <w:rPr>
        <w:rFonts w:ascii="Courier New" w:hAnsi="Courier New" w:cs="Courier New" w:hint="default"/>
      </w:rPr>
    </w:lvl>
    <w:lvl w:ilvl="8" w:tplc="04090005">
      <w:start w:val="1"/>
      <w:numFmt w:val="bullet"/>
      <w:lvlText w:val=""/>
      <w:lvlJc w:val="left"/>
      <w:pPr>
        <w:tabs>
          <w:tab w:val="num" w:pos="4680"/>
        </w:tabs>
        <w:ind w:left="4680" w:hanging="360"/>
      </w:pPr>
      <w:rPr>
        <w:rFonts w:ascii="Wingdings" w:hAnsi="Wingdings" w:cs="Wingdings" w:hint="default"/>
      </w:rPr>
    </w:lvl>
  </w:abstractNum>
  <w:abstractNum w:abstractNumId="22">
    <w:nsid w:val="5772794F"/>
    <w:multiLevelType w:val="hybridMultilevel"/>
    <w:tmpl w:val="51CC5CA2"/>
    <w:lvl w:ilvl="0" w:tplc="7F704F7A">
      <w:start w:val="17"/>
      <w:numFmt w:val="upperLetter"/>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3">
    <w:nsid w:val="5B3F3981"/>
    <w:multiLevelType w:val="hybridMultilevel"/>
    <w:tmpl w:val="21B69CA8"/>
    <w:lvl w:ilvl="0" w:tplc="49E8C668">
      <w:start w:val="17"/>
      <w:numFmt w:val="upperLetter"/>
      <w:lvlText w:val="%1."/>
      <w:lvlJc w:val="left"/>
      <w:pPr>
        <w:tabs>
          <w:tab w:val="num" w:pos="2160"/>
        </w:tabs>
        <w:ind w:left="2160" w:hanging="720"/>
      </w:pPr>
      <w:rPr>
        <w:rFonts w:hint="default"/>
        <w:b/>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4">
    <w:nsid w:val="5D6819CF"/>
    <w:multiLevelType w:val="hybridMultilevel"/>
    <w:tmpl w:val="94F63A0C"/>
    <w:lvl w:ilvl="0" w:tplc="ABC2AC10">
      <w:start w:val="1"/>
      <w:numFmt w:val="bullet"/>
      <w:lvlText w:val=""/>
      <w:lvlJc w:val="left"/>
      <w:pPr>
        <w:tabs>
          <w:tab w:val="num" w:pos="144"/>
        </w:tabs>
        <w:ind w:left="216" w:hanging="216"/>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EAD4C51"/>
    <w:multiLevelType w:val="singleLevel"/>
    <w:tmpl w:val="EBE41A2E"/>
    <w:lvl w:ilvl="0">
      <w:start w:val="1"/>
      <w:numFmt w:val="upperLetter"/>
      <w:lvlText w:val="%1."/>
      <w:lvlJc w:val="left"/>
      <w:pPr>
        <w:tabs>
          <w:tab w:val="num" w:pos="1440"/>
        </w:tabs>
        <w:ind w:left="1440" w:hanging="720"/>
      </w:pPr>
      <w:rPr>
        <w:rFonts w:hint="default"/>
      </w:rPr>
    </w:lvl>
  </w:abstractNum>
  <w:abstractNum w:abstractNumId="26">
    <w:nsid w:val="612E7D07"/>
    <w:multiLevelType w:val="hybridMultilevel"/>
    <w:tmpl w:val="9E4C61A6"/>
    <w:lvl w:ilvl="0" w:tplc="0B84193E">
      <w:start w:val="1"/>
      <w:numFmt w:val="upperLetter"/>
      <w:lvlText w:val="%1."/>
      <w:lvlJc w:val="left"/>
      <w:pPr>
        <w:tabs>
          <w:tab w:val="num" w:pos="2160"/>
        </w:tabs>
        <w:ind w:left="2160" w:hanging="14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nsid w:val="680D7658"/>
    <w:multiLevelType w:val="hybridMultilevel"/>
    <w:tmpl w:val="D86AD30A"/>
    <w:lvl w:ilvl="0" w:tplc="36CA462A">
      <w:start w:val="17"/>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6AB449AD"/>
    <w:multiLevelType w:val="hybridMultilevel"/>
    <w:tmpl w:val="8A462AA0"/>
    <w:lvl w:ilvl="0" w:tplc="53A07878">
      <w:start w:val="17"/>
      <w:numFmt w:val="upperLetter"/>
      <w:lvlText w:val="%1."/>
      <w:lvlJc w:val="left"/>
      <w:pPr>
        <w:tabs>
          <w:tab w:val="num" w:pos="1500"/>
        </w:tabs>
        <w:ind w:left="1500" w:hanging="780"/>
      </w:pPr>
      <w:rPr>
        <w:rFonts w:hint="default"/>
        <w:b/>
      </w:rPr>
    </w:lvl>
    <w:lvl w:ilvl="1" w:tplc="97226258">
      <w:start w:val="17"/>
      <w:numFmt w:val="upperLetter"/>
      <w:lvlText w:val="%2."/>
      <w:lvlJc w:val="left"/>
      <w:pPr>
        <w:tabs>
          <w:tab w:val="num" w:pos="1800"/>
        </w:tabs>
        <w:ind w:left="1800" w:hanging="720"/>
      </w:pPr>
      <w:rPr>
        <w:rFonts w:hint="default"/>
        <w:b/>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nsid w:val="6D1B6DC8"/>
    <w:multiLevelType w:val="hybridMultilevel"/>
    <w:tmpl w:val="A5042900"/>
    <w:lvl w:ilvl="0" w:tplc="DB803938">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6E5B6776"/>
    <w:multiLevelType w:val="hybridMultilevel"/>
    <w:tmpl w:val="38D2213A"/>
    <w:lvl w:ilvl="0" w:tplc="1DA25076">
      <w:start w:val="17"/>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nsid w:val="7A19691E"/>
    <w:multiLevelType w:val="hybridMultilevel"/>
    <w:tmpl w:val="03B8F23E"/>
    <w:lvl w:ilvl="0" w:tplc="E77874CA">
      <w:start w:val="1"/>
      <w:numFmt w:val="bullet"/>
      <w:lvlText w:val="•"/>
      <w:lvlJc w:val="left"/>
      <w:pPr>
        <w:tabs>
          <w:tab w:val="num" w:pos="720"/>
        </w:tabs>
        <w:ind w:left="720" w:hanging="360"/>
      </w:pPr>
      <w:rPr>
        <w:rFonts w:ascii="Arial" w:hAnsi="Arial" w:hint="default"/>
      </w:rPr>
    </w:lvl>
    <w:lvl w:ilvl="1" w:tplc="F13E7CEA" w:tentative="1">
      <w:start w:val="1"/>
      <w:numFmt w:val="bullet"/>
      <w:lvlText w:val="•"/>
      <w:lvlJc w:val="left"/>
      <w:pPr>
        <w:tabs>
          <w:tab w:val="num" w:pos="1440"/>
        </w:tabs>
        <w:ind w:left="1440" w:hanging="360"/>
      </w:pPr>
      <w:rPr>
        <w:rFonts w:ascii="Arial" w:hAnsi="Arial" w:hint="default"/>
      </w:rPr>
    </w:lvl>
    <w:lvl w:ilvl="2" w:tplc="A510E0A6" w:tentative="1">
      <w:start w:val="1"/>
      <w:numFmt w:val="bullet"/>
      <w:lvlText w:val="•"/>
      <w:lvlJc w:val="left"/>
      <w:pPr>
        <w:tabs>
          <w:tab w:val="num" w:pos="2160"/>
        </w:tabs>
        <w:ind w:left="2160" w:hanging="360"/>
      </w:pPr>
      <w:rPr>
        <w:rFonts w:ascii="Arial" w:hAnsi="Arial" w:hint="default"/>
      </w:rPr>
    </w:lvl>
    <w:lvl w:ilvl="3" w:tplc="C60E9B6A" w:tentative="1">
      <w:start w:val="1"/>
      <w:numFmt w:val="bullet"/>
      <w:lvlText w:val="•"/>
      <w:lvlJc w:val="left"/>
      <w:pPr>
        <w:tabs>
          <w:tab w:val="num" w:pos="2880"/>
        </w:tabs>
        <w:ind w:left="2880" w:hanging="360"/>
      </w:pPr>
      <w:rPr>
        <w:rFonts w:ascii="Arial" w:hAnsi="Arial" w:hint="default"/>
      </w:rPr>
    </w:lvl>
    <w:lvl w:ilvl="4" w:tplc="9EEEB11A" w:tentative="1">
      <w:start w:val="1"/>
      <w:numFmt w:val="bullet"/>
      <w:lvlText w:val="•"/>
      <w:lvlJc w:val="left"/>
      <w:pPr>
        <w:tabs>
          <w:tab w:val="num" w:pos="3600"/>
        </w:tabs>
        <w:ind w:left="3600" w:hanging="360"/>
      </w:pPr>
      <w:rPr>
        <w:rFonts w:ascii="Arial" w:hAnsi="Arial" w:hint="default"/>
      </w:rPr>
    </w:lvl>
    <w:lvl w:ilvl="5" w:tplc="CDAE0A66" w:tentative="1">
      <w:start w:val="1"/>
      <w:numFmt w:val="bullet"/>
      <w:lvlText w:val="•"/>
      <w:lvlJc w:val="left"/>
      <w:pPr>
        <w:tabs>
          <w:tab w:val="num" w:pos="4320"/>
        </w:tabs>
        <w:ind w:left="4320" w:hanging="360"/>
      </w:pPr>
      <w:rPr>
        <w:rFonts w:ascii="Arial" w:hAnsi="Arial" w:hint="default"/>
      </w:rPr>
    </w:lvl>
    <w:lvl w:ilvl="6" w:tplc="4FB659EE" w:tentative="1">
      <w:start w:val="1"/>
      <w:numFmt w:val="bullet"/>
      <w:lvlText w:val="•"/>
      <w:lvlJc w:val="left"/>
      <w:pPr>
        <w:tabs>
          <w:tab w:val="num" w:pos="5040"/>
        </w:tabs>
        <w:ind w:left="5040" w:hanging="360"/>
      </w:pPr>
      <w:rPr>
        <w:rFonts w:ascii="Arial" w:hAnsi="Arial" w:hint="default"/>
      </w:rPr>
    </w:lvl>
    <w:lvl w:ilvl="7" w:tplc="748A3C62" w:tentative="1">
      <w:start w:val="1"/>
      <w:numFmt w:val="bullet"/>
      <w:lvlText w:val="•"/>
      <w:lvlJc w:val="left"/>
      <w:pPr>
        <w:tabs>
          <w:tab w:val="num" w:pos="5760"/>
        </w:tabs>
        <w:ind w:left="5760" w:hanging="360"/>
      </w:pPr>
      <w:rPr>
        <w:rFonts w:ascii="Arial" w:hAnsi="Arial" w:hint="default"/>
      </w:rPr>
    </w:lvl>
    <w:lvl w:ilvl="8" w:tplc="C9FA1580" w:tentative="1">
      <w:start w:val="1"/>
      <w:numFmt w:val="bullet"/>
      <w:lvlText w:val="•"/>
      <w:lvlJc w:val="left"/>
      <w:pPr>
        <w:tabs>
          <w:tab w:val="num" w:pos="6480"/>
        </w:tabs>
        <w:ind w:left="6480" w:hanging="360"/>
      </w:pPr>
      <w:rPr>
        <w:rFonts w:ascii="Arial" w:hAnsi="Arial" w:hint="default"/>
      </w:rPr>
    </w:lvl>
  </w:abstractNum>
  <w:num w:numId="1">
    <w:abstractNumId w:val="19"/>
  </w:num>
  <w:num w:numId="2">
    <w:abstractNumId w:val="18"/>
  </w:num>
  <w:num w:numId="3">
    <w:abstractNumId w:val="21"/>
  </w:num>
  <w:num w:numId="4">
    <w:abstractNumId w:val="30"/>
  </w:num>
  <w:num w:numId="5">
    <w:abstractNumId w:val="12"/>
  </w:num>
  <w:num w:numId="6">
    <w:abstractNumId w:val="1"/>
  </w:num>
  <w:num w:numId="7">
    <w:abstractNumId w:val="27"/>
  </w:num>
  <w:num w:numId="8">
    <w:abstractNumId w:val="16"/>
  </w:num>
  <w:num w:numId="9">
    <w:abstractNumId w:val="29"/>
  </w:num>
  <w:num w:numId="10">
    <w:abstractNumId w:val="0"/>
  </w:num>
  <w:num w:numId="11">
    <w:abstractNumId w:val="2"/>
  </w:num>
  <w:num w:numId="12">
    <w:abstractNumId w:val="26"/>
  </w:num>
  <w:num w:numId="13">
    <w:abstractNumId w:val="22"/>
  </w:num>
  <w:num w:numId="14">
    <w:abstractNumId w:val="17"/>
  </w:num>
  <w:num w:numId="15">
    <w:abstractNumId w:val="25"/>
  </w:num>
  <w:num w:numId="16">
    <w:abstractNumId w:val="14"/>
  </w:num>
  <w:num w:numId="17">
    <w:abstractNumId w:val="15"/>
  </w:num>
  <w:num w:numId="18">
    <w:abstractNumId w:val="10"/>
  </w:num>
  <w:num w:numId="19">
    <w:abstractNumId w:val="23"/>
  </w:num>
  <w:num w:numId="20">
    <w:abstractNumId w:val="28"/>
  </w:num>
  <w:num w:numId="21">
    <w:abstractNumId w:val="9"/>
  </w:num>
  <w:num w:numId="22">
    <w:abstractNumId w:val="24"/>
  </w:num>
  <w:num w:numId="23">
    <w:abstractNumId w:val="5"/>
  </w:num>
  <w:num w:numId="24">
    <w:abstractNumId w:val="6"/>
  </w:num>
  <w:num w:numId="25">
    <w:abstractNumId w:val="7"/>
  </w:num>
  <w:num w:numId="26">
    <w:abstractNumId w:val="13"/>
  </w:num>
  <w:num w:numId="27">
    <w:abstractNumId w:val="11"/>
  </w:num>
  <w:num w:numId="28">
    <w:abstractNumId w:val="4"/>
  </w:num>
  <w:num w:numId="29">
    <w:abstractNumId w:val="20"/>
  </w:num>
  <w:num w:numId="30">
    <w:abstractNumId w:val="8"/>
  </w:num>
  <w:num w:numId="31">
    <w:abstractNumId w:val="3"/>
  </w:num>
  <w:num w:numId="32">
    <w:abstractNumId w:val="3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20"/>
  <w:doNotHyphenateCaps/>
  <w:drawingGridHorizontalSpacing w:val="120"/>
  <w:drawingGridVerticalSpacing w:val="120"/>
  <w:displayHorizontalDrawingGridEvery w:val="0"/>
  <w:displayVerticalDrawingGridEvery w:val="3"/>
  <w:characterSpacingControl w:val="compressPunctuation"/>
  <w:doNotValidateAgainstSchema/>
  <w:doNotDemarcateInvalidXml/>
  <w:hdrShapeDefaults>
    <o:shapedefaults v:ext="edit" spidmax="83969"/>
  </w:hdrShapeDefaults>
  <w:footnotePr>
    <w:footnote w:id="-1"/>
    <w:footnote w:id="0"/>
  </w:footnotePr>
  <w:endnotePr>
    <w:endnote w:id="-1"/>
    <w:endnote w:id="0"/>
  </w:endnotePr>
  <w:compat>
    <w:usePrinterMetric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33F37"/>
    <w:rsid w:val="0000035F"/>
    <w:rsid w:val="000015D0"/>
    <w:rsid w:val="000016C8"/>
    <w:rsid w:val="000025CC"/>
    <w:rsid w:val="00003FC5"/>
    <w:rsid w:val="00006AA6"/>
    <w:rsid w:val="00007DCA"/>
    <w:rsid w:val="000116CA"/>
    <w:rsid w:val="000118D0"/>
    <w:rsid w:val="000119D1"/>
    <w:rsid w:val="00015E12"/>
    <w:rsid w:val="00016E13"/>
    <w:rsid w:val="00021122"/>
    <w:rsid w:val="000230EA"/>
    <w:rsid w:val="0002321A"/>
    <w:rsid w:val="00023A14"/>
    <w:rsid w:val="00024CC7"/>
    <w:rsid w:val="0002507C"/>
    <w:rsid w:val="00026E54"/>
    <w:rsid w:val="00026F67"/>
    <w:rsid w:val="00027164"/>
    <w:rsid w:val="0002734A"/>
    <w:rsid w:val="000300B8"/>
    <w:rsid w:val="00030590"/>
    <w:rsid w:val="00031A8D"/>
    <w:rsid w:val="00032744"/>
    <w:rsid w:val="000333A8"/>
    <w:rsid w:val="00033A70"/>
    <w:rsid w:val="00040C62"/>
    <w:rsid w:val="00041E5F"/>
    <w:rsid w:val="00044C99"/>
    <w:rsid w:val="00044D4B"/>
    <w:rsid w:val="00046A38"/>
    <w:rsid w:val="00046EDD"/>
    <w:rsid w:val="000519DE"/>
    <w:rsid w:val="00054F2D"/>
    <w:rsid w:val="00055A11"/>
    <w:rsid w:val="000605FE"/>
    <w:rsid w:val="0006376C"/>
    <w:rsid w:val="0006541A"/>
    <w:rsid w:val="00067279"/>
    <w:rsid w:val="000717F7"/>
    <w:rsid w:val="00073CB8"/>
    <w:rsid w:val="000752C9"/>
    <w:rsid w:val="00075D5A"/>
    <w:rsid w:val="00076F75"/>
    <w:rsid w:val="00077387"/>
    <w:rsid w:val="00077BBE"/>
    <w:rsid w:val="00081998"/>
    <w:rsid w:val="00081E17"/>
    <w:rsid w:val="0008263D"/>
    <w:rsid w:val="0008400A"/>
    <w:rsid w:val="000848B9"/>
    <w:rsid w:val="00085A7D"/>
    <w:rsid w:val="000867CA"/>
    <w:rsid w:val="000873EE"/>
    <w:rsid w:val="00087599"/>
    <w:rsid w:val="00087DEA"/>
    <w:rsid w:val="000906A8"/>
    <w:rsid w:val="00091165"/>
    <w:rsid w:val="00093A14"/>
    <w:rsid w:val="00094F2D"/>
    <w:rsid w:val="000950EB"/>
    <w:rsid w:val="00097A07"/>
    <w:rsid w:val="000A25BF"/>
    <w:rsid w:val="000A3E11"/>
    <w:rsid w:val="000A58C6"/>
    <w:rsid w:val="000A76A1"/>
    <w:rsid w:val="000C3018"/>
    <w:rsid w:val="000C3663"/>
    <w:rsid w:val="000C43F9"/>
    <w:rsid w:val="000C61AB"/>
    <w:rsid w:val="000D13AF"/>
    <w:rsid w:val="000D213D"/>
    <w:rsid w:val="000D3433"/>
    <w:rsid w:val="000D4D51"/>
    <w:rsid w:val="000D61BB"/>
    <w:rsid w:val="000D6B0A"/>
    <w:rsid w:val="000D7190"/>
    <w:rsid w:val="000E0F90"/>
    <w:rsid w:val="000E1E5D"/>
    <w:rsid w:val="000E2061"/>
    <w:rsid w:val="000E4A23"/>
    <w:rsid w:val="000E5967"/>
    <w:rsid w:val="000E6976"/>
    <w:rsid w:val="000E6EAF"/>
    <w:rsid w:val="000F1DB3"/>
    <w:rsid w:val="000F25D6"/>
    <w:rsid w:val="000F629E"/>
    <w:rsid w:val="000F6C26"/>
    <w:rsid w:val="00103242"/>
    <w:rsid w:val="00110A29"/>
    <w:rsid w:val="00111299"/>
    <w:rsid w:val="00113222"/>
    <w:rsid w:val="00115E94"/>
    <w:rsid w:val="001166CD"/>
    <w:rsid w:val="001223A0"/>
    <w:rsid w:val="00122624"/>
    <w:rsid w:val="001248C1"/>
    <w:rsid w:val="00127314"/>
    <w:rsid w:val="00127CDD"/>
    <w:rsid w:val="001315D2"/>
    <w:rsid w:val="0013247D"/>
    <w:rsid w:val="00133BEF"/>
    <w:rsid w:val="0013788C"/>
    <w:rsid w:val="00140817"/>
    <w:rsid w:val="00140858"/>
    <w:rsid w:val="00142684"/>
    <w:rsid w:val="00142816"/>
    <w:rsid w:val="001428EC"/>
    <w:rsid w:val="00145DEF"/>
    <w:rsid w:val="0014751D"/>
    <w:rsid w:val="00150394"/>
    <w:rsid w:val="00152598"/>
    <w:rsid w:val="00152FA8"/>
    <w:rsid w:val="001551C4"/>
    <w:rsid w:val="00155C92"/>
    <w:rsid w:val="001617A2"/>
    <w:rsid w:val="001636A8"/>
    <w:rsid w:val="00166EDB"/>
    <w:rsid w:val="00167E7B"/>
    <w:rsid w:val="001703B6"/>
    <w:rsid w:val="0017098B"/>
    <w:rsid w:val="00171CEB"/>
    <w:rsid w:val="00171E75"/>
    <w:rsid w:val="0017208B"/>
    <w:rsid w:val="001749CE"/>
    <w:rsid w:val="001770EE"/>
    <w:rsid w:val="0018050A"/>
    <w:rsid w:val="00180A93"/>
    <w:rsid w:val="001836ED"/>
    <w:rsid w:val="00183E92"/>
    <w:rsid w:val="001853C4"/>
    <w:rsid w:val="00185ACA"/>
    <w:rsid w:val="00186196"/>
    <w:rsid w:val="00186668"/>
    <w:rsid w:val="00187A8E"/>
    <w:rsid w:val="0019074F"/>
    <w:rsid w:val="00191021"/>
    <w:rsid w:val="0019114B"/>
    <w:rsid w:val="00191C6F"/>
    <w:rsid w:val="00196156"/>
    <w:rsid w:val="00196D5C"/>
    <w:rsid w:val="001A12DB"/>
    <w:rsid w:val="001A1FB1"/>
    <w:rsid w:val="001A238C"/>
    <w:rsid w:val="001A2FBB"/>
    <w:rsid w:val="001B22B6"/>
    <w:rsid w:val="001B3838"/>
    <w:rsid w:val="001B7F50"/>
    <w:rsid w:val="001C092A"/>
    <w:rsid w:val="001C4B44"/>
    <w:rsid w:val="001D0F87"/>
    <w:rsid w:val="001D59E0"/>
    <w:rsid w:val="001D68C0"/>
    <w:rsid w:val="001D72E9"/>
    <w:rsid w:val="001E0B1E"/>
    <w:rsid w:val="001E1E05"/>
    <w:rsid w:val="001E2D76"/>
    <w:rsid w:val="001E5381"/>
    <w:rsid w:val="001E54DC"/>
    <w:rsid w:val="001E5B1C"/>
    <w:rsid w:val="001E5F55"/>
    <w:rsid w:val="001F2140"/>
    <w:rsid w:val="001F3C77"/>
    <w:rsid w:val="001F3D82"/>
    <w:rsid w:val="001F40A4"/>
    <w:rsid w:val="001F7A04"/>
    <w:rsid w:val="0020201F"/>
    <w:rsid w:val="00205C3C"/>
    <w:rsid w:val="00206625"/>
    <w:rsid w:val="00206D72"/>
    <w:rsid w:val="00207776"/>
    <w:rsid w:val="00207B96"/>
    <w:rsid w:val="00211DA6"/>
    <w:rsid w:val="0021630A"/>
    <w:rsid w:val="00216EEA"/>
    <w:rsid w:val="00217883"/>
    <w:rsid w:val="00217917"/>
    <w:rsid w:val="00217F7F"/>
    <w:rsid w:val="00220767"/>
    <w:rsid w:val="0022193A"/>
    <w:rsid w:val="0022241B"/>
    <w:rsid w:val="002232BF"/>
    <w:rsid w:val="0022508A"/>
    <w:rsid w:val="002268EE"/>
    <w:rsid w:val="00227922"/>
    <w:rsid w:val="002323EA"/>
    <w:rsid w:val="002333F6"/>
    <w:rsid w:val="00236A74"/>
    <w:rsid w:val="002416B1"/>
    <w:rsid w:val="002416C6"/>
    <w:rsid w:val="00242108"/>
    <w:rsid w:val="002425EF"/>
    <w:rsid w:val="00243E52"/>
    <w:rsid w:val="00244A3B"/>
    <w:rsid w:val="00244C0A"/>
    <w:rsid w:val="002512E0"/>
    <w:rsid w:val="002518E3"/>
    <w:rsid w:val="00254483"/>
    <w:rsid w:val="002547C5"/>
    <w:rsid w:val="00254954"/>
    <w:rsid w:val="00254BC6"/>
    <w:rsid w:val="00255145"/>
    <w:rsid w:val="0025608B"/>
    <w:rsid w:val="00257B27"/>
    <w:rsid w:val="00260BDF"/>
    <w:rsid w:val="00260D04"/>
    <w:rsid w:val="002639D2"/>
    <w:rsid w:val="00265EEF"/>
    <w:rsid w:val="00266C5C"/>
    <w:rsid w:val="00267CB8"/>
    <w:rsid w:val="00270A7A"/>
    <w:rsid w:val="00272EF2"/>
    <w:rsid w:val="00273703"/>
    <w:rsid w:val="00274239"/>
    <w:rsid w:val="002749A0"/>
    <w:rsid w:val="002770A6"/>
    <w:rsid w:val="00277436"/>
    <w:rsid w:val="00282A8B"/>
    <w:rsid w:val="0028564A"/>
    <w:rsid w:val="002867DC"/>
    <w:rsid w:val="0028696B"/>
    <w:rsid w:val="002874F0"/>
    <w:rsid w:val="00295636"/>
    <w:rsid w:val="00296150"/>
    <w:rsid w:val="002A3BB0"/>
    <w:rsid w:val="002A4362"/>
    <w:rsid w:val="002B4F7F"/>
    <w:rsid w:val="002B7421"/>
    <w:rsid w:val="002B7B25"/>
    <w:rsid w:val="002B7B78"/>
    <w:rsid w:val="002C429D"/>
    <w:rsid w:val="002C5F32"/>
    <w:rsid w:val="002C7EDB"/>
    <w:rsid w:val="002D4311"/>
    <w:rsid w:val="002E2403"/>
    <w:rsid w:val="002E58FD"/>
    <w:rsid w:val="002E64D4"/>
    <w:rsid w:val="002E7A3B"/>
    <w:rsid w:val="002F0E35"/>
    <w:rsid w:val="002F663C"/>
    <w:rsid w:val="002F673E"/>
    <w:rsid w:val="002F6F9A"/>
    <w:rsid w:val="003034AB"/>
    <w:rsid w:val="00303D7D"/>
    <w:rsid w:val="0030619F"/>
    <w:rsid w:val="003109D2"/>
    <w:rsid w:val="00312861"/>
    <w:rsid w:val="00314BC1"/>
    <w:rsid w:val="00316CAE"/>
    <w:rsid w:val="00317B90"/>
    <w:rsid w:val="0032215D"/>
    <w:rsid w:val="00322332"/>
    <w:rsid w:val="003233C8"/>
    <w:rsid w:val="0032494A"/>
    <w:rsid w:val="00324D60"/>
    <w:rsid w:val="00326A8A"/>
    <w:rsid w:val="00331DAE"/>
    <w:rsid w:val="00331EC4"/>
    <w:rsid w:val="003337E6"/>
    <w:rsid w:val="003338C7"/>
    <w:rsid w:val="00334007"/>
    <w:rsid w:val="0034003F"/>
    <w:rsid w:val="00340163"/>
    <w:rsid w:val="003413DB"/>
    <w:rsid w:val="00344541"/>
    <w:rsid w:val="003461E8"/>
    <w:rsid w:val="003466BD"/>
    <w:rsid w:val="003505CF"/>
    <w:rsid w:val="003533D4"/>
    <w:rsid w:val="0035600E"/>
    <w:rsid w:val="00360EA2"/>
    <w:rsid w:val="00360F30"/>
    <w:rsid w:val="00363481"/>
    <w:rsid w:val="00371FDC"/>
    <w:rsid w:val="00374094"/>
    <w:rsid w:val="0038000F"/>
    <w:rsid w:val="00381803"/>
    <w:rsid w:val="0038237F"/>
    <w:rsid w:val="00382B34"/>
    <w:rsid w:val="00383E9D"/>
    <w:rsid w:val="0038498D"/>
    <w:rsid w:val="00384C6B"/>
    <w:rsid w:val="00384ED5"/>
    <w:rsid w:val="00386186"/>
    <w:rsid w:val="00386C7F"/>
    <w:rsid w:val="00386D4E"/>
    <w:rsid w:val="00394677"/>
    <w:rsid w:val="00395D30"/>
    <w:rsid w:val="00396795"/>
    <w:rsid w:val="003A4A08"/>
    <w:rsid w:val="003B13DF"/>
    <w:rsid w:val="003B263B"/>
    <w:rsid w:val="003B3469"/>
    <w:rsid w:val="003B4072"/>
    <w:rsid w:val="003B4193"/>
    <w:rsid w:val="003C12B5"/>
    <w:rsid w:val="003C237E"/>
    <w:rsid w:val="003C3698"/>
    <w:rsid w:val="003C48FC"/>
    <w:rsid w:val="003C5B66"/>
    <w:rsid w:val="003D2969"/>
    <w:rsid w:val="003D2F62"/>
    <w:rsid w:val="003D2F6E"/>
    <w:rsid w:val="003D429E"/>
    <w:rsid w:val="003E1B2F"/>
    <w:rsid w:val="003E29B4"/>
    <w:rsid w:val="003E478E"/>
    <w:rsid w:val="003E58AF"/>
    <w:rsid w:val="003E643F"/>
    <w:rsid w:val="003E762A"/>
    <w:rsid w:val="003E783A"/>
    <w:rsid w:val="003F1068"/>
    <w:rsid w:val="003F1BE2"/>
    <w:rsid w:val="003F1C18"/>
    <w:rsid w:val="003F6E12"/>
    <w:rsid w:val="003F7A62"/>
    <w:rsid w:val="004007A3"/>
    <w:rsid w:val="00404EDF"/>
    <w:rsid w:val="00405363"/>
    <w:rsid w:val="0040667C"/>
    <w:rsid w:val="00407309"/>
    <w:rsid w:val="00410453"/>
    <w:rsid w:val="004129E0"/>
    <w:rsid w:val="0041302D"/>
    <w:rsid w:val="00413E6F"/>
    <w:rsid w:val="00416CDD"/>
    <w:rsid w:val="00416D62"/>
    <w:rsid w:val="00416E2D"/>
    <w:rsid w:val="00416FE6"/>
    <w:rsid w:val="00417138"/>
    <w:rsid w:val="004204EB"/>
    <w:rsid w:val="00422189"/>
    <w:rsid w:val="00425F16"/>
    <w:rsid w:val="00426D7C"/>
    <w:rsid w:val="00427FAD"/>
    <w:rsid w:val="00431317"/>
    <w:rsid w:val="0043254D"/>
    <w:rsid w:val="004354F3"/>
    <w:rsid w:val="00435706"/>
    <w:rsid w:val="00437B7B"/>
    <w:rsid w:val="00440714"/>
    <w:rsid w:val="0044169E"/>
    <w:rsid w:val="00441FEA"/>
    <w:rsid w:val="0045076E"/>
    <w:rsid w:val="0045265B"/>
    <w:rsid w:val="00452B06"/>
    <w:rsid w:val="00452C87"/>
    <w:rsid w:val="00453497"/>
    <w:rsid w:val="004572A4"/>
    <w:rsid w:val="004572CC"/>
    <w:rsid w:val="00461F9E"/>
    <w:rsid w:val="004717E1"/>
    <w:rsid w:val="00472458"/>
    <w:rsid w:val="00474D35"/>
    <w:rsid w:val="004754A2"/>
    <w:rsid w:val="00481221"/>
    <w:rsid w:val="0048191A"/>
    <w:rsid w:val="00483292"/>
    <w:rsid w:val="00484B37"/>
    <w:rsid w:val="004919B6"/>
    <w:rsid w:val="0049273C"/>
    <w:rsid w:val="00493E0A"/>
    <w:rsid w:val="00494C26"/>
    <w:rsid w:val="004976CA"/>
    <w:rsid w:val="004A0097"/>
    <w:rsid w:val="004A2230"/>
    <w:rsid w:val="004A2E84"/>
    <w:rsid w:val="004A5B34"/>
    <w:rsid w:val="004A62B7"/>
    <w:rsid w:val="004B0EA4"/>
    <w:rsid w:val="004B6167"/>
    <w:rsid w:val="004C092F"/>
    <w:rsid w:val="004C3321"/>
    <w:rsid w:val="004C3330"/>
    <w:rsid w:val="004C40E7"/>
    <w:rsid w:val="004C47AA"/>
    <w:rsid w:val="004D1BED"/>
    <w:rsid w:val="004E1196"/>
    <w:rsid w:val="004E1A57"/>
    <w:rsid w:val="004E4C9D"/>
    <w:rsid w:val="004E7A81"/>
    <w:rsid w:val="004E7B3D"/>
    <w:rsid w:val="004F05E6"/>
    <w:rsid w:val="004F1D03"/>
    <w:rsid w:val="004F3DD4"/>
    <w:rsid w:val="004F411C"/>
    <w:rsid w:val="00500E45"/>
    <w:rsid w:val="005011A6"/>
    <w:rsid w:val="00501D81"/>
    <w:rsid w:val="00502B2E"/>
    <w:rsid w:val="005037F7"/>
    <w:rsid w:val="00504EC3"/>
    <w:rsid w:val="00507245"/>
    <w:rsid w:val="00511AF1"/>
    <w:rsid w:val="00511D02"/>
    <w:rsid w:val="00512A50"/>
    <w:rsid w:val="00513F56"/>
    <w:rsid w:val="00514335"/>
    <w:rsid w:val="00517274"/>
    <w:rsid w:val="00517ACF"/>
    <w:rsid w:val="0052174D"/>
    <w:rsid w:val="00522995"/>
    <w:rsid w:val="00524217"/>
    <w:rsid w:val="00525D2E"/>
    <w:rsid w:val="0052736D"/>
    <w:rsid w:val="0053274B"/>
    <w:rsid w:val="00532876"/>
    <w:rsid w:val="005335D3"/>
    <w:rsid w:val="00534110"/>
    <w:rsid w:val="00541BF6"/>
    <w:rsid w:val="0054267A"/>
    <w:rsid w:val="0054393D"/>
    <w:rsid w:val="00546A2A"/>
    <w:rsid w:val="00552C70"/>
    <w:rsid w:val="00553329"/>
    <w:rsid w:val="0055416B"/>
    <w:rsid w:val="00560CD7"/>
    <w:rsid w:val="00564CD7"/>
    <w:rsid w:val="00565253"/>
    <w:rsid w:val="00566FF5"/>
    <w:rsid w:val="00570252"/>
    <w:rsid w:val="00573311"/>
    <w:rsid w:val="005752D8"/>
    <w:rsid w:val="00576A81"/>
    <w:rsid w:val="00576C15"/>
    <w:rsid w:val="005774A4"/>
    <w:rsid w:val="00577EB8"/>
    <w:rsid w:val="00580D09"/>
    <w:rsid w:val="005813D3"/>
    <w:rsid w:val="00584473"/>
    <w:rsid w:val="005868F6"/>
    <w:rsid w:val="00591A23"/>
    <w:rsid w:val="00591ADE"/>
    <w:rsid w:val="00592C61"/>
    <w:rsid w:val="00592FAB"/>
    <w:rsid w:val="00594C61"/>
    <w:rsid w:val="00595DDC"/>
    <w:rsid w:val="00595F37"/>
    <w:rsid w:val="005A0121"/>
    <w:rsid w:val="005A28E6"/>
    <w:rsid w:val="005A2A7F"/>
    <w:rsid w:val="005A36BE"/>
    <w:rsid w:val="005A3E7A"/>
    <w:rsid w:val="005A4E86"/>
    <w:rsid w:val="005A7460"/>
    <w:rsid w:val="005B034D"/>
    <w:rsid w:val="005B07D1"/>
    <w:rsid w:val="005B137B"/>
    <w:rsid w:val="005B3CF5"/>
    <w:rsid w:val="005B3EF9"/>
    <w:rsid w:val="005B5088"/>
    <w:rsid w:val="005B5642"/>
    <w:rsid w:val="005B5A94"/>
    <w:rsid w:val="005B75AC"/>
    <w:rsid w:val="005C12BF"/>
    <w:rsid w:val="005C2A8A"/>
    <w:rsid w:val="005C2DE5"/>
    <w:rsid w:val="005C3F39"/>
    <w:rsid w:val="005C44C6"/>
    <w:rsid w:val="005D12C1"/>
    <w:rsid w:val="005D49E5"/>
    <w:rsid w:val="005D65E8"/>
    <w:rsid w:val="005D6739"/>
    <w:rsid w:val="005E0A5B"/>
    <w:rsid w:val="005E0FCE"/>
    <w:rsid w:val="005E1B0F"/>
    <w:rsid w:val="005E1D32"/>
    <w:rsid w:val="005E2615"/>
    <w:rsid w:val="005E32B7"/>
    <w:rsid w:val="005E529D"/>
    <w:rsid w:val="005E5C6A"/>
    <w:rsid w:val="005E6898"/>
    <w:rsid w:val="005E6D70"/>
    <w:rsid w:val="005E6E84"/>
    <w:rsid w:val="005F0261"/>
    <w:rsid w:val="005F13F1"/>
    <w:rsid w:val="005F1450"/>
    <w:rsid w:val="005F2184"/>
    <w:rsid w:val="005F2486"/>
    <w:rsid w:val="005F2C70"/>
    <w:rsid w:val="005F3367"/>
    <w:rsid w:val="005F5036"/>
    <w:rsid w:val="005F5376"/>
    <w:rsid w:val="005F6558"/>
    <w:rsid w:val="00600F82"/>
    <w:rsid w:val="00604E45"/>
    <w:rsid w:val="006056C2"/>
    <w:rsid w:val="00606CE3"/>
    <w:rsid w:val="00607C7C"/>
    <w:rsid w:val="00610E92"/>
    <w:rsid w:val="00610FAD"/>
    <w:rsid w:val="00612152"/>
    <w:rsid w:val="00613116"/>
    <w:rsid w:val="0061565C"/>
    <w:rsid w:val="00616550"/>
    <w:rsid w:val="00617E2C"/>
    <w:rsid w:val="0062099B"/>
    <w:rsid w:val="00621ACE"/>
    <w:rsid w:val="00622DF4"/>
    <w:rsid w:val="006237F0"/>
    <w:rsid w:val="006264BA"/>
    <w:rsid w:val="00630ADF"/>
    <w:rsid w:val="00632556"/>
    <w:rsid w:val="00632802"/>
    <w:rsid w:val="00635898"/>
    <w:rsid w:val="00637200"/>
    <w:rsid w:val="006376CF"/>
    <w:rsid w:val="006408F0"/>
    <w:rsid w:val="00641E1C"/>
    <w:rsid w:val="00642036"/>
    <w:rsid w:val="006423AC"/>
    <w:rsid w:val="006432B4"/>
    <w:rsid w:val="00643AB0"/>
    <w:rsid w:val="00644B52"/>
    <w:rsid w:val="00645256"/>
    <w:rsid w:val="00645D73"/>
    <w:rsid w:val="0064634B"/>
    <w:rsid w:val="00647E39"/>
    <w:rsid w:val="0065007E"/>
    <w:rsid w:val="006533B0"/>
    <w:rsid w:val="00654133"/>
    <w:rsid w:val="00654314"/>
    <w:rsid w:val="00655432"/>
    <w:rsid w:val="00657D66"/>
    <w:rsid w:val="006610AC"/>
    <w:rsid w:val="006622B0"/>
    <w:rsid w:val="006623A8"/>
    <w:rsid w:val="00663316"/>
    <w:rsid w:val="00665A82"/>
    <w:rsid w:val="0066717D"/>
    <w:rsid w:val="00670343"/>
    <w:rsid w:val="00670D8B"/>
    <w:rsid w:val="0067140C"/>
    <w:rsid w:val="0067281A"/>
    <w:rsid w:val="00673120"/>
    <w:rsid w:val="00676783"/>
    <w:rsid w:val="00676CD9"/>
    <w:rsid w:val="00677CE1"/>
    <w:rsid w:val="00683700"/>
    <w:rsid w:val="00683E5F"/>
    <w:rsid w:val="00684DBE"/>
    <w:rsid w:val="00687A0E"/>
    <w:rsid w:val="00687A1D"/>
    <w:rsid w:val="00690563"/>
    <w:rsid w:val="00690A0B"/>
    <w:rsid w:val="00691058"/>
    <w:rsid w:val="006921A1"/>
    <w:rsid w:val="006928F9"/>
    <w:rsid w:val="006967A4"/>
    <w:rsid w:val="00696C2A"/>
    <w:rsid w:val="00697518"/>
    <w:rsid w:val="006A18BE"/>
    <w:rsid w:val="006A22DA"/>
    <w:rsid w:val="006A26ED"/>
    <w:rsid w:val="006A593D"/>
    <w:rsid w:val="006A59A5"/>
    <w:rsid w:val="006A74CF"/>
    <w:rsid w:val="006B100D"/>
    <w:rsid w:val="006B14A8"/>
    <w:rsid w:val="006B2C30"/>
    <w:rsid w:val="006B4249"/>
    <w:rsid w:val="006B4811"/>
    <w:rsid w:val="006B5EB7"/>
    <w:rsid w:val="006C2F1D"/>
    <w:rsid w:val="006C5A20"/>
    <w:rsid w:val="006C7862"/>
    <w:rsid w:val="006C78B5"/>
    <w:rsid w:val="006D2312"/>
    <w:rsid w:val="006D781F"/>
    <w:rsid w:val="006E0C2F"/>
    <w:rsid w:val="006E0F5B"/>
    <w:rsid w:val="006E1D22"/>
    <w:rsid w:val="006E618A"/>
    <w:rsid w:val="006E7D41"/>
    <w:rsid w:val="006F0504"/>
    <w:rsid w:val="006F09F4"/>
    <w:rsid w:val="006F1B7C"/>
    <w:rsid w:val="006F264A"/>
    <w:rsid w:val="006F4380"/>
    <w:rsid w:val="006F5E5E"/>
    <w:rsid w:val="006F6C51"/>
    <w:rsid w:val="007005C7"/>
    <w:rsid w:val="00701055"/>
    <w:rsid w:val="0070236D"/>
    <w:rsid w:val="00705DAF"/>
    <w:rsid w:val="00705E4B"/>
    <w:rsid w:val="00706BF3"/>
    <w:rsid w:val="00711543"/>
    <w:rsid w:val="007116FB"/>
    <w:rsid w:val="00715EC2"/>
    <w:rsid w:val="0072004A"/>
    <w:rsid w:val="00721618"/>
    <w:rsid w:val="00722DE8"/>
    <w:rsid w:val="00723FA3"/>
    <w:rsid w:val="0072521F"/>
    <w:rsid w:val="00726268"/>
    <w:rsid w:val="00726283"/>
    <w:rsid w:val="00726373"/>
    <w:rsid w:val="007267EC"/>
    <w:rsid w:val="00727633"/>
    <w:rsid w:val="00727A87"/>
    <w:rsid w:val="00730B8C"/>
    <w:rsid w:val="00737123"/>
    <w:rsid w:val="00737266"/>
    <w:rsid w:val="00737414"/>
    <w:rsid w:val="00737B6E"/>
    <w:rsid w:val="007401D9"/>
    <w:rsid w:val="00744AFB"/>
    <w:rsid w:val="00745F97"/>
    <w:rsid w:val="00746657"/>
    <w:rsid w:val="0075195B"/>
    <w:rsid w:val="00752B79"/>
    <w:rsid w:val="00752F0B"/>
    <w:rsid w:val="00753FB4"/>
    <w:rsid w:val="00753FE0"/>
    <w:rsid w:val="00757E16"/>
    <w:rsid w:val="0076162E"/>
    <w:rsid w:val="00761760"/>
    <w:rsid w:val="00761B22"/>
    <w:rsid w:val="00765322"/>
    <w:rsid w:val="00771F86"/>
    <w:rsid w:val="00774B2C"/>
    <w:rsid w:val="00775864"/>
    <w:rsid w:val="00777F1D"/>
    <w:rsid w:val="00780968"/>
    <w:rsid w:val="00783B90"/>
    <w:rsid w:val="007871F5"/>
    <w:rsid w:val="00787343"/>
    <w:rsid w:val="00793CE9"/>
    <w:rsid w:val="007945B5"/>
    <w:rsid w:val="00794B11"/>
    <w:rsid w:val="007A0454"/>
    <w:rsid w:val="007A1C62"/>
    <w:rsid w:val="007A2273"/>
    <w:rsid w:val="007A2ACE"/>
    <w:rsid w:val="007B1D01"/>
    <w:rsid w:val="007B2F06"/>
    <w:rsid w:val="007B2FD7"/>
    <w:rsid w:val="007B3E8F"/>
    <w:rsid w:val="007B4BE0"/>
    <w:rsid w:val="007B50AB"/>
    <w:rsid w:val="007B622E"/>
    <w:rsid w:val="007C06CD"/>
    <w:rsid w:val="007C275C"/>
    <w:rsid w:val="007C3590"/>
    <w:rsid w:val="007C5413"/>
    <w:rsid w:val="007C71EB"/>
    <w:rsid w:val="007D10CA"/>
    <w:rsid w:val="007D1502"/>
    <w:rsid w:val="007D512E"/>
    <w:rsid w:val="007D639F"/>
    <w:rsid w:val="007D7A68"/>
    <w:rsid w:val="007D7C2D"/>
    <w:rsid w:val="007E3464"/>
    <w:rsid w:val="007E3D31"/>
    <w:rsid w:val="007E77D0"/>
    <w:rsid w:val="007F4764"/>
    <w:rsid w:val="007F4C2C"/>
    <w:rsid w:val="007F5EB5"/>
    <w:rsid w:val="007F7343"/>
    <w:rsid w:val="0080138D"/>
    <w:rsid w:val="00801E73"/>
    <w:rsid w:val="00804135"/>
    <w:rsid w:val="0080796C"/>
    <w:rsid w:val="00810C8F"/>
    <w:rsid w:val="00813292"/>
    <w:rsid w:val="00820915"/>
    <w:rsid w:val="00820934"/>
    <w:rsid w:val="00822562"/>
    <w:rsid w:val="00824637"/>
    <w:rsid w:val="0082664A"/>
    <w:rsid w:val="00826CD4"/>
    <w:rsid w:val="008311CB"/>
    <w:rsid w:val="00831A8B"/>
    <w:rsid w:val="0083378B"/>
    <w:rsid w:val="00833F37"/>
    <w:rsid w:val="00835422"/>
    <w:rsid w:val="008359A4"/>
    <w:rsid w:val="00835F38"/>
    <w:rsid w:val="008419C5"/>
    <w:rsid w:val="008421CD"/>
    <w:rsid w:val="00842620"/>
    <w:rsid w:val="008456B2"/>
    <w:rsid w:val="008458A0"/>
    <w:rsid w:val="00845A0C"/>
    <w:rsid w:val="00846409"/>
    <w:rsid w:val="008465F8"/>
    <w:rsid w:val="008502D0"/>
    <w:rsid w:val="00850680"/>
    <w:rsid w:val="00851083"/>
    <w:rsid w:val="008513C4"/>
    <w:rsid w:val="00852180"/>
    <w:rsid w:val="00852985"/>
    <w:rsid w:val="008530EF"/>
    <w:rsid w:val="00854211"/>
    <w:rsid w:val="008544B3"/>
    <w:rsid w:val="008548B6"/>
    <w:rsid w:val="008564C2"/>
    <w:rsid w:val="00861077"/>
    <w:rsid w:val="008612E8"/>
    <w:rsid w:val="00861B85"/>
    <w:rsid w:val="008626E2"/>
    <w:rsid w:val="00862715"/>
    <w:rsid w:val="00864ED9"/>
    <w:rsid w:val="00865780"/>
    <w:rsid w:val="00865A69"/>
    <w:rsid w:val="00870781"/>
    <w:rsid w:val="00877AAE"/>
    <w:rsid w:val="00877B33"/>
    <w:rsid w:val="00881FEF"/>
    <w:rsid w:val="008828AE"/>
    <w:rsid w:val="00882EF6"/>
    <w:rsid w:val="00884A0D"/>
    <w:rsid w:val="00886AFB"/>
    <w:rsid w:val="00887DF1"/>
    <w:rsid w:val="00887F59"/>
    <w:rsid w:val="008901CB"/>
    <w:rsid w:val="008919E7"/>
    <w:rsid w:val="00892ECB"/>
    <w:rsid w:val="00897593"/>
    <w:rsid w:val="008A07CA"/>
    <w:rsid w:val="008A2F7C"/>
    <w:rsid w:val="008A40F4"/>
    <w:rsid w:val="008A4A72"/>
    <w:rsid w:val="008A5D0F"/>
    <w:rsid w:val="008B080E"/>
    <w:rsid w:val="008B0BE0"/>
    <w:rsid w:val="008B1780"/>
    <w:rsid w:val="008B2F97"/>
    <w:rsid w:val="008B4B25"/>
    <w:rsid w:val="008B5534"/>
    <w:rsid w:val="008B5C75"/>
    <w:rsid w:val="008B605A"/>
    <w:rsid w:val="008B7AA6"/>
    <w:rsid w:val="008C0EB0"/>
    <w:rsid w:val="008C1FB3"/>
    <w:rsid w:val="008C4F03"/>
    <w:rsid w:val="008D2792"/>
    <w:rsid w:val="008D3A39"/>
    <w:rsid w:val="008D4BFF"/>
    <w:rsid w:val="008D7437"/>
    <w:rsid w:val="008D7800"/>
    <w:rsid w:val="008E0327"/>
    <w:rsid w:val="008E1B5E"/>
    <w:rsid w:val="008F23A3"/>
    <w:rsid w:val="008F24B0"/>
    <w:rsid w:val="008F4729"/>
    <w:rsid w:val="008F4D63"/>
    <w:rsid w:val="008F74CC"/>
    <w:rsid w:val="0090041F"/>
    <w:rsid w:val="00902EE9"/>
    <w:rsid w:val="0090424D"/>
    <w:rsid w:val="009046A9"/>
    <w:rsid w:val="00904F2E"/>
    <w:rsid w:val="00907880"/>
    <w:rsid w:val="00907F1F"/>
    <w:rsid w:val="00911E6F"/>
    <w:rsid w:val="0091339D"/>
    <w:rsid w:val="00913E6D"/>
    <w:rsid w:val="00914408"/>
    <w:rsid w:val="00915C2D"/>
    <w:rsid w:val="009166CF"/>
    <w:rsid w:val="00925D33"/>
    <w:rsid w:val="00926D93"/>
    <w:rsid w:val="00927321"/>
    <w:rsid w:val="00932D1F"/>
    <w:rsid w:val="00934E95"/>
    <w:rsid w:val="00936EFD"/>
    <w:rsid w:val="00937DE9"/>
    <w:rsid w:val="00946EA3"/>
    <w:rsid w:val="00950082"/>
    <w:rsid w:val="00951146"/>
    <w:rsid w:val="00952678"/>
    <w:rsid w:val="00956245"/>
    <w:rsid w:val="00957C10"/>
    <w:rsid w:val="009617FA"/>
    <w:rsid w:val="0096232B"/>
    <w:rsid w:val="00963D86"/>
    <w:rsid w:val="009645A7"/>
    <w:rsid w:val="00970C9A"/>
    <w:rsid w:val="00973660"/>
    <w:rsid w:val="00973A8C"/>
    <w:rsid w:val="00974874"/>
    <w:rsid w:val="00974A04"/>
    <w:rsid w:val="00982DF0"/>
    <w:rsid w:val="00983B79"/>
    <w:rsid w:val="00990B3F"/>
    <w:rsid w:val="00992922"/>
    <w:rsid w:val="009971D0"/>
    <w:rsid w:val="009A0ABB"/>
    <w:rsid w:val="009A0B0B"/>
    <w:rsid w:val="009A0B47"/>
    <w:rsid w:val="009A0BDB"/>
    <w:rsid w:val="009A18A4"/>
    <w:rsid w:val="009A2B1A"/>
    <w:rsid w:val="009A4036"/>
    <w:rsid w:val="009A7E30"/>
    <w:rsid w:val="009A7EEF"/>
    <w:rsid w:val="009B219C"/>
    <w:rsid w:val="009B25A7"/>
    <w:rsid w:val="009B67B5"/>
    <w:rsid w:val="009B6B3E"/>
    <w:rsid w:val="009B78AE"/>
    <w:rsid w:val="009C2C43"/>
    <w:rsid w:val="009C6AC2"/>
    <w:rsid w:val="009D0D69"/>
    <w:rsid w:val="009D0E28"/>
    <w:rsid w:val="009D10C8"/>
    <w:rsid w:val="009D444C"/>
    <w:rsid w:val="009D4987"/>
    <w:rsid w:val="009D4D5E"/>
    <w:rsid w:val="009D7A47"/>
    <w:rsid w:val="009E261D"/>
    <w:rsid w:val="009E26B6"/>
    <w:rsid w:val="009E4CA3"/>
    <w:rsid w:val="009E5FE7"/>
    <w:rsid w:val="009E6B3F"/>
    <w:rsid w:val="009F4B9D"/>
    <w:rsid w:val="009F5232"/>
    <w:rsid w:val="00A005B2"/>
    <w:rsid w:val="00A0198B"/>
    <w:rsid w:val="00A019B5"/>
    <w:rsid w:val="00A021CA"/>
    <w:rsid w:val="00A04991"/>
    <w:rsid w:val="00A04C8C"/>
    <w:rsid w:val="00A070FB"/>
    <w:rsid w:val="00A07DE9"/>
    <w:rsid w:val="00A1265D"/>
    <w:rsid w:val="00A14549"/>
    <w:rsid w:val="00A15869"/>
    <w:rsid w:val="00A17BF5"/>
    <w:rsid w:val="00A207FF"/>
    <w:rsid w:val="00A20DDB"/>
    <w:rsid w:val="00A21415"/>
    <w:rsid w:val="00A233DD"/>
    <w:rsid w:val="00A25C21"/>
    <w:rsid w:val="00A26AC4"/>
    <w:rsid w:val="00A30C4B"/>
    <w:rsid w:val="00A313AC"/>
    <w:rsid w:val="00A31CEC"/>
    <w:rsid w:val="00A33E10"/>
    <w:rsid w:val="00A37EC4"/>
    <w:rsid w:val="00A47E93"/>
    <w:rsid w:val="00A52AD2"/>
    <w:rsid w:val="00A544C3"/>
    <w:rsid w:val="00A54F5B"/>
    <w:rsid w:val="00A56A6C"/>
    <w:rsid w:val="00A57B98"/>
    <w:rsid w:val="00A60A24"/>
    <w:rsid w:val="00A60BE3"/>
    <w:rsid w:val="00A616F5"/>
    <w:rsid w:val="00A6245A"/>
    <w:rsid w:val="00A64553"/>
    <w:rsid w:val="00A64D7F"/>
    <w:rsid w:val="00A71374"/>
    <w:rsid w:val="00A72B15"/>
    <w:rsid w:val="00A72F59"/>
    <w:rsid w:val="00A743E1"/>
    <w:rsid w:val="00A75BD9"/>
    <w:rsid w:val="00A80AC2"/>
    <w:rsid w:val="00A820E2"/>
    <w:rsid w:val="00A82DC8"/>
    <w:rsid w:val="00A93CC0"/>
    <w:rsid w:val="00A94339"/>
    <w:rsid w:val="00A963A1"/>
    <w:rsid w:val="00A96E99"/>
    <w:rsid w:val="00AA0064"/>
    <w:rsid w:val="00AA1BA5"/>
    <w:rsid w:val="00AA5BAC"/>
    <w:rsid w:val="00AA5F51"/>
    <w:rsid w:val="00AA6234"/>
    <w:rsid w:val="00AA7536"/>
    <w:rsid w:val="00AB084A"/>
    <w:rsid w:val="00AB6C5C"/>
    <w:rsid w:val="00AB7297"/>
    <w:rsid w:val="00AB77EF"/>
    <w:rsid w:val="00AC10A9"/>
    <w:rsid w:val="00AC1E81"/>
    <w:rsid w:val="00AC2CA8"/>
    <w:rsid w:val="00AC44FC"/>
    <w:rsid w:val="00AC5D5B"/>
    <w:rsid w:val="00AC7C3E"/>
    <w:rsid w:val="00AD0B35"/>
    <w:rsid w:val="00AD0BAB"/>
    <w:rsid w:val="00AD0CD8"/>
    <w:rsid w:val="00AD14AE"/>
    <w:rsid w:val="00AD78F3"/>
    <w:rsid w:val="00AE0CCE"/>
    <w:rsid w:val="00AE0FA8"/>
    <w:rsid w:val="00AE5652"/>
    <w:rsid w:val="00AE7B50"/>
    <w:rsid w:val="00AF1F6A"/>
    <w:rsid w:val="00AF1F8E"/>
    <w:rsid w:val="00AF2948"/>
    <w:rsid w:val="00AF4988"/>
    <w:rsid w:val="00AF4E87"/>
    <w:rsid w:val="00B002C7"/>
    <w:rsid w:val="00B02F8D"/>
    <w:rsid w:val="00B03577"/>
    <w:rsid w:val="00B04246"/>
    <w:rsid w:val="00B05D41"/>
    <w:rsid w:val="00B10BBE"/>
    <w:rsid w:val="00B117A0"/>
    <w:rsid w:val="00B11DD7"/>
    <w:rsid w:val="00B12D84"/>
    <w:rsid w:val="00B13B73"/>
    <w:rsid w:val="00B156B9"/>
    <w:rsid w:val="00B20DAB"/>
    <w:rsid w:val="00B20E85"/>
    <w:rsid w:val="00B215CC"/>
    <w:rsid w:val="00B21B70"/>
    <w:rsid w:val="00B21CAD"/>
    <w:rsid w:val="00B22258"/>
    <w:rsid w:val="00B23DD5"/>
    <w:rsid w:val="00B23E22"/>
    <w:rsid w:val="00B25099"/>
    <w:rsid w:val="00B26023"/>
    <w:rsid w:val="00B31893"/>
    <w:rsid w:val="00B327C3"/>
    <w:rsid w:val="00B349A9"/>
    <w:rsid w:val="00B352FA"/>
    <w:rsid w:val="00B36103"/>
    <w:rsid w:val="00B429F4"/>
    <w:rsid w:val="00B42BA7"/>
    <w:rsid w:val="00B43F8C"/>
    <w:rsid w:val="00B44F9D"/>
    <w:rsid w:val="00B475E9"/>
    <w:rsid w:val="00B4777C"/>
    <w:rsid w:val="00B479AA"/>
    <w:rsid w:val="00B554CD"/>
    <w:rsid w:val="00B55A49"/>
    <w:rsid w:val="00B6037F"/>
    <w:rsid w:val="00B6111A"/>
    <w:rsid w:val="00B61992"/>
    <w:rsid w:val="00B63C99"/>
    <w:rsid w:val="00B65DF5"/>
    <w:rsid w:val="00B66651"/>
    <w:rsid w:val="00B67398"/>
    <w:rsid w:val="00B70BF6"/>
    <w:rsid w:val="00B7199F"/>
    <w:rsid w:val="00B73C33"/>
    <w:rsid w:val="00B76E68"/>
    <w:rsid w:val="00B80A17"/>
    <w:rsid w:val="00B80F8B"/>
    <w:rsid w:val="00B83CF2"/>
    <w:rsid w:val="00B850EB"/>
    <w:rsid w:val="00B90192"/>
    <w:rsid w:val="00B91F42"/>
    <w:rsid w:val="00B94FD5"/>
    <w:rsid w:val="00B9556B"/>
    <w:rsid w:val="00B955A8"/>
    <w:rsid w:val="00B97CC3"/>
    <w:rsid w:val="00B97FA5"/>
    <w:rsid w:val="00BA0099"/>
    <w:rsid w:val="00BA0987"/>
    <w:rsid w:val="00BA6DF2"/>
    <w:rsid w:val="00BB0A5E"/>
    <w:rsid w:val="00BB21DF"/>
    <w:rsid w:val="00BB24DC"/>
    <w:rsid w:val="00BB5F33"/>
    <w:rsid w:val="00BC1C8F"/>
    <w:rsid w:val="00BC2A9C"/>
    <w:rsid w:val="00BC2B1F"/>
    <w:rsid w:val="00BC69CC"/>
    <w:rsid w:val="00BC7BB0"/>
    <w:rsid w:val="00BD03F3"/>
    <w:rsid w:val="00BD35EA"/>
    <w:rsid w:val="00BD406A"/>
    <w:rsid w:val="00BD4800"/>
    <w:rsid w:val="00BD48C9"/>
    <w:rsid w:val="00BD533B"/>
    <w:rsid w:val="00BD565E"/>
    <w:rsid w:val="00BD6349"/>
    <w:rsid w:val="00BD665F"/>
    <w:rsid w:val="00BE1849"/>
    <w:rsid w:val="00BE2A5D"/>
    <w:rsid w:val="00BE362D"/>
    <w:rsid w:val="00BE3CCE"/>
    <w:rsid w:val="00BE469D"/>
    <w:rsid w:val="00BE561D"/>
    <w:rsid w:val="00BF11D9"/>
    <w:rsid w:val="00BF22E4"/>
    <w:rsid w:val="00BF5B0C"/>
    <w:rsid w:val="00BF7EA2"/>
    <w:rsid w:val="00C02902"/>
    <w:rsid w:val="00C03219"/>
    <w:rsid w:val="00C03C60"/>
    <w:rsid w:val="00C03D6C"/>
    <w:rsid w:val="00C06355"/>
    <w:rsid w:val="00C068B5"/>
    <w:rsid w:val="00C069F2"/>
    <w:rsid w:val="00C12087"/>
    <w:rsid w:val="00C121A7"/>
    <w:rsid w:val="00C136E5"/>
    <w:rsid w:val="00C17920"/>
    <w:rsid w:val="00C20EA2"/>
    <w:rsid w:val="00C2231A"/>
    <w:rsid w:val="00C2409A"/>
    <w:rsid w:val="00C24AEC"/>
    <w:rsid w:val="00C25B7B"/>
    <w:rsid w:val="00C26F62"/>
    <w:rsid w:val="00C272B1"/>
    <w:rsid w:val="00C32366"/>
    <w:rsid w:val="00C34B88"/>
    <w:rsid w:val="00C40299"/>
    <w:rsid w:val="00C40BC6"/>
    <w:rsid w:val="00C432A0"/>
    <w:rsid w:val="00C43831"/>
    <w:rsid w:val="00C45FBB"/>
    <w:rsid w:val="00C46B6A"/>
    <w:rsid w:val="00C47817"/>
    <w:rsid w:val="00C50CA5"/>
    <w:rsid w:val="00C517DD"/>
    <w:rsid w:val="00C51AED"/>
    <w:rsid w:val="00C5219A"/>
    <w:rsid w:val="00C5224C"/>
    <w:rsid w:val="00C522F8"/>
    <w:rsid w:val="00C53DD5"/>
    <w:rsid w:val="00C53FE8"/>
    <w:rsid w:val="00C61574"/>
    <w:rsid w:val="00C62619"/>
    <w:rsid w:val="00C62DE6"/>
    <w:rsid w:val="00C63281"/>
    <w:rsid w:val="00C638E6"/>
    <w:rsid w:val="00C66E51"/>
    <w:rsid w:val="00C66EEE"/>
    <w:rsid w:val="00C70023"/>
    <w:rsid w:val="00C707C0"/>
    <w:rsid w:val="00C72025"/>
    <w:rsid w:val="00C72CA0"/>
    <w:rsid w:val="00C809AD"/>
    <w:rsid w:val="00C819FC"/>
    <w:rsid w:val="00C81C5C"/>
    <w:rsid w:val="00C81CD2"/>
    <w:rsid w:val="00C82363"/>
    <w:rsid w:val="00C85B51"/>
    <w:rsid w:val="00C86425"/>
    <w:rsid w:val="00C86D41"/>
    <w:rsid w:val="00C903D1"/>
    <w:rsid w:val="00C915A7"/>
    <w:rsid w:val="00C92BAC"/>
    <w:rsid w:val="00C9403D"/>
    <w:rsid w:val="00C945A7"/>
    <w:rsid w:val="00C94BDA"/>
    <w:rsid w:val="00C95F1C"/>
    <w:rsid w:val="00CA1DB1"/>
    <w:rsid w:val="00CA1F54"/>
    <w:rsid w:val="00CA2679"/>
    <w:rsid w:val="00CA36F6"/>
    <w:rsid w:val="00CA76B2"/>
    <w:rsid w:val="00CB0B21"/>
    <w:rsid w:val="00CB0C97"/>
    <w:rsid w:val="00CB0E7C"/>
    <w:rsid w:val="00CB3347"/>
    <w:rsid w:val="00CB516B"/>
    <w:rsid w:val="00CB5235"/>
    <w:rsid w:val="00CB7CDB"/>
    <w:rsid w:val="00CC4302"/>
    <w:rsid w:val="00CC6137"/>
    <w:rsid w:val="00CC76D7"/>
    <w:rsid w:val="00CD16AA"/>
    <w:rsid w:val="00CD6FEB"/>
    <w:rsid w:val="00CD7DB9"/>
    <w:rsid w:val="00CE0D30"/>
    <w:rsid w:val="00CE1EB2"/>
    <w:rsid w:val="00CE1EFD"/>
    <w:rsid w:val="00CE254C"/>
    <w:rsid w:val="00CE6C8B"/>
    <w:rsid w:val="00CE71C2"/>
    <w:rsid w:val="00CF06D9"/>
    <w:rsid w:val="00CF0EEF"/>
    <w:rsid w:val="00CF15BC"/>
    <w:rsid w:val="00CF5812"/>
    <w:rsid w:val="00CF5D5E"/>
    <w:rsid w:val="00CF6AB1"/>
    <w:rsid w:val="00CF7A81"/>
    <w:rsid w:val="00D002C0"/>
    <w:rsid w:val="00D0167B"/>
    <w:rsid w:val="00D0708F"/>
    <w:rsid w:val="00D10EF0"/>
    <w:rsid w:val="00D128BB"/>
    <w:rsid w:val="00D13376"/>
    <w:rsid w:val="00D13A22"/>
    <w:rsid w:val="00D13F5B"/>
    <w:rsid w:val="00D14FBA"/>
    <w:rsid w:val="00D177D1"/>
    <w:rsid w:val="00D20543"/>
    <w:rsid w:val="00D2124B"/>
    <w:rsid w:val="00D22197"/>
    <w:rsid w:val="00D2223E"/>
    <w:rsid w:val="00D240FF"/>
    <w:rsid w:val="00D26722"/>
    <w:rsid w:val="00D30AD6"/>
    <w:rsid w:val="00D36D80"/>
    <w:rsid w:val="00D377C7"/>
    <w:rsid w:val="00D433F9"/>
    <w:rsid w:val="00D445DA"/>
    <w:rsid w:val="00D448F3"/>
    <w:rsid w:val="00D464E4"/>
    <w:rsid w:val="00D4747C"/>
    <w:rsid w:val="00D50803"/>
    <w:rsid w:val="00D51F8D"/>
    <w:rsid w:val="00D56ABE"/>
    <w:rsid w:val="00D57281"/>
    <w:rsid w:val="00D60129"/>
    <w:rsid w:val="00D60B9A"/>
    <w:rsid w:val="00D620C7"/>
    <w:rsid w:val="00D64797"/>
    <w:rsid w:val="00D67071"/>
    <w:rsid w:val="00D67A4D"/>
    <w:rsid w:val="00D706C3"/>
    <w:rsid w:val="00D7073A"/>
    <w:rsid w:val="00D7497E"/>
    <w:rsid w:val="00D74C9F"/>
    <w:rsid w:val="00D76B0D"/>
    <w:rsid w:val="00D7770E"/>
    <w:rsid w:val="00D80722"/>
    <w:rsid w:val="00D853AA"/>
    <w:rsid w:val="00D857FC"/>
    <w:rsid w:val="00D85C50"/>
    <w:rsid w:val="00D869CF"/>
    <w:rsid w:val="00D904C9"/>
    <w:rsid w:val="00D93A9A"/>
    <w:rsid w:val="00DA04FD"/>
    <w:rsid w:val="00DA3F2A"/>
    <w:rsid w:val="00DA4F16"/>
    <w:rsid w:val="00DA6FFA"/>
    <w:rsid w:val="00DB0CA8"/>
    <w:rsid w:val="00DB2613"/>
    <w:rsid w:val="00DB49BD"/>
    <w:rsid w:val="00DB66E8"/>
    <w:rsid w:val="00DC06FD"/>
    <w:rsid w:val="00DC150F"/>
    <w:rsid w:val="00DC1A1C"/>
    <w:rsid w:val="00DC2AC5"/>
    <w:rsid w:val="00DC372B"/>
    <w:rsid w:val="00DC6056"/>
    <w:rsid w:val="00DC6833"/>
    <w:rsid w:val="00DD0BE4"/>
    <w:rsid w:val="00DD0F12"/>
    <w:rsid w:val="00DD60B4"/>
    <w:rsid w:val="00DE1A20"/>
    <w:rsid w:val="00DE5ECF"/>
    <w:rsid w:val="00DF1524"/>
    <w:rsid w:val="00DF2627"/>
    <w:rsid w:val="00DF3023"/>
    <w:rsid w:val="00DF3D43"/>
    <w:rsid w:val="00DF48F8"/>
    <w:rsid w:val="00DF589D"/>
    <w:rsid w:val="00E01B8F"/>
    <w:rsid w:val="00E02C78"/>
    <w:rsid w:val="00E058A1"/>
    <w:rsid w:val="00E05F88"/>
    <w:rsid w:val="00E05FD7"/>
    <w:rsid w:val="00E074A5"/>
    <w:rsid w:val="00E174C1"/>
    <w:rsid w:val="00E17C95"/>
    <w:rsid w:val="00E20222"/>
    <w:rsid w:val="00E20417"/>
    <w:rsid w:val="00E20590"/>
    <w:rsid w:val="00E205DF"/>
    <w:rsid w:val="00E208E3"/>
    <w:rsid w:val="00E20ABD"/>
    <w:rsid w:val="00E20C9A"/>
    <w:rsid w:val="00E22870"/>
    <w:rsid w:val="00E23806"/>
    <w:rsid w:val="00E32229"/>
    <w:rsid w:val="00E32422"/>
    <w:rsid w:val="00E4072E"/>
    <w:rsid w:val="00E40F45"/>
    <w:rsid w:val="00E410BE"/>
    <w:rsid w:val="00E431CC"/>
    <w:rsid w:val="00E4332F"/>
    <w:rsid w:val="00E43638"/>
    <w:rsid w:val="00E45B43"/>
    <w:rsid w:val="00E47390"/>
    <w:rsid w:val="00E52A3C"/>
    <w:rsid w:val="00E53431"/>
    <w:rsid w:val="00E53BD1"/>
    <w:rsid w:val="00E61EB1"/>
    <w:rsid w:val="00E629E3"/>
    <w:rsid w:val="00E62BFF"/>
    <w:rsid w:val="00E63C0D"/>
    <w:rsid w:val="00E646B7"/>
    <w:rsid w:val="00E65B5B"/>
    <w:rsid w:val="00E661DA"/>
    <w:rsid w:val="00E66245"/>
    <w:rsid w:val="00E66DC5"/>
    <w:rsid w:val="00E6717F"/>
    <w:rsid w:val="00E67B0B"/>
    <w:rsid w:val="00E713D3"/>
    <w:rsid w:val="00E7239B"/>
    <w:rsid w:val="00E726CF"/>
    <w:rsid w:val="00E73299"/>
    <w:rsid w:val="00E75DDE"/>
    <w:rsid w:val="00E76228"/>
    <w:rsid w:val="00E765E7"/>
    <w:rsid w:val="00E770CD"/>
    <w:rsid w:val="00E77BC2"/>
    <w:rsid w:val="00E81953"/>
    <w:rsid w:val="00E82D05"/>
    <w:rsid w:val="00E846CB"/>
    <w:rsid w:val="00E91C6D"/>
    <w:rsid w:val="00E91CE0"/>
    <w:rsid w:val="00E92B06"/>
    <w:rsid w:val="00E92B23"/>
    <w:rsid w:val="00E92E1A"/>
    <w:rsid w:val="00E93CE7"/>
    <w:rsid w:val="00E96BE7"/>
    <w:rsid w:val="00EA15FE"/>
    <w:rsid w:val="00EA4568"/>
    <w:rsid w:val="00EA6F8A"/>
    <w:rsid w:val="00EB0C65"/>
    <w:rsid w:val="00EB1381"/>
    <w:rsid w:val="00EB13ED"/>
    <w:rsid w:val="00EB1661"/>
    <w:rsid w:val="00EB17B6"/>
    <w:rsid w:val="00EB3C60"/>
    <w:rsid w:val="00EB460C"/>
    <w:rsid w:val="00EB4A92"/>
    <w:rsid w:val="00EB67A6"/>
    <w:rsid w:val="00EB7BF1"/>
    <w:rsid w:val="00EC075B"/>
    <w:rsid w:val="00EC0F51"/>
    <w:rsid w:val="00EC2A70"/>
    <w:rsid w:val="00EC2C64"/>
    <w:rsid w:val="00EC412B"/>
    <w:rsid w:val="00EC4479"/>
    <w:rsid w:val="00EC4C5F"/>
    <w:rsid w:val="00EC6313"/>
    <w:rsid w:val="00ED02F5"/>
    <w:rsid w:val="00ED0A91"/>
    <w:rsid w:val="00ED1384"/>
    <w:rsid w:val="00ED212D"/>
    <w:rsid w:val="00ED4493"/>
    <w:rsid w:val="00ED4595"/>
    <w:rsid w:val="00EE1BB3"/>
    <w:rsid w:val="00EE2270"/>
    <w:rsid w:val="00EE2BBF"/>
    <w:rsid w:val="00EE77A3"/>
    <w:rsid w:val="00EF01D3"/>
    <w:rsid w:val="00EF4111"/>
    <w:rsid w:val="00EF7147"/>
    <w:rsid w:val="00F016A9"/>
    <w:rsid w:val="00F04826"/>
    <w:rsid w:val="00F05035"/>
    <w:rsid w:val="00F119CE"/>
    <w:rsid w:val="00F1378B"/>
    <w:rsid w:val="00F150B4"/>
    <w:rsid w:val="00F16561"/>
    <w:rsid w:val="00F17652"/>
    <w:rsid w:val="00F2045F"/>
    <w:rsid w:val="00F23EE7"/>
    <w:rsid w:val="00F247D7"/>
    <w:rsid w:val="00F25226"/>
    <w:rsid w:val="00F26616"/>
    <w:rsid w:val="00F331EA"/>
    <w:rsid w:val="00F3654E"/>
    <w:rsid w:val="00F36D3E"/>
    <w:rsid w:val="00F36D92"/>
    <w:rsid w:val="00F37E11"/>
    <w:rsid w:val="00F4134E"/>
    <w:rsid w:val="00F42355"/>
    <w:rsid w:val="00F42F45"/>
    <w:rsid w:val="00F431B4"/>
    <w:rsid w:val="00F46014"/>
    <w:rsid w:val="00F47066"/>
    <w:rsid w:val="00F5081B"/>
    <w:rsid w:val="00F50C95"/>
    <w:rsid w:val="00F5393B"/>
    <w:rsid w:val="00F54923"/>
    <w:rsid w:val="00F60900"/>
    <w:rsid w:val="00F60935"/>
    <w:rsid w:val="00F6145A"/>
    <w:rsid w:val="00F61F26"/>
    <w:rsid w:val="00F624C0"/>
    <w:rsid w:val="00F67329"/>
    <w:rsid w:val="00F70879"/>
    <w:rsid w:val="00F70B13"/>
    <w:rsid w:val="00F71772"/>
    <w:rsid w:val="00F71BFF"/>
    <w:rsid w:val="00F71C44"/>
    <w:rsid w:val="00F7484E"/>
    <w:rsid w:val="00F75BC3"/>
    <w:rsid w:val="00F80855"/>
    <w:rsid w:val="00F84FEB"/>
    <w:rsid w:val="00F85D04"/>
    <w:rsid w:val="00F8790C"/>
    <w:rsid w:val="00F9101F"/>
    <w:rsid w:val="00F943A6"/>
    <w:rsid w:val="00F945B3"/>
    <w:rsid w:val="00F94E8A"/>
    <w:rsid w:val="00F978F5"/>
    <w:rsid w:val="00F979B7"/>
    <w:rsid w:val="00FA08E0"/>
    <w:rsid w:val="00FA3504"/>
    <w:rsid w:val="00FA37AB"/>
    <w:rsid w:val="00FA5150"/>
    <w:rsid w:val="00FA5DD0"/>
    <w:rsid w:val="00FA719B"/>
    <w:rsid w:val="00FB0C2A"/>
    <w:rsid w:val="00FB1A3C"/>
    <w:rsid w:val="00FB4B0A"/>
    <w:rsid w:val="00FB5395"/>
    <w:rsid w:val="00FB6366"/>
    <w:rsid w:val="00FB75A8"/>
    <w:rsid w:val="00FB787C"/>
    <w:rsid w:val="00FB7FF2"/>
    <w:rsid w:val="00FC1840"/>
    <w:rsid w:val="00FC19FE"/>
    <w:rsid w:val="00FC24AE"/>
    <w:rsid w:val="00FC3B16"/>
    <w:rsid w:val="00FC54DC"/>
    <w:rsid w:val="00FC5C66"/>
    <w:rsid w:val="00FC68B4"/>
    <w:rsid w:val="00FC7337"/>
    <w:rsid w:val="00FD071D"/>
    <w:rsid w:val="00FD1CFE"/>
    <w:rsid w:val="00FD3F1B"/>
    <w:rsid w:val="00FD50D7"/>
    <w:rsid w:val="00FD691F"/>
    <w:rsid w:val="00FD723E"/>
    <w:rsid w:val="00FE10B5"/>
    <w:rsid w:val="00FE6F98"/>
    <w:rsid w:val="00FE771A"/>
    <w:rsid w:val="00FF16BA"/>
    <w:rsid w:val="00FF18A6"/>
    <w:rsid w:val="00FF21BE"/>
    <w:rsid w:val="00FF59CC"/>
    <w:rsid w:val="00FF77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State"/>
  <w:shapeDefaults>
    <o:shapedefaults v:ext="edit" spidmax="839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12B5"/>
    <w:pPr>
      <w:autoSpaceDE w:val="0"/>
      <w:autoSpaceDN w:val="0"/>
    </w:pPr>
    <w:rPr>
      <w:sz w:val="24"/>
      <w:szCs w:val="24"/>
    </w:rPr>
  </w:style>
  <w:style w:type="paragraph" w:styleId="Heading1">
    <w:name w:val="heading 1"/>
    <w:basedOn w:val="Normal"/>
    <w:next w:val="Normal"/>
    <w:qFormat/>
    <w:rsid w:val="00974A04"/>
    <w:pPr>
      <w:keepNext/>
      <w:tabs>
        <w:tab w:val="left" w:pos="720"/>
        <w:tab w:val="center" w:pos="5040"/>
        <w:tab w:val="center" w:pos="6480"/>
        <w:tab w:val="center" w:pos="7920"/>
      </w:tabs>
      <w:spacing w:line="480" w:lineRule="auto"/>
      <w:jc w:val="both"/>
      <w:outlineLvl w:val="0"/>
    </w:pPr>
    <w:rPr>
      <w:b/>
      <w:bCs/>
    </w:rPr>
  </w:style>
  <w:style w:type="paragraph" w:styleId="Heading2">
    <w:name w:val="heading 2"/>
    <w:basedOn w:val="Normal"/>
    <w:next w:val="Normal"/>
    <w:qFormat/>
    <w:rsid w:val="00974A04"/>
    <w:pPr>
      <w:keepNext/>
      <w:tabs>
        <w:tab w:val="left" w:pos="1260"/>
      </w:tabs>
      <w:spacing w:line="480" w:lineRule="auto"/>
      <w:ind w:firstLine="720"/>
      <w:jc w:val="both"/>
      <w:outlineLvl w:val="1"/>
    </w:pPr>
    <w:rPr>
      <w:b/>
      <w:bCs/>
    </w:rPr>
  </w:style>
  <w:style w:type="paragraph" w:styleId="Heading3">
    <w:name w:val="heading 3"/>
    <w:basedOn w:val="Normal"/>
    <w:next w:val="Normal"/>
    <w:qFormat/>
    <w:rsid w:val="00974A04"/>
    <w:pPr>
      <w:keepNext/>
      <w:tabs>
        <w:tab w:val="left" w:pos="1260"/>
      </w:tabs>
      <w:spacing w:line="480" w:lineRule="auto"/>
      <w:ind w:firstLine="720"/>
      <w:jc w:val="center"/>
      <w:outlineLvl w:val="2"/>
    </w:pPr>
    <w:rPr>
      <w:b/>
      <w:bCs/>
    </w:rPr>
  </w:style>
  <w:style w:type="paragraph" w:styleId="Heading4">
    <w:name w:val="heading 4"/>
    <w:basedOn w:val="Normal"/>
    <w:next w:val="Normal"/>
    <w:qFormat/>
    <w:rsid w:val="00974A04"/>
    <w:pPr>
      <w:keepNext/>
      <w:tabs>
        <w:tab w:val="left" w:pos="1260"/>
      </w:tabs>
      <w:spacing w:line="480" w:lineRule="auto"/>
      <w:ind w:left="540" w:hanging="540"/>
      <w:jc w:val="center"/>
      <w:outlineLvl w:val="3"/>
    </w:pPr>
    <w:rPr>
      <w:b/>
      <w:bCs/>
    </w:rPr>
  </w:style>
  <w:style w:type="paragraph" w:styleId="Heading5">
    <w:name w:val="heading 5"/>
    <w:basedOn w:val="Normal"/>
    <w:next w:val="Normal"/>
    <w:qFormat/>
    <w:rsid w:val="00974A04"/>
    <w:pPr>
      <w:keepNext/>
      <w:spacing w:line="480" w:lineRule="auto"/>
      <w:jc w:val="center"/>
      <w:outlineLvl w:val="4"/>
    </w:pPr>
    <w:rPr>
      <w:b/>
      <w:bCs/>
    </w:rPr>
  </w:style>
  <w:style w:type="paragraph" w:styleId="Heading6">
    <w:name w:val="heading 6"/>
    <w:basedOn w:val="Normal"/>
    <w:next w:val="Normal"/>
    <w:qFormat/>
    <w:rsid w:val="00974A04"/>
    <w:pPr>
      <w:keepNext/>
      <w:tabs>
        <w:tab w:val="left" w:pos="1260"/>
      </w:tabs>
      <w:spacing w:line="480" w:lineRule="auto"/>
      <w:jc w:val="center"/>
      <w:outlineLvl w:val="5"/>
    </w:pPr>
    <w:rPr>
      <w:b/>
      <w:bCs/>
      <w:sz w:val="20"/>
      <w:szCs w:val="20"/>
    </w:rPr>
  </w:style>
  <w:style w:type="paragraph" w:styleId="Heading7">
    <w:name w:val="heading 7"/>
    <w:basedOn w:val="Normal"/>
    <w:next w:val="Normal"/>
    <w:qFormat/>
    <w:rsid w:val="00974A04"/>
    <w:pPr>
      <w:keepNext/>
      <w:tabs>
        <w:tab w:val="left" w:pos="1260"/>
      </w:tabs>
      <w:jc w:val="right"/>
      <w:outlineLvl w:val="6"/>
    </w:pPr>
    <w:rPr>
      <w:sz w:val="20"/>
      <w:szCs w:val="20"/>
    </w:rPr>
  </w:style>
  <w:style w:type="paragraph" w:styleId="Heading8">
    <w:name w:val="heading 8"/>
    <w:basedOn w:val="Normal"/>
    <w:next w:val="Normal"/>
    <w:qFormat/>
    <w:rsid w:val="00974A04"/>
    <w:pPr>
      <w:keepNext/>
      <w:tabs>
        <w:tab w:val="left" w:pos="1260"/>
      </w:tabs>
      <w:spacing w:line="480" w:lineRule="auto"/>
      <w:jc w:val="both"/>
      <w:outlineLvl w:val="7"/>
    </w:pPr>
    <w:rPr>
      <w:b/>
      <w:bCs/>
      <w:u w:val="single"/>
      <w:lang w:val="fr-FR"/>
    </w:rPr>
  </w:style>
  <w:style w:type="paragraph" w:styleId="Heading9">
    <w:name w:val="heading 9"/>
    <w:basedOn w:val="Normal"/>
    <w:next w:val="Normal"/>
    <w:qFormat/>
    <w:rsid w:val="00974A04"/>
    <w:pPr>
      <w:keepNext/>
      <w:tabs>
        <w:tab w:val="left" w:pos="1260"/>
      </w:tabs>
      <w:spacing w:line="480" w:lineRule="auto"/>
      <w:ind w:firstLine="720"/>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74A04"/>
    <w:pPr>
      <w:tabs>
        <w:tab w:val="center" w:pos="4320"/>
        <w:tab w:val="right" w:pos="8640"/>
      </w:tabs>
    </w:pPr>
  </w:style>
  <w:style w:type="paragraph" w:styleId="Footer">
    <w:name w:val="footer"/>
    <w:basedOn w:val="Normal"/>
    <w:link w:val="FooterChar"/>
    <w:rsid w:val="00974A04"/>
    <w:pPr>
      <w:tabs>
        <w:tab w:val="center" w:pos="4320"/>
        <w:tab w:val="right" w:pos="8640"/>
      </w:tabs>
    </w:pPr>
  </w:style>
  <w:style w:type="character" w:styleId="PageNumber">
    <w:name w:val="page number"/>
    <w:basedOn w:val="DefaultParagraphFont"/>
    <w:rsid w:val="00974A04"/>
    <w:rPr>
      <w:rFonts w:ascii="Times New Roman" w:hAnsi="Times New Roman" w:cs="Times New Roman"/>
      <w:sz w:val="24"/>
      <w:szCs w:val="24"/>
    </w:rPr>
  </w:style>
  <w:style w:type="character" w:styleId="LineNumber">
    <w:name w:val="line number"/>
    <w:basedOn w:val="DefaultParagraphFont"/>
    <w:rsid w:val="00974A04"/>
    <w:rPr>
      <w:rFonts w:ascii="Times New Roman" w:hAnsi="Times New Roman" w:cs="Times New Roman"/>
      <w:sz w:val="24"/>
      <w:szCs w:val="24"/>
    </w:rPr>
  </w:style>
  <w:style w:type="paragraph" w:styleId="BodyText2">
    <w:name w:val="Body Text 2"/>
    <w:basedOn w:val="Normal"/>
    <w:link w:val="BodyText2Char"/>
    <w:rsid w:val="00974A04"/>
    <w:pPr>
      <w:spacing w:line="480" w:lineRule="auto"/>
      <w:jc w:val="both"/>
    </w:pPr>
  </w:style>
  <w:style w:type="paragraph" w:styleId="BodyTextIndent2">
    <w:name w:val="Body Text Indent 2"/>
    <w:basedOn w:val="Normal"/>
    <w:rsid w:val="00974A04"/>
    <w:pPr>
      <w:tabs>
        <w:tab w:val="left" w:pos="1260"/>
      </w:tabs>
      <w:spacing w:line="480" w:lineRule="auto"/>
      <w:ind w:left="540" w:hanging="540"/>
      <w:jc w:val="both"/>
    </w:pPr>
  </w:style>
  <w:style w:type="paragraph" w:styleId="BodyTextIndent3">
    <w:name w:val="Body Text Indent 3"/>
    <w:basedOn w:val="Normal"/>
    <w:rsid w:val="00974A04"/>
    <w:pPr>
      <w:tabs>
        <w:tab w:val="left" w:pos="1260"/>
      </w:tabs>
      <w:spacing w:line="480" w:lineRule="auto"/>
      <w:ind w:firstLine="720"/>
      <w:jc w:val="both"/>
    </w:pPr>
    <w:rPr>
      <w:b/>
      <w:bCs/>
    </w:rPr>
  </w:style>
  <w:style w:type="paragraph" w:styleId="FootnoteText">
    <w:name w:val="footnote text"/>
    <w:aliases w:val="Footnote Text Char1 Char,Footnote Text Char Char Char,Footnote Text Char1 Char Char Char,Footnote Text Char Char Char Char Char,Footnote Text Char Char1 Char,Footnote Text Char1 Char1 Char"/>
    <w:basedOn w:val="Normal"/>
    <w:link w:val="FootnoteTextChar"/>
    <w:rsid w:val="00974A04"/>
    <w:rPr>
      <w:sz w:val="20"/>
      <w:szCs w:val="20"/>
    </w:rPr>
  </w:style>
  <w:style w:type="character" w:styleId="FootnoteReference">
    <w:name w:val="footnote reference"/>
    <w:basedOn w:val="DefaultParagraphFont"/>
    <w:rsid w:val="00974A04"/>
    <w:rPr>
      <w:rFonts w:cs="Times New Roman"/>
      <w:vertAlign w:val="superscript"/>
    </w:rPr>
  </w:style>
  <w:style w:type="paragraph" w:styleId="BodyText">
    <w:name w:val="Body Text"/>
    <w:basedOn w:val="Normal"/>
    <w:rsid w:val="00974A04"/>
    <w:pPr>
      <w:spacing w:line="360" w:lineRule="auto"/>
      <w:jc w:val="center"/>
    </w:pPr>
    <w:rPr>
      <w:b/>
      <w:bCs/>
    </w:rPr>
  </w:style>
  <w:style w:type="paragraph" w:styleId="DocumentMap">
    <w:name w:val="Document Map"/>
    <w:basedOn w:val="Normal"/>
    <w:semiHidden/>
    <w:rsid w:val="00974A04"/>
    <w:pPr>
      <w:shd w:val="clear" w:color="auto" w:fill="000080"/>
    </w:pPr>
    <w:rPr>
      <w:rFonts w:ascii="Tahoma" w:hAnsi="Tahoma" w:cs="Tahoma"/>
    </w:rPr>
  </w:style>
  <w:style w:type="paragraph" w:customStyle="1" w:styleId="TestBody">
    <w:name w:val="Test Body"/>
    <w:rsid w:val="00974A04"/>
    <w:pPr>
      <w:autoSpaceDE w:val="0"/>
      <w:autoSpaceDN w:val="0"/>
      <w:spacing w:line="480" w:lineRule="atLeast"/>
      <w:ind w:left="720" w:firstLine="1440"/>
      <w:jc w:val="both"/>
    </w:pPr>
    <w:rPr>
      <w:rFonts w:ascii="Palatino" w:hAnsi="Palatino" w:cs="Palatino"/>
      <w:sz w:val="24"/>
      <w:szCs w:val="24"/>
    </w:rPr>
  </w:style>
  <w:style w:type="paragraph" w:customStyle="1" w:styleId="AnswerBullets">
    <w:name w:val="Answer_Bullets"/>
    <w:basedOn w:val="Normal"/>
    <w:rsid w:val="00974A04"/>
    <w:pPr>
      <w:numPr>
        <w:numId w:val="1"/>
      </w:numPr>
    </w:pPr>
  </w:style>
  <w:style w:type="paragraph" w:styleId="BalloonText">
    <w:name w:val="Balloon Text"/>
    <w:basedOn w:val="Normal"/>
    <w:link w:val="BalloonTextChar"/>
    <w:uiPriority w:val="99"/>
    <w:semiHidden/>
    <w:rsid w:val="0038498D"/>
    <w:rPr>
      <w:rFonts w:ascii="Tahoma" w:hAnsi="Tahoma" w:cs="Tahoma"/>
      <w:sz w:val="16"/>
      <w:szCs w:val="16"/>
    </w:rPr>
  </w:style>
  <w:style w:type="character" w:styleId="CommentReference">
    <w:name w:val="annotation reference"/>
    <w:basedOn w:val="DefaultParagraphFont"/>
    <w:semiHidden/>
    <w:rsid w:val="009C2C43"/>
    <w:rPr>
      <w:sz w:val="16"/>
      <w:szCs w:val="16"/>
    </w:rPr>
  </w:style>
  <w:style w:type="paragraph" w:styleId="CommentText">
    <w:name w:val="annotation text"/>
    <w:basedOn w:val="Normal"/>
    <w:semiHidden/>
    <w:rsid w:val="009C2C43"/>
    <w:rPr>
      <w:sz w:val="20"/>
      <w:szCs w:val="20"/>
    </w:rPr>
  </w:style>
  <w:style w:type="paragraph" w:styleId="CommentSubject">
    <w:name w:val="annotation subject"/>
    <w:basedOn w:val="CommentText"/>
    <w:next w:val="CommentText"/>
    <w:semiHidden/>
    <w:rsid w:val="009C2C43"/>
    <w:rPr>
      <w:b/>
      <w:bCs/>
    </w:rPr>
  </w:style>
  <w:style w:type="paragraph" w:styleId="BodyTextIndent">
    <w:name w:val="Body Text Indent"/>
    <w:basedOn w:val="Normal"/>
    <w:rsid w:val="00E074A5"/>
    <w:pPr>
      <w:spacing w:after="120"/>
      <w:ind w:left="360"/>
    </w:pPr>
  </w:style>
  <w:style w:type="table" w:styleId="TableGrid">
    <w:name w:val="Table Grid"/>
    <w:basedOn w:val="TableNormal"/>
    <w:rsid w:val="009D0D69"/>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rsid w:val="00CB0C97"/>
    <w:rPr>
      <w:sz w:val="24"/>
      <w:szCs w:val="24"/>
    </w:rPr>
  </w:style>
  <w:style w:type="character" w:customStyle="1" w:styleId="FooterChar">
    <w:name w:val="Footer Char"/>
    <w:basedOn w:val="DefaultParagraphFont"/>
    <w:link w:val="Footer"/>
    <w:rsid w:val="00CB0C97"/>
    <w:rPr>
      <w:sz w:val="24"/>
      <w:szCs w:val="24"/>
    </w:rPr>
  </w:style>
  <w:style w:type="character" w:customStyle="1" w:styleId="BodyText2Char">
    <w:name w:val="Body Text 2 Char"/>
    <w:basedOn w:val="DefaultParagraphFont"/>
    <w:link w:val="BodyText2"/>
    <w:rsid w:val="00CB0C97"/>
    <w:rPr>
      <w:sz w:val="24"/>
      <w:szCs w:val="24"/>
    </w:rPr>
  </w:style>
  <w:style w:type="character" w:customStyle="1" w:styleId="BalloonTextChar">
    <w:name w:val="Balloon Text Char"/>
    <w:basedOn w:val="DefaultParagraphFont"/>
    <w:link w:val="BalloonText"/>
    <w:uiPriority w:val="99"/>
    <w:semiHidden/>
    <w:rsid w:val="00CB0C97"/>
    <w:rPr>
      <w:rFonts w:ascii="Tahoma" w:hAnsi="Tahoma" w:cs="Tahoma"/>
      <w:sz w:val="16"/>
      <w:szCs w:val="16"/>
    </w:rPr>
  </w:style>
  <w:style w:type="paragraph" w:styleId="ListParagraph">
    <w:name w:val="List Paragraph"/>
    <w:basedOn w:val="Normal"/>
    <w:uiPriority w:val="34"/>
    <w:qFormat/>
    <w:rsid w:val="00FF16BA"/>
    <w:pPr>
      <w:ind w:left="720"/>
      <w:contextualSpacing/>
    </w:p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
    <w:basedOn w:val="DefaultParagraphFont"/>
    <w:link w:val="FootnoteText"/>
    <w:rsid w:val="00B26023"/>
  </w:style>
  <w:style w:type="paragraph" w:styleId="EndnoteText">
    <w:name w:val="endnote text"/>
    <w:basedOn w:val="Normal"/>
    <w:link w:val="EndnoteTextChar"/>
    <w:rsid w:val="00E02C78"/>
    <w:rPr>
      <w:sz w:val="20"/>
      <w:szCs w:val="20"/>
    </w:rPr>
  </w:style>
  <w:style w:type="character" w:customStyle="1" w:styleId="EndnoteTextChar">
    <w:name w:val="Endnote Text Char"/>
    <w:basedOn w:val="DefaultParagraphFont"/>
    <w:link w:val="EndnoteText"/>
    <w:rsid w:val="00E02C78"/>
  </w:style>
  <w:style w:type="character" w:styleId="EndnoteReference">
    <w:name w:val="endnote reference"/>
    <w:basedOn w:val="DefaultParagraphFont"/>
    <w:rsid w:val="00E02C78"/>
    <w:rPr>
      <w:vertAlign w:val="superscript"/>
    </w:rPr>
  </w:style>
</w:styles>
</file>

<file path=word/webSettings.xml><?xml version="1.0" encoding="utf-8"?>
<w:webSettings xmlns:r="http://schemas.openxmlformats.org/officeDocument/2006/relationships" xmlns:w="http://schemas.openxmlformats.org/wordprocessingml/2006/main">
  <w:divs>
    <w:div w:id="2558831">
      <w:bodyDiv w:val="1"/>
      <w:marLeft w:val="0"/>
      <w:marRight w:val="0"/>
      <w:marTop w:val="0"/>
      <w:marBottom w:val="0"/>
      <w:divBdr>
        <w:top w:val="none" w:sz="0" w:space="0" w:color="auto"/>
        <w:left w:val="none" w:sz="0" w:space="0" w:color="auto"/>
        <w:bottom w:val="none" w:sz="0" w:space="0" w:color="auto"/>
        <w:right w:val="none" w:sz="0" w:space="0" w:color="auto"/>
      </w:divBdr>
    </w:div>
    <w:div w:id="106387684">
      <w:bodyDiv w:val="1"/>
      <w:marLeft w:val="0"/>
      <w:marRight w:val="0"/>
      <w:marTop w:val="0"/>
      <w:marBottom w:val="0"/>
      <w:divBdr>
        <w:top w:val="none" w:sz="0" w:space="0" w:color="auto"/>
        <w:left w:val="none" w:sz="0" w:space="0" w:color="auto"/>
        <w:bottom w:val="none" w:sz="0" w:space="0" w:color="auto"/>
        <w:right w:val="none" w:sz="0" w:space="0" w:color="auto"/>
      </w:divBdr>
    </w:div>
    <w:div w:id="119617846">
      <w:bodyDiv w:val="1"/>
      <w:marLeft w:val="0"/>
      <w:marRight w:val="0"/>
      <w:marTop w:val="0"/>
      <w:marBottom w:val="0"/>
      <w:divBdr>
        <w:top w:val="none" w:sz="0" w:space="0" w:color="auto"/>
        <w:left w:val="none" w:sz="0" w:space="0" w:color="auto"/>
        <w:bottom w:val="none" w:sz="0" w:space="0" w:color="auto"/>
        <w:right w:val="none" w:sz="0" w:space="0" w:color="auto"/>
      </w:divBdr>
    </w:div>
    <w:div w:id="265696779">
      <w:bodyDiv w:val="1"/>
      <w:marLeft w:val="0"/>
      <w:marRight w:val="0"/>
      <w:marTop w:val="0"/>
      <w:marBottom w:val="0"/>
      <w:divBdr>
        <w:top w:val="none" w:sz="0" w:space="0" w:color="auto"/>
        <w:left w:val="none" w:sz="0" w:space="0" w:color="auto"/>
        <w:bottom w:val="none" w:sz="0" w:space="0" w:color="auto"/>
        <w:right w:val="none" w:sz="0" w:space="0" w:color="auto"/>
      </w:divBdr>
    </w:div>
    <w:div w:id="273052852">
      <w:bodyDiv w:val="1"/>
      <w:marLeft w:val="0"/>
      <w:marRight w:val="0"/>
      <w:marTop w:val="0"/>
      <w:marBottom w:val="0"/>
      <w:divBdr>
        <w:top w:val="none" w:sz="0" w:space="0" w:color="auto"/>
        <w:left w:val="none" w:sz="0" w:space="0" w:color="auto"/>
        <w:bottom w:val="none" w:sz="0" w:space="0" w:color="auto"/>
        <w:right w:val="none" w:sz="0" w:space="0" w:color="auto"/>
      </w:divBdr>
    </w:div>
    <w:div w:id="336735635">
      <w:bodyDiv w:val="1"/>
      <w:marLeft w:val="0"/>
      <w:marRight w:val="0"/>
      <w:marTop w:val="0"/>
      <w:marBottom w:val="0"/>
      <w:divBdr>
        <w:top w:val="none" w:sz="0" w:space="0" w:color="auto"/>
        <w:left w:val="none" w:sz="0" w:space="0" w:color="auto"/>
        <w:bottom w:val="none" w:sz="0" w:space="0" w:color="auto"/>
        <w:right w:val="none" w:sz="0" w:space="0" w:color="auto"/>
      </w:divBdr>
    </w:div>
    <w:div w:id="420419774">
      <w:bodyDiv w:val="1"/>
      <w:marLeft w:val="0"/>
      <w:marRight w:val="0"/>
      <w:marTop w:val="0"/>
      <w:marBottom w:val="0"/>
      <w:divBdr>
        <w:top w:val="none" w:sz="0" w:space="0" w:color="auto"/>
        <w:left w:val="none" w:sz="0" w:space="0" w:color="auto"/>
        <w:bottom w:val="none" w:sz="0" w:space="0" w:color="auto"/>
        <w:right w:val="none" w:sz="0" w:space="0" w:color="auto"/>
      </w:divBdr>
    </w:div>
    <w:div w:id="491408840">
      <w:bodyDiv w:val="1"/>
      <w:marLeft w:val="0"/>
      <w:marRight w:val="0"/>
      <w:marTop w:val="0"/>
      <w:marBottom w:val="0"/>
      <w:divBdr>
        <w:top w:val="none" w:sz="0" w:space="0" w:color="auto"/>
        <w:left w:val="none" w:sz="0" w:space="0" w:color="auto"/>
        <w:bottom w:val="none" w:sz="0" w:space="0" w:color="auto"/>
        <w:right w:val="none" w:sz="0" w:space="0" w:color="auto"/>
      </w:divBdr>
    </w:div>
    <w:div w:id="496073659">
      <w:bodyDiv w:val="1"/>
      <w:marLeft w:val="0"/>
      <w:marRight w:val="0"/>
      <w:marTop w:val="0"/>
      <w:marBottom w:val="0"/>
      <w:divBdr>
        <w:top w:val="none" w:sz="0" w:space="0" w:color="auto"/>
        <w:left w:val="none" w:sz="0" w:space="0" w:color="auto"/>
        <w:bottom w:val="none" w:sz="0" w:space="0" w:color="auto"/>
        <w:right w:val="none" w:sz="0" w:space="0" w:color="auto"/>
      </w:divBdr>
    </w:div>
    <w:div w:id="496530559">
      <w:bodyDiv w:val="1"/>
      <w:marLeft w:val="0"/>
      <w:marRight w:val="0"/>
      <w:marTop w:val="0"/>
      <w:marBottom w:val="0"/>
      <w:divBdr>
        <w:top w:val="none" w:sz="0" w:space="0" w:color="auto"/>
        <w:left w:val="none" w:sz="0" w:space="0" w:color="auto"/>
        <w:bottom w:val="none" w:sz="0" w:space="0" w:color="auto"/>
        <w:right w:val="none" w:sz="0" w:space="0" w:color="auto"/>
      </w:divBdr>
    </w:div>
    <w:div w:id="618683581">
      <w:bodyDiv w:val="1"/>
      <w:marLeft w:val="0"/>
      <w:marRight w:val="0"/>
      <w:marTop w:val="0"/>
      <w:marBottom w:val="0"/>
      <w:divBdr>
        <w:top w:val="none" w:sz="0" w:space="0" w:color="auto"/>
        <w:left w:val="none" w:sz="0" w:space="0" w:color="auto"/>
        <w:bottom w:val="none" w:sz="0" w:space="0" w:color="auto"/>
        <w:right w:val="none" w:sz="0" w:space="0" w:color="auto"/>
      </w:divBdr>
    </w:div>
    <w:div w:id="878738888">
      <w:bodyDiv w:val="1"/>
      <w:marLeft w:val="0"/>
      <w:marRight w:val="0"/>
      <w:marTop w:val="0"/>
      <w:marBottom w:val="0"/>
      <w:divBdr>
        <w:top w:val="none" w:sz="0" w:space="0" w:color="auto"/>
        <w:left w:val="none" w:sz="0" w:space="0" w:color="auto"/>
        <w:bottom w:val="none" w:sz="0" w:space="0" w:color="auto"/>
        <w:right w:val="none" w:sz="0" w:space="0" w:color="auto"/>
      </w:divBdr>
    </w:div>
    <w:div w:id="954406127">
      <w:bodyDiv w:val="1"/>
      <w:marLeft w:val="0"/>
      <w:marRight w:val="0"/>
      <w:marTop w:val="0"/>
      <w:marBottom w:val="0"/>
      <w:divBdr>
        <w:top w:val="none" w:sz="0" w:space="0" w:color="auto"/>
        <w:left w:val="none" w:sz="0" w:space="0" w:color="auto"/>
        <w:bottom w:val="none" w:sz="0" w:space="0" w:color="auto"/>
        <w:right w:val="none" w:sz="0" w:space="0" w:color="auto"/>
      </w:divBdr>
    </w:div>
    <w:div w:id="1070233140">
      <w:bodyDiv w:val="1"/>
      <w:marLeft w:val="0"/>
      <w:marRight w:val="0"/>
      <w:marTop w:val="0"/>
      <w:marBottom w:val="0"/>
      <w:divBdr>
        <w:top w:val="none" w:sz="0" w:space="0" w:color="auto"/>
        <w:left w:val="none" w:sz="0" w:space="0" w:color="auto"/>
        <w:bottom w:val="none" w:sz="0" w:space="0" w:color="auto"/>
        <w:right w:val="none" w:sz="0" w:space="0" w:color="auto"/>
      </w:divBdr>
    </w:div>
    <w:div w:id="1226451396">
      <w:bodyDiv w:val="1"/>
      <w:marLeft w:val="0"/>
      <w:marRight w:val="0"/>
      <w:marTop w:val="0"/>
      <w:marBottom w:val="0"/>
      <w:divBdr>
        <w:top w:val="none" w:sz="0" w:space="0" w:color="auto"/>
        <w:left w:val="none" w:sz="0" w:space="0" w:color="auto"/>
        <w:bottom w:val="none" w:sz="0" w:space="0" w:color="auto"/>
        <w:right w:val="none" w:sz="0" w:space="0" w:color="auto"/>
      </w:divBdr>
    </w:div>
    <w:div w:id="1293681043">
      <w:bodyDiv w:val="1"/>
      <w:marLeft w:val="0"/>
      <w:marRight w:val="0"/>
      <w:marTop w:val="0"/>
      <w:marBottom w:val="0"/>
      <w:divBdr>
        <w:top w:val="none" w:sz="0" w:space="0" w:color="auto"/>
        <w:left w:val="none" w:sz="0" w:space="0" w:color="auto"/>
        <w:bottom w:val="none" w:sz="0" w:space="0" w:color="auto"/>
        <w:right w:val="none" w:sz="0" w:space="0" w:color="auto"/>
      </w:divBdr>
    </w:div>
    <w:div w:id="1391415221">
      <w:bodyDiv w:val="1"/>
      <w:marLeft w:val="0"/>
      <w:marRight w:val="0"/>
      <w:marTop w:val="0"/>
      <w:marBottom w:val="0"/>
      <w:divBdr>
        <w:top w:val="none" w:sz="0" w:space="0" w:color="auto"/>
        <w:left w:val="none" w:sz="0" w:space="0" w:color="auto"/>
        <w:bottom w:val="none" w:sz="0" w:space="0" w:color="auto"/>
        <w:right w:val="none" w:sz="0" w:space="0" w:color="auto"/>
      </w:divBdr>
    </w:div>
    <w:div w:id="1579511129">
      <w:bodyDiv w:val="1"/>
      <w:marLeft w:val="0"/>
      <w:marRight w:val="0"/>
      <w:marTop w:val="0"/>
      <w:marBottom w:val="0"/>
      <w:divBdr>
        <w:top w:val="none" w:sz="0" w:space="0" w:color="auto"/>
        <w:left w:val="none" w:sz="0" w:space="0" w:color="auto"/>
        <w:bottom w:val="none" w:sz="0" w:space="0" w:color="auto"/>
        <w:right w:val="none" w:sz="0" w:space="0" w:color="auto"/>
      </w:divBdr>
    </w:div>
    <w:div w:id="1694958972">
      <w:bodyDiv w:val="1"/>
      <w:marLeft w:val="0"/>
      <w:marRight w:val="0"/>
      <w:marTop w:val="0"/>
      <w:marBottom w:val="0"/>
      <w:divBdr>
        <w:top w:val="none" w:sz="0" w:space="0" w:color="auto"/>
        <w:left w:val="none" w:sz="0" w:space="0" w:color="auto"/>
        <w:bottom w:val="none" w:sz="0" w:space="0" w:color="auto"/>
        <w:right w:val="none" w:sz="0" w:space="0" w:color="auto"/>
      </w:divBdr>
    </w:div>
    <w:div w:id="1745686601">
      <w:bodyDiv w:val="1"/>
      <w:marLeft w:val="0"/>
      <w:marRight w:val="0"/>
      <w:marTop w:val="0"/>
      <w:marBottom w:val="0"/>
      <w:divBdr>
        <w:top w:val="none" w:sz="0" w:space="0" w:color="auto"/>
        <w:left w:val="none" w:sz="0" w:space="0" w:color="auto"/>
        <w:bottom w:val="none" w:sz="0" w:space="0" w:color="auto"/>
        <w:right w:val="none" w:sz="0" w:space="0" w:color="auto"/>
      </w:divBdr>
    </w:div>
    <w:div w:id="1946502049">
      <w:bodyDiv w:val="1"/>
      <w:marLeft w:val="0"/>
      <w:marRight w:val="0"/>
      <w:marTop w:val="0"/>
      <w:marBottom w:val="0"/>
      <w:divBdr>
        <w:top w:val="none" w:sz="0" w:space="0" w:color="auto"/>
        <w:left w:val="none" w:sz="0" w:space="0" w:color="auto"/>
        <w:bottom w:val="none" w:sz="0" w:space="0" w:color="auto"/>
        <w:right w:val="none" w:sz="0" w:space="0" w:color="auto"/>
      </w:divBdr>
    </w:div>
    <w:div w:id="2121337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emf"/><Relationship Id="rId18" Type="http://schemas.openxmlformats.org/officeDocument/2006/relationships/package" Target="embeddings/Microsoft_Office_Excel_Worksheet4.xlsx"/><Relationship Id="rId26" Type="http://schemas.openxmlformats.org/officeDocument/2006/relationships/image" Target="media/image9.emf"/><Relationship Id="rId39" Type="http://schemas.openxmlformats.org/officeDocument/2006/relationships/package" Target="embeddings/Microsoft_Office_Excel_Worksheet14.xlsx"/><Relationship Id="rId21" Type="http://schemas.openxmlformats.org/officeDocument/2006/relationships/package" Target="embeddings/Microsoft_Office_Excel_Worksheet5.xlsx"/><Relationship Id="rId34" Type="http://schemas.openxmlformats.org/officeDocument/2006/relationships/image" Target="media/image13.emf"/><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package" Target="embeddings/Microsoft_Office_Excel_Worksheet3.xlsx"/><Relationship Id="rId29" Type="http://schemas.openxmlformats.org/officeDocument/2006/relationships/package" Target="embeddings/Microsoft_Office_Excel_Worksheet9.xls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24" Type="http://schemas.openxmlformats.org/officeDocument/2006/relationships/image" Target="media/image8.emf"/><Relationship Id="rId32" Type="http://schemas.openxmlformats.org/officeDocument/2006/relationships/image" Target="media/image12.emf"/><Relationship Id="rId37" Type="http://schemas.openxmlformats.org/officeDocument/2006/relationships/package" Target="embeddings/Microsoft_Office_Excel_Worksheet13.xlsx"/><Relationship Id="rId40" Type="http://schemas.openxmlformats.org/officeDocument/2006/relationships/footer" Target="footer2.xml"/><Relationship Id="rId45"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image" Target="media/image3.emf"/><Relationship Id="rId23" Type="http://schemas.openxmlformats.org/officeDocument/2006/relationships/package" Target="embeddings/Microsoft_Office_Excel_Worksheet6.xlsx"/><Relationship Id="rId28" Type="http://schemas.openxmlformats.org/officeDocument/2006/relationships/image" Target="media/image10.emf"/><Relationship Id="rId36" Type="http://schemas.openxmlformats.org/officeDocument/2006/relationships/image" Target="media/image14.emf"/><Relationship Id="rId10" Type="http://schemas.openxmlformats.org/officeDocument/2006/relationships/header" Target="header2.xml"/><Relationship Id="rId19" Type="http://schemas.openxmlformats.org/officeDocument/2006/relationships/chart" Target="charts/chart1.xml"/><Relationship Id="rId31" Type="http://schemas.openxmlformats.org/officeDocument/2006/relationships/package" Target="embeddings/Microsoft_Office_Excel_Worksheet10.xlsx"/><Relationship Id="rId44"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package" Target="embeddings/Microsoft_Office_Excel_Worksheet2.xlsx"/><Relationship Id="rId22" Type="http://schemas.openxmlformats.org/officeDocument/2006/relationships/image" Target="media/image7.emf"/><Relationship Id="rId27" Type="http://schemas.openxmlformats.org/officeDocument/2006/relationships/package" Target="embeddings/Microsoft_Office_Excel_Worksheet8.xlsx"/><Relationship Id="rId30" Type="http://schemas.openxmlformats.org/officeDocument/2006/relationships/image" Target="media/image11.emf"/><Relationship Id="rId35" Type="http://schemas.openxmlformats.org/officeDocument/2006/relationships/package" Target="embeddings/Microsoft_Office_Excel_Worksheet12.xlsx"/><Relationship Id="rId43" Type="http://schemas.openxmlformats.org/officeDocument/2006/relationships/customXml" Target="../customXml/item2.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package" Target="embeddings/Microsoft_Office_Excel_Worksheet1.xlsx"/><Relationship Id="rId17" Type="http://schemas.openxmlformats.org/officeDocument/2006/relationships/image" Target="media/image4.emf"/><Relationship Id="rId25" Type="http://schemas.openxmlformats.org/officeDocument/2006/relationships/package" Target="embeddings/Microsoft_Office_Excel_Worksheet7.xlsx"/><Relationship Id="rId33" Type="http://schemas.openxmlformats.org/officeDocument/2006/relationships/package" Target="embeddings/Microsoft_Office_Excel_Worksheet11.xlsx"/><Relationship Id="rId38" Type="http://schemas.openxmlformats.org/officeDocument/2006/relationships/image" Target="media/image15.emf"/><Relationship Id="rId46" Type="http://schemas.openxmlformats.org/officeDocument/2006/relationships/customXml" Target="../customXml/item5.xml"/><Relationship Id="rId20" Type="http://schemas.openxmlformats.org/officeDocument/2006/relationships/image" Target="media/image6.emf"/><Relationship Id="rId41"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oleObject" Target="file:///\\c01m107\c01m107\2014\2014%20WA_ELEC_&amp;_GAS_GRC\Direct%20Testimony%20&amp;%20Exhibits\Defelice\UE-14___Defelice%20Exhibit%20DBD-3.xlsx" TargetMode="External"/><Relationship Id="rId1" Type="http://schemas.openxmlformats.org/officeDocument/2006/relationships/image" Target="../media/image5.jpeg"/></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sz="1600"/>
              <a:t>Handy Whitman Cost Index</a:t>
            </a:r>
          </a:p>
          <a:p>
            <a:pPr>
              <a:defRPr/>
            </a:pPr>
            <a:r>
              <a:rPr lang="en-US" sz="1600"/>
              <a:t>Distribution</a:t>
            </a:r>
            <a:r>
              <a:rPr lang="en-US" sz="1600" baseline="0"/>
              <a:t> Equipment - Accts 364, 365 &amp; 368</a:t>
            </a:r>
            <a:endParaRPr lang="en-US" sz="1600"/>
          </a:p>
        </c:rich>
      </c:tx>
      <c:layout>
        <c:manualLayout>
          <c:xMode val="edge"/>
          <c:yMode val="edge"/>
          <c:x val="0.14064399220127166"/>
          <c:y val="3.4281276395526181E-2"/>
        </c:manualLayout>
      </c:layout>
      <c:overlay val="1"/>
    </c:title>
    <c:plotArea>
      <c:layout>
        <c:manualLayout>
          <c:layoutTarget val="inner"/>
          <c:xMode val="edge"/>
          <c:yMode val="edge"/>
          <c:x val="0.10306145284421057"/>
          <c:y val="0.17258975122325537"/>
          <c:w val="0.90291284135067307"/>
          <c:h val="0.68062865129001637"/>
        </c:manualLayout>
      </c:layout>
      <c:barChart>
        <c:barDir val="col"/>
        <c:grouping val="clustered"/>
        <c:ser>
          <c:idx val="0"/>
          <c:order val="0"/>
          <c:tx>
            <c:strRef>
              <c:f>'Dist extract 364-365-368'!$U$11</c:f>
              <c:strCache>
                <c:ptCount val="1"/>
                <c:pt idx="0">
                  <c:v>Poles (FERC Acct. 364)</c:v>
                </c:pt>
              </c:strCache>
            </c:strRef>
          </c:tx>
          <c:spPr>
            <a:solidFill>
              <a:schemeClr val="tx2"/>
            </a:solidFill>
          </c:spPr>
          <c:dLbls>
            <c:dLbl>
              <c:idx val="2"/>
              <c:layout>
                <c:manualLayout>
                  <c:x val="2.2343545917218467E-2"/>
                  <c:y val="8.8407133179429671E-3"/>
                </c:manualLayout>
              </c:layout>
              <c:showVal val="1"/>
            </c:dLbl>
            <c:dLbl>
              <c:idx val="3"/>
              <c:layout>
                <c:manualLayout>
                  <c:x val="1.3406127550331041E-2"/>
                  <c:y val="0"/>
                </c:manualLayout>
              </c:layout>
              <c:showVal val="1"/>
            </c:dLbl>
            <c:dLbl>
              <c:idx val="4"/>
              <c:layout>
                <c:manualLayout>
                  <c:x val="8.9374183668873841E-3"/>
                  <c:y val="0"/>
                </c:manualLayout>
              </c:layout>
              <c:showVal val="1"/>
            </c:dLbl>
            <c:dLbl>
              <c:idx val="5"/>
              <c:layout>
                <c:manualLayout>
                  <c:x val="1.1171772958609201E-2"/>
                  <c:y val="0"/>
                </c:manualLayout>
              </c:layout>
              <c:showVal val="1"/>
            </c:dLbl>
            <c:txPr>
              <a:bodyPr rot="-2700000"/>
              <a:lstStyle/>
              <a:p>
                <a:pPr>
                  <a:defRPr b="0"/>
                </a:pPr>
                <a:endParaRPr lang="en-US"/>
              </a:p>
            </c:txPr>
            <c:showVal val="1"/>
          </c:dLbls>
          <c:cat>
            <c:numRef>
              <c:f>'Dist extract 364-365-368'!$T$12:$T$18</c:f>
              <c:numCache>
                <c:formatCode>General</c:formatCode>
                <c:ptCount val="7"/>
                <c:pt idx="0">
                  <c:v>1960</c:v>
                </c:pt>
                <c:pt idx="1">
                  <c:v>1970</c:v>
                </c:pt>
                <c:pt idx="2">
                  <c:v>1980</c:v>
                </c:pt>
                <c:pt idx="3">
                  <c:v>1990</c:v>
                </c:pt>
                <c:pt idx="4">
                  <c:v>2000</c:v>
                </c:pt>
                <c:pt idx="5">
                  <c:v>2010</c:v>
                </c:pt>
                <c:pt idx="6">
                  <c:v>2012</c:v>
                </c:pt>
              </c:numCache>
            </c:numRef>
          </c:cat>
          <c:val>
            <c:numRef>
              <c:f>'Dist extract 364-365-368'!$U$12:$U$18</c:f>
              <c:numCache>
                <c:formatCode>"$"#,##0.00_);[Red]\("$"#,##0.00\)</c:formatCode>
                <c:ptCount val="7"/>
                <c:pt idx="0">
                  <c:v>8.8737201365187737</c:v>
                </c:pt>
                <c:pt idx="1">
                  <c:v>12.96928327645052</c:v>
                </c:pt>
                <c:pt idx="2">
                  <c:v>37.542662116040951</c:v>
                </c:pt>
                <c:pt idx="3">
                  <c:v>50.341296928327644</c:v>
                </c:pt>
                <c:pt idx="4">
                  <c:v>67.918088737201359</c:v>
                </c:pt>
                <c:pt idx="5">
                  <c:v>96.928327645051198</c:v>
                </c:pt>
                <c:pt idx="6">
                  <c:v>100</c:v>
                </c:pt>
              </c:numCache>
            </c:numRef>
          </c:val>
        </c:ser>
        <c:ser>
          <c:idx val="1"/>
          <c:order val="1"/>
          <c:tx>
            <c:strRef>
              <c:f>'Dist extract 364-365-368'!$V$11</c:f>
              <c:strCache>
                <c:ptCount val="1"/>
                <c:pt idx="0">
                  <c:v>OH Conductors (FERC Acct. 365)</c:v>
                </c:pt>
              </c:strCache>
            </c:strRef>
          </c:tx>
          <c:spPr>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c:spPr>
          <c:dLbls>
            <c:dLbl>
              <c:idx val="2"/>
              <c:layout>
                <c:manualLayout>
                  <c:x val="2.0109191325496555E-2"/>
                  <c:y val="2.9469044393143052E-3"/>
                </c:manualLayout>
              </c:layout>
              <c:showVal val="1"/>
            </c:dLbl>
            <c:dLbl>
              <c:idx val="3"/>
              <c:layout>
                <c:manualLayout>
                  <c:x val="1.3406127550331041E-2"/>
                  <c:y val="2.9469044393142458E-3"/>
                </c:manualLayout>
              </c:layout>
              <c:showVal val="1"/>
            </c:dLbl>
            <c:dLbl>
              <c:idx val="4"/>
              <c:layout>
                <c:manualLayout>
                  <c:x val="6.7030637751654722E-3"/>
                  <c:y val="-8.8407133179428787E-3"/>
                </c:manualLayout>
              </c:layout>
              <c:showVal val="1"/>
            </c:dLbl>
            <c:dLbl>
              <c:idx val="5"/>
              <c:layout>
                <c:manualLayout>
                  <c:x val="2.0000688885115612E-2"/>
                  <c:y val="5.8938088786286104E-3"/>
                </c:manualLayout>
              </c:layout>
              <c:showVal val="1"/>
            </c:dLbl>
            <c:txPr>
              <a:bodyPr rot="-2700000"/>
              <a:lstStyle/>
              <a:p>
                <a:pPr>
                  <a:defRPr b="0"/>
                </a:pPr>
                <a:endParaRPr lang="en-US"/>
              </a:p>
            </c:txPr>
            <c:showVal val="1"/>
          </c:dLbls>
          <c:cat>
            <c:numRef>
              <c:f>'Dist extract 364-365-368'!$T$12:$T$18</c:f>
              <c:numCache>
                <c:formatCode>General</c:formatCode>
                <c:ptCount val="7"/>
                <c:pt idx="0">
                  <c:v>1960</c:v>
                </c:pt>
                <c:pt idx="1">
                  <c:v>1970</c:v>
                </c:pt>
                <c:pt idx="2">
                  <c:v>1980</c:v>
                </c:pt>
                <c:pt idx="3">
                  <c:v>1990</c:v>
                </c:pt>
                <c:pt idx="4">
                  <c:v>2000</c:v>
                </c:pt>
                <c:pt idx="5">
                  <c:v>2010</c:v>
                </c:pt>
                <c:pt idx="6">
                  <c:v>2012</c:v>
                </c:pt>
              </c:numCache>
            </c:numRef>
          </c:cat>
          <c:val>
            <c:numRef>
              <c:f>'Dist extract 364-365-368'!$V$12:$V$18</c:f>
              <c:numCache>
                <c:formatCode>"$"#,##0.00_);[Red]\("$"#,##0.00\)</c:formatCode>
                <c:ptCount val="7"/>
                <c:pt idx="0">
                  <c:v>7.2423398328690807</c:v>
                </c:pt>
                <c:pt idx="1">
                  <c:v>12.116991643454018</c:v>
                </c:pt>
                <c:pt idx="2">
                  <c:v>30.779944289693596</c:v>
                </c:pt>
                <c:pt idx="3">
                  <c:v>43.871866295264311</c:v>
                </c:pt>
                <c:pt idx="4">
                  <c:v>57.10306406685222</c:v>
                </c:pt>
                <c:pt idx="5">
                  <c:v>95.264623955432086</c:v>
                </c:pt>
                <c:pt idx="6">
                  <c:v>100</c:v>
                </c:pt>
              </c:numCache>
            </c:numRef>
          </c:val>
        </c:ser>
        <c:ser>
          <c:idx val="2"/>
          <c:order val="2"/>
          <c:tx>
            <c:strRef>
              <c:f>'Dist extract 364-365-368'!$W$11</c:f>
              <c:strCache>
                <c:ptCount val="1"/>
                <c:pt idx="0">
                  <c:v>OH Line Transformers (FERC Acct. 368)</c:v>
                </c:pt>
              </c:strCache>
            </c:strRef>
          </c:tx>
          <c:spPr>
            <a:blipFill>
              <a:blip xmlns:r="http://schemas.openxmlformats.org/officeDocument/2006/relationships" r:embed="rId1"/>
              <a:tile tx="0" ty="0" sx="100000" sy="100000" flip="none" algn="tl"/>
            </a:blipFill>
          </c:spPr>
          <c:dPt>
            <c:idx val="0"/>
            <c:spPr>
              <a:blipFill>
                <a:blip xmlns:r="http://schemas.openxmlformats.org/officeDocument/2006/relationships" r:embed="rId1"/>
                <a:tile tx="0" ty="0" sx="100000" sy="100000" flip="none" algn="tl"/>
              </a:blipFill>
              <a:effectLst>
                <a:outerShdw blurRad="50800" dist="50800" dir="5400000" algn="ctr" rotWithShape="0">
                  <a:schemeClr val="tx1"/>
                </a:outerShdw>
              </a:effectLst>
            </c:spPr>
          </c:dPt>
          <c:dLbls>
            <c:dLbl>
              <c:idx val="0"/>
              <c:layout>
                <c:manualLayout>
                  <c:x val="2.4180213730934281E-2"/>
                  <c:y val="1.768142663588592E-2"/>
                </c:manualLayout>
              </c:layout>
              <c:showVal val="1"/>
            </c:dLbl>
            <c:dLbl>
              <c:idx val="1"/>
              <c:layout>
                <c:manualLayout>
                  <c:x val="8.9374183668873494E-3"/>
                  <c:y val="2.9469044393143052E-3"/>
                </c:manualLayout>
              </c:layout>
              <c:showVal val="1"/>
            </c:dLbl>
            <c:dLbl>
              <c:idx val="2"/>
              <c:layout>
                <c:manualLayout>
                  <c:x val="1.3406127550331041E-2"/>
                  <c:y val="2.9469044393143052E-3"/>
                </c:manualLayout>
              </c:layout>
              <c:showVal val="1"/>
            </c:dLbl>
            <c:dLbl>
              <c:idx val="4"/>
              <c:layout>
                <c:manualLayout>
                  <c:x val="8.7928049930670691E-3"/>
                  <c:y val="0"/>
                </c:manualLayout>
              </c:layout>
              <c:showVal val="1"/>
            </c:dLbl>
            <c:dLbl>
              <c:idx val="5"/>
              <c:layout>
                <c:manualLayout>
                  <c:x val="1.3406127550331041E-2"/>
                  <c:y val="2.946904439314277E-3"/>
                </c:manualLayout>
              </c:layout>
              <c:showVal val="1"/>
            </c:dLbl>
            <c:dLbl>
              <c:idx val="6"/>
              <c:layout>
                <c:manualLayout>
                  <c:x val="0"/>
                  <c:y val="1.1787617757257268E-2"/>
                </c:manualLayout>
              </c:layout>
              <c:showVal val="1"/>
            </c:dLbl>
            <c:txPr>
              <a:bodyPr rot="-2700000"/>
              <a:lstStyle/>
              <a:p>
                <a:pPr>
                  <a:defRPr b="0"/>
                </a:pPr>
                <a:endParaRPr lang="en-US"/>
              </a:p>
            </c:txPr>
            <c:showVal val="1"/>
          </c:dLbls>
          <c:cat>
            <c:numRef>
              <c:f>'Dist extract 364-365-368'!$T$12:$T$18</c:f>
              <c:numCache>
                <c:formatCode>General</c:formatCode>
                <c:ptCount val="7"/>
                <c:pt idx="0">
                  <c:v>1960</c:v>
                </c:pt>
                <c:pt idx="1">
                  <c:v>1970</c:v>
                </c:pt>
                <c:pt idx="2">
                  <c:v>1980</c:v>
                </c:pt>
                <c:pt idx="3">
                  <c:v>1990</c:v>
                </c:pt>
                <c:pt idx="4">
                  <c:v>2000</c:v>
                </c:pt>
                <c:pt idx="5">
                  <c:v>2010</c:v>
                </c:pt>
                <c:pt idx="6">
                  <c:v>2012</c:v>
                </c:pt>
              </c:numCache>
            </c:numRef>
          </c:cat>
          <c:val>
            <c:numRef>
              <c:f>'Dist extract 364-365-368'!$W$12:$W$18</c:f>
              <c:numCache>
                <c:formatCode>"$"#,##0.00_);[Red]\("$"#,##0.00\)</c:formatCode>
                <c:ptCount val="7"/>
                <c:pt idx="0">
                  <c:v>16.472303206997001</c:v>
                </c:pt>
                <c:pt idx="1">
                  <c:v>14.868804664723054</c:v>
                </c:pt>
                <c:pt idx="2">
                  <c:v>24.781341107871722</c:v>
                </c:pt>
                <c:pt idx="3">
                  <c:v>33.819241982507194</c:v>
                </c:pt>
                <c:pt idx="4">
                  <c:v>33.673469387755098</c:v>
                </c:pt>
                <c:pt idx="5">
                  <c:v>89.212827988338489</c:v>
                </c:pt>
                <c:pt idx="6">
                  <c:v>100</c:v>
                </c:pt>
              </c:numCache>
            </c:numRef>
          </c:val>
        </c:ser>
        <c:axId val="76019200"/>
        <c:axId val="76020736"/>
      </c:barChart>
      <c:catAx>
        <c:axId val="76019200"/>
        <c:scaling>
          <c:orientation val="minMax"/>
        </c:scaling>
        <c:axPos val="b"/>
        <c:numFmt formatCode="General" sourceLinked="1"/>
        <c:tickLblPos val="nextTo"/>
        <c:crossAx val="76020736"/>
        <c:crosses val="autoZero"/>
        <c:auto val="1"/>
        <c:lblAlgn val="ctr"/>
        <c:lblOffset val="100"/>
      </c:catAx>
      <c:valAx>
        <c:axId val="76020736"/>
        <c:scaling>
          <c:orientation val="minMax"/>
          <c:max val="110"/>
          <c:min val="0"/>
        </c:scaling>
        <c:axPos val="l"/>
        <c:majorGridlines/>
        <c:numFmt formatCode="&quot;$&quot;#,##0.00_);[Red]\(&quot;$&quot;#,##0.00\)" sourceLinked="1"/>
        <c:tickLblPos val="nextTo"/>
        <c:crossAx val="76019200"/>
        <c:crosses val="autoZero"/>
        <c:crossBetween val="between"/>
      </c:valAx>
    </c:plotArea>
    <c:legend>
      <c:legendPos val="b"/>
      <c:legendEntry>
        <c:idx val="0"/>
        <c:txPr>
          <a:bodyPr/>
          <a:lstStyle/>
          <a:p>
            <a:pPr>
              <a:defRPr sz="900" baseline="0"/>
            </a:pPr>
            <a:endParaRPr lang="en-US"/>
          </a:p>
        </c:txPr>
      </c:legendEntry>
      <c:legendEntry>
        <c:idx val="1"/>
        <c:txPr>
          <a:bodyPr/>
          <a:lstStyle/>
          <a:p>
            <a:pPr>
              <a:defRPr sz="900" baseline="0"/>
            </a:pPr>
            <a:endParaRPr lang="en-US"/>
          </a:p>
        </c:txPr>
      </c:legendEntry>
      <c:legendEntry>
        <c:idx val="2"/>
        <c:txPr>
          <a:bodyPr/>
          <a:lstStyle/>
          <a:p>
            <a:pPr>
              <a:defRPr sz="900" baseline="0"/>
            </a:pPr>
            <a:endParaRPr lang="en-US"/>
          </a:p>
        </c:txPr>
      </c:legendEntry>
      <c:layout>
        <c:manualLayout>
          <c:xMode val="edge"/>
          <c:yMode val="edge"/>
          <c:x val="9.1692458507859856E-2"/>
          <c:y val="0.9228959856432386"/>
          <c:w val="0.88147327434525868"/>
          <c:h val="5.6377754699963332E-2"/>
        </c:manualLayout>
      </c:layout>
      <c:spPr>
        <a:solidFill>
          <a:schemeClr val="bg1"/>
        </a:solidFill>
        <a:ln w="9525">
          <a:solidFill>
            <a:schemeClr val="tx1"/>
          </a:solidFill>
        </a:ln>
      </c:spPr>
      <c:txPr>
        <a:bodyPr/>
        <a:lstStyle/>
        <a:p>
          <a:pPr>
            <a:defRPr sz="1200" baseline="0"/>
          </a:pPr>
          <a:endParaRPr lang="en-US"/>
        </a:p>
      </c:txPr>
    </c:legend>
    <c:plotVisOnly val="1"/>
  </c:chart>
  <c:txPr>
    <a:bodyPr/>
    <a:lstStyle/>
    <a:p>
      <a:pPr>
        <a:defRPr b="1"/>
      </a:pPr>
      <a:endParaRPr lang="en-US"/>
    </a:p>
  </c:txPr>
  <c:externalData r:id="rId2"/>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Formal</CaseStatus>
    <OpenedDate xmlns="dc463f71-b30c-4ab2-9473-d307f9d35888">2014-02-04T08:00:00+00:00</OpenedDate>
    <Date1 xmlns="dc463f71-b30c-4ab2-9473-d307f9d35888">2014-02-05T08:00:00+00:00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140189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4155D1A13B81845BCDB9E0BC8A67242" ma:contentTypeVersion="175" ma:contentTypeDescription="" ma:contentTypeScope="" ma:versionID="497aa7b913c45b4e49d8e41b8d971fe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1AC6B5D1-A3FB-42C7-AE38-E99D452A3AC3}"/>
</file>

<file path=customXml/itemProps2.xml><?xml version="1.0" encoding="utf-8"?>
<ds:datastoreItem xmlns:ds="http://schemas.openxmlformats.org/officeDocument/2006/customXml" ds:itemID="{2D221322-3F9C-4AAB-8D5B-54F7634C266E}"/>
</file>

<file path=customXml/itemProps3.xml><?xml version="1.0" encoding="utf-8"?>
<ds:datastoreItem xmlns:ds="http://schemas.openxmlformats.org/officeDocument/2006/customXml" ds:itemID="{D3A72EBD-CBBA-45FF-835D-B8E090ADABF1}"/>
</file>

<file path=customXml/itemProps4.xml><?xml version="1.0" encoding="utf-8"?>
<ds:datastoreItem xmlns:ds="http://schemas.openxmlformats.org/officeDocument/2006/customXml" ds:itemID="{4C6BF6DE-1255-4B17-914B-3298631FEDD1}"/>
</file>

<file path=customXml/itemProps5.xml><?xml version="1.0" encoding="utf-8"?>
<ds:datastoreItem xmlns:ds="http://schemas.openxmlformats.org/officeDocument/2006/customXml" ds:itemID="{AA37DD07-0A85-4C8E-910D-E97DF1C2687A}"/>
</file>

<file path=docProps/app.xml><?xml version="1.0" encoding="utf-8"?>
<Properties xmlns="http://schemas.openxmlformats.org/officeDocument/2006/extended-properties" xmlns:vt="http://schemas.openxmlformats.org/officeDocument/2006/docPropsVTypes">
  <Template>Normal.dotm</Template>
  <TotalTime>1156</TotalTime>
  <Pages>31</Pages>
  <Words>6760</Words>
  <Characters>37723</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BEFORE THE WASHINGTON UTILITIES AND</vt:lpstr>
    </vt:vector>
  </TitlesOfParts>
  <Company>Micron Electronics, Inc.</Company>
  <LinksUpToDate>false</LinksUpToDate>
  <CharactersWithSpaces>44395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UTILITIES AND</dc:title>
  <dc:subject/>
  <dc:creator>Word Processing</dc:creator>
  <cp:keywords/>
  <cp:lastModifiedBy>jzlfgj</cp:lastModifiedBy>
  <cp:revision>62</cp:revision>
  <cp:lastPrinted>2014-01-29T21:54:00Z</cp:lastPrinted>
  <dcterms:created xsi:type="dcterms:W3CDTF">2014-01-21T21:12:00Z</dcterms:created>
  <dcterms:modified xsi:type="dcterms:W3CDTF">2014-01-30T19:40:00Z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0x0101006E56B4D1795A2E4DB2F0B01679ED314A00B4155D1A13B81845BCDB9E0BC8A67242</vt:lpwstr>
  </property>
  <property fmtid="{D5CDD505-2E9C-101B-9397-08002B2CF9AE}" pid="4" name="_docset_NoMedatataSyncRequired">
    <vt:lpwstr>False</vt:lpwstr>
  </property>
</Properties>
</file>