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85014" w14:textId="71161E07" w:rsidR="00847F94" w:rsidRPr="00A25312" w:rsidRDefault="00AF4717" w:rsidP="00AF4717">
      <w:pPr>
        <w:jc w:val="center"/>
        <w:rPr>
          <w:rFonts w:ascii="Arial" w:hAnsi="Arial" w:cs="Arial"/>
          <w:b/>
          <w:sz w:val="24"/>
          <w:szCs w:val="24"/>
        </w:rPr>
      </w:pPr>
      <w:bookmarkStart w:id="0" w:name="_GoBack"/>
      <w:bookmarkEnd w:id="0"/>
      <w:r w:rsidRPr="00A25312">
        <w:rPr>
          <w:rFonts w:ascii="Arial" w:hAnsi="Arial" w:cs="Arial"/>
          <w:b/>
          <w:sz w:val="24"/>
          <w:szCs w:val="24"/>
        </w:rPr>
        <w:t>A</w:t>
      </w:r>
      <w:r w:rsidR="00F468CC">
        <w:rPr>
          <w:rFonts w:ascii="Arial" w:hAnsi="Arial" w:cs="Arial"/>
          <w:b/>
          <w:sz w:val="24"/>
          <w:szCs w:val="24"/>
        </w:rPr>
        <w:t>ppendix</w:t>
      </w:r>
      <w:r w:rsidRPr="00A25312">
        <w:rPr>
          <w:rFonts w:ascii="Arial" w:hAnsi="Arial" w:cs="Arial"/>
          <w:b/>
          <w:sz w:val="24"/>
          <w:szCs w:val="24"/>
        </w:rPr>
        <w:t xml:space="preserve"> </w:t>
      </w:r>
      <w:r w:rsidR="00633A11">
        <w:rPr>
          <w:rFonts w:ascii="Arial" w:hAnsi="Arial" w:cs="Arial"/>
          <w:b/>
          <w:sz w:val="24"/>
          <w:szCs w:val="24"/>
        </w:rPr>
        <w:t>B</w:t>
      </w:r>
      <w:r w:rsidRPr="00A25312">
        <w:rPr>
          <w:rFonts w:ascii="Arial" w:hAnsi="Arial" w:cs="Arial"/>
          <w:b/>
          <w:sz w:val="24"/>
          <w:szCs w:val="24"/>
        </w:rPr>
        <w:t xml:space="preserve">: </w:t>
      </w:r>
      <w:r w:rsidR="00847F94" w:rsidRPr="00A25312">
        <w:rPr>
          <w:rFonts w:ascii="Arial" w:hAnsi="Arial" w:cs="Arial"/>
          <w:b/>
          <w:sz w:val="24"/>
          <w:szCs w:val="24"/>
        </w:rPr>
        <w:t>Interconnection Rulemaking</w:t>
      </w:r>
    </w:p>
    <w:p w14:paraId="7D785015" w14:textId="77777777" w:rsidR="00847F94" w:rsidRPr="00A25312" w:rsidRDefault="00847F94" w:rsidP="00847F94">
      <w:pPr>
        <w:jc w:val="center"/>
        <w:rPr>
          <w:rFonts w:ascii="Arial" w:hAnsi="Arial" w:cs="Arial"/>
          <w:b/>
          <w:sz w:val="24"/>
          <w:szCs w:val="24"/>
        </w:rPr>
      </w:pPr>
      <w:r w:rsidRPr="00A25312">
        <w:rPr>
          <w:rFonts w:ascii="Arial" w:hAnsi="Arial" w:cs="Arial"/>
          <w:b/>
          <w:sz w:val="24"/>
          <w:szCs w:val="24"/>
        </w:rPr>
        <w:t>Docket UE-112133</w:t>
      </w:r>
    </w:p>
    <w:p w14:paraId="7D785016" w14:textId="77777777" w:rsidR="00847F94" w:rsidRPr="00A25312" w:rsidRDefault="00847F94" w:rsidP="00847F94">
      <w:pPr>
        <w:jc w:val="center"/>
        <w:rPr>
          <w:rFonts w:ascii="Arial" w:hAnsi="Arial" w:cs="Arial"/>
          <w:b/>
          <w:sz w:val="24"/>
          <w:szCs w:val="24"/>
        </w:rPr>
      </w:pPr>
      <w:r w:rsidRPr="00A25312">
        <w:rPr>
          <w:rFonts w:ascii="Arial" w:hAnsi="Arial" w:cs="Arial"/>
          <w:b/>
          <w:sz w:val="24"/>
          <w:szCs w:val="24"/>
        </w:rPr>
        <w:t xml:space="preserve">Comment Summary – </w:t>
      </w:r>
      <w:r w:rsidR="00621CD1" w:rsidRPr="00A25312">
        <w:rPr>
          <w:rFonts w:ascii="Arial" w:hAnsi="Arial" w:cs="Arial"/>
          <w:b/>
          <w:sz w:val="24"/>
          <w:szCs w:val="24"/>
        </w:rPr>
        <w:t>May</w:t>
      </w:r>
      <w:r w:rsidRPr="00A25312">
        <w:rPr>
          <w:rFonts w:ascii="Arial" w:hAnsi="Arial" w:cs="Arial"/>
          <w:b/>
          <w:sz w:val="24"/>
          <w:szCs w:val="24"/>
        </w:rPr>
        <w:t xml:space="preserve"> </w:t>
      </w:r>
      <w:r w:rsidR="00621CD1" w:rsidRPr="00A25312">
        <w:rPr>
          <w:rFonts w:ascii="Arial" w:hAnsi="Arial" w:cs="Arial"/>
          <w:b/>
          <w:sz w:val="24"/>
          <w:szCs w:val="24"/>
        </w:rPr>
        <w:t>17</w:t>
      </w:r>
      <w:r w:rsidRPr="00A25312">
        <w:rPr>
          <w:rFonts w:ascii="Arial" w:hAnsi="Arial" w:cs="Arial"/>
          <w:b/>
          <w:sz w:val="24"/>
          <w:szCs w:val="24"/>
        </w:rPr>
        <w:t>, 2013</w:t>
      </w:r>
    </w:p>
    <w:p w14:paraId="7D785017" w14:textId="77777777" w:rsidR="00847F94" w:rsidRPr="00A25312" w:rsidRDefault="00847F94" w:rsidP="00847F94">
      <w:pPr>
        <w:jc w:val="center"/>
        <w:rPr>
          <w:rFonts w:ascii="Arial" w:hAnsi="Arial" w:cs="Arial"/>
          <w:b/>
          <w:sz w:val="24"/>
          <w:szCs w:val="24"/>
        </w:rPr>
      </w:pPr>
    </w:p>
    <w:tbl>
      <w:tblPr>
        <w:tblStyle w:val="TableGrid"/>
        <w:tblW w:w="0" w:type="auto"/>
        <w:tblLayout w:type="fixed"/>
        <w:tblLook w:val="04A0" w:firstRow="1" w:lastRow="0" w:firstColumn="1" w:lastColumn="0" w:noHBand="0" w:noVBand="1"/>
      </w:tblPr>
      <w:tblGrid>
        <w:gridCol w:w="1368"/>
        <w:gridCol w:w="2250"/>
        <w:gridCol w:w="5040"/>
        <w:gridCol w:w="5760"/>
      </w:tblGrid>
      <w:tr w:rsidR="00E5446E" w:rsidRPr="00A25312" w14:paraId="7D78501D" w14:textId="77777777" w:rsidTr="00F05564">
        <w:trPr>
          <w:cantSplit/>
          <w:tblHeader/>
        </w:trPr>
        <w:tc>
          <w:tcPr>
            <w:tcW w:w="1368" w:type="dxa"/>
            <w:shd w:val="clear" w:color="auto" w:fill="D9D9D9" w:themeFill="background1" w:themeFillShade="D9"/>
          </w:tcPr>
          <w:p w14:paraId="7D785018" w14:textId="77777777" w:rsidR="00EF02FE" w:rsidRPr="00A25312" w:rsidRDefault="00E5446E" w:rsidP="00EF02FE">
            <w:pPr>
              <w:jc w:val="center"/>
              <w:rPr>
                <w:rFonts w:ascii="Times New Roman" w:hAnsi="Times New Roman" w:cs="Times New Roman"/>
                <w:b/>
                <w:sz w:val="24"/>
                <w:szCs w:val="24"/>
              </w:rPr>
            </w:pPr>
            <w:r w:rsidRPr="00A25312">
              <w:rPr>
                <w:rFonts w:ascii="Times New Roman" w:hAnsi="Times New Roman" w:cs="Times New Roman"/>
                <w:b/>
                <w:sz w:val="24"/>
                <w:szCs w:val="24"/>
              </w:rPr>
              <w:t>WAC</w:t>
            </w:r>
            <w:r w:rsidR="00847F94" w:rsidRPr="00A25312">
              <w:rPr>
                <w:rFonts w:ascii="Times New Roman" w:hAnsi="Times New Roman" w:cs="Times New Roman"/>
                <w:b/>
                <w:sz w:val="24"/>
                <w:szCs w:val="24"/>
              </w:rPr>
              <w:t xml:space="preserve"> </w:t>
            </w:r>
          </w:p>
          <w:p w14:paraId="7D785019" w14:textId="77777777" w:rsidR="00E5446E" w:rsidRPr="00A25312" w:rsidRDefault="00847F94" w:rsidP="00EF02FE">
            <w:pPr>
              <w:jc w:val="center"/>
              <w:rPr>
                <w:rFonts w:ascii="Times New Roman" w:hAnsi="Times New Roman" w:cs="Times New Roman"/>
                <w:b/>
                <w:sz w:val="24"/>
                <w:szCs w:val="24"/>
              </w:rPr>
            </w:pPr>
            <w:r w:rsidRPr="00A25312">
              <w:rPr>
                <w:rFonts w:ascii="Times New Roman" w:hAnsi="Times New Roman" w:cs="Times New Roman"/>
                <w:b/>
                <w:sz w:val="24"/>
                <w:szCs w:val="24"/>
              </w:rPr>
              <w:t>480-108 /  Topic</w:t>
            </w:r>
          </w:p>
        </w:tc>
        <w:tc>
          <w:tcPr>
            <w:tcW w:w="2250" w:type="dxa"/>
            <w:shd w:val="clear" w:color="auto" w:fill="D9D9D9" w:themeFill="background1" w:themeFillShade="D9"/>
            <w:vAlign w:val="bottom"/>
          </w:tcPr>
          <w:p w14:paraId="7D78501A" w14:textId="77777777" w:rsidR="00E5446E" w:rsidRPr="00A25312" w:rsidRDefault="00A670D3" w:rsidP="00231BD7">
            <w:pPr>
              <w:jc w:val="center"/>
              <w:rPr>
                <w:rFonts w:ascii="Times New Roman" w:hAnsi="Times New Roman" w:cs="Times New Roman"/>
                <w:b/>
                <w:sz w:val="24"/>
                <w:szCs w:val="24"/>
              </w:rPr>
            </w:pPr>
            <w:r w:rsidRPr="00A25312">
              <w:rPr>
                <w:rFonts w:ascii="Times New Roman" w:hAnsi="Times New Roman" w:cs="Times New Roman"/>
                <w:b/>
                <w:sz w:val="24"/>
                <w:szCs w:val="24"/>
              </w:rPr>
              <w:t>Commenter</w:t>
            </w:r>
          </w:p>
        </w:tc>
        <w:tc>
          <w:tcPr>
            <w:tcW w:w="5040" w:type="dxa"/>
            <w:shd w:val="clear" w:color="auto" w:fill="D9D9D9" w:themeFill="background1" w:themeFillShade="D9"/>
            <w:vAlign w:val="bottom"/>
          </w:tcPr>
          <w:p w14:paraId="7D78501B" w14:textId="77777777" w:rsidR="00E5446E" w:rsidRPr="00A25312" w:rsidRDefault="00A670D3" w:rsidP="00231BD7">
            <w:pPr>
              <w:jc w:val="center"/>
              <w:rPr>
                <w:rFonts w:ascii="Times New Roman" w:hAnsi="Times New Roman" w:cs="Times New Roman"/>
                <w:b/>
                <w:sz w:val="24"/>
                <w:szCs w:val="24"/>
              </w:rPr>
            </w:pPr>
            <w:r w:rsidRPr="00A25312">
              <w:rPr>
                <w:rFonts w:ascii="Times New Roman" w:hAnsi="Times New Roman" w:cs="Times New Roman"/>
                <w:b/>
                <w:sz w:val="24"/>
                <w:szCs w:val="24"/>
              </w:rPr>
              <w:t>Comment</w:t>
            </w:r>
          </w:p>
        </w:tc>
        <w:tc>
          <w:tcPr>
            <w:tcW w:w="5760" w:type="dxa"/>
            <w:shd w:val="clear" w:color="auto" w:fill="D9D9D9" w:themeFill="background1" w:themeFillShade="D9"/>
            <w:vAlign w:val="bottom"/>
          </w:tcPr>
          <w:p w14:paraId="7D78501C" w14:textId="77777777" w:rsidR="00E5446E" w:rsidRPr="00A25312" w:rsidRDefault="00E5446E" w:rsidP="00231BD7">
            <w:pPr>
              <w:jc w:val="center"/>
              <w:rPr>
                <w:rFonts w:ascii="Times New Roman" w:hAnsi="Times New Roman" w:cs="Times New Roman"/>
                <w:b/>
                <w:sz w:val="24"/>
                <w:szCs w:val="24"/>
              </w:rPr>
            </w:pPr>
            <w:r w:rsidRPr="00A25312">
              <w:rPr>
                <w:rFonts w:ascii="Times New Roman" w:hAnsi="Times New Roman" w:cs="Times New Roman"/>
                <w:b/>
                <w:sz w:val="24"/>
                <w:szCs w:val="24"/>
              </w:rPr>
              <w:t>Response</w:t>
            </w:r>
          </w:p>
        </w:tc>
      </w:tr>
      <w:tr w:rsidR="00A32ECB" w:rsidRPr="00A25312" w14:paraId="7D78501F" w14:textId="77777777" w:rsidTr="0063656A">
        <w:trPr>
          <w:cantSplit/>
        </w:trPr>
        <w:tc>
          <w:tcPr>
            <w:tcW w:w="14418" w:type="dxa"/>
            <w:gridSpan w:val="4"/>
          </w:tcPr>
          <w:p w14:paraId="7D78501E" w14:textId="77777777" w:rsidR="00A32ECB" w:rsidRPr="00A25312" w:rsidRDefault="00A32ECB" w:rsidP="00A32ECB">
            <w:pPr>
              <w:jc w:val="center"/>
              <w:rPr>
                <w:rFonts w:ascii="Times New Roman" w:hAnsi="Times New Roman" w:cs="Times New Roman"/>
                <w:b/>
                <w:sz w:val="24"/>
                <w:szCs w:val="24"/>
              </w:rPr>
            </w:pPr>
            <w:r w:rsidRPr="00A25312">
              <w:rPr>
                <w:rFonts w:ascii="Times New Roman" w:hAnsi="Times New Roman" w:cs="Times New Roman"/>
                <w:b/>
                <w:sz w:val="24"/>
                <w:szCs w:val="24"/>
              </w:rPr>
              <w:t>Major Issues</w:t>
            </w:r>
          </w:p>
        </w:tc>
      </w:tr>
      <w:tr w:rsidR="003A4056" w:rsidRPr="00A25312" w14:paraId="7D785026" w14:textId="77777777" w:rsidTr="00F05564">
        <w:trPr>
          <w:cantSplit/>
        </w:trPr>
        <w:tc>
          <w:tcPr>
            <w:tcW w:w="1368" w:type="dxa"/>
            <w:vMerge w:val="restart"/>
          </w:tcPr>
          <w:p w14:paraId="7D785020" w14:textId="77777777" w:rsidR="003A4056" w:rsidRPr="00A25312" w:rsidRDefault="003A4056" w:rsidP="00847F94">
            <w:pPr>
              <w:rPr>
                <w:rFonts w:ascii="Times New Roman" w:hAnsi="Times New Roman" w:cs="Times New Roman"/>
                <w:sz w:val="24"/>
                <w:szCs w:val="24"/>
              </w:rPr>
            </w:pPr>
            <w:r w:rsidRPr="00A25312">
              <w:rPr>
                <w:rFonts w:ascii="Times New Roman" w:hAnsi="Times New Roman" w:cs="Times New Roman"/>
                <w:sz w:val="24"/>
                <w:szCs w:val="24"/>
              </w:rPr>
              <w:t>010</w:t>
            </w:r>
          </w:p>
          <w:p w14:paraId="7D785021" w14:textId="77777777" w:rsidR="003A4056" w:rsidRPr="00A25312" w:rsidRDefault="003A4056" w:rsidP="00847F94">
            <w:pPr>
              <w:rPr>
                <w:rFonts w:ascii="Times New Roman" w:hAnsi="Times New Roman" w:cs="Times New Roman"/>
                <w:sz w:val="24"/>
                <w:szCs w:val="24"/>
              </w:rPr>
            </w:pPr>
          </w:p>
          <w:p w14:paraId="7D785022" w14:textId="77777777" w:rsidR="003A4056" w:rsidRPr="00A25312" w:rsidRDefault="003A4056" w:rsidP="00847F94">
            <w:pPr>
              <w:rPr>
                <w:rFonts w:ascii="Times New Roman" w:hAnsi="Times New Roman" w:cs="Times New Roman"/>
                <w:sz w:val="24"/>
                <w:szCs w:val="24"/>
              </w:rPr>
            </w:pPr>
            <w:r w:rsidRPr="00A25312">
              <w:rPr>
                <w:rFonts w:ascii="Times New Roman" w:hAnsi="Times New Roman" w:cs="Times New Roman"/>
                <w:sz w:val="24"/>
                <w:szCs w:val="24"/>
              </w:rPr>
              <w:t>Third Party Ownership</w:t>
            </w:r>
          </w:p>
        </w:tc>
        <w:tc>
          <w:tcPr>
            <w:tcW w:w="2250" w:type="dxa"/>
          </w:tcPr>
          <w:p w14:paraId="7D785023" w14:textId="77777777" w:rsidR="003A4056" w:rsidRPr="00A25312" w:rsidRDefault="003A4056" w:rsidP="00D25E52">
            <w:pPr>
              <w:rPr>
                <w:rFonts w:ascii="Times New Roman" w:hAnsi="Times New Roman" w:cs="Times New Roman"/>
                <w:sz w:val="24"/>
                <w:szCs w:val="24"/>
              </w:rPr>
            </w:pPr>
            <w:r w:rsidRPr="00A25312">
              <w:rPr>
                <w:rFonts w:ascii="Times New Roman" w:hAnsi="Times New Roman" w:cs="Times New Roman"/>
                <w:sz w:val="24"/>
                <w:szCs w:val="24"/>
              </w:rPr>
              <w:t>Avista; Washington Senate Energy, Environment, and Telecommunications Committee</w:t>
            </w:r>
          </w:p>
        </w:tc>
        <w:tc>
          <w:tcPr>
            <w:tcW w:w="5040" w:type="dxa"/>
          </w:tcPr>
          <w:p w14:paraId="7D785024" w14:textId="77777777" w:rsidR="003A4056" w:rsidRPr="00A25312" w:rsidRDefault="003A4056" w:rsidP="00E66B3D">
            <w:pPr>
              <w:rPr>
                <w:rFonts w:ascii="Times New Roman" w:hAnsi="Times New Roman" w:cs="Times New Roman"/>
                <w:sz w:val="24"/>
                <w:szCs w:val="24"/>
              </w:rPr>
            </w:pPr>
            <w:r w:rsidRPr="00A25312">
              <w:rPr>
                <w:rFonts w:ascii="Times New Roman" w:hAnsi="Times New Roman" w:cs="Times New Roman"/>
                <w:sz w:val="24"/>
                <w:szCs w:val="24"/>
              </w:rPr>
              <w:t xml:space="preserve">Avista and the Senate Committee </w:t>
            </w:r>
            <w:r w:rsidR="00E7045E">
              <w:rPr>
                <w:rFonts w:ascii="Times New Roman" w:hAnsi="Times New Roman" w:cs="Times New Roman"/>
                <w:sz w:val="24"/>
                <w:szCs w:val="24"/>
              </w:rPr>
              <w:t xml:space="preserve">members </w:t>
            </w:r>
            <w:r w:rsidRPr="00A25312">
              <w:rPr>
                <w:rFonts w:ascii="Times New Roman" w:hAnsi="Times New Roman" w:cs="Times New Roman"/>
                <w:sz w:val="24"/>
                <w:szCs w:val="24"/>
              </w:rPr>
              <w:t xml:space="preserve">comment that the legislative process is the best setting for this policy-making discussion.  The Committee </w:t>
            </w:r>
            <w:r w:rsidR="00E7045E">
              <w:rPr>
                <w:rFonts w:ascii="Times New Roman" w:hAnsi="Times New Roman" w:cs="Times New Roman"/>
                <w:sz w:val="24"/>
                <w:szCs w:val="24"/>
              </w:rPr>
              <w:t xml:space="preserve">members </w:t>
            </w:r>
            <w:r w:rsidRPr="00A25312">
              <w:rPr>
                <w:rFonts w:ascii="Times New Roman" w:hAnsi="Times New Roman" w:cs="Times New Roman"/>
                <w:sz w:val="24"/>
                <w:szCs w:val="24"/>
              </w:rPr>
              <w:t xml:space="preserve">urge the Commission to omit references to third-party ownership from the rule.  </w:t>
            </w:r>
          </w:p>
        </w:tc>
        <w:tc>
          <w:tcPr>
            <w:tcW w:w="5760" w:type="dxa"/>
            <w:vMerge w:val="restart"/>
          </w:tcPr>
          <w:p w14:paraId="7D785025" w14:textId="77777777" w:rsidR="003A4056" w:rsidRPr="00A25312" w:rsidRDefault="003A4056" w:rsidP="00E7045E">
            <w:pPr>
              <w:rPr>
                <w:rFonts w:ascii="Times New Roman" w:hAnsi="Times New Roman" w:cs="Times New Roman"/>
                <w:sz w:val="24"/>
                <w:szCs w:val="24"/>
              </w:rPr>
            </w:pPr>
            <w:r w:rsidRPr="00A25312">
              <w:rPr>
                <w:rFonts w:ascii="Times New Roman" w:hAnsi="Times New Roman" w:cs="Times New Roman"/>
                <w:sz w:val="24"/>
                <w:szCs w:val="24"/>
              </w:rPr>
              <w:t xml:space="preserve">The state net-metering statutes, as currently enacted, allow third parties to own net metering systems.  RCW 80.60.010 defines a </w:t>
            </w:r>
            <w:r w:rsidR="00E7045E">
              <w:rPr>
                <w:rFonts w:ascii="Times New Roman" w:hAnsi="Times New Roman" w:cs="Times New Roman"/>
                <w:sz w:val="24"/>
                <w:szCs w:val="24"/>
              </w:rPr>
              <w:t>“</w:t>
            </w:r>
            <w:r w:rsidRPr="00A25312">
              <w:rPr>
                <w:rFonts w:ascii="Times New Roman" w:hAnsi="Times New Roman" w:cs="Times New Roman"/>
                <w:sz w:val="24"/>
                <w:szCs w:val="24"/>
              </w:rPr>
              <w:t>customer-generator</w:t>
            </w:r>
            <w:r w:rsidR="00E7045E">
              <w:rPr>
                <w:rFonts w:ascii="Times New Roman" w:hAnsi="Times New Roman" w:cs="Times New Roman"/>
                <w:sz w:val="24"/>
                <w:szCs w:val="24"/>
              </w:rPr>
              <w:t>”</w:t>
            </w:r>
            <w:r w:rsidRPr="00A25312">
              <w:rPr>
                <w:rFonts w:ascii="Times New Roman" w:hAnsi="Times New Roman" w:cs="Times New Roman"/>
                <w:sz w:val="24"/>
                <w:szCs w:val="24"/>
              </w:rPr>
              <w:t xml:space="preserve"> as a “user”, not as an “owner” of a net-metering system.  The Commission believes it is an appropriate role for an agency to interpret statutes through a rulemaking.  The Commission has no separate net metering rules, thus WAC 480-108 is an appropriate place to address this issue</w:t>
            </w:r>
            <w:r w:rsidR="00E7045E">
              <w:rPr>
                <w:rFonts w:ascii="Times New Roman" w:hAnsi="Times New Roman" w:cs="Times New Roman"/>
                <w:sz w:val="24"/>
                <w:szCs w:val="24"/>
              </w:rPr>
              <w:t xml:space="preserve">, as the rule currently </w:t>
            </w:r>
            <w:r w:rsidRPr="00A25312">
              <w:rPr>
                <w:rFonts w:ascii="Times New Roman" w:hAnsi="Times New Roman" w:cs="Times New Roman"/>
                <w:sz w:val="24"/>
                <w:szCs w:val="24"/>
              </w:rPr>
              <w:t>addresses net metering in several places</w:t>
            </w:r>
            <w:r w:rsidR="00D452E4">
              <w:rPr>
                <w:rFonts w:ascii="Times New Roman" w:hAnsi="Times New Roman" w:cs="Times New Roman"/>
                <w:sz w:val="24"/>
                <w:szCs w:val="24"/>
              </w:rPr>
              <w:t>.</w:t>
            </w:r>
          </w:p>
        </w:tc>
      </w:tr>
      <w:tr w:rsidR="003A4056" w:rsidRPr="00A25312" w14:paraId="7D78502D" w14:textId="77777777" w:rsidTr="00F05564">
        <w:trPr>
          <w:cantSplit/>
          <w:trHeight w:val="2501"/>
        </w:trPr>
        <w:tc>
          <w:tcPr>
            <w:tcW w:w="1368" w:type="dxa"/>
            <w:vMerge/>
          </w:tcPr>
          <w:p w14:paraId="7D785027" w14:textId="77777777" w:rsidR="003A4056" w:rsidRPr="00A25312" w:rsidRDefault="003A4056" w:rsidP="00847F94">
            <w:pPr>
              <w:rPr>
                <w:rFonts w:ascii="Times New Roman" w:hAnsi="Times New Roman" w:cs="Times New Roman"/>
                <w:sz w:val="24"/>
                <w:szCs w:val="24"/>
              </w:rPr>
            </w:pPr>
          </w:p>
        </w:tc>
        <w:tc>
          <w:tcPr>
            <w:tcW w:w="2250" w:type="dxa"/>
            <w:tcBorders>
              <w:bottom w:val="single" w:sz="4" w:space="0" w:color="auto"/>
            </w:tcBorders>
          </w:tcPr>
          <w:p w14:paraId="7D785028" w14:textId="77777777" w:rsidR="003A4056" w:rsidRPr="00A25312" w:rsidRDefault="003A4056" w:rsidP="002B7A78">
            <w:pPr>
              <w:rPr>
                <w:rFonts w:ascii="Times New Roman" w:hAnsi="Times New Roman" w:cs="Times New Roman"/>
                <w:sz w:val="24"/>
                <w:szCs w:val="24"/>
              </w:rPr>
            </w:pPr>
            <w:r w:rsidRPr="00A25312">
              <w:rPr>
                <w:rFonts w:ascii="Times New Roman" w:hAnsi="Times New Roman" w:cs="Times New Roman"/>
                <w:sz w:val="24"/>
                <w:szCs w:val="24"/>
              </w:rPr>
              <w:t>NW Energy Coalition, Renewable Northwest Project (RNP) and Northwest Sustainable Energy for Economic Development (NW SEED)</w:t>
            </w:r>
          </w:p>
        </w:tc>
        <w:tc>
          <w:tcPr>
            <w:tcW w:w="5040" w:type="dxa"/>
            <w:tcBorders>
              <w:bottom w:val="single" w:sz="4" w:space="0" w:color="auto"/>
            </w:tcBorders>
          </w:tcPr>
          <w:p w14:paraId="7D785029" w14:textId="77777777" w:rsidR="003A4056" w:rsidRPr="00A25312" w:rsidRDefault="003A4056" w:rsidP="00D25E52">
            <w:pPr>
              <w:rPr>
                <w:rFonts w:ascii="Times New Roman" w:hAnsi="Times New Roman" w:cs="Times New Roman"/>
                <w:sz w:val="24"/>
                <w:szCs w:val="24"/>
              </w:rPr>
            </w:pPr>
            <w:r w:rsidRPr="00A25312">
              <w:rPr>
                <w:rFonts w:ascii="Times New Roman" w:hAnsi="Times New Roman" w:cs="Times New Roman"/>
                <w:sz w:val="24"/>
                <w:szCs w:val="24"/>
              </w:rPr>
              <w:t xml:space="preserve">Commenters support the inclusion of third-party ownership in this rule. </w:t>
            </w:r>
          </w:p>
          <w:p w14:paraId="7D78502A" w14:textId="77777777" w:rsidR="003A4056" w:rsidRPr="00A25312" w:rsidRDefault="003A4056" w:rsidP="00D25E52">
            <w:pPr>
              <w:rPr>
                <w:rFonts w:ascii="Times New Roman" w:hAnsi="Times New Roman" w:cs="Times New Roman"/>
                <w:sz w:val="24"/>
                <w:szCs w:val="24"/>
              </w:rPr>
            </w:pPr>
          </w:p>
          <w:p w14:paraId="7D78502B" w14:textId="77777777" w:rsidR="003A4056" w:rsidRPr="00A25312" w:rsidRDefault="003A4056" w:rsidP="00D25E52">
            <w:pPr>
              <w:rPr>
                <w:rFonts w:ascii="Times New Roman" w:hAnsi="Times New Roman" w:cs="Times New Roman"/>
                <w:sz w:val="24"/>
                <w:szCs w:val="24"/>
              </w:rPr>
            </w:pPr>
            <w:r w:rsidRPr="00A25312">
              <w:rPr>
                <w:rFonts w:ascii="Times New Roman" w:hAnsi="Times New Roman" w:cs="Times New Roman"/>
                <w:sz w:val="24"/>
                <w:szCs w:val="24"/>
              </w:rPr>
              <w:t xml:space="preserve">The NW Energy Coalition suggests that including third-party ownership in this rule is not “premature” as </w:t>
            </w:r>
            <w:r w:rsidR="00E7045E">
              <w:rPr>
                <w:rFonts w:ascii="Times New Roman" w:hAnsi="Times New Roman" w:cs="Times New Roman"/>
                <w:sz w:val="24"/>
                <w:szCs w:val="24"/>
              </w:rPr>
              <w:t xml:space="preserve">members of </w:t>
            </w:r>
            <w:r w:rsidRPr="00A25312">
              <w:rPr>
                <w:rFonts w:ascii="Times New Roman" w:hAnsi="Times New Roman" w:cs="Times New Roman"/>
                <w:sz w:val="24"/>
                <w:szCs w:val="24"/>
              </w:rPr>
              <w:t>the State Senate suggest.</w:t>
            </w:r>
          </w:p>
        </w:tc>
        <w:tc>
          <w:tcPr>
            <w:tcW w:w="5760" w:type="dxa"/>
            <w:vMerge/>
            <w:tcBorders>
              <w:bottom w:val="single" w:sz="4" w:space="0" w:color="auto"/>
            </w:tcBorders>
          </w:tcPr>
          <w:p w14:paraId="7D78502C" w14:textId="77777777" w:rsidR="003A4056" w:rsidRPr="00A25312" w:rsidRDefault="003A4056" w:rsidP="00847F94">
            <w:pPr>
              <w:rPr>
                <w:rFonts w:ascii="Times New Roman" w:hAnsi="Times New Roman" w:cs="Times New Roman"/>
                <w:sz w:val="24"/>
                <w:szCs w:val="24"/>
              </w:rPr>
            </w:pPr>
          </w:p>
        </w:tc>
      </w:tr>
      <w:tr w:rsidR="003A4056" w:rsidRPr="00A25312" w14:paraId="7D785032" w14:textId="77777777" w:rsidTr="00F05564">
        <w:trPr>
          <w:cantSplit/>
        </w:trPr>
        <w:tc>
          <w:tcPr>
            <w:tcW w:w="1368" w:type="dxa"/>
            <w:vMerge/>
          </w:tcPr>
          <w:p w14:paraId="7D78502E" w14:textId="77777777" w:rsidR="003A4056" w:rsidRPr="00A25312" w:rsidRDefault="003A4056" w:rsidP="00847F94">
            <w:pPr>
              <w:rPr>
                <w:rFonts w:ascii="Times New Roman" w:hAnsi="Times New Roman" w:cs="Times New Roman"/>
                <w:sz w:val="24"/>
                <w:szCs w:val="24"/>
              </w:rPr>
            </w:pPr>
          </w:p>
        </w:tc>
        <w:tc>
          <w:tcPr>
            <w:tcW w:w="2250" w:type="dxa"/>
          </w:tcPr>
          <w:p w14:paraId="7D78502F" w14:textId="77777777" w:rsidR="003A4056" w:rsidRPr="00A25312" w:rsidRDefault="003A4056" w:rsidP="00E7045E">
            <w:pPr>
              <w:rPr>
                <w:rFonts w:ascii="Times New Roman" w:hAnsi="Times New Roman" w:cs="Times New Roman"/>
                <w:sz w:val="24"/>
                <w:szCs w:val="24"/>
              </w:rPr>
            </w:pPr>
            <w:r w:rsidRPr="00A25312">
              <w:rPr>
                <w:rFonts w:ascii="Times New Roman" w:hAnsi="Times New Roman" w:cs="Times New Roman"/>
                <w:sz w:val="24"/>
                <w:szCs w:val="24"/>
              </w:rPr>
              <w:t>RNP and NW SEED; NW Energy Coalition; COU Parties</w:t>
            </w:r>
            <w:r w:rsidRPr="00A25312">
              <w:rPr>
                <w:rStyle w:val="FootnoteReference"/>
                <w:rFonts w:ascii="Times New Roman" w:hAnsi="Times New Roman" w:cs="Times New Roman"/>
                <w:sz w:val="24"/>
                <w:szCs w:val="24"/>
              </w:rPr>
              <w:footnoteReference w:id="1"/>
            </w:r>
          </w:p>
        </w:tc>
        <w:tc>
          <w:tcPr>
            <w:tcW w:w="5040" w:type="dxa"/>
          </w:tcPr>
          <w:p w14:paraId="7D785030" w14:textId="77777777" w:rsidR="003A4056" w:rsidRPr="00A25312" w:rsidRDefault="003A4056" w:rsidP="00E7045E">
            <w:pPr>
              <w:rPr>
                <w:rFonts w:ascii="Times New Roman" w:hAnsi="Times New Roman" w:cs="Times New Roman"/>
                <w:sz w:val="24"/>
                <w:szCs w:val="24"/>
              </w:rPr>
            </w:pPr>
            <w:r w:rsidRPr="00A25312">
              <w:rPr>
                <w:rFonts w:ascii="Times New Roman" w:hAnsi="Times New Roman" w:cs="Times New Roman"/>
                <w:sz w:val="24"/>
                <w:szCs w:val="24"/>
              </w:rPr>
              <w:t>RNP and NW SEED, and NW Energy Coalition urge the Commission to use its rule adoption order to signal that a third-party owner, in factual circumstances described in the comments, would not be subject to regulation as a public service Company.  COU Parties urge the Commission to regulate third-party owners of net metering systems.</w:t>
            </w:r>
          </w:p>
        </w:tc>
        <w:tc>
          <w:tcPr>
            <w:tcW w:w="5760" w:type="dxa"/>
          </w:tcPr>
          <w:p w14:paraId="7D785031" w14:textId="3B4BBE8E" w:rsidR="003A4056" w:rsidRPr="00A25312" w:rsidRDefault="00F91B78" w:rsidP="00F91B78">
            <w:pPr>
              <w:rPr>
                <w:rFonts w:ascii="Times New Roman" w:hAnsi="Times New Roman" w:cs="Times New Roman"/>
                <w:sz w:val="24"/>
                <w:szCs w:val="24"/>
              </w:rPr>
            </w:pPr>
            <w:r>
              <w:rPr>
                <w:rFonts w:ascii="Times New Roman" w:hAnsi="Times New Roman" w:cs="Times New Roman"/>
                <w:sz w:val="24"/>
                <w:szCs w:val="24"/>
              </w:rPr>
              <w:t>T</w:t>
            </w:r>
            <w:r w:rsidR="00E7045E">
              <w:rPr>
                <w:rFonts w:ascii="Times New Roman" w:hAnsi="Times New Roman" w:cs="Times New Roman"/>
                <w:sz w:val="24"/>
                <w:szCs w:val="24"/>
              </w:rPr>
              <w:t>he Commission</w:t>
            </w:r>
            <w:r w:rsidR="00E460BF">
              <w:rPr>
                <w:rFonts w:ascii="Times New Roman" w:hAnsi="Times New Roman" w:cs="Times New Roman"/>
                <w:sz w:val="24"/>
                <w:szCs w:val="24"/>
              </w:rPr>
              <w:t xml:space="preserve"> </w:t>
            </w:r>
            <w:r w:rsidR="00D328C8">
              <w:rPr>
                <w:rFonts w:ascii="Times New Roman" w:hAnsi="Times New Roman" w:cs="Times New Roman"/>
                <w:sz w:val="24"/>
                <w:szCs w:val="24"/>
              </w:rPr>
              <w:t>heard</w:t>
            </w:r>
            <w:r w:rsidR="00E7045E">
              <w:rPr>
                <w:rFonts w:ascii="Times New Roman" w:hAnsi="Times New Roman" w:cs="Times New Roman"/>
                <w:sz w:val="24"/>
                <w:szCs w:val="24"/>
              </w:rPr>
              <w:t xml:space="preserve"> comments at the adoption hearing </w:t>
            </w:r>
            <w:r>
              <w:rPr>
                <w:rFonts w:ascii="Times New Roman" w:hAnsi="Times New Roman" w:cs="Times New Roman"/>
                <w:sz w:val="24"/>
                <w:szCs w:val="24"/>
              </w:rPr>
              <w:t>on this issue</w:t>
            </w:r>
            <w:r w:rsidR="003A4056" w:rsidRPr="00A25312">
              <w:rPr>
                <w:rFonts w:ascii="Times New Roman" w:hAnsi="Times New Roman" w:cs="Times New Roman"/>
                <w:sz w:val="24"/>
                <w:szCs w:val="24"/>
              </w:rPr>
              <w:t xml:space="preserve">.  IREC submitted </w:t>
            </w:r>
            <w:hyperlink r:id="rId8" w:history="1">
              <w:r w:rsidR="003A4056" w:rsidRPr="00A25312">
                <w:rPr>
                  <w:rStyle w:val="Hyperlink"/>
                  <w:rFonts w:ascii="Times New Roman" w:hAnsi="Times New Roman" w:cs="Times New Roman"/>
                  <w:sz w:val="24"/>
                  <w:szCs w:val="24"/>
                </w:rPr>
                <w:t>a legal memo on September 29, 2011 in a prior docket regarding distributed generation, UE-110667</w:t>
              </w:r>
            </w:hyperlink>
            <w:r w:rsidR="003A4056" w:rsidRPr="00A25312">
              <w:rPr>
                <w:rFonts w:ascii="Times New Roman" w:hAnsi="Times New Roman" w:cs="Times New Roman"/>
                <w:sz w:val="24"/>
                <w:szCs w:val="24"/>
              </w:rPr>
              <w:t>, arguing that third-party owners are not subject to UTC jurisdiction.</w:t>
            </w:r>
          </w:p>
        </w:tc>
      </w:tr>
      <w:tr w:rsidR="003A4056" w:rsidRPr="00A25312" w14:paraId="7D78503B" w14:textId="77777777" w:rsidTr="00AA0DB5">
        <w:trPr>
          <w:cantSplit/>
          <w:trHeight w:val="323"/>
        </w:trPr>
        <w:tc>
          <w:tcPr>
            <w:tcW w:w="1368" w:type="dxa"/>
            <w:vMerge/>
          </w:tcPr>
          <w:p w14:paraId="7D785033" w14:textId="77777777" w:rsidR="003A4056" w:rsidRPr="00A25312" w:rsidRDefault="003A4056" w:rsidP="00847F94">
            <w:pPr>
              <w:rPr>
                <w:rFonts w:ascii="Times New Roman" w:hAnsi="Times New Roman" w:cs="Times New Roman"/>
                <w:sz w:val="24"/>
                <w:szCs w:val="24"/>
              </w:rPr>
            </w:pPr>
          </w:p>
        </w:tc>
        <w:tc>
          <w:tcPr>
            <w:tcW w:w="2250" w:type="dxa"/>
          </w:tcPr>
          <w:p w14:paraId="7D785034" w14:textId="77777777" w:rsidR="003A4056" w:rsidRPr="00A25312" w:rsidRDefault="003A4056" w:rsidP="00E7045E">
            <w:pPr>
              <w:rPr>
                <w:rFonts w:ascii="Times New Roman" w:hAnsi="Times New Roman" w:cs="Times New Roman"/>
                <w:sz w:val="24"/>
                <w:szCs w:val="24"/>
              </w:rPr>
            </w:pPr>
            <w:r w:rsidRPr="00A25312">
              <w:rPr>
                <w:rFonts w:ascii="Times New Roman" w:hAnsi="Times New Roman" w:cs="Times New Roman"/>
                <w:sz w:val="24"/>
                <w:szCs w:val="24"/>
              </w:rPr>
              <w:t xml:space="preserve">Cascade Power Group and </w:t>
            </w:r>
            <w:r>
              <w:rPr>
                <w:rFonts w:ascii="Times New Roman" w:hAnsi="Times New Roman" w:cs="Times New Roman"/>
                <w:sz w:val="24"/>
                <w:szCs w:val="24"/>
              </w:rPr>
              <w:t>PSE</w:t>
            </w:r>
            <w:r w:rsidRPr="00A25312">
              <w:rPr>
                <w:rFonts w:ascii="Times New Roman" w:hAnsi="Times New Roman" w:cs="Times New Roman"/>
                <w:sz w:val="24"/>
                <w:szCs w:val="24"/>
              </w:rPr>
              <w:t xml:space="preserve"> </w:t>
            </w:r>
          </w:p>
        </w:tc>
        <w:tc>
          <w:tcPr>
            <w:tcW w:w="5040" w:type="dxa"/>
          </w:tcPr>
          <w:p w14:paraId="7D785035" w14:textId="77777777" w:rsidR="003A4056" w:rsidRPr="00A25312" w:rsidRDefault="003A4056" w:rsidP="00E7045E">
            <w:pPr>
              <w:rPr>
                <w:rFonts w:ascii="Times New Roman" w:hAnsi="Times New Roman" w:cs="Times New Roman"/>
                <w:sz w:val="24"/>
                <w:szCs w:val="24"/>
              </w:rPr>
            </w:pPr>
            <w:r w:rsidRPr="00A25312">
              <w:rPr>
                <w:rFonts w:ascii="Times New Roman" w:hAnsi="Times New Roman" w:cs="Times New Roman"/>
                <w:sz w:val="24"/>
                <w:szCs w:val="24"/>
              </w:rPr>
              <w:t>PSE is concerned that the definition of “third-party owner” prohibits a utility from allowing a third-party owner to resell electricity produced from a net-metered system.  PSE suggests minor edits to the definition of “third-party owner.”</w:t>
            </w:r>
          </w:p>
          <w:p w14:paraId="7D785036" w14:textId="77777777" w:rsidR="003A4056" w:rsidRPr="00A25312" w:rsidRDefault="003A4056" w:rsidP="00E7045E">
            <w:pPr>
              <w:rPr>
                <w:rFonts w:ascii="Times New Roman" w:hAnsi="Times New Roman" w:cs="Times New Roman"/>
                <w:sz w:val="24"/>
                <w:szCs w:val="24"/>
              </w:rPr>
            </w:pPr>
          </w:p>
          <w:p w14:paraId="7D785037" w14:textId="77777777" w:rsidR="003A4056" w:rsidRPr="00A25312" w:rsidRDefault="003A4056" w:rsidP="00E7045E">
            <w:pPr>
              <w:rPr>
                <w:rFonts w:ascii="Times New Roman" w:hAnsi="Times New Roman" w:cs="Times New Roman"/>
                <w:sz w:val="24"/>
                <w:szCs w:val="24"/>
              </w:rPr>
            </w:pPr>
            <w:r w:rsidRPr="00A25312">
              <w:rPr>
                <w:rFonts w:ascii="Times New Roman" w:hAnsi="Times New Roman" w:cs="Times New Roman"/>
                <w:sz w:val="24"/>
                <w:szCs w:val="24"/>
              </w:rPr>
              <w:t>Cascade Power disagrees that a third-party owner may not resell electricity produced from a net-metered facility.  Cascade Power thinks the third-party owner and the utility should have a business relationship.</w:t>
            </w:r>
          </w:p>
        </w:tc>
        <w:tc>
          <w:tcPr>
            <w:tcW w:w="5760" w:type="dxa"/>
            <w:shd w:val="clear" w:color="auto" w:fill="FFFFFF" w:themeFill="background1"/>
          </w:tcPr>
          <w:p w14:paraId="7D785038" w14:textId="77777777" w:rsidR="00D328C8" w:rsidRDefault="00D328C8" w:rsidP="00D328C8">
            <w:pPr>
              <w:rPr>
                <w:rFonts w:ascii="Times New Roman" w:hAnsi="Times New Roman" w:cs="Times New Roman"/>
                <w:sz w:val="24"/>
                <w:szCs w:val="24"/>
              </w:rPr>
            </w:pPr>
            <w:r w:rsidRPr="00D328C8">
              <w:rPr>
                <w:rFonts w:ascii="Times New Roman" w:hAnsi="Times New Roman" w:cs="Times New Roman"/>
                <w:sz w:val="24"/>
                <w:szCs w:val="24"/>
              </w:rPr>
              <w:t xml:space="preserve">The Commission does not believe there is a conflict between the two definitions, as a third-party owner is selling, not reselling, </w:t>
            </w:r>
            <w:r>
              <w:rPr>
                <w:rFonts w:ascii="Times New Roman" w:hAnsi="Times New Roman" w:cs="Times New Roman"/>
                <w:sz w:val="24"/>
                <w:szCs w:val="24"/>
              </w:rPr>
              <w:t xml:space="preserve">power to a customer-generator.  </w:t>
            </w:r>
            <w:r w:rsidRPr="00D328C8">
              <w:rPr>
                <w:rFonts w:ascii="Times New Roman" w:hAnsi="Times New Roman" w:cs="Times New Roman"/>
                <w:sz w:val="24"/>
                <w:szCs w:val="24"/>
              </w:rPr>
              <w:t xml:space="preserve">Nevertheless, one purpose of these rules is to eliminate ambiguity in the interpretation of the state’s net metering statutes.  Thus, we modify the last sentence of the definition of “third party owner” to read:  “A third-party owner </w:t>
            </w:r>
            <w:r w:rsidRPr="00D328C8">
              <w:rPr>
                <w:rFonts w:ascii="Times New Roman" w:hAnsi="Times New Roman" w:cs="Times New Roman"/>
                <w:sz w:val="24"/>
                <w:szCs w:val="24"/>
                <w:u w:val="single"/>
              </w:rPr>
              <w:t>does not</w:t>
            </w:r>
            <w:r w:rsidRPr="00D328C8">
              <w:rPr>
                <w:rFonts w:ascii="Times New Roman" w:hAnsi="Times New Roman" w:cs="Times New Roman"/>
                <w:sz w:val="24"/>
                <w:szCs w:val="24"/>
              </w:rPr>
              <w:t xml:space="preserve"> resell the electricity produced from a net metered generating facility.”  By making this modification, we exclude from the definition of “third-party owner” one who resells electricity produced from a net metering system.  </w:t>
            </w:r>
          </w:p>
          <w:p w14:paraId="7D785039" w14:textId="77777777" w:rsidR="00D328C8" w:rsidRDefault="00D328C8" w:rsidP="00D328C8">
            <w:pPr>
              <w:rPr>
                <w:rFonts w:ascii="Times New Roman" w:hAnsi="Times New Roman" w:cs="Times New Roman"/>
                <w:sz w:val="24"/>
                <w:szCs w:val="24"/>
              </w:rPr>
            </w:pPr>
          </w:p>
          <w:p w14:paraId="7D78503A" w14:textId="77777777" w:rsidR="003A4056" w:rsidRPr="00A25312" w:rsidRDefault="00D328C8" w:rsidP="00D328C8">
            <w:pPr>
              <w:rPr>
                <w:rFonts w:ascii="Times New Roman" w:hAnsi="Times New Roman" w:cs="Times New Roman"/>
                <w:sz w:val="24"/>
                <w:szCs w:val="24"/>
              </w:rPr>
            </w:pPr>
            <w:r w:rsidRPr="00D328C8">
              <w:rPr>
                <w:rFonts w:ascii="Times New Roman" w:hAnsi="Times New Roman" w:cs="Times New Roman"/>
                <w:sz w:val="24"/>
                <w:szCs w:val="24"/>
              </w:rPr>
              <w:t xml:space="preserve">One purpose of this rule is to interpret RCW 80.60 to clarify that a third-party owner may legally provide power to a host customer on whose property a net metering system is located.  The host customer may export power to the grid pursuant to a legal net metering arrangement.   The definition of third-party owner in the proposed rule, as modified </w:t>
            </w:r>
            <w:r>
              <w:rPr>
                <w:rFonts w:ascii="Times New Roman" w:hAnsi="Times New Roman" w:cs="Times New Roman"/>
                <w:sz w:val="24"/>
                <w:szCs w:val="24"/>
              </w:rPr>
              <w:t xml:space="preserve">by this Order, </w:t>
            </w:r>
            <w:r w:rsidRPr="00D328C8">
              <w:rPr>
                <w:rFonts w:ascii="Times New Roman" w:hAnsi="Times New Roman" w:cs="Times New Roman"/>
                <w:sz w:val="24"/>
                <w:szCs w:val="24"/>
              </w:rPr>
              <w:t xml:space="preserve">excludes a person that resells power produced by the net metering system to a person who is not the customer-generator.  </w:t>
            </w:r>
          </w:p>
        </w:tc>
      </w:tr>
      <w:tr w:rsidR="003A4056" w:rsidRPr="00A25312" w14:paraId="7D785044" w14:textId="77777777" w:rsidTr="00F05564">
        <w:trPr>
          <w:cantSplit/>
        </w:trPr>
        <w:tc>
          <w:tcPr>
            <w:tcW w:w="1368" w:type="dxa"/>
            <w:vMerge/>
          </w:tcPr>
          <w:p w14:paraId="7D78503C" w14:textId="77777777" w:rsidR="003A4056" w:rsidRPr="00A25312" w:rsidRDefault="003A4056" w:rsidP="00240F40">
            <w:pPr>
              <w:rPr>
                <w:rFonts w:ascii="Times New Roman" w:hAnsi="Times New Roman" w:cs="Times New Roman"/>
                <w:sz w:val="24"/>
                <w:szCs w:val="24"/>
              </w:rPr>
            </w:pPr>
          </w:p>
        </w:tc>
        <w:tc>
          <w:tcPr>
            <w:tcW w:w="2250" w:type="dxa"/>
          </w:tcPr>
          <w:p w14:paraId="7D78503D" w14:textId="77777777" w:rsidR="003A4056" w:rsidRPr="00A25312" w:rsidRDefault="003A4056" w:rsidP="00E7045E">
            <w:pPr>
              <w:rPr>
                <w:rFonts w:ascii="Times New Roman" w:hAnsi="Times New Roman" w:cs="Times New Roman"/>
                <w:sz w:val="24"/>
                <w:szCs w:val="24"/>
              </w:rPr>
            </w:pPr>
            <w:r w:rsidRPr="00A25312">
              <w:rPr>
                <w:rFonts w:ascii="Times New Roman" w:hAnsi="Times New Roman" w:cs="Times New Roman"/>
                <w:sz w:val="24"/>
                <w:szCs w:val="24"/>
              </w:rPr>
              <w:t>COU Parties</w:t>
            </w:r>
          </w:p>
        </w:tc>
        <w:tc>
          <w:tcPr>
            <w:tcW w:w="5040" w:type="dxa"/>
          </w:tcPr>
          <w:p w14:paraId="7D78503E" w14:textId="77777777" w:rsidR="003A4056" w:rsidRPr="00A25312" w:rsidRDefault="003A4056" w:rsidP="00E7045E">
            <w:pPr>
              <w:rPr>
                <w:rFonts w:ascii="Times New Roman" w:hAnsi="Times New Roman" w:cs="Times New Roman"/>
                <w:sz w:val="24"/>
                <w:szCs w:val="24"/>
              </w:rPr>
            </w:pPr>
            <w:r w:rsidRPr="00A25312">
              <w:rPr>
                <w:rFonts w:ascii="Times New Roman" w:hAnsi="Times New Roman" w:cs="Times New Roman"/>
                <w:sz w:val="24"/>
                <w:szCs w:val="24"/>
              </w:rPr>
              <w:t xml:space="preserve">The COU Parties request the Commission remove all references to third-party ownership, launch an investigation into the issue, and open a new docket for net metering rules.  Alternatively, the COU Parties request that this rulemaking include an investigation into the issue of third-party ownership.  </w:t>
            </w:r>
          </w:p>
          <w:p w14:paraId="7D78503F" w14:textId="77777777" w:rsidR="003A4056" w:rsidRPr="00A25312" w:rsidRDefault="003A4056" w:rsidP="00E7045E">
            <w:pPr>
              <w:rPr>
                <w:rFonts w:ascii="Times New Roman" w:hAnsi="Times New Roman" w:cs="Times New Roman"/>
                <w:sz w:val="24"/>
                <w:szCs w:val="24"/>
              </w:rPr>
            </w:pPr>
          </w:p>
          <w:p w14:paraId="7D785040" w14:textId="77777777" w:rsidR="003A4056" w:rsidRPr="00A25312" w:rsidRDefault="003A4056" w:rsidP="00E7045E">
            <w:pPr>
              <w:rPr>
                <w:rFonts w:ascii="Times New Roman" w:hAnsi="Times New Roman" w:cs="Times New Roman"/>
                <w:sz w:val="24"/>
                <w:szCs w:val="24"/>
              </w:rPr>
            </w:pPr>
            <w:r w:rsidRPr="00A25312">
              <w:rPr>
                <w:rFonts w:ascii="Times New Roman" w:hAnsi="Times New Roman" w:cs="Times New Roman"/>
                <w:sz w:val="24"/>
                <w:szCs w:val="24"/>
              </w:rPr>
              <w:t>The COU Parties request the Commission delay the rulemaking and launch an investigation into smart inverters.</w:t>
            </w:r>
          </w:p>
        </w:tc>
        <w:tc>
          <w:tcPr>
            <w:tcW w:w="5760" w:type="dxa"/>
          </w:tcPr>
          <w:p w14:paraId="7D785041" w14:textId="77777777" w:rsidR="003A4056" w:rsidRDefault="003A4056" w:rsidP="00E7045E">
            <w:pPr>
              <w:rPr>
                <w:rFonts w:ascii="Times New Roman" w:hAnsi="Times New Roman" w:cs="Times New Roman"/>
                <w:sz w:val="24"/>
                <w:szCs w:val="24"/>
              </w:rPr>
            </w:pPr>
            <w:r w:rsidRPr="00A25312">
              <w:rPr>
                <w:rFonts w:ascii="Times New Roman" w:hAnsi="Times New Roman" w:cs="Times New Roman"/>
                <w:sz w:val="24"/>
                <w:szCs w:val="24"/>
              </w:rPr>
              <w:t>The Commission is thoroughly familiar with the issue of the third-party ownership of net metering s</w:t>
            </w:r>
            <w:r w:rsidR="000045F4">
              <w:rPr>
                <w:rFonts w:ascii="Times New Roman" w:hAnsi="Times New Roman" w:cs="Times New Roman"/>
                <w:sz w:val="24"/>
                <w:szCs w:val="24"/>
              </w:rPr>
              <w:t xml:space="preserve">ystems.  </w:t>
            </w:r>
            <w:r w:rsidR="000045F4" w:rsidRPr="000045F4">
              <w:rPr>
                <w:rFonts w:ascii="Times New Roman" w:hAnsi="Times New Roman" w:cs="Times New Roman"/>
                <w:sz w:val="24"/>
                <w:szCs w:val="24"/>
              </w:rPr>
              <w:t xml:space="preserve">Beginning with our investigation of distributed generation in Docket UE-110667, the Commission has closely examined this question concerning third-party ownership.  Over the last two years, we received extensive comments on the issue in the distributed generation docket and this rulemaking docket.  A complete record on this question of third-party ownership, including multiple rounds of comments, is available in this docket.  </w:t>
            </w:r>
          </w:p>
          <w:p w14:paraId="7D785042" w14:textId="77777777" w:rsidR="000045F4" w:rsidRPr="00A25312" w:rsidRDefault="000045F4" w:rsidP="00E7045E">
            <w:pPr>
              <w:rPr>
                <w:rFonts w:ascii="Times New Roman" w:hAnsi="Times New Roman" w:cs="Times New Roman"/>
                <w:sz w:val="24"/>
                <w:szCs w:val="24"/>
              </w:rPr>
            </w:pPr>
          </w:p>
          <w:p w14:paraId="7D785043" w14:textId="77777777" w:rsidR="003A4056" w:rsidRPr="00A25312" w:rsidRDefault="000045F4" w:rsidP="00E7045E">
            <w:pPr>
              <w:rPr>
                <w:rFonts w:ascii="Times New Roman" w:hAnsi="Times New Roman" w:cs="Times New Roman"/>
                <w:sz w:val="24"/>
                <w:szCs w:val="24"/>
              </w:rPr>
            </w:pPr>
            <w:r>
              <w:rPr>
                <w:rFonts w:ascii="Times New Roman" w:hAnsi="Times New Roman" w:cs="Times New Roman"/>
                <w:sz w:val="24"/>
                <w:szCs w:val="24"/>
              </w:rPr>
              <w:t>T</w:t>
            </w:r>
            <w:r w:rsidR="003A4056" w:rsidRPr="00A25312">
              <w:rPr>
                <w:rFonts w:ascii="Times New Roman" w:hAnsi="Times New Roman" w:cs="Times New Roman"/>
                <w:sz w:val="24"/>
                <w:szCs w:val="24"/>
              </w:rPr>
              <w:t>he Commission does not wish to delay its rulemaking at this time.  The Commission may choose to open an investigation into smart inverters at a later date, as well as whether to modify the rules to address smart inverter issues.</w:t>
            </w:r>
          </w:p>
        </w:tc>
      </w:tr>
      <w:tr w:rsidR="003A4056" w:rsidRPr="00A25312" w14:paraId="7D785049" w14:textId="77777777" w:rsidTr="00F05564">
        <w:trPr>
          <w:cantSplit/>
        </w:trPr>
        <w:tc>
          <w:tcPr>
            <w:tcW w:w="1368" w:type="dxa"/>
            <w:vMerge/>
          </w:tcPr>
          <w:p w14:paraId="7D785045" w14:textId="77777777" w:rsidR="003A4056" w:rsidRPr="00A25312" w:rsidRDefault="003A4056" w:rsidP="00240F40">
            <w:pPr>
              <w:rPr>
                <w:rFonts w:ascii="Times New Roman" w:hAnsi="Times New Roman" w:cs="Times New Roman"/>
                <w:sz w:val="24"/>
                <w:szCs w:val="24"/>
              </w:rPr>
            </w:pPr>
          </w:p>
        </w:tc>
        <w:tc>
          <w:tcPr>
            <w:tcW w:w="2250" w:type="dxa"/>
          </w:tcPr>
          <w:p w14:paraId="7D785046" w14:textId="77777777" w:rsidR="003A4056" w:rsidRPr="00A25312" w:rsidRDefault="003A4056" w:rsidP="00E7045E">
            <w:pPr>
              <w:rPr>
                <w:rFonts w:ascii="Times New Roman" w:hAnsi="Times New Roman" w:cs="Times New Roman"/>
                <w:sz w:val="24"/>
                <w:szCs w:val="24"/>
              </w:rPr>
            </w:pPr>
            <w:r w:rsidRPr="00A25312">
              <w:rPr>
                <w:rFonts w:ascii="Times New Roman" w:hAnsi="Times New Roman" w:cs="Times New Roman"/>
                <w:sz w:val="24"/>
                <w:szCs w:val="24"/>
              </w:rPr>
              <w:t>Puget Sound Energy</w:t>
            </w:r>
            <w:r>
              <w:rPr>
                <w:rFonts w:ascii="Times New Roman" w:hAnsi="Times New Roman" w:cs="Times New Roman"/>
                <w:sz w:val="24"/>
                <w:szCs w:val="24"/>
              </w:rPr>
              <w:t xml:space="preserve"> </w:t>
            </w:r>
            <w:r w:rsidRPr="00A25312">
              <w:rPr>
                <w:rFonts w:ascii="Times New Roman" w:hAnsi="Times New Roman" w:cs="Times New Roman"/>
                <w:sz w:val="24"/>
                <w:szCs w:val="24"/>
              </w:rPr>
              <w:t>(PSE)</w:t>
            </w:r>
          </w:p>
        </w:tc>
        <w:tc>
          <w:tcPr>
            <w:tcW w:w="5040" w:type="dxa"/>
          </w:tcPr>
          <w:p w14:paraId="7D785047" w14:textId="77777777" w:rsidR="003A4056" w:rsidRPr="00A25312" w:rsidRDefault="003A4056" w:rsidP="00E7045E">
            <w:pPr>
              <w:rPr>
                <w:rFonts w:ascii="Times New Roman" w:hAnsi="Times New Roman" w:cs="Times New Roman"/>
                <w:sz w:val="24"/>
                <w:szCs w:val="24"/>
              </w:rPr>
            </w:pPr>
            <w:r w:rsidRPr="00A25312">
              <w:rPr>
                <w:rFonts w:ascii="Times New Roman" w:hAnsi="Times New Roman" w:cs="Times New Roman"/>
                <w:sz w:val="24"/>
                <w:szCs w:val="24"/>
              </w:rPr>
              <w:t>Add “or” in between subsection (1) and subsection (2) of the definition of interconnection customer.</w:t>
            </w:r>
          </w:p>
        </w:tc>
        <w:tc>
          <w:tcPr>
            <w:tcW w:w="5760" w:type="dxa"/>
          </w:tcPr>
          <w:p w14:paraId="7D785048" w14:textId="77777777" w:rsidR="003A4056" w:rsidRPr="00A25312" w:rsidRDefault="003A4056" w:rsidP="00AA0DB5">
            <w:pPr>
              <w:rPr>
                <w:rFonts w:ascii="Times New Roman" w:hAnsi="Times New Roman" w:cs="Times New Roman"/>
                <w:sz w:val="24"/>
                <w:szCs w:val="24"/>
              </w:rPr>
            </w:pPr>
            <w:r>
              <w:rPr>
                <w:rFonts w:ascii="Times New Roman" w:hAnsi="Times New Roman" w:cs="Times New Roman"/>
                <w:sz w:val="24"/>
                <w:szCs w:val="24"/>
              </w:rPr>
              <w:t>T</w:t>
            </w:r>
            <w:r w:rsidRPr="000C485C">
              <w:rPr>
                <w:rFonts w:ascii="Times New Roman" w:hAnsi="Times New Roman" w:cs="Times New Roman"/>
                <w:sz w:val="24"/>
                <w:szCs w:val="24"/>
              </w:rPr>
              <w:t xml:space="preserve">o </w:t>
            </w:r>
            <w:r>
              <w:rPr>
                <w:rFonts w:ascii="Times New Roman" w:hAnsi="Times New Roman" w:cs="Times New Roman"/>
                <w:sz w:val="24"/>
                <w:szCs w:val="24"/>
              </w:rPr>
              <w:t>add clarity</w:t>
            </w:r>
            <w:r w:rsidRPr="000C485C">
              <w:rPr>
                <w:rFonts w:ascii="Times New Roman" w:hAnsi="Times New Roman" w:cs="Times New Roman"/>
                <w:sz w:val="24"/>
                <w:szCs w:val="24"/>
              </w:rPr>
              <w:t xml:space="preserve">, </w:t>
            </w:r>
            <w:r>
              <w:rPr>
                <w:rFonts w:ascii="Times New Roman" w:hAnsi="Times New Roman" w:cs="Times New Roman"/>
                <w:sz w:val="24"/>
                <w:szCs w:val="24"/>
              </w:rPr>
              <w:t>this</w:t>
            </w:r>
            <w:r w:rsidRPr="000C485C">
              <w:rPr>
                <w:rFonts w:ascii="Times New Roman" w:hAnsi="Times New Roman" w:cs="Times New Roman"/>
                <w:sz w:val="24"/>
                <w:szCs w:val="24"/>
              </w:rPr>
              <w:t xml:space="preserve"> sentence </w:t>
            </w:r>
            <w:r>
              <w:rPr>
                <w:rFonts w:ascii="Times New Roman" w:hAnsi="Times New Roman" w:cs="Times New Roman"/>
                <w:sz w:val="24"/>
                <w:szCs w:val="24"/>
              </w:rPr>
              <w:t xml:space="preserve">is broken </w:t>
            </w:r>
            <w:r w:rsidRPr="000C485C">
              <w:rPr>
                <w:rFonts w:ascii="Times New Roman" w:hAnsi="Times New Roman" w:cs="Times New Roman"/>
                <w:sz w:val="24"/>
                <w:szCs w:val="24"/>
              </w:rPr>
              <w:t xml:space="preserve">into two and subsection </w:t>
            </w:r>
            <w:r>
              <w:rPr>
                <w:rFonts w:ascii="Times New Roman" w:hAnsi="Times New Roman" w:cs="Times New Roman"/>
                <w:sz w:val="24"/>
                <w:szCs w:val="24"/>
              </w:rPr>
              <w:t>(</w:t>
            </w:r>
            <w:r w:rsidR="00AA0DB5">
              <w:rPr>
                <w:rFonts w:ascii="Times New Roman" w:hAnsi="Times New Roman" w:cs="Times New Roman"/>
                <w:sz w:val="24"/>
                <w:szCs w:val="24"/>
              </w:rPr>
              <w:t>c</w:t>
            </w:r>
            <w:r>
              <w:rPr>
                <w:rFonts w:ascii="Times New Roman" w:hAnsi="Times New Roman" w:cs="Times New Roman"/>
                <w:sz w:val="24"/>
                <w:szCs w:val="24"/>
              </w:rPr>
              <w:t xml:space="preserve">) is modified </w:t>
            </w:r>
            <w:r w:rsidRPr="000C485C">
              <w:rPr>
                <w:rFonts w:ascii="Times New Roman" w:hAnsi="Times New Roman" w:cs="Times New Roman"/>
                <w:sz w:val="24"/>
                <w:szCs w:val="24"/>
              </w:rPr>
              <w:t>to be grammatically correct.  The list is separated by “or” in between (</w:t>
            </w:r>
            <w:r w:rsidR="00AA0DB5">
              <w:rPr>
                <w:rFonts w:ascii="Times New Roman" w:hAnsi="Times New Roman" w:cs="Times New Roman"/>
                <w:sz w:val="24"/>
                <w:szCs w:val="24"/>
              </w:rPr>
              <w:t>b</w:t>
            </w:r>
            <w:r w:rsidRPr="000C485C">
              <w:rPr>
                <w:rFonts w:ascii="Times New Roman" w:hAnsi="Times New Roman" w:cs="Times New Roman"/>
                <w:sz w:val="24"/>
                <w:szCs w:val="24"/>
              </w:rPr>
              <w:t>) and (</w:t>
            </w:r>
            <w:r w:rsidR="00AA0DB5">
              <w:rPr>
                <w:rFonts w:ascii="Times New Roman" w:hAnsi="Times New Roman" w:cs="Times New Roman"/>
                <w:sz w:val="24"/>
                <w:szCs w:val="24"/>
              </w:rPr>
              <w:t>c</w:t>
            </w:r>
            <w:r w:rsidRPr="000C485C">
              <w:rPr>
                <w:rFonts w:ascii="Times New Roman" w:hAnsi="Times New Roman" w:cs="Times New Roman"/>
                <w:sz w:val="24"/>
                <w:szCs w:val="24"/>
              </w:rPr>
              <w:t xml:space="preserve">), </w:t>
            </w:r>
            <w:r>
              <w:rPr>
                <w:rFonts w:ascii="Times New Roman" w:hAnsi="Times New Roman" w:cs="Times New Roman"/>
                <w:sz w:val="24"/>
                <w:szCs w:val="24"/>
              </w:rPr>
              <w:t xml:space="preserve">thus adding </w:t>
            </w:r>
            <w:r w:rsidRPr="000C485C">
              <w:rPr>
                <w:rFonts w:ascii="Times New Roman" w:hAnsi="Times New Roman" w:cs="Times New Roman"/>
                <w:sz w:val="24"/>
                <w:szCs w:val="24"/>
              </w:rPr>
              <w:t>another “or” in between (</w:t>
            </w:r>
            <w:r w:rsidR="00AA0DB5">
              <w:rPr>
                <w:rFonts w:ascii="Times New Roman" w:hAnsi="Times New Roman" w:cs="Times New Roman"/>
                <w:sz w:val="24"/>
                <w:szCs w:val="24"/>
              </w:rPr>
              <w:t>a</w:t>
            </w:r>
            <w:r w:rsidRPr="000C485C">
              <w:rPr>
                <w:rFonts w:ascii="Times New Roman" w:hAnsi="Times New Roman" w:cs="Times New Roman"/>
                <w:sz w:val="24"/>
                <w:szCs w:val="24"/>
              </w:rPr>
              <w:t>) and (</w:t>
            </w:r>
            <w:r w:rsidR="00AA0DB5">
              <w:rPr>
                <w:rFonts w:ascii="Times New Roman" w:hAnsi="Times New Roman" w:cs="Times New Roman"/>
                <w:sz w:val="24"/>
                <w:szCs w:val="24"/>
              </w:rPr>
              <w:t>b</w:t>
            </w:r>
            <w:r w:rsidRPr="000C485C">
              <w:rPr>
                <w:rFonts w:ascii="Times New Roman" w:hAnsi="Times New Roman" w:cs="Times New Roman"/>
                <w:sz w:val="24"/>
                <w:szCs w:val="24"/>
              </w:rPr>
              <w:t>)</w:t>
            </w:r>
            <w:r>
              <w:rPr>
                <w:rFonts w:ascii="Times New Roman" w:hAnsi="Times New Roman" w:cs="Times New Roman"/>
                <w:sz w:val="24"/>
                <w:szCs w:val="24"/>
              </w:rPr>
              <w:t xml:space="preserve"> is unnecessary</w:t>
            </w:r>
            <w:r w:rsidRPr="000C485C">
              <w:rPr>
                <w:rFonts w:ascii="Times New Roman" w:hAnsi="Times New Roman" w:cs="Times New Roman"/>
                <w:sz w:val="24"/>
                <w:szCs w:val="24"/>
              </w:rPr>
              <w:t>.</w:t>
            </w:r>
          </w:p>
        </w:tc>
      </w:tr>
    </w:tbl>
    <w:p w14:paraId="7D78504A" w14:textId="77777777" w:rsidR="00414ADB" w:rsidRPr="00A25312" w:rsidRDefault="00414ADB">
      <w:r w:rsidRPr="00A25312">
        <w:br w:type="page"/>
      </w:r>
    </w:p>
    <w:tbl>
      <w:tblPr>
        <w:tblStyle w:val="TableGrid"/>
        <w:tblW w:w="0" w:type="auto"/>
        <w:tblLayout w:type="fixed"/>
        <w:tblLook w:val="04A0" w:firstRow="1" w:lastRow="0" w:firstColumn="1" w:lastColumn="0" w:noHBand="0" w:noVBand="1"/>
      </w:tblPr>
      <w:tblGrid>
        <w:gridCol w:w="1368"/>
        <w:gridCol w:w="2250"/>
        <w:gridCol w:w="5040"/>
        <w:gridCol w:w="5760"/>
      </w:tblGrid>
      <w:tr w:rsidR="00A07905" w:rsidRPr="00A25312" w14:paraId="7D785054" w14:textId="77777777" w:rsidTr="00F05564">
        <w:trPr>
          <w:cantSplit/>
        </w:trPr>
        <w:tc>
          <w:tcPr>
            <w:tcW w:w="1368" w:type="dxa"/>
            <w:vMerge w:val="restart"/>
          </w:tcPr>
          <w:p w14:paraId="7D78504B" w14:textId="77777777" w:rsidR="00B62893" w:rsidRPr="00A25312" w:rsidRDefault="00B62893" w:rsidP="002B7A78">
            <w:pPr>
              <w:rPr>
                <w:rFonts w:ascii="Times New Roman" w:hAnsi="Times New Roman" w:cs="Times New Roman"/>
                <w:sz w:val="24"/>
                <w:szCs w:val="24"/>
              </w:rPr>
            </w:pPr>
            <w:r w:rsidRPr="00A25312">
              <w:rPr>
                <w:rFonts w:ascii="Times New Roman" w:hAnsi="Times New Roman" w:cs="Times New Roman"/>
                <w:sz w:val="24"/>
                <w:szCs w:val="24"/>
              </w:rPr>
              <w:t>020</w:t>
            </w:r>
          </w:p>
          <w:p w14:paraId="7D78504C" w14:textId="77777777" w:rsidR="00A07905" w:rsidRPr="00A25312" w:rsidRDefault="00A07905" w:rsidP="002B7A78">
            <w:pPr>
              <w:rPr>
                <w:rFonts w:ascii="Times New Roman" w:hAnsi="Times New Roman" w:cs="Times New Roman"/>
                <w:sz w:val="24"/>
                <w:szCs w:val="24"/>
              </w:rPr>
            </w:pPr>
            <w:r w:rsidRPr="00A25312">
              <w:rPr>
                <w:rFonts w:ascii="Times New Roman" w:hAnsi="Times New Roman" w:cs="Times New Roman"/>
                <w:sz w:val="24"/>
                <w:szCs w:val="24"/>
              </w:rPr>
              <w:t>(2)(a)(iv)</w:t>
            </w:r>
          </w:p>
          <w:p w14:paraId="7D78504D" w14:textId="77777777" w:rsidR="00A07905" w:rsidRPr="00A25312" w:rsidRDefault="00A07905" w:rsidP="002B7A78">
            <w:pPr>
              <w:rPr>
                <w:rFonts w:ascii="Times New Roman" w:hAnsi="Times New Roman" w:cs="Times New Roman"/>
                <w:sz w:val="24"/>
                <w:szCs w:val="24"/>
              </w:rPr>
            </w:pPr>
          </w:p>
          <w:p w14:paraId="7D78504E" w14:textId="77777777" w:rsidR="00A07905" w:rsidRPr="00A25312" w:rsidRDefault="00A07905" w:rsidP="002B7A78">
            <w:pPr>
              <w:rPr>
                <w:rFonts w:ascii="Times New Roman" w:hAnsi="Times New Roman" w:cs="Times New Roman"/>
                <w:sz w:val="24"/>
                <w:szCs w:val="24"/>
              </w:rPr>
            </w:pPr>
            <w:r w:rsidRPr="00A25312">
              <w:rPr>
                <w:rFonts w:ascii="Times New Roman" w:hAnsi="Times New Roman" w:cs="Times New Roman"/>
                <w:sz w:val="24"/>
                <w:szCs w:val="24"/>
              </w:rPr>
              <w:t>Disconnect Switch</w:t>
            </w:r>
          </w:p>
        </w:tc>
        <w:tc>
          <w:tcPr>
            <w:tcW w:w="2250" w:type="dxa"/>
          </w:tcPr>
          <w:p w14:paraId="7D78504F" w14:textId="77777777" w:rsidR="00A07905" w:rsidRPr="00A25312" w:rsidRDefault="00A07905" w:rsidP="00847F94">
            <w:pPr>
              <w:rPr>
                <w:rFonts w:ascii="Times New Roman" w:hAnsi="Times New Roman" w:cs="Times New Roman"/>
                <w:sz w:val="24"/>
                <w:szCs w:val="24"/>
              </w:rPr>
            </w:pPr>
            <w:r w:rsidRPr="00A25312">
              <w:rPr>
                <w:rFonts w:ascii="Times New Roman" w:hAnsi="Times New Roman" w:cs="Times New Roman"/>
                <w:sz w:val="24"/>
                <w:szCs w:val="24"/>
              </w:rPr>
              <w:t>Avista</w:t>
            </w:r>
            <w:r w:rsidR="00414ADB" w:rsidRPr="00A25312">
              <w:rPr>
                <w:rFonts w:ascii="Times New Roman" w:hAnsi="Times New Roman" w:cs="Times New Roman"/>
                <w:sz w:val="24"/>
                <w:szCs w:val="24"/>
              </w:rPr>
              <w:t>, COU Parties</w:t>
            </w:r>
          </w:p>
        </w:tc>
        <w:tc>
          <w:tcPr>
            <w:tcW w:w="5040" w:type="dxa"/>
          </w:tcPr>
          <w:p w14:paraId="7D785050" w14:textId="77777777" w:rsidR="00A07905" w:rsidRPr="00A25312" w:rsidRDefault="00B34481" w:rsidP="002D2FD8">
            <w:pPr>
              <w:rPr>
                <w:rFonts w:ascii="Times New Roman" w:hAnsi="Times New Roman" w:cs="Times New Roman"/>
                <w:sz w:val="24"/>
                <w:szCs w:val="24"/>
              </w:rPr>
            </w:pPr>
            <w:r w:rsidRPr="00A25312">
              <w:rPr>
                <w:rFonts w:ascii="Times New Roman" w:hAnsi="Times New Roman" w:cs="Times New Roman"/>
                <w:sz w:val="24"/>
                <w:szCs w:val="24"/>
              </w:rPr>
              <w:t>A</w:t>
            </w:r>
            <w:r w:rsidR="00A07905" w:rsidRPr="00A25312">
              <w:rPr>
                <w:rFonts w:ascii="Times New Roman" w:hAnsi="Times New Roman" w:cs="Times New Roman"/>
                <w:sz w:val="24"/>
                <w:szCs w:val="24"/>
              </w:rPr>
              <w:t xml:space="preserve"> disconnect switch should be required unless the utility agrees that a switch is not required.  </w:t>
            </w:r>
          </w:p>
        </w:tc>
        <w:tc>
          <w:tcPr>
            <w:tcW w:w="5760" w:type="dxa"/>
            <w:vMerge w:val="restart"/>
          </w:tcPr>
          <w:p w14:paraId="7D785051" w14:textId="77777777" w:rsidR="00A25312" w:rsidRPr="00A25312" w:rsidRDefault="00A25312" w:rsidP="00F936EE">
            <w:pPr>
              <w:rPr>
                <w:rFonts w:ascii="Times New Roman" w:hAnsi="Times New Roman" w:cs="Times New Roman"/>
                <w:sz w:val="24"/>
                <w:szCs w:val="24"/>
              </w:rPr>
            </w:pPr>
            <w:r w:rsidRPr="00A25312">
              <w:rPr>
                <w:rFonts w:ascii="Times New Roman" w:hAnsi="Times New Roman" w:cs="Times New Roman"/>
                <w:sz w:val="24"/>
                <w:szCs w:val="24"/>
              </w:rPr>
              <w:t xml:space="preserve">The Commission intends these rules to promote the adoption of distributed generation and reduce the cost of interconnecting distributed generation facilities.  Accordingly, the proposed rule prohibits electrical companies from requiring a visible, lockable AC disconnect switch in Tier 1 </w:t>
            </w:r>
            <w:r w:rsidR="00106BBC">
              <w:rPr>
                <w:rFonts w:ascii="Times New Roman" w:hAnsi="Times New Roman" w:cs="Times New Roman"/>
                <w:sz w:val="24"/>
                <w:szCs w:val="24"/>
              </w:rPr>
              <w:t xml:space="preserve">systems </w:t>
            </w:r>
            <w:r w:rsidRPr="00A25312">
              <w:rPr>
                <w:rFonts w:ascii="Times New Roman" w:hAnsi="Times New Roman" w:cs="Times New Roman"/>
                <w:sz w:val="24"/>
                <w:szCs w:val="24"/>
              </w:rPr>
              <w:t xml:space="preserve">(inverter-based systems up to 25 kW), unless the Washington State Department of Labor and Industries (L&amp;I) requires a switch.  The record in this docket, including the use of inverters in other states, does not persuade the Commission that worker safety requires a redundant disconnect switch on the small inverter-based systems in Tier 1.  Through this rule, the Commission defers this decision to </w:t>
            </w:r>
            <w:proofErr w:type="gramStart"/>
            <w:r w:rsidRPr="00A25312">
              <w:rPr>
                <w:rFonts w:ascii="Times New Roman" w:hAnsi="Times New Roman" w:cs="Times New Roman"/>
                <w:sz w:val="24"/>
                <w:szCs w:val="24"/>
              </w:rPr>
              <w:t>L&amp;I</w:t>
            </w:r>
            <w:proofErr w:type="gramEnd"/>
            <w:r w:rsidRPr="00A25312">
              <w:rPr>
                <w:rFonts w:ascii="Times New Roman" w:hAnsi="Times New Roman" w:cs="Times New Roman"/>
                <w:sz w:val="24"/>
                <w:szCs w:val="24"/>
              </w:rPr>
              <w:t xml:space="preserve">, an agency dedicated to the safety, health and security of workers that is well positioned to make this determination. </w:t>
            </w:r>
          </w:p>
          <w:p w14:paraId="7D785052" w14:textId="77777777" w:rsidR="00A25312" w:rsidRPr="00A25312" w:rsidRDefault="00A25312" w:rsidP="00F936EE">
            <w:pPr>
              <w:rPr>
                <w:rFonts w:ascii="Times New Roman" w:hAnsi="Times New Roman" w:cs="Times New Roman"/>
                <w:sz w:val="24"/>
                <w:szCs w:val="24"/>
              </w:rPr>
            </w:pPr>
          </w:p>
          <w:p w14:paraId="7D785053" w14:textId="77777777" w:rsidR="00FA2753" w:rsidRPr="00A25312" w:rsidRDefault="00A25312" w:rsidP="00F936EE">
            <w:pPr>
              <w:rPr>
                <w:rFonts w:ascii="Times New Roman" w:hAnsi="Times New Roman" w:cs="Times New Roman"/>
                <w:sz w:val="24"/>
                <w:szCs w:val="24"/>
              </w:rPr>
            </w:pPr>
            <w:r w:rsidRPr="00A25312">
              <w:rPr>
                <w:rFonts w:ascii="Times New Roman" w:hAnsi="Times New Roman" w:cs="Times New Roman"/>
                <w:sz w:val="24"/>
                <w:szCs w:val="24"/>
              </w:rPr>
              <w:t>The Commission removed any reference to a Tier 2 disconnect switch in the April 17, 2013, proposed rules.  The provision in WAC 480-108-BBB(2)(b)(ix) from the February 5, 2013, draft will be restored in the proposed rules, but modified to not require a specific placement of the switch.  A utility may specify the placement of the switch in its tariff.</w:t>
            </w:r>
          </w:p>
        </w:tc>
      </w:tr>
      <w:tr w:rsidR="00A07905" w:rsidRPr="00A25312" w14:paraId="7D785059" w14:textId="77777777" w:rsidTr="00F05564">
        <w:trPr>
          <w:cantSplit/>
        </w:trPr>
        <w:tc>
          <w:tcPr>
            <w:tcW w:w="1368" w:type="dxa"/>
            <w:vMerge/>
          </w:tcPr>
          <w:p w14:paraId="7D785055" w14:textId="77777777" w:rsidR="00A07905" w:rsidRPr="00A25312" w:rsidRDefault="00A07905" w:rsidP="002B7A78">
            <w:pPr>
              <w:rPr>
                <w:rFonts w:ascii="Times New Roman" w:hAnsi="Times New Roman" w:cs="Times New Roman"/>
                <w:sz w:val="24"/>
                <w:szCs w:val="24"/>
              </w:rPr>
            </w:pPr>
          </w:p>
        </w:tc>
        <w:tc>
          <w:tcPr>
            <w:tcW w:w="2250" w:type="dxa"/>
          </w:tcPr>
          <w:p w14:paraId="7D785056" w14:textId="77777777" w:rsidR="00A07905" w:rsidRPr="00A25312" w:rsidRDefault="00A07905" w:rsidP="002B5907">
            <w:pPr>
              <w:rPr>
                <w:rFonts w:ascii="Times New Roman" w:hAnsi="Times New Roman" w:cs="Times New Roman"/>
                <w:sz w:val="24"/>
                <w:szCs w:val="24"/>
              </w:rPr>
            </w:pPr>
            <w:r w:rsidRPr="00A25312">
              <w:rPr>
                <w:rFonts w:ascii="Times New Roman" w:hAnsi="Times New Roman" w:cs="Times New Roman"/>
                <w:sz w:val="24"/>
                <w:szCs w:val="24"/>
              </w:rPr>
              <w:t>Cascade Power Group</w:t>
            </w:r>
          </w:p>
        </w:tc>
        <w:tc>
          <w:tcPr>
            <w:tcW w:w="5040" w:type="dxa"/>
          </w:tcPr>
          <w:p w14:paraId="7D785057" w14:textId="77777777" w:rsidR="00A07905" w:rsidRPr="00A25312" w:rsidRDefault="00A07905" w:rsidP="002B5907">
            <w:pPr>
              <w:rPr>
                <w:rFonts w:ascii="Times New Roman" w:hAnsi="Times New Roman" w:cs="Times New Roman"/>
                <w:sz w:val="24"/>
                <w:szCs w:val="24"/>
              </w:rPr>
            </w:pPr>
            <w:r w:rsidRPr="00A25312">
              <w:rPr>
                <w:rFonts w:ascii="Times New Roman" w:hAnsi="Times New Roman" w:cs="Times New Roman"/>
                <w:sz w:val="24"/>
                <w:szCs w:val="24"/>
              </w:rPr>
              <w:t>The disconnect switch requirement is an appropriate issue for the Department of Labor and Industries.</w:t>
            </w:r>
          </w:p>
        </w:tc>
        <w:tc>
          <w:tcPr>
            <w:tcW w:w="5760" w:type="dxa"/>
            <w:vMerge/>
          </w:tcPr>
          <w:p w14:paraId="7D785058" w14:textId="77777777" w:rsidR="00A07905" w:rsidRPr="00A25312" w:rsidRDefault="00A07905" w:rsidP="002C4CEA">
            <w:pPr>
              <w:rPr>
                <w:rFonts w:ascii="Times New Roman" w:hAnsi="Times New Roman" w:cs="Times New Roman"/>
                <w:sz w:val="24"/>
                <w:szCs w:val="24"/>
              </w:rPr>
            </w:pPr>
          </w:p>
        </w:tc>
      </w:tr>
      <w:tr w:rsidR="00A07905" w:rsidRPr="00A25312" w14:paraId="7D78505E" w14:textId="77777777" w:rsidTr="00F05564">
        <w:trPr>
          <w:cantSplit/>
        </w:trPr>
        <w:tc>
          <w:tcPr>
            <w:tcW w:w="1368" w:type="dxa"/>
            <w:vMerge/>
          </w:tcPr>
          <w:p w14:paraId="7D78505A" w14:textId="77777777" w:rsidR="00A07905" w:rsidRPr="00A25312" w:rsidRDefault="00A07905" w:rsidP="002B7A78">
            <w:pPr>
              <w:rPr>
                <w:rFonts w:ascii="Times New Roman" w:hAnsi="Times New Roman" w:cs="Times New Roman"/>
                <w:sz w:val="24"/>
                <w:szCs w:val="24"/>
              </w:rPr>
            </w:pPr>
          </w:p>
        </w:tc>
        <w:tc>
          <w:tcPr>
            <w:tcW w:w="2250" w:type="dxa"/>
          </w:tcPr>
          <w:p w14:paraId="7D78505B" w14:textId="77777777" w:rsidR="00A07905" w:rsidRPr="00A25312" w:rsidRDefault="00A07905" w:rsidP="002B5907">
            <w:pPr>
              <w:rPr>
                <w:rFonts w:ascii="Times New Roman" w:hAnsi="Times New Roman" w:cs="Times New Roman"/>
                <w:sz w:val="24"/>
                <w:szCs w:val="24"/>
              </w:rPr>
            </w:pPr>
            <w:r w:rsidRPr="00A25312">
              <w:rPr>
                <w:rFonts w:ascii="Times New Roman" w:hAnsi="Times New Roman" w:cs="Times New Roman"/>
                <w:sz w:val="24"/>
                <w:szCs w:val="24"/>
              </w:rPr>
              <w:t>NW SEED</w:t>
            </w:r>
          </w:p>
        </w:tc>
        <w:tc>
          <w:tcPr>
            <w:tcW w:w="5040" w:type="dxa"/>
          </w:tcPr>
          <w:p w14:paraId="7D78505C" w14:textId="77777777" w:rsidR="00A07905" w:rsidRPr="00A25312" w:rsidRDefault="00A07905" w:rsidP="002B5907">
            <w:pPr>
              <w:rPr>
                <w:rFonts w:ascii="Times New Roman" w:hAnsi="Times New Roman" w:cs="Times New Roman"/>
                <w:sz w:val="24"/>
                <w:szCs w:val="24"/>
              </w:rPr>
            </w:pPr>
            <w:r w:rsidRPr="00A25312">
              <w:rPr>
                <w:rFonts w:ascii="Times New Roman" w:hAnsi="Times New Roman" w:cs="Times New Roman"/>
                <w:sz w:val="24"/>
                <w:szCs w:val="24"/>
              </w:rPr>
              <w:t>Requiring a disconnect switch is obsolete and unnecessary.</w:t>
            </w:r>
          </w:p>
        </w:tc>
        <w:tc>
          <w:tcPr>
            <w:tcW w:w="5760" w:type="dxa"/>
            <w:vMerge/>
          </w:tcPr>
          <w:p w14:paraId="7D78505D" w14:textId="77777777" w:rsidR="00A07905" w:rsidRPr="00A25312" w:rsidRDefault="00A07905" w:rsidP="002C4CEA">
            <w:pPr>
              <w:rPr>
                <w:rFonts w:ascii="Times New Roman" w:hAnsi="Times New Roman" w:cs="Times New Roman"/>
                <w:sz w:val="24"/>
                <w:szCs w:val="24"/>
              </w:rPr>
            </w:pPr>
          </w:p>
        </w:tc>
      </w:tr>
      <w:tr w:rsidR="00A07905" w:rsidRPr="00A25312" w14:paraId="7D785063" w14:textId="77777777" w:rsidTr="00F05564">
        <w:trPr>
          <w:cantSplit/>
          <w:trHeight w:val="828"/>
        </w:trPr>
        <w:tc>
          <w:tcPr>
            <w:tcW w:w="1368" w:type="dxa"/>
            <w:vMerge/>
            <w:tcBorders>
              <w:bottom w:val="single" w:sz="4" w:space="0" w:color="auto"/>
            </w:tcBorders>
          </w:tcPr>
          <w:p w14:paraId="7D78505F" w14:textId="77777777" w:rsidR="00A07905" w:rsidRPr="00A25312" w:rsidRDefault="00A07905" w:rsidP="00847F94">
            <w:pPr>
              <w:rPr>
                <w:rFonts w:ascii="Times New Roman" w:hAnsi="Times New Roman" w:cs="Times New Roman"/>
                <w:sz w:val="24"/>
                <w:szCs w:val="24"/>
              </w:rPr>
            </w:pPr>
          </w:p>
        </w:tc>
        <w:tc>
          <w:tcPr>
            <w:tcW w:w="2250" w:type="dxa"/>
            <w:tcBorders>
              <w:bottom w:val="single" w:sz="4" w:space="0" w:color="auto"/>
            </w:tcBorders>
          </w:tcPr>
          <w:p w14:paraId="7D785060" w14:textId="77777777" w:rsidR="00A07905" w:rsidRPr="00A25312" w:rsidRDefault="00A07905" w:rsidP="002B5907">
            <w:pPr>
              <w:rPr>
                <w:rFonts w:ascii="Times New Roman" w:hAnsi="Times New Roman" w:cs="Times New Roman"/>
                <w:sz w:val="24"/>
                <w:szCs w:val="24"/>
              </w:rPr>
            </w:pPr>
            <w:r w:rsidRPr="00A25312">
              <w:rPr>
                <w:rFonts w:ascii="Times New Roman" w:hAnsi="Times New Roman" w:cs="Times New Roman"/>
                <w:sz w:val="24"/>
                <w:szCs w:val="24"/>
              </w:rPr>
              <w:t>Puget Sound Energy</w:t>
            </w:r>
          </w:p>
        </w:tc>
        <w:tc>
          <w:tcPr>
            <w:tcW w:w="5040" w:type="dxa"/>
            <w:tcBorders>
              <w:bottom w:val="single" w:sz="4" w:space="0" w:color="auto"/>
            </w:tcBorders>
          </w:tcPr>
          <w:p w14:paraId="7D785061" w14:textId="77777777" w:rsidR="00A07905" w:rsidRPr="00A25312" w:rsidRDefault="00A07905" w:rsidP="002B5907">
            <w:pPr>
              <w:rPr>
                <w:rFonts w:ascii="Times New Roman" w:hAnsi="Times New Roman" w:cs="Times New Roman"/>
                <w:sz w:val="24"/>
                <w:szCs w:val="24"/>
              </w:rPr>
            </w:pPr>
            <w:r w:rsidRPr="00A25312">
              <w:rPr>
                <w:rFonts w:ascii="Times New Roman" w:hAnsi="Times New Roman" w:cs="Times New Roman"/>
                <w:sz w:val="24"/>
                <w:szCs w:val="24"/>
              </w:rPr>
              <w:t>PSE “is not opposed to eliminating the requirement for a disconnect switch.”  The elimination of the disconnect switch requirement “will likely impact PSE’s service restoration guarantee and its Service Quality Indices.” PSE will address the impact of not installing a disconnect switch in its tariff.</w:t>
            </w:r>
          </w:p>
        </w:tc>
        <w:tc>
          <w:tcPr>
            <w:tcW w:w="5760" w:type="dxa"/>
            <w:vMerge/>
            <w:tcBorders>
              <w:bottom w:val="single" w:sz="4" w:space="0" w:color="auto"/>
            </w:tcBorders>
          </w:tcPr>
          <w:p w14:paraId="7D785062" w14:textId="77777777" w:rsidR="00A07905" w:rsidRPr="00A25312" w:rsidRDefault="00A07905" w:rsidP="002C4CEA">
            <w:pPr>
              <w:rPr>
                <w:rFonts w:ascii="Times New Roman" w:hAnsi="Times New Roman" w:cs="Times New Roman"/>
                <w:sz w:val="24"/>
                <w:szCs w:val="24"/>
              </w:rPr>
            </w:pPr>
          </w:p>
        </w:tc>
      </w:tr>
      <w:tr w:rsidR="00A07905" w:rsidRPr="00A25312" w14:paraId="7D78506A" w14:textId="77777777" w:rsidTr="00F05564">
        <w:trPr>
          <w:cantSplit/>
        </w:trPr>
        <w:tc>
          <w:tcPr>
            <w:tcW w:w="1368" w:type="dxa"/>
          </w:tcPr>
          <w:p w14:paraId="7D785064" w14:textId="77777777" w:rsidR="00A32ECB" w:rsidRPr="00A25312" w:rsidRDefault="00A32ECB" w:rsidP="00847F94">
            <w:pPr>
              <w:rPr>
                <w:rFonts w:ascii="Times New Roman" w:hAnsi="Times New Roman" w:cs="Times New Roman"/>
                <w:sz w:val="24"/>
                <w:szCs w:val="24"/>
              </w:rPr>
            </w:pPr>
            <w:r w:rsidRPr="00A25312">
              <w:rPr>
                <w:rFonts w:ascii="Times New Roman" w:hAnsi="Times New Roman" w:cs="Times New Roman"/>
                <w:sz w:val="24"/>
                <w:szCs w:val="24"/>
              </w:rPr>
              <w:t>030(1)(b)</w:t>
            </w:r>
          </w:p>
          <w:p w14:paraId="7D785065" w14:textId="77777777" w:rsidR="00B62893" w:rsidRPr="00A25312" w:rsidRDefault="00B62893" w:rsidP="00847F94">
            <w:pPr>
              <w:rPr>
                <w:rFonts w:ascii="Times New Roman" w:hAnsi="Times New Roman" w:cs="Times New Roman"/>
                <w:sz w:val="24"/>
                <w:szCs w:val="24"/>
              </w:rPr>
            </w:pPr>
          </w:p>
          <w:p w14:paraId="7D785066" w14:textId="77777777" w:rsidR="00A32ECB" w:rsidRPr="00A25312" w:rsidRDefault="00A07905" w:rsidP="00847F94">
            <w:pPr>
              <w:rPr>
                <w:rFonts w:ascii="Times New Roman" w:hAnsi="Times New Roman" w:cs="Times New Roman"/>
                <w:sz w:val="24"/>
                <w:szCs w:val="24"/>
              </w:rPr>
            </w:pPr>
            <w:r w:rsidRPr="00A25312">
              <w:rPr>
                <w:rFonts w:ascii="Times New Roman" w:hAnsi="Times New Roman" w:cs="Times New Roman"/>
                <w:sz w:val="24"/>
                <w:szCs w:val="24"/>
              </w:rPr>
              <w:t>Voltage</w:t>
            </w:r>
          </w:p>
        </w:tc>
        <w:tc>
          <w:tcPr>
            <w:tcW w:w="2250" w:type="dxa"/>
          </w:tcPr>
          <w:p w14:paraId="7D785067" w14:textId="77777777" w:rsidR="00A07905" w:rsidRPr="00A25312" w:rsidRDefault="00A07905" w:rsidP="00847F94">
            <w:pPr>
              <w:rPr>
                <w:rFonts w:ascii="Times New Roman" w:hAnsi="Times New Roman" w:cs="Times New Roman"/>
                <w:sz w:val="24"/>
                <w:szCs w:val="24"/>
              </w:rPr>
            </w:pPr>
            <w:r w:rsidRPr="00A25312">
              <w:rPr>
                <w:rFonts w:ascii="Times New Roman" w:hAnsi="Times New Roman" w:cs="Times New Roman"/>
                <w:sz w:val="24"/>
                <w:szCs w:val="24"/>
              </w:rPr>
              <w:t>Cascade Power Group</w:t>
            </w:r>
          </w:p>
        </w:tc>
        <w:tc>
          <w:tcPr>
            <w:tcW w:w="5040" w:type="dxa"/>
          </w:tcPr>
          <w:p w14:paraId="7D785068" w14:textId="77777777" w:rsidR="00A07905" w:rsidRPr="00A25312" w:rsidRDefault="00A07905" w:rsidP="0012130D">
            <w:pPr>
              <w:rPr>
                <w:rFonts w:ascii="Times New Roman" w:hAnsi="Times New Roman" w:cs="Times New Roman"/>
                <w:sz w:val="24"/>
                <w:szCs w:val="24"/>
              </w:rPr>
            </w:pPr>
            <w:r w:rsidRPr="00A25312">
              <w:rPr>
                <w:rFonts w:ascii="Times New Roman" w:hAnsi="Times New Roman" w:cs="Times New Roman"/>
                <w:sz w:val="24"/>
                <w:szCs w:val="24"/>
              </w:rPr>
              <w:t>Allow a generator to operate at higher voltages, or prevent the utility from operating in conditions that limit the probability of the generator to export power.</w:t>
            </w:r>
          </w:p>
        </w:tc>
        <w:tc>
          <w:tcPr>
            <w:tcW w:w="5760" w:type="dxa"/>
          </w:tcPr>
          <w:p w14:paraId="7D785069" w14:textId="77777777" w:rsidR="00A07905" w:rsidRPr="00A25312" w:rsidRDefault="00D6350A" w:rsidP="0006314B">
            <w:pPr>
              <w:rPr>
                <w:rFonts w:ascii="Times New Roman" w:hAnsi="Times New Roman" w:cs="Times New Roman"/>
                <w:sz w:val="24"/>
                <w:szCs w:val="24"/>
              </w:rPr>
            </w:pPr>
            <w:r w:rsidRPr="00A25312">
              <w:rPr>
                <w:rFonts w:ascii="Times New Roman" w:hAnsi="Times New Roman" w:cs="Times New Roman"/>
                <w:sz w:val="24"/>
                <w:szCs w:val="24"/>
              </w:rPr>
              <w:t xml:space="preserve">After careful consideration of the concerns raised in comments filed on March 5, 2013, the Commission revised the voltage requirement to include a </w:t>
            </w:r>
            <w:r w:rsidR="00491563" w:rsidRPr="00A25312">
              <w:rPr>
                <w:rFonts w:ascii="Times New Roman" w:hAnsi="Times New Roman" w:cs="Times New Roman"/>
                <w:sz w:val="24"/>
                <w:szCs w:val="24"/>
              </w:rPr>
              <w:t>standard</w:t>
            </w:r>
            <w:r w:rsidRPr="00A25312">
              <w:rPr>
                <w:rFonts w:ascii="Times New Roman" w:hAnsi="Times New Roman" w:cs="Times New Roman"/>
                <w:sz w:val="24"/>
                <w:szCs w:val="24"/>
              </w:rPr>
              <w:t xml:space="preserve"> notification</w:t>
            </w:r>
            <w:r w:rsidR="00491563" w:rsidRPr="00A25312">
              <w:rPr>
                <w:rFonts w:ascii="Times New Roman" w:hAnsi="Times New Roman" w:cs="Times New Roman"/>
                <w:sz w:val="24"/>
                <w:szCs w:val="24"/>
              </w:rPr>
              <w:t xml:space="preserve"> to interconnection customers</w:t>
            </w:r>
            <w:r w:rsidRPr="00A25312">
              <w:rPr>
                <w:rFonts w:ascii="Times New Roman" w:hAnsi="Times New Roman" w:cs="Times New Roman"/>
                <w:sz w:val="24"/>
                <w:szCs w:val="24"/>
              </w:rPr>
              <w:t xml:space="preserve">.  The Commission </w:t>
            </w:r>
            <w:r w:rsidR="00FD6F70" w:rsidRPr="00A25312">
              <w:rPr>
                <w:rFonts w:ascii="Times New Roman" w:hAnsi="Times New Roman" w:cs="Times New Roman"/>
                <w:sz w:val="24"/>
                <w:szCs w:val="24"/>
              </w:rPr>
              <w:t>encourages</w:t>
            </w:r>
            <w:r w:rsidRPr="00A25312">
              <w:rPr>
                <w:rFonts w:ascii="Times New Roman" w:hAnsi="Times New Roman" w:cs="Times New Roman"/>
                <w:sz w:val="24"/>
                <w:szCs w:val="24"/>
              </w:rPr>
              <w:t xml:space="preserve"> interconnection customer</w:t>
            </w:r>
            <w:r w:rsidR="00FD6F70" w:rsidRPr="00A25312">
              <w:rPr>
                <w:rFonts w:ascii="Times New Roman" w:hAnsi="Times New Roman" w:cs="Times New Roman"/>
                <w:sz w:val="24"/>
                <w:szCs w:val="24"/>
              </w:rPr>
              <w:t>s</w:t>
            </w:r>
            <w:r w:rsidRPr="00A25312">
              <w:rPr>
                <w:rFonts w:ascii="Times New Roman" w:hAnsi="Times New Roman" w:cs="Times New Roman"/>
                <w:sz w:val="24"/>
                <w:szCs w:val="24"/>
              </w:rPr>
              <w:t xml:space="preserve"> that experience high voltage or voltage irregularities to work with </w:t>
            </w:r>
            <w:r w:rsidR="00D37865" w:rsidRPr="00A25312">
              <w:rPr>
                <w:rFonts w:ascii="Times New Roman" w:hAnsi="Times New Roman" w:cs="Times New Roman"/>
                <w:sz w:val="24"/>
                <w:szCs w:val="24"/>
              </w:rPr>
              <w:t>their electrical company</w:t>
            </w:r>
            <w:r w:rsidRPr="00A25312">
              <w:rPr>
                <w:rFonts w:ascii="Times New Roman" w:hAnsi="Times New Roman" w:cs="Times New Roman"/>
                <w:sz w:val="24"/>
                <w:szCs w:val="24"/>
              </w:rPr>
              <w:t xml:space="preserve"> to resolve the problem.  If </w:t>
            </w:r>
            <w:r w:rsidR="000171F9" w:rsidRPr="00A25312">
              <w:rPr>
                <w:rFonts w:ascii="Times New Roman" w:hAnsi="Times New Roman" w:cs="Times New Roman"/>
                <w:sz w:val="24"/>
                <w:szCs w:val="24"/>
              </w:rPr>
              <w:t xml:space="preserve">an electrical company </w:t>
            </w:r>
            <w:r w:rsidR="00FD6F70" w:rsidRPr="00A25312">
              <w:rPr>
                <w:rFonts w:ascii="Times New Roman" w:hAnsi="Times New Roman" w:cs="Times New Roman"/>
                <w:sz w:val="24"/>
                <w:szCs w:val="24"/>
              </w:rPr>
              <w:t xml:space="preserve">and </w:t>
            </w:r>
            <w:r w:rsidRPr="00A25312">
              <w:rPr>
                <w:rFonts w:ascii="Times New Roman" w:hAnsi="Times New Roman" w:cs="Times New Roman"/>
                <w:sz w:val="24"/>
                <w:szCs w:val="24"/>
              </w:rPr>
              <w:t xml:space="preserve">interconnection customer </w:t>
            </w:r>
            <w:r w:rsidR="00FD6F70" w:rsidRPr="00A25312">
              <w:rPr>
                <w:rFonts w:ascii="Times New Roman" w:hAnsi="Times New Roman" w:cs="Times New Roman"/>
                <w:sz w:val="24"/>
                <w:szCs w:val="24"/>
              </w:rPr>
              <w:t xml:space="preserve">are </w:t>
            </w:r>
            <w:r w:rsidRPr="00A25312">
              <w:rPr>
                <w:rFonts w:ascii="Times New Roman" w:hAnsi="Times New Roman" w:cs="Times New Roman"/>
                <w:sz w:val="24"/>
                <w:szCs w:val="24"/>
              </w:rPr>
              <w:t>unable to resolve a voltage issue, the customer should contact the Commission for assistance.</w:t>
            </w:r>
          </w:p>
        </w:tc>
      </w:tr>
    </w:tbl>
    <w:p w14:paraId="7D78506B" w14:textId="77777777" w:rsidR="001C23E1" w:rsidRDefault="001C23E1">
      <w:r>
        <w:br w:type="page"/>
      </w:r>
    </w:p>
    <w:tbl>
      <w:tblPr>
        <w:tblStyle w:val="TableGrid"/>
        <w:tblW w:w="0" w:type="auto"/>
        <w:tblLayout w:type="fixed"/>
        <w:tblLook w:val="04A0" w:firstRow="1" w:lastRow="0" w:firstColumn="1" w:lastColumn="0" w:noHBand="0" w:noVBand="1"/>
      </w:tblPr>
      <w:tblGrid>
        <w:gridCol w:w="1368"/>
        <w:gridCol w:w="2250"/>
        <w:gridCol w:w="5040"/>
        <w:gridCol w:w="5760"/>
      </w:tblGrid>
      <w:tr w:rsidR="00A32ECB" w:rsidRPr="00A25312" w14:paraId="7D78506D" w14:textId="77777777" w:rsidTr="00A32ECB">
        <w:trPr>
          <w:cantSplit/>
          <w:trHeight w:val="197"/>
        </w:trPr>
        <w:tc>
          <w:tcPr>
            <w:tcW w:w="14418" w:type="dxa"/>
            <w:gridSpan w:val="4"/>
          </w:tcPr>
          <w:p w14:paraId="7D78506C" w14:textId="77777777" w:rsidR="00A32ECB" w:rsidRPr="00A25312" w:rsidRDefault="00A25312" w:rsidP="00A32ECB">
            <w:pPr>
              <w:jc w:val="center"/>
              <w:rPr>
                <w:rFonts w:ascii="Times New Roman" w:hAnsi="Times New Roman" w:cs="Times New Roman"/>
                <w:b/>
                <w:sz w:val="24"/>
                <w:szCs w:val="24"/>
              </w:rPr>
            </w:pPr>
            <w:r>
              <w:br w:type="page"/>
            </w:r>
            <w:r w:rsidR="00A32ECB" w:rsidRPr="00A25312">
              <w:rPr>
                <w:rFonts w:ascii="Times New Roman" w:hAnsi="Times New Roman" w:cs="Times New Roman"/>
                <w:b/>
                <w:sz w:val="24"/>
                <w:szCs w:val="24"/>
              </w:rPr>
              <w:t>Other Issues</w:t>
            </w:r>
          </w:p>
        </w:tc>
      </w:tr>
      <w:tr w:rsidR="00DA7D51" w:rsidRPr="00A25312" w14:paraId="7D785074" w14:textId="77777777" w:rsidTr="00F05564">
        <w:trPr>
          <w:cantSplit/>
          <w:trHeight w:val="1637"/>
        </w:trPr>
        <w:tc>
          <w:tcPr>
            <w:tcW w:w="1368" w:type="dxa"/>
          </w:tcPr>
          <w:p w14:paraId="7D78506E" w14:textId="77777777" w:rsidR="00DA7D51" w:rsidRPr="00A25312" w:rsidRDefault="00DA7D51" w:rsidP="00DA7D51">
            <w:pPr>
              <w:rPr>
                <w:rFonts w:ascii="Times New Roman" w:hAnsi="Times New Roman" w:cs="Times New Roman"/>
                <w:sz w:val="24"/>
                <w:szCs w:val="24"/>
              </w:rPr>
            </w:pPr>
            <w:r w:rsidRPr="00A25312">
              <w:rPr>
                <w:rFonts w:ascii="Times New Roman" w:hAnsi="Times New Roman" w:cs="Times New Roman"/>
                <w:sz w:val="24"/>
                <w:szCs w:val="24"/>
              </w:rPr>
              <w:t>010</w:t>
            </w:r>
          </w:p>
          <w:p w14:paraId="7D78506F" w14:textId="77777777" w:rsidR="00DA7D51" w:rsidRPr="00A25312" w:rsidRDefault="00DA7D51" w:rsidP="00DA7D51">
            <w:pPr>
              <w:rPr>
                <w:rFonts w:ascii="Times New Roman" w:hAnsi="Times New Roman" w:cs="Times New Roman"/>
                <w:sz w:val="24"/>
                <w:szCs w:val="24"/>
              </w:rPr>
            </w:pPr>
          </w:p>
          <w:p w14:paraId="7D785070" w14:textId="77777777" w:rsidR="00DA7D51" w:rsidRPr="00A25312" w:rsidRDefault="00DA7D51" w:rsidP="00DA7D51">
            <w:pPr>
              <w:rPr>
                <w:rFonts w:ascii="Times New Roman" w:hAnsi="Times New Roman" w:cs="Times New Roman"/>
                <w:sz w:val="24"/>
                <w:szCs w:val="24"/>
              </w:rPr>
            </w:pPr>
            <w:r w:rsidRPr="00A25312">
              <w:rPr>
                <w:rFonts w:ascii="Times New Roman" w:hAnsi="Times New Roman" w:cs="Times New Roman"/>
                <w:sz w:val="24"/>
                <w:szCs w:val="24"/>
              </w:rPr>
              <w:t>Nameplate Capacity</w:t>
            </w:r>
          </w:p>
        </w:tc>
        <w:tc>
          <w:tcPr>
            <w:tcW w:w="2250" w:type="dxa"/>
          </w:tcPr>
          <w:p w14:paraId="7D785071" w14:textId="77777777" w:rsidR="00DA7D51" w:rsidRPr="00A25312" w:rsidRDefault="00DA7D51" w:rsidP="00DA7D51">
            <w:pPr>
              <w:rPr>
                <w:rFonts w:ascii="Times New Roman" w:hAnsi="Times New Roman" w:cs="Times New Roman"/>
                <w:sz w:val="24"/>
                <w:szCs w:val="24"/>
              </w:rPr>
            </w:pPr>
            <w:r w:rsidRPr="00A25312">
              <w:rPr>
                <w:rFonts w:ascii="Times New Roman" w:hAnsi="Times New Roman" w:cs="Times New Roman"/>
                <w:sz w:val="24"/>
                <w:szCs w:val="24"/>
              </w:rPr>
              <w:t>Puget Sound Energy</w:t>
            </w:r>
          </w:p>
        </w:tc>
        <w:tc>
          <w:tcPr>
            <w:tcW w:w="5040" w:type="dxa"/>
          </w:tcPr>
          <w:p w14:paraId="7D785072" w14:textId="77777777" w:rsidR="00DA7D51" w:rsidRPr="00A25312" w:rsidRDefault="00DA7D51" w:rsidP="00DA7D51">
            <w:pPr>
              <w:rPr>
                <w:rFonts w:ascii="Times New Roman" w:hAnsi="Times New Roman" w:cs="Times New Roman"/>
                <w:sz w:val="24"/>
                <w:szCs w:val="24"/>
              </w:rPr>
            </w:pPr>
            <w:r w:rsidRPr="00A25312">
              <w:rPr>
                <w:rFonts w:ascii="Times New Roman" w:hAnsi="Times New Roman" w:cs="Times New Roman"/>
                <w:sz w:val="24"/>
                <w:szCs w:val="24"/>
              </w:rPr>
              <w:t>PSE is concerned that the definition of “Nameplate capacity” allows an interconnection customer to replace the inverter and inappropriately increase the size of its system.  PSE will address this issue in its revised tariff.</w:t>
            </w:r>
          </w:p>
        </w:tc>
        <w:tc>
          <w:tcPr>
            <w:tcW w:w="5760" w:type="dxa"/>
          </w:tcPr>
          <w:p w14:paraId="7D785073" w14:textId="77777777" w:rsidR="00DA7D51" w:rsidRPr="00A25312" w:rsidRDefault="00DA7D51" w:rsidP="00DA7D51">
            <w:pPr>
              <w:rPr>
                <w:rFonts w:ascii="Times New Roman" w:hAnsi="Times New Roman" w:cs="Times New Roman"/>
                <w:sz w:val="24"/>
                <w:szCs w:val="24"/>
              </w:rPr>
            </w:pPr>
            <w:r w:rsidRPr="00A25312">
              <w:rPr>
                <w:rFonts w:ascii="Times New Roman" w:hAnsi="Times New Roman" w:cs="Times New Roman"/>
                <w:sz w:val="24"/>
                <w:szCs w:val="24"/>
              </w:rPr>
              <w:t xml:space="preserve">Using an inverter with a nameplate capacity larger than the size approved by the electrical company </w:t>
            </w:r>
            <w:r w:rsidR="00960271" w:rsidRPr="00A25312">
              <w:rPr>
                <w:rFonts w:ascii="Times New Roman" w:hAnsi="Times New Roman" w:cs="Times New Roman"/>
                <w:sz w:val="24"/>
                <w:szCs w:val="24"/>
              </w:rPr>
              <w:t xml:space="preserve">in the interconnection agreement </w:t>
            </w:r>
            <w:r w:rsidRPr="00A25312">
              <w:rPr>
                <w:rFonts w:ascii="Times New Roman" w:hAnsi="Times New Roman" w:cs="Times New Roman"/>
                <w:sz w:val="24"/>
                <w:szCs w:val="24"/>
              </w:rPr>
              <w:t>is a violation of this chapter.  Under WAC 480-108-040(9)(a)(iii), an electrical company may disconnect “a generating facility [that] does not operate in a manner consistent with this chapter or an approved tariff.”</w:t>
            </w:r>
          </w:p>
        </w:tc>
      </w:tr>
      <w:tr w:rsidR="00E65B86" w:rsidRPr="00A25312" w14:paraId="7D785079" w14:textId="77777777" w:rsidTr="00F05564">
        <w:trPr>
          <w:cantSplit/>
        </w:trPr>
        <w:tc>
          <w:tcPr>
            <w:tcW w:w="1368" w:type="dxa"/>
          </w:tcPr>
          <w:p w14:paraId="7D785075" w14:textId="77777777" w:rsidR="00E65B86" w:rsidRPr="00A25312" w:rsidRDefault="00E65B86" w:rsidP="00DA7D51">
            <w:pPr>
              <w:rPr>
                <w:rFonts w:ascii="Times New Roman" w:hAnsi="Times New Roman" w:cs="Times New Roman"/>
                <w:sz w:val="24"/>
                <w:szCs w:val="24"/>
              </w:rPr>
            </w:pPr>
            <w:r w:rsidRPr="00A25312">
              <w:rPr>
                <w:rFonts w:ascii="Times New Roman" w:hAnsi="Times New Roman" w:cs="Times New Roman"/>
                <w:sz w:val="24"/>
                <w:szCs w:val="24"/>
              </w:rPr>
              <w:t>010</w:t>
            </w:r>
          </w:p>
        </w:tc>
        <w:tc>
          <w:tcPr>
            <w:tcW w:w="2250" w:type="dxa"/>
          </w:tcPr>
          <w:p w14:paraId="7D785076" w14:textId="77777777" w:rsidR="00E65B86" w:rsidRPr="00A25312" w:rsidRDefault="00E65B86" w:rsidP="00DA7D51">
            <w:pPr>
              <w:rPr>
                <w:rFonts w:ascii="Times New Roman" w:hAnsi="Times New Roman" w:cs="Times New Roman"/>
                <w:sz w:val="24"/>
                <w:szCs w:val="24"/>
              </w:rPr>
            </w:pPr>
            <w:r w:rsidRPr="00A25312">
              <w:rPr>
                <w:rFonts w:ascii="Times New Roman" w:hAnsi="Times New Roman" w:cs="Times New Roman"/>
                <w:sz w:val="24"/>
                <w:szCs w:val="24"/>
              </w:rPr>
              <w:t>Tacoma Power</w:t>
            </w:r>
          </w:p>
        </w:tc>
        <w:tc>
          <w:tcPr>
            <w:tcW w:w="5040" w:type="dxa"/>
          </w:tcPr>
          <w:p w14:paraId="7D785077" w14:textId="77777777" w:rsidR="00E65B86" w:rsidRPr="00A25312" w:rsidRDefault="00E65B86" w:rsidP="00E65B86">
            <w:pPr>
              <w:rPr>
                <w:rFonts w:ascii="Times New Roman" w:hAnsi="Times New Roman" w:cs="Times New Roman"/>
                <w:sz w:val="24"/>
                <w:szCs w:val="24"/>
              </w:rPr>
            </w:pPr>
            <w:r w:rsidRPr="00A25312">
              <w:rPr>
                <w:rFonts w:ascii="Times New Roman" w:hAnsi="Times New Roman" w:cs="Times New Roman"/>
                <w:sz w:val="24"/>
                <w:szCs w:val="24"/>
              </w:rPr>
              <w:t>Tacoma Power suggests a minor modification to the definition of “network protectors” and deleting the unused definitions of “spot network distribution system” and “grid network distribution system.”</w:t>
            </w:r>
          </w:p>
        </w:tc>
        <w:tc>
          <w:tcPr>
            <w:tcW w:w="5760" w:type="dxa"/>
          </w:tcPr>
          <w:p w14:paraId="7D785078" w14:textId="77777777" w:rsidR="00E65B86" w:rsidRPr="00A25312" w:rsidRDefault="00E65B86" w:rsidP="00E66B3D">
            <w:pPr>
              <w:rPr>
                <w:rFonts w:ascii="Times New Roman" w:hAnsi="Times New Roman" w:cs="Times New Roman"/>
                <w:sz w:val="24"/>
                <w:szCs w:val="24"/>
              </w:rPr>
            </w:pPr>
            <w:r w:rsidRPr="00A25312">
              <w:rPr>
                <w:rFonts w:ascii="Times New Roman" w:hAnsi="Times New Roman" w:cs="Times New Roman"/>
                <w:sz w:val="24"/>
                <w:szCs w:val="24"/>
              </w:rPr>
              <w:t xml:space="preserve">The proposed changes are </w:t>
            </w:r>
            <w:r w:rsidR="00E66B3D" w:rsidRPr="00A25312">
              <w:rPr>
                <w:rFonts w:ascii="Times New Roman" w:hAnsi="Times New Roman" w:cs="Times New Roman"/>
                <w:sz w:val="24"/>
                <w:szCs w:val="24"/>
              </w:rPr>
              <w:t>included</w:t>
            </w:r>
            <w:r w:rsidRPr="00A25312">
              <w:rPr>
                <w:rFonts w:ascii="Times New Roman" w:hAnsi="Times New Roman" w:cs="Times New Roman"/>
                <w:sz w:val="24"/>
                <w:szCs w:val="24"/>
              </w:rPr>
              <w:t>.  The Commission will also delete the unused definitions of “in-service date,” “mod</w:t>
            </w:r>
            <w:r w:rsidR="00A25312" w:rsidRPr="00A25312">
              <w:rPr>
                <w:rFonts w:ascii="Times New Roman" w:hAnsi="Times New Roman" w:cs="Times New Roman"/>
                <w:sz w:val="24"/>
                <w:szCs w:val="24"/>
              </w:rPr>
              <w:t xml:space="preserve">el interconnection agreement,” </w:t>
            </w:r>
            <w:r w:rsidRPr="00A25312">
              <w:rPr>
                <w:rFonts w:ascii="Times New Roman" w:hAnsi="Times New Roman" w:cs="Times New Roman"/>
                <w:sz w:val="24"/>
                <w:szCs w:val="24"/>
              </w:rPr>
              <w:t xml:space="preserve">and </w:t>
            </w:r>
            <w:r w:rsidR="00E66B3D" w:rsidRPr="00A25312">
              <w:rPr>
                <w:rFonts w:ascii="Times New Roman" w:hAnsi="Times New Roman" w:cs="Times New Roman"/>
                <w:sz w:val="24"/>
                <w:szCs w:val="24"/>
              </w:rPr>
              <w:t xml:space="preserve">“PURPA qualifying facility” as these terms </w:t>
            </w:r>
            <w:proofErr w:type="gramStart"/>
            <w:r w:rsidR="00E66B3D" w:rsidRPr="00A25312">
              <w:rPr>
                <w:rFonts w:ascii="Times New Roman" w:hAnsi="Times New Roman" w:cs="Times New Roman"/>
                <w:sz w:val="24"/>
                <w:szCs w:val="24"/>
              </w:rPr>
              <w:t>are</w:t>
            </w:r>
            <w:proofErr w:type="gramEnd"/>
            <w:r w:rsidR="00E66B3D" w:rsidRPr="00A25312">
              <w:rPr>
                <w:rFonts w:ascii="Times New Roman" w:hAnsi="Times New Roman" w:cs="Times New Roman"/>
                <w:sz w:val="24"/>
                <w:szCs w:val="24"/>
              </w:rPr>
              <w:t xml:space="preserve"> not used in the chapter</w:t>
            </w:r>
            <w:r w:rsidRPr="00A25312">
              <w:rPr>
                <w:rFonts w:ascii="Times New Roman" w:hAnsi="Times New Roman" w:cs="Times New Roman"/>
                <w:sz w:val="24"/>
                <w:szCs w:val="24"/>
              </w:rPr>
              <w:t>.</w:t>
            </w:r>
          </w:p>
        </w:tc>
      </w:tr>
      <w:tr w:rsidR="00DA7D51" w:rsidRPr="00A25312" w14:paraId="7D785080" w14:textId="77777777" w:rsidTr="00F05564">
        <w:trPr>
          <w:cantSplit/>
        </w:trPr>
        <w:tc>
          <w:tcPr>
            <w:tcW w:w="1368" w:type="dxa"/>
          </w:tcPr>
          <w:p w14:paraId="7D78507A" w14:textId="77777777" w:rsidR="00DA7D51" w:rsidRPr="00A25312" w:rsidRDefault="00DA7D51" w:rsidP="00DA7D51">
            <w:pPr>
              <w:rPr>
                <w:rFonts w:ascii="Times New Roman" w:hAnsi="Times New Roman" w:cs="Times New Roman"/>
                <w:sz w:val="24"/>
                <w:szCs w:val="24"/>
              </w:rPr>
            </w:pPr>
            <w:r w:rsidRPr="00A25312">
              <w:rPr>
                <w:rFonts w:ascii="Times New Roman" w:hAnsi="Times New Roman" w:cs="Times New Roman"/>
                <w:sz w:val="24"/>
                <w:szCs w:val="24"/>
              </w:rPr>
              <w:t>020(2)(b)</w:t>
            </w:r>
          </w:p>
          <w:p w14:paraId="7D78507B" w14:textId="77777777" w:rsidR="00B62893" w:rsidRPr="00A25312" w:rsidRDefault="00B62893" w:rsidP="00DA7D51">
            <w:pPr>
              <w:rPr>
                <w:rFonts w:ascii="Times New Roman" w:hAnsi="Times New Roman" w:cs="Times New Roman"/>
                <w:sz w:val="24"/>
                <w:szCs w:val="24"/>
              </w:rPr>
            </w:pPr>
          </w:p>
          <w:p w14:paraId="7D78507C" w14:textId="77777777" w:rsidR="00B62893" w:rsidRPr="00A25312" w:rsidRDefault="00B62893" w:rsidP="00DA7D51">
            <w:pPr>
              <w:rPr>
                <w:rFonts w:ascii="Times New Roman" w:hAnsi="Times New Roman" w:cs="Times New Roman"/>
                <w:sz w:val="24"/>
                <w:szCs w:val="24"/>
              </w:rPr>
            </w:pPr>
            <w:r w:rsidRPr="00A25312">
              <w:rPr>
                <w:rFonts w:ascii="Times New Roman" w:hAnsi="Times New Roman" w:cs="Times New Roman"/>
                <w:sz w:val="24"/>
                <w:szCs w:val="24"/>
              </w:rPr>
              <w:t>Technical Require</w:t>
            </w:r>
            <w:r w:rsidR="00106BBC">
              <w:rPr>
                <w:rFonts w:ascii="Times New Roman" w:hAnsi="Times New Roman" w:cs="Times New Roman"/>
                <w:sz w:val="24"/>
                <w:szCs w:val="24"/>
              </w:rPr>
              <w:t>-</w:t>
            </w:r>
            <w:proofErr w:type="spellStart"/>
            <w:r w:rsidRPr="00A25312">
              <w:rPr>
                <w:rFonts w:ascii="Times New Roman" w:hAnsi="Times New Roman" w:cs="Times New Roman"/>
                <w:sz w:val="24"/>
                <w:szCs w:val="24"/>
              </w:rPr>
              <w:t>ments</w:t>
            </w:r>
            <w:proofErr w:type="spellEnd"/>
          </w:p>
        </w:tc>
        <w:tc>
          <w:tcPr>
            <w:tcW w:w="2250" w:type="dxa"/>
          </w:tcPr>
          <w:p w14:paraId="7D78507D" w14:textId="77777777" w:rsidR="00DA7D51" w:rsidRPr="00A25312" w:rsidRDefault="00DA7D51" w:rsidP="00DA7D51">
            <w:pPr>
              <w:rPr>
                <w:rFonts w:ascii="Times New Roman" w:hAnsi="Times New Roman" w:cs="Times New Roman"/>
                <w:sz w:val="24"/>
                <w:szCs w:val="24"/>
              </w:rPr>
            </w:pPr>
            <w:r w:rsidRPr="00A25312">
              <w:rPr>
                <w:rFonts w:ascii="Times New Roman" w:hAnsi="Times New Roman" w:cs="Times New Roman"/>
                <w:sz w:val="24"/>
                <w:szCs w:val="24"/>
              </w:rPr>
              <w:t>Puget Sound Energy</w:t>
            </w:r>
          </w:p>
        </w:tc>
        <w:tc>
          <w:tcPr>
            <w:tcW w:w="5040" w:type="dxa"/>
          </w:tcPr>
          <w:p w14:paraId="7D78507E" w14:textId="77777777" w:rsidR="00DA7D51" w:rsidRPr="00A25312" w:rsidRDefault="00DA7D51" w:rsidP="00FC2746">
            <w:pPr>
              <w:rPr>
                <w:rFonts w:ascii="Times New Roman" w:hAnsi="Times New Roman" w:cs="Times New Roman"/>
                <w:sz w:val="24"/>
                <w:szCs w:val="24"/>
              </w:rPr>
            </w:pPr>
            <w:r w:rsidRPr="00A25312">
              <w:rPr>
                <w:rFonts w:ascii="Times New Roman" w:hAnsi="Times New Roman" w:cs="Times New Roman"/>
                <w:sz w:val="24"/>
                <w:szCs w:val="24"/>
              </w:rPr>
              <w:t>“</w:t>
            </w:r>
            <w:r w:rsidR="00FC2746" w:rsidRPr="00A25312">
              <w:rPr>
                <w:rFonts w:ascii="Times New Roman" w:hAnsi="Times New Roman" w:cs="Times New Roman"/>
                <w:sz w:val="24"/>
                <w:szCs w:val="24"/>
              </w:rPr>
              <w:t>[A]</w:t>
            </w:r>
            <w:r w:rsidRPr="00A25312">
              <w:rPr>
                <w:rFonts w:ascii="Times New Roman" w:hAnsi="Times New Roman" w:cs="Times New Roman"/>
                <w:sz w:val="24"/>
                <w:szCs w:val="24"/>
              </w:rPr>
              <w:t xml:space="preserve"> new provision that allows the interconnection of a genera</w:t>
            </w:r>
            <w:r w:rsidR="00FC2746" w:rsidRPr="00A25312">
              <w:rPr>
                <w:rFonts w:ascii="Times New Roman" w:hAnsi="Times New Roman" w:cs="Times New Roman"/>
                <w:sz w:val="24"/>
                <w:szCs w:val="24"/>
              </w:rPr>
              <w:t>tor of up to 50 kW to a single-</w:t>
            </w:r>
            <w:r w:rsidRPr="00A25312">
              <w:rPr>
                <w:rFonts w:ascii="Times New Roman" w:hAnsi="Times New Roman" w:cs="Times New Roman"/>
                <w:sz w:val="24"/>
                <w:szCs w:val="24"/>
              </w:rPr>
              <w:t>phase electric system has been added.  The Company has not had time to evaluate the impacts of these new changes.”</w:t>
            </w:r>
          </w:p>
        </w:tc>
        <w:tc>
          <w:tcPr>
            <w:tcW w:w="5760" w:type="dxa"/>
          </w:tcPr>
          <w:p w14:paraId="7D78507F" w14:textId="77777777" w:rsidR="005E43C0" w:rsidRPr="00A25312" w:rsidRDefault="00DA7D51" w:rsidP="00106BBC">
            <w:pPr>
              <w:rPr>
                <w:rFonts w:ascii="Times New Roman" w:hAnsi="Times New Roman" w:cs="Times New Roman"/>
                <w:sz w:val="24"/>
                <w:szCs w:val="24"/>
              </w:rPr>
            </w:pPr>
            <w:r w:rsidRPr="00A25312">
              <w:rPr>
                <w:rFonts w:ascii="Times New Roman" w:hAnsi="Times New Roman" w:cs="Times New Roman"/>
                <w:sz w:val="24"/>
                <w:szCs w:val="24"/>
              </w:rPr>
              <w:t xml:space="preserve">No new provisions were added to </w:t>
            </w:r>
            <w:r w:rsidR="00106BBC">
              <w:rPr>
                <w:rFonts w:ascii="Times New Roman" w:hAnsi="Times New Roman" w:cs="Times New Roman"/>
                <w:sz w:val="24"/>
                <w:szCs w:val="24"/>
              </w:rPr>
              <w:t>WAC 480-108-</w:t>
            </w:r>
            <w:r w:rsidR="00106BBC" w:rsidRPr="00A25312">
              <w:rPr>
                <w:rFonts w:ascii="Times New Roman" w:hAnsi="Times New Roman" w:cs="Times New Roman"/>
                <w:sz w:val="24"/>
                <w:szCs w:val="24"/>
              </w:rPr>
              <w:t xml:space="preserve"> </w:t>
            </w:r>
            <w:r w:rsidRPr="00A25312">
              <w:rPr>
                <w:rFonts w:ascii="Times New Roman" w:hAnsi="Times New Roman" w:cs="Times New Roman"/>
                <w:sz w:val="24"/>
                <w:szCs w:val="24"/>
              </w:rPr>
              <w:t xml:space="preserve">020(2)(b) in </w:t>
            </w:r>
            <w:r w:rsidR="00514787" w:rsidRPr="00A25312">
              <w:rPr>
                <w:rFonts w:ascii="Times New Roman" w:hAnsi="Times New Roman" w:cs="Times New Roman"/>
                <w:sz w:val="24"/>
                <w:szCs w:val="24"/>
              </w:rPr>
              <w:t>the proposed rules</w:t>
            </w:r>
            <w:r w:rsidRPr="00A25312">
              <w:rPr>
                <w:rFonts w:ascii="Times New Roman" w:hAnsi="Times New Roman" w:cs="Times New Roman"/>
                <w:sz w:val="24"/>
                <w:szCs w:val="24"/>
              </w:rPr>
              <w:t xml:space="preserve"> circulated on April 17, 2013.</w:t>
            </w:r>
          </w:p>
        </w:tc>
      </w:tr>
      <w:tr w:rsidR="00DA7D51" w:rsidRPr="00A25312" w14:paraId="7D785088" w14:textId="77777777" w:rsidTr="00D452E4">
        <w:trPr>
          <w:cantSplit/>
        </w:trPr>
        <w:tc>
          <w:tcPr>
            <w:tcW w:w="1368" w:type="dxa"/>
          </w:tcPr>
          <w:p w14:paraId="7D785081" w14:textId="77777777" w:rsidR="00DA7D51" w:rsidRPr="00A25312" w:rsidRDefault="00DA7D51" w:rsidP="00DA7D51">
            <w:pPr>
              <w:rPr>
                <w:rFonts w:ascii="Times New Roman" w:hAnsi="Times New Roman" w:cs="Times New Roman"/>
                <w:sz w:val="24"/>
                <w:szCs w:val="24"/>
              </w:rPr>
            </w:pPr>
            <w:r w:rsidRPr="00A25312">
              <w:rPr>
                <w:rFonts w:ascii="Times New Roman" w:hAnsi="Times New Roman" w:cs="Times New Roman"/>
                <w:sz w:val="24"/>
                <w:szCs w:val="24"/>
              </w:rPr>
              <w:t>020</w:t>
            </w:r>
          </w:p>
          <w:p w14:paraId="7D785082" w14:textId="77777777" w:rsidR="008D3F80" w:rsidRPr="00A25312" w:rsidRDefault="008D3F80" w:rsidP="00DA7D51">
            <w:pPr>
              <w:rPr>
                <w:rFonts w:ascii="Times New Roman" w:hAnsi="Times New Roman" w:cs="Times New Roman"/>
                <w:sz w:val="24"/>
                <w:szCs w:val="24"/>
              </w:rPr>
            </w:pPr>
          </w:p>
          <w:p w14:paraId="7D785083" w14:textId="77777777" w:rsidR="00DA7D51" w:rsidRPr="00A25312" w:rsidRDefault="00DA7D51" w:rsidP="00DA7D51">
            <w:pPr>
              <w:rPr>
                <w:rFonts w:ascii="Times New Roman" w:hAnsi="Times New Roman" w:cs="Times New Roman"/>
                <w:sz w:val="24"/>
                <w:szCs w:val="24"/>
              </w:rPr>
            </w:pPr>
            <w:r w:rsidRPr="00A25312">
              <w:rPr>
                <w:rFonts w:ascii="Times New Roman" w:hAnsi="Times New Roman" w:cs="Times New Roman"/>
                <w:sz w:val="24"/>
                <w:szCs w:val="24"/>
              </w:rPr>
              <w:t>Radial distribution circuit</w:t>
            </w:r>
          </w:p>
        </w:tc>
        <w:tc>
          <w:tcPr>
            <w:tcW w:w="2250" w:type="dxa"/>
          </w:tcPr>
          <w:p w14:paraId="7D785084" w14:textId="77777777" w:rsidR="00E4625D" w:rsidRPr="00A25312" w:rsidRDefault="00DA7D51" w:rsidP="00DA7D51">
            <w:pPr>
              <w:rPr>
                <w:rFonts w:ascii="Times New Roman" w:hAnsi="Times New Roman" w:cs="Times New Roman"/>
                <w:sz w:val="24"/>
                <w:szCs w:val="24"/>
              </w:rPr>
            </w:pPr>
            <w:r w:rsidRPr="00A25312">
              <w:rPr>
                <w:rFonts w:ascii="Times New Roman" w:hAnsi="Times New Roman" w:cs="Times New Roman"/>
                <w:sz w:val="24"/>
                <w:szCs w:val="24"/>
              </w:rPr>
              <w:t>Tacoma Power</w:t>
            </w:r>
          </w:p>
        </w:tc>
        <w:tc>
          <w:tcPr>
            <w:tcW w:w="5040" w:type="dxa"/>
          </w:tcPr>
          <w:p w14:paraId="7D785085" w14:textId="77777777" w:rsidR="0063656A" w:rsidRPr="00A25312" w:rsidRDefault="00DA7D51" w:rsidP="0063656A">
            <w:pPr>
              <w:rPr>
                <w:rFonts w:ascii="Times New Roman" w:hAnsi="Times New Roman" w:cs="Times New Roman"/>
                <w:sz w:val="24"/>
                <w:szCs w:val="24"/>
              </w:rPr>
            </w:pPr>
            <w:r w:rsidRPr="00A25312">
              <w:rPr>
                <w:rFonts w:ascii="Times New Roman" w:hAnsi="Times New Roman" w:cs="Times New Roman"/>
                <w:sz w:val="24"/>
                <w:szCs w:val="24"/>
              </w:rPr>
              <w:t xml:space="preserve">Tacoma Power recommends adding </w:t>
            </w:r>
            <w:r w:rsidR="0063656A" w:rsidRPr="00A25312">
              <w:rPr>
                <w:rFonts w:ascii="Times New Roman" w:hAnsi="Times New Roman" w:cs="Times New Roman"/>
                <w:sz w:val="24"/>
                <w:szCs w:val="24"/>
              </w:rPr>
              <w:t>the following language to the Tier 1 applicability requirements so that Tier 1 and Tier 2 applicat</w:t>
            </w:r>
            <w:r w:rsidR="00D573D4" w:rsidRPr="00A25312">
              <w:rPr>
                <w:rFonts w:ascii="Times New Roman" w:hAnsi="Times New Roman" w:cs="Times New Roman"/>
                <w:sz w:val="24"/>
                <w:szCs w:val="24"/>
              </w:rPr>
              <w:t>ions have the same restrictions:</w:t>
            </w:r>
          </w:p>
          <w:p w14:paraId="7D785086" w14:textId="77777777" w:rsidR="00DA7D51" w:rsidRPr="00A25312" w:rsidRDefault="0063656A" w:rsidP="00D573D4">
            <w:pPr>
              <w:ind w:left="720"/>
              <w:rPr>
                <w:rFonts w:ascii="Times New Roman" w:hAnsi="Times New Roman" w:cs="Times New Roman"/>
                <w:sz w:val="24"/>
                <w:szCs w:val="24"/>
              </w:rPr>
            </w:pPr>
            <w:r w:rsidRPr="00A25312">
              <w:rPr>
                <w:rFonts w:ascii="Times New Roman" w:hAnsi="Times New Roman" w:cs="Times New Roman"/>
                <w:sz w:val="24"/>
                <w:szCs w:val="24"/>
              </w:rPr>
              <w:t xml:space="preserve">“The aggregate nameplate capacity of all inverter-based systems must not exceed the </w:t>
            </w:r>
            <w:proofErr w:type="gramStart"/>
            <w:r w:rsidRPr="00A25312">
              <w:rPr>
                <w:rFonts w:ascii="Times New Roman" w:hAnsi="Times New Roman" w:cs="Times New Roman"/>
                <w:sz w:val="24"/>
                <w:szCs w:val="24"/>
              </w:rPr>
              <w:t>smaller</w:t>
            </w:r>
            <w:proofErr w:type="gramEnd"/>
            <w:r w:rsidRPr="00A25312">
              <w:rPr>
                <w:rFonts w:ascii="Times New Roman" w:hAnsi="Times New Roman" w:cs="Times New Roman"/>
                <w:sz w:val="24"/>
                <w:szCs w:val="24"/>
              </w:rPr>
              <w:t xml:space="preserve"> of five percent of a spot network's maximum load or 50 kW.”</w:t>
            </w:r>
          </w:p>
        </w:tc>
        <w:tc>
          <w:tcPr>
            <w:tcW w:w="5760" w:type="dxa"/>
            <w:shd w:val="clear" w:color="auto" w:fill="auto"/>
          </w:tcPr>
          <w:p w14:paraId="7D785087" w14:textId="77777777" w:rsidR="00695A16" w:rsidRPr="00633A11" w:rsidRDefault="00514787" w:rsidP="00D452E4">
            <w:pPr>
              <w:rPr>
                <w:rFonts w:ascii="Times New Roman" w:hAnsi="Times New Roman" w:cs="Times New Roman"/>
                <w:sz w:val="24"/>
                <w:szCs w:val="24"/>
                <w:highlight w:val="yellow"/>
              </w:rPr>
            </w:pPr>
            <w:r w:rsidRPr="00D452E4">
              <w:rPr>
                <w:rFonts w:ascii="Times New Roman" w:hAnsi="Times New Roman" w:cs="Times New Roman"/>
                <w:sz w:val="24"/>
                <w:szCs w:val="24"/>
              </w:rPr>
              <w:t xml:space="preserve">Tacoma Power’s </w:t>
            </w:r>
            <w:r w:rsidR="00633A11" w:rsidRPr="00D452E4">
              <w:rPr>
                <w:rFonts w:ascii="Times New Roman" w:hAnsi="Times New Roman" w:cs="Times New Roman"/>
                <w:sz w:val="24"/>
                <w:szCs w:val="24"/>
              </w:rPr>
              <w:t>recommendation</w:t>
            </w:r>
            <w:r w:rsidRPr="00D452E4">
              <w:rPr>
                <w:rFonts w:ascii="Times New Roman" w:hAnsi="Times New Roman" w:cs="Times New Roman"/>
                <w:sz w:val="24"/>
                <w:szCs w:val="24"/>
              </w:rPr>
              <w:t xml:space="preserve"> is reasonable because it incorporates a provision equivalent to one found in the Tier 2 standards and FERC’s Small Genera</w:t>
            </w:r>
            <w:r w:rsidR="00633A11" w:rsidRPr="00D452E4">
              <w:rPr>
                <w:rFonts w:ascii="Times New Roman" w:hAnsi="Times New Roman" w:cs="Times New Roman"/>
                <w:sz w:val="24"/>
                <w:szCs w:val="24"/>
              </w:rPr>
              <w:t xml:space="preserve">tor Interconnection Agreement.  The Commission nonetheless declines to make the change </w:t>
            </w:r>
            <w:r w:rsidR="00D452E4" w:rsidRPr="00D452E4">
              <w:rPr>
                <w:rFonts w:ascii="Times New Roman" w:hAnsi="Times New Roman" w:cs="Times New Roman"/>
                <w:sz w:val="24"/>
                <w:szCs w:val="24"/>
              </w:rPr>
              <w:t>a</w:t>
            </w:r>
            <w:r w:rsidR="00D452E4">
              <w:rPr>
                <w:rFonts w:ascii="Times New Roman" w:hAnsi="Times New Roman" w:cs="Times New Roman"/>
                <w:sz w:val="24"/>
                <w:szCs w:val="24"/>
              </w:rPr>
              <w:t>t this late date.</w:t>
            </w:r>
          </w:p>
        </w:tc>
      </w:tr>
      <w:tr w:rsidR="00DA7D51" w:rsidRPr="00A25312" w14:paraId="7D78508F" w14:textId="77777777" w:rsidTr="00F05564">
        <w:trPr>
          <w:cantSplit/>
        </w:trPr>
        <w:tc>
          <w:tcPr>
            <w:tcW w:w="1368" w:type="dxa"/>
          </w:tcPr>
          <w:p w14:paraId="7D785089" w14:textId="77777777" w:rsidR="00DA7D51" w:rsidRPr="00A25312" w:rsidRDefault="00DA7D51" w:rsidP="00DA7D51">
            <w:pPr>
              <w:rPr>
                <w:rFonts w:ascii="Times New Roman" w:hAnsi="Times New Roman" w:cs="Times New Roman"/>
                <w:sz w:val="24"/>
                <w:szCs w:val="24"/>
              </w:rPr>
            </w:pPr>
            <w:r w:rsidRPr="00A25312">
              <w:rPr>
                <w:rFonts w:ascii="Times New Roman" w:hAnsi="Times New Roman" w:cs="Times New Roman"/>
                <w:sz w:val="24"/>
                <w:szCs w:val="24"/>
              </w:rPr>
              <w:t>030(7)</w:t>
            </w:r>
          </w:p>
          <w:p w14:paraId="7D78508A" w14:textId="77777777" w:rsidR="00DA7D51" w:rsidRPr="00A25312" w:rsidRDefault="00DA7D51" w:rsidP="00DA7D51">
            <w:pPr>
              <w:rPr>
                <w:rFonts w:ascii="Times New Roman" w:hAnsi="Times New Roman" w:cs="Times New Roman"/>
                <w:sz w:val="24"/>
                <w:szCs w:val="24"/>
              </w:rPr>
            </w:pPr>
          </w:p>
          <w:p w14:paraId="7D78508B" w14:textId="77777777" w:rsidR="00DA7D51" w:rsidRPr="00A25312" w:rsidRDefault="00DA7D51" w:rsidP="00DA7D51">
            <w:pPr>
              <w:rPr>
                <w:rFonts w:ascii="Times New Roman" w:hAnsi="Times New Roman" w:cs="Times New Roman"/>
                <w:sz w:val="24"/>
                <w:szCs w:val="24"/>
              </w:rPr>
            </w:pPr>
            <w:r w:rsidRPr="00A25312">
              <w:rPr>
                <w:rFonts w:ascii="Times New Roman" w:hAnsi="Times New Roman" w:cs="Times New Roman"/>
                <w:sz w:val="24"/>
                <w:szCs w:val="24"/>
              </w:rPr>
              <w:t>Queue timeline</w:t>
            </w:r>
          </w:p>
        </w:tc>
        <w:tc>
          <w:tcPr>
            <w:tcW w:w="2250" w:type="dxa"/>
          </w:tcPr>
          <w:p w14:paraId="7D78508C" w14:textId="77777777" w:rsidR="00DA7D51" w:rsidRPr="00A25312" w:rsidRDefault="00DA7D51" w:rsidP="00DA7D51">
            <w:pPr>
              <w:rPr>
                <w:rFonts w:ascii="Times New Roman" w:hAnsi="Times New Roman" w:cs="Times New Roman"/>
                <w:sz w:val="24"/>
                <w:szCs w:val="24"/>
              </w:rPr>
            </w:pPr>
            <w:r w:rsidRPr="00A25312">
              <w:rPr>
                <w:rFonts w:ascii="Times New Roman" w:hAnsi="Times New Roman" w:cs="Times New Roman"/>
                <w:sz w:val="24"/>
                <w:szCs w:val="24"/>
              </w:rPr>
              <w:t>PacifiCorp</w:t>
            </w:r>
          </w:p>
        </w:tc>
        <w:tc>
          <w:tcPr>
            <w:tcW w:w="5040" w:type="dxa"/>
          </w:tcPr>
          <w:p w14:paraId="7D78508D" w14:textId="77777777" w:rsidR="00DA7D51" w:rsidRPr="00A25312" w:rsidRDefault="00DA7D51" w:rsidP="00DA7D51">
            <w:pPr>
              <w:rPr>
                <w:rFonts w:ascii="Times New Roman" w:hAnsi="Times New Roman" w:cs="Times New Roman"/>
                <w:b/>
                <w:sz w:val="24"/>
                <w:szCs w:val="24"/>
              </w:rPr>
            </w:pPr>
            <w:r w:rsidRPr="00A25312">
              <w:rPr>
                <w:rFonts w:ascii="Times New Roman" w:hAnsi="Times New Roman" w:cs="Times New Roman"/>
                <w:sz w:val="24"/>
                <w:szCs w:val="24"/>
              </w:rPr>
              <w:t>Change the date that a project enters the queue from the date that the utility sends a notice of complete application to the date the utility sends a notice of application receipt.</w:t>
            </w:r>
          </w:p>
        </w:tc>
        <w:tc>
          <w:tcPr>
            <w:tcW w:w="5760" w:type="dxa"/>
          </w:tcPr>
          <w:p w14:paraId="7D78508E" w14:textId="77777777" w:rsidR="003E589C" w:rsidRPr="00633A11" w:rsidRDefault="00DA7D51" w:rsidP="00633A11">
            <w:pPr>
              <w:rPr>
                <w:rFonts w:ascii="Times New Roman" w:hAnsi="Times New Roman" w:cs="Times New Roman"/>
                <w:i/>
                <w:sz w:val="24"/>
                <w:szCs w:val="24"/>
              </w:rPr>
            </w:pPr>
            <w:r w:rsidRPr="00D452E4">
              <w:rPr>
                <w:rFonts w:ascii="Times New Roman" w:hAnsi="Times New Roman" w:cs="Times New Roman"/>
                <w:sz w:val="24"/>
                <w:szCs w:val="24"/>
              </w:rPr>
              <w:t xml:space="preserve">PacifiCorp’s suggestion </w:t>
            </w:r>
            <w:r w:rsidR="00633A11" w:rsidRPr="00D452E4">
              <w:rPr>
                <w:rFonts w:ascii="Times New Roman" w:hAnsi="Times New Roman" w:cs="Times New Roman"/>
                <w:sz w:val="24"/>
                <w:szCs w:val="24"/>
              </w:rPr>
              <w:t>could</w:t>
            </w:r>
            <w:r w:rsidRPr="00D452E4">
              <w:rPr>
                <w:rFonts w:ascii="Times New Roman" w:hAnsi="Times New Roman" w:cs="Times New Roman"/>
                <w:sz w:val="24"/>
                <w:szCs w:val="24"/>
              </w:rPr>
              <w:t xml:space="preserve"> </w:t>
            </w:r>
            <w:r w:rsidR="00633A11" w:rsidRPr="00D452E4">
              <w:rPr>
                <w:rFonts w:ascii="Times New Roman" w:hAnsi="Times New Roman" w:cs="Times New Roman"/>
                <w:sz w:val="24"/>
                <w:szCs w:val="24"/>
              </w:rPr>
              <w:t>allow an interconnection customer who submits an incomplete application to be placed in a more advantageous queue position than a similarly situated person who originally submitted a complete application.  Thus, the Commission declines to make this change.</w:t>
            </w:r>
          </w:p>
        </w:tc>
      </w:tr>
      <w:tr w:rsidR="008D3F80" w:rsidRPr="00A25312" w14:paraId="7D785096" w14:textId="77777777" w:rsidTr="00F05564">
        <w:trPr>
          <w:cantSplit/>
        </w:trPr>
        <w:tc>
          <w:tcPr>
            <w:tcW w:w="1368" w:type="dxa"/>
          </w:tcPr>
          <w:p w14:paraId="7D785090" w14:textId="77777777" w:rsidR="008D3F80" w:rsidRPr="00A25312" w:rsidRDefault="008D3F80" w:rsidP="00DA7D51">
            <w:pPr>
              <w:rPr>
                <w:rFonts w:ascii="Times New Roman" w:hAnsi="Times New Roman" w:cs="Times New Roman"/>
                <w:sz w:val="24"/>
                <w:szCs w:val="24"/>
              </w:rPr>
            </w:pPr>
            <w:r w:rsidRPr="00A25312">
              <w:rPr>
                <w:rFonts w:ascii="Times New Roman" w:hAnsi="Times New Roman" w:cs="Times New Roman"/>
                <w:sz w:val="24"/>
                <w:szCs w:val="24"/>
              </w:rPr>
              <w:t>030(9)(b)(i)</w:t>
            </w:r>
          </w:p>
          <w:p w14:paraId="7D785091" w14:textId="77777777" w:rsidR="008951E6" w:rsidRPr="00A25312" w:rsidRDefault="008951E6" w:rsidP="00DA7D51">
            <w:pPr>
              <w:rPr>
                <w:rFonts w:ascii="Times New Roman" w:hAnsi="Times New Roman" w:cs="Times New Roman"/>
                <w:sz w:val="24"/>
                <w:szCs w:val="24"/>
              </w:rPr>
            </w:pPr>
          </w:p>
          <w:p w14:paraId="7D785092" w14:textId="77777777" w:rsidR="008951E6" w:rsidRPr="00A25312" w:rsidRDefault="008951E6" w:rsidP="00DA7D51">
            <w:pPr>
              <w:rPr>
                <w:rFonts w:ascii="Times New Roman" w:hAnsi="Times New Roman" w:cs="Times New Roman"/>
                <w:sz w:val="24"/>
                <w:szCs w:val="24"/>
              </w:rPr>
            </w:pPr>
            <w:r w:rsidRPr="00A25312">
              <w:rPr>
                <w:rFonts w:ascii="Times New Roman" w:hAnsi="Times New Roman" w:cs="Times New Roman"/>
                <w:sz w:val="24"/>
                <w:szCs w:val="24"/>
              </w:rPr>
              <w:t>Tier 2 timeline</w:t>
            </w:r>
          </w:p>
        </w:tc>
        <w:tc>
          <w:tcPr>
            <w:tcW w:w="2250" w:type="dxa"/>
          </w:tcPr>
          <w:p w14:paraId="7D785093" w14:textId="77777777" w:rsidR="008D3F80" w:rsidRPr="00A25312" w:rsidRDefault="00514787" w:rsidP="00DA7D51">
            <w:pPr>
              <w:rPr>
                <w:rFonts w:ascii="Times New Roman" w:hAnsi="Times New Roman" w:cs="Times New Roman"/>
                <w:sz w:val="24"/>
                <w:szCs w:val="24"/>
              </w:rPr>
            </w:pPr>
            <w:r w:rsidRPr="00A25312">
              <w:rPr>
                <w:rFonts w:ascii="Times New Roman" w:hAnsi="Times New Roman" w:cs="Times New Roman"/>
                <w:sz w:val="24"/>
                <w:szCs w:val="24"/>
              </w:rPr>
              <w:t>Inadvertent error</w:t>
            </w:r>
          </w:p>
        </w:tc>
        <w:tc>
          <w:tcPr>
            <w:tcW w:w="5040" w:type="dxa"/>
          </w:tcPr>
          <w:p w14:paraId="7D785094" w14:textId="77777777" w:rsidR="008D3F80" w:rsidRPr="00A25312" w:rsidRDefault="00514787" w:rsidP="008D3F80">
            <w:pPr>
              <w:rPr>
                <w:rFonts w:ascii="Times New Roman" w:hAnsi="Times New Roman" w:cs="Times New Roman"/>
                <w:sz w:val="24"/>
                <w:szCs w:val="24"/>
              </w:rPr>
            </w:pPr>
            <w:r w:rsidRPr="00A25312">
              <w:rPr>
                <w:rFonts w:ascii="Times New Roman" w:hAnsi="Times New Roman" w:cs="Times New Roman"/>
                <w:sz w:val="24"/>
                <w:szCs w:val="24"/>
              </w:rPr>
              <w:t>T</w:t>
            </w:r>
            <w:r w:rsidR="008D3F80" w:rsidRPr="00A25312">
              <w:rPr>
                <w:rFonts w:ascii="Times New Roman" w:hAnsi="Times New Roman" w:cs="Times New Roman"/>
                <w:sz w:val="24"/>
                <w:szCs w:val="24"/>
              </w:rPr>
              <w:t>he wrong number of days for the notice of complete application in Tier 2</w:t>
            </w:r>
            <w:r w:rsidRPr="00A25312">
              <w:rPr>
                <w:rFonts w:ascii="Times New Roman" w:hAnsi="Times New Roman" w:cs="Times New Roman"/>
                <w:sz w:val="24"/>
                <w:szCs w:val="24"/>
              </w:rPr>
              <w:t xml:space="preserve"> was inadvertently included in the proposed rules</w:t>
            </w:r>
            <w:r w:rsidR="008D3F80" w:rsidRPr="00A25312">
              <w:rPr>
                <w:rFonts w:ascii="Times New Roman" w:hAnsi="Times New Roman" w:cs="Times New Roman"/>
                <w:sz w:val="24"/>
                <w:szCs w:val="24"/>
              </w:rPr>
              <w:t>.</w:t>
            </w:r>
          </w:p>
        </w:tc>
        <w:tc>
          <w:tcPr>
            <w:tcW w:w="5760" w:type="dxa"/>
          </w:tcPr>
          <w:p w14:paraId="7D785095" w14:textId="77777777" w:rsidR="008D3F80" w:rsidRPr="00A25312" w:rsidRDefault="008D3F80" w:rsidP="008951E6">
            <w:pPr>
              <w:rPr>
                <w:rFonts w:ascii="Times New Roman" w:hAnsi="Times New Roman" w:cs="Times New Roman"/>
                <w:sz w:val="24"/>
                <w:szCs w:val="24"/>
              </w:rPr>
            </w:pPr>
            <w:r w:rsidRPr="00A25312">
              <w:rPr>
                <w:rFonts w:ascii="Times New Roman" w:hAnsi="Times New Roman" w:cs="Times New Roman"/>
                <w:sz w:val="24"/>
                <w:szCs w:val="24"/>
              </w:rPr>
              <w:t xml:space="preserve">As requested by the utilities, timelines are standardized when possible.  For all tiers, utilities shall send a notice of complete or incomplete application within 10 business days after </w:t>
            </w:r>
            <w:r w:rsidR="00514787" w:rsidRPr="00A25312">
              <w:rPr>
                <w:rFonts w:ascii="Times New Roman" w:hAnsi="Times New Roman" w:cs="Times New Roman"/>
                <w:sz w:val="24"/>
                <w:szCs w:val="24"/>
              </w:rPr>
              <w:t xml:space="preserve">a </w:t>
            </w:r>
            <w:r w:rsidRPr="00A25312">
              <w:rPr>
                <w:rFonts w:ascii="Times New Roman" w:hAnsi="Times New Roman" w:cs="Times New Roman"/>
                <w:sz w:val="24"/>
                <w:szCs w:val="24"/>
              </w:rPr>
              <w:t>notice of receipt of application is sent.</w:t>
            </w:r>
          </w:p>
        </w:tc>
      </w:tr>
      <w:tr w:rsidR="00DA7D51" w:rsidRPr="00A25312" w14:paraId="7D78509D" w14:textId="77777777" w:rsidTr="00F05564">
        <w:trPr>
          <w:cantSplit/>
        </w:trPr>
        <w:tc>
          <w:tcPr>
            <w:tcW w:w="1368" w:type="dxa"/>
          </w:tcPr>
          <w:p w14:paraId="7D785097" w14:textId="77777777" w:rsidR="00DA7D51" w:rsidRPr="00A25312" w:rsidRDefault="00DA7D51" w:rsidP="00D25E52">
            <w:pPr>
              <w:rPr>
                <w:rFonts w:ascii="Times New Roman" w:hAnsi="Times New Roman" w:cs="Times New Roman"/>
                <w:sz w:val="24"/>
                <w:szCs w:val="24"/>
              </w:rPr>
            </w:pPr>
            <w:r w:rsidRPr="00A25312">
              <w:rPr>
                <w:rFonts w:ascii="Times New Roman" w:hAnsi="Times New Roman" w:cs="Times New Roman"/>
                <w:sz w:val="24"/>
                <w:szCs w:val="24"/>
              </w:rPr>
              <w:t>030(10)(c) (iii)(A)</w:t>
            </w:r>
          </w:p>
          <w:p w14:paraId="7D785098" w14:textId="77777777" w:rsidR="00DA7D51" w:rsidRPr="00A25312" w:rsidRDefault="00DA7D51" w:rsidP="00D25E52">
            <w:pPr>
              <w:rPr>
                <w:rFonts w:ascii="Times New Roman" w:hAnsi="Times New Roman" w:cs="Times New Roman"/>
                <w:sz w:val="24"/>
                <w:szCs w:val="24"/>
              </w:rPr>
            </w:pPr>
          </w:p>
          <w:p w14:paraId="7D785099" w14:textId="77777777" w:rsidR="00DA7D51" w:rsidRPr="00A25312" w:rsidRDefault="00DA7D51" w:rsidP="00D25E52">
            <w:pPr>
              <w:rPr>
                <w:rFonts w:ascii="Times New Roman" w:hAnsi="Times New Roman" w:cs="Times New Roman"/>
                <w:sz w:val="24"/>
                <w:szCs w:val="24"/>
              </w:rPr>
            </w:pPr>
            <w:r w:rsidRPr="00A25312">
              <w:rPr>
                <w:rFonts w:ascii="Times New Roman" w:hAnsi="Times New Roman" w:cs="Times New Roman"/>
                <w:sz w:val="24"/>
                <w:szCs w:val="24"/>
              </w:rPr>
              <w:t>Cost Allocation</w:t>
            </w:r>
          </w:p>
        </w:tc>
        <w:tc>
          <w:tcPr>
            <w:tcW w:w="2250" w:type="dxa"/>
          </w:tcPr>
          <w:p w14:paraId="7D78509A" w14:textId="77777777" w:rsidR="00DA7D51" w:rsidRPr="00A25312" w:rsidRDefault="00DA7D51" w:rsidP="00847F94">
            <w:pPr>
              <w:rPr>
                <w:rFonts w:ascii="Times New Roman" w:hAnsi="Times New Roman" w:cs="Times New Roman"/>
                <w:sz w:val="24"/>
                <w:szCs w:val="24"/>
              </w:rPr>
            </w:pPr>
            <w:r w:rsidRPr="00A25312">
              <w:rPr>
                <w:rFonts w:ascii="Times New Roman" w:hAnsi="Times New Roman" w:cs="Times New Roman"/>
                <w:sz w:val="24"/>
                <w:szCs w:val="24"/>
              </w:rPr>
              <w:t>Avista</w:t>
            </w:r>
          </w:p>
        </w:tc>
        <w:tc>
          <w:tcPr>
            <w:tcW w:w="5040" w:type="dxa"/>
          </w:tcPr>
          <w:p w14:paraId="7D78509B" w14:textId="77777777" w:rsidR="00DA7D51" w:rsidRPr="00A25312" w:rsidRDefault="00DA7D51" w:rsidP="00D25E52">
            <w:pPr>
              <w:rPr>
                <w:rFonts w:ascii="Times New Roman" w:hAnsi="Times New Roman" w:cs="Times New Roman"/>
                <w:sz w:val="24"/>
                <w:szCs w:val="24"/>
              </w:rPr>
            </w:pPr>
            <w:r w:rsidRPr="00A25312">
              <w:rPr>
                <w:rFonts w:ascii="Times New Roman" w:hAnsi="Times New Roman" w:cs="Times New Roman"/>
                <w:sz w:val="24"/>
                <w:szCs w:val="24"/>
              </w:rPr>
              <w:t>Add “replacement” to the list of costs that an interconnection customer must pay for when a utility adds facilities to its electric system that are dedicated solely to the interconnection customer’s use.</w:t>
            </w:r>
          </w:p>
        </w:tc>
        <w:tc>
          <w:tcPr>
            <w:tcW w:w="5760" w:type="dxa"/>
          </w:tcPr>
          <w:p w14:paraId="7D78509C" w14:textId="77777777" w:rsidR="000C459F" w:rsidRPr="00A25312" w:rsidRDefault="001D2BC6" w:rsidP="001D2BC6">
            <w:pPr>
              <w:rPr>
                <w:rFonts w:ascii="Times New Roman" w:hAnsi="Times New Roman" w:cs="Times New Roman"/>
                <w:sz w:val="24"/>
                <w:szCs w:val="24"/>
              </w:rPr>
            </w:pPr>
            <w:r w:rsidRPr="00A25312">
              <w:rPr>
                <w:rFonts w:ascii="Times New Roman" w:hAnsi="Times New Roman" w:cs="Times New Roman"/>
                <w:sz w:val="24"/>
                <w:szCs w:val="24"/>
              </w:rPr>
              <w:t>The Commission declines to make this s</w:t>
            </w:r>
            <w:r w:rsidR="000C459F" w:rsidRPr="00A25312">
              <w:rPr>
                <w:rFonts w:ascii="Times New Roman" w:hAnsi="Times New Roman" w:cs="Times New Roman"/>
                <w:sz w:val="24"/>
                <w:szCs w:val="24"/>
              </w:rPr>
              <w:t>ubstantive change</w:t>
            </w:r>
            <w:r w:rsidRPr="00A25312">
              <w:rPr>
                <w:rFonts w:ascii="Times New Roman" w:hAnsi="Times New Roman" w:cs="Times New Roman"/>
                <w:sz w:val="24"/>
                <w:szCs w:val="24"/>
              </w:rPr>
              <w:t xml:space="preserve"> to the rule at this late stage in the rulemaking process.  Other parties have not </w:t>
            </w:r>
            <w:r w:rsidR="000C459F" w:rsidRPr="00A25312">
              <w:rPr>
                <w:rFonts w:ascii="Times New Roman" w:hAnsi="Times New Roman" w:cs="Times New Roman"/>
                <w:sz w:val="24"/>
                <w:szCs w:val="24"/>
              </w:rPr>
              <w:t xml:space="preserve">had </w:t>
            </w:r>
            <w:r w:rsidRPr="00A25312">
              <w:rPr>
                <w:rFonts w:ascii="Times New Roman" w:hAnsi="Times New Roman" w:cs="Times New Roman"/>
                <w:sz w:val="24"/>
                <w:szCs w:val="24"/>
              </w:rPr>
              <w:t xml:space="preserve">the </w:t>
            </w:r>
            <w:r w:rsidR="000C459F" w:rsidRPr="00A25312">
              <w:rPr>
                <w:rFonts w:ascii="Times New Roman" w:hAnsi="Times New Roman" w:cs="Times New Roman"/>
                <w:sz w:val="24"/>
                <w:szCs w:val="24"/>
              </w:rPr>
              <w:t xml:space="preserve">opportunity </w:t>
            </w:r>
            <w:r w:rsidRPr="00A25312">
              <w:rPr>
                <w:rFonts w:ascii="Times New Roman" w:hAnsi="Times New Roman" w:cs="Times New Roman"/>
                <w:sz w:val="24"/>
                <w:szCs w:val="24"/>
              </w:rPr>
              <w:t>respond to this proposal regarding replacement costs.  The proposed language is not included in the current rule, the model rules, or FERC’s Small Generator Interconnection Agreement.</w:t>
            </w:r>
          </w:p>
        </w:tc>
      </w:tr>
      <w:tr w:rsidR="00DA7D51" w:rsidRPr="00A25312" w14:paraId="7D7850A5" w14:textId="77777777" w:rsidTr="00F05564">
        <w:trPr>
          <w:cantSplit/>
          <w:trHeight w:val="3312"/>
        </w:trPr>
        <w:tc>
          <w:tcPr>
            <w:tcW w:w="1368" w:type="dxa"/>
          </w:tcPr>
          <w:p w14:paraId="7D78509E" w14:textId="77777777" w:rsidR="00DA7D51" w:rsidRPr="00A25312" w:rsidRDefault="00DA7D51" w:rsidP="00847F94">
            <w:pPr>
              <w:rPr>
                <w:rFonts w:ascii="Times New Roman" w:hAnsi="Times New Roman" w:cs="Times New Roman"/>
                <w:sz w:val="24"/>
                <w:szCs w:val="24"/>
              </w:rPr>
            </w:pPr>
            <w:r w:rsidRPr="00A25312">
              <w:rPr>
                <w:rFonts w:ascii="Times New Roman" w:hAnsi="Times New Roman" w:cs="Times New Roman"/>
                <w:sz w:val="24"/>
                <w:szCs w:val="24"/>
              </w:rPr>
              <w:t>030(10)(c)</w:t>
            </w:r>
          </w:p>
          <w:p w14:paraId="7D78509F" w14:textId="77777777" w:rsidR="00DA7D51" w:rsidRPr="00A25312" w:rsidRDefault="00DA7D51" w:rsidP="00847F94">
            <w:pPr>
              <w:rPr>
                <w:rFonts w:ascii="Times New Roman" w:hAnsi="Times New Roman" w:cs="Times New Roman"/>
                <w:sz w:val="24"/>
                <w:szCs w:val="24"/>
              </w:rPr>
            </w:pPr>
            <w:r w:rsidRPr="00A25312">
              <w:rPr>
                <w:rFonts w:ascii="Times New Roman" w:hAnsi="Times New Roman" w:cs="Times New Roman"/>
                <w:sz w:val="24"/>
                <w:szCs w:val="24"/>
              </w:rPr>
              <w:t>(iii)(B)</w:t>
            </w:r>
          </w:p>
          <w:p w14:paraId="7D7850A0" w14:textId="77777777" w:rsidR="00DA7D51" w:rsidRPr="00A25312" w:rsidRDefault="00DA7D51" w:rsidP="00847F94">
            <w:pPr>
              <w:rPr>
                <w:rFonts w:ascii="Times New Roman" w:hAnsi="Times New Roman" w:cs="Times New Roman"/>
                <w:sz w:val="24"/>
                <w:szCs w:val="24"/>
              </w:rPr>
            </w:pPr>
          </w:p>
          <w:p w14:paraId="7D7850A1" w14:textId="77777777" w:rsidR="00DA7D51" w:rsidRPr="00A25312" w:rsidRDefault="00DA7D51" w:rsidP="00847F94">
            <w:pPr>
              <w:rPr>
                <w:rFonts w:ascii="Times New Roman" w:hAnsi="Times New Roman" w:cs="Times New Roman"/>
                <w:sz w:val="24"/>
                <w:szCs w:val="24"/>
              </w:rPr>
            </w:pPr>
            <w:r w:rsidRPr="00A25312">
              <w:rPr>
                <w:rFonts w:ascii="Times New Roman" w:hAnsi="Times New Roman" w:cs="Times New Roman"/>
                <w:sz w:val="24"/>
                <w:szCs w:val="24"/>
              </w:rPr>
              <w:t>Cost Disputes</w:t>
            </w:r>
          </w:p>
        </w:tc>
        <w:tc>
          <w:tcPr>
            <w:tcW w:w="2250" w:type="dxa"/>
          </w:tcPr>
          <w:p w14:paraId="7D7850A2" w14:textId="77777777" w:rsidR="00DA7D51" w:rsidRPr="00A25312" w:rsidRDefault="00DA7D51" w:rsidP="00847F94">
            <w:pPr>
              <w:rPr>
                <w:rFonts w:ascii="Times New Roman" w:hAnsi="Times New Roman" w:cs="Times New Roman"/>
                <w:sz w:val="24"/>
                <w:szCs w:val="24"/>
              </w:rPr>
            </w:pPr>
            <w:r w:rsidRPr="00A25312">
              <w:rPr>
                <w:rFonts w:ascii="Times New Roman" w:hAnsi="Times New Roman" w:cs="Times New Roman"/>
                <w:sz w:val="24"/>
                <w:szCs w:val="24"/>
              </w:rPr>
              <w:t>PacifiCorp</w:t>
            </w:r>
          </w:p>
        </w:tc>
        <w:tc>
          <w:tcPr>
            <w:tcW w:w="5040" w:type="dxa"/>
          </w:tcPr>
          <w:p w14:paraId="7D7850A3" w14:textId="77777777" w:rsidR="00DA7D51" w:rsidRPr="00A25312" w:rsidRDefault="00DA7D51" w:rsidP="00DA7D51">
            <w:pPr>
              <w:rPr>
                <w:rFonts w:ascii="Times New Roman" w:hAnsi="Times New Roman" w:cs="Times New Roman"/>
                <w:sz w:val="24"/>
                <w:szCs w:val="24"/>
              </w:rPr>
            </w:pPr>
            <w:r w:rsidRPr="00A25312">
              <w:rPr>
                <w:rFonts w:ascii="Times New Roman" w:hAnsi="Times New Roman" w:cs="Times New Roman"/>
                <w:sz w:val="24"/>
                <w:szCs w:val="24"/>
              </w:rPr>
              <w:t>Remove the provision allowing a customer to provide an “alternative cost estimate from a third-party qualified to perform the studies required.”</w:t>
            </w:r>
          </w:p>
        </w:tc>
        <w:tc>
          <w:tcPr>
            <w:tcW w:w="5760" w:type="dxa"/>
          </w:tcPr>
          <w:p w14:paraId="7D7850A4" w14:textId="77777777" w:rsidR="00DD199B" w:rsidRPr="00A25312" w:rsidRDefault="00DA7D51" w:rsidP="008C04A9">
            <w:pPr>
              <w:rPr>
                <w:rFonts w:ascii="Times New Roman" w:hAnsi="Times New Roman" w:cs="Times New Roman"/>
                <w:sz w:val="24"/>
                <w:szCs w:val="24"/>
              </w:rPr>
            </w:pPr>
            <w:r w:rsidRPr="00A25312">
              <w:rPr>
                <w:rFonts w:ascii="Times New Roman" w:hAnsi="Times New Roman" w:cs="Times New Roman"/>
                <w:sz w:val="24"/>
                <w:szCs w:val="24"/>
              </w:rPr>
              <w:t>The subsection in question is available to customers under the current rules, and provides a consumer protection function should a utility drastically overestimate the time</w:t>
            </w:r>
            <w:r w:rsidR="00F05564" w:rsidRPr="00A25312">
              <w:rPr>
                <w:rFonts w:ascii="Times New Roman" w:hAnsi="Times New Roman" w:cs="Times New Roman"/>
                <w:sz w:val="24"/>
                <w:szCs w:val="24"/>
              </w:rPr>
              <w:t xml:space="preserve"> or cost of required studies.  </w:t>
            </w:r>
            <w:r w:rsidRPr="00A25312">
              <w:rPr>
                <w:rFonts w:ascii="Times New Roman" w:hAnsi="Times New Roman" w:cs="Times New Roman"/>
                <w:sz w:val="24"/>
                <w:szCs w:val="24"/>
              </w:rPr>
              <w:t>Under the current rules, the utility and the interconnection customer must come to an agreement on the cost and timeline for performing any required studies, and if no agreement can be reached</w:t>
            </w:r>
            <w:r w:rsidR="00F05564" w:rsidRPr="00A25312">
              <w:rPr>
                <w:rFonts w:ascii="Times New Roman" w:hAnsi="Times New Roman" w:cs="Times New Roman"/>
                <w:sz w:val="24"/>
                <w:szCs w:val="24"/>
              </w:rPr>
              <w:t>,</w:t>
            </w:r>
            <w:r w:rsidRPr="00A25312">
              <w:rPr>
                <w:rFonts w:ascii="Times New Roman" w:hAnsi="Times New Roman" w:cs="Times New Roman"/>
                <w:sz w:val="24"/>
                <w:szCs w:val="24"/>
              </w:rPr>
              <w:t xml:space="preserve"> the Commission’s normal dispute resolut</w:t>
            </w:r>
            <w:r w:rsidR="00F05564" w:rsidRPr="00A25312">
              <w:rPr>
                <w:rFonts w:ascii="Times New Roman" w:hAnsi="Times New Roman" w:cs="Times New Roman"/>
                <w:sz w:val="24"/>
                <w:szCs w:val="24"/>
              </w:rPr>
              <w:t xml:space="preserve">ion procedures are available.  </w:t>
            </w:r>
            <w:r w:rsidRPr="00A25312">
              <w:rPr>
                <w:rFonts w:ascii="Times New Roman" w:hAnsi="Times New Roman" w:cs="Times New Roman"/>
                <w:sz w:val="24"/>
                <w:szCs w:val="24"/>
              </w:rPr>
              <w:t>In other states, the timing and cost of system impact studies have been sources of disagreement between interconnection customers and utilities.  The Commission hopes that such disputes do not become common in this state, but retains this consumer protection provision in the event such disputes do arise.</w:t>
            </w:r>
          </w:p>
        </w:tc>
      </w:tr>
      <w:tr w:rsidR="0041221B" w:rsidRPr="007B5A6C" w14:paraId="7D7850AA" w14:textId="77777777" w:rsidTr="0041221B">
        <w:trPr>
          <w:cantSplit/>
          <w:trHeight w:val="2411"/>
        </w:trPr>
        <w:tc>
          <w:tcPr>
            <w:tcW w:w="1368" w:type="dxa"/>
          </w:tcPr>
          <w:p w14:paraId="7D7850A6" w14:textId="77777777" w:rsidR="0041221B" w:rsidRPr="00A25312" w:rsidRDefault="0041221B" w:rsidP="00847F94">
            <w:pPr>
              <w:rPr>
                <w:rFonts w:ascii="Times New Roman" w:hAnsi="Times New Roman" w:cs="Times New Roman"/>
                <w:sz w:val="24"/>
                <w:szCs w:val="24"/>
              </w:rPr>
            </w:pPr>
            <w:r w:rsidRPr="00A25312">
              <w:rPr>
                <w:rFonts w:ascii="Times New Roman" w:hAnsi="Times New Roman" w:cs="Times New Roman"/>
                <w:sz w:val="24"/>
                <w:szCs w:val="24"/>
              </w:rPr>
              <w:t>040(16)</w:t>
            </w:r>
          </w:p>
        </w:tc>
        <w:tc>
          <w:tcPr>
            <w:tcW w:w="2250" w:type="dxa"/>
          </w:tcPr>
          <w:p w14:paraId="7D7850A7" w14:textId="77777777" w:rsidR="0041221B" w:rsidRPr="00A25312" w:rsidRDefault="00514787" w:rsidP="00847F94">
            <w:pPr>
              <w:rPr>
                <w:rFonts w:ascii="Times New Roman" w:hAnsi="Times New Roman" w:cs="Times New Roman"/>
                <w:sz w:val="24"/>
                <w:szCs w:val="24"/>
              </w:rPr>
            </w:pPr>
            <w:r w:rsidRPr="00A25312">
              <w:rPr>
                <w:rFonts w:ascii="Times New Roman" w:hAnsi="Times New Roman" w:cs="Times New Roman"/>
                <w:sz w:val="24"/>
                <w:szCs w:val="24"/>
              </w:rPr>
              <w:t>Inadvertent error</w:t>
            </w:r>
          </w:p>
        </w:tc>
        <w:tc>
          <w:tcPr>
            <w:tcW w:w="5040" w:type="dxa"/>
          </w:tcPr>
          <w:p w14:paraId="7D7850A8" w14:textId="77777777" w:rsidR="0041221B" w:rsidRPr="00A25312" w:rsidRDefault="0041221B" w:rsidP="00514787">
            <w:pPr>
              <w:rPr>
                <w:rFonts w:ascii="Times New Roman" w:hAnsi="Times New Roman" w:cs="Times New Roman"/>
                <w:sz w:val="24"/>
                <w:szCs w:val="24"/>
              </w:rPr>
            </w:pPr>
            <w:r w:rsidRPr="00A25312">
              <w:rPr>
                <w:rFonts w:ascii="Times New Roman" w:hAnsi="Times New Roman" w:cs="Times New Roman"/>
                <w:sz w:val="24"/>
                <w:szCs w:val="24"/>
              </w:rPr>
              <w:t xml:space="preserve">WAC 480-108-040(11) currently reads: “The electrical company also may restrict or prohibit new or expanded interconnected generation capacity on any feeder, circuit or network if engineering, safety or reliability studies establish a need for restriction or prohibition.”  In the proposed rule, </w:t>
            </w:r>
            <w:r w:rsidR="00514787" w:rsidRPr="00A25312">
              <w:rPr>
                <w:rFonts w:ascii="Times New Roman" w:hAnsi="Times New Roman" w:cs="Times New Roman"/>
                <w:sz w:val="24"/>
                <w:szCs w:val="24"/>
              </w:rPr>
              <w:t>the Commission</w:t>
            </w:r>
            <w:r w:rsidRPr="00A25312">
              <w:rPr>
                <w:rFonts w:ascii="Times New Roman" w:hAnsi="Times New Roman" w:cs="Times New Roman"/>
                <w:sz w:val="24"/>
                <w:szCs w:val="24"/>
              </w:rPr>
              <w:t xml:space="preserve"> inadvertently changed the language allow restrictions “</w:t>
            </w:r>
            <w:r w:rsidRPr="00A25312">
              <w:rPr>
                <w:rFonts w:ascii="Times New Roman" w:hAnsi="Times New Roman"/>
                <w:sz w:val="24"/>
                <w:szCs w:val="24"/>
              </w:rPr>
              <w:t xml:space="preserve">supported by” </w:t>
            </w:r>
            <w:r w:rsidRPr="00A25312">
              <w:rPr>
                <w:rFonts w:ascii="Times New Roman" w:hAnsi="Times New Roman" w:cs="Times New Roman"/>
                <w:sz w:val="24"/>
                <w:szCs w:val="24"/>
              </w:rPr>
              <w:t>engineering, safety or reliability studies.</w:t>
            </w:r>
          </w:p>
        </w:tc>
        <w:tc>
          <w:tcPr>
            <w:tcW w:w="5760" w:type="dxa"/>
          </w:tcPr>
          <w:p w14:paraId="7D7850A9" w14:textId="77777777" w:rsidR="0041221B" w:rsidRPr="00A25312" w:rsidRDefault="0041221B" w:rsidP="0041221B">
            <w:pPr>
              <w:rPr>
                <w:rFonts w:ascii="Times New Roman" w:hAnsi="Times New Roman" w:cs="Times New Roman"/>
                <w:sz w:val="24"/>
                <w:szCs w:val="24"/>
              </w:rPr>
            </w:pPr>
            <w:r w:rsidRPr="00A25312">
              <w:rPr>
                <w:rFonts w:ascii="Times New Roman" w:hAnsi="Times New Roman" w:cs="Times New Roman"/>
                <w:sz w:val="24"/>
                <w:szCs w:val="24"/>
              </w:rPr>
              <w:t xml:space="preserve">The Commission retains the intent of the current rule by reverting to the original language that requires studies to “establish” a need for </w:t>
            </w:r>
            <w:r w:rsidR="0006314B" w:rsidRPr="00A25312">
              <w:rPr>
                <w:rFonts w:ascii="Times New Roman" w:hAnsi="Times New Roman" w:cs="Times New Roman"/>
                <w:sz w:val="24"/>
                <w:szCs w:val="24"/>
              </w:rPr>
              <w:t xml:space="preserve">the </w:t>
            </w:r>
            <w:r w:rsidRPr="00A25312">
              <w:rPr>
                <w:rFonts w:ascii="Times New Roman" w:hAnsi="Times New Roman" w:cs="Times New Roman"/>
                <w:sz w:val="24"/>
                <w:szCs w:val="24"/>
              </w:rPr>
              <w:t>restriction or prohibition.</w:t>
            </w:r>
          </w:p>
        </w:tc>
      </w:tr>
    </w:tbl>
    <w:p w14:paraId="7D7850AB" w14:textId="77777777" w:rsidR="00E5446E" w:rsidRPr="00AD3312" w:rsidRDefault="00E5446E" w:rsidP="00AD3312">
      <w:pPr>
        <w:rPr>
          <w:rFonts w:ascii="Times New Roman" w:hAnsi="Times New Roman" w:cs="Times New Roman"/>
          <w:sz w:val="24"/>
          <w:szCs w:val="24"/>
        </w:rPr>
      </w:pPr>
    </w:p>
    <w:sectPr w:rsidR="00E5446E" w:rsidRPr="00AD3312" w:rsidSect="00D21045">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850AE" w14:textId="77777777" w:rsidR="00DA1C13" w:rsidRDefault="00DA1C13" w:rsidP="00A670D3">
      <w:r>
        <w:separator/>
      </w:r>
    </w:p>
  </w:endnote>
  <w:endnote w:type="continuationSeparator" w:id="0">
    <w:p w14:paraId="7D7850AF" w14:textId="77777777" w:rsidR="00DA1C13" w:rsidRDefault="00DA1C13" w:rsidP="00A6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318758"/>
      <w:docPartObj>
        <w:docPartGallery w:val="Page Numbers (Bottom of Page)"/>
        <w:docPartUnique/>
      </w:docPartObj>
    </w:sdtPr>
    <w:sdtEndPr>
      <w:rPr>
        <w:noProof/>
      </w:rPr>
    </w:sdtEndPr>
    <w:sdtContent>
      <w:p w14:paraId="7D7850B0" w14:textId="77777777" w:rsidR="00106BBC" w:rsidRDefault="00106BBC">
        <w:pPr>
          <w:pStyle w:val="Footer"/>
          <w:jc w:val="center"/>
        </w:pPr>
        <w:r>
          <w:fldChar w:fldCharType="begin"/>
        </w:r>
        <w:r>
          <w:instrText xml:space="preserve"> PAGE   \* MERGEFORMAT </w:instrText>
        </w:r>
        <w:r>
          <w:fldChar w:fldCharType="separate"/>
        </w:r>
        <w:r w:rsidR="009D025F">
          <w:rPr>
            <w:noProof/>
          </w:rPr>
          <w:t>1</w:t>
        </w:r>
        <w:r>
          <w:rPr>
            <w:noProof/>
          </w:rPr>
          <w:fldChar w:fldCharType="end"/>
        </w:r>
      </w:p>
    </w:sdtContent>
  </w:sdt>
  <w:p w14:paraId="7D7850B1" w14:textId="77777777" w:rsidR="00106BBC" w:rsidRDefault="00106B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850AC" w14:textId="77777777" w:rsidR="00DA1C13" w:rsidRDefault="00DA1C13" w:rsidP="00A670D3">
      <w:r>
        <w:separator/>
      </w:r>
    </w:p>
  </w:footnote>
  <w:footnote w:type="continuationSeparator" w:id="0">
    <w:p w14:paraId="7D7850AD" w14:textId="77777777" w:rsidR="00DA1C13" w:rsidRDefault="00DA1C13" w:rsidP="00A670D3">
      <w:r>
        <w:continuationSeparator/>
      </w:r>
    </w:p>
  </w:footnote>
  <w:footnote w:id="1">
    <w:p w14:paraId="7D7850B2" w14:textId="77777777" w:rsidR="00106BBC" w:rsidRPr="005A1980" w:rsidRDefault="00106BBC">
      <w:pPr>
        <w:pStyle w:val="FootnoteText"/>
        <w:rPr>
          <w:rFonts w:ascii="Times New Roman" w:hAnsi="Times New Roman" w:cs="Times New Roman"/>
        </w:rPr>
      </w:pPr>
      <w:r w:rsidRPr="005A1980">
        <w:rPr>
          <w:rStyle w:val="FootnoteReference"/>
          <w:rFonts w:ascii="Times New Roman" w:hAnsi="Times New Roman" w:cs="Times New Roman"/>
        </w:rPr>
        <w:footnoteRef/>
      </w:r>
      <w:r w:rsidRPr="005A1980">
        <w:rPr>
          <w:rFonts w:ascii="Times New Roman" w:hAnsi="Times New Roman" w:cs="Times New Roman"/>
        </w:rPr>
        <w:t xml:space="preserve"> Washington Public Utility Districts Association, Washington Rural Electric Cooperative Association, Inland Power and Light, and Klickitat PUD</w:t>
      </w:r>
      <w:r>
        <w:rPr>
          <w:rFonts w:ascii="Times New Roman" w:hAnsi="Times New Roman" w:cs="Times New Roman"/>
        </w:rPr>
        <w:t xml:space="preserve"> submitted joint comments on May 22, 2013 identifying themselves as the COU Parties.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94490"/>
    <w:multiLevelType w:val="hybridMultilevel"/>
    <w:tmpl w:val="057A71B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0D8364B"/>
    <w:multiLevelType w:val="hybridMultilevel"/>
    <w:tmpl w:val="7736C0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04C7EB3"/>
    <w:multiLevelType w:val="hybridMultilevel"/>
    <w:tmpl w:val="DBF852E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74A5AF1"/>
    <w:multiLevelType w:val="hybridMultilevel"/>
    <w:tmpl w:val="AEEE82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B6374C6"/>
    <w:multiLevelType w:val="hybridMultilevel"/>
    <w:tmpl w:val="9C0ABB6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46E"/>
    <w:rsid w:val="000045F4"/>
    <w:rsid w:val="00006D57"/>
    <w:rsid w:val="000171F9"/>
    <w:rsid w:val="000222E3"/>
    <w:rsid w:val="0002695A"/>
    <w:rsid w:val="00027D92"/>
    <w:rsid w:val="00027F96"/>
    <w:rsid w:val="00040E67"/>
    <w:rsid w:val="0006314B"/>
    <w:rsid w:val="00077AC4"/>
    <w:rsid w:val="00077FC7"/>
    <w:rsid w:val="000A37E6"/>
    <w:rsid w:val="000C1215"/>
    <w:rsid w:val="000C459F"/>
    <w:rsid w:val="000C485C"/>
    <w:rsid w:val="000D5ED6"/>
    <w:rsid w:val="000E403E"/>
    <w:rsid w:val="000E640C"/>
    <w:rsid w:val="000F08A4"/>
    <w:rsid w:val="000F2973"/>
    <w:rsid w:val="000F7DAB"/>
    <w:rsid w:val="00106BBC"/>
    <w:rsid w:val="0012130D"/>
    <w:rsid w:val="001468BE"/>
    <w:rsid w:val="00151224"/>
    <w:rsid w:val="001871AE"/>
    <w:rsid w:val="00192EAD"/>
    <w:rsid w:val="001A30DE"/>
    <w:rsid w:val="001C23E1"/>
    <w:rsid w:val="001C5AB1"/>
    <w:rsid w:val="001D2BC6"/>
    <w:rsid w:val="001D5869"/>
    <w:rsid w:val="001E1D7A"/>
    <w:rsid w:val="001E5DF0"/>
    <w:rsid w:val="00200697"/>
    <w:rsid w:val="00205A25"/>
    <w:rsid w:val="00227BE7"/>
    <w:rsid w:val="00231BD7"/>
    <w:rsid w:val="00240F40"/>
    <w:rsid w:val="00254C87"/>
    <w:rsid w:val="002701A1"/>
    <w:rsid w:val="002712C4"/>
    <w:rsid w:val="002722D6"/>
    <w:rsid w:val="0028246C"/>
    <w:rsid w:val="00290A51"/>
    <w:rsid w:val="00297272"/>
    <w:rsid w:val="002A5049"/>
    <w:rsid w:val="002A7A44"/>
    <w:rsid w:val="002B5907"/>
    <w:rsid w:val="002B7A78"/>
    <w:rsid w:val="002C039A"/>
    <w:rsid w:val="002C4CEA"/>
    <w:rsid w:val="002C525F"/>
    <w:rsid w:val="002D0E84"/>
    <w:rsid w:val="002D2FD8"/>
    <w:rsid w:val="002D4B80"/>
    <w:rsid w:val="003138C3"/>
    <w:rsid w:val="00316699"/>
    <w:rsid w:val="003175C3"/>
    <w:rsid w:val="0032063B"/>
    <w:rsid w:val="00330159"/>
    <w:rsid w:val="00330AEB"/>
    <w:rsid w:val="00377242"/>
    <w:rsid w:val="003930C3"/>
    <w:rsid w:val="003A4056"/>
    <w:rsid w:val="003C4B67"/>
    <w:rsid w:val="003D1426"/>
    <w:rsid w:val="003E589C"/>
    <w:rsid w:val="003E6686"/>
    <w:rsid w:val="0041221B"/>
    <w:rsid w:val="00414ADB"/>
    <w:rsid w:val="004205E7"/>
    <w:rsid w:val="00421EFD"/>
    <w:rsid w:val="00426A4B"/>
    <w:rsid w:val="00433607"/>
    <w:rsid w:val="00462F60"/>
    <w:rsid w:val="00483E2F"/>
    <w:rsid w:val="004858BE"/>
    <w:rsid w:val="00491563"/>
    <w:rsid w:val="004A1148"/>
    <w:rsid w:val="004B697D"/>
    <w:rsid w:val="00514787"/>
    <w:rsid w:val="00515FF4"/>
    <w:rsid w:val="00517CAA"/>
    <w:rsid w:val="00526935"/>
    <w:rsid w:val="00552600"/>
    <w:rsid w:val="00563FC9"/>
    <w:rsid w:val="0057284A"/>
    <w:rsid w:val="005A1980"/>
    <w:rsid w:val="005A6C74"/>
    <w:rsid w:val="005C468B"/>
    <w:rsid w:val="005D6253"/>
    <w:rsid w:val="005E43C0"/>
    <w:rsid w:val="005E46CD"/>
    <w:rsid w:val="005E7832"/>
    <w:rsid w:val="005F1B5D"/>
    <w:rsid w:val="00606A82"/>
    <w:rsid w:val="00610EB9"/>
    <w:rsid w:val="00621CD1"/>
    <w:rsid w:val="0062756B"/>
    <w:rsid w:val="00633A11"/>
    <w:rsid w:val="0063656A"/>
    <w:rsid w:val="006418DB"/>
    <w:rsid w:val="006605FB"/>
    <w:rsid w:val="00672F7B"/>
    <w:rsid w:val="00674EE4"/>
    <w:rsid w:val="00695A16"/>
    <w:rsid w:val="006A4052"/>
    <w:rsid w:val="006A41EE"/>
    <w:rsid w:val="006C5D7B"/>
    <w:rsid w:val="006E70B6"/>
    <w:rsid w:val="00776647"/>
    <w:rsid w:val="00780BEB"/>
    <w:rsid w:val="0078501A"/>
    <w:rsid w:val="007B0218"/>
    <w:rsid w:val="007B5A6C"/>
    <w:rsid w:val="007B7AEC"/>
    <w:rsid w:val="007D1227"/>
    <w:rsid w:val="007D2DC0"/>
    <w:rsid w:val="007D7ED4"/>
    <w:rsid w:val="00815D94"/>
    <w:rsid w:val="008175D6"/>
    <w:rsid w:val="008276E0"/>
    <w:rsid w:val="00841AC3"/>
    <w:rsid w:val="00847F94"/>
    <w:rsid w:val="0085072A"/>
    <w:rsid w:val="00851E8C"/>
    <w:rsid w:val="008559C7"/>
    <w:rsid w:val="00867C91"/>
    <w:rsid w:val="00872463"/>
    <w:rsid w:val="008846D7"/>
    <w:rsid w:val="008951E6"/>
    <w:rsid w:val="0089675C"/>
    <w:rsid w:val="008B2DEA"/>
    <w:rsid w:val="008C04A9"/>
    <w:rsid w:val="008D3F80"/>
    <w:rsid w:val="008D5B79"/>
    <w:rsid w:val="00907C5C"/>
    <w:rsid w:val="00942CAE"/>
    <w:rsid w:val="0094483A"/>
    <w:rsid w:val="00945187"/>
    <w:rsid w:val="00960271"/>
    <w:rsid w:val="00960598"/>
    <w:rsid w:val="00977282"/>
    <w:rsid w:val="00982FDE"/>
    <w:rsid w:val="009D025F"/>
    <w:rsid w:val="00A07905"/>
    <w:rsid w:val="00A25312"/>
    <w:rsid w:val="00A32ECB"/>
    <w:rsid w:val="00A354B2"/>
    <w:rsid w:val="00A4660F"/>
    <w:rsid w:val="00A54CF6"/>
    <w:rsid w:val="00A55D57"/>
    <w:rsid w:val="00A670D3"/>
    <w:rsid w:val="00A84C2A"/>
    <w:rsid w:val="00A8629C"/>
    <w:rsid w:val="00AA0DB5"/>
    <w:rsid w:val="00AD3312"/>
    <w:rsid w:val="00AD6312"/>
    <w:rsid w:val="00AD7318"/>
    <w:rsid w:val="00AE2148"/>
    <w:rsid w:val="00AE273E"/>
    <w:rsid w:val="00AF4717"/>
    <w:rsid w:val="00B072C6"/>
    <w:rsid w:val="00B0799A"/>
    <w:rsid w:val="00B13041"/>
    <w:rsid w:val="00B16D84"/>
    <w:rsid w:val="00B2425D"/>
    <w:rsid w:val="00B260E7"/>
    <w:rsid w:val="00B34481"/>
    <w:rsid w:val="00B348A5"/>
    <w:rsid w:val="00B62893"/>
    <w:rsid w:val="00B843EF"/>
    <w:rsid w:val="00BB4B56"/>
    <w:rsid w:val="00BB748E"/>
    <w:rsid w:val="00BC5373"/>
    <w:rsid w:val="00BD6B60"/>
    <w:rsid w:val="00C4141B"/>
    <w:rsid w:val="00C5660E"/>
    <w:rsid w:val="00C643B2"/>
    <w:rsid w:val="00C97CD4"/>
    <w:rsid w:val="00CE03E0"/>
    <w:rsid w:val="00CE6912"/>
    <w:rsid w:val="00CF4DF8"/>
    <w:rsid w:val="00D21045"/>
    <w:rsid w:val="00D212BB"/>
    <w:rsid w:val="00D25E52"/>
    <w:rsid w:val="00D31125"/>
    <w:rsid w:val="00D328C8"/>
    <w:rsid w:val="00D34B20"/>
    <w:rsid w:val="00D36AD8"/>
    <w:rsid w:val="00D37865"/>
    <w:rsid w:val="00D42811"/>
    <w:rsid w:val="00D452E4"/>
    <w:rsid w:val="00D573D4"/>
    <w:rsid w:val="00D6350A"/>
    <w:rsid w:val="00D8663D"/>
    <w:rsid w:val="00D95E68"/>
    <w:rsid w:val="00DA1B86"/>
    <w:rsid w:val="00DA1C13"/>
    <w:rsid w:val="00DA326A"/>
    <w:rsid w:val="00DA7D51"/>
    <w:rsid w:val="00DC64C2"/>
    <w:rsid w:val="00DD199B"/>
    <w:rsid w:val="00DD2A47"/>
    <w:rsid w:val="00DF3A6C"/>
    <w:rsid w:val="00E07851"/>
    <w:rsid w:val="00E23031"/>
    <w:rsid w:val="00E460BF"/>
    <w:rsid w:val="00E4625D"/>
    <w:rsid w:val="00E5174E"/>
    <w:rsid w:val="00E5446E"/>
    <w:rsid w:val="00E60DF2"/>
    <w:rsid w:val="00E65B86"/>
    <w:rsid w:val="00E66B3D"/>
    <w:rsid w:val="00E7045E"/>
    <w:rsid w:val="00E73F3E"/>
    <w:rsid w:val="00E828AC"/>
    <w:rsid w:val="00E87D0E"/>
    <w:rsid w:val="00E92D3F"/>
    <w:rsid w:val="00EA08B6"/>
    <w:rsid w:val="00ED7D7E"/>
    <w:rsid w:val="00EE18F1"/>
    <w:rsid w:val="00EF02FE"/>
    <w:rsid w:val="00EF3F12"/>
    <w:rsid w:val="00EF7B76"/>
    <w:rsid w:val="00EF7DC2"/>
    <w:rsid w:val="00F002BF"/>
    <w:rsid w:val="00F032D9"/>
    <w:rsid w:val="00F05564"/>
    <w:rsid w:val="00F07837"/>
    <w:rsid w:val="00F1423D"/>
    <w:rsid w:val="00F21B68"/>
    <w:rsid w:val="00F43D7B"/>
    <w:rsid w:val="00F468CC"/>
    <w:rsid w:val="00F855B9"/>
    <w:rsid w:val="00F91B78"/>
    <w:rsid w:val="00F936EE"/>
    <w:rsid w:val="00F972CC"/>
    <w:rsid w:val="00FA2753"/>
    <w:rsid w:val="00FC2746"/>
    <w:rsid w:val="00FD1B43"/>
    <w:rsid w:val="00FD6F70"/>
    <w:rsid w:val="00FE6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8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544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70D3"/>
    <w:pPr>
      <w:tabs>
        <w:tab w:val="center" w:pos="4680"/>
        <w:tab w:val="right" w:pos="9360"/>
      </w:tabs>
    </w:pPr>
  </w:style>
  <w:style w:type="character" w:customStyle="1" w:styleId="HeaderChar">
    <w:name w:val="Header Char"/>
    <w:basedOn w:val="DefaultParagraphFont"/>
    <w:link w:val="Header"/>
    <w:uiPriority w:val="99"/>
    <w:rsid w:val="00A670D3"/>
  </w:style>
  <w:style w:type="paragraph" w:styleId="Footer">
    <w:name w:val="footer"/>
    <w:basedOn w:val="Normal"/>
    <w:link w:val="FooterChar"/>
    <w:uiPriority w:val="99"/>
    <w:unhideWhenUsed/>
    <w:rsid w:val="00A670D3"/>
    <w:pPr>
      <w:tabs>
        <w:tab w:val="center" w:pos="4680"/>
        <w:tab w:val="right" w:pos="9360"/>
      </w:tabs>
    </w:pPr>
  </w:style>
  <w:style w:type="character" w:customStyle="1" w:styleId="FooterChar">
    <w:name w:val="Footer Char"/>
    <w:basedOn w:val="DefaultParagraphFont"/>
    <w:link w:val="Footer"/>
    <w:uiPriority w:val="99"/>
    <w:rsid w:val="00A670D3"/>
  </w:style>
  <w:style w:type="character" w:styleId="Hyperlink">
    <w:name w:val="Hyperlink"/>
    <w:basedOn w:val="DefaultParagraphFont"/>
    <w:uiPriority w:val="99"/>
    <w:unhideWhenUsed/>
    <w:rsid w:val="00517CAA"/>
    <w:rPr>
      <w:color w:val="0000FF" w:themeColor="hyperlink"/>
      <w:u w:val="single"/>
    </w:rPr>
  </w:style>
  <w:style w:type="paragraph" w:styleId="ListParagraph">
    <w:name w:val="List Paragraph"/>
    <w:basedOn w:val="Normal"/>
    <w:uiPriority w:val="34"/>
    <w:qFormat/>
    <w:rsid w:val="00377242"/>
    <w:pPr>
      <w:spacing w:after="200" w:line="276" w:lineRule="auto"/>
      <w:ind w:left="720"/>
      <w:contextualSpacing/>
    </w:pPr>
  </w:style>
  <w:style w:type="paragraph" w:styleId="BalloonText">
    <w:name w:val="Balloon Text"/>
    <w:basedOn w:val="Normal"/>
    <w:link w:val="BalloonTextChar"/>
    <w:uiPriority w:val="99"/>
    <w:semiHidden/>
    <w:unhideWhenUsed/>
    <w:rsid w:val="003930C3"/>
    <w:rPr>
      <w:rFonts w:ascii="Tahoma" w:hAnsi="Tahoma" w:cs="Tahoma"/>
      <w:sz w:val="16"/>
      <w:szCs w:val="16"/>
    </w:rPr>
  </w:style>
  <w:style w:type="character" w:customStyle="1" w:styleId="BalloonTextChar">
    <w:name w:val="Balloon Text Char"/>
    <w:basedOn w:val="DefaultParagraphFont"/>
    <w:link w:val="BalloonText"/>
    <w:uiPriority w:val="99"/>
    <w:semiHidden/>
    <w:rsid w:val="003930C3"/>
    <w:rPr>
      <w:rFonts w:ascii="Tahoma" w:hAnsi="Tahoma" w:cs="Tahoma"/>
      <w:sz w:val="16"/>
      <w:szCs w:val="16"/>
    </w:rPr>
  </w:style>
  <w:style w:type="character" w:styleId="CommentReference">
    <w:name w:val="annotation reference"/>
    <w:basedOn w:val="DefaultParagraphFont"/>
    <w:uiPriority w:val="99"/>
    <w:semiHidden/>
    <w:unhideWhenUsed/>
    <w:rsid w:val="003C4B67"/>
    <w:rPr>
      <w:sz w:val="16"/>
      <w:szCs w:val="16"/>
    </w:rPr>
  </w:style>
  <w:style w:type="paragraph" w:styleId="CommentText">
    <w:name w:val="annotation text"/>
    <w:basedOn w:val="Normal"/>
    <w:link w:val="CommentTextChar"/>
    <w:uiPriority w:val="99"/>
    <w:semiHidden/>
    <w:unhideWhenUsed/>
    <w:rsid w:val="003C4B67"/>
    <w:rPr>
      <w:sz w:val="20"/>
      <w:szCs w:val="20"/>
    </w:rPr>
  </w:style>
  <w:style w:type="character" w:customStyle="1" w:styleId="CommentTextChar">
    <w:name w:val="Comment Text Char"/>
    <w:basedOn w:val="DefaultParagraphFont"/>
    <w:link w:val="CommentText"/>
    <w:uiPriority w:val="99"/>
    <w:semiHidden/>
    <w:rsid w:val="003C4B67"/>
    <w:rPr>
      <w:sz w:val="20"/>
      <w:szCs w:val="20"/>
    </w:rPr>
  </w:style>
  <w:style w:type="paragraph" w:styleId="CommentSubject">
    <w:name w:val="annotation subject"/>
    <w:basedOn w:val="CommentText"/>
    <w:next w:val="CommentText"/>
    <w:link w:val="CommentSubjectChar"/>
    <w:uiPriority w:val="99"/>
    <w:semiHidden/>
    <w:unhideWhenUsed/>
    <w:rsid w:val="003C4B67"/>
    <w:rPr>
      <w:b/>
      <w:bCs/>
    </w:rPr>
  </w:style>
  <w:style w:type="character" w:customStyle="1" w:styleId="CommentSubjectChar">
    <w:name w:val="Comment Subject Char"/>
    <w:basedOn w:val="CommentTextChar"/>
    <w:link w:val="CommentSubject"/>
    <w:uiPriority w:val="99"/>
    <w:semiHidden/>
    <w:rsid w:val="003C4B67"/>
    <w:rPr>
      <w:b/>
      <w:bCs/>
      <w:sz w:val="20"/>
      <w:szCs w:val="20"/>
    </w:rPr>
  </w:style>
  <w:style w:type="paragraph" w:styleId="FootnoteText">
    <w:name w:val="footnote text"/>
    <w:basedOn w:val="Normal"/>
    <w:link w:val="FootnoteTextChar"/>
    <w:uiPriority w:val="99"/>
    <w:semiHidden/>
    <w:unhideWhenUsed/>
    <w:rsid w:val="00077AC4"/>
    <w:rPr>
      <w:sz w:val="20"/>
      <w:szCs w:val="20"/>
    </w:rPr>
  </w:style>
  <w:style w:type="character" w:customStyle="1" w:styleId="FootnoteTextChar">
    <w:name w:val="Footnote Text Char"/>
    <w:basedOn w:val="DefaultParagraphFont"/>
    <w:link w:val="FootnoteText"/>
    <w:uiPriority w:val="99"/>
    <w:semiHidden/>
    <w:rsid w:val="00077AC4"/>
    <w:rPr>
      <w:sz w:val="20"/>
      <w:szCs w:val="20"/>
    </w:rPr>
  </w:style>
  <w:style w:type="character" w:styleId="FootnoteReference">
    <w:name w:val="footnote reference"/>
    <w:basedOn w:val="DefaultParagraphFont"/>
    <w:uiPriority w:val="99"/>
    <w:semiHidden/>
    <w:unhideWhenUsed/>
    <w:rsid w:val="00077A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544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70D3"/>
    <w:pPr>
      <w:tabs>
        <w:tab w:val="center" w:pos="4680"/>
        <w:tab w:val="right" w:pos="9360"/>
      </w:tabs>
    </w:pPr>
  </w:style>
  <w:style w:type="character" w:customStyle="1" w:styleId="HeaderChar">
    <w:name w:val="Header Char"/>
    <w:basedOn w:val="DefaultParagraphFont"/>
    <w:link w:val="Header"/>
    <w:uiPriority w:val="99"/>
    <w:rsid w:val="00A670D3"/>
  </w:style>
  <w:style w:type="paragraph" w:styleId="Footer">
    <w:name w:val="footer"/>
    <w:basedOn w:val="Normal"/>
    <w:link w:val="FooterChar"/>
    <w:uiPriority w:val="99"/>
    <w:unhideWhenUsed/>
    <w:rsid w:val="00A670D3"/>
    <w:pPr>
      <w:tabs>
        <w:tab w:val="center" w:pos="4680"/>
        <w:tab w:val="right" w:pos="9360"/>
      </w:tabs>
    </w:pPr>
  </w:style>
  <w:style w:type="character" w:customStyle="1" w:styleId="FooterChar">
    <w:name w:val="Footer Char"/>
    <w:basedOn w:val="DefaultParagraphFont"/>
    <w:link w:val="Footer"/>
    <w:uiPriority w:val="99"/>
    <w:rsid w:val="00A670D3"/>
  </w:style>
  <w:style w:type="character" w:styleId="Hyperlink">
    <w:name w:val="Hyperlink"/>
    <w:basedOn w:val="DefaultParagraphFont"/>
    <w:uiPriority w:val="99"/>
    <w:unhideWhenUsed/>
    <w:rsid w:val="00517CAA"/>
    <w:rPr>
      <w:color w:val="0000FF" w:themeColor="hyperlink"/>
      <w:u w:val="single"/>
    </w:rPr>
  </w:style>
  <w:style w:type="paragraph" w:styleId="ListParagraph">
    <w:name w:val="List Paragraph"/>
    <w:basedOn w:val="Normal"/>
    <w:uiPriority w:val="34"/>
    <w:qFormat/>
    <w:rsid w:val="00377242"/>
    <w:pPr>
      <w:spacing w:after="200" w:line="276" w:lineRule="auto"/>
      <w:ind w:left="720"/>
      <w:contextualSpacing/>
    </w:pPr>
  </w:style>
  <w:style w:type="paragraph" w:styleId="BalloonText">
    <w:name w:val="Balloon Text"/>
    <w:basedOn w:val="Normal"/>
    <w:link w:val="BalloonTextChar"/>
    <w:uiPriority w:val="99"/>
    <w:semiHidden/>
    <w:unhideWhenUsed/>
    <w:rsid w:val="003930C3"/>
    <w:rPr>
      <w:rFonts w:ascii="Tahoma" w:hAnsi="Tahoma" w:cs="Tahoma"/>
      <w:sz w:val="16"/>
      <w:szCs w:val="16"/>
    </w:rPr>
  </w:style>
  <w:style w:type="character" w:customStyle="1" w:styleId="BalloonTextChar">
    <w:name w:val="Balloon Text Char"/>
    <w:basedOn w:val="DefaultParagraphFont"/>
    <w:link w:val="BalloonText"/>
    <w:uiPriority w:val="99"/>
    <w:semiHidden/>
    <w:rsid w:val="003930C3"/>
    <w:rPr>
      <w:rFonts w:ascii="Tahoma" w:hAnsi="Tahoma" w:cs="Tahoma"/>
      <w:sz w:val="16"/>
      <w:szCs w:val="16"/>
    </w:rPr>
  </w:style>
  <w:style w:type="character" w:styleId="CommentReference">
    <w:name w:val="annotation reference"/>
    <w:basedOn w:val="DefaultParagraphFont"/>
    <w:uiPriority w:val="99"/>
    <w:semiHidden/>
    <w:unhideWhenUsed/>
    <w:rsid w:val="003C4B67"/>
    <w:rPr>
      <w:sz w:val="16"/>
      <w:szCs w:val="16"/>
    </w:rPr>
  </w:style>
  <w:style w:type="paragraph" w:styleId="CommentText">
    <w:name w:val="annotation text"/>
    <w:basedOn w:val="Normal"/>
    <w:link w:val="CommentTextChar"/>
    <w:uiPriority w:val="99"/>
    <w:semiHidden/>
    <w:unhideWhenUsed/>
    <w:rsid w:val="003C4B67"/>
    <w:rPr>
      <w:sz w:val="20"/>
      <w:szCs w:val="20"/>
    </w:rPr>
  </w:style>
  <w:style w:type="character" w:customStyle="1" w:styleId="CommentTextChar">
    <w:name w:val="Comment Text Char"/>
    <w:basedOn w:val="DefaultParagraphFont"/>
    <w:link w:val="CommentText"/>
    <w:uiPriority w:val="99"/>
    <w:semiHidden/>
    <w:rsid w:val="003C4B67"/>
    <w:rPr>
      <w:sz w:val="20"/>
      <w:szCs w:val="20"/>
    </w:rPr>
  </w:style>
  <w:style w:type="paragraph" w:styleId="CommentSubject">
    <w:name w:val="annotation subject"/>
    <w:basedOn w:val="CommentText"/>
    <w:next w:val="CommentText"/>
    <w:link w:val="CommentSubjectChar"/>
    <w:uiPriority w:val="99"/>
    <w:semiHidden/>
    <w:unhideWhenUsed/>
    <w:rsid w:val="003C4B67"/>
    <w:rPr>
      <w:b/>
      <w:bCs/>
    </w:rPr>
  </w:style>
  <w:style w:type="character" w:customStyle="1" w:styleId="CommentSubjectChar">
    <w:name w:val="Comment Subject Char"/>
    <w:basedOn w:val="CommentTextChar"/>
    <w:link w:val="CommentSubject"/>
    <w:uiPriority w:val="99"/>
    <w:semiHidden/>
    <w:rsid w:val="003C4B67"/>
    <w:rPr>
      <w:b/>
      <w:bCs/>
      <w:sz w:val="20"/>
      <w:szCs w:val="20"/>
    </w:rPr>
  </w:style>
  <w:style w:type="paragraph" w:styleId="FootnoteText">
    <w:name w:val="footnote text"/>
    <w:basedOn w:val="Normal"/>
    <w:link w:val="FootnoteTextChar"/>
    <w:uiPriority w:val="99"/>
    <w:semiHidden/>
    <w:unhideWhenUsed/>
    <w:rsid w:val="00077AC4"/>
    <w:rPr>
      <w:sz w:val="20"/>
      <w:szCs w:val="20"/>
    </w:rPr>
  </w:style>
  <w:style w:type="character" w:customStyle="1" w:styleId="FootnoteTextChar">
    <w:name w:val="Footnote Text Char"/>
    <w:basedOn w:val="DefaultParagraphFont"/>
    <w:link w:val="FootnoteText"/>
    <w:uiPriority w:val="99"/>
    <w:semiHidden/>
    <w:rsid w:val="00077AC4"/>
    <w:rPr>
      <w:sz w:val="20"/>
      <w:szCs w:val="20"/>
    </w:rPr>
  </w:style>
  <w:style w:type="character" w:styleId="FootnoteReference">
    <w:name w:val="footnote reference"/>
    <w:basedOn w:val="DefaultParagraphFont"/>
    <w:uiPriority w:val="99"/>
    <w:semiHidden/>
    <w:unhideWhenUsed/>
    <w:rsid w:val="00077A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tc.wa.gov/rms2.nsf/177d98baa5918c7388256a550064a61e/23c2dfeb293c30948825791b007251a9!OpenDocument"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2013-07-19T07:00:00+00:00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E6D8F-1056-47D2-9E53-13D50CA114EE}"/>
</file>

<file path=customXml/itemProps2.xml><?xml version="1.0" encoding="utf-8"?>
<ds:datastoreItem xmlns:ds="http://schemas.openxmlformats.org/officeDocument/2006/customXml" ds:itemID="{189EE24B-5BCC-4850-A862-47F87F05C014}"/>
</file>

<file path=customXml/itemProps3.xml><?xml version="1.0" encoding="utf-8"?>
<ds:datastoreItem xmlns:ds="http://schemas.openxmlformats.org/officeDocument/2006/customXml" ds:itemID="{C04D41AE-D793-4F5F-A9A3-0055F5F6462C}"/>
</file>

<file path=customXml/itemProps4.xml><?xml version="1.0" encoding="utf-8"?>
<ds:datastoreItem xmlns:ds="http://schemas.openxmlformats.org/officeDocument/2006/customXml" ds:itemID="{685F499F-2E8D-4F4B-96B8-21A9902E60AC}"/>
</file>

<file path=docProps/app.xml><?xml version="1.0" encoding="utf-8"?>
<Properties xmlns="http://schemas.openxmlformats.org/officeDocument/2006/extended-properties" xmlns:vt="http://schemas.openxmlformats.org/officeDocument/2006/docPropsVTypes">
  <Template>Normal</Template>
  <TotalTime>0</TotalTime>
  <Pages>6</Pages>
  <Words>1936</Words>
  <Characters>11038</Characters>
  <Application>Microsoft Office Word</Application>
  <DocSecurity>0</DocSecurity>
  <Lines>91</Lines>
  <Paragraphs>25</Paragraphs>
  <ScaleCrop>false</ScaleCrop>
  <Company/>
  <LinksUpToDate>false</LinksUpToDate>
  <CharactersWithSpaces>12949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2013-07-18T19:17:00Z</dcterms:created>
  <dcterms:modified xsi:type="dcterms:W3CDTF">2013-07-18T19:17:00Z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0x0101006E56B4D1795A2E4DB2F0B01679ED314A001072D3F4E407594A9C69547AA3C5F758</vt:lpwstr>
  </property>
  <property fmtid="{D5CDD505-2E9C-101B-9397-08002B2CF9AE}" pid="3" name="_docset_NoMedatataSyncRequired">
    <vt:lpwstr>False</vt:lpwstr>
  </property>
</Properties>
</file>