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80B9" w14:textId="77777777" w:rsidR="00F5635C" w:rsidRDefault="00285C9E" w:rsidP="00134BE6">
      <w:pPr>
        <w:rPr>
          <w:rFonts w:ascii="Arial" w:hAnsi="Arial"/>
          <w:i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94A80F0" wp14:editId="294A80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4A80BA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294A80BB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294A80BC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294A80BD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294A80BE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294A80BF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294A80C0" w14:textId="77777777" w:rsidR="003E32BC" w:rsidRDefault="003E32BC" w:rsidP="00126E7F">
      <w:pPr>
        <w:rPr>
          <w:sz w:val="24"/>
          <w:szCs w:val="24"/>
        </w:rPr>
      </w:pPr>
    </w:p>
    <w:p w14:paraId="294A80C1" w14:textId="77777777" w:rsidR="00BD4874" w:rsidRDefault="00BD4874" w:rsidP="002121E7">
      <w:pPr>
        <w:ind w:left="3600" w:firstLine="720"/>
        <w:rPr>
          <w:sz w:val="24"/>
          <w:szCs w:val="24"/>
        </w:rPr>
      </w:pPr>
    </w:p>
    <w:p w14:paraId="294A80C2" w14:textId="77777777" w:rsidR="00F5635C" w:rsidRPr="0012097E" w:rsidRDefault="003D2E50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 29</w:t>
      </w:r>
      <w:r w:rsidR="00F5635C" w:rsidRPr="0012097E">
        <w:rPr>
          <w:sz w:val="24"/>
          <w:szCs w:val="24"/>
        </w:rPr>
        <w:t>, 201</w:t>
      </w:r>
      <w:r w:rsidR="00F224F7">
        <w:rPr>
          <w:sz w:val="24"/>
          <w:szCs w:val="24"/>
        </w:rPr>
        <w:t>6</w:t>
      </w:r>
    </w:p>
    <w:p w14:paraId="294A80C3" w14:textId="77777777" w:rsidR="00F5635C" w:rsidRPr="00C022E2" w:rsidRDefault="00F5635C" w:rsidP="00E128E5">
      <w:pPr>
        <w:rPr>
          <w:sz w:val="24"/>
          <w:szCs w:val="24"/>
        </w:rPr>
      </w:pPr>
    </w:p>
    <w:p w14:paraId="294A80C4" w14:textId="77777777" w:rsidR="00BD4874" w:rsidRDefault="00BD4874" w:rsidP="00E128E5">
      <w:pPr>
        <w:rPr>
          <w:sz w:val="24"/>
        </w:rPr>
      </w:pPr>
    </w:p>
    <w:p w14:paraId="294A80C5" w14:textId="77777777" w:rsidR="00BD4874" w:rsidRDefault="00BD4874" w:rsidP="00E128E5">
      <w:pPr>
        <w:rPr>
          <w:sz w:val="24"/>
        </w:rPr>
      </w:pPr>
    </w:p>
    <w:p w14:paraId="294A80C6" w14:textId="77777777"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14:paraId="294A80C7" w14:textId="77777777"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14:paraId="294A80C8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14:paraId="294A80C9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14:paraId="294A80CA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14:paraId="294A80CB" w14:textId="77777777" w:rsidR="003E32BC" w:rsidRDefault="003E32BC">
      <w:pPr>
        <w:rPr>
          <w:sz w:val="22"/>
        </w:rPr>
      </w:pPr>
    </w:p>
    <w:p w14:paraId="294A80CC" w14:textId="77777777" w:rsidR="00126E7F" w:rsidRPr="00835A32" w:rsidRDefault="00126E7F">
      <w:pPr>
        <w:rPr>
          <w:sz w:val="22"/>
        </w:rPr>
      </w:pPr>
    </w:p>
    <w:p w14:paraId="294A80CD" w14:textId="77777777"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F224F7">
        <w:rPr>
          <w:b/>
          <w:sz w:val="24"/>
          <w:szCs w:val="24"/>
        </w:rPr>
        <w:t>6</w:t>
      </w:r>
      <w:r w:rsidRPr="0012097E">
        <w:rPr>
          <w:b/>
          <w:sz w:val="24"/>
          <w:szCs w:val="24"/>
        </w:rPr>
        <w:t>-</w:t>
      </w:r>
      <w:r w:rsidR="004B2112">
        <w:rPr>
          <w:b/>
          <w:sz w:val="24"/>
          <w:szCs w:val="24"/>
        </w:rPr>
        <w:t>19</w:t>
      </w:r>
    </w:p>
    <w:p w14:paraId="294A80CE" w14:textId="77777777" w:rsidR="00F5635C" w:rsidRDefault="00F5635C" w:rsidP="00A33AF7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14:paraId="294A80CF" w14:textId="77777777" w:rsidR="003E32BC" w:rsidRDefault="003E32BC" w:rsidP="00A70281">
      <w:pPr>
        <w:rPr>
          <w:b/>
          <w:sz w:val="24"/>
          <w:szCs w:val="24"/>
        </w:rPr>
      </w:pPr>
    </w:p>
    <w:p w14:paraId="294A80D0" w14:textId="77777777" w:rsidR="00126E7F" w:rsidRPr="0012097E" w:rsidRDefault="00126E7F" w:rsidP="00A70281">
      <w:pPr>
        <w:rPr>
          <w:b/>
          <w:sz w:val="24"/>
          <w:szCs w:val="24"/>
        </w:rPr>
      </w:pPr>
    </w:p>
    <w:p w14:paraId="294A80D1" w14:textId="77777777"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14:paraId="294A80D2" w14:textId="77777777" w:rsidR="00F5635C" w:rsidRPr="0012097E" w:rsidRDefault="00F5635C">
      <w:pPr>
        <w:rPr>
          <w:sz w:val="24"/>
          <w:szCs w:val="24"/>
        </w:rPr>
      </w:pPr>
    </w:p>
    <w:p w14:paraId="294A80D3" w14:textId="77777777"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9E0E46">
        <w:rPr>
          <w:color w:val="000000"/>
          <w:sz w:val="24"/>
          <w:szCs w:val="24"/>
        </w:rPr>
        <w:t xml:space="preserve"> rates under</w:t>
      </w:r>
      <w:r w:rsidR="00316549">
        <w:rPr>
          <w:color w:val="000000"/>
          <w:sz w:val="24"/>
          <w:szCs w:val="24"/>
        </w:rPr>
        <w:t xml:space="preserve"> its electric Schedule 131, Restoration Service Guarantees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 xml:space="preserve">ursuant to RCW </w:t>
      </w:r>
      <w:r w:rsidR="00316549">
        <w:rPr>
          <w:snapToGrid w:val="0"/>
          <w:sz w:val="24"/>
          <w:szCs w:val="24"/>
        </w:rPr>
        <w:t>80.28.060 and Chapter 480-80 WAC</w:t>
      </w:r>
      <w:r w:rsidRPr="0012097E">
        <w:rPr>
          <w:snapToGrid w:val="0"/>
          <w:sz w:val="24"/>
          <w:szCs w:val="24"/>
        </w:rPr>
        <w:t xml:space="preserve">, </w:t>
      </w:r>
      <w:r w:rsidR="00316549">
        <w:rPr>
          <w:snapToGrid w:val="0"/>
          <w:sz w:val="24"/>
          <w:szCs w:val="24"/>
        </w:rPr>
        <w:t xml:space="preserve">and pursuant to WAC 480-07-883 </w:t>
      </w:r>
      <w:r w:rsidRPr="0012097E">
        <w:rPr>
          <w:snapToGrid w:val="0"/>
          <w:sz w:val="24"/>
          <w:szCs w:val="24"/>
        </w:rPr>
        <w:t xml:space="preserve">proposes revisions in the following </w:t>
      </w:r>
      <w:r w:rsidR="009A78AD">
        <w:rPr>
          <w:snapToGrid w:val="0"/>
          <w:sz w:val="24"/>
          <w:szCs w:val="24"/>
        </w:rPr>
        <w:t>electric tariff sheets:</w:t>
      </w:r>
    </w:p>
    <w:p w14:paraId="294A80D4" w14:textId="77777777"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14:paraId="294A80D5" w14:textId="77777777" w:rsidR="00F5635C" w:rsidRDefault="00F5635C" w:rsidP="00FE2068">
      <w:pPr>
        <w:ind w:left="720" w:hanging="45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14:paraId="294A80D6" w14:textId="77777777" w:rsidR="00B0580A" w:rsidRPr="00AD5167" w:rsidRDefault="00316549" w:rsidP="00B0580A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1654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131</w:t>
      </w:r>
      <w:r w:rsidR="00B0580A">
        <w:rPr>
          <w:sz w:val="24"/>
          <w:szCs w:val="24"/>
        </w:rPr>
        <w:t xml:space="preserve">    </w:t>
      </w:r>
      <w:r w:rsidR="00B0580A" w:rsidRPr="00AD5167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  - </w:t>
      </w:r>
      <w:r>
        <w:rPr>
          <w:sz w:val="24"/>
          <w:szCs w:val="24"/>
        </w:rPr>
        <w:t>Restoration Service Guarantees</w:t>
      </w:r>
    </w:p>
    <w:p w14:paraId="294A80D7" w14:textId="77777777" w:rsidR="00B0580A" w:rsidRDefault="00316549" w:rsidP="0031654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1654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131</w:t>
      </w:r>
      <w:r w:rsidR="00B0580A">
        <w:rPr>
          <w:sz w:val="24"/>
          <w:szCs w:val="24"/>
        </w:rPr>
        <w:t>-A</w:t>
      </w:r>
      <w:r w:rsidR="00B0580A" w:rsidRPr="00AD5167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  - </w:t>
      </w:r>
      <w:r>
        <w:rPr>
          <w:sz w:val="24"/>
          <w:szCs w:val="24"/>
        </w:rPr>
        <w:t>Restoration Service Guarantees (Continued)</w:t>
      </w:r>
    </w:p>
    <w:p w14:paraId="294A80D8" w14:textId="77777777" w:rsidR="001526D7" w:rsidRDefault="00316549" w:rsidP="001526D7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</w:t>
      </w:r>
      <w:r w:rsidR="001526D7">
        <w:rPr>
          <w:sz w:val="24"/>
          <w:szCs w:val="24"/>
        </w:rPr>
        <w:t xml:space="preserve"> Sheet </w:t>
      </w:r>
      <w:r>
        <w:rPr>
          <w:sz w:val="24"/>
          <w:szCs w:val="24"/>
        </w:rPr>
        <w:t>No. 131</w:t>
      </w:r>
      <w:r w:rsidR="001526D7">
        <w:rPr>
          <w:sz w:val="24"/>
          <w:szCs w:val="24"/>
        </w:rPr>
        <w:t>-B</w:t>
      </w:r>
      <w:r w:rsidR="001526D7"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Restoration Service Guarantees</w:t>
      </w:r>
      <w:r w:rsidR="001526D7">
        <w:rPr>
          <w:sz w:val="24"/>
          <w:szCs w:val="24"/>
        </w:rPr>
        <w:t xml:space="preserve"> (Continued)</w:t>
      </w:r>
    </w:p>
    <w:p w14:paraId="294A80D9" w14:textId="77777777" w:rsidR="00316549" w:rsidRDefault="00316549" w:rsidP="0031654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131-C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Restoration Service Guarantees (Continued)</w:t>
      </w:r>
    </w:p>
    <w:p w14:paraId="294A80DA" w14:textId="77777777" w:rsidR="00316549" w:rsidRDefault="00316549" w:rsidP="0031654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131-D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Restoration Service Guarantees (Continued)</w:t>
      </w:r>
    </w:p>
    <w:p w14:paraId="294A80DB" w14:textId="77777777" w:rsidR="00316549" w:rsidRDefault="00316549" w:rsidP="0031654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131-E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Restoration Service Guarantees (Continued)</w:t>
      </w:r>
    </w:p>
    <w:p w14:paraId="294A80DC" w14:textId="77777777" w:rsidR="00F5635C" w:rsidRPr="0012097E" w:rsidRDefault="00F5635C" w:rsidP="00450A76">
      <w:pPr>
        <w:pStyle w:val="BodyText"/>
        <w:rPr>
          <w:sz w:val="24"/>
          <w:szCs w:val="24"/>
        </w:rPr>
      </w:pPr>
    </w:p>
    <w:p w14:paraId="294A80DD" w14:textId="77777777" w:rsidR="00A04AC8" w:rsidRDefault="00C529B8" w:rsidP="00316549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0580A">
        <w:rPr>
          <w:sz w:val="24"/>
          <w:szCs w:val="24"/>
        </w:rPr>
        <w:t xml:space="preserve">primary </w:t>
      </w:r>
      <w:r w:rsidR="00F5635C" w:rsidRPr="00C529B8">
        <w:rPr>
          <w:sz w:val="24"/>
          <w:szCs w:val="24"/>
        </w:rPr>
        <w:t xml:space="preserve">purpose of this filing is to </w:t>
      </w:r>
      <w:r w:rsidR="00316549">
        <w:rPr>
          <w:sz w:val="24"/>
          <w:szCs w:val="24"/>
        </w:rPr>
        <w:t>comply with the Commission’s Order 29, Final Order Approving And Adopting Multiparty Settlement; Closing Docket in Dockets (UE-072300 and UG-072301 (consolidated) (“Order 29”) by proposing</w:t>
      </w:r>
      <w:r w:rsidR="00F5635C" w:rsidRPr="00C529B8">
        <w:rPr>
          <w:sz w:val="24"/>
          <w:szCs w:val="24"/>
        </w:rPr>
        <w:t xml:space="preserve"> </w:t>
      </w:r>
      <w:r w:rsidR="00C8643D">
        <w:rPr>
          <w:sz w:val="24"/>
          <w:szCs w:val="24"/>
        </w:rPr>
        <w:t>establishme</w:t>
      </w:r>
      <w:r w:rsidR="003858A7">
        <w:rPr>
          <w:sz w:val="24"/>
          <w:szCs w:val="24"/>
        </w:rPr>
        <w:t>nt of a new 24-hour Customer G</w:t>
      </w:r>
      <w:r w:rsidR="00C8643D">
        <w:rPr>
          <w:sz w:val="24"/>
          <w:szCs w:val="24"/>
        </w:rPr>
        <w:t>uarantee under Schedule 131.</w:t>
      </w:r>
    </w:p>
    <w:p w14:paraId="294A80DE" w14:textId="77777777" w:rsidR="00C8643D" w:rsidRDefault="00C8643D" w:rsidP="00316549">
      <w:pPr>
        <w:pStyle w:val="BodyText"/>
        <w:tabs>
          <w:tab w:val="left" w:pos="5310"/>
        </w:tabs>
        <w:rPr>
          <w:sz w:val="24"/>
          <w:szCs w:val="24"/>
        </w:rPr>
      </w:pPr>
    </w:p>
    <w:p w14:paraId="294A80DF" w14:textId="77777777" w:rsidR="00C8643D" w:rsidRDefault="00C8643D" w:rsidP="00316549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Order 29 approved and adopted the multiparty settlement (the “Settlement”) filed on May 31, 2016, </w:t>
      </w:r>
      <w:r w:rsidR="00D57D5C">
        <w:rPr>
          <w:sz w:val="24"/>
          <w:szCs w:val="24"/>
        </w:rPr>
        <w:t>in Docket Nos.</w:t>
      </w:r>
      <w:r>
        <w:rPr>
          <w:sz w:val="24"/>
          <w:szCs w:val="24"/>
        </w:rPr>
        <w:t xml:space="preserve"> UE-072300 and UG-072301 in full resolution the issues.  The Settlement </w:t>
      </w:r>
      <w:r w:rsidR="004E0DCD">
        <w:rPr>
          <w:sz w:val="24"/>
          <w:szCs w:val="24"/>
        </w:rPr>
        <w:t>included a provision that there will be no c</w:t>
      </w:r>
      <w:r w:rsidR="003858A7">
        <w:rPr>
          <w:sz w:val="24"/>
          <w:szCs w:val="24"/>
        </w:rPr>
        <w:t>hange to the existing 120-hour Restoration Service G</w:t>
      </w:r>
      <w:r w:rsidR="004E0DCD">
        <w:rPr>
          <w:sz w:val="24"/>
          <w:szCs w:val="24"/>
        </w:rPr>
        <w:t>uarantee offered under Schedule 131.  In order to clarify which conditions apply to which restoration guarantee there are clarifications to the existing guarantee language on tariff Sheets 131 and 131-A.</w:t>
      </w:r>
    </w:p>
    <w:p w14:paraId="294A80E0" w14:textId="77777777" w:rsidR="004E0DCD" w:rsidRDefault="004E0DCD" w:rsidP="00316549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format of the existing Schedule 131 guarantee was adopted for the new 24-hour </w:t>
      </w:r>
      <w:r w:rsidR="003858A7">
        <w:rPr>
          <w:sz w:val="24"/>
          <w:szCs w:val="24"/>
        </w:rPr>
        <w:t>Customer G</w:t>
      </w:r>
      <w:r>
        <w:rPr>
          <w:sz w:val="24"/>
          <w:szCs w:val="24"/>
        </w:rPr>
        <w:t xml:space="preserve">uarantee and that language is on Sheet 131-B.  The conditions of the 24-hour </w:t>
      </w:r>
      <w:r w:rsidR="003858A7">
        <w:rPr>
          <w:sz w:val="24"/>
          <w:szCs w:val="24"/>
        </w:rPr>
        <w:t>Customer G</w:t>
      </w:r>
      <w:r>
        <w:rPr>
          <w:sz w:val="24"/>
          <w:szCs w:val="24"/>
        </w:rPr>
        <w:t>uarantee described and delineated in the Settlement are reflected on tariff Sheets 131-C and 131-D with minor changes for clarification including utilizing the tariff defined term “Company” and capitalizing other tariff defined terms.  Finally, the proposed tariff changes include adoption of footnote 18 on page 8 of the Settlement as a definition of Major Event Day on Sheet 131-E.</w:t>
      </w:r>
    </w:p>
    <w:p w14:paraId="294A80E1" w14:textId="77777777" w:rsidR="00F5635C" w:rsidRPr="00B84DB4" w:rsidRDefault="00F5635C">
      <w:pPr>
        <w:pStyle w:val="BodyText"/>
        <w:rPr>
          <w:sz w:val="24"/>
          <w:szCs w:val="24"/>
        </w:rPr>
      </w:pPr>
    </w:p>
    <w:p w14:paraId="294A80E2" w14:textId="77777777" w:rsidR="00F5635C" w:rsidRPr="0012097E" w:rsidRDefault="00F5635C">
      <w:pPr>
        <w:pStyle w:val="BodyText"/>
        <w:rPr>
          <w:sz w:val="24"/>
          <w:szCs w:val="24"/>
        </w:rPr>
      </w:pPr>
      <w:r w:rsidRPr="00C529B8">
        <w:rPr>
          <w:sz w:val="24"/>
          <w:szCs w:val="24"/>
        </w:rPr>
        <w:t>The tariff sheets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 xml:space="preserve">ect </w:t>
      </w:r>
      <w:r w:rsidR="00D840A8">
        <w:rPr>
          <w:sz w:val="24"/>
          <w:szCs w:val="24"/>
        </w:rPr>
        <w:t>issue date</w:t>
      </w:r>
      <w:r w:rsidR="00884E37">
        <w:rPr>
          <w:sz w:val="24"/>
          <w:szCs w:val="24"/>
        </w:rPr>
        <w:t>s</w:t>
      </w:r>
      <w:r w:rsidR="006513A1">
        <w:rPr>
          <w:sz w:val="24"/>
          <w:szCs w:val="24"/>
        </w:rPr>
        <w:t xml:space="preserve"> of June </w:t>
      </w:r>
      <w:r w:rsidR="003D2E50">
        <w:rPr>
          <w:sz w:val="24"/>
          <w:szCs w:val="24"/>
        </w:rPr>
        <w:t>29</w:t>
      </w:r>
      <w:r w:rsidR="00754FDA">
        <w:rPr>
          <w:sz w:val="24"/>
          <w:szCs w:val="24"/>
        </w:rPr>
        <w:t>, 201</w:t>
      </w:r>
      <w:r w:rsidR="003C314E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, and </w:t>
      </w:r>
      <w:r w:rsidR="00C06BE4">
        <w:rPr>
          <w:sz w:val="24"/>
          <w:szCs w:val="24"/>
        </w:rPr>
        <w:t>effective date</w:t>
      </w:r>
      <w:r w:rsidR="00884E37">
        <w:rPr>
          <w:sz w:val="24"/>
          <w:szCs w:val="24"/>
        </w:rPr>
        <w:t>s</w:t>
      </w:r>
      <w:r w:rsidR="006513A1">
        <w:rPr>
          <w:sz w:val="24"/>
          <w:szCs w:val="24"/>
        </w:rPr>
        <w:t xml:space="preserve"> of July </w:t>
      </w:r>
      <w:r w:rsidR="003D2E50">
        <w:rPr>
          <w:sz w:val="24"/>
          <w:szCs w:val="24"/>
        </w:rPr>
        <w:t>30</w:t>
      </w:r>
      <w:r w:rsidR="00754FDA">
        <w:rPr>
          <w:sz w:val="24"/>
          <w:szCs w:val="24"/>
        </w:rPr>
        <w:t>, 201</w:t>
      </w:r>
      <w:r w:rsidR="006513A1">
        <w:rPr>
          <w:sz w:val="24"/>
          <w:szCs w:val="24"/>
        </w:rPr>
        <w:t>6</w:t>
      </w:r>
      <w:r w:rsidRPr="00C529B8">
        <w:rPr>
          <w:sz w:val="24"/>
          <w:szCs w:val="24"/>
        </w:rPr>
        <w:t>.</w:t>
      </w:r>
      <w:r w:rsidR="003D2E50">
        <w:rPr>
          <w:sz w:val="24"/>
          <w:szCs w:val="24"/>
        </w:rPr>
        <w:t xml:space="preserve">  Wording on Sheet 131-B</w:t>
      </w:r>
      <w:r w:rsidR="006513A1">
        <w:rPr>
          <w:sz w:val="24"/>
          <w:szCs w:val="24"/>
        </w:rPr>
        <w:t xml:space="preserve"> provides that the new 24-hour guarantee will become effective January 1, 2017</w:t>
      </w:r>
      <w:r w:rsidR="003D2E50">
        <w:rPr>
          <w:sz w:val="24"/>
          <w:szCs w:val="24"/>
        </w:rPr>
        <w:t>,</w:t>
      </w:r>
      <w:r w:rsidR="006513A1">
        <w:rPr>
          <w:sz w:val="24"/>
          <w:szCs w:val="24"/>
        </w:rPr>
        <w:t xml:space="preserve"> in accordance with Order 29.</w:t>
      </w:r>
      <w:r w:rsidRPr="00C529B8">
        <w:rPr>
          <w:sz w:val="24"/>
          <w:szCs w:val="24"/>
        </w:rPr>
        <w:t xml:space="preserve">  Posting of proposed tariff changes, as required by WAC 480-100-193, is being made by posting the proposed tariff sheets on the PSE web site immediately prior to or coincident with the date of this transmittal letter</w:t>
      </w:r>
      <w:r w:rsidRPr="004C7D2B">
        <w:rPr>
          <w:sz w:val="24"/>
          <w:szCs w:val="24"/>
        </w:rPr>
        <w:t xml:space="preserve">.  Notice to the public under the provisions of WAC 480-100-194 is </w:t>
      </w:r>
      <w:r w:rsidR="00D57D5C">
        <w:rPr>
          <w:sz w:val="24"/>
          <w:szCs w:val="24"/>
        </w:rPr>
        <w:t xml:space="preserve">not </w:t>
      </w:r>
      <w:r w:rsidRPr="004C7D2B">
        <w:rPr>
          <w:sz w:val="24"/>
          <w:szCs w:val="24"/>
        </w:rPr>
        <w:t>required</w:t>
      </w:r>
      <w:r w:rsidR="00D57D5C">
        <w:rPr>
          <w:sz w:val="24"/>
          <w:szCs w:val="24"/>
        </w:rPr>
        <w:t xml:space="preserve"> however the filing will be served upon the parties to Docket Nos. UE-072300 and UG-072301.  Upon approval of this compliance filing PSE will adjust the effective date of the tariff sheets as appropriate.</w:t>
      </w:r>
    </w:p>
    <w:p w14:paraId="294A80E3" w14:textId="77777777" w:rsidR="001526D7" w:rsidRDefault="001526D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294A80E4" w14:textId="77777777"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D57D5C">
        <w:rPr>
          <w:sz w:val="24"/>
          <w:szCs w:val="24"/>
        </w:rPr>
        <w:t>Lynn Logen</w:t>
      </w:r>
      <w:r w:rsidR="003E6D0D">
        <w:rPr>
          <w:sz w:val="24"/>
          <w:szCs w:val="24"/>
        </w:rPr>
        <w:t xml:space="preserve"> a</w:t>
      </w:r>
      <w:r w:rsidR="00D57D5C">
        <w:rPr>
          <w:sz w:val="24"/>
          <w:szCs w:val="24"/>
        </w:rPr>
        <w:t>t (425) 462-3872</w:t>
      </w:r>
      <w:r w:rsidRPr="0012097E">
        <w:rPr>
          <w:sz w:val="24"/>
          <w:szCs w:val="24"/>
        </w:rPr>
        <w:t xml:space="preserve"> </w:t>
      </w:r>
      <w:r w:rsidR="001526D7">
        <w:rPr>
          <w:sz w:val="24"/>
          <w:szCs w:val="24"/>
        </w:rPr>
        <w:t xml:space="preserve">or </w:t>
      </w:r>
      <w:r w:rsidR="00D57D5C">
        <w:rPr>
          <w:sz w:val="24"/>
          <w:szCs w:val="24"/>
        </w:rPr>
        <w:t>at lynn.logen</w:t>
      </w:r>
      <w:r w:rsidR="001526D7" w:rsidRPr="001526D7">
        <w:rPr>
          <w:sz w:val="24"/>
          <w:szCs w:val="24"/>
        </w:rPr>
        <w:t>@pse.com</w:t>
      </w:r>
      <w:r w:rsidR="001526D7">
        <w:rPr>
          <w:sz w:val="24"/>
          <w:szCs w:val="24"/>
        </w:rPr>
        <w:t xml:space="preserve"> </w:t>
      </w:r>
      <w:r w:rsidRPr="0012097E">
        <w:rPr>
          <w:sz w:val="24"/>
          <w:szCs w:val="24"/>
        </w:rPr>
        <w:t>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14:paraId="294A80E5" w14:textId="77777777"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294A80E6" w14:textId="77777777" w:rsidR="00F5635C" w:rsidRPr="0012097E" w:rsidRDefault="00C06BE4" w:rsidP="009B2E13">
      <w:pPr>
        <w:tabs>
          <w:tab w:val="left" w:pos="5655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  <w:r w:rsidR="009B2E13">
        <w:rPr>
          <w:sz w:val="24"/>
          <w:szCs w:val="24"/>
        </w:rPr>
        <w:tab/>
      </w:r>
    </w:p>
    <w:p w14:paraId="294A80E7" w14:textId="77777777" w:rsidR="00F5635C" w:rsidRDefault="00F5635C">
      <w:pPr>
        <w:rPr>
          <w:sz w:val="24"/>
          <w:szCs w:val="24"/>
        </w:rPr>
      </w:pPr>
    </w:p>
    <w:p w14:paraId="294A80E8" w14:textId="77777777" w:rsidR="00F5635C" w:rsidRDefault="00F5635C">
      <w:pPr>
        <w:rPr>
          <w:sz w:val="24"/>
          <w:szCs w:val="24"/>
        </w:rPr>
      </w:pPr>
    </w:p>
    <w:p w14:paraId="294A80E9" w14:textId="77777777" w:rsidR="006744F3" w:rsidRDefault="006744F3">
      <w:pPr>
        <w:rPr>
          <w:sz w:val="24"/>
          <w:szCs w:val="24"/>
        </w:rPr>
      </w:pPr>
    </w:p>
    <w:p w14:paraId="294A80EA" w14:textId="77777777" w:rsidR="003D2E50" w:rsidRPr="0012097E" w:rsidRDefault="003D2E50">
      <w:pPr>
        <w:rPr>
          <w:sz w:val="24"/>
          <w:szCs w:val="24"/>
        </w:rPr>
      </w:pPr>
    </w:p>
    <w:p w14:paraId="294A80EB" w14:textId="77777777"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14:paraId="294A80EC" w14:textId="77777777" w:rsidR="00F5635C" w:rsidRPr="0012097E" w:rsidRDefault="006744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14:paraId="294A80ED" w14:textId="77777777" w:rsidR="00855194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14:paraId="294A80EE" w14:textId="77777777" w:rsidR="00855194" w:rsidRDefault="00D57D5C" w:rsidP="006744F3">
      <w:pPr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>
        <w:rPr>
          <w:sz w:val="24"/>
          <w:szCs w:val="24"/>
        </w:rPr>
        <w:tab/>
        <w:t>Service List</w:t>
      </w:r>
    </w:p>
    <w:p w14:paraId="294A80EF" w14:textId="77777777" w:rsidR="00F5635C" w:rsidRPr="0012097E" w:rsidRDefault="00F5635C" w:rsidP="001526D7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11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80F4" w14:textId="77777777" w:rsidR="006F2FC3" w:rsidRDefault="006F2FC3">
      <w:r>
        <w:separator/>
      </w:r>
    </w:p>
  </w:endnote>
  <w:endnote w:type="continuationSeparator" w:id="0">
    <w:p w14:paraId="294A80F5" w14:textId="77777777" w:rsidR="006F2FC3" w:rsidRDefault="006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80F2" w14:textId="77777777" w:rsidR="006F2FC3" w:rsidRDefault="006F2FC3">
      <w:r>
        <w:separator/>
      </w:r>
    </w:p>
  </w:footnote>
  <w:footnote w:type="continuationSeparator" w:id="0">
    <w:p w14:paraId="294A80F3" w14:textId="77777777" w:rsidR="006F2FC3" w:rsidRDefault="006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80F6" w14:textId="77777777"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80754A">
      <w:rPr>
        <w:sz w:val="24"/>
      </w:rPr>
      <w:tab/>
    </w:r>
    <w:r w:rsidR="0080754A">
      <w:rPr>
        <w:sz w:val="24"/>
      </w:rPr>
      <w:tab/>
    </w:r>
  </w:p>
  <w:p w14:paraId="294A80F7" w14:textId="77777777" w:rsidR="006744F3" w:rsidRDefault="006513A1">
    <w:pPr>
      <w:pStyle w:val="Header"/>
      <w:rPr>
        <w:sz w:val="24"/>
      </w:rPr>
    </w:pPr>
    <w:r>
      <w:rPr>
        <w:sz w:val="24"/>
      </w:rPr>
      <w:t xml:space="preserve">June </w:t>
    </w:r>
    <w:r w:rsidR="003D2E50">
      <w:rPr>
        <w:sz w:val="24"/>
      </w:rPr>
      <w:t>29</w:t>
    </w:r>
    <w:r w:rsidR="0080754A">
      <w:rPr>
        <w:sz w:val="24"/>
      </w:rPr>
      <w:t>, 201</w:t>
    </w:r>
    <w:r w:rsidR="003C314E">
      <w:rPr>
        <w:sz w:val="24"/>
      </w:rPr>
      <w:t>6</w:t>
    </w:r>
  </w:p>
  <w:p w14:paraId="294A80F8" w14:textId="77777777" w:rsidR="006744F3" w:rsidRDefault="004B2112">
    <w:pPr>
      <w:pStyle w:val="Header"/>
      <w:rPr>
        <w:sz w:val="24"/>
      </w:rPr>
    </w:pPr>
    <w:r>
      <w:rPr>
        <w:sz w:val="24"/>
      </w:rPr>
      <w:t>Advice No. 2016-19</w:t>
    </w:r>
  </w:p>
  <w:p w14:paraId="294A80F9" w14:textId="77777777" w:rsidR="006744F3" w:rsidRPr="00073F06" w:rsidRDefault="006744F3" w:rsidP="006744F3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0C16EE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855194">
      <w:rPr>
        <w:rStyle w:val="PageNumber"/>
        <w:sz w:val="24"/>
        <w:szCs w:val="24"/>
      </w:rPr>
      <w:t>3</w:t>
    </w:r>
  </w:p>
  <w:p w14:paraId="294A80FA" w14:textId="77777777" w:rsidR="006744F3" w:rsidRDefault="006744F3">
    <w:pPr>
      <w:pStyle w:val="Header"/>
      <w:rPr>
        <w:sz w:val="24"/>
      </w:rPr>
    </w:pPr>
  </w:p>
  <w:p w14:paraId="294A80FB" w14:textId="77777777" w:rsidR="00C45708" w:rsidRDefault="00073F06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19D"/>
    <w:multiLevelType w:val="hybridMultilevel"/>
    <w:tmpl w:val="3ECEDA5C"/>
    <w:lvl w:ilvl="0" w:tplc="008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2"/>
    <w:rsid w:val="00004A18"/>
    <w:rsid w:val="00007AE2"/>
    <w:rsid w:val="00013157"/>
    <w:rsid w:val="0002700C"/>
    <w:rsid w:val="00027F12"/>
    <w:rsid w:val="00044DA1"/>
    <w:rsid w:val="00051FF0"/>
    <w:rsid w:val="000533B2"/>
    <w:rsid w:val="00053C76"/>
    <w:rsid w:val="00073F06"/>
    <w:rsid w:val="000818BB"/>
    <w:rsid w:val="00087E05"/>
    <w:rsid w:val="000A1468"/>
    <w:rsid w:val="000B1D99"/>
    <w:rsid w:val="000B1FA5"/>
    <w:rsid w:val="000B4062"/>
    <w:rsid w:val="000C12F3"/>
    <w:rsid w:val="000C16EE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26E7F"/>
    <w:rsid w:val="00134BE6"/>
    <w:rsid w:val="00135DD5"/>
    <w:rsid w:val="001526D7"/>
    <w:rsid w:val="00154738"/>
    <w:rsid w:val="00160521"/>
    <w:rsid w:val="0018583E"/>
    <w:rsid w:val="00186B29"/>
    <w:rsid w:val="00196249"/>
    <w:rsid w:val="001A1544"/>
    <w:rsid w:val="001A27F4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3693B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16549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8031D"/>
    <w:rsid w:val="00381E07"/>
    <w:rsid w:val="00384792"/>
    <w:rsid w:val="003857EB"/>
    <w:rsid w:val="003858A7"/>
    <w:rsid w:val="00393F62"/>
    <w:rsid w:val="003A0D7D"/>
    <w:rsid w:val="003A1592"/>
    <w:rsid w:val="003A197E"/>
    <w:rsid w:val="003B0541"/>
    <w:rsid w:val="003B699F"/>
    <w:rsid w:val="003C314E"/>
    <w:rsid w:val="003D1CB3"/>
    <w:rsid w:val="003D26F3"/>
    <w:rsid w:val="003D2E50"/>
    <w:rsid w:val="003E32BC"/>
    <w:rsid w:val="003E6D0D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112"/>
    <w:rsid w:val="004B2C59"/>
    <w:rsid w:val="004B5910"/>
    <w:rsid w:val="004B6520"/>
    <w:rsid w:val="004C2E35"/>
    <w:rsid w:val="004C7D2B"/>
    <w:rsid w:val="004D57A3"/>
    <w:rsid w:val="004E0DCD"/>
    <w:rsid w:val="004E2810"/>
    <w:rsid w:val="004E712A"/>
    <w:rsid w:val="004E7188"/>
    <w:rsid w:val="004F04D5"/>
    <w:rsid w:val="0051569F"/>
    <w:rsid w:val="00517235"/>
    <w:rsid w:val="005462A8"/>
    <w:rsid w:val="005640EE"/>
    <w:rsid w:val="005717B1"/>
    <w:rsid w:val="00577DF4"/>
    <w:rsid w:val="00590DD6"/>
    <w:rsid w:val="005B60FC"/>
    <w:rsid w:val="005F24CB"/>
    <w:rsid w:val="006017CE"/>
    <w:rsid w:val="00605033"/>
    <w:rsid w:val="00614E92"/>
    <w:rsid w:val="00615A90"/>
    <w:rsid w:val="006358C7"/>
    <w:rsid w:val="006366FB"/>
    <w:rsid w:val="006513A1"/>
    <w:rsid w:val="00662A15"/>
    <w:rsid w:val="006744F3"/>
    <w:rsid w:val="00681840"/>
    <w:rsid w:val="0068359A"/>
    <w:rsid w:val="00685322"/>
    <w:rsid w:val="006914F0"/>
    <w:rsid w:val="0069794B"/>
    <w:rsid w:val="006A3969"/>
    <w:rsid w:val="006B3B55"/>
    <w:rsid w:val="006C5956"/>
    <w:rsid w:val="006D29A6"/>
    <w:rsid w:val="006D41C8"/>
    <w:rsid w:val="006E232A"/>
    <w:rsid w:val="006E7C87"/>
    <w:rsid w:val="006F2FC3"/>
    <w:rsid w:val="00704400"/>
    <w:rsid w:val="007125C2"/>
    <w:rsid w:val="007176B0"/>
    <w:rsid w:val="00723C62"/>
    <w:rsid w:val="007270C1"/>
    <w:rsid w:val="00727C74"/>
    <w:rsid w:val="00737978"/>
    <w:rsid w:val="00741DAE"/>
    <w:rsid w:val="00742F65"/>
    <w:rsid w:val="00751045"/>
    <w:rsid w:val="007520BC"/>
    <w:rsid w:val="00754A2C"/>
    <w:rsid w:val="00754FDA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5B11"/>
    <w:rsid w:val="0080754A"/>
    <w:rsid w:val="00811104"/>
    <w:rsid w:val="0082302C"/>
    <w:rsid w:val="0083138D"/>
    <w:rsid w:val="00831D71"/>
    <w:rsid w:val="00835A32"/>
    <w:rsid w:val="008379F5"/>
    <w:rsid w:val="00855194"/>
    <w:rsid w:val="00855202"/>
    <w:rsid w:val="008651BD"/>
    <w:rsid w:val="00870F32"/>
    <w:rsid w:val="00874638"/>
    <w:rsid w:val="00884E37"/>
    <w:rsid w:val="0088796C"/>
    <w:rsid w:val="0089008C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D2CBF"/>
    <w:rsid w:val="008E4266"/>
    <w:rsid w:val="008E5360"/>
    <w:rsid w:val="008F390D"/>
    <w:rsid w:val="009008DD"/>
    <w:rsid w:val="00903E97"/>
    <w:rsid w:val="00910736"/>
    <w:rsid w:val="00911428"/>
    <w:rsid w:val="00912BAA"/>
    <w:rsid w:val="0091480C"/>
    <w:rsid w:val="009254DA"/>
    <w:rsid w:val="00935263"/>
    <w:rsid w:val="0094183F"/>
    <w:rsid w:val="00947F8C"/>
    <w:rsid w:val="00954B99"/>
    <w:rsid w:val="00954E9B"/>
    <w:rsid w:val="009600C1"/>
    <w:rsid w:val="0096105C"/>
    <w:rsid w:val="00961FAE"/>
    <w:rsid w:val="00963AE8"/>
    <w:rsid w:val="00967CDF"/>
    <w:rsid w:val="00976A44"/>
    <w:rsid w:val="00990A35"/>
    <w:rsid w:val="00997A26"/>
    <w:rsid w:val="009A6C2F"/>
    <w:rsid w:val="009A783F"/>
    <w:rsid w:val="009A78AD"/>
    <w:rsid w:val="009B2645"/>
    <w:rsid w:val="009B2E13"/>
    <w:rsid w:val="009C5843"/>
    <w:rsid w:val="009E0C73"/>
    <w:rsid w:val="009E0E46"/>
    <w:rsid w:val="009E593E"/>
    <w:rsid w:val="009F2DA5"/>
    <w:rsid w:val="009F35DE"/>
    <w:rsid w:val="009F5172"/>
    <w:rsid w:val="00A04AC8"/>
    <w:rsid w:val="00A17F8E"/>
    <w:rsid w:val="00A200AE"/>
    <w:rsid w:val="00A20261"/>
    <w:rsid w:val="00A220B3"/>
    <w:rsid w:val="00A2228D"/>
    <w:rsid w:val="00A22323"/>
    <w:rsid w:val="00A33AF7"/>
    <w:rsid w:val="00A35A3F"/>
    <w:rsid w:val="00A378DE"/>
    <w:rsid w:val="00A429E9"/>
    <w:rsid w:val="00A42A96"/>
    <w:rsid w:val="00A44455"/>
    <w:rsid w:val="00A56908"/>
    <w:rsid w:val="00A70281"/>
    <w:rsid w:val="00A71394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0580A"/>
    <w:rsid w:val="00B12562"/>
    <w:rsid w:val="00B23125"/>
    <w:rsid w:val="00B23850"/>
    <w:rsid w:val="00B27DFA"/>
    <w:rsid w:val="00B336D1"/>
    <w:rsid w:val="00B359CE"/>
    <w:rsid w:val="00B40339"/>
    <w:rsid w:val="00B40DB5"/>
    <w:rsid w:val="00B50343"/>
    <w:rsid w:val="00B70C20"/>
    <w:rsid w:val="00B72BA2"/>
    <w:rsid w:val="00B72DB8"/>
    <w:rsid w:val="00B75ACB"/>
    <w:rsid w:val="00B76AF1"/>
    <w:rsid w:val="00B84DB4"/>
    <w:rsid w:val="00B91279"/>
    <w:rsid w:val="00B917D6"/>
    <w:rsid w:val="00B92CA3"/>
    <w:rsid w:val="00BA7CB3"/>
    <w:rsid w:val="00BB2475"/>
    <w:rsid w:val="00BB6EC5"/>
    <w:rsid w:val="00BC0F87"/>
    <w:rsid w:val="00BC4FD0"/>
    <w:rsid w:val="00BC5704"/>
    <w:rsid w:val="00BD1F02"/>
    <w:rsid w:val="00BD4874"/>
    <w:rsid w:val="00BD7050"/>
    <w:rsid w:val="00BE2A70"/>
    <w:rsid w:val="00BE2F8D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43D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57D5C"/>
    <w:rsid w:val="00D678E8"/>
    <w:rsid w:val="00D840A8"/>
    <w:rsid w:val="00D90661"/>
    <w:rsid w:val="00D92DF5"/>
    <w:rsid w:val="00D93763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3597"/>
    <w:rsid w:val="00E128E5"/>
    <w:rsid w:val="00E26AFD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E6839"/>
    <w:rsid w:val="00EF0563"/>
    <w:rsid w:val="00F006C8"/>
    <w:rsid w:val="00F04CB8"/>
    <w:rsid w:val="00F13D46"/>
    <w:rsid w:val="00F2031B"/>
    <w:rsid w:val="00F205B0"/>
    <w:rsid w:val="00F224F7"/>
    <w:rsid w:val="00F32AC4"/>
    <w:rsid w:val="00F55391"/>
    <w:rsid w:val="00F5635C"/>
    <w:rsid w:val="00F57EDA"/>
    <w:rsid w:val="00F63153"/>
    <w:rsid w:val="00F63A00"/>
    <w:rsid w:val="00F73140"/>
    <w:rsid w:val="00F7705F"/>
    <w:rsid w:val="00F8147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94A80B9"/>
  <w15:docId w15:val="{F1921F11-D813-404D-8F8F-A94B074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  <w:style w:type="character" w:customStyle="1" w:styleId="HeaderChar">
    <w:name w:val="Header Char"/>
    <w:basedOn w:val="DefaultParagraphFont"/>
    <w:link w:val="Header"/>
    <w:rsid w:val="006744F3"/>
  </w:style>
  <w:style w:type="character" w:styleId="Hyperlink">
    <w:name w:val="Hyperlink"/>
    <w:basedOn w:val="DefaultParagraphFont"/>
    <w:rsid w:val="00152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E44898-633A-435F-8A4E-D3FDD0B8CAB6}"/>
</file>

<file path=customXml/itemProps2.xml><?xml version="1.0" encoding="utf-8"?>
<ds:datastoreItem xmlns:ds="http://schemas.openxmlformats.org/officeDocument/2006/customXml" ds:itemID="{8F4F9184-2E7E-4605-ABDF-30D68DB20FCF}"/>
</file>

<file path=customXml/itemProps3.xml><?xml version="1.0" encoding="utf-8"?>
<ds:datastoreItem xmlns:ds="http://schemas.openxmlformats.org/officeDocument/2006/customXml" ds:itemID="{872E5939-B2F3-4AC1-B31C-6BDA7618FCE4}"/>
</file>

<file path=customXml/itemProps4.xml><?xml version="1.0" encoding="utf-8"?>
<ds:datastoreItem xmlns:ds="http://schemas.openxmlformats.org/officeDocument/2006/customXml" ds:itemID="{8E48FECC-9B39-426E-BDC6-B484ECD94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2016-06-30T21:17:00Z</cp:lastPrinted>
  <dcterms:created xsi:type="dcterms:W3CDTF">2016-06-30T22:40:00Z</dcterms:created>
  <dcterms:modified xsi:type="dcterms:W3CDTF">2016-06-30T22:40:00Z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